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4.xml" ContentType="application/vnd.openxmlformats-officedocument.themeOverride+xml"/>
  <Override PartName="/word/drawings/drawing3.xml" ContentType="application/vnd.openxmlformats-officedocument.drawingml.chartshapes+xml"/>
  <Override PartName="/word/charts/chart3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8.xml" ContentType="application/vnd.openxmlformats-officedocument.themeOverride+xml"/>
  <Override PartName="/word/drawings/drawing4.xml" ContentType="application/vnd.openxmlformats-officedocument.drawingml.chartshapes+xml"/>
  <Override PartName="/word/charts/chart4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imes New Roman"/>
          <w:color w:val="auto"/>
          <w:sz w:val="20"/>
          <w:szCs w:val="20"/>
          <w:lang w:eastAsia="en-US"/>
        </w:rPr>
        <w:id w:val="-1279868921"/>
        <w:docPartObj>
          <w:docPartGallery w:val="Table of Contents"/>
          <w:docPartUnique/>
        </w:docPartObj>
      </w:sdtPr>
      <w:sdtEndPr>
        <w:rPr>
          <w:b/>
          <w:bCs/>
        </w:rPr>
      </w:sdtEndPr>
      <w:sdtContent>
        <w:p w:rsidR="00052B0A" w:rsidRPr="00F81735" w:rsidRDefault="00052B0A" w:rsidP="001E2730">
          <w:pPr>
            <w:pStyle w:val="Hlavikaobsahu"/>
            <w:spacing w:line="360" w:lineRule="auto"/>
            <w:rPr>
              <w:rFonts w:ascii="Times New Roman" w:hAnsi="Times New Roman" w:cs="Times New Roman"/>
              <w:b/>
              <w:sz w:val="28"/>
              <w:szCs w:val="20"/>
            </w:rPr>
          </w:pPr>
          <w:r w:rsidRPr="00F81735">
            <w:rPr>
              <w:rFonts w:ascii="Times New Roman" w:hAnsi="Times New Roman" w:cs="Times New Roman"/>
              <w:b/>
              <w:sz w:val="28"/>
              <w:szCs w:val="20"/>
            </w:rPr>
            <w:t>Obsah</w:t>
          </w:r>
        </w:p>
        <w:p w:rsidR="0055677C" w:rsidRPr="009438DF" w:rsidRDefault="00052B0A">
          <w:pPr>
            <w:pStyle w:val="Obsah1"/>
            <w:tabs>
              <w:tab w:val="right" w:leader="dot" w:pos="9062"/>
            </w:tabs>
            <w:rPr>
              <w:rFonts w:ascii="Times New Roman" w:eastAsiaTheme="minorEastAsia" w:hAnsi="Times New Roman" w:cs="Times New Roman"/>
              <w:noProof/>
              <w:sz w:val="24"/>
              <w:szCs w:val="24"/>
              <w:lang w:eastAsia="sk-SK"/>
            </w:rPr>
          </w:pPr>
          <w:r w:rsidRPr="00BD6A07">
            <w:rPr>
              <w:rFonts w:ascii="Times New Roman" w:hAnsi="Times New Roman" w:cs="Times New Roman"/>
              <w:b/>
              <w:bCs/>
              <w:sz w:val="20"/>
              <w:szCs w:val="20"/>
            </w:rPr>
            <w:fldChar w:fldCharType="begin"/>
          </w:r>
          <w:r w:rsidRPr="00BD6A07">
            <w:rPr>
              <w:rFonts w:ascii="Times New Roman" w:hAnsi="Times New Roman" w:cs="Times New Roman"/>
              <w:b/>
              <w:bCs/>
              <w:sz w:val="20"/>
              <w:szCs w:val="20"/>
            </w:rPr>
            <w:instrText xml:space="preserve"> TOC \o "1-3" \h \z \u </w:instrText>
          </w:r>
          <w:r w:rsidRPr="00BD6A07">
            <w:rPr>
              <w:rFonts w:ascii="Times New Roman" w:hAnsi="Times New Roman" w:cs="Times New Roman"/>
              <w:b/>
              <w:bCs/>
              <w:sz w:val="20"/>
              <w:szCs w:val="20"/>
            </w:rPr>
            <w:fldChar w:fldCharType="separate"/>
          </w:r>
          <w:hyperlink w:anchor="_Toc84684741" w:history="1">
            <w:r w:rsidR="0055677C" w:rsidRPr="009438DF">
              <w:rPr>
                <w:rStyle w:val="Hypertextovprepojenie"/>
                <w:rFonts w:ascii="Times New Roman" w:hAnsi="Times New Roman" w:cs="Times New Roman"/>
                <w:b/>
                <w:noProof/>
                <w:sz w:val="24"/>
                <w:szCs w:val="24"/>
              </w:rPr>
              <w:t>Zhrnutie</w:t>
            </w:r>
            <w:r w:rsidR="0055677C" w:rsidRPr="009438DF">
              <w:rPr>
                <w:rFonts w:ascii="Times New Roman" w:hAnsi="Times New Roman" w:cs="Times New Roman"/>
                <w:noProof/>
                <w:webHidden/>
                <w:sz w:val="24"/>
                <w:szCs w:val="24"/>
              </w:rPr>
              <w:tab/>
            </w:r>
            <w:r w:rsidR="0055677C" w:rsidRPr="009438DF">
              <w:rPr>
                <w:rFonts w:ascii="Times New Roman" w:hAnsi="Times New Roman" w:cs="Times New Roman"/>
                <w:noProof/>
                <w:webHidden/>
                <w:sz w:val="24"/>
                <w:szCs w:val="24"/>
              </w:rPr>
              <w:fldChar w:fldCharType="begin"/>
            </w:r>
            <w:r w:rsidR="0055677C" w:rsidRPr="009438DF">
              <w:rPr>
                <w:rFonts w:ascii="Times New Roman" w:hAnsi="Times New Roman" w:cs="Times New Roman"/>
                <w:noProof/>
                <w:webHidden/>
                <w:sz w:val="24"/>
                <w:szCs w:val="24"/>
              </w:rPr>
              <w:instrText xml:space="preserve"> PAGEREF _Toc84684741 \h </w:instrText>
            </w:r>
            <w:r w:rsidR="0055677C" w:rsidRPr="009438DF">
              <w:rPr>
                <w:rFonts w:ascii="Times New Roman" w:hAnsi="Times New Roman" w:cs="Times New Roman"/>
                <w:noProof/>
                <w:webHidden/>
                <w:sz w:val="24"/>
                <w:szCs w:val="24"/>
              </w:rPr>
            </w:r>
            <w:r w:rsidR="0055677C" w:rsidRPr="009438DF">
              <w:rPr>
                <w:rFonts w:ascii="Times New Roman" w:hAnsi="Times New Roman" w:cs="Times New Roman"/>
                <w:noProof/>
                <w:webHidden/>
                <w:sz w:val="24"/>
                <w:szCs w:val="24"/>
              </w:rPr>
              <w:fldChar w:fldCharType="separate"/>
            </w:r>
            <w:r w:rsidR="006E67C6">
              <w:rPr>
                <w:rFonts w:ascii="Times New Roman" w:hAnsi="Times New Roman" w:cs="Times New Roman"/>
                <w:noProof/>
                <w:webHidden/>
                <w:sz w:val="24"/>
                <w:szCs w:val="24"/>
              </w:rPr>
              <w:t>6</w:t>
            </w:r>
            <w:r w:rsidR="0055677C" w:rsidRPr="009438DF">
              <w:rPr>
                <w:rFonts w:ascii="Times New Roman" w:hAnsi="Times New Roman" w:cs="Times New Roman"/>
                <w:noProof/>
                <w:webHidden/>
                <w:sz w:val="24"/>
                <w:szCs w:val="24"/>
              </w:rPr>
              <w:fldChar w:fldCharType="end"/>
            </w:r>
          </w:hyperlink>
        </w:p>
        <w:p w:rsidR="0055677C" w:rsidRPr="009438DF" w:rsidRDefault="0049163E">
          <w:pPr>
            <w:pStyle w:val="Obsah1"/>
            <w:tabs>
              <w:tab w:val="left" w:pos="440"/>
              <w:tab w:val="right" w:leader="dot" w:pos="9062"/>
            </w:tabs>
            <w:rPr>
              <w:rFonts w:ascii="Times New Roman" w:eastAsiaTheme="minorEastAsia" w:hAnsi="Times New Roman" w:cs="Times New Roman"/>
              <w:noProof/>
              <w:sz w:val="24"/>
              <w:szCs w:val="24"/>
              <w:lang w:eastAsia="sk-SK"/>
            </w:rPr>
          </w:pPr>
          <w:hyperlink w:anchor="_Toc84684742" w:history="1">
            <w:r w:rsidR="0055677C" w:rsidRPr="009438DF">
              <w:rPr>
                <w:rStyle w:val="Hypertextovprepojenie"/>
                <w:rFonts w:ascii="Times New Roman" w:hAnsi="Times New Roman" w:cs="Times New Roman"/>
                <w:b/>
                <w:noProof/>
                <w:sz w:val="24"/>
                <w:szCs w:val="24"/>
              </w:rPr>
              <w:t>1.</w:t>
            </w:r>
            <w:r w:rsidR="0055677C" w:rsidRPr="009438DF">
              <w:rPr>
                <w:rFonts w:ascii="Times New Roman" w:eastAsiaTheme="minorEastAsia" w:hAnsi="Times New Roman" w:cs="Times New Roman"/>
                <w:noProof/>
                <w:sz w:val="24"/>
                <w:szCs w:val="24"/>
                <w:lang w:eastAsia="sk-SK"/>
              </w:rPr>
              <w:tab/>
            </w:r>
            <w:r w:rsidR="0055677C" w:rsidRPr="009438DF">
              <w:rPr>
                <w:rStyle w:val="Hypertextovprepojenie"/>
                <w:rFonts w:ascii="Times New Roman" w:hAnsi="Times New Roman" w:cs="Times New Roman"/>
                <w:b/>
                <w:noProof/>
                <w:sz w:val="24"/>
                <w:szCs w:val="24"/>
              </w:rPr>
              <w:t>Makroekonomické predpoklady rozpočtu</w:t>
            </w:r>
            <w:r w:rsidR="0055677C" w:rsidRPr="009438DF">
              <w:rPr>
                <w:rFonts w:ascii="Times New Roman" w:hAnsi="Times New Roman" w:cs="Times New Roman"/>
                <w:noProof/>
                <w:webHidden/>
                <w:sz w:val="24"/>
                <w:szCs w:val="24"/>
              </w:rPr>
              <w:tab/>
            </w:r>
            <w:r w:rsidR="0055677C" w:rsidRPr="009438DF">
              <w:rPr>
                <w:rFonts w:ascii="Times New Roman" w:hAnsi="Times New Roman" w:cs="Times New Roman"/>
                <w:noProof/>
                <w:webHidden/>
                <w:sz w:val="24"/>
                <w:szCs w:val="24"/>
              </w:rPr>
              <w:fldChar w:fldCharType="begin"/>
            </w:r>
            <w:r w:rsidR="0055677C" w:rsidRPr="009438DF">
              <w:rPr>
                <w:rFonts w:ascii="Times New Roman" w:hAnsi="Times New Roman" w:cs="Times New Roman"/>
                <w:noProof/>
                <w:webHidden/>
                <w:sz w:val="24"/>
                <w:szCs w:val="24"/>
              </w:rPr>
              <w:instrText xml:space="preserve"> PAGEREF _Toc84684742 \h </w:instrText>
            </w:r>
            <w:r w:rsidR="0055677C" w:rsidRPr="009438DF">
              <w:rPr>
                <w:rFonts w:ascii="Times New Roman" w:hAnsi="Times New Roman" w:cs="Times New Roman"/>
                <w:noProof/>
                <w:webHidden/>
                <w:sz w:val="24"/>
                <w:szCs w:val="24"/>
              </w:rPr>
            </w:r>
            <w:r w:rsidR="0055677C" w:rsidRPr="009438DF">
              <w:rPr>
                <w:rFonts w:ascii="Times New Roman" w:hAnsi="Times New Roman" w:cs="Times New Roman"/>
                <w:noProof/>
                <w:webHidden/>
                <w:sz w:val="24"/>
                <w:szCs w:val="24"/>
              </w:rPr>
              <w:fldChar w:fldCharType="separate"/>
            </w:r>
            <w:r w:rsidR="006E67C6">
              <w:rPr>
                <w:rFonts w:ascii="Times New Roman" w:hAnsi="Times New Roman" w:cs="Times New Roman"/>
                <w:noProof/>
                <w:webHidden/>
                <w:sz w:val="24"/>
                <w:szCs w:val="24"/>
              </w:rPr>
              <w:t>11</w:t>
            </w:r>
            <w:r w:rsidR="0055677C" w:rsidRPr="009438DF">
              <w:rPr>
                <w:rFonts w:ascii="Times New Roman" w:hAnsi="Times New Roman" w:cs="Times New Roman"/>
                <w:noProof/>
                <w:webHidden/>
                <w:sz w:val="24"/>
                <w:szCs w:val="24"/>
              </w:rPr>
              <w:fldChar w:fldCharType="end"/>
            </w:r>
          </w:hyperlink>
        </w:p>
        <w:p w:rsidR="0055677C" w:rsidRPr="009438DF" w:rsidRDefault="0049163E">
          <w:pPr>
            <w:pStyle w:val="Obsah1"/>
            <w:tabs>
              <w:tab w:val="left" w:pos="440"/>
              <w:tab w:val="right" w:leader="dot" w:pos="9062"/>
            </w:tabs>
            <w:rPr>
              <w:rFonts w:ascii="Times New Roman" w:eastAsiaTheme="minorEastAsia" w:hAnsi="Times New Roman" w:cs="Times New Roman"/>
              <w:noProof/>
              <w:sz w:val="24"/>
              <w:szCs w:val="24"/>
              <w:lang w:eastAsia="sk-SK"/>
            </w:rPr>
          </w:pPr>
          <w:hyperlink w:anchor="_Toc84684743" w:history="1">
            <w:r w:rsidR="0055677C" w:rsidRPr="009438DF">
              <w:rPr>
                <w:rStyle w:val="Hypertextovprepojenie"/>
                <w:rFonts w:ascii="Times New Roman" w:hAnsi="Times New Roman" w:cs="Times New Roman"/>
                <w:b/>
                <w:noProof/>
                <w:sz w:val="24"/>
                <w:szCs w:val="24"/>
              </w:rPr>
              <w:t>2.</w:t>
            </w:r>
            <w:r w:rsidR="0055677C" w:rsidRPr="009438DF">
              <w:rPr>
                <w:rFonts w:ascii="Times New Roman" w:eastAsiaTheme="minorEastAsia" w:hAnsi="Times New Roman" w:cs="Times New Roman"/>
                <w:noProof/>
                <w:sz w:val="24"/>
                <w:szCs w:val="24"/>
                <w:lang w:eastAsia="sk-SK"/>
              </w:rPr>
              <w:tab/>
            </w:r>
            <w:r w:rsidR="0055677C" w:rsidRPr="009438DF">
              <w:rPr>
                <w:rStyle w:val="Hypertextovprepojenie"/>
                <w:rFonts w:ascii="Times New Roman" w:hAnsi="Times New Roman" w:cs="Times New Roman"/>
                <w:b/>
                <w:noProof/>
                <w:sz w:val="24"/>
                <w:szCs w:val="24"/>
              </w:rPr>
              <w:t xml:space="preserve">Východiskový rámec rozpočtu verejnej správy na roky 2022 až 2024 </w:t>
            </w:r>
            <w:r w:rsidR="00AB1731">
              <w:rPr>
                <w:rStyle w:val="Hypertextovprepojenie"/>
                <w:rFonts w:ascii="Times New Roman" w:hAnsi="Times New Roman" w:cs="Times New Roman"/>
                <w:b/>
                <w:noProof/>
                <w:sz w:val="24"/>
                <w:szCs w:val="24"/>
              </w:rPr>
              <w:br/>
              <w:t xml:space="preserve">        </w:t>
            </w:r>
            <w:r w:rsidR="0055677C" w:rsidRPr="009438DF">
              <w:rPr>
                <w:rStyle w:val="Hypertextovprepojenie"/>
                <w:rFonts w:ascii="Times New Roman" w:hAnsi="Times New Roman" w:cs="Times New Roman"/>
                <w:b/>
                <w:noProof/>
                <w:sz w:val="24"/>
                <w:szCs w:val="24"/>
              </w:rPr>
              <w:t>v metodike ESA 2010</w:t>
            </w:r>
            <w:r w:rsidR="0055677C" w:rsidRPr="009438DF">
              <w:rPr>
                <w:rFonts w:ascii="Times New Roman" w:hAnsi="Times New Roman" w:cs="Times New Roman"/>
                <w:noProof/>
                <w:webHidden/>
                <w:sz w:val="24"/>
                <w:szCs w:val="24"/>
              </w:rPr>
              <w:tab/>
            </w:r>
            <w:r w:rsidR="0055677C" w:rsidRPr="009438DF">
              <w:rPr>
                <w:rFonts w:ascii="Times New Roman" w:hAnsi="Times New Roman" w:cs="Times New Roman"/>
                <w:noProof/>
                <w:webHidden/>
                <w:sz w:val="24"/>
                <w:szCs w:val="24"/>
              </w:rPr>
              <w:fldChar w:fldCharType="begin"/>
            </w:r>
            <w:r w:rsidR="0055677C" w:rsidRPr="009438DF">
              <w:rPr>
                <w:rFonts w:ascii="Times New Roman" w:hAnsi="Times New Roman" w:cs="Times New Roman"/>
                <w:noProof/>
                <w:webHidden/>
                <w:sz w:val="24"/>
                <w:szCs w:val="24"/>
              </w:rPr>
              <w:instrText xml:space="preserve"> PAGEREF _Toc84684743 \h </w:instrText>
            </w:r>
            <w:r w:rsidR="0055677C" w:rsidRPr="009438DF">
              <w:rPr>
                <w:rFonts w:ascii="Times New Roman" w:hAnsi="Times New Roman" w:cs="Times New Roman"/>
                <w:noProof/>
                <w:webHidden/>
                <w:sz w:val="24"/>
                <w:szCs w:val="24"/>
              </w:rPr>
            </w:r>
            <w:r w:rsidR="0055677C" w:rsidRPr="009438DF">
              <w:rPr>
                <w:rFonts w:ascii="Times New Roman" w:hAnsi="Times New Roman" w:cs="Times New Roman"/>
                <w:noProof/>
                <w:webHidden/>
                <w:sz w:val="24"/>
                <w:szCs w:val="24"/>
              </w:rPr>
              <w:fldChar w:fldCharType="separate"/>
            </w:r>
            <w:r w:rsidR="006E67C6">
              <w:rPr>
                <w:rFonts w:ascii="Times New Roman" w:hAnsi="Times New Roman" w:cs="Times New Roman"/>
                <w:noProof/>
                <w:webHidden/>
                <w:sz w:val="24"/>
                <w:szCs w:val="24"/>
              </w:rPr>
              <w:t>14</w:t>
            </w:r>
            <w:r w:rsidR="0055677C" w:rsidRPr="009438DF">
              <w:rPr>
                <w:rFonts w:ascii="Times New Roman" w:hAnsi="Times New Roman" w:cs="Times New Roman"/>
                <w:noProof/>
                <w:webHidden/>
                <w:sz w:val="24"/>
                <w:szCs w:val="24"/>
              </w:rPr>
              <w:fldChar w:fldCharType="end"/>
            </w:r>
          </w:hyperlink>
        </w:p>
        <w:p w:rsidR="0055677C" w:rsidRPr="009438DF" w:rsidRDefault="0049163E">
          <w:pPr>
            <w:pStyle w:val="Obsah2"/>
            <w:rPr>
              <w:rFonts w:eastAsiaTheme="minorEastAsia"/>
              <w:bCs w:val="0"/>
              <w:iCs w:val="0"/>
              <w:lang w:eastAsia="sk-SK"/>
            </w:rPr>
          </w:pPr>
          <w:hyperlink w:anchor="_Toc84684744" w:history="1">
            <w:r w:rsidR="0055677C" w:rsidRPr="009438DF">
              <w:rPr>
                <w:rStyle w:val="Hypertextovprepojenie"/>
                <w:rFonts w:eastAsiaTheme="majorEastAsia"/>
              </w:rPr>
              <w:t>2.1. Aktuálny vývoj verejných financií v roku 2021</w:t>
            </w:r>
            <w:r w:rsidR="0055677C" w:rsidRPr="009438DF">
              <w:rPr>
                <w:webHidden/>
              </w:rPr>
              <w:tab/>
            </w:r>
            <w:r w:rsidR="0055677C" w:rsidRPr="009438DF">
              <w:rPr>
                <w:webHidden/>
              </w:rPr>
              <w:fldChar w:fldCharType="begin"/>
            </w:r>
            <w:r w:rsidR="0055677C" w:rsidRPr="009438DF">
              <w:rPr>
                <w:webHidden/>
              </w:rPr>
              <w:instrText xml:space="preserve"> PAGEREF _Toc84684744 \h </w:instrText>
            </w:r>
            <w:r w:rsidR="0055677C" w:rsidRPr="009438DF">
              <w:rPr>
                <w:webHidden/>
              </w:rPr>
            </w:r>
            <w:r w:rsidR="0055677C" w:rsidRPr="009438DF">
              <w:rPr>
                <w:webHidden/>
              </w:rPr>
              <w:fldChar w:fldCharType="separate"/>
            </w:r>
            <w:r w:rsidR="006E67C6">
              <w:rPr>
                <w:webHidden/>
              </w:rPr>
              <w:t>14</w:t>
            </w:r>
            <w:r w:rsidR="0055677C" w:rsidRPr="009438DF">
              <w:rPr>
                <w:webHidden/>
              </w:rPr>
              <w:fldChar w:fldCharType="end"/>
            </w:r>
          </w:hyperlink>
        </w:p>
        <w:p w:rsidR="0055677C" w:rsidRPr="009438DF" w:rsidRDefault="0049163E">
          <w:pPr>
            <w:pStyle w:val="Obsah2"/>
            <w:tabs>
              <w:tab w:val="left" w:pos="880"/>
            </w:tabs>
            <w:rPr>
              <w:rFonts w:eastAsiaTheme="minorEastAsia"/>
              <w:bCs w:val="0"/>
              <w:iCs w:val="0"/>
              <w:lang w:eastAsia="sk-SK"/>
            </w:rPr>
          </w:pPr>
          <w:hyperlink w:anchor="_Toc84684745" w:history="1">
            <w:r w:rsidR="0055677C" w:rsidRPr="009438DF">
              <w:rPr>
                <w:rStyle w:val="Hypertextovprepojenie"/>
                <w:rFonts w:eastAsiaTheme="majorEastAsia"/>
              </w:rPr>
              <w:t>2.2.</w:t>
            </w:r>
            <w:r w:rsidR="00E73DDD" w:rsidRPr="009438DF">
              <w:rPr>
                <w:rFonts w:eastAsiaTheme="minorEastAsia"/>
                <w:bCs w:val="0"/>
                <w:iCs w:val="0"/>
                <w:lang w:eastAsia="sk-SK"/>
              </w:rPr>
              <w:t xml:space="preserve"> </w:t>
            </w:r>
            <w:r w:rsidR="0055677C" w:rsidRPr="009438DF">
              <w:rPr>
                <w:rStyle w:val="Hypertextovprepojenie"/>
                <w:rFonts w:eastAsiaTheme="majorEastAsia"/>
              </w:rPr>
              <w:t>Rozpočtové ciele</w:t>
            </w:r>
            <w:r w:rsidR="0055677C" w:rsidRPr="009438DF">
              <w:rPr>
                <w:webHidden/>
              </w:rPr>
              <w:tab/>
            </w:r>
            <w:r w:rsidR="0055677C" w:rsidRPr="009438DF">
              <w:rPr>
                <w:webHidden/>
              </w:rPr>
              <w:fldChar w:fldCharType="begin"/>
            </w:r>
            <w:r w:rsidR="0055677C" w:rsidRPr="009438DF">
              <w:rPr>
                <w:webHidden/>
              </w:rPr>
              <w:instrText xml:space="preserve"> PAGEREF _Toc84684745 \h </w:instrText>
            </w:r>
            <w:r w:rsidR="0055677C" w:rsidRPr="009438DF">
              <w:rPr>
                <w:webHidden/>
              </w:rPr>
            </w:r>
            <w:r w:rsidR="0055677C" w:rsidRPr="009438DF">
              <w:rPr>
                <w:webHidden/>
              </w:rPr>
              <w:fldChar w:fldCharType="separate"/>
            </w:r>
            <w:r w:rsidR="006E67C6">
              <w:rPr>
                <w:webHidden/>
              </w:rPr>
              <w:t>23</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46" w:history="1">
            <w:r w:rsidR="0055677C" w:rsidRPr="009438DF">
              <w:rPr>
                <w:rStyle w:val="Hypertextovprepojenie"/>
                <w:rFonts w:eastAsiaTheme="majorEastAsia"/>
              </w:rPr>
              <w:t>2.3. Hrubý dlh</w:t>
            </w:r>
            <w:r w:rsidR="0055677C" w:rsidRPr="009438DF">
              <w:rPr>
                <w:webHidden/>
              </w:rPr>
              <w:tab/>
            </w:r>
            <w:r w:rsidR="0055677C" w:rsidRPr="009438DF">
              <w:rPr>
                <w:webHidden/>
              </w:rPr>
              <w:fldChar w:fldCharType="begin"/>
            </w:r>
            <w:r w:rsidR="0055677C" w:rsidRPr="009438DF">
              <w:rPr>
                <w:webHidden/>
              </w:rPr>
              <w:instrText xml:space="preserve"> PAGEREF _Toc84684746 \h </w:instrText>
            </w:r>
            <w:r w:rsidR="0055677C" w:rsidRPr="009438DF">
              <w:rPr>
                <w:webHidden/>
              </w:rPr>
            </w:r>
            <w:r w:rsidR="0055677C" w:rsidRPr="009438DF">
              <w:rPr>
                <w:webHidden/>
              </w:rPr>
              <w:fldChar w:fldCharType="separate"/>
            </w:r>
            <w:r w:rsidR="006E67C6">
              <w:rPr>
                <w:webHidden/>
              </w:rPr>
              <w:t>23</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47" w:history="1">
            <w:r w:rsidR="0055677C" w:rsidRPr="009438DF">
              <w:rPr>
                <w:rStyle w:val="Hypertextovprepojenie"/>
                <w:rFonts w:eastAsiaTheme="majorEastAsia"/>
              </w:rPr>
              <w:t xml:space="preserve">2.4. Bilancia príjmov a výdavkov rozpočtu verejnej správy na roky 2022 až 2024 </w:t>
            </w:r>
            <w:r w:rsidR="00AB1731">
              <w:rPr>
                <w:rStyle w:val="Hypertextovprepojenie"/>
                <w:rFonts w:eastAsiaTheme="majorEastAsia"/>
              </w:rPr>
              <w:t xml:space="preserve">    </w:t>
            </w:r>
            <w:r w:rsidR="00AB1731">
              <w:rPr>
                <w:rStyle w:val="Hypertextovprepojenie"/>
                <w:rFonts w:eastAsiaTheme="majorEastAsia"/>
              </w:rPr>
              <w:br/>
              <w:t xml:space="preserve">       </w:t>
            </w:r>
            <w:r w:rsidR="0055677C" w:rsidRPr="009438DF">
              <w:rPr>
                <w:rStyle w:val="Hypertextovprepojenie"/>
                <w:rFonts w:eastAsiaTheme="majorEastAsia"/>
              </w:rPr>
              <w:t>v metodike ESA 2010</w:t>
            </w:r>
            <w:r w:rsidR="0055677C" w:rsidRPr="009438DF">
              <w:rPr>
                <w:webHidden/>
              </w:rPr>
              <w:tab/>
            </w:r>
            <w:r w:rsidR="0055677C" w:rsidRPr="009438DF">
              <w:rPr>
                <w:webHidden/>
              </w:rPr>
              <w:fldChar w:fldCharType="begin"/>
            </w:r>
            <w:r w:rsidR="0055677C" w:rsidRPr="009438DF">
              <w:rPr>
                <w:webHidden/>
              </w:rPr>
              <w:instrText xml:space="preserve"> PAGEREF _Toc84684747 \h </w:instrText>
            </w:r>
            <w:r w:rsidR="0055677C" w:rsidRPr="009438DF">
              <w:rPr>
                <w:webHidden/>
              </w:rPr>
            </w:r>
            <w:r w:rsidR="0055677C" w:rsidRPr="009438DF">
              <w:rPr>
                <w:webHidden/>
              </w:rPr>
              <w:fldChar w:fldCharType="separate"/>
            </w:r>
            <w:r w:rsidR="006E67C6">
              <w:rPr>
                <w:webHidden/>
              </w:rPr>
              <w:t>27</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48" w:history="1">
            <w:r w:rsidR="0055677C" w:rsidRPr="009438DF">
              <w:rPr>
                <w:rStyle w:val="Hypertextovprepojenie"/>
                <w:rFonts w:eastAsiaTheme="majorEastAsia"/>
              </w:rPr>
              <w:t xml:space="preserve">2.5. Informácia o zapracovaných úpravách niektorých príjmov a výdavkov rozpočtu </w:t>
            </w:r>
            <w:r w:rsidR="00AB1731">
              <w:rPr>
                <w:rStyle w:val="Hypertextovprepojenie"/>
                <w:rFonts w:eastAsiaTheme="majorEastAsia"/>
              </w:rPr>
              <w:br/>
              <w:t xml:space="preserve">       </w:t>
            </w:r>
            <w:r w:rsidR="0055677C" w:rsidRPr="009438DF">
              <w:rPr>
                <w:rStyle w:val="Hypertextovprepojenie"/>
                <w:rFonts w:eastAsiaTheme="majorEastAsia"/>
              </w:rPr>
              <w:t>verejnej správy v metodike ESA 2010</w:t>
            </w:r>
            <w:r w:rsidR="0055677C" w:rsidRPr="009438DF">
              <w:rPr>
                <w:webHidden/>
              </w:rPr>
              <w:tab/>
            </w:r>
            <w:r w:rsidR="0055677C" w:rsidRPr="009438DF">
              <w:rPr>
                <w:webHidden/>
              </w:rPr>
              <w:fldChar w:fldCharType="begin"/>
            </w:r>
            <w:r w:rsidR="0055677C" w:rsidRPr="009438DF">
              <w:rPr>
                <w:webHidden/>
              </w:rPr>
              <w:instrText xml:space="preserve"> PAGEREF _Toc84684748 \h </w:instrText>
            </w:r>
            <w:r w:rsidR="0055677C" w:rsidRPr="009438DF">
              <w:rPr>
                <w:webHidden/>
              </w:rPr>
            </w:r>
            <w:r w:rsidR="0055677C" w:rsidRPr="009438DF">
              <w:rPr>
                <w:webHidden/>
              </w:rPr>
              <w:fldChar w:fldCharType="separate"/>
            </w:r>
            <w:r w:rsidR="006E67C6">
              <w:rPr>
                <w:webHidden/>
              </w:rPr>
              <w:t>29</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49" w:history="1">
            <w:r w:rsidR="0055677C" w:rsidRPr="009438DF">
              <w:rPr>
                <w:rStyle w:val="Hypertextovprepojenie"/>
                <w:rFonts w:eastAsiaTheme="majorEastAsia"/>
              </w:rPr>
              <w:t>2.6. Informácia o nerozpočtovaných tituloch</w:t>
            </w:r>
            <w:r w:rsidR="0055677C" w:rsidRPr="009438DF">
              <w:rPr>
                <w:webHidden/>
              </w:rPr>
              <w:tab/>
            </w:r>
            <w:r w:rsidR="0055677C" w:rsidRPr="009438DF">
              <w:rPr>
                <w:webHidden/>
              </w:rPr>
              <w:fldChar w:fldCharType="begin"/>
            </w:r>
            <w:r w:rsidR="0055677C" w:rsidRPr="009438DF">
              <w:rPr>
                <w:webHidden/>
              </w:rPr>
              <w:instrText xml:space="preserve"> PAGEREF _Toc84684749 \h </w:instrText>
            </w:r>
            <w:r w:rsidR="0055677C" w:rsidRPr="009438DF">
              <w:rPr>
                <w:webHidden/>
              </w:rPr>
            </w:r>
            <w:r w:rsidR="0055677C" w:rsidRPr="009438DF">
              <w:rPr>
                <w:webHidden/>
              </w:rPr>
              <w:fldChar w:fldCharType="separate"/>
            </w:r>
            <w:r w:rsidR="006E67C6">
              <w:rPr>
                <w:webHidden/>
              </w:rPr>
              <w:t>30</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50" w:history="1">
            <w:r w:rsidR="0055677C" w:rsidRPr="009438DF">
              <w:rPr>
                <w:rStyle w:val="Hypertextovprepojenie"/>
                <w:rFonts w:eastAsiaTheme="majorEastAsia"/>
              </w:rPr>
              <w:t>2.7. Jednorazové a dočasné opatrenia</w:t>
            </w:r>
            <w:r w:rsidR="0055677C" w:rsidRPr="009438DF">
              <w:rPr>
                <w:webHidden/>
              </w:rPr>
              <w:tab/>
            </w:r>
            <w:r w:rsidR="0055677C" w:rsidRPr="009438DF">
              <w:rPr>
                <w:webHidden/>
              </w:rPr>
              <w:fldChar w:fldCharType="begin"/>
            </w:r>
            <w:r w:rsidR="0055677C" w:rsidRPr="009438DF">
              <w:rPr>
                <w:webHidden/>
              </w:rPr>
              <w:instrText xml:space="preserve"> PAGEREF _Toc84684750 \h </w:instrText>
            </w:r>
            <w:r w:rsidR="0055677C" w:rsidRPr="009438DF">
              <w:rPr>
                <w:webHidden/>
              </w:rPr>
            </w:r>
            <w:r w:rsidR="0055677C" w:rsidRPr="009438DF">
              <w:rPr>
                <w:webHidden/>
              </w:rPr>
              <w:fldChar w:fldCharType="separate"/>
            </w:r>
            <w:r w:rsidR="006E67C6">
              <w:rPr>
                <w:webHidden/>
              </w:rPr>
              <w:t>33</w:t>
            </w:r>
            <w:r w:rsidR="0055677C" w:rsidRPr="009438DF">
              <w:rPr>
                <w:webHidden/>
              </w:rPr>
              <w:fldChar w:fldCharType="end"/>
            </w:r>
          </w:hyperlink>
        </w:p>
        <w:p w:rsidR="0055677C" w:rsidRPr="009438DF" w:rsidRDefault="0049163E">
          <w:pPr>
            <w:pStyle w:val="Obsah1"/>
            <w:tabs>
              <w:tab w:val="right" w:leader="dot" w:pos="9062"/>
            </w:tabs>
            <w:rPr>
              <w:rFonts w:ascii="Times New Roman" w:eastAsiaTheme="minorEastAsia" w:hAnsi="Times New Roman" w:cs="Times New Roman"/>
              <w:noProof/>
              <w:sz w:val="24"/>
              <w:szCs w:val="24"/>
              <w:lang w:eastAsia="sk-SK"/>
            </w:rPr>
          </w:pPr>
          <w:hyperlink w:anchor="_Toc84684751" w:history="1">
            <w:r w:rsidR="0055677C" w:rsidRPr="009438DF">
              <w:rPr>
                <w:rStyle w:val="Hypertextovprepojenie"/>
                <w:rFonts w:ascii="Times New Roman" w:hAnsi="Times New Roman" w:cs="Times New Roman"/>
                <w:b/>
                <w:noProof/>
                <w:sz w:val="24"/>
                <w:szCs w:val="24"/>
              </w:rPr>
              <w:t>3. Rozpočtovanie príjmov verejnej správy</w:t>
            </w:r>
            <w:r w:rsidR="0055677C" w:rsidRPr="009438DF">
              <w:rPr>
                <w:rFonts w:ascii="Times New Roman" w:hAnsi="Times New Roman" w:cs="Times New Roman"/>
                <w:noProof/>
                <w:webHidden/>
                <w:sz w:val="24"/>
                <w:szCs w:val="24"/>
              </w:rPr>
              <w:tab/>
            </w:r>
            <w:r w:rsidR="0055677C" w:rsidRPr="009438DF">
              <w:rPr>
                <w:rFonts w:ascii="Times New Roman" w:hAnsi="Times New Roman" w:cs="Times New Roman"/>
                <w:noProof/>
                <w:webHidden/>
                <w:sz w:val="24"/>
                <w:szCs w:val="24"/>
              </w:rPr>
              <w:fldChar w:fldCharType="begin"/>
            </w:r>
            <w:r w:rsidR="0055677C" w:rsidRPr="009438DF">
              <w:rPr>
                <w:rFonts w:ascii="Times New Roman" w:hAnsi="Times New Roman" w:cs="Times New Roman"/>
                <w:noProof/>
                <w:webHidden/>
                <w:sz w:val="24"/>
                <w:szCs w:val="24"/>
              </w:rPr>
              <w:instrText xml:space="preserve"> PAGEREF _Toc84684751 \h </w:instrText>
            </w:r>
            <w:r w:rsidR="0055677C" w:rsidRPr="009438DF">
              <w:rPr>
                <w:rFonts w:ascii="Times New Roman" w:hAnsi="Times New Roman" w:cs="Times New Roman"/>
                <w:noProof/>
                <w:webHidden/>
                <w:sz w:val="24"/>
                <w:szCs w:val="24"/>
              </w:rPr>
            </w:r>
            <w:r w:rsidR="0055677C" w:rsidRPr="009438DF">
              <w:rPr>
                <w:rFonts w:ascii="Times New Roman" w:hAnsi="Times New Roman" w:cs="Times New Roman"/>
                <w:noProof/>
                <w:webHidden/>
                <w:sz w:val="24"/>
                <w:szCs w:val="24"/>
              </w:rPr>
              <w:fldChar w:fldCharType="separate"/>
            </w:r>
            <w:r w:rsidR="006E67C6">
              <w:rPr>
                <w:rFonts w:ascii="Times New Roman" w:hAnsi="Times New Roman" w:cs="Times New Roman"/>
                <w:noProof/>
                <w:webHidden/>
                <w:sz w:val="24"/>
                <w:szCs w:val="24"/>
              </w:rPr>
              <w:t>36</w:t>
            </w:r>
            <w:r w:rsidR="0055677C" w:rsidRPr="009438DF">
              <w:rPr>
                <w:rFonts w:ascii="Times New Roman" w:hAnsi="Times New Roman" w:cs="Times New Roman"/>
                <w:noProof/>
                <w:webHidden/>
                <w:sz w:val="24"/>
                <w:szCs w:val="24"/>
              </w:rPr>
              <w:fldChar w:fldCharType="end"/>
            </w:r>
          </w:hyperlink>
        </w:p>
        <w:p w:rsidR="0055677C" w:rsidRPr="009438DF" w:rsidRDefault="0049163E">
          <w:pPr>
            <w:pStyle w:val="Obsah2"/>
            <w:rPr>
              <w:rFonts w:eastAsiaTheme="minorEastAsia"/>
              <w:bCs w:val="0"/>
              <w:iCs w:val="0"/>
              <w:lang w:eastAsia="sk-SK"/>
            </w:rPr>
          </w:pPr>
          <w:hyperlink w:anchor="_Toc84684752" w:history="1">
            <w:r w:rsidR="0055677C" w:rsidRPr="009438DF">
              <w:rPr>
                <w:rStyle w:val="Hypertextovprepojenie"/>
                <w:rFonts w:eastAsiaTheme="majorEastAsia"/>
              </w:rPr>
              <w:t>3.1. Rozpočtovanie daňových a odvodových príjmov verejnej správy</w:t>
            </w:r>
            <w:r w:rsidR="0055677C" w:rsidRPr="009438DF">
              <w:rPr>
                <w:webHidden/>
              </w:rPr>
              <w:tab/>
            </w:r>
            <w:r w:rsidR="0055677C" w:rsidRPr="009438DF">
              <w:rPr>
                <w:webHidden/>
              </w:rPr>
              <w:fldChar w:fldCharType="begin"/>
            </w:r>
            <w:r w:rsidR="0055677C" w:rsidRPr="009438DF">
              <w:rPr>
                <w:webHidden/>
              </w:rPr>
              <w:instrText xml:space="preserve"> PAGEREF _Toc84684752 \h </w:instrText>
            </w:r>
            <w:r w:rsidR="0055677C" w:rsidRPr="009438DF">
              <w:rPr>
                <w:webHidden/>
              </w:rPr>
            </w:r>
            <w:r w:rsidR="0055677C" w:rsidRPr="009438DF">
              <w:rPr>
                <w:webHidden/>
              </w:rPr>
              <w:fldChar w:fldCharType="separate"/>
            </w:r>
            <w:r w:rsidR="006E67C6">
              <w:rPr>
                <w:webHidden/>
              </w:rPr>
              <w:t>36</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53" w:history="1">
            <w:r w:rsidR="0055677C" w:rsidRPr="009438DF">
              <w:rPr>
                <w:rStyle w:val="Hypertextovprepojenie"/>
                <w:rFonts w:eastAsiaTheme="majorEastAsia"/>
                <w:lang w:eastAsia="sk-SK"/>
              </w:rPr>
              <w:t>3.2. Iné ako daňové príjmy verejnej správy</w:t>
            </w:r>
            <w:r w:rsidR="0055677C" w:rsidRPr="009438DF">
              <w:rPr>
                <w:webHidden/>
              </w:rPr>
              <w:tab/>
            </w:r>
            <w:r w:rsidR="0055677C" w:rsidRPr="009438DF">
              <w:rPr>
                <w:webHidden/>
              </w:rPr>
              <w:fldChar w:fldCharType="begin"/>
            </w:r>
            <w:r w:rsidR="0055677C" w:rsidRPr="009438DF">
              <w:rPr>
                <w:webHidden/>
              </w:rPr>
              <w:instrText xml:space="preserve"> PAGEREF _Toc84684753 \h </w:instrText>
            </w:r>
            <w:r w:rsidR="0055677C" w:rsidRPr="009438DF">
              <w:rPr>
                <w:webHidden/>
              </w:rPr>
            </w:r>
            <w:r w:rsidR="0055677C" w:rsidRPr="009438DF">
              <w:rPr>
                <w:webHidden/>
              </w:rPr>
              <w:fldChar w:fldCharType="separate"/>
            </w:r>
            <w:r w:rsidR="006E67C6">
              <w:rPr>
                <w:webHidden/>
              </w:rPr>
              <w:t>44</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54" w:history="1">
            <w:r w:rsidR="0055677C" w:rsidRPr="009438DF">
              <w:rPr>
                <w:rStyle w:val="Hypertextovprepojenie"/>
                <w:rFonts w:eastAsiaTheme="majorEastAsia"/>
                <w:lang w:eastAsia="sk-SK"/>
              </w:rPr>
              <w:t xml:space="preserve">3.3. Príjmy samostatných účtov štátnych rozpočtových organizácií vstupujúce </w:t>
            </w:r>
            <w:r w:rsidR="00030793">
              <w:rPr>
                <w:rStyle w:val="Hypertextovprepojenie"/>
                <w:rFonts w:eastAsiaTheme="majorEastAsia"/>
                <w:lang w:eastAsia="sk-SK"/>
              </w:rPr>
              <w:br/>
              <w:t xml:space="preserve">       </w:t>
            </w:r>
            <w:r w:rsidR="0055677C" w:rsidRPr="009438DF">
              <w:rPr>
                <w:rStyle w:val="Hypertextovprepojenie"/>
                <w:rFonts w:eastAsiaTheme="majorEastAsia"/>
                <w:lang w:eastAsia="sk-SK"/>
              </w:rPr>
              <w:t>do rozpočtu verejnej správy</w:t>
            </w:r>
            <w:r w:rsidR="0055677C" w:rsidRPr="009438DF">
              <w:rPr>
                <w:webHidden/>
              </w:rPr>
              <w:tab/>
            </w:r>
            <w:r w:rsidR="0055677C" w:rsidRPr="009438DF">
              <w:rPr>
                <w:webHidden/>
              </w:rPr>
              <w:fldChar w:fldCharType="begin"/>
            </w:r>
            <w:r w:rsidR="0055677C" w:rsidRPr="009438DF">
              <w:rPr>
                <w:webHidden/>
              </w:rPr>
              <w:instrText xml:space="preserve"> PAGEREF _Toc84684754 \h </w:instrText>
            </w:r>
            <w:r w:rsidR="0055677C" w:rsidRPr="009438DF">
              <w:rPr>
                <w:webHidden/>
              </w:rPr>
            </w:r>
            <w:r w:rsidR="0055677C" w:rsidRPr="009438DF">
              <w:rPr>
                <w:webHidden/>
              </w:rPr>
              <w:fldChar w:fldCharType="separate"/>
            </w:r>
            <w:r w:rsidR="006E67C6">
              <w:rPr>
                <w:webHidden/>
              </w:rPr>
              <w:t>56</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55" w:history="1">
            <w:r w:rsidR="0055677C" w:rsidRPr="009438DF">
              <w:rPr>
                <w:rStyle w:val="Hypertextovprepojenie"/>
                <w:rFonts w:eastAsia="Calibri"/>
              </w:rPr>
              <w:t>3.4. Daňové výdavky</w:t>
            </w:r>
            <w:r w:rsidR="0055677C" w:rsidRPr="009438DF">
              <w:rPr>
                <w:webHidden/>
              </w:rPr>
              <w:tab/>
            </w:r>
            <w:r w:rsidR="0055677C" w:rsidRPr="009438DF">
              <w:rPr>
                <w:webHidden/>
              </w:rPr>
              <w:fldChar w:fldCharType="begin"/>
            </w:r>
            <w:r w:rsidR="0055677C" w:rsidRPr="009438DF">
              <w:rPr>
                <w:webHidden/>
              </w:rPr>
              <w:instrText xml:space="preserve"> PAGEREF _Toc84684755 \h </w:instrText>
            </w:r>
            <w:r w:rsidR="0055677C" w:rsidRPr="009438DF">
              <w:rPr>
                <w:webHidden/>
              </w:rPr>
            </w:r>
            <w:r w:rsidR="0055677C" w:rsidRPr="009438DF">
              <w:rPr>
                <w:webHidden/>
              </w:rPr>
              <w:fldChar w:fldCharType="separate"/>
            </w:r>
            <w:r w:rsidR="006E67C6">
              <w:rPr>
                <w:webHidden/>
              </w:rPr>
              <w:t>57</w:t>
            </w:r>
            <w:r w:rsidR="0055677C" w:rsidRPr="009438DF">
              <w:rPr>
                <w:webHidden/>
              </w:rPr>
              <w:fldChar w:fldCharType="end"/>
            </w:r>
          </w:hyperlink>
        </w:p>
        <w:p w:rsidR="0055677C" w:rsidRPr="009438DF" w:rsidRDefault="0049163E">
          <w:pPr>
            <w:pStyle w:val="Obsah1"/>
            <w:tabs>
              <w:tab w:val="right" w:leader="dot" w:pos="9062"/>
            </w:tabs>
            <w:rPr>
              <w:rFonts w:ascii="Times New Roman" w:eastAsiaTheme="minorEastAsia" w:hAnsi="Times New Roman" w:cs="Times New Roman"/>
              <w:noProof/>
              <w:sz w:val="24"/>
              <w:szCs w:val="24"/>
              <w:lang w:eastAsia="sk-SK"/>
            </w:rPr>
          </w:pPr>
          <w:hyperlink w:anchor="_Toc84684756" w:history="1">
            <w:r w:rsidR="0055677C" w:rsidRPr="009438DF">
              <w:rPr>
                <w:rStyle w:val="Hypertextovprepojenie"/>
                <w:rFonts w:ascii="Times New Roman" w:hAnsi="Times New Roman" w:cs="Times New Roman"/>
                <w:b/>
                <w:noProof/>
                <w:sz w:val="24"/>
                <w:szCs w:val="24"/>
              </w:rPr>
              <w:t>4. Rozpočtovanie výdavkov podľa vybraných oblastí</w:t>
            </w:r>
            <w:r w:rsidR="0055677C" w:rsidRPr="009438DF">
              <w:rPr>
                <w:rFonts w:ascii="Times New Roman" w:hAnsi="Times New Roman" w:cs="Times New Roman"/>
                <w:noProof/>
                <w:webHidden/>
                <w:sz w:val="24"/>
                <w:szCs w:val="24"/>
              </w:rPr>
              <w:tab/>
            </w:r>
            <w:r w:rsidR="0055677C" w:rsidRPr="009438DF">
              <w:rPr>
                <w:rFonts w:ascii="Times New Roman" w:hAnsi="Times New Roman" w:cs="Times New Roman"/>
                <w:noProof/>
                <w:webHidden/>
                <w:sz w:val="24"/>
                <w:szCs w:val="24"/>
              </w:rPr>
              <w:fldChar w:fldCharType="begin"/>
            </w:r>
            <w:r w:rsidR="0055677C" w:rsidRPr="009438DF">
              <w:rPr>
                <w:rFonts w:ascii="Times New Roman" w:hAnsi="Times New Roman" w:cs="Times New Roman"/>
                <w:noProof/>
                <w:webHidden/>
                <w:sz w:val="24"/>
                <w:szCs w:val="24"/>
              </w:rPr>
              <w:instrText xml:space="preserve"> PAGEREF _Toc84684756 \h </w:instrText>
            </w:r>
            <w:r w:rsidR="0055677C" w:rsidRPr="009438DF">
              <w:rPr>
                <w:rFonts w:ascii="Times New Roman" w:hAnsi="Times New Roman" w:cs="Times New Roman"/>
                <w:noProof/>
                <w:webHidden/>
                <w:sz w:val="24"/>
                <w:szCs w:val="24"/>
              </w:rPr>
            </w:r>
            <w:r w:rsidR="0055677C" w:rsidRPr="009438DF">
              <w:rPr>
                <w:rFonts w:ascii="Times New Roman" w:hAnsi="Times New Roman" w:cs="Times New Roman"/>
                <w:noProof/>
                <w:webHidden/>
                <w:sz w:val="24"/>
                <w:szCs w:val="24"/>
              </w:rPr>
              <w:fldChar w:fldCharType="separate"/>
            </w:r>
            <w:r w:rsidR="006E67C6">
              <w:rPr>
                <w:rFonts w:ascii="Times New Roman" w:hAnsi="Times New Roman" w:cs="Times New Roman"/>
                <w:noProof/>
                <w:webHidden/>
                <w:sz w:val="24"/>
                <w:szCs w:val="24"/>
              </w:rPr>
              <w:t>63</w:t>
            </w:r>
            <w:r w:rsidR="0055677C" w:rsidRPr="009438DF">
              <w:rPr>
                <w:rFonts w:ascii="Times New Roman" w:hAnsi="Times New Roman" w:cs="Times New Roman"/>
                <w:noProof/>
                <w:webHidden/>
                <w:sz w:val="24"/>
                <w:szCs w:val="24"/>
              </w:rPr>
              <w:fldChar w:fldCharType="end"/>
            </w:r>
          </w:hyperlink>
        </w:p>
        <w:p w:rsidR="0055677C" w:rsidRPr="009438DF" w:rsidRDefault="0049163E">
          <w:pPr>
            <w:pStyle w:val="Obsah2"/>
            <w:rPr>
              <w:rFonts w:eastAsiaTheme="minorEastAsia"/>
              <w:bCs w:val="0"/>
              <w:iCs w:val="0"/>
              <w:lang w:eastAsia="sk-SK"/>
            </w:rPr>
          </w:pPr>
          <w:hyperlink w:anchor="_Toc84684757" w:history="1">
            <w:r w:rsidR="0055677C" w:rsidRPr="009438DF">
              <w:rPr>
                <w:rStyle w:val="Hypertextovprepojenie"/>
                <w:rFonts w:eastAsia="Calibri"/>
              </w:rPr>
              <w:t>4.1. Zamestnanosť vo verejnej správe</w:t>
            </w:r>
            <w:r w:rsidR="0055677C" w:rsidRPr="009438DF">
              <w:rPr>
                <w:webHidden/>
              </w:rPr>
              <w:tab/>
            </w:r>
            <w:r w:rsidR="0055677C" w:rsidRPr="009438DF">
              <w:rPr>
                <w:webHidden/>
              </w:rPr>
              <w:fldChar w:fldCharType="begin"/>
            </w:r>
            <w:r w:rsidR="0055677C" w:rsidRPr="009438DF">
              <w:rPr>
                <w:webHidden/>
              </w:rPr>
              <w:instrText xml:space="preserve"> PAGEREF _Toc84684757 \h </w:instrText>
            </w:r>
            <w:r w:rsidR="0055677C" w:rsidRPr="009438DF">
              <w:rPr>
                <w:webHidden/>
              </w:rPr>
            </w:r>
            <w:r w:rsidR="0055677C" w:rsidRPr="009438DF">
              <w:rPr>
                <w:webHidden/>
              </w:rPr>
              <w:fldChar w:fldCharType="separate"/>
            </w:r>
            <w:r w:rsidR="006E67C6">
              <w:rPr>
                <w:webHidden/>
              </w:rPr>
              <w:t>63</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58" w:history="1">
            <w:r w:rsidR="0055677C" w:rsidRPr="009438DF">
              <w:rPr>
                <w:rStyle w:val="Hypertextovprepojenie"/>
                <w:rFonts w:eastAsiaTheme="majorEastAsia"/>
              </w:rPr>
              <w:t>4.2. Investície</w:t>
            </w:r>
            <w:r w:rsidR="0055677C" w:rsidRPr="009438DF">
              <w:rPr>
                <w:webHidden/>
              </w:rPr>
              <w:tab/>
            </w:r>
            <w:r w:rsidR="0055677C" w:rsidRPr="009438DF">
              <w:rPr>
                <w:webHidden/>
              </w:rPr>
              <w:fldChar w:fldCharType="begin"/>
            </w:r>
            <w:r w:rsidR="0055677C" w:rsidRPr="009438DF">
              <w:rPr>
                <w:webHidden/>
              </w:rPr>
              <w:instrText xml:space="preserve"> PAGEREF _Toc84684758 \h </w:instrText>
            </w:r>
            <w:r w:rsidR="0055677C" w:rsidRPr="009438DF">
              <w:rPr>
                <w:webHidden/>
              </w:rPr>
            </w:r>
            <w:r w:rsidR="0055677C" w:rsidRPr="009438DF">
              <w:rPr>
                <w:webHidden/>
              </w:rPr>
              <w:fldChar w:fldCharType="separate"/>
            </w:r>
            <w:r w:rsidR="006E67C6">
              <w:rPr>
                <w:webHidden/>
              </w:rPr>
              <w:t>70</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59" w:history="1">
            <w:r w:rsidR="0055677C" w:rsidRPr="009438DF">
              <w:rPr>
                <w:rStyle w:val="Hypertextovprepojenie"/>
                <w:rFonts w:eastAsia="Calibri"/>
              </w:rPr>
              <w:t>4.3. Plán obnovy a odolnosti Slovenskej republiky</w:t>
            </w:r>
            <w:r w:rsidR="0055677C" w:rsidRPr="009438DF">
              <w:rPr>
                <w:webHidden/>
              </w:rPr>
              <w:tab/>
            </w:r>
            <w:r w:rsidR="0055677C" w:rsidRPr="009438DF">
              <w:rPr>
                <w:webHidden/>
              </w:rPr>
              <w:fldChar w:fldCharType="begin"/>
            </w:r>
            <w:r w:rsidR="0055677C" w:rsidRPr="009438DF">
              <w:rPr>
                <w:webHidden/>
              </w:rPr>
              <w:instrText xml:space="preserve"> PAGEREF _Toc84684759 \h </w:instrText>
            </w:r>
            <w:r w:rsidR="0055677C" w:rsidRPr="009438DF">
              <w:rPr>
                <w:webHidden/>
              </w:rPr>
            </w:r>
            <w:r w:rsidR="0055677C" w:rsidRPr="009438DF">
              <w:rPr>
                <w:webHidden/>
              </w:rPr>
              <w:fldChar w:fldCharType="separate"/>
            </w:r>
            <w:r w:rsidR="006E67C6">
              <w:rPr>
                <w:webHidden/>
              </w:rPr>
              <w:t>74</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0" w:history="1">
            <w:r w:rsidR="0055677C" w:rsidRPr="009438DF">
              <w:rPr>
                <w:rStyle w:val="Hypertextovprepojenie"/>
                <w:rFonts w:eastAsiaTheme="majorEastAsia"/>
              </w:rPr>
              <w:t>4.4. Vzdelávanie, vrátane vedy, výskumu a športu</w:t>
            </w:r>
            <w:r w:rsidR="0055677C" w:rsidRPr="009438DF">
              <w:rPr>
                <w:webHidden/>
              </w:rPr>
              <w:tab/>
            </w:r>
            <w:r w:rsidR="0055677C" w:rsidRPr="009438DF">
              <w:rPr>
                <w:webHidden/>
              </w:rPr>
              <w:fldChar w:fldCharType="begin"/>
            </w:r>
            <w:r w:rsidR="0055677C" w:rsidRPr="009438DF">
              <w:rPr>
                <w:webHidden/>
              </w:rPr>
              <w:instrText xml:space="preserve"> PAGEREF _Toc84684760 \h </w:instrText>
            </w:r>
            <w:r w:rsidR="0055677C" w:rsidRPr="009438DF">
              <w:rPr>
                <w:webHidden/>
              </w:rPr>
            </w:r>
            <w:r w:rsidR="0055677C" w:rsidRPr="009438DF">
              <w:rPr>
                <w:webHidden/>
              </w:rPr>
              <w:fldChar w:fldCharType="separate"/>
            </w:r>
            <w:r w:rsidR="006E67C6">
              <w:rPr>
                <w:webHidden/>
              </w:rPr>
              <w:t>81</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1" w:history="1">
            <w:r w:rsidR="0055677C" w:rsidRPr="009438DF">
              <w:rPr>
                <w:rStyle w:val="Hypertextovprepojenie"/>
                <w:rFonts w:eastAsiaTheme="majorEastAsia"/>
              </w:rPr>
              <w:t>4.5. Doprava a bývanie</w:t>
            </w:r>
            <w:r w:rsidR="0055677C" w:rsidRPr="009438DF">
              <w:rPr>
                <w:webHidden/>
              </w:rPr>
              <w:tab/>
            </w:r>
            <w:r w:rsidR="0055677C" w:rsidRPr="009438DF">
              <w:rPr>
                <w:webHidden/>
              </w:rPr>
              <w:fldChar w:fldCharType="begin"/>
            </w:r>
            <w:r w:rsidR="0055677C" w:rsidRPr="009438DF">
              <w:rPr>
                <w:webHidden/>
              </w:rPr>
              <w:instrText xml:space="preserve"> PAGEREF _Toc84684761 \h </w:instrText>
            </w:r>
            <w:r w:rsidR="0055677C" w:rsidRPr="009438DF">
              <w:rPr>
                <w:webHidden/>
              </w:rPr>
            </w:r>
            <w:r w:rsidR="0055677C" w:rsidRPr="009438DF">
              <w:rPr>
                <w:webHidden/>
              </w:rPr>
              <w:fldChar w:fldCharType="separate"/>
            </w:r>
            <w:r w:rsidR="006E67C6">
              <w:rPr>
                <w:webHidden/>
              </w:rPr>
              <w:t>94</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2" w:history="1">
            <w:r w:rsidR="0055677C" w:rsidRPr="009438DF">
              <w:rPr>
                <w:rStyle w:val="Hypertextovprepojenie"/>
                <w:rFonts w:eastAsiaTheme="majorEastAsia"/>
              </w:rPr>
              <w:t>4.6. Sociálne veci a podpora zamestnanosti</w:t>
            </w:r>
            <w:r w:rsidR="0055677C" w:rsidRPr="009438DF">
              <w:rPr>
                <w:webHidden/>
              </w:rPr>
              <w:tab/>
            </w:r>
            <w:r w:rsidR="0055677C" w:rsidRPr="009438DF">
              <w:rPr>
                <w:webHidden/>
              </w:rPr>
              <w:fldChar w:fldCharType="begin"/>
            </w:r>
            <w:r w:rsidR="0055677C" w:rsidRPr="009438DF">
              <w:rPr>
                <w:webHidden/>
              </w:rPr>
              <w:instrText xml:space="preserve"> PAGEREF _Toc84684762 \h </w:instrText>
            </w:r>
            <w:r w:rsidR="0055677C" w:rsidRPr="009438DF">
              <w:rPr>
                <w:webHidden/>
              </w:rPr>
            </w:r>
            <w:r w:rsidR="0055677C" w:rsidRPr="009438DF">
              <w:rPr>
                <w:webHidden/>
              </w:rPr>
              <w:fldChar w:fldCharType="separate"/>
            </w:r>
            <w:r w:rsidR="006E67C6">
              <w:rPr>
                <w:webHidden/>
              </w:rPr>
              <w:t>102</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3" w:history="1">
            <w:r w:rsidR="0055677C" w:rsidRPr="009438DF">
              <w:rPr>
                <w:rStyle w:val="Hypertextovprepojenie"/>
                <w:rFonts w:eastAsiaTheme="majorEastAsia"/>
              </w:rPr>
              <w:t>4.7. Zdravotníctvo</w:t>
            </w:r>
            <w:r w:rsidR="0055677C" w:rsidRPr="009438DF">
              <w:rPr>
                <w:webHidden/>
              </w:rPr>
              <w:tab/>
            </w:r>
            <w:r w:rsidR="0055677C" w:rsidRPr="009438DF">
              <w:rPr>
                <w:webHidden/>
              </w:rPr>
              <w:fldChar w:fldCharType="begin"/>
            </w:r>
            <w:r w:rsidR="0055677C" w:rsidRPr="009438DF">
              <w:rPr>
                <w:webHidden/>
              </w:rPr>
              <w:instrText xml:space="preserve"> PAGEREF _Toc84684763 \h </w:instrText>
            </w:r>
            <w:r w:rsidR="0055677C" w:rsidRPr="009438DF">
              <w:rPr>
                <w:webHidden/>
              </w:rPr>
            </w:r>
            <w:r w:rsidR="0055677C" w:rsidRPr="009438DF">
              <w:rPr>
                <w:webHidden/>
              </w:rPr>
              <w:fldChar w:fldCharType="separate"/>
            </w:r>
            <w:r w:rsidR="006E67C6">
              <w:rPr>
                <w:webHidden/>
              </w:rPr>
              <w:t>111</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4" w:history="1">
            <w:r w:rsidR="0055677C" w:rsidRPr="009438DF">
              <w:rPr>
                <w:rStyle w:val="Hypertextovprepojenie"/>
                <w:rFonts w:eastAsiaTheme="majorEastAsia"/>
              </w:rPr>
              <w:t>4.8. Pôdohospodárstvo</w:t>
            </w:r>
            <w:r w:rsidR="0055677C" w:rsidRPr="009438DF">
              <w:rPr>
                <w:webHidden/>
              </w:rPr>
              <w:tab/>
            </w:r>
            <w:r w:rsidR="0055677C" w:rsidRPr="009438DF">
              <w:rPr>
                <w:webHidden/>
              </w:rPr>
              <w:fldChar w:fldCharType="begin"/>
            </w:r>
            <w:r w:rsidR="0055677C" w:rsidRPr="009438DF">
              <w:rPr>
                <w:webHidden/>
              </w:rPr>
              <w:instrText xml:space="preserve"> PAGEREF _Toc84684764 \h </w:instrText>
            </w:r>
            <w:r w:rsidR="0055677C" w:rsidRPr="009438DF">
              <w:rPr>
                <w:webHidden/>
              </w:rPr>
            </w:r>
            <w:r w:rsidR="0055677C" w:rsidRPr="009438DF">
              <w:rPr>
                <w:webHidden/>
              </w:rPr>
              <w:fldChar w:fldCharType="separate"/>
            </w:r>
            <w:r w:rsidR="006E67C6">
              <w:rPr>
                <w:webHidden/>
              </w:rPr>
              <w:t>126</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5" w:history="1">
            <w:r w:rsidR="0055677C" w:rsidRPr="009438DF">
              <w:rPr>
                <w:rStyle w:val="Hypertextovprepojenie"/>
                <w:rFonts w:eastAsiaTheme="majorEastAsia"/>
              </w:rPr>
              <w:t>4.9. Verejný poriadok a bezpečnosť</w:t>
            </w:r>
            <w:r w:rsidR="0055677C" w:rsidRPr="009438DF">
              <w:rPr>
                <w:webHidden/>
              </w:rPr>
              <w:tab/>
            </w:r>
            <w:r w:rsidR="0055677C" w:rsidRPr="009438DF">
              <w:rPr>
                <w:webHidden/>
              </w:rPr>
              <w:fldChar w:fldCharType="begin"/>
            </w:r>
            <w:r w:rsidR="0055677C" w:rsidRPr="009438DF">
              <w:rPr>
                <w:webHidden/>
              </w:rPr>
              <w:instrText xml:space="preserve"> PAGEREF _Toc84684765 \h </w:instrText>
            </w:r>
            <w:r w:rsidR="0055677C" w:rsidRPr="009438DF">
              <w:rPr>
                <w:webHidden/>
              </w:rPr>
            </w:r>
            <w:r w:rsidR="0055677C" w:rsidRPr="009438DF">
              <w:rPr>
                <w:webHidden/>
              </w:rPr>
              <w:fldChar w:fldCharType="separate"/>
            </w:r>
            <w:r w:rsidR="006E67C6">
              <w:rPr>
                <w:webHidden/>
              </w:rPr>
              <w:t>134</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6" w:history="1">
            <w:r w:rsidR="0055677C" w:rsidRPr="009438DF">
              <w:rPr>
                <w:rStyle w:val="Hypertextovprepojenie"/>
                <w:rFonts w:eastAsiaTheme="majorEastAsia"/>
              </w:rPr>
              <w:t>4.10. Obrana</w:t>
            </w:r>
            <w:r w:rsidR="0055677C" w:rsidRPr="009438DF">
              <w:rPr>
                <w:webHidden/>
              </w:rPr>
              <w:tab/>
            </w:r>
            <w:r w:rsidR="0055677C" w:rsidRPr="009438DF">
              <w:rPr>
                <w:webHidden/>
              </w:rPr>
              <w:fldChar w:fldCharType="begin"/>
            </w:r>
            <w:r w:rsidR="0055677C" w:rsidRPr="009438DF">
              <w:rPr>
                <w:webHidden/>
              </w:rPr>
              <w:instrText xml:space="preserve"> PAGEREF _Toc84684766 \h </w:instrText>
            </w:r>
            <w:r w:rsidR="0055677C" w:rsidRPr="009438DF">
              <w:rPr>
                <w:webHidden/>
              </w:rPr>
            </w:r>
            <w:r w:rsidR="0055677C" w:rsidRPr="009438DF">
              <w:rPr>
                <w:webHidden/>
              </w:rPr>
              <w:fldChar w:fldCharType="separate"/>
            </w:r>
            <w:r w:rsidR="006E67C6">
              <w:rPr>
                <w:webHidden/>
              </w:rPr>
              <w:t>141</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7" w:history="1">
            <w:r w:rsidR="0055677C" w:rsidRPr="009438DF">
              <w:rPr>
                <w:rStyle w:val="Hypertextovprepojenie"/>
                <w:rFonts w:eastAsiaTheme="majorEastAsia"/>
              </w:rPr>
              <w:t>4.11. Financie</w:t>
            </w:r>
            <w:r w:rsidR="0055677C" w:rsidRPr="009438DF">
              <w:rPr>
                <w:webHidden/>
              </w:rPr>
              <w:tab/>
            </w:r>
            <w:r w:rsidR="0055677C" w:rsidRPr="009438DF">
              <w:rPr>
                <w:webHidden/>
              </w:rPr>
              <w:fldChar w:fldCharType="begin"/>
            </w:r>
            <w:r w:rsidR="0055677C" w:rsidRPr="009438DF">
              <w:rPr>
                <w:webHidden/>
              </w:rPr>
              <w:instrText xml:space="preserve"> PAGEREF _Toc84684767 \h </w:instrText>
            </w:r>
            <w:r w:rsidR="0055677C" w:rsidRPr="009438DF">
              <w:rPr>
                <w:webHidden/>
              </w:rPr>
            </w:r>
            <w:r w:rsidR="0055677C" w:rsidRPr="009438DF">
              <w:rPr>
                <w:webHidden/>
              </w:rPr>
              <w:fldChar w:fldCharType="separate"/>
            </w:r>
            <w:r w:rsidR="006E67C6">
              <w:rPr>
                <w:webHidden/>
              </w:rPr>
              <w:t>147</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8" w:history="1">
            <w:r w:rsidR="0055677C" w:rsidRPr="009438DF">
              <w:rPr>
                <w:rStyle w:val="Hypertextovprepojenie"/>
                <w:rFonts w:eastAsiaTheme="majorEastAsia"/>
              </w:rPr>
              <w:t>4.12. Životné prostredie</w:t>
            </w:r>
            <w:r w:rsidR="0055677C" w:rsidRPr="009438DF">
              <w:rPr>
                <w:webHidden/>
              </w:rPr>
              <w:tab/>
            </w:r>
            <w:r w:rsidR="0055677C" w:rsidRPr="009438DF">
              <w:rPr>
                <w:webHidden/>
              </w:rPr>
              <w:fldChar w:fldCharType="begin"/>
            </w:r>
            <w:r w:rsidR="0055677C" w:rsidRPr="009438DF">
              <w:rPr>
                <w:webHidden/>
              </w:rPr>
              <w:instrText xml:space="preserve"> PAGEREF _Toc84684768 \h </w:instrText>
            </w:r>
            <w:r w:rsidR="0055677C" w:rsidRPr="009438DF">
              <w:rPr>
                <w:webHidden/>
              </w:rPr>
            </w:r>
            <w:r w:rsidR="0055677C" w:rsidRPr="009438DF">
              <w:rPr>
                <w:webHidden/>
              </w:rPr>
              <w:fldChar w:fldCharType="separate"/>
            </w:r>
            <w:r w:rsidR="006E67C6">
              <w:rPr>
                <w:webHidden/>
              </w:rPr>
              <w:t>164</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69" w:history="1">
            <w:r w:rsidR="0055677C" w:rsidRPr="009438DF">
              <w:rPr>
                <w:rStyle w:val="Hypertextovprepojenie"/>
                <w:rFonts w:eastAsiaTheme="majorEastAsia"/>
              </w:rPr>
              <w:t>4.13. Ekonomika</w:t>
            </w:r>
            <w:r w:rsidR="0055677C" w:rsidRPr="009438DF">
              <w:rPr>
                <w:webHidden/>
              </w:rPr>
              <w:tab/>
            </w:r>
            <w:r w:rsidR="0055677C" w:rsidRPr="009438DF">
              <w:rPr>
                <w:webHidden/>
              </w:rPr>
              <w:fldChar w:fldCharType="begin"/>
            </w:r>
            <w:r w:rsidR="0055677C" w:rsidRPr="009438DF">
              <w:rPr>
                <w:webHidden/>
              </w:rPr>
              <w:instrText xml:space="preserve"> PAGEREF _Toc84684769 \h </w:instrText>
            </w:r>
            <w:r w:rsidR="0055677C" w:rsidRPr="009438DF">
              <w:rPr>
                <w:webHidden/>
              </w:rPr>
            </w:r>
            <w:r w:rsidR="0055677C" w:rsidRPr="009438DF">
              <w:rPr>
                <w:webHidden/>
              </w:rPr>
              <w:fldChar w:fldCharType="separate"/>
            </w:r>
            <w:r w:rsidR="006E67C6">
              <w:rPr>
                <w:webHidden/>
              </w:rPr>
              <w:t>171</w:t>
            </w:r>
            <w:r w:rsidR="0055677C" w:rsidRPr="009438DF">
              <w:rPr>
                <w:webHidden/>
              </w:rPr>
              <w:fldChar w:fldCharType="end"/>
            </w:r>
          </w:hyperlink>
        </w:p>
        <w:p w:rsidR="0055677C" w:rsidRPr="009438DF" w:rsidRDefault="0049163E">
          <w:pPr>
            <w:pStyle w:val="Obsah2"/>
            <w:rPr>
              <w:rFonts w:eastAsiaTheme="minorEastAsia"/>
              <w:bCs w:val="0"/>
              <w:iCs w:val="0"/>
              <w:lang w:eastAsia="sk-SK"/>
            </w:rPr>
          </w:pPr>
          <w:hyperlink w:anchor="_Toc84684770" w:history="1">
            <w:r w:rsidR="0055677C" w:rsidRPr="009438DF">
              <w:rPr>
                <w:rStyle w:val="Hypertextovprepojenie"/>
                <w:rFonts w:eastAsiaTheme="majorEastAsia"/>
              </w:rPr>
              <w:t>4.14. Kultúra</w:t>
            </w:r>
            <w:r w:rsidR="0055677C" w:rsidRPr="009438DF">
              <w:rPr>
                <w:webHidden/>
              </w:rPr>
              <w:tab/>
            </w:r>
            <w:r w:rsidR="0055677C" w:rsidRPr="009438DF">
              <w:rPr>
                <w:webHidden/>
              </w:rPr>
              <w:fldChar w:fldCharType="begin"/>
            </w:r>
            <w:r w:rsidR="0055677C" w:rsidRPr="009438DF">
              <w:rPr>
                <w:webHidden/>
              </w:rPr>
              <w:instrText xml:space="preserve"> PAGEREF _Toc84684770 \h </w:instrText>
            </w:r>
            <w:r w:rsidR="0055677C" w:rsidRPr="009438DF">
              <w:rPr>
                <w:webHidden/>
              </w:rPr>
            </w:r>
            <w:r w:rsidR="0055677C" w:rsidRPr="009438DF">
              <w:rPr>
                <w:webHidden/>
              </w:rPr>
              <w:fldChar w:fldCharType="separate"/>
            </w:r>
            <w:r w:rsidR="006E67C6">
              <w:rPr>
                <w:webHidden/>
              </w:rPr>
              <w:t>183</w:t>
            </w:r>
            <w:r w:rsidR="0055677C" w:rsidRPr="009438DF">
              <w:rPr>
                <w:webHidden/>
              </w:rPr>
              <w:fldChar w:fldCharType="end"/>
            </w:r>
          </w:hyperlink>
        </w:p>
        <w:p w:rsidR="0055677C" w:rsidRPr="009438DF" w:rsidRDefault="0049163E">
          <w:pPr>
            <w:pStyle w:val="Obsah2"/>
            <w:rPr>
              <w:rFonts w:asciiTheme="minorHAnsi" w:eastAsiaTheme="minorEastAsia" w:hAnsiTheme="minorHAnsi" w:cstheme="minorBidi"/>
              <w:bCs w:val="0"/>
              <w:iCs w:val="0"/>
              <w:lang w:eastAsia="sk-SK"/>
            </w:rPr>
          </w:pPr>
          <w:hyperlink w:anchor="_Toc84684771" w:history="1">
            <w:r w:rsidR="0055677C" w:rsidRPr="009438DF">
              <w:rPr>
                <w:rStyle w:val="Hypertextovprepojenie"/>
                <w:rFonts w:eastAsiaTheme="majorEastAsia"/>
                <w:kern w:val="32"/>
              </w:rPr>
              <w:t>4.15. Verejné služby</w:t>
            </w:r>
            <w:r w:rsidR="0055677C" w:rsidRPr="009438DF">
              <w:rPr>
                <w:webHidden/>
              </w:rPr>
              <w:tab/>
            </w:r>
            <w:r w:rsidR="0055677C" w:rsidRPr="009438DF">
              <w:rPr>
                <w:webHidden/>
              </w:rPr>
              <w:fldChar w:fldCharType="begin"/>
            </w:r>
            <w:r w:rsidR="0055677C" w:rsidRPr="009438DF">
              <w:rPr>
                <w:webHidden/>
              </w:rPr>
              <w:instrText xml:space="preserve"> PAGEREF _Toc84684771 \h </w:instrText>
            </w:r>
            <w:r w:rsidR="0055677C" w:rsidRPr="009438DF">
              <w:rPr>
                <w:webHidden/>
              </w:rPr>
            </w:r>
            <w:r w:rsidR="0055677C" w:rsidRPr="009438DF">
              <w:rPr>
                <w:webHidden/>
              </w:rPr>
              <w:fldChar w:fldCharType="separate"/>
            </w:r>
            <w:r w:rsidR="006E67C6">
              <w:rPr>
                <w:webHidden/>
              </w:rPr>
              <w:t>189</w:t>
            </w:r>
            <w:r w:rsidR="0055677C" w:rsidRPr="009438DF">
              <w:rPr>
                <w:webHidden/>
              </w:rPr>
              <w:fldChar w:fldCharType="end"/>
            </w:r>
          </w:hyperlink>
        </w:p>
        <w:p w:rsidR="00052B0A" w:rsidRPr="00BD6A07" w:rsidRDefault="00052B0A" w:rsidP="001E2730">
          <w:pPr>
            <w:spacing w:line="360" w:lineRule="auto"/>
            <w:rPr>
              <w:rFonts w:ascii="Times New Roman" w:hAnsi="Times New Roman" w:cs="Times New Roman"/>
              <w:sz w:val="20"/>
              <w:szCs w:val="20"/>
            </w:rPr>
          </w:pPr>
          <w:r w:rsidRPr="00BD6A07">
            <w:rPr>
              <w:rFonts w:ascii="Times New Roman" w:hAnsi="Times New Roman" w:cs="Times New Roman"/>
              <w:b/>
              <w:bCs/>
              <w:sz w:val="20"/>
              <w:szCs w:val="20"/>
            </w:rPr>
            <w:fldChar w:fldCharType="end"/>
          </w:r>
        </w:p>
      </w:sdtContent>
    </w:sdt>
    <w:p w:rsidR="00F2304D" w:rsidRDefault="00F2304D"/>
    <w:p w:rsidR="009C79B2" w:rsidRDefault="009C79B2"/>
    <w:p w:rsidR="009C79B2" w:rsidRDefault="009C79B2"/>
    <w:p w:rsidR="00137C90" w:rsidRDefault="00137C90"/>
    <w:p w:rsidR="00BD6A07" w:rsidRDefault="00BD6A07"/>
    <w:p w:rsidR="00052B0A" w:rsidRPr="00052B0A" w:rsidRDefault="00052B0A">
      <w:pPr>
        <w:rPr>
          <w:rFonts w:ascii="Times New Roman" w:hAnsi="Times New Roman" w:cs="Times New Roman"/>
          <w:b/>
          <w:color w:val="5B9BD5" w:themeColor="accent1"/>
          <w:sz w:val="28"/>
        </w:rPr>
      </w:pPr>
      <w:r w:rsidRPr="00052B0A">
        <w:rPr>
          <w:rFonts w:ascii="Times New Roman" w:hAnsi="Times New Roman" w:cs="Times New Roman"/>
          <w:b/>
          <w:color w:val="5B9BD5" w:themeColor="accent1"/>
          <w:sz w:val="28"/>
        </w:rPr>
        <w:lastRenderedPageBreak/>
        <w:t>Zoznam tabuliek</w:t>
      </w:r>
    </w:p>
    <w:p w:rsidR="00851FEA" w:rsidRPr="00851FEA" w:rsidRDefault="00052B0A">
      <w:pPr>
        <w:pStyle w:val="Zoznamobrzkov"/>
        <w:tabs>
          <w:tab w:val="right" w:leader="dot" w:pos="9062"/>
        </w:tabs>
        <w:rPr>
          <w:rFonts w:ascii="Times New Roman" w:eastAsiaTheme="minorEastAsia" w:hAnsi="Times New Roman" w:cs="Times New Roman"/>
          <w:noProof/>
          <w:sz w:val="20"/>
          <w:szCs w:val="20"/>
          <w:lang w:eastAsia="sk-SK"/>
        </w:rPr>
      </w:pPr>
      <w:r w:rsidRPr="00851FEA">
        <w:rPr>
          <w:rFonts w:ascii="Times New Roman" w:hAnsi="Times New Roman" w:cs="Times New Roman"/>
          <w:sz w:val="20"/>
          <w:szCs w:val="20"/>
        </w:rPr>
        <w:fldChar w:fldCharType="begin"/>
      </w:r>
      <w:r w:rsidRPr="00851FEA">
        <w:rPr>
          <w:rFonts w:ascii="Times New Roman" w:hAnsi="Times New Roman" w:cs="Times New Roman"/>
          <w:sz w:val="20"/>
          <w:szCs w:val="20"/>
        </w:rPr>
        <w:instrText xml:space="preserve"> TOC \h \z \c "Tabuľka" </w:instrText>
      </w:r>
      <w:r w:rsidRPr="00851FEA">
        <w:rPr>
          <w:rFonts w:ascii="Times New Roman" w:hAnsi="Times New Roman" w:cs="Times New Roman"/>
          <w:sz w:val="20"/>
          <w:szCs w:val="20"/>
        </w:rPr>
        <w:fldChar w:fldCharType="separate"/>
      </w:r>
      <w:hyperlink w:anchor="_Toc84845225" w:history="1">
        <w:r w:rsidR="00851FEA" w:rsidRPr="00851FEA">
          <w:rPr>
            <w:rStyle w:val="Hypertextovprepojenie"/>
            <w:rFonts w:ascii="Times New Roman" w:hAnsi="Times New Roman" w:cs="Times New Roman"/>
            <w:noProof/>
            <w:sz w:val="20"/>
            <w:szCs w:val="20"/>
          </w:rPr>
          <w:t>Tabuľka 1 - Prognóza vybraných ukazovateľov ekonomiky (september 2021)</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_Toc84845225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26" w:history="1">
        <w:r w:rsidR="00851FEA" w:rsidRPr="00851FEA">
          <w:rPr>
            <w:rStyle w:val="Hypertextovprepojenie"/>
            <w:rFonts w:ascii="Times New Roman" w:hAnsi="Times New Roman" w:cs="Times New Roman"/>
            <w:noProof/>
            <w:sz w:val="20"/>
            <w:szCs w:val="20"/>
          </w:rPr>
          <w:t>Tabuľka 2 - Porovnanie prognóz Európskej komisie (EK) a MF SR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_Toc84845226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27" w:history="1">
        <w:r w:rsidR="00851FEA" w:rsidRPr="00851FEA">
          <w:rPr>
            <w:rStyle w:val="Hypertextovprepojenie"/>
            <w:rFonts w:ascii="Times New Roman" w:hAnsi="Times New Roman" w:cs="Times New Roman"/>
            <w:noProof/>
            <w:sz w:val="20"/>
            <w:szCs w:val="20"/>
          </w:rPr>
          <w:t>Tabuľka 3 - Použitie Rezervy na negatívne vplyvy pandémie ochorenia COVID-19</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_Toc84845227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28" w:history="1">
        <w:r w:rsidR="00851FEA" w:rsidRPr="00851FEA">
          <w:rPr>
            <w:rStyle w:val="Hypertextovprepojenie"/>
            <w:rFonts w:ascii="Times New Roman" w:hAnsi="Times New Roman" w:cs="Times New Roman"/>
            <w:noProof/>
            <w:sz w:val="20"/>
            <w:szCs w:val="20"/>
          </w:rPr>
          <w:t>Tabuľka 4 - Rozdiely príjmových a výdavkových položiek oproti schválenému rozpočtu</w:t>
        </w:r>
        <w:r w:rsidR="00851FEA" w:rsidRPr="00851FEA">
          <w:rPr>
            <w:rStyle w:val="Hypertextovprepojenie"/>
            <w:rFonts w:ascii="Times New Roman" w:hAnsi="Times New Roman" w:cs="Times New Roman"/>
            <w:noProof/>
            <w:sz w:val="20"/>
            <w:szCs w:val="20"/>
            <w:vertAlign w:val="superscript"/>
          </w:rPr>
          <w:t>*</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_Toc84845228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29" w:history="1">
        <w:r w:rsidR="00851FEA" w:rsidRPr="00851FEA">
          <w:rPr>
            <w:rStyle w:val="Hypertextovprepojenie"/>
            <w:rFonts w:ascii="Times New Roman" w:hAnsi="Times New Roman" w:cs="Times New Roman"/>
            <w:noProof/>
            <w:sz w:val="20"/>
            <w:szCs w:val="20"/>
          </w:rPr>
          <w:t>Tabuľka 5 - Výdavky štátneho rozpočtu – COVID–19</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_Toc84845229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0" w:history="1">
        <w:r w:rsidR="00851FEA" w:rsidRPr="00851FEA">
          <w:rPr>
            <w:rStyle w:val="Hypertextovprepojenie"/>
            <w:rFonts w:ascii="Times New Roman" w:hAnsi="Times New Roman" w:cs="Times New Roman"/>
            <w:noProof/>
            <w:sz w:val="20"/>
            <w:szCs w:val="20"/>
          </w:rPr>
          <w:t>Tabuľka 6 - Výdavky štátneho rozpočtu – NECOVID</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1" w:history="1">
        <w:r w:rsidR="00851FEA" w:rsidRPr="00851FEA">
          <w:rPr>
            <w:rStyle w:val="Hypertextovprepojenie"/>
            <w:rFonts w:ascii="Times New Roman" w:hAnsi="Times New Roman" w:cs="Times New Roman"/>
            <w:noProof/>
            <w:sz w:val="20"/>
            <w:szCs w:val="20"/>
          </w:rPr>
          <w:t>Tabuľka 7 - Predpoklad nečerpania výdavkov štátneho rozpočtu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2" w:history="1">
        <w:r w:rsidR="00851FEA" w:rsidRPr="00851FEA">
          <w:rPr>
            <w:rStyle w:val="Hypertextovprepojenie"/>
            <w:rFonts w:ascii="Times New Roman" w:hAnsi="Times New Roman" w:cs="Times New Roman"/>
            <w:noProof/>
            <w:sz w:val="20"/>
            <w:szCs w:val="20"/>
          </w:rPr>
          <w:t>Tabuľka 8 - Zvýšené transfery štátneho rozpočtu pre OSVS</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3" w:history="1">
        <w:r w:rsidR="00851FEA" w:rsidRPr="00851FEA">
          <w:rPr>
            <w:rStyle w:val="Hypertextovprepojenie"/>
            <w:rFonts w:ascii="Times New Roman" w:hAnsi="Times New Roman" w:cs="Times New Roman"/>
            <w:noProof/>
            <w:sz w:val="20"/>
            <w:szCs w:val="20"/>
          </w:rPr>
          <w:t>Tabuľka 9 - Výdavky na zdravotníctvo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4" w:history="1">
        <w:r w:rsidR="00851FEA" w:rsidRPr="00851FEA">
          <w:rPr>
            <w:rStyle w:val="Hypertextovprepojenie"/>
            <w:rFonts w:ascii="Times New Roman" w:hAnsi="Times New Roman" w:cs="Times New Roman"/>
            <w:noProof/>
            <w:sz w:val="20"/>
            <w:szCs w:val="20"/>
          </w:rPr>
          <w:t>Tabuľka 10 - Výdavky ostatných subjektov verejnej 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5" w:history="1">
        <w:r w:rsidR="00851FEA" w:rsidRPr="00851FEA">
          <w:rPr>
            <w:rStyle w:val="Hypertextovprepojenie"/>
            <w:rFonts w:ascii="Times New Roman" w:hAnsi="Times New Roman" w:cs="Times New Roman"/>
            <w:noProof/>
            <w:sz w:val="20"/>
            <w:szCs w:val="20"/>
          </w:rPr>
          <w:t>Tabuľka 11 - Hospodárenie samospráv - bez daní, prostriedkov EÚ a spolufinancovania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6" w:history="1">
        <w:r w:rsidR="00851FEA" w:rsidRPr="00851FEA">
          <w:rPr>
            <w:rStyle w:val="Hypertextovprepojenie"/>
            <w:rFonts w:ascii="Times New Roman" w:hAnsi="Times New Roman" w:cs="Times New Roman"/>
            <w:noProof/>
            <w:sz w:val="20"/>
            <w:szCs w:val="20"/>
          </w:rPr>
          <w:t>Tabuľka 12 - Rozpočtové ciele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7" w:history="1">
        <w:r w:rsidR="00851FEA" w:rsidRPr="00851FEA">
          <w:rPr>
            <w:rStyle w:val="Hypertextovprepojenie"/>
            <w:rFonts w:ascii="Times New Roman" w:hAnsi="Times New Roman" w:cs="Times New Roman"/>
            <w:noProof/>
            <w:sz w:val="20"/>
            <w:szCs w:val="20"/>
          </w:rPr>
          <w:t>Tabuľka 13 – Štruktúra hrubého dlhu verejnej správy (% HDP)</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8" w:history="1">
        <w:r w:rsidR="00851FEA" w:rsidRPr="00851FEA">
          <w:rPr>
            <w:rStyle w:val="Hypertextovprepojenie"/>
            <w:rFonts w:ascii="Times New Roman" w:hAnsi="Times New Roman" w:cs="Times New Roman"/>
            <w:noProof/>
            <w:sz w:val="20"/>
            <w:szCs w:val="20"/>
          </w:rPr>
          <w:t>Tabuľka 14 - Vplyv na zmenu hrubého dlhu verejnej správy (mil.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39" w:history="1">
        <w:r w:rsidR="00851FEA" w:rsidRPr="00851FEA">
          <w:rPr>
            <w:rStyle w:val="Hypertextovprepojenie"/>
            <w:rFonts w:ascii="Times New Roman" w:hAnsi="Times New Roman" w:cs="Times New Roman"/>
            <w:noProof/>
            <w:sz w:val="20"/>
            <w:szCs w:val="20"/>
          </w:rPr>
          <w:t>Tabuľka 15 - Bilancia rozpočtu verejnej správy na roky 2022 až 2024 v metodike ESA 2010</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_Toc84845239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0" w:history="1">
        <w:r w:rsidR="00851FEA" w:rsidRPr="00851FEA">
          <w:rPr>
            <w:rStyle w:val="Hypertextovprepojenie"/>
            <w:rFonts w:ascii="Times New Roman" w:hAnsi="Times New Roman" w:cs="Times New Roman"/>
            <w:noProof/>
            <w:sz w:val="20"/>
            <w:szCs w:val="20"/>
          </w:rPr>
          <w:t>Tabuľka 16 – ESA 2010 tituly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1" w:history="1">
        <w:r w:rsidR="00851FEA" w:rsidRPr="00851FEA">
          <w:rPr>
            <w:rStyle w:val="Hypertextovprepojenie"/>
            <w:rFonts w:ascii="Times New Roman" w:hAnsi="Times New Roman" w:cs="Times New Roman"/>
            <w:noProof/>
            <w:sz w:val="20"/>
            <w:szCs w:val="20"/>
          </w:rPr>
          <w:t>Tabuľka 17 - Príjmy a výdavky nerozpočtovaných subjektov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2" w:history="1">
        <w:r w:rsidR="00851FEA" w:rsidRPr="00851FEA">
          <w:rPr>
            <w:rStyle w:val="Hypertextovprepojenie"/>
            <w:rFonts w:ascii="Times New Roman" w:hAnsi="Times New Roman" w:cs="Times New Roman"/>
            <w:noProof/>
            <w:sz w:val="20"/>
            <w:szCs w:val="20"/>
          </w:rPr>
          <w:t>Tabuľka 18 - Príjmy a výdavky podnikateľskej činnosti verejných vysokých škôl</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3" w:history="1">
        <w:r w:rsidR="00851FEA" w:rsidRPr="00851FEA">
          <w:rPr>
            <w:rStyle w:val="Hypertextovprepojenie"/>
            <w:rFonts w:ascii="Times New Roman" w:hAnsi="Times New Roman" w:cs="Times New Roman"/>
            <w:noProof/>
            <w:sz w:val="20"/>
            <w:szCs w:val="20"/>
          </w:rPr>
          <w:t>Tabuľka 19 - Príjmy a výdavky EFSF - European Financial Stability Facility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4" w:history="1">
        <w:r w:rsidR="00851FEA" w:rsidRPr="00851FEA">
          <w:rPr>
            <w:rStyle w:val="Hypertextovprepojenie"/>
            <w:rFonts w:ascii="Times New Roman" w:hAnsi="Times New Roman" w:cs="Times New Roman"/>
            <w:noProof/>
            <w:sz w:val="20"/>
            <w:szCs w:val="20"/>
          </w:rPr>
          <w:t>Tabuľka 20 - Jednorazové a dočasné opatrenia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5" w:history="1">
        <w:r w:rsidR="00851FEA" w:rsidRPr="00851FEA">
          <w:rPr>
            <w:rStyle w:val="Hypertextovprepojenie"/>
            <w:rFonts w:ascii="Times New Roman" w:eastAsia="Calibri" w:hAnsi="Times New Roman" w:cs="Times New Roman"/>
            <w:iCs/>
            <w:noProof/>
            <w:sz w:val="20"/>
            <w:szCs w:val="20"/>
          </w:rPr>
          <w:t>Tabuľka 21 - Rozdiely aktuálneho odhadu daní s rozpočtom verejnej správy na roky 2021 až 2023</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6" w:history="1">
        <w:r w:rsidR="00851FEA" w:rsidRPr="00851FEA">
          <w:rPr>
            <w:rStyle w:val="Hypertextovprepojenie"/>
            <w:rFonts w:ascii="Times New Roman" w:eastAsia="Calibri" w:hAnsi="Times New Roman" w:cs="Times New Roman"/>
            <w:iCs/>
            <w:noProof/>
            <w:sz w:val="20"/>
            <w:szCs w:val="20"/>
          </w:rPr>
          <w:t>Tabuľka 22 - Vplyv legislatívnych opatrení zahrnutých v prognóze daňových a odvodových príjmov verejnej správy na roky 2022 až 2024 (v tis. eur, ESA 2010)</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7" w:history="1">
        <w:r w:rsidR="00851FEA" w:rsidRPr="00851FEA">
          <w:rPr>
            <w:rStyle w:val="Hypertextovprepojenie"/>
            <w:rFonts w:ascii="Times New Roman" w:eastAsia="Calibri" w:hAnsi="Times New Roman" w:cs="Times New Roman"/>
            <w:iCs/>
            <w:noProof/>
            <w:sz w:val="20"/>
            <w:szCs w:val="20"/>
          </w:rPr>
          <w:t>Tabuľka 23 - Daňové a odvodové príjmy (ESA 2010, v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8" w:history="1">
        <w:r w:rsidR="00851FEA" w:rsidRPr="00851FEA">
          <w:rPr>
            <w:rStyle w:val="Hypertextovprepojenie"/>
            <w:rFonts w:ascii="Times New Roman" w:eastAsia="Calibri" w:hAnsi="Times New Roman" w:cs="Times New Roman"/>
            <w:iCs/>
            <w:noProof/>
            <w:sz w:val="20"/>
            <w:szCs w:val="20"/>
          </w:rPr>
          <w:t>Tabuľka 24 - Daňové a odvodové príjmy (hotovostný princíp, v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49" w:history="1">
        <w:r w:rsidR="00851FEA" w:rsidRPr="00851FEA">
          <w:rPr>
            <w:rStyle w:val="Hypertextovprepojenie"/>
            <w:rFonts w:ascii="Times New Roman" w:eastAsia="Calibri" w:hAnsi="Times New Roman" w:cs="Times New Roman"/>
            <w:iCs/>
            <w:noProof/>
            <w:sz w:val="20"/>
            <w:szCs w:val="20"/>
          </w:rPr>
          <w:t>Tabuľka 25 - Predpokladaný vývoj sankcií (v tis. eur)</w:t>
        </w:r>
        <w:r w:rsidR="00851FEA" w:rsidRPr="00851FEA">
          <w:rPr>
            <w:rStyle w:val="Hypertextovprepojenie"/>
            <w:rFonts w:ascii="Times New Roman" w:eastAsia="Calibri" w:hAnsi="Times New Roman" w:cs="Times New Roman"/>
            <w:iCs/>
            <w:noProof/>
            <w:sz w:val="20"/>
            <w:szCs w:val="20"/>
            <w:vertAlign w:val="superscript"/>
          </w:rPr>
          <w:t>*</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_Toc84845249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0" w:history="1">
        <w:r w:rsidR="00851FEA" w:rsidRPr="00851FEA">
          <w:rPr>
            <w:rStyle w:val="Hypertextovprepojenie"/>
            <w:rFonts w:ascii="Times New Roman" w:eastAsia="Calibri" w:hAnsi="Times New Roman" w:cs="Times New Roman"/>
            <w:iCs/>
            <w:noProof/>
            <w:sz w:val="20"/>
            <w:szCs w:val="20"/>
          </w:rPr>
          <w:t>Tabuľka 26 - Odhad rozdielu medzi akruálnymi a hotovostnými prognózami v rokoch 2019 až 2024  (v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1" w:history="1">
        <w:r w:rsidR="00851FEA" w:rsidRPr="00851FEA">
          <w:rPr>
            <w:rStyle w:val="Hypertextovprepojenie"/>
            <w:rFonts w:ascii="Times New Roman" w:eastAsia="Calibri" w:hAnsi="Times New Roman" w:cs="Times New Roman"/>
            <w:iCs/>
            <w:noProof/>
            <w:sz w:val="20"/>
            <w:szCs w:val="20"/>
          </w:rPr>
          <w:t>Tabuľka 27 - Vplyv daňových kreditov na rozpočet (ESA 2010, v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2" w:history="1">
        <w:r w:rsidR="00851FEA" w:rsidRPr="00851FEA">
          <w:rPr>
            <w:rStyle w:val="Hypertextovprepojenie"/>
            <w:rFonts w:ascii="Times New Roman" w:eastAsia="Calibri" w:hAnsi="Times New Roman" w:cs="Times New Roman"/>
            <w:iCs/>
            <w:noProof/>
            <w:sz w:val="20"/>
            <w:szCs w:val="20"/>
          </w:rPr>
          <w:t>Tabuľka 28 - Vplyv prevodu prostriedkov na verejnoprospešný účel (VPÚ) na rozpočet (ESA 2010, v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3" w:history="1">
        <w:r w:rsidR="00851FEA" w:rsidRPr="00851FEA">
          <w:rPr>
            <w:rStyle w:val="Hypertextovprepojenie"/>
            <w:rFonts w:ascii="Times New Roman" w:eastAsia="Arial Narrow" w:hAnsi="Times New Roman" w:cs="Times New Roman"/>
            <w:bCs/>
            <w:noProof/>
            <w:sz w:val="20"/>
            <w:szCs w:val="20"/>
            <w:bdr w:val="nil"/>
            <w:lang w:eastAsia="sk-SK"/>
          </w:rPr>
          <w:t>Tabuľka 29 – Prognóza vybraných nedaňových príjmov verejnej 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4" w:history="1">
        <w:r w:rsidR="00851FEA" w:rsidRPr="00851FEA">
          <w:rPr>
            <w:rStyle w:val="Hypertextovprepojenie"/>
            <w:rFonts w:ascii="Times New Roman" w:hAnsi="Times New Roman" w:cs="Times New Roman"/>
            <w:noProof/>
            <w:sz w:val="20"/>
            <w:szCs w:val="20"/>
          </w:rPr>
          <w:t>Tabuľka 30 - Iné ako daňové príjmy rozpočtu verejnej 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5" w:history="1">
        <w:r w:rsidR="00851FEA" w:rsidRPr="00851FEA">
          <w:rPr>
            <w:rStyle w:val="Hypertextovprepojenie"/>
            <w:rFonts w:ascii="Times New Roman" w:hAnsi="Times New Roman" w:cs="Times New Roman"/>
            <w:noProof/>
            <w:sz w:val="20"/>
            <w:szCs w:val="20"/>
          </w:rPr>
          <w:t>Tabuľka 31 - Iné ako daňové príjmy štátneho rozpočtu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6" w:history="1">
        <w:r w:rsidR="00851FEA" w:rsidRPr="00851FEA">
          <w:rPr>
            <w:rStyle w:val="Hypertextovprepojenie"/>
            <w:rFonts w:ascii="Times New Roman" w:hAnsi="Times New Roman" w:cs="Times New Roman"/>
            <w:noProof/>
            <w:sz w:val="20"/>
            <w:szCs w:val="20"/>
          </w:rPr>
          <w:t>Tabuľka 32 - Nedaňové príjmy štátneho rozpočtu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7" w:history="1">
        <w:r w:rsidR="00851FEA" w:rsidRPr="00851FEA">
          <w:rPr>
            <w:rStyle w:val="Hypertextovprepojenie"/>
            <w:rFonts w:ascii="Times New Roman" w:hAnsi="Times New Roman" w:cs="Times New Roman"/>
            <w:noProof/>
            <w:sz w:val="20"/>
            <w:szCs w:val="20"/>
          </w:rPr>
          <w:t>Tabuľka 33 - Príjmy štátneho rozpočtu z dividend</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8" w:history="1">
        <w:r w:rsidR="00851FEA" w:rsidRPr="00851FEA">
          <w:rPr>
            <w:rStyle w:val="Hypertextovprepojenie"/>
            <w:rFonts w:ascii="Times New Roman" w:hAnsi="Times New Roman" w:cs="Times New Roman"/>
            <w:noProof/>
            <w:sz w:val="20"/>
            <w:szCs w:val="20"/>
          </w:rPr>
          <w:t xml:space="preserve">Tabuľka 34 </w:t>
        </w:r>
        <w:r w:rsidR="00851FEA" w:rsidRPr="00851FEA">
          <w:rPr>
            <w:rStyle w:val="Hypertextovprepojenie"/>
            <w:rFonts w:ascii="Times New Roman" w:eastAsia="Times New Roman" w:hAnsi="Times New Roman" w:cs="Times New Roman"/>
            <w:bCs/>
            <w:noProof/>
            <w:sz w:val="20"/>
            <w:szCs w:val="20"/>
            <w:lang w:eastAsia="sk-SK"/>
          </w:rPr>
          <w:t>- Výdavky na zabezpečenie vykonávania všeobecne prospešných služieb</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49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59" w:history="1">
        <w:r w:rsidR="00851FEA" w:rsidRPr="00851FEA">
          <w:rPr>
            <w:rStyle w:val="Hypertextovprepojenie"/>
            <w:rFonts w:ascii="Times New Roman" w:hAnsi="Times New Roman" w:cs="Times New Roman"/>
            <w:noProof/>
            <w:sz w:val="20"/>
            <w:szCs w:val="20"/>
          </w:rPr>
          <w:t>Tabuľka 35 - Príjmy štátneho rozpočtu z grantov a transferov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_Toc84845259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0" w:history="1">
        <w:r w:rsidR="00851FEA" w:rsidRPr="00851FEA">
          <w:rPr>
            <w:rStyle w:val="Hypertextovprepojenie"/>
            <w:rFonts w:ascii="Times New Roman" w:hAnsi="Times New Roman" w:cs="Times New Roman"/>
            <w:noProof/>
            <w:sz w:val="20"/>
            <w:szCs w:val="20"/>
          </w:rPr>
          <w:t>Tabuľka 36 - Príjmy štátneho rozpočtu zo zahraničných transferov – prostriedkov z rozpočtu EÚ</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1" w:history="1">
        <w:r w:rsidR="00851FEA" w:rsidRPr="00851FEA">
          <w:rPr>
            <w:rStyle w:val="Hypertextovprepojenie"/>
            <w:rFonts w:ascii="Times New Roman" w:hAnsi="Times New Roman" w:cs="Times New Roman"/>
            <w:noProof/>
            <w:sz w:val="20"/>
            <w:szCs w:val="20"/>
          </w:rPr>
          <w:t>Tabuľka 37 - Iné ako daňové príjmy ostatných subjektov ústrednej 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2" w:history="1">
        <w:r w:rsidR="00851FEA" w:rsidRPr="00851FEA">
          <w:rPr>
            <w:rStyle w:val="Hypertextovprepojenie"/>
            <w:rFonts w:ascii="Times New Roman" w:hAnsi="Times New Roman" w:cs="Times New Roman"/>
            <w:noProof/>
            <w:sz w:val="20"/>
            <w:szCs w:val="20"/>
          </w:rPr>
          <w:t>Tabuľka 38 - Nedaňové príjmy ostatných subjektov ústrednej 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3" w:history="1">
        <w:r w:rsidR="00851FEA" w:rsidRPr="00851FEA">
          <w:rPr>
            <w:rStyle w:val="Hypertextovprepojenie"/>
            <w:rFonts w:ascii="Times New Roman" w:hAnsi="Times New Roman" w:cs="Times New Roman"/>
            <w:noProof/>
            <w:sz w:val="20"/>
            <w:szCs w:val="20"/>
          </w:rPr>
          <w:t>Tabuľka 39 - Príjmy ostatných subjektov ústrednej správy z grantov a transferov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4" w:history="1">
        <w:r w:rsidR="00851FEA" w:rsidRPr="00851FEA">
          <w:rPr>
            <w:rStyle w:val="Hypertextovprepojenie"/>
            <w:rFonts w:ascii="Times New Roman" w:hAnsi="Times New Roman" w:cs="Times New Roman"/>
            <w:noProof/>
            <w:sz w:val="20"/>
            <w:szCs w:val="20"/>
          </w:rPr>
          <w:t>Tabuľka 40 - Iné ako daňové príjmy vo fondoch sociálneho poistenia a fondoch zdravotného poistenia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5" w:history="1">
        <w:r w:rsidR="00851FEA" w:rsidRPr="00851FEA">
          <w:rPr>
            <w:rStyle w:val="Hypertextovprepojenie"/>
            <w:rFonts w:ascii="Times New Roman" w:hAnsi="Times New Roman" w:cs="Times New Roman"/>
            <w:noProof/>
            <w:sz w:val="20"/>
            <w:szCs w:val="20"/>
          </w:rPr>
          <w:t>Tabuľka 41 - Iné ako daňové príjmy územnej samosprávy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6" w:history="1">
        <w:r w:rsidR="00851FEA" w:rsidRPr="00851FEA">
          <w:rPr>
            <w:rStyle w:val="Hypertextovprepojenie"/>
            <w:rFonts w:ascii="Times New Roman" w:hAnsi="Times New Roman" w:cs="Times New Roman"/>
            <w:noProof/>
            <w:sz w:val="20"/>
            <w:szCs w:val="20"/>
          </w:rPr>
          <w:t>Tabuľka 42 - Nedaňové príjmy územnej samosprávy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7" w:history="1">
        <w:r w:rsidR="00851FEA" w:rsidRPr="00851FEA">
          <w:rPr>
            <w:rStyle w:val="Hypertextovprepojenie"/>
            <w:rFonts w:ascii="Times New Roman" w:hAnsi="Times New Roman" w:cs="Times New Roman"/>
            <w:noProof/>
            <w:sz w:val="20"/>
            <w:szCs w:val="20"/>
          </w:rPr>
          <w:t>Tabuľka 43 - Príjmy územnej samosprávy z grantov a transferov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8" w:history="1">
        <w:r w:rsidR="00851FEA" w:rsidRPr="00851FEA">
          <w:rPr>
            <w:rStyle w:val="Hypertextovprepojenie"/>
            <w:rFonts w:ascii="Times New Roman" w:hAnsi="Times New Roman" w:cs="Times New Roman"/>
            <w:noProof/>
            <w:sz w:val="20"/>
            <w:szCs w:val="20"/>
          </w:rPr>
          <w:t>Tabuľka 44 - Príjmy samostatných účtov štátnych rozpočtových organizácií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69" w:history="1">
        <w:r w:rsidR="00851FEA" w:rsidRPr="00851FEA">
          <w:rPr>
            <w:rStyle w:val="Hypertextovprepojenie"/>
            <w:rFonts w:ascii="Times New Roman" w:hAnsi="Times New Roman" w:cs="Times New Roman"/>
            <w:noProof/>
            <w:sz w:val="20"/>
            <w:szCs w:val="20"/>
          </w:rPr>
          <w:t>Tabuľka 45 - Prehľad daňových výdavkov podľa typu dane alebo poistného (ESA 2010,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_Toc84845269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59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0" w:history="1">
        <w:r w:rsidR="00851FEA" w:rsidRPr="00851FEA">
          <w:rPr>
            <w:rStyle w:val="Hypertextovprepojenie"/>
            <w:rFonts w:ascii="Times New Roman" w:hAnsi="Times New Roman" w:cs="Times New Roman"/>
            <w:noProof/>
            <w:sz w:val="20"/>
            <w:szCs w:val="20"/>
          </w:rPr>
          <w:t>Tabuľka 46 - Zmena daňových výdavkov oproti RVS 2021 - 2023 podľa typu dane alebo poistného (ESA 2010,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1" w:history="1">
        <w:r w:rsidR="00851FEA" w:rsidRPr="00851FEA">
          <w:rPr>
            <w:rStyle w:val="Hypertextovprepojenie"/>
            <w:rFonts w:ascii="Times New Roman" w:hAnsi="Times New Roman" w:cs="Times New Roman"/>
            <w:noProof/>
            <w:sz w:val="20"/>
            <w:szCs w:val="20"/>
          </w:rPr>
          <w:t>Tabuľka 47 - Prehľad daňových výdavkov podľa ich účelu (ESA 2010, tis.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2" w:history="1">
        <w:r w:rsidR="00851FEA" w:rsidRPr="00851FEA">
          <w:rPr>
            <w:rStyle w:val="Hypertextovprepojenie"/>
            <w:rFonts w:ascii="Times New Roman" w:hAnsi="Times New Roman" w:cs="Times New Roman"/>
            <w:noProof/>
            <w:sz w:val="20"/>
            <w:szCs w:val="20"/>
          </w:rPr>
          <w:t>Tabuľka 48 - Zamestnanosť vo verejnej správe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3" w:history="1">
        <w:r w:rsidR="00851FEA" w:rsidRPr="00851FEA">
          <w:rPr>
            <w:rStyle w:val="Hypertextovprepojenie"/>
            <w:rFonts w:ascii="Times New Roman" w:hAnsi="Times New Roman" w:cs="Times New Roman"/>
            <w:noProof/>
            <w:sz w:val="20"/>
            <w:szCs w:val="20"/>
          </w:rPr>
          <w:t>Tabuľka 49 - Ukazovatele zamestnanosti v subjektoch verejnej 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4" w:history="1">
        <w:r w:rsidR="00851FEA" w:rsidRPr="00851FEA">
          <w:rPr>
            <w:rStyle w:val="Hypertextovprepojenie"/>
            <w:rFonts w:ascii="Times New Roman" w:hAnsi="Times New Roman" w:cs="Times New Roman"/>
            <w:noProof/>
            <w:sz w:val="20"/>
            <w:szCs w:val="20"/>
          </w:rPr>
          <w:t>Tabuľka 50 – Celková výška kapitálových výdavkov (v mil.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5" w:history="1">
        <w:r w:rsidR="00851FEA" w:rsidRPr="00851FEA">
          <w:rPr>
            <w:rStyle w:val="Hypertextovprepojenie"/>
            <w:rFonts w:ascii="Times New Roman" w:hAnsi="Times New Roman" w:cs="Times New Roman"/>
            <w:noProof/>
            <w:sz w:val="20"/>
            <w:szCs w:val="20"/>
          </w:rPr>
          <w:t>Tabuľka 51 -</w:t>
        </w:r>
        <w:r w:rsidR="00851FEA" w:rsidRPr="00851FEA">
          <w:rPr>
            <w:rStyle w:val="Hypertextovprepojenie"/>
            <w:rFonts w:ascii="Times New Roman" w:hAnsi="Times New Roman" w:cs="Times New Roman"/>
            <w:i/>
            <w:noProof/>
            <w:sz w:val="20"/>
            <w:szCs w:val="20"/>
          </w:rPr>
          <w:t xml:space="preserve"> </w:t>
        </w:r>
        <w:r w:rsidR="00851FEA" w:rsidRPr="00851FEA">
          <w:rPr>
            <w:rStyle w:val="Hypertextovprepojenie"/>
            <w:rFonts w:ascii="Times New Roman" w:hAnsi="Times New Roman" w:cs="Times New Roman"/>
            <w:noProof/>
            <w:sz w:val="20"/>
            <w:szCs w:val="20"/>
          </w:rPr>
          <w:t>Stav vypracovania metodík a investičných plánov kapitol s priemernými kapitálovými výdavkami nad 20 mil. eur ročne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6" w:history="1">
        <w:r w:rsidR="00851FEA" w:rsidRPr="00851FEA">
          <w:rPr>
            <w:rStyle w:val="Hypertextovprepojenie"/>
            <w:rFonts w:ascii="Times New Roman" w:hAnsi="Times New Roman" w:cs="Times New Roman"/>
            <w:noProof/>
            <w:sz w:val="20"/>
            <w:szCs w:val="20"/>
          </w:rPr>
          <w:t>Tabuľka 52 - Prehľad finančných alokácii reforiem a investícii plánu obnovy na roky 2022 - 2024</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7" w:history="1">
        <w:r w:rsidR="00851FEA" w:rsidRPr="00851FEA">
          <w:rPr>
            <w:rStyle w:val="Hypertextovprepojenie"/>
            <w:rFonts w:ascii="Times New Roman" w:hAnsi="Times New Roman" w:cs="Times New Roman"/>
            <w:noProof/>
            <w:sz w:val="20"/>
            <w:szCs w:val="20"/>
          </w:rPr>
          <w:t>Tabuľka 53</w:t>
        </w:r>
        <w:r w:rsidR="00851FEA" w:rsidRPr="00851FEA">
          <w:rPr>
            <w:rStyle w:val="Hypertextovprepojenie"/>
            <w:rFonts w:ascii="Times New Roman" w:hAnsi="Times New Roman" w:cs="Times New Roman"/>
            <w:iCs/>
            <w:noProof/>
            <w:sz w:val="20"/>
            <w:szCs w:val="20"/>
          </w:rPr>
          <w:t xml:space="preserve"> - Kľúčové ukazovatele vzdelávania, vedy, výskumu a športu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8" w:history="1">
        <w:r w:rsidR="00851FEA" w:rsidRPr="00851FEA">
          <w:rPr>
            <w:rStyle w:val="Hypertextovprepojenie"/>
            <w:rFonts w:ascii="Times New Roman" w:hAnsi="Times New Roman" w:cs="Times New Roman"/>
            <w:iCs/>
            <w:noProof/>
            <w:sz w:val="20"/>
            <w:szCs w:val="20"/>
          </w:rPr>
          <w:t>Tabuľka 54 - Výdavky na vzdelávanie, vedu, výskum a šport</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79" w:history="1">
        <w:r w:rsidR="00851FEA" w:rsidRPr="00851FEA">
          <w:rPr>
            <w:rStyle w:val="Hypertextovprepojenie"/>
            <w:rFonts w:ascii="Times New Roman" w:hAnsi="Times New Roman" w:cs="Times New Roman"/>
            <w:iCs/>
            <w:noProof/>
            <w:sz w:val="20"/>
            <w:szCs w:val="20"/>
          </w:rPr>
          <w:t>Tabuľka 55 - Výdavky na regionálne školstvo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_Toc84845279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0" w:history="1">
        <w:r w:rsidR="00851FEA" w:rsidRPr="00851FEA">
          <w:rPr>
            <w:rStyle w:val="Hypertextovprepojenie"/>
            <w:rFonts w:ascii="Times New Roman" w:hAnsi="Times New Roman" w:cs="Times New Roman"/>
            <w:iCs/>
            <w:noProof/>
            <w:sz w:val="20"/>
            <w:szCs w:val="20"/>
          </w:rPr>
          <w:t>Tabuľka 56 - Prehľad počtu žiakov ZŠ a SŠ a výdavkov na jedného žiaka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1" w:history="1">
        <w:r w:rsidR="00851FEA" w:rsidRPr="00851FEA">
          <w:rPr>
            <w:rStyle w:val="Hypertextovprepojenie"/>
            <w:rFonts w:ascii="Times New Roman" w:hAnsi="Times New Roman" w:cs="Times New Roman"/>
            <w:iCs/>
            <w:noProof/>
            <w:sz w:val="20"/>
            <w:szCs w:val="20"/>
          </w:rPr>
          <w:t>Tabuľka 57 - Zamestnanosť v regionálnom školstve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2" w:history="1">
        <w:r w:rsidR="00851FEA" w:rsidRPr="00851FEA">
          <w:rPr>
            <w:rStyle w:val="Hypertextovprepojenie"/>
            <w:rFonts w:ascii="Times New Roman" w:hAnsi="Times New Roman" w:cs="Times New Roman"/>
            <w:iCs/>
            <w:noProof/>
            <w:sz w:val="20"/>
            <w:szCs w:val="20"/>
          </w:rPr>
          <w:t>Tabuľka 58 - Výdavky na vysoké školstvo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3" w:history="1">
        <w:r w:rsidR="00851FEA" w:rsidRPr="00851FEA">
          <w:rPr>
            <w:rStyle w:val="Hypertextovprepojenie"/>
            <w:rFonts w:ascii="Times New Roman" w:hAnsi="Times New Roman" w:cs="Times New Roman"/>
            <w:iCs/>
            <w:noProof/>
            <w:sz w:val="20"/>
            <w:szCs w:val="20"/>
          </w:rPr>
          <w:t>Tabuľka 59 - Zamestnanosť vo verejných vysokých školách</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4" w:history="1">
        <w:r w:rsidR="00851FEA" w:rsidRPr="00851FEA">
          <w:rPr>
            <w:rStyle w:val="Hypertextovprepojenie"/>
            <w:rFonts w:ascii="Times New Roman" w:hAnsi="Times New Roman" w:cs="Times New Roman"/>
            <w:iCs/>
            <w:noProof/>
            <w:sz w:val="20"/>
            <w:szCs w:val="20"/>
          </w:rPr>
          <w:t>Tabuľka 60 - Výdavky na rezortné vysoké školstvo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5" w:history="1">
        <w:r w:rsidR="00851FEA" w:rsidRPr="00851FEA">
          <w:rPr>
            <w:rStyle w:val="Hypertextovprepojenie"/>
            <w:rFonts w:ascii="Times New Roman" w:hAnsi="Times New Roman" w:cs="Times New Roman"/>
            <w:iCs/>
            <w:noProof/>
            <w:sz w:val="20"/>
            <w:szCs w:val="20"/>
          </w:rPr>
          <w:t>Tabuľka 61 - Prehľad počtu študentov verejných vysokých škôl</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6" w:history="1">
        <w:r w:rsidR="00851FEA" w:rsidRPr="00851FEA">
          <w:rPr>
            <w:rStyle w:val="Hypertextovprepojenie"/>
            <w:rFonts w:ascii="Times New Roman" w:hAnsi="Times New Roman" w:cs="Times New Roman"/>
            <w:iCs/>
            <w:noProof/>
            <w:sz w:val="20"/>
            <w:szCs w:val="20"/>
          </w:rPr>
          <w:t>Tabuľka 62 - Výdavky na vedu a techniku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7" w:history="1">
        <w:r w:rsidR="00851FEA" w:rsidRPr="00851FEA">
          <w:rPr>
            <w:rStyle w:val="Hypertextovprepojenie"/>
            <w:rFonts w:ascii="Times New Roman" w:hAnsi="Times New Roman" w:cs="Times New Roman"/>
            <w:iCs/>
            <w:noProof/>
            <w:sz w:val="20"/>
            <w:szCs w:val="20"/>
          </w:rPr>
          <w:t>Tabuľka 63 - Výdavky na šport</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8" w:history="1">
        <w:r w:rsidR="00851FEA" w:rsidRPr="00851FEA">
          <w:rPr>
            <w:rStyle w:val="Hypertextovprepojenie"/>
            <w:rFonts w:ascii="Times New Roman" w:hAnsi="Times New Roman" w:cs="Times New Roman"/>
            <w:iCs/>
            <w:noProof/>
            <w:sz w:val="20"/>
            <w:szCs w:val="20"/>
          </w:rPr>
          <w:t>Tabuľka 64 - Výdavky na administratívu a ostatné činnosti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89" w:history="1">
        <w:r w:rsidR="00851FEA" w:rsidRPr="00851FEA">
          <w:rPr>
            <w:rStyle w:val="Hypertextovprepojenie"/>
            <w:rFonts w:ascii="Times New Roman" w:hAnsi="Times New Roman" w:cs="Times New Roman"/>
            <w:noProof/>
            <w:sz w:val="20"/>
            <w:szCs w:val="20"/>
          </w:rPr>
          <w:t>Tabuľka 65</w:t>
        </w:r>
        <w:r w:rsidR="00851FEA" w:rsidRPr="00851FEA">
          <w:rPr>
            <w:rStyle w:val="Hypertextovprepojenie"/>
            <w:rFonts w:ascii="Times New Roman" w:hAnsi="Times New Roman" w:cs="Times New Roman"/>
            <w:iCs/>
            <w:noProof/>
            <w:sz w:val="20"/>
            <w:szCs w:val="20"/>
          </w:rPr>
          <w:t>- Výdavky zo štrukturálnych fondov vrátane spolufinancovania zo štátneho rozpočtu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_Toc84845289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0" w:history="1">
        <w:r w:rsidR="00851FEA" w:rsidRPr="00851FEA">
          <w:rPr>
            <w:rStyle w:val="Hypertextovprepojenie"/>
            <w:rFonts w:ascii="Times New Roman" w:hAnsi="Times New Roman" w:cs="Times New Roman"/>
            <w:noProof/>
            <w:sz w:val="20"/>
            <w:szCs w:val="20"/>
          </w:rPr>
          <w:t>Tabuľka 66 - Kľúčové ukazovatele v oblasti dopravy, bývania a cestovného ruchu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1" w:history="1">
        <w:r w:rsidR="00851FEA" w:rsidRPr="00851FEA">
          <w:rPr>
            <w:rStyle w:val="Hypertextovprepojenie"/>
            <w:rFonts w:ascii="Times New Roman" w:hAnsi="Times New Roman" w:cs="Times New Roman"/>
            <w:noProof/>
            <w:sz w:val="20"/>
            <w:szCs w:val="20"/>
          </w:rPr>
          <w:t>Tabuľka 67 – Výdavky na dopravu a bývanie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2" w:history="1">
        <w:r w:rsidR="00851FEA" w:rsidRPr="00851FEA">
          <w:rPr>
            <w:rStyle w:val="Hypertextovprepojenie"/>
            <w:rFonts w:ascii="Times New Roman" w:hAnsi="Times New Roman" w:cs="Times New Roman"/>
            <w:noProof/>
            <w:sz w:val="20"/>
            <w:szCs w:val="20"/>
          </w:rPr>
          <w:t>Tabuľka 68 – Výdavky na podporu rozvoja bývania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3" w:history="1">
        <w:r w:rsidR="00851FEA" w:rsidRPr="00851FEA">
          <w:rPr>
            <w:rStyle w:val="Hypertextovprepojenie"/>
            <w:rFonts w:ascii="Times New Roman" w:hAnsi="Times New Roman" w:cs="Times New Roman"/>
            <w:noProof/>
            <w:sz w:val="20"/>
            <w:szCs w:val="20"/>
          </w:rPr>
          <w:t>Tabuľka 69 – Výdavky na administratívu a ostatné činnosti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4" w:history="1">
        <w:r w:rsidR="00851FEA" w:rsidRPr="00851FEA">
          <w:rPr>
            <w:rStyle w:val="Hypertextovprepojenie"/>
            <w:rFonts w:ascii="Times New Roman" w:hAnsi="Times New Roman" w:cs="Times New Roman"/>
            <w:noProof/>
            <w:sz w:val="20"/>
            <w:szCs w:val="20"/>
          </w:rPr>
          <w:t>Tabuľka 70 - Kľúčové ukazovatele sociálneho zabezpečenia a podpory zamestnanosti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5" w:history="1">
        <w:r w:rsidR="00851FEA" w:rsidRPr="00851FEA">
          <w:rPr>
            <w:rStyle w:val="Hypertextovprepojenie"/>
            <w:rFonts w:ascii="Times New Roman" w:hAnsi="Times New Roman" w:cs="Times New Roman"/>
            <w:noProof/>
            <w:sz w:val="20"/>
            <w:szCs w:val="20"/>
          </w:rPr>
          <w:t>Tabuľka 71 - Celkové výdavky oblasti sociálne veci a podpora zamestnanosti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6" w:history="1">
        <w:r w:rsidR="00851FEA" w:rsidRPr="00851FEA">
          <w:rPr>
            <w:rStyle w:val="Hypertextovprepojenie"/>
            <w:rFonts w:ascii="Times New Roman" w:hAnsi="Times New Roman" w:cs="Times New Roman"/>
            <w:noProof/>
            <w:sz w:val="20"/>
            <w:szCs w:val="20"/>
          </w:rPr>
          <w:t>Tabuľka 72 - Výdavky programu 07C Sociálna inklúzia zo štátneho rozpočtu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7" w:history="1">
        <w:r w:rsidR="00851FEA" w:rsidRPr="00851FEA">
          <w:rPr>
            <w:rStyle w:val="Hypertextovprepojenie"/>
            <w:rFonts w:ascii="Times New Roman" w:hAnsi="Times New Roman" w:cs="Times New Roman"/>
            <w:noProof/>
            <w:sz w:val="20"/>
            <w:szCs w:val="20"/>
          </w:rPr>
          <w:t>Tabuľka 73 – Výdavky na podporu zamestnanosti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8" w:history="1">
        <w:r w:rsidR="00851FEA" w:rsidRPr="00851FEA">
          <w:rPr>
            <w:rStyle w:val="Hypertextovprepojenie"/>
            <w:rFonts w:ascii="Times New Roman" w:hAnsi="Times New Roman" w:cs="Times New Roman"/>
            <w:noProof/>
            <w:sz w:val="20"/>
            <w:szCs w:val="20"/>
          </w:rPr>
          <w:t>Tabuľka 74 - Výdavky organizácií pôsobiacich v oblasti sociálnych vecí a podpory zamestnanosti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299" w:history="1">
        <w:r w:rsidR="00851FEA" w:rsidRPr="00851FEA">
          <w:rPr>
            <w:rStyle w:val="Hypertextovprepojenie"/>
            <w:rFonts w:ascii="Times New Roman" w:hAnsi="Times New Roman" w:cs="Times New Roman"/>
            <w:noProof/>
            <w:sz w:val="20"/>
            <w:szCs w:val="20"/>
          </w:rPr>
          <w:t>Tabuľka 75 - Výdavky Sociálnej poisťovne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_Toc84845299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0" w:history="1">
        <w:r w:rsidR="00851FEA" w:rsidRPr="00851FEA">
          <w:rPr>
            <w:rStyle w:val="Hypertextovprepojenie"/>
            <w:rFonts w:ascii="Times New Roman" w:eastAsia="Times New Roman" w:hAnsi="Times New Roman" w:cs="Times New Roman"/>
            <w:iCs/>
            <w:noProof/>
            <w:sz w:val="20"/>
            <w:szCs w:val="20"/>
            <w:lang w:eastAsia="cs-CZ"/>
          </w:rPr>
          <w:t>Tabuľka 76 - Kľúčové ukazovatele zdravotníctva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1" w:history="1">
        <w:r w:rsidR="00851FEA" w:rsidRPr="00851FEA">
          <w:rPr>
            <w:rStyle w:val="Hypertextovprepojenie"/>
            <w:rFonts w:ascii="Times New Roman" w:hAnsi="Times New Roman" w:cs="Times New Roman"/>
            <w:iCs/>
            <w:noProof/>
            <w:sz w:val="20"/>
            <w:szCs w:val="20"/>
          </w:rPr>
          <w:t>Tabuľka 77 - Celkové výdavky na zdravotníctvo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2" w:history="1">
        <w:r w:rsidR="00851FEA" w:rsidRPr="00851FEA">
          <w:rPr>
            <w:rStyle w:val="Hypertextovprepojenie"/>
            <w:rFonts w:ascii="Times New Roman" w:hAnsi="Times New Roman" w:cs="Times New Roman"/>
            <w:noProof/>
            <w:sz w:val="20"/>
            <w:szCs w:val="20"/>
          </w:rPr>
          <w:t xml:space="preserve">Tabuľka 78 </w:t>
        </w:r>
        <w:r w:rsidR="00851FEA" w:rsidRPr="00851FEA">
          <w:rPr>
            <w:rStyle w:val="Hypertextovprepojenie"/>
            <w:rFonts w:ascii="Times New Roman" w:hAnsi="Times New Roman" w:cs="Times New Roman"/>
            <w:iCs/>
            <w:noProof/>
            <w:sz w:val="20"/>
            <w:szCs w:val="20"/>
          </w:rPr>
          <w:t xml:space="preserve">- Rozpočet 2022 a </w:t>
        </w:r>
        <w:r w:rsidR="00851FEA" w:rsidRPr="00851FEA">
          <w:rPr>
            <w:rStyle w:val="Hypertextovprepojenie"/>
            <w:rFonts w:ascii="Times New Roman" w:hAnsi="Times New Roman" w:cs="Times New Roman"/>
            <w:noProof/>
            <w:sz w:val="20"/>
            <w:szCs w:val="20"/>
          </w:rPr>
          <w:t>zmeny výdavkov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3" w:history="1">
        <w:r w:rsidR="00851FEA" w:rsidRPr="00851FEA">
          <w:rPr>
            <w:rStyle w:val="Hypertextovprepojenie"/>
            <w:rFonts w:ascii="Times New Roman" w:hAnsi="Times New Roman" w:cs="Times New Roman"/>
            <w:noProof/>
            <w:sz w:val="20"/>
            <w:szCs w:val="20"/>
          </w:rPr>
          <w:t>Tabuľka 79 - Rozpočet podľa vecných oblastí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4" w:history="1">
        <w:r w:rsidR="00851FEA" w:rsidRPr="00851FEA">
          <w:rPr>
            <w:rStyle w:val="Hypertextovprepojenie"/>
            <w:rFonts w:ascii="Times New Roman" w:hAnsi="Times New Roman" w:cs="Times New Roman"/>
            <w:iCs/>
            <w:noProof/>
            <w:sz w:val="20"/>
            <w:szCs w:val="20"/>
          </w:rPr>
          <w:t>Tabuľka 80 -  Zmeny výdavkov voči roku 2021 - VZP - bez zmien politík</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5" w:history="1">
        <w:r w:rsidR="00851FEA" w:rsidRPr="00851FEA">
          <w:rPr>
            <w:rStyle w:val="Hypertextovprepojenie"/>
            <w:rFonts w:ascii="Times New Roman" w:hAnsi="Times New Roman" w:cs="Times New Roman"/>
            <w:iCs/>
            <w:noProof/>
            <w:sz w:val="20"/>
            <w:szCs w:val="20"/>
          </w:rPr>
          <w:t>Tabuľka 81 - Zmeny výdavkov voči roku 2021 - VZP - zmeny politík</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6" w:history="1">
        <w:r w:rsidR="00851FEA" w:rsidRPr="00851FEA">
          <w:rPr>
            <w:rStyle w:val="Hypertextovprepojenie"/>
            <w:rFonts w:ascii="Times New Roman" w:hAnsi="Times New Roman" w:cs="Times New Roman"/>
            <w:iCs/>
            <w:noProof/>
            <w:sz w:val="20"/>
            <w:szCs w:val="20"/>
          </w:rPr>
          <w:t>Tabuľka 82 - Zmena výdavkov voči roku 2021 - VZP - úsporné opatrenia - Hodnota za peniaze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7" w:history="1">
        <w:r w:rsidR="00851FEA" w:rsidRPr="00851FEA">
          <w:rPr>
            <w:rStyle w:val="Hypertextovprepojenie"/>
            <w:rFonts w:ascii="Times New Roman" w:hAnsi="Times New Roman" w:cs="Times New Roman"/>
            <w:iCs/>
            <w:noProof/>
            <w:sz w:val="20"/>
            <w:szCs w:val="20"/>
          </w:rPr>
          <w:t>Tabuľka 83 - Výdavky zdravotníckych zariadení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8" w:history="1">
        <w:r w:rsidR="00851FEA" w:rsidRPr="00851FEA">
          <w:rPr>
            <w:rStyle w:val="Hypertextovprepojenie"/>
            <w:rFonts w:ascii="Times New Roman" w:hAnsi="Times New Roman" w:cs="Times New Roman"/>
            <w:iCs/>
            <w:noProof/>
            <w:sz w:val="20"/>
            <w:szCs w:val="20"/>
          </w:rPr>
          <w:t>Tabuľka 84 – Príspevok na činnosť Národného inštitútu pre hodnotu a technológie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09" w:history="1">
        <w:r w:rsidR="00851FEA" w:rsidRPr="00851FEA">
          <w:rPr>
            <w:rStyle w:val="Hypertextovprepojenie"/>
            <w:rFonts w:ascii="Times New Roman" w:hAnsi="Times New Roman" w:cs="Times New Roman"/>
            <w:iCs/>
            <w:noProof/>
            <w:sz w:val="20"/>
            <w:szCs w:val="20"/>
          </w:rPr>
          <w:t>Tabuľka 85 - Výdavky Úradu pre dohľad nad zdravotnou starostlivosťou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_Toc84845309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0" w:history="1">
        <w:r w:rsidR="00851FEA" w:rsidRPr="00851FEA">
          <w:rPr>
            <w:rStyle w:val="Hypertextovprepojenie"/>
            <w:rFonts w:ascii="Times New Roman" w:hAnsi="Times New Roman" w:cs="Times New Roman"/>
            <w:iCs/>
            <w:noProof/>
            <w:sz w:val="20"/>
            <w:szCs w:val="20"/>
          </w:rPr>
          <w:t>Tabuľka 86 - Kľúčové ukazovatele pôdohospodárstva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1" w:history="1">
        <w:r w:rsidR="00851FEA" w:rsidRPr="00851FEA">
          <w:rPr>
            <w:rStyle w:val="Hypertextovprepojenie"/>
            <w:rFonts w:ascii="Times New Roman" w:hAnsi="Times New Roman" w:cs="Times New Roman"/>
            <w:iCs/>
            <w:noProof/>
            <w:sz w:val="20"/>
            <w:szCs w:val="20"/>
          </w:rPr>
          <w:t>Tabuľka 87 – Výdavky na pôdohospodárstvo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2" w:history="1">
        <w:r w:rsidR="00851FEA" w:rsidRPr="00851FEA">
          <w:rPr>
            <w:rStyle w:val="Hypertextovprepojenie"/>
            <w:rFonts w:ascii="Times New Roman" w:hAnsi="Times New Roman" w:cs="Times New Roman"/>
            <w:noProof/>
            <w:sz w:val="20"/>
            <w:szCs w:val="20"/>
          </w:rPr>
          <w:t>Tabuľka 88</w:t>
        </w:r>
        <w:r w:rsidR="00851FEA" w:rsidRPr="00851FEA">
          <w:rPr>
            <w:rStyle w:val="Hypertextovprepojenie"/>
            <w:rFonts w:ascii="Times New Roman" w:hAnsi="Times New Roman" w:cs="Times New Roman"/>
            <w:iCs/>
            <w:noProof/>
            <w:sz w:val="20"/>
            <w:szCs w:val="20"/>
          </w:rPr>
          <w:t xml:space="preserve"> - Oblasti výdavkov kapitoly MPRV SR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3" w:history="1">
        <w:r w:rsidR="00851FEA" w:rsidRPr="00851FEA">
          <w:rPr>
            <w:rStyle w:val="Hypertextovprepojenie"/>
            <w:rFonts w:ascii="Times New Roman" w:hAnsi="Times New Roman" w:cs="Times New Roman"/>
            <w:noProof/>
            <w:sz w:val="20"/>
            <w:szCs w:val="20"/>
          </w:rPr>
          <w:t>Tabuľka 89 - Výdavky na inštitucionálnu podporu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4" w:history="1">
        <w:r w:rsidR="00851FEA" w:rsidRPr="00851FEA">
          <w:rPr>
            <w:rStyle w:val="Hypertextovprepojenie"/>
            <w:rFonts w:ascii="Times New Roman" w:hAnsi="Times New Roman" w:cs="Times New Roman"/>
            <w:noProof/>
            <w:sz w:val="20"/>
            <w:szCs w:val="20"/>
          </w:rPr>
          <w:t>Tabuľka 90 – Výdavky na verejný poriadok a bezpečnosť</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5" w:history="1">
        <w:r w:rsidR="00851FEA" w:rsidRPr="00851FEA">
          <w:rPr>
            <w:rStyle w:val="Hypertextovprepojenie"/>
            <w:rFonts w:ascii="Times New Roman" w:hAnsi="Times New Roman" w:cs="Times New Roman"/>
            <w:noProof/>
            <w:sz w:val="20"/>
            <w:szCs w:val="20"/>
          </w:rPr>
          <w:t>Tabuľka 91 - Kľúčové ukazovatele bezpečnosti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6" w:history="1">
        <w:r w:rsidR="00851FEA" w:rsidRPr="00851FEA">
          <w:rPr>
            <w:rStyle w:val="Hypertextovprepojenie"/>
            <w:rFonts w:ascii="Times New Roman" w:hAnsi="Times New Roman" w:cs="Times New Roman"/>
            <w:noProof/>
            <w:sz w:val="20"/>
            <w:szCs w:val="20"/>
          </w:rPr>
          <w:t>Tabuľka 92 – Výdavky na bezpečnosť</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7" w:history="1">
        <w:r w:rsidR="00851FEA" w:rsidRPr="00851FEA">
          <w:rPr>
            <w:rStyle w:val="Hypertextovprepojenie"/>
            <w:rFonts w:ascii="Times New Roman" w:hAnsi="Times New Roman" w:cs="Times New Roman"/>
            <w:noProof/>
            <w:sz w:val="20"/>
            <w:szCs w:val="20"/>
          </w:rPr>
          <w:t>Tabuľka 93 – Účet z odvodu poistného z PZP motorových vozidiel</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8" w:history="1">
        <w:r w:rsidR="00851FEA" w:rsidRPr="00851FEA">
          <w:rPr>
            <w:rStyle w:val="Hypertextovprepojenie"/>
            <w:rFonts w:ascii="Times New Roman" w:hAnsi="Times New Roman" w:cs="Times New Roman"/>
            <w:noProof/>
            <w:sz w:val="20"/>
            <w:szCs w:val="20"/>
          </w:rPr>
          <w:t>Tabuľka 94 – Výdavky na väzenstvo</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19" w:history="1">
        <w:r w:rsidR="00851FEA" w:rsidRPr="00851FEA">
          <w:rPr>
            <w:rStyle w:val="Hypertextovprepojenie"/>
            <w:rFonts w:ascii="Times New Roman" w:hAnsi="Times New Roman" w:cs="Times New Roman"/>
            <w:noProof/>
            <w:sz w:val="20"/>
            <w:szCs w:val="20"/>
          </w:rPr>
          <w:t>Tabuľka 95 - Priemerné počty obvinených a odsúdených</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_Toc84845319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0" w:history="1">
        <w:r w:rsidR="00851FEA" w:rsidRPr="00851FEA">
          <w:rPr>
            <w:rStyle w:val="Hypertextovprepojenie"/>
            <w:rFonts w:ascii="Times New Roman" w:hAnsi="Times New Roman" w:cs="Times New Roman"/>
            <w:noProof/>
            <w:sz w:val="20"/>
            <w:szCs w:val="20"/>
          </w:rPr>
          <w:t>Tabuľka 96 - Kľúčové ukazovatele súdnictva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1" w:history="1">
        <w:r w:rsidR="00851FEA" w:rsidRPr="00851FEA">
          <w:rPr>
            <w:rStyle w:val="Hypertextovprepojenie"/>
            <w:rFonts w:ascii="Times New Roman" w:hAnsi="Times New Roman" w:cs="Times New Roman"/>
            <w:noProof/>
            <w:sz w:val="20"/>
            <w:szCs w:val="20"/>
          </w:rPr>
          <w:t>Tabuľka 97 – Výdavky na súdnictvo a prokuratúru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2" w:history="1">
        <w:r w:rsidR="00851FEA" w:rsidRPr="00851FEA">
          <w:rPr>
            <w:rStyle w:val="Hypertextovprepojenie"/>
            <w:rFonts w:ascii="Times New Roman" w:hAnsi="Times New Roman" w:cs="Times New Roman"/>
            <w:noProof/>
            <w:sz w:val="20"/>
            <w:szCs w:val="20"/>
          </w:rPr>
          <w:t>Tabuľka 98 - Odmeny a náhrady za služby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3" w:history="1">
        <w:r w:rsidR="00851FEA" w:rsidRPr="00851FEA">
          <w:rPr>
            <w:rStyle w:val="Hypertextovprepojenie"/>
            <w:rFonts w:ascii="Times New Roman" w:hAnsi="Times New Roman" w:cs="Times New Roman"/>
            <w:noProof/>
            <w:sz w:val="20"/>
            <w:szCs w:val="20"/>
          </w:rPr>
          <w:t>Tabuľka 99 - Odškodňovanie v oblasti súdnictva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4" w:history="1">
        <w:r w:rsidR="00851FEA" w:rsidRPr="00851FEA">
          <w:rPr>
            <w:rStyle w:val="Hypertextovprepojenie"/>
            <w:rFonts w:ascii="Times New Roman" w:hAnsi="Times New Roman" w:cs="Times New Roman"/>
            <w:noProof/>
            <w:sz w:val="20"/>
            <w:szCs w:val="20"/>
          </w:rPr>
          <w:t>Tabuľka 100 - Odškodňovanie v oblasti administratíva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5" w:history="1">
        <w:r w:rsidR="00851FEA" w:rsidRPr="00851FEA">
          <w:rPr>
            <w:rStyle w:val="Hypertextovprepojenie"/>
            <w:rFonts w:ascii="Times New Roman" w:hAnsi="Times New Roman" w:cs="Times New Roman"/>
            <w:noProof/>
            <w:sz w:val="20"/>
            <w:szCs w:val="20"/>
          </w:rPr>
          <w:t>Tabuľka 101</w:t>
        </w:r>
        <w:r w:rsidR="00851FEA" w:rsidRPr="00851FEA">
          <w:rPr>
            <w:rStyle w:val="Hypertextovprepojenie"/>
            <w:rFonts w:ascii="Times New Roman" w:hAnsi="Times New Roman" w:cs="Times New Roman"/>
            <w:iCs/>
            <w:noProof/>
            <w:sz w:val="20"/>
            <w:szCs w:val="20"/>
          </w:rPr>
          <w:t xml:space="preserve"> - Celkové obranné výdavky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6" w:history="1">
        <w:r w:rsidR="00851FEA" w:rsidRPr="00851FEA">
          <w:rPr>
            <w:rStyle w:val="Hypertextovprepojenie"/>
            <w:rFonts w:ascii="Times New Roman" w:hAnsi="Times New Roman" w:cs="Times New Roman"/>
            <w:noProof/>
            <w:sz w:val="20"/>
            <w:szCs w:val="20"/>
          </w:rPr>
          <w:t>Tabuľka 102 - Výdavky kapitoly Ministerstvo obrany SR (mil. eur)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7" w:history="1">
        <w:r w:rsidR="00851FEA" w:rsidRPr="00851FEA">
          <w:rPr>
            <w:rStyle w:val="Hypertextovprepojenie"/>
            <w:rFonts w:ascii="Times New Roman" w:hAnsi="Times New Roman" w:cs="Times New Roman"/>
            <w:noProof/>
            <w:sz w:val="20"/>
            <w:szCs w:val="20"/>
          </w:rPr>
          <w:t>Tabuľka 103</w:t>
        </w:r>
        <w:r w:rsidR="00851FEA" w:rsidRPr="00851FEA">
          <w:rPr>
            <w:rStyle w:val="Hypertextovprepojenie"/>
            <w:rFonts w:ascii="Times New Roman" w:hAnsi="Times New Roman" w:cs="Times New Roman"/>
            <w:iCs/>
            <w:noProof/>
            <w:sz w:val="20"/>
            <w:szCs w:val="20"/>
          </w:rPr>
          <w:t xml:space="preserve"> – Výdavky na oblasti Ministerstva obrany SR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8" w:history="1">
        <w:r w:rsidR="00851FEA" w:rsidRPr="00851FEA">
          <w:rPr>
            <w:rStyle w:val="Hypertextovprepojenie"/>
            <w:rFonts w:ascii="Times New Roman" w:hAnsi="Times New Roman" w:cs="Times New Roman"/>
            <w:noProof/>
            <w:sz w:val="20"/>
            <w:szCs w:val="20"/>
          </w:rPr>
          <w:t>Tabuľka 104 – Kľúčové ukazovatele pre obranu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29" w:history="1">
        <w:r w:rsidR="00851FEA" w:rsidRPr="00851FEA">
          <w:rPr>
            <w:rStyle w:val="Hypertextovprepojenie"/>
            <w:rFonts w:ascii="Times New Roman" w:hAnsi="Times New Roman" w:cs="Times New Roman"/>
            <w:iCs/>
            <w:noProof/>
            <w:sz w:val="20"/>
            <w:szCs w:val="20"/>
          </w:rPr>
          <w:t>Tabuľka 105 - Kľúčové ukazovatele financií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_Toc84845329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0" w:history="1">
        <w:r w:rsidR="00851FEA" w:rsidRPr="00851FEA">
          <w:rPr>
            <w:rStyle w:val="Hypertextovprepojenie"/>
            <w:rFonts w:ascii="Times New Roman" w:hAnsi="Times New Roman" w:cs="Times New Roman"/>
            <w:iCs/>
            <w:noProof/>
            <w:sz w:val="20"/>
            <w:szCs w:val="20"/>
          </w:rPr>
          <w:t>Tabuľka 106 - Oblasť Financie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1" w:history="1">
        <w:r w:rsidR="00851FEA" w:rsidRPr="00851FEA">
          <w:rPr>
            <w:rStyle w:val="Hypertextovprepojenie"/>
            <w:rFonts w:ascii="Times New Roman" w:hAnsi="Times New Roman" w:cs="Times New Roman"/>
            <w:iCs/>
            <w:noProof/>
            <w:sz w:val="20"/>
            <w:szCs w:val="20"/>
          </w:rPr>
          <w:t>Tabuľka 107 - Finančná správa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2" w:history="1">
        <w:r w:rsidR="00851FEA" w:rsidRPr="00851FEA">
          <w:rPr>
            <w:rStyle w:val="Hypertextovprepojenie"/>
            <w:rFonts w:ascii="Times New Roman" w:hAnsi="Times New Roman" w:cs="Times New Roman"/>
            <w:iCs/>
            <w:noProof/>
            <w:sz w:val="20"/>
            <w:szCs w:val="20"/>
          </w:rPr>
          <w:t>Tabuľka 108 – Výdavky na informačné systémy riadenia verejných financií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3" w:history="1">
        <w:r w:rsidR="00851FEA" w:rsidRPr="00851FEA">
          <w:rPr>
            <w:rStyle w:val="Hypertextovprepojenie"/>
            <w:rFonts w:ascii="Times New Roman" w:hAnsi="Times New Roman" w:cs="Times New Roman"/>
            <w:iCs/>
            <w:noProof/>
            <w:sz w:val="20"/>
            <w:szCs w:val="20"/>
          </w:rPr>
          <w:t>Tabuľka 109 – Výdavky na inštitucionálnu podporu a kontrolu a ostatné činnosti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4" w:history="1">
        <w:r w:rsidR="00851FEA" w:rsidRPr="00851FEA">
          <w:rPr>
            <w:rStyle w:val="Hypertextovprepojenie"/>
            <w:rFonts w:ascii="Times New Roman" w:hAnsi="Times New Roman" w:cs="Times New Roman"/>
            <w:iCs/>
            <w:noProof/>
            <w:sz w:val="20"/>
            <w:szCs w:val="20"/>
          </w:rPr>
          <w:t>Tabuľka 110 - Štruktúra výdavkov kapitoly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5" w:history="1">
        <w:r w:rsidR="00851FEA" w:rsidRPr="00851FEA">
          <w:rPr>
            <w:rStyle w:val="Hypertextovprepojenie"/>
            <w:rFonts w:ascii="Times New Roman" w:hAnsi="Times New Roman" w:cs="Times New Roman"/>
            <w:iCs/>
            <w:noProof/>
            <w:sz w:val="20"/>
            <w:szCs w:val="20"/>
          </w:rPr>
          <w:t>Tabuľka 111 – Rezervy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6" w:history="1">
        <w:r w:rsidR="00851FEA" w:rsidRPr="00851FEA">
          <w:rPr>
            <w:rStyle w:val="Hypertextovprepojenie"/>
            <w:rFonts w:ascii="Times New Roman" w:hAnsi="Times New Roman" w:cs="Times New Roman"/>
            <w:noProof/>
            <w:sz w:val="20"/>
            <w:szCs w:val="20"/>
          </w:rPr>
          <w:t>Tabuľka 112</w:t>
        </w:r>
        <w:r w:rsidR="00851FEA" w:rsidRPr="00851FEA">
          <w:rPr>
            <w:rStyle w:val="Hypertextovprepojenie"/>
            <w:rFonts w:ascii="Times New Roman" w:hAnsi="Times New Roman" w:cs="Times New Roman"/>
            <w:iCs/>
            <w:noProof/>
            <w:sz w:val="20"/>
            <w:szCs w:val="20"/>
          </w:rPr>
          <w:t xml:space="preserve"> – Rezerva na prostriedky EÚ a odvody EÚ</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7" w:history="1">
        <w:r w:rsidR="00851FEA" w:rsidRPr="00851FEA">
          <w:rPr>
            <w:rStyle w:val="Hypertextovprepojenie"/>
            <w:rFonts w:ascii="Times New Roman" w:hAnsi="Times New Roman" w:cs="Times New Roman"/>
            <w:iCs/>
            <w:noProof/>
            <w:sz w:val="20"/>
            <w:szCs w:val="20"/>
          </w:rPr>
          <w:t>Tabuľka 113 - Štruktúra výdavkov rezervy na riešenie vplyvov legislatívnych zmien</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8" w:history="1">
        <w:r w:rsidR="00851FEA" w:rsidRPr="00851FEA">
          <w:rPr>
            <w:rStyle w:val="Hypertextovprepojenie"/>
            <w:rFonts w:ascii="Times New Roman" w:hAnsi="Times New Roman" w:cs="Times New Roman"/>
            <w:iCs/>
            <w:noProof/>
            <w:sz w:val="20"/>
            <w:szCs w:val="20"/>
          </w:rPr>
          <w:t>Tabuľka 114 - Výdavky súvisiace s rozpočtom EÚ</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39" w:history="1">
        <w:r w:rsidR="00851FEA" w:rsidRPr="00851FEA">
          <w:rPr>
            <w:rStyle w:val="Hypertextovprepojenie"/>
            <w:rFonts w:ascii="Times New Roman" w:hAnsi="Times New Roman" w:cs="Times New Roman"/>
            <w:noProof/>
            <w:sz w:val="20"/>
            <w:szCs w:val="20"/>
          </w:rPr>
          <w:t xml:space="preserve">Tabuľka 115 </w:t>
        </w:r>
        <w:r w:rsidR="00851FEA" w:rsidRPr="00851FEA">
          <w:rPr>
            <w:rStyle w:val="Hypertextovprepojenie"/>
            <w:rFonts w:ascii="Times New Roman" w:hAnsi="Times New Roman" w:cs="Times New Roman"/>
            <w:iCs/>
            <w:noProof/>
            <w:sz w:val="20"/>
            <w:szCs w:val="20"/>
          </w:rPr>
          <w:t>- Štruktúra výdavkov spojených so správou  štátneho dlhu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_Toc84845339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0" w:history="1">
        <w:r w:rsidR="00851FEA" w:rsidRPr="00851FEA">
          <w:rPr>
            <w:rStyle w:val="Hypertextovprepojenie"/>
            <w:rFonts w:ascii="Times New Roman" w:hAnsi="Times New Roman" w:cs="Times New Roman"/>
            <w:noProof/>
            <w:sz w:val="20"/>
            <w:szCs w:val="20"/>
          </w:rPr>
          <w:t xml:space="preserve">Tabuľka 116 </w:t>
        </w:r>
        <w:r w:rsidR="00851FEA" w:rsidRPr="00851FEA">
          <w:rPr>
            <w:rStyle w:val="Hypertextovprepojenie"/>
            <w:rFonts w:ascii="Times New Roman" w:hAnsi="Times New Roman" w:cs="Times New Roman"/>
            <w:iCs/>
            <w:noProof/>
            <w:sz w:val="20"/>
            <w:szCs w:val="20"/>
          </w:rPr>
          <w:t>- Vývoj štátneho dlhu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1" w:history="1">
        <w:r w:rsidR="00851FEA" w:rsidRPr="00851FEA">
          <w:rPr>
            <w:rStyle w:val="Hypertextovprepojenie"/>
            <w:rFonts w:ascii="Times New Roman" w:hAnsi="Times New Roman" w:cs="Times New Roman"/>
            <w:noProof/>
            <w:sz w:val="20"/>
            <w:szCs w:val="20"/>
          </w:rPr>
          <w:t>Tabuľka 117</w:t>
        </w:r>
        <w:r w:rsidR="00851FEA" w:rsidRPr="00851FEA">
          <w:rPr>
            <w:rStyle w:val="Hypertextovprepojenie"/>
            <w:rFonts w:ascii="Times New Roman" w:hAnsi="Times New Roman" w:cs="Times New Roman"/>
            <w:iCs/>
            <w:noProof/>
            <w:sz w:val="20"/>
            <w:szCs w:val="20"/>
          </w:rPr>
          <w:t xml:space="preserve"> - Štruktúra finančnej potreby Ministerstva financií SR</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2" w:history="1">
        <w:r w:rsidR="00851FEA" w:rsidRPr="00851FEA">
          <w:rPr>
            <w:rStyle w:val="Hypertextovprepojenie"/>
            <w:rFonts w:ascii="Times New Roman" w:hAnsi="Times New Roman" w:cs="Times New Roman"/>
            <w:noProof/>
            <w:sz w:val="20"/>
            <w:szCs w:val="20"/>
          </w:rPr>
          <w:t xml:space="preserve">Tabuľka 118 </w:t>
        </w:r>
        <w:r w:rsidR="00851FEA" w:rsidRPr="00851FEA">
          <w:rPr>
            <w:rStyle w:val="Hypertextovprepojenie"/>
            <w:rFonts w:ascii="Times New Roman" w:hAnsi="Times New Roman" w:cs="Times New Roman"/>
            <w:iCs/>
            <w:noProof/>
            <w:sz w:val="20"/>
            <w:szCs w:val="20"/>
          </w:rPr>
          <w:t>- Očakávané sadzby na finančnom trhu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3" w:history="1">
        <w:r w:rsidR="00851FEA" w:rsidRPr="00851FEA">
          <w:rPr>
            <w:rStyle w:val="Hypertextovprepojenie"/>
            <w:rFonts w:ascii="Times New Roman" w:hAnsi="Times New Roman" w:cs="Times New Roman"/>
            <w:noProof/>
            <w:sz w:val="20"/>
            <w:szCs w:val="20"/>
          </w:rPr>
          <w:t xml:space="preserve">Tabuľka 119 </w:t>
        </w:r>
        <w:r w:rsidR="00851FEA" w:rsidRPr="00851FEA">
          <w:rPr>
            <w:rStyle w:val="Hypertextovprepojenie"/>
            <w:rFonts w:ascii="Times New Roman" w:hAnsi="Times New Roman" w:cs="Times New Roman"/>
            <w:iCs/>
            <w:noProof/>
            <w:sz w:val="20"/>
            <w:szCs w:val="20"/>
          </w:rPr>
          <w:t>- Štruktúra akruálnych nákladov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4" w:history="1">
        <w:r w:rsidR="00851FEA" w:rsidRPr="00851FEA">
          <w:rPr>
            <w:rStyle w:val="Hypertextovprepojenie"/>
            <w:rFonts w:ascii="Times New Roman" w:hAnsi="Times New Roman" w:cs="Times New Roman"/>
            <w:noProof/>
            <w:sz w:val="20"/>
            <w:szCs w:val="20"/>
          </w:rPr>
          <w:t>Tabuľka 120</w:t>
        </w:r>
        <w:r w:rsidR="00851FEA" w:rsidRPr="00851FEA">
          <w:rPr>
            <w:rStyle w:val="Hypertextovprepojenie"/>
            <w:rFonts w:ascii="Times New Roman" w:hAnsi="Times New Roman" w:cs="Times New Roman"/>
            <w:iCs/>
            <w:noProof/>
            <w:sz w:val="20"/>
            <w:szCs w:val="20"/>
          </w:rPr>
          <w:t xml:space="preserve"> - Štruktúra hotovostných nákladov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5" w:history="1">
        <w:r w:rsidR="00851FEA" w:rsidRPr="00851FEA">
          <w:rPr>
            <w:rStyle w:val="Hypertextovprepojenie"/>
            <w:rFonts w:ascii="Times New Roman" w:hAnsi="Times New Roman" w:cs="Times New Roman"/>
            <w:iCs/>
            <w:noProof/>
            <w:sz w:val="20"/>
            <w:szCs w:val="20"/>
          </w:rPr>
          <w:t>Tabuľka 121 - Transfer Sociálnej poisťovni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6" w:history="1">
        <w:r w:rsidR="00851FEA" w:rsidRPr="00851FEA">
          <w:rPr>
            <w:rStyle w:val="Hypertextovprepojenie"/>
            <w:rFonts w:ascii="Times New Roman" w:hAnsi="Times New Roman" w:cs="Times New Roman"/>
            <w:iCs/>
            <w:noProof/>
            <w:sz w:val="20"/>
            <w:szCs w:val="20"/>
          </w:rPr>
          <w:t>Tabuľka 122 - Štruktúra ostatných výdavkov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7" w:history="1">
        <w:r w:rsidR="00851FEA" w:rsidRPr="00851FEA">
          <w:rPr>
            <w:rStyle w:val="Hypertextovprepojenie"/>
            <w:rFonts w:ascii="Times New Roman" w:hAnsi="Times New Roman" w:cs="Times New Roman"/>
            <w:iCs/>
            <w:noProof/>
            <w:sz w:val="20"/>
            <w:szCs w:val="20"/>
          </w:rPr>
          <w:t xml:space="preserve">Tabuľka 123 - </w:t>
        </w:r>
        <w:r w:rsidR="00851FEA" w:rsidRPr="00851FEA">
          <w:rPr>
            <w:rStyle w:val="Hypertextovprepojenie"/>
            <w:rFonts w:ascii="Times New Roman" w:hAnsi="Times New Roman" w:cs="Times New Roman"/>
            <w:bCs/>
            <w:iCs/>
            <w:noProof/>
            <w:sz w:val="20"/>
            <w:szCs w:val="20"/>
          </w:rPr>
          <w:t>Kľúčové ukazovatele v oblasti životného prostredia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8" w:history="1">
        <w:r w:rsidR="00851FEA" w:rsidRPr="00851FEA">
          <w:rPr>
            <w:rStyle w:val="Hypertextovprepojenie"/>
            <w:rFonts w:ascii="Times New Roman" w:hAnsi="Times New Roman" w:cs="Times New Roman"/>
            <w:noProof/>
            <w:sz w:val="20"/>
            <w:szCs w:val="20"/>
          </w:rPr>
          <w:t>Tabuľka 124 - Výdavky oblasti životného prostredia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49" w:history="1">
        <w:r w:rsidR="00851FEA" w:rsidRPr="00851FEA">
          <w:rPr>
            <w:rStyle w:val="Hypertextovprepojenie"/>
            <w:rFonts w:ascii="Times New Roman" w:hAnsi="Times New Roman" w:cs="Times New Roman"/>
            <w:noProof/>
            <w:sz w:val="20"/>
            <w:szCs w:val="20"/>
          </w:rPr>
          <w:t>Tabuľka 125 - Výdavky vodného hospodárstva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_Toc84845349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168</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0" w:history="1">
        <w:r w:rsidR="00851FEA" w:rsidRPr="00851FEA">
          <w:rPr>
            <w:rStyle w:val="Hypertextovprepojenie"/>
            <w:rFonts w:ascii="Times New Roman" w:hAnsi="Times New Roman" w:cs="Times New Roman"/>
            <w:noProof/>
            <w:sz w:val="20"/>
            <w:szCs w:val="20"/>
          </w:rPr>
          <w:t>Tabuľka 126 - Výdavky na ochranu ovzdušia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1" w:history="1">
        <w:r w:rsidR="00851FEA" w:rsidRPr="00851FEA">
          <w:rPr>
            <w:rStyle w:val="Hypertextovprepojenie"/>
            <w:rFonts w:ascii="Times New Roman" w:hAnsi="Times New Roman" w:cs="Times New Roman"/>
            <w:noProof/>
            <w:sz w:val="20"/>
            <w:szCs w:val="20"/>
          </w:rPr>
          <w:t>Tabuľka 127 - Výdavky na ochranu prírody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2" w:history="1">
        <w:r w:rsidR="00851FEA" w:rsidRPr="00851FEA">
          <w:rPr>
            <w:rStyle w:val="Hypertextovprepojenie"/>
            <w:rFonts w:ascii="Times New Roman" w:hAnsi="Times New Roman" w:cs="Times New Roman"/>
            <w:noProof/>
            <w:sz w:val="20"/>
            <w:szCs w:val="20"/>
          </w:rPr>
          <w:t>Tabuľka 128 - Výdavky na administratívu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3" w:history="1">
        <w:r w:rsidR="00851FEA" w:rsidRPr="00851FEA">
          <w:rPr>
            <w:rStyle w:val="Hypertextovprepojenie"/>
            <w:rFonts w:ascii="Times New Roman" w:hAnsi="Times New Roman" w:cs="Times New Roman"/>
            <w:noProof/>
            <w:sz w:val="20"/>
            <w:szCs w:val="20"/>
          </w:rPr>
          <w:t>Tabuľka 129 - Kľúčové ukazovatele ekonomiky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4" w:history="1">
        <w:r w:rsidR="00851FEA" w:rsidRPr="00851FEA">
          <w:rPr>
            <w:rStyle w:val="Hypertextovprepojenie"/>
            <w:rFonts w:ascii="Times New Roman" w:hAnsi="Times New Roman" w:cs="Times New Roman"/>
            <w:noProof/>
            <w:sz w:val="20"/>
            <w:szCs w:val="20"/>
          </w:rPr>
          <w:t>Tabuľka 130 – Výdavky na oblasť ekonomiky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5" w:history="1">
        <w:r w:rsidR="00851FEA" w:rsidRPr="00851FEA">
          <w:rPr>
            <w:rStyle w:val="Hypertextovprepojenie"/>
            <w:rFonts w:ascii="Times New Roman" w:hAnsi="Times New Roman" w:cs="Times New Roman"/>
            <w:noProof/>
            <w:sz w:val="20"/>
            <w:szCs w:val="20"/>
          </w:rPr>
          <w:t>Tabuľka 131 – Výdavky na reštrukturalizácia priemyselných odvetví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6" w:history="1">
        <w:r w:rsidR="00851FEA" w:rsidRPr="00851FEA">
          <w:rPr>
            <w:rStyle w:val="Hypertextovprepojenie"/>
            <w:rFonts w:ascii="Times New Roman" w:hAnsi="Times New Roman" w:cs="Times New Roman"/>
            <w:noProof/>
            <w:sz w:val="20"/>
            <w:szCs w:val="20"/>
          </w:rPr>
          <w:t>Tabuľka 132 – Výdavky na podporu podnikania</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7" w:history="1">
        <w:r w:rsidR="00851FEA" w:rsidRPr="00851FEA">
          <w:rPr>
            <w:rStyle w:val="Hypertextovprepojenie"/>
            <w:rFonts w:ascii="Times New Roman" w:hAnsi="Times New Roman" w:cs="Times New Roman"/>
            <w:noProof/>
            <w:sz w:val="20"/>
            <w:szCs w:val="20"/>
          </w:rPr>
          <w:t>Tabuľka 133</w:t>
        </w:r>
        <w:r w:rsidR="00851FEA" w:rsidRPr="00851FEA">
          <w:rPr>
            <w:rStyle w:val="Hypertextovprepojenie"/>
            <w:rFonts w:ascii="Times New Roman" w:hAnsi="Times New Roman" w:cs="Times New Roman"/>
            <w:iCs/>
            <w:noProof/>
            <w:sz w:val="20"/>
            <w:szCs w:val="20"/>
          </w:rPr>
          <w:t xml:space="preserve"> - Kľúčové ukazovatele v informatizácii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8" w:history="1">
        <w:r w:rsidR="00851FEA" w:rsidRPr="00851FEA">
          <w:rPr>
            <w:rStyle w:val="Hypertextovprepojenie"/>
            <w:rFonts w:ascii="Times New Roman" w:hAnsi="Times New Roman" w:cs="Times New Roman"/>
            <w:noProof/>
            <w:sz w:val="20"/>
            <w:szCs w:val="20"/>
          </w:rPr>
          <w:t>Tabuľka</w:t>
        </w:r>
        <w:r w:rsidR="00851FEA" w:rsidRPr="00851FEA">
          <w:rPr>
            <w:rStyle w:val="Hypertextovprepojenie"/>
            <w:rFonts w:ascii="Times New Roman" w:hAnsi="Times New Roman" w:cs="Times New Roman"/>
            <w:i/>
            <w:noProof/>
            <w:sz w:val="20"/>
            <w:szCs w:val="20"/>
          </w:rPr>
          <w:t xml:space="preserve"> </w:t>
        </w:r>
        <w:r w:rsidR="00851FEA" w:rsidRPr="00851FEA">
          <w:rPr>
            <w:rStyle w:val="Hypertextovprepojenie"/>
            <w:rFonts w:ascii="Times New Roman" w:hAnsi="Times New Roman" w:cs="Times New Roman"/>
            <w:noProof/>
            <w:sz w:val="20"/>
            <w:szCs w:val="20"/>
          </w:rPr>
          <w:t>134</w:t>
        </w:r>
        <w:r w:rsidR="00851FEA" w:rsidRPr="00851FEA">
          <w:rPr>
            <w:rStyle w:val="Hypertextovprepojenie"/>
            <w:rFonts w:ascii="Times New Roman" w:hAnsi="Times New Roman" w:cs="Times New Roman"/>
            <w:iCs/>
            <w:noProof/>
            <w:sz w:val="20"/>
            <w:szCs w:val="20"/>
          </w:rPr>
          <w:t xml:space="preserve"> - Výdavky na IT financované zo štátneho rozpočtu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59" w:history="1">
        <w:r w:rsidR="00851FEA" w:rsidRPr="00851FEA">
          <w:rPr>
            <w:rStyle w:val="Hypertextovprepojenie"/>
            <w:rFonts w:ascii="Times New Roman" w:hAnsi="Times New Roman" w:cs="Times New Roman"/>
            <w:noProof/>
            <w:sz w:val="20"/>
            <w:szCs w:val="20"/>
          </w:rPr>
          <w:t>Tabuľka 135</w:t>
        </w:r>
        <w:r w:rsidR="00851FEA" w:rsidRPr="00851FEA">
          <w:rPr>
            <w:rStyle w:val="Hypertextovprepojenie"/>
            <w:rFonts w:ascii="Times New Roman" w:hAnsi="Times New Roman" w:cs="Times New Roman"/>
            <w:iCs/>
            <w:noProof/>
            <w:sz w:val="20"/>
            <w:szCs w:val="20"/>
          </w:rPr>
          <w:t xml:space="preserve"> – Výdavky na regionálny rozvoj</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_Toc84845359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0" w:history="1">
        <w:r w:rsidR="00851FEA" w:rsidRPr="00851FEA">
          <w:rPr>
            <w:rStyle w:val="Hypertextovprepojenie"/>
            <w:rFonts w:ascii="Times New Roman" w:hAnsi="Times New Roman" w:cs="Times New Roman"/>
            <w:noProof/>
            <w:sz w:val="20"/>
            <w:szCs w:val="20"/>
          </w:rPr>
          <w:t>Tabuľka 136 - Oblasť správy štátnych hmotných rezerv</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181</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1" w:history="1">
        <w:r w:rsidR="00851FEA" w:rsidRPr="00851FEA">
          <w:rPr>
            <w:rStyle w:val="Hypertextovprepojenie"/>
            <w:rFonts w:ascii="Times New Roman" w:hAnsi="Times New Roman" w:cs="Times New Roman"/>
            <w:noProof/>
            <w:sz w:val="20"/>
            <w:szCs w:val="20"/>
          </w:rPr>
          <w:t>Tabuľka 137 - Kľúčové ukazovatele výsledkov kultúrnej politiky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2" w:history="1">
        <w:r w:rsidR="00851FEA" w:rsidRPr="00851FEA">
          <w:rPr>
            <w:rStyle w:val="Hypertextovprepojenie"/>
            <w:rFonts w:ascii="Times New Roman" w:hAnsi="Times New Roman" w:cs="Times New Roman"/>
            <w:noProof/>
            <w:sz w:val="20"/>
            <w:szCs w:val="20"/>
          </w:rPr>
          <w:t>Tabuľka 138 - Výdavky na kultúru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3" w:history="1">
        <w:r w:rsidR="00851FEA" w:rsidRPr="00851FEA">
          <w:rPr>
            <w:rStyle w:val="Hypertextovprepojenie"/>
            <w:rFonts w:ascii="Times New Roman" w:hAnsi="Times New Roman" w:cs="Times New Roman"/>
            <w:noProof/>
            <w:sz w:val="20"/>
            <w:szCs w:val="20"/>
          </w:rPr>
          <w:t>Tabuľka 139 - Významné investičné akcie v rezorte kultúry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4" w:history="1">
        <w:r w:rsidR="00851FEA" w:rsidRPr="00851FEA">
          <w:rPr>
            <w:rStyle w:val="Hypertextovprepojenie"/>
            <w:rFonts w:ascii="Times New Roman" w:hAnsi="Times New Roman" w:cs="Times New Roman"/>
            <w:noProof/>
            <w:sz w:val="20"/>
            <w:szCs w:val="20"/>
          </w:rPr>
          <w:t>Tabuľka 140 - Výdavky verejnoprávnych inštitúcií</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_Toc84845364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5" w:history="1">
        <w:r w:rsidR="00851FEA" w:rsidRPr="00851FEA">
          <w:rPr>
            <w:rStyle w:val="Hypertextovprepojenie"/>
            <w:rFonts w:ascii="Times New Roman" w:hAnsi="Times New Roman" w:cs="Times New Roman"/>
            <w:iCs/>
            <w:noProof/>
            <w:sz w:val="20"/>
            <w:szCs w:val="20"/>
          </w:rPr>
          <w:t>Tabuľka 141 – Výdavky na verejné služby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_Toc84845365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189</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6" w:history="1">
        <w:r w:rsidR="00851FEA" w:rsidRPr="00851FEA">
          <w:rPr>
            <w:rStyle w:val="Hypertextovprepojenie"/>
            <w:rFonts w:ascii="Times New Roman" w:hAnsi="Times New Roman" w:cs="Times New Roman"/>
            <w:iCs/>
            <w:noProof/>
            <w:sz w:val="20"/>
            <w:szCs w:val="20"/>
          </w:rPr>
          <w:t>Tabuľka 142 – Obce</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_Toc84845366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190</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7" w:history="1">
        <w:r w:rsidR="00851FEA" w:rsidRPr="00851FEA">
          <w:rPr>
            <w:rStyle w:val="Hypertextovprepojenie"/>
            <w:rFonts w:ascii="Times New Roman" w:hAnsi="Times New Roman" w:cs="Times New Roman"/>
            <w:iCs/>
            <w:noProof/>
            <w:sz w:val="20"/>
            <w:szCs w:val="20"/>
          </w:rPr>
          <w:t>Tabuľka 143 - VÚC</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_Toc84845367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192</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8" w:history="1">
        <w:r w:rsidR="00851FEA" w:rsidRPr="00851FEA">
          <w:rPr>
            <w:rStyle w:val="Hypertextovprepojenie"/>
            <w:rFonts w:ascii="Times New Roman" w:hAnsi="Times New Roman" w:cs="Times New Roman"/>
            <w:iCs/>
            <w:noProof/>
            <w:sz w:val="20"/>
            <w:szCs w:val="20"/>
          </w:rPr>
          <w:t>Tabuľka 144 - Dopravné podniky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_Toc84845368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193</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69" w:history="1">
        <w:r w:rsidR="00851FEA" w:rsidRPr="00851FEA">
          <w:rPr>
            <w:rStyle w:val="Hypertextovprepojenie"/>
            <w:rFonts w:ascii="Times New Roman" w:hAnsi="Times New Roman" w:cs="Times New Roman"/>
            <w:iCs/>
            <w:noProof/>
            <w:sz w:val="20"/>
            <w:szCs w:val="20"/>
          </w:rPr>
          <w:t>Tabuľka 145 – Výdavky na výkonné a zákonodarné orgány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_Toc84845369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194</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70" w:history="1">
        <w:r w:rsidR="00851FEA" w:rsidRPr="00851FEA">
          <w:rPr>
            <w:rStyle w:val="Hypertextovprepojenie"/>
            <w:rFonts w:ascii="Times New Roman" w:hAnsi="Times New Roman" w:cs="Times New Roman"/>
            <w:iCs/>
            <w:noProof/>
            <w:sz w:val="20"/>
            <w:szCs w:val="20"/>
          </w:rPr>
          <w:t xml:space="preserve">Tabuľka 146 - </w:t>
        </w:r>
        <w:r w:rsidR="00851FEA" w:rsidRPr="00851FEA">
          <w:rPr>
            <w:rStyle w:val="Hypertextovprepojenie"/>
            <w:rFonts w:ascii="Times New Roman" w:hAnsi="Times New Roman" w:cs="Times New Roman"/>
            <w:noProof/>
            <w:sz w:val="20"/>
            <w:szCs w:val="20"/>
          </w:rPr>
          <w:t>Kľúčové ukazovatele zahraničných vzťahov a zahraničnej pomoci</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_Toc84845370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195</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71" w:history="1">
        <w:r w:rsidR="00851FEA" w:rsidRPr="00851FEA">
          <w:rPr>
            <w:rStyle w:val="Hypertextovprepojenie"/>
            <w:rFonts w:ascii="Times New Roman" w:hAnsi="Times New Roman" w:cs="Times New Roman"/>
            <w:iCs/>
            <w:noProof/>
            <w:sz w:val="20"/>
            <w:szCs w:val="20"/>
          </w:rPr>
          <w:t>Tabuľka 147 – Výdavky na zahraničné vzťahy a zahraničná pomoc</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_Toc84845371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196</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72" w:history="1">
        <w:r w:rsidR="00851FEA" w:rsidRPr="00851FEA">
          <w:rPr>
            <w:rStyle w:val="Hypertextovprepojenie"/>
            <w:rFonts w:ascii="Times New Roman" w:hAnsi="Times New Roman" w:cs="Times New Roman"/>
            <w:iCs/>
            <w:noProof/>
            <w:sz w:val="20"/>
            <w:szCs w:val="20"/>
          </w:rPr>
          <w:t>Tabuľka 148 - Kľúčové ukazovatele miestnej štátnej správy a samosprávy</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_Toc84845372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197</w:t>
        </w:r>
        <w:r w:rsidR="00851FEA" w:rsidRPr="00851FEA">
          <w:rPr>
            <w:rFonts w:ascii="Times New Roman" w:hAnsi="Times New Roman" w:cs="Times New Roman"/>
            <w:noProof/>
            <w:webHidden/>
            <w:sz w:val="20"/>
            <w:szCs w:val="20"/>
          </w:rPr>
          <w:fldChar w:fldCharType="end"/>
        </w:r>
      </w:hyperlink>
    </w:p>
    <w:p w:rsidR="00851FEA" w:rsidRPr="00851FEA"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5373" w:history="1">
        <w:r w:rsidR="00851FEA" w:rsidRPr="00851FEA">
          <w:rPr>
            <w:rStyle w:val="Hypertextovprepojenie"/>
            <w:rFonts w:ascii="Times New Roman" w:hAnsi="Times New Roman" w:cs="Times New Roman"/>
            <w:iCs/>
            <w:noProof/>
            <w:sz w:val="20"/>
            <w:szCs w:val="20"/>
          </w:rPr>
          <w:t>Tabuľka 149 – Výdavky na miestnu štátnu správu</w:t>
        </w:r>
        <w:r w:rsidR="00851FEA" w:rsidRPr="00851FEA">
          <w:rPr>
            <w:rFonts w:ascii="Times New Roman" w:hAnsi="Times New Roman" w:cs="Times New Roman"/>
            <w:noProof/>
            <w:webHidden/>
            <w:sz w:val="20"/>
            <w:szCs w:val="20"/>
          </w:rPr>
          <w:tab/>
        </w:r>
        <w:r w:rsidR="00851FEA" w:rsidRPr="00851FEA">
          <w:rPr>
            <w:rFonts w:ascii="Times New Roman" w:hAnsi="Times New Roman" w:cs="Times New Roman"/>
            <w:noProof/>
            <w:webHidden/>
            <w:sz w:val="20"/>
            <w:szCs w:val="20"/>
          </w:rPr>
          <w:fldChar w:fldCharType="begin"/>
        </w:r>
        <w:r w:rsidR="00851FEA" w:rsidRPr="00851FEA">
          <w:rPr>
            <w:rFonts w:ascii="Times New Roman" w:hAnsi="Times New Roman" w:cs="Times New Roman"/>
            <w:noProof/>
            <w:webHidden/>
            <w:sz w:val="20"/>
            <w:szCs w:val="20"/>
          </w:rPr>
          <w:instrText xml:space="preserve"> PAGEREF _Toc84845373 \h </w:instrText>
        </w:r>
        <w:r w:rsidR="00851FEA" w:rsidRPr="00851FEA">
          <w:rPr>
            <w:rFonts w:ascii="Times New Roman" w:hAnsi="Times New Roman" w:cs="Times New Roman"/>
            <w:noProof/>
            <w:webHidden/>
            <w:sz w:val="20"/>
            <w:szCs w:val="20"/>
          </w:rPr>
        </w:r>
        <w:r w:rsidR="00851FEA" w:rsidRPr="00851FEA">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198</w:t>
        </w:r>
        <w:r w:rsidR="00851FEA" w:rsidRPr="00851FEA">
          <w:rPr>
            <w:rFonts w:ascii="Times New Roman" w:hAnsi="Times New Roman" w:cs="Times New Roman"/>
            <w:noProof/>
            <w:webHidden/>
            <w:sz w:val="20"/>
            <w:szCs w:val="20"/>
          </w:rPr>
          <w:fldChar w:fldCharType="end"/>
        </w:r>
      </w:hyperlink>
    </w:p>
    <w:p w:rsidR="00D14E17" w:rsidRPr="00851FEA" w:rsidRDefault="00052B0A" w:rsidP="00D14E17">
      <w:pPr>
        <w:spacing w:after="0"/>
        <w:rPr>
          <w:rFonts w:ascii="Times New Roman" w:hAnsi="Times New Roman" w:cs="Times New Roman"/>
          <w:sz w:val="20"/>
          <w:szCs w:val="20"/>
        </w:rPr>
      </w:pPr>
      <w:r w:rsidRPr="00851FEA">
        <w:rPr>
          <w:rFonts w:ascii="Times New Roman" w:hAnsi="Times New Roman" w:cs="Times New Roman"/>
          <w:sz w:val="20"/>
          <w:szCs w:val="20"/>
        </w:rPr>
        <w:fldChar w:fldCharType="end"/>
      </w:r>
    </w:p>
    <w:p w:rsidR="00542491" w:rsidRDefault="00542491" w:rsidP="00D14E17">
      <w:pPr>
        <w:spacing w:after="0"/>
        <w:rPr>
          <w:rFonts w:ascii="Times New Roman" w:hAnsi="Times New Roman" w:cs="Times New Roman"/>
          <w:sz w:val="20"/>
          <w:szCs w:val="20"/>
        </w:rPr>
      </w:pPr>
    </w:p>
    <w:p w:rsidR="00542491" w:rsidRDefault="00542491" w:rsidP="00D14E17">
      <w:pPr>
        <w:spacing w:after="0"/>
        <w:rPr>
          <w:rFonts w:ascii="Times New Roman" w:hAnsi="Times New Roman" w:cs="Times New Roman"/>
          <w:sz w:val="20"/>
          <w:szCs w:val="20"/>
        </w:rPr>
      </w:pPr>
    </w:p>
    <w:p w:rsidR="00851FEA" w:rsidRDefault="00851FEA" w:rsidP="00D14E17">
      <w:pPr>
        <w:spacing w:after="0"/>
        <w:rPr>
          <w:rFonts w:ascii="Times New Roman" w:hAnsi="Times New Roman" w:cs="Times New Roman"/>
          <w:sz w:val="20"/>
          <w:szCs w:val="20"/>
        </w:rPr>
      </w:pPr>
    </w:p>
    <w:p w:rsidR="00851FEA" w:rsidRDefault="00851FEA" w:rsidP="00D14E17">
      <w:pPr>
        <w:spacing w:after="0"/>
        <w:rPr>
          <w:rFonts w:ascii="Times New Roman" w:hAnsi="Times New Roman" w:cs="Times New Roman"/>
          <w:sz w:val="20"/>
          <w:szCs w:val="20"/>
        </w:rPr>
      </w:pPr>
    </w:p>
    <w:p w:rsidR="00851FEA" w:rsidRDefault="00851FEA" w:rsidP="00D14E17">
      <w:pPr>
        <w:spacing w:after="0"/>
        <w:rPr>
          <w:rFonts w:ascii="Times New Roman" w:hAnsi="Times New Roman" w:cs="Times New Roman"/>
          <w:sz w:val="20"/>
          <w:szCs w:val="20"/>
        </w:rPr>
      </w:pPr>
    </w:p>
    <w:p w:rsidR="00542491" w:rsidRDefault="00542491" w:rsidP="00D14E17">
      <w:pPr>
        <w:spacing w:after="0"/>
        <w:rPr>
          <w:rFonts w:ascii="Times New Roman" w:hAnsi="Times New Roman" w:cs="Times New Roman"/>
          <w:sz w:val="20"/>
          <w:szCs w:val="20"/>
        </w:rPr>
      </w:pPr>
    </w:p>
    <w:p w:rsidR="00542491" w:rsidRDefault="00542491" w:rsidP="00D14E17">
      <w:pPr>
        <w:spacing w:after="0"/>
        <w:rPr>
          <w:rFonts w:ascii="Times New Roman" w:hAnsi="Times New Roman" w:cs="Times New Roman"/>
          <w:sz w:val="20"/>
          <w:szCs w:val="20"/>
        </w:rPr>
      </w:pPr>
    </w:p>
    <w:p w:rsidR="00542491" w:rsidRDefault="00542491" w:rsidP="00D14E17">
      <w:pPr>
        <w:spacing w:after="0"/>
        <w:rPr>
          <w:rFonts w:ascii="Times New Roman" w:hAnsi="Times New Roman" w:cs="Times New Roman"/>
          <w:sz w:val="20"/>
          <w:szCs w:val="20"/>
        </w:rPr>
      </w:pPr>
    </w:p>
    <w:p w:rsidR="00542491" w:rsidRPr="00452F7C" w:rsidRDefault="00542491" w:rsidP="00D14E17">
      <w:pPr>
        <w:spacing w:after="0"/>
        <w:rPr>
          <w:rFonts w:ascii="Times New Roman" w:hAnsi="Times New Roman" w:cs="Times New Roman"/>
          <w:sz w:val="20"/>
          <w:szCs w:val="20"/>
        </w:rPr>
      </w:pPr>
    </w:p>
    <w:p w:rsidR="00C2778B" w:rsidRDefault="00C2778B" w:rsidP="00D14E17">
      <w:pPr>
        <w:spacing w:after="0"/>
        <w:rPr>
          <w:rFonts w:ascii="Times New Roman" w:hAnsi="Times New Roman" w:cs="Times New Roman"/>
          <w:sz w:val="20"/>
          <w:szCs w:val="20"/>
        </w:rPr>
      </w:pPr>
    </w:p>
    <w:p w:rsidR="00052B0A" w:rsidRDefault="00052B0A" w:rsidP="00D14E17">
      <w:pPr>
        <w:spacing w:after="0"/>
        <w:rPr>
          <w:rFonts w:ascii="Times New Roman" w:hAnsi="Times New Roman" w:cs="Times New Roman"/>
          <w:b/>
          <w:color w:val="5B9BD5" w:themeColor="accent1"/>
          <w:sz w:val="28"/>
        </w:rPr>
      </w:pPr>
      <w:r w:rsidRPr="00052B0A">
        <w:rPr>
          <w:rFonts w:ascii="Times New Roman" w:hAnsi="Times New Roman" w:cs="Times New Roman"/>
          <w:b/>
          <w:color w:val="5B9BD5" w:themeColor="accent1"/>
          <w:sz w:val="28"/>
        </w:rPr>
        <w:t xml:space="preserve">Zoznam </w:t>
      </w:r>
      <w:r>
        <w:rPr>
          <w:rFonts w:ascii="Times New Roman" w:hAnsi="Times New Roman" w:cs="Times New Roman"/>
          <w:b/>
          <w:color w:val="5B9BD5" w:themeColor="accent1"/>
          <w:sz w:val="28"/>
        </w:rPr>
        <w:t>grafov</w:t>
      </w:r>
    </w:p>
    <w:p w:rsidR="00D14E17" w:rsidRPr="005F019B" w:rsidRDefault="00D14E17" w:rsidP="00D14E17">
      <w:pPr>
        <w:spacing w:after="0"/>
        <w:rPr>
          <w:rFonts w:ascii="Times New Roman" w:hAnsi="Times New Roman" w:cs="Times New Roman"/>
          <w:color w:val="5B9BD5" w:themeColor="accent1"/>
          <w:sz w:val="20"/>
          <w:szCs w:val="20"/>
        </w:rPr>
      </w:pPr>
    </w:p>
    <w:p w:rsidR="00251C17" w:rsidRPr="00251C17" w:rsidRDefault="00362824">
      <w:pPr>
        <w:pStyle w:val="Zoznamobrzkov"/>
        <w:tabs>
          <w:tab w:val="right" w:leader="dot" w:pos="9062"/>
        </w:tabs>
        <w:rPr>
          <w:rFonts w:ascii="Times New Roman" w:eastAsiaTheme="minorEastAsia" w:hAnsi="Times New Roman" w:cs="Times New Roman"/>
          <w:noProof/>
          <w:sz w:val="20"/>
          <w:szCs w:val="20"/>
          <w:lang w:eastAsia="sk-SK"/>
        </w:rPr>
      </w:pPr>
      <w:r w:rsidRPr="00216910">
        <w:rPr>
          <w:rFonts w:ascii="Times New Roman" w:hAnsi="Times New Roman" w:cs="Times New Roman"/>
          <w:sz w:val="20"/>
          <w:szCs w:val="20"/>
        </w:rPr>
        <w:fldChar w:fldCharType="begin"/>
      </w:r>
      <w:r w:rsidRPr="00216910">
        <w:rPr>
          <w:rFonts w:ascii="Times New Roman" w:hAnsi="Times New Roman" w:cs="Times New Roman"/>
          <w:sz w:val="20"/>
          <w:szCs w:val="20"/>
        </w:rPr>
        <w:instrText xml:space="preserve"> TOC \h \z \c "Obrázok" </w:instrText>
      </w:r>
      <w:r w:rsidRPr="00216910">
        <w:rPr>
          <w:rFonts w:ascii="Times New Roman" w:hAnsi="Times New Roman" w:cs="Times New Roman"/>
          <w:sz w:val="20"/>
          <w:szCs w:val="20"/>
        </w:rPr>
        <w:fldChar w:fldCharType="separate"/>
      </w:r>
      <w:hyperlink w:anchor="_Toc84847992" w:history="1">
        <w:r w:rsidR="00251C17" w:rsidRPr="00251C17">
          <w:rPr>
            <w:rStyle w:val="Hypertextovprepojenie"/>
            <w:rFonts w:ascii="Times New Roman" w:eastAsia="Calibri" w:hAnsi="Times New Roman" w:cs="Times New Roman"/>
            <w:iCs/>
            <w:noProof/>
            <w:sz w:val="20"/>
            <w:szCs w:val="20"/>
          </w:rPr>
          <w:t xml:space="preserve">Graf 1 </w:t>
        </w:r>
        <w:r w:rsidR="00251C17" w:rsidRPr="00251C17">
          <w:rPr>
            <w:rStyle w:val="Hypertextovprepojenie"/>
            <w:rFonts w:ascii="Times New Roman" w:hAnsi="Times New Roman" w:cs="Times New Roman"/>
            <w:noProof/>
            <w:sz w:val="20"/>
            <w:szCs w:val="20"/>
          </w:rPr>
          <w:t>– Hlavné odchýlenia očakávanej skutočnosti oproti pôvodne schválenému rozpočtu (v % HDP)</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_Toc84847992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3" w:history="1">
        <w:r w:rsidR="00251C17" w:rsidRPr="00251C17">
          <w:rPr>
            <w:rStyle w:val="Hypertextovprepojenie"/>
            <w:rFonts w:ascii="Times New Roman" w:eastAsia="Calibri" w:hAnsi="Times New Roman" w:cs="Times New Roman"/>
            <w:iCs/>
            <w:noProof/>
            <w:sz w:val="20"/>
            <w:szCs w:val="20"/>
          </w:rPr>
          <w:t xml:space="preserve">Graf 2 - </w:t>
        </w:r>
        <w:r w:rsidR="00251C17" w:rsidRPr="00251C17">
          <w:rPr>
            <w:rStyle w:val="Hypertextovprepojenie"/>
            <w:rFonts w:ascii="Times New Roman" w:hAnsi="Times New Roman" w:cs="Times New Roman"/>
            <w:noProof/>
            <w:sz w:val="20"/>
            <w:szCs w:val="20"/>
          </w:rPr>
          <w:t>Zmena odhadu výberu daní a odvodov voči RVS – (podľa jednotlivých faktorov, v mil. eur)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_Toc84847993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4" w:history="1">
        <w:r w:rsidR="00251C17" w:rsidRPr="00251C17">
          <w:rPr>
            <w:rStyle w:val="Hypertextovprepojenie"/>
            <w:rFonts w:ascii="Times New Roman" w:eastAsia="Calibri" w:hAnsi="Times New Roman" w:cs="Times New Roman"/>
            <w:iCs/>
            <w:noProof/>
            <w:sz w:val="20"/>
            <w:szCs w:val="20"/>
          </w:rPr>
          <w:t xml:space="preserve">Graf 3 - </w:t>
        </w:r>
        <w:r w:rsidR="00251C17" w:rsidRPr="00251C17">
          <w:rPr>
            <w:rStyle w:val="Hypertextovprepojenie"/>
            <w:rFonts w:ascii="Times New Roman" w:hAnsi="Times New Roman" w:cs="Times New Roman"/>
            <w:noProof/>
            <w:sz w:val="20"/>
            <w:szCs w:val="20"/>
          </w:rPr>
          <w:t>Zmena odhadu výberu daní a odvodov voči RVS (podľa vybraných daní, rok 2021, v %)</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_Toc84847994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5" w:history="1">
        <w:r w:rsidR="00251C17" w:rsidRPr="00251C17">
          <w:rPr>
            <w:rStyle w:val="Hypertextovprepojenie"/>
            <w:rFonts w:ascii="Times New Roman" w:eastAsia="Calibri" w:hAnsi="Times New Roman" w:cs="Times New Roman"/>
            <w:iCs/>
            <w:noProof/>
            <w:sz w:val="20"/>
            <w:szCs w:val="20"/>
          </w:rPr>
          <w:t xml:space="preserve">Graf 4 - </w:t>
        </w:r>
        <w:r w:rsidR="00251C17" w:rsidRPr="00251C17">
          <w:rPr>
            <w:rStyle w:val="Hypertextovprepojenie"/>
            <w:rFonts w:ascii="Times New Roman" w:hAnsi="Times New Roman" w:cs="Times New Roman"/>
            <w:bCs/>
            <w:noProof/>
            <w:sz w:val="20"/>
            <w:szCs w:val="20"/>
          </w:rPr>
          <w:t>Zmena zaplatenej dane  firiem v 2020</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_Toc84847995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6" w:history="1">
        <w:r w:rsidR="00251C17" w:rsidRPr="00251C17">
          <w:rPr>
            <w:rStyle w:val="Hypertextovprepojenie"/>
            <w:rFonts w:ascii="Times New Roman" w:eastAsia="Calibri" w:hAnsi="Times New Roman" w:cs="Times New Roman"/>
            <w:iCs/>
            <w:noProof/>
            <w:sz w:val="20"/>
            <w:szCs w:val="20"/>
          </w:rPr>
          <w:t xml:space="preserve">Graf 5 - </w:t>
        </w:r>
        <w:r w:rsidR="00251C17" w:rsidRPr="00251C17">
          <w:rPr>
            <w:rStyle w:val="Hypertextovprepojenie"/>
            <w:rFonts w:ascii="Times New Roman" w:hAnsi="Times New Roman" w:cs="Times New Roman"/>
            <w:bCs/>
            <w:noProof/>
            <w:sz w:val="20"/>
            <w:szCs w:val="20"/>
          </w:rPr>
          <w:t>Skutočné plnenie DPH v 2. kvartáli</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_Toc84847996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7" w:history="1">
        <w:r w:rsidR="00251C17" w:rsidRPr="00251C17">
          <w:rPr>
            <w:rStyle w:val="Hypertextovprepojenie"/>
            <w:rFonts w:ascii="Times New Roman" w:eastAsia="Calibri" w:hAnsi="Times New Roman" w:cs="Times New Roman"/>
            <w:iCs/>
            <w:noProof/>
            <w:sz w:val="20"/>
            <w:szCs w:val="20"/>
          </w:rPr>
          <w:t xml:space="preserve">Graf 6 - </w:t>
        </w:r>
        <w:r w:rsidR="00251C17" w:rsidRPr="00251C17">
          <w:rPr>
            <w:rStyle w:val="Hypertextovprepojenie"/>
            <w:rFonts w:ascii="Times New Roman" w:hAnsi="Times New Roman" w:cs="Times New Roman"/>
            <w:bCs/>
            <w:noProof/>
            <w:sz w:val="20"/>
            <w:szCs w:val="20"/>
          </w:rPr>
          <w:t>EDS DPH rastie</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_Toc84847997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8" w:history="1">
        <w:r w:rsidR="00251C17" w:rsidRPr="00251C17">
          <w:rPr>
            <w:rStyle w:val="Hypertextovprepojenie"/>
            <w:rFonts w:ascii="Times New Roman" w:eastAsia="Calibri" w:hAnsi="Times New Roman" w:cs="Times New Roman"/>
            <w:iCs/>
            <w:noProof/>
            <w:sz w:val="20"/>
            <w:szCs w:val="20"/>
          </w:rPr>
          <w:t>Graf 7 -</w:t>
        </w:r>
        <w:r w:rsidR="00251C17" w:rsidRPr="00251C17">
          <w:rPr>
            <w:rStyle w:val="Hypertextovprepojenie"/>
            <w:rFonts w:ascii="Times New Roman" w:eastAsia="Arial Narrow" w:hAnsi="Times New Roman" w:cs="Times New Roman"/>
            <w:bCs/>
            <w:noProof/>
            <w:sz w:val="20"/>
            <w:szCs w:val="20"/>
            <w:lang w:eastAsia="sk-SK"/>
          </w:rPr>
          <w:t xml:space="preserve"> Prognóza hrubého a čistého dlhu verejnej správy (% HDP)</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_Toc84847998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7999" w:history="1">
        <w:r w:rsidR="00251C17" w:rsidRPr="00251C17">
          <w:rPr>
            <w:rStyle w:val="Hypertextovprepojenie"/>
            <w:rFonts w:ascii="Times New Roman" w:eastAsia="Calibri" w:hAnsi="Times New Roman" w:cs="Times New Roman"/>
            <w:iCs/>
            <w:noProof/>
            <w:sz w:val="20"/>
            <w:szCs w:val="20"/>
          </w:rPr>
          <w:t xml:space="preserve">Graf 8 </w:t>
        </w:r>
        <w:r w:rsidR="00251C17" w:rsidRPr="00251C17">
          <w:rPr>
            <w:rStyle w:val="Hypertextovprepojenie"/>
            <w:rFonts w:ascii="Times New Roman" w:eastAsia="Arial Narrow" w:hAnsi="Times New Roman" w:cs="Times New Roman"/>
            <w:bCs/>
            <w:noProof/>
            <w:sz w:val="20"/>
            <w:szCs w:val="20"/>
            <w:lang w:eastAsia="sk-SK"/>
          </w:rPr>
          <w:t>– Príspevky faktorov k medziročnej zmene hrubého dlhu (% HDP)</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_Toc84847999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25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0" w:history="1">
        <w:r w:rsidR="00251C17" w:rsidRPr="00251C17">
          <w:rPr>
            <w:rStyle w:val="Hypertextovprepojenie"/>
            <w:rFonts w:ascii="Times New Roman" w:eastAsia="Calibri" w:hAnsi="Times New Roman" w:cs="Times New Roman"/>
            <w:iCs/>
            <w:noProof/>
            <w:sz w:val="20"/>
            <w:szCs w:val="20"/>
          </w:rPr>
          <w:t>Graf 9 - Medziročný vývoj daňových a odvodových príjmov verejnej správy</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_Toc84848000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37</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1" w:history="1">
        <w:r w:rsidR="00251C17" w:rsidRPr="00251C17">
          <w:rPr>
            <w:rStyle w:val="Hypertextovprepojenie"/>
            <w:rFonts w:ascii="Times New Roman" w:eastAsia="Calibri" w:hAnsi="Times New Roman" w:cs="Times New Roman"/>
            <w:iCs/>
            <w:noProof/>
            <w:sz w:val="20"/>
            <w:szCs w:val="20"/>
          </w:rPr>
          <w:t>Graf 10 - Prognóza daňových príjmov verejnej správy na rok 2022 podľa sektorov (ESA 2010, v mil. eur)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_Toc84848001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37</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2" w:history="1">
        <w:r w:rsidR="00251C17" w:rsidRPr="00251C17">
          <w:rPr>
            <w:rStyle w:val="Hypertextovprepojenie"/>
            <w:rFonts w:ascii="Times New Roman" w:eastAsia="Calibri" w:hAnsi="Times New Roman" w:cs="Times New Roman"/>
            <w:noProof/>
            <w:sz w:val="20"/>
            <w:szCs w:val="20"/>
          </w:rPr>
          <w:t>Graf 11</w:t>
        </w:r>
        <w:r w:rsidR="00251C17" w:rsidRPr="00251C17">
          <w:rPr>
            <w:rStyle w:val="Hypertextovprepojenie"/>
            <w:rFonts w:ascii="Times New Roman" w:hAnsi="Times New Roman" w:cs="Times New Roman"/>
            <w:noProof/>
            <w:sz w:val="20"/>
            <w:szCs w:val="20"/>
          </w:rPr>
          <w:t xml:space="preserve"> - Medzinárodné porovnanie osobných výdavkov a počtu zamestnancov</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_Toc84848002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63</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3" w:history="1">
        <w:r w:rsidR="00251C17" w:rsidRPr="00251C17">
          <w:rPr>
            <w:rStyle w:val="Hypertextovprepojenie"/>
            <w:rFonts w:ascii="Times New Roman" w:eastAsia="Calibri" w:hAnsi="Times New Roman" w:cs="Times New Roman"/>
            <w:noProof/>
            <w:sz w:val="20"/>
            <w:szCs w:val="20"/>
          </w:rPr>
          <w:t>Graf 12</w:t>
        </w:r>
        <w:r w:rsidR="00251C17" w:rsidRPr="00251C17">
          <w:rPr>
            <w:rStyle w:val="Hypertextovprepojenie"/>
            <w:rFonts w:ascii="Times New Roman" w:hAnsi="Times New Roman" w:cs="Times New Roman"/>
            <w:noProof/>
            <w:sz w:val="20"/>
            <w:szCs w:val="20"/>
          </w:rPr>
          <w:t xml:space="preserve"> - Počet úradníkov</w:t>
        </w:r>
        <w:r w:rsidR="00251C17" w:rsidRPr="00251C17">
          <w:rPr>
            <w:rStyle w:val="Hypertextovprepojenie"/>
            <w:rFonts w:ascii="Times New Roman" w:eastAsia="Calibri" w:hAnsi="Times New Roman" w:cs="Times New Roman"/>
            <w:noProof/>
            <w:sz w:val="20"/>
            <w:szCs w:val="20"/>
          </w:rPr>
          <w:t xml:space="preserve"> na 1 000 obyvateľov (2017)</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_Toc84848003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64</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4" w:history="1">
        <w:r w:rsidR="00251C17" w:rsidRPr="00251C17">
          <w:rPr>
            <w:rStyle w:val="Hypertextovprepojenie"/>
            <w:rFonts w:ascii="Times New Roman" w:eastAsia="Calibri" w:hAnsi="Times New Roman" w:cs="Times New Roman"/>
            <w:noProof/>
            <w:sz w:val="20"/>
            <w:szCs w:val="20"/>
          </w:rPr>
          <w:t>Graf 13</w:t>
        </w:r>
        <w:r w:rsidR="00251C17" w:rsidRPr="00251C17">
          <w:rPr>
            <w:rStyle w:val="Hypertextovprepojenie"/>
            <w:rFonts w:ascii="Times New Roman" w:hAnsi="Times New Roman" w:cs="Times New Roman"/>
            <w:noProof/>
            <w:sz w:val="20"/>
            <w:szCs w:val="20"/>
          </w:rPr>
          <w:t xml:space="preserve"> - Veková štruktúra zamestnancov (2017) a hodinové mzdy v závislosti od veku (VŠ vzdelaní, 2017)</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_Toc84848004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64</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5" w:history="1">
        <w:r w:rsidR="00251C17" w:rsidRPr="00251C17">
          <w:rPr>
            <w:rStyle w:val="Hypertextovprepojenie"/>
            <w:rFonts w:ascii="Times New Roman" w:eastAsia="Calibri" w:hAnsi="Times New Roman" w:cs="Times New Roman"/>
            <w:noProof/>
            <w:sz w:val="20"/>
            <w:szCs w:val="20"/>
          </w:rPr>
          <w:t>Graf 14</w:t>
        </w:r>
        <w:r w:rsidR="00251C17" w:rsidRPr="00251C17">
          <w:rPr>
            <w:rStyle w:val="Hypertextovprepojenie"/>
            <w:rFonts w:ascii="Times New Roman" w:hAnsi="Times New Roman" w:cs="Times New Roman"/>
            <w:noProof/>
            <w:sz w:val="20"/>
            <w:szCs w:val="20"/>
          </w:rPr>
          <w:t xml:space="preserve"> - Počet zamestnancov na realizáciu Plánu obnovy a odolnosti SR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_Toc84848005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6" w:history="1">
        <w:r w:rsidR="00251C17" w:rsidRPr="00251C17">
          <w:rPr>
            <w:rStyle w:val="Hypertextovprepojenie"/>
            <w:rFonts w:ascii="Times New Roman" w:eastAsia="Calibri" w:hAnsi="Times New Roman" w:cs="Times New Roman"/>
            <w:noProof/>
            <w:sz w:val="20"/>
            <w:szCs w:val="20"/>
          </w:rPr>
          <w:t>Graf 15</w:t>
        </w:r>
        <w:r w:rsidR="00251C17" w:rsidRPr="00251C17">
          <w:rPr>
            <w:rStyle w:val="Hypertextovprepojenie"/>
            <w:rFonts w:ascii="Times New Roman" w:hAnsi="Times New Roman" w:cs="Times New Roman"/>
            <w:noProof/>
            <w:sz w:val="20"/>
            <w:szCs w:val="20"/>
          </w:rPr>
          <w:t xml:space="preserve"> - Medziročná zmena počtu zamestnancov</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_Toc84848006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68</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7" w:history="1">
        <w:r w:rsidR="00251C17" w:rsidRPr="00251C17">
          <w:rPr>
            <w:rStyle w:val="Hypertextovprepojenie"/>
            <w:rFonts w:ascii="Times New Roman" w:eastAsia="Calibri" w:hAnsi="Times New Roman" w:cs="Times New Roman"/>
            <w:noProof/>
            <w:sz w:val="20"/>
            <w:szCs w:val="20"/>
          </w:rPr>
          <w:t>Graf 16</w:t>
        </w:r>
        <w:r w:rsidR="00251C17" w:rsidRPr="00251C17">
          <w:rPr>
            <w:rStyle w:val="Hypertextovprepojenie"/>
            <w:rFonts w:ascii="Times New Roman" w:hAnsi="Times New Roman" w:cs="Times New Roman"/>
            <w:noProof/>
            <w:sz w:val="20"/>
            <w:szCs w:val="20"/>
          </w:rPr>
          <w:t xml:space="preserve"> - Osobné výdavky na realizáciu Plánu obnovy a odolnosti SR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_Toc84848007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69</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8" w:history="1">
        <w:r w:rsidR="00251C17" w:rsidRPr="00251C17">
          <w:rPr>
            <w:rStyle w:val="Hypertextovprepojenie"/>
            <w:rFonts w:ascii="Times New Roman" w:eastAsia="Calibri" w:hAnsi="Times New Roman" w:cs="Times New Roman"/>
            <w:noProof/>
            <w:sz w:val="20"/>
            <w:szCs w:val="20"/>
          </w:rPr>
          <w:t>Graf 17</w:t>
        </w:r>
        <w:r w:rsidR="00251C17" w:rsidRPr="00251C17">
          <w:rPr>
            <w:rStyle w:val="Hypertextovprepojenie"/>
            <w:rFonts w:ascii="Times New Roman" w:hAnsi="Times New Roman" w:cs="Times New Roman"/>
            <w:noProof/>
            <w:sz w:val="20"/>
            <w:szCs w:val="20"/>
          </w:rPr>
          <w:t xml:space="preserve"> - Zamestnanosť financovaná zo štátneho rozpočtu bez POO</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_Toc84848008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69</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09" w:history="1">
        <w:r w:rsidR="00251C17" w:rsidRPr="00251C17">
          <w:rPr>
            <w:rStyle w:val="Hypertextovprepojenie"/>
            <w:rFonts w:ascii="Times New Roman" w:eastAsia="Calibri" w:hAnsi="Times New Roman" w:cs="Times New Roman"/>
            <w:noProof/>
            <w:sz w:val="20"/>
            <w:szCs w:val="20"/>
          </w:rPr>
          <w:t>Graf 18</w:t>
        </w:r>
        <w:r w:rsidR="00251C17" w:rsidRPr="00251C17">
          <w:rPr>
            <w:rStyle w:val="Hypertextovprepojenie"/>
            <w:rFonts w:ascii="Times New Roman" w:hAnsi="Times New Roman" w:cs="Times New Roman"/>
            <w:noProof/>
            <w:sz w:val="20"/>
            <w:szCs w:val="20"/>
          </w:rPr>
          <w:t xml:space="preserve"> - Porovnanie výšky verejných investícií v Európskej únii (% HDP)</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_Toc84848009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71</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0" w:history="1">
        <w:r w:rsidR="00251C17" w:rsidRPr="00251C17">
          <w:rPr>
            <w:rStyle w:val="Hypertextovprepojenie"/>
            <w:rFonts w:ascii="Times New Roman" w:eastAsia="Calibri" w:hAnsi="Times New Roman" w:cs="Times New Roman"/>
            <w:noProof/>
            <w:sz w:val="20"/>
            <w:szCs w:val="20"/>
          </w:rPr>
          <w:t>Graf 19</w:t>
        </w:r>
        <w:r w:rsidR="00251C17" w:rsidRPr="00251C17">
          <w:rPr>
            <w:rStyle w:val="Hypertextovprepojenie"/>
            <w:rFonts w:ascii="Times New Roman" w:hAnsi="Times New Roman" w:cs="Times New Roman"/>
            <w:iCs/>
            <w:noProof/>
            <w:sz w:val="20"/>
            <w:szCs w:val="20"/>
          </w:rPr>
          <w:t xml:space="preserve"> - Kapitálové výdavky verejnej správy (mil. eur)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_Toc84848010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71</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1" w:history="1">
        <w:r w:rsidR="00251C17" w:rsidRPr="00251C17">
          <w:rPr>
            <w:rStyle w:val="Hypertextovprepojenie"/>
            <w:rFonts w:ascii="Times New Roman" w:eastAsia="Calibri" w:hAnsi="Times New Roman" w:cs="Times New Roman"/>
            <w:iCs/>
            <w:noProof/>
            <w:sz w:val="20"/>
            <w:szCs w:val="20"/>
          </w:rPr>
          <w:t>Graf 20 - Prognózy vývoja reálneho HDP (index 2019=100)</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_Toc84848011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2" w:history="1">
        <w:r w:rsidR="00251C17" w:rsidRPr="00251C17">
          <w:rPr>
            <w:rStyle w:val="Hypertextovprepojenie"/>
            <w:rFonts w:ascii="Times New Roman" w:eastAsia="Calibri" w:hAnsi="Times New Roman" w:cs="Times New Roman"/>
            <w:iCs/>
            <w:noProof/>
            <w:sz w:val="20"/>
            <w:szCs w:val="20"/>
          </w:rPr>
          <w:t>Graf 21 - Prognóza rastu zamestnanosti (ESA v %)</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_Toc84848012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75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3" w:history="1">
        <w:r w:rsidR="00251C17" w:rsidRPr="00251C17">
          <w:rPr>
            <w:rStyle w:val="Hypertextovprepojenie"/>
            <w:rFonts w:ascii="Times New Roman" w:hAnsi="Times New Roman" w:cs="Times New Roman"/>
            <w:iCs/>
            <w:noProof/>
            <w:sz w:val="20"/>
            <w:szCs w:val="20"/>
          </w:rPr>
          <w:t>Graf 22 - Výdavky na vzdelávanie, vedu, výskum a šport</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_Toc84848013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82</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4" w:history="1">
        <w:r w:rsidR="00251C17" w:rsidRPr="00251C17">
          <w:rPr>
            <w:rStyle w:val="Hypertextovprepojenie"/>
            <w:rFonts w:ascii="Times New Roman" w:hAnsi="Times New Roman" w:cs="Times New Roman"/>
            <w:iCs/>
            <w:noProof/>
            <w:sz w:val="20"/>
            <w:szCs w:val="20"/>
          </w:rPr>
          <w:t>Graf 23 - Ročné výdavky na študenta (v tis. PPP USD, 2018)</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_Toc84848014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82</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5" w:history="1">
        <w:r w:rsidR="00251C17" w:rsidRPr="00251C17">
          <w:rPr>
            <w:rStyle w:val="Hypertextovprepojenie"/>
            <w:rFonts w:ascii="Times New Roman" w:hAnsi="Times New Roman" w:cs="Times New Roman"/>
            <w:iCs/>
            <w:noProof/>
            <w:sz w:val="20"/>
            <w:szCs w:val="20"/>
          </w:rPr>
          <w:t>Graf 24 - Platy učiteľov a výdavky na výskum a vývoj</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_Toc84848015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83</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6" w:history="1">
        <w:r w:rsidR="00251C17" w:rsidRPr="00251C17">
          <w:rPr>
            <w:rStyle w:val="Hypertextovprepojenie"/>
            <w:rFonts w:ascii="Times New Roman" w:hAnsi="Times New Roman" w:cs="Times New Roman"/>
            <w:iCs/>
            <w:noProof/>
            <w:sz w:val="20"/>
            <w:szCs w:val="20"/>
          </w:rPr>
          <w:t>Graf 25 - Kilometre najazdené vlakom ročne na jedného obyvateľa</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_Toc84848016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7" w:history="1">
        <w:r w:rsidR="00251C17" w:rsidRPr="00251C17">
          <w:rPr>
            <w:rStyle w:val="Hypertextovprepojenie"/>
            <w:rFonts w:ascii="Times New Roman" w:hAnsi="Times New Roman" w:cs="Times New Roman"/>
            <w:iCs/>
            <w:noProof/>
            <w:sz w:val="20"/>
            <w:szCs w:val="20"/>
          </w:rPr>
          <w:t>Graf 26</w:t>
        </w:r>
        <w:r w:rsidR="00251C17" w:rsidRPr="00251C17">
          <w:rPr>
            <w:rStyle w:val="Hypertextovprepojenie"/>
            <w:rFonts w:ascii="Times New Roman" w:hAnsi="Times New Roman" w:cs="Times New Roman"/>
            <w:noProof/>
            <w:sz w:val="20"/>
            <w:szCs w:val="20"/>
          </w:rPr>
          <w:t xml:space="preserve"> - Stav ciest I. triedy</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_Toc84848017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8" w:history="1">
        <w:r w:rsidR="00251C17" w:rsidRPr="00251C17">
          <w:rPr>
            <w:rStyle w:val="Hypertextovprepojenie"/>
            <w:rFonts w:ascii="Times New Roman" w:hAnsi="Times New Roman" w:cs="Times New Roman"/>
            <w:iCs/>
            <w:noProof/>
            <w:sz w:val="20"/>
            <w:szCs w:val="20"/>
          </w:rPr>
          <w:t>Graf 27</w:t>
        </w:r>
        <w:r w:rsidR="00251C17" w:rsidRPr="00251C17">
          <w:rPr>
            <w:rStyle w:val="Hypertextovprepojenie"/>
            <w:rFonts w:ascii="Times New Roman" w:hAnsi="Times New Roman" w:cs="Times New Roman"/>
            <w:noProof/>
            <w:sz w:val="20"/>
            <w:szCs w:val="20"/>
          </w:rPr>
          <w:t xml:space="preserve"> - Štruktúra nákladov (1000 ur/stav.  km) a stav tratí (% tratí v určitom stave podľa ACK</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_Toc84848018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98</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19" w:history="1">
        <w:r w:rsidR="00251C17" w:rsidRPr="00251C17">
          <w:rPr>
            <w:rStyle w:val="Hypertextovprepojenie"/>
            <w:rFonts w:ascii="Times New Roman" w:hAnsi="Times New Roman" w:cs="Times New Roman"/>
            <w:noProof/>
            <w:sz w:val="20"/>
            <w:szCs w:val="20"/>
          </w:rPr>
          <w:t>Graf 28 - Výdavky na údržbu ciest I. triedy (mil. eur)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_Toc84848019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99</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0" w:history="1">
        <w:r w:rsidR="00251C17" w:rsidRPr="00251C17">
          <w:rPr>
            <w:rStyle w:val="Hypertextovprepojenie"/>
            <w:rFonts w:ascii="Times New Roman" w:hAnsi="Times New Roman" w:cs="Times New Roman"/>
            <w:iCs/>
            <w:noProof/>
            <w:sz w:val="20"/>
            <w:szCs w:val="20"/>
          </w:rPr>
          <w:t>Graf 29</w:t>
        </w:r>
        <w:r w:rsidR="00251C17" w:rsidRPr="00251C17">
          <w:rPr>
            <w:rStyle w:val="Hypertextovprepojenie"/>
            <w:rFonts w:ascii="Times New Roman" w:hAnsi="Times New Roman" w:cs="Times New Roman"/>
            <w:noProof/>
            <w:sz w:val="20"/>
            <w:szCs w:val="20"/>
          </w:rPr>
          <w:t xml:space="preserve"> - Výška úhrady za dopravné služby (mil. eur) a pomer odpisov ku najazdeným vlkm</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_Toc84848020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100</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1" w:history="1">
        <w:r w:rsidR="00251C17" w:rsidRPr="00251C17">
          <w:rPr>
            <w:rStyle w:val="Hypertextovprepojenie"/>
            <w:rFonts w:ascii="Times New Roman" w:hAnsi="Times New Roman" w:cs="Times New Roman"/>
            <w:noProof/>
            <w:sz w:val="20"/>
            <w:szCs w:val="20"/>
          </w:rPr>
          <w:t>Graf 30 - Verejné výdavky na sociálne zabezpečenie a ich štruktúra, 2019</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_Toc84848021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102</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2" w:history="1">
        <w:r w:rsidR="00251C17" w:rsidRPr="00251C17">
          <w:rPr>
            <w:rStyle w:val="Hypertextovprepojenie"/>
            <w:rFonts w:ascii="Times New Roman" w:hAnsi="Times New Roman" w:cs="Times New Roman"/>
            <w:noProof/>
            <w:sz w:val="20"/>
            <w:szCs w:val="20"/>
          </w:rPr>
          <w:t>Graf 31 - Miera zamestnanosti a miera rizika chudoby alebo sociálneho vylúčenia</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_Toc84848022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104</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3" w:history="1">
        <w:r w:rsidR="00251C17" w:rsidRPr="00251C17">
          <w:rPr>
            <w:rStyle w:val="Hypertextovprepojenie"/>
            <w:rFonts w:ascii="Times New Roman" w:hAnsi="Times New Roman" w:cs="Times New Roman"/>
            <w:noProof/>
            <w:sz w:val="20"/>
            <w:szCs w:val="20"/>
          </w:rPr>
          <w:t>Graf 32 - Rozdelenie výdavkov na LTC a pokrytie odkázaných osôb službami LTC</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_Toc84848023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105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4" w:history="1">
        <w:r w:rsidR="00251C17" w:rsidRPr="00251C17">
          <w:rPr>
            <w:rStyle w:val="Hypertextovprepojenie"/>
            <w:rFonts w:ascii="Times New Roman" w:eastAsia="Times New Roman" w:hAnsi="Times New Roman" w:cs="Times New Roman"/>
            <w:iCs/>
            <w:noProof/>
            <w:sz w:val="20"/>
            <w:szCs w:val="20"/>
            <w:lang w:eastAsia="cs-CZ"/>
          </w:rPr>
          <w:t>Graf 33 - Úmrtnosť odvrátiteľná zdravotnou starostlivosťou a Porovnanie rastu výdavkov na zdravotníctvo a HDP</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_Toc84848024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112</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5" w:history="1">
        <w:r w:rsidR="00251C17" w:rsidRPr="00251C17">
          <w:rPr>
            <w:rStyle w:val="Hypertextovprepojenie"/>
            <w:rFonts w:ascii="Times New Roman" w:hAnsi="Times New Roman" w:cs="Times New Roman"/>
            <w:iCs/>
            <w:noProof/>
            <w:sz w:val="20"/>
            <w:szCs w:val="20"/>
          </w:rPr>
          <w:t>Graf 34</w:t>
        </w:r>
        <w:r w:rsidR="00251C17" w:rsidRPr="00251C17">
          <w:rPr>
            <w:rStyle w:val="Hypertextovprepojenie"/>
            <w:rFonts w:ascii="Times New Roman" w:eastAsia="Calibri" w:hAnsi="Times New Roman" w:cs="Times New Roman"/>
            <w:iCs/>
            <w:noProof/>
            <w:sz w:val="20"/>
            <w:szCs w:val="20"/>
            <w:lang w:eastAsia="cs-CZ"/>
          </w:rPr>
          <w:t xml:space="preserve"> - Plat sestry ako násobok priemernej mzdy, 2019 a Počet chýbajúcich sestier podľa štatistického zisťovania a prognózy MZ z roku 2017 (bez vplyvu COVID-19)</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_Toc84848025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115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6" w:history="1">
        <w:r w:rsidR="00251C17" w:rsidRPr="00251C17">
          <w:rPr>
            <w:rStyle w:val="Hypertextovprepojenie"/>
            <w:rFonts w:ascii="Times New Roman" w:hAnsi="Times New Roman" w:cs="Times New Roman"/>
            <w:iCs/>
            <w:noProof/>
            <w:sz w:val="20"/>
            <w:szCs w:val="20"/>
          </w:rPr>
          <w:t>Graf 35 - Verejné výdavky na pôdohospodárstvo (% HDP, 2019)</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_Toc84848026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127</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7" w:history="1">
        <w:r w:rsidR="00251C17" w:rsidRPr="00251C17">
          <w:rPr>
            <w:rStyle w:val="Hypertextovprepojenie"/>
            <w:rFonts w:ascii="Times New Roman" w:hAnsi="Times New Roman" w:cs="Times New Roman"/>
            <w:noProof/>
            <w:sz w:val="20"/>
            <w:szCs w:val="20"/>
          </w:rPr>
          <w:t>Graf 36 - Výdavky na verejný poriadok a bezpečnosť (v % HDP; 2019)</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_Toc84848027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135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8" w:history="1">
        <w:r w:rsidR="00251C17" w:rsidRPr="00251C17">
          <w:rPr>
            <w:rStyle w:val="Hypertextovprepojenie"/>
            <w:rFonts w:ascii="Times New Roman" w:hAnsi="Times New Roman" w:cs="Times New Roman"/>
            <w:noProof/>
            <w:sz w:val="20"/>
            <w:szCs w:val="20"/>
          </w:rPr>
          <w:t>Graf 37 - Vývoj výdavkov na obranu (mil. eur)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_Toc84848028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142</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29" w:history="1">
        <w:r w:rsidR="00251C17" w:rsidRPr="00251C17">
          <w:rPr>
            <w:rStyle w:val="Hypertextovprepojenie"/>
            <w:rFonts w:ascii="Times New Roman" w:hAnsi="Times New Roman" w:cs="Times New Roman"/>
            <w:noProof/>
            <w:sz w:val="20"/>
            <w:szCs w:val="20"/>
          </w:rPr>
          <w:t>Graf 38 - Vývoj výdavkov na obranu (kapitola MO SR a medzirezortné výdavky, % HDP)</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_Toc84848029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147</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0" w:history="1">
        <w:r w:rsidR="00251C17" w:rsidRPr="00251C17">
          <w:rPr>
            <w:rStyle w:val="Hypertextovprepojenie"/>
            <w:rFonts w:ascii="Times New Roman" w:hAnsi="Times New Roman" w:cs="Times New Roman"/>
            <w:noProof/>
            <w:sz w:val="20"/>
            <w:szCs w:val="20"/>
          </w:rPr>
          <w:t>Graf 39 - Štruktúra výdavkov kapitoly na roky 2022 - 2024</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_Toc84848030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154</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1" w:history="1">
        <w:r w:rsidR="00251C17" w:rsidRPr="00251C17">
          <w:rPr>
            <w:rStyle w:val="Hypertextovprepojenie"/>
            <w:rFonts w:ascii="Times New Roman" w:hAnsi="Times New Roman" w:cs="Times New Roman"/>
            <w:noProof/>
            <w:sz w:val="20"/>
            <w:szCs w:val="20"/>
          </w:rPr>
          <w:t>Graf 40 - Štruktúra rezerv kapitoly na rok 2022</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_Toc84848031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2" w:history="1">
        <w:r w:rsidR="00251C17" w:rsidRPr="00251C17">
          <w:rPr>
            <w:rStyle w:val="Hypertextovprepojenie"/>
            <w:rFonts w:ascii="Times New Roman" w:hAnsi="Times New Roman" w:cs="Times New Roman"/>
            <w:iCs/>
            <w:noProof/>
            <w:sz w:val="20"/>
            <w:szCs w:val="20"/>
          </w:rPr>
          <w:t>Graf 41</w:t>
        </w:r>
        <w:r w:rsidR="00251C17" w:rsidRPr="00251C17">
          <w:rPr>
            <w:rStyle w:val="Hypertextovprepojenie"/>
            <w:rFonts w:ascii="Times New Roman" w:hAnsi="Times New Roman" w:cs="Times New Roman"/>
            <w:noProof/>
            <w:sz w:val="20"/>
            <w:szCs w:val="20"/>
          </w:rPr>
          <w:t xml:space="preserve"> - Výdavky súvisiace s rozpočtom EÚ</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_Toc84848032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158</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3" w:history="1">
        <w:r w:rsidR="00251C17" w:rsidRPr="00251C17">
          <w:rPr>
            <w:rStyle w:val="Hypertextovprepojenie"/>
            <w:rFonts w:ascii="Times New Roman" w:hAnsi="Times New Roman" w:cs="Times New Roman"/>
            <w:iCs/>
            <w:noProof/>
            <w:sz w:val="20"/>
            <w:szCs w:val="20"/>
          </w:rPr>
          <w:t>Graf 42 - Verejné výdavky na životné prostredie (COFOG, % verejných výdavkov, 2019)</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_Toc84848033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4" w:history="1">
        <w:r w:rsidR="00251C17" w:rsidRPr="00251C17">
          <w:rPr>
            <w:rStyle w:val="Hypertextovprepojenie"/>
            <w:rFonts w:ascii="Times New Roman" w:hAnsi="Times New Roman" w:cs="Times New Roman"/>
            <w:iCs/>
            <w:noProof/>
            <w:sz w:val="20"/>
            <w:szCs w:val="20"/>
          </w:rPr>
          <w:t>Graf 43 - Verejné výdavky na oblasti životného prostredia (2019, % verejných výdavkov na životné prostredie)</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_Toc84848034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165</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5" w:history="1">
        <w:r w:rsidR="00251C17" w:rsidRPr="00251C17">
          <w:rPr>
            <w:rStyle w:val="Hypertextovprepojenie"/>
            <w:rFonts w:ascii="Times New Roman" w:hAnsi="Times New Roman" w:cs="Times New Roman"/>
            <w:iCs/>
            <w:noProof/>
            <w:sz w:val="20"/>
            <w:szCs w:val="20"/>
          </w:rPr>
          <w:t>Graf 44 - Napojenie obyvateľstva na verejnú kanalizáciu</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_Toc84848035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6" w:history="1">
        <w:r w:rsidR="00251C17" w:rsidRPr="00251C17">
          <w:rPr>
            <w:rStyle w:val="Hypertextovprepojenie"/>
            <w:rFonts w:ascii="Times New Roman" w:hAnsi="Times New Roman" w:cs="Times New Roman"/>
            <w:iCs/>
            <w:noProof/>
            <w:sz w:val="20"/>
            <w:szCs w:val="20"/>
          </w:rPr>
          <w:t>Graf 45 - Miera recyklácie komunálneho odpadu (2019)</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_Toc84848036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166</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7" w:history="1">
        <w:r w:rsidR="00251C17" w:rsidRPr="00251C17">
          <w:rPr>
            <w:rStyle w:val="Hypertextovprepojenie"/>
            <w:rFonts w:ascii="Times New Roman" w:hAnsi="Times New Roman" w:cs="Times New Roman"/>
            <w:iCs/>
            <w:noProof/>
            <w:sz w:val="20"/>
            <w:szCs w:val="20"/>
          </w:rPr>
          <w:t>Graf 46 - Vývoj bežných IT výdavkov financovaných zo štátneho rozpočtu podľa EKRK (mil. eur)</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_Toc84848037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179</w:t>
        </w:r>
        <w:r w:rsidR="00251C17" w:rsidRPr="00251C17">
          <w:rPr>
            <w:rFonts w:ascii="Times New Roman" w:hAnsi="Times New Roman" w:cs="Times New Roman"/>
            <w:noProof/>
            <w:webHidden/>
            <w:sz w:val="20"/>
            <w:szCs w:val="20"/>
          </w:rPr>
          <w:fldChar w:fldCharType="end"/>
        </w:r>
      </w:hyperlink>
    </w:p>
    <w:p w:rsidR="00251C17" w:rsidRPr="00251C17" w:rsidRDefault="0049163E">
      <w:pPr>
        <w:pStyle w:val="Zoznamobrzkov"/>
        <w:tabs>
          <w:tab w:val="right" w:leader="dot" w:pos="9062"/>
        </w:tabs>
        <w:rPr>
          <w:rFonts w:ascii="Times New Roman" w:eastAsiaTheme="minorEastAsia" w:hAnsi="Times New Roman" w:cs="Times New Roman"/>
          <w:noProof/>
          <w:sz w:val="20"/>
          <w:szCs w:val="20"/>
          <w:lang w:eastAsia="sk-SK"/>
        </w:rPr>
      </w:pPr>
      <w:hyperlink w:anchor="_Toc84848038" w:history="1">
        <w:r w:rsidR="00251C17" w:rsidRPr="00251C17">
          <w:rPr>
            <w:rStyle w:val="Hypertextovprepojenie"/>
            <w:rFonts w:ascii="Times New Roman" w:hAnsi="Times New Roman" w:cs="Times New Roman"/>
            <w:noProof/>
            <w:sz w:val="20"/>
            <w:szCs w:val="20"/>
          </w:rPr>
          <w:t>Graf 47 - Verejné výdavky na kultúru v rokoch 2011 – 2019 (podľa metodiky COFOG)</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_Toc84848038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184</w:t>
        </w:r>
        <w:r w:rsidR="00251C17" w:rsidRPr="00251C17">
          <w:rPr>
            <w:rFonts w:ascii="Times New Roman" w:hAnsi="Times New Roman" w:cs="Times New Roman"/>
            <w:noProof/>
            <w:webHidden/>
            <w:sz w:val="20"/>
            <w:szCs w:val="20"/>
          </w:rPr>
          <w:fldChar w:fldCharType="end"/>
        </w:r>
      </w:hyperlink>
    </w:p>
    <w:p w:rsidR="00251C17" w:rsidRDefault="0049163E">
      <w:pPr>
        <w:pStyle w:val="Zoznamobrzkov"/>
        <w:tabs>
          <w:tab w:val="right" w:leader="dot" w:pos="9062"/>
        </w:tabs>
        <w:rPr>
          <w:rFonts w:eastAsiaTheme="minorEastAsia"/>
          <w:noProof/>
          <w:lang w:eastAsia="sk-SK"/>
        </w:rPr>
      </w:pPr>
      <w:hyperlink w:anchor="_Toc84848039" w:history="1">
        <w:r w:rsidR="00251C17" w:rsidRPr="00251C17">
          <w:rPr>
            <w:rStyle w:val="Hypertextovprepojenie"/>
            <w:rFonts w:ascii="Times New Roman" w:hAnsi="Times New Roman" w:cs="Times New Roman"/>
            <w:noProof/>
            <w:sz w:val="20"/>
            <w:szCs w:val="20"/>
          </w:rPr>
          <w:t>Graf 48 – Štruktúra verejných výdavkov na kultúru* (podľa metodiky COFOG) v roku 2022</w:t>
        </w:r>
        <w:r w:rsidR="00251C17" w:rsidRPr="00251C17">
          <w:rPr>
            <w:rFonts w:ascii="Times New Roman" w:hAnsi="Times New Roman" w:cs="Times New Roman"/>
            <w:noProof/>
            <w:webHidden/>
            <w:sz w:val="20"/>
            <w:szCs w:val="20"/>
          </w:rPr>
          <w:tab/>
        </w:r>
        <w:r w:rsidR="00251C17" w:rsidRPr="00251C17">
          <w:rPr>
            <w:rFonts w:ascii="Times New Roman" w:hAnsi="Times New Roman" w:cs="Times New Roman"/>
            <w:noProof/>
            <w:webHidden/>
            <w:sz w:val="20"/>
            <w:szCs w:val="20"/>
          </w:rPr>
          <w:fldChar w:fldCharType="begin"/>
        </w:r>
        <w:r w:rsidR="00251C17" w:rsidRPr="00251C17">
          <w:rPr>
            <w:rFonts w:ascii="Times New Roman" w:hAnsi="Times New Roman" w:cs="Times New Roman"/>
            <w:noProof/>
            <w:webHidden/>
            <w:sz w:val="20"/>
            <w:szCs w:val="20"/>
          </w:rPr>
          <w:instrText xml:space="preserve"> PAGEREF _Toc84848039 \h </w:instrText>
        </w:r>
        <w:r w:rsidR="00251C17" w:rsidRPr="00251C17">
          <w:rPr>
            <w:rFonts w:ascii="Times New Roman" w:hAnsi="Times New Roman" w:cs="Times New Roman"/>
            <w:noProof/>
            <w:webHidden/>
            <w:sz w:val="20"/>
            <w:szCs w:val="20"/>
          </w:rPr>
        </w:r>
        <w:r w:rsidR="00251C17" w:rsidRPr="00251C17">
          <w:rPr>
            <w:rFonts w:ascii="Times New Roman" w:hAnsi="Times New Roman" w:cs="Times New Roman"/>
            <w:noProof/>
            <w:webHidden/>
            <w:sz w:val="20"/>
            <w:szCs w:val="20"/>
          </w:rPr>
          <w:fldChar w:fldCharType="separate"/>
        </w:r>
        <w:r w:rsidR="006E67C6">
          <w:rPr>
            <w:rFonts w:ascii="Times New Roman" w:hAnsi="Times New Roman" w:cs="Times New Roman"/>
            <w:noProof/>
            <w:webHidden/>
            <w:sz w:val="20"/>
            <w:szCs w:val="20"/>
          </w:rPr>
          <w:t>185</w:t>
        </w:r>
        <w:r w:rsidR="00251C17" w:rsidRPr="00251C17">
          <w:rPr>
            <w:rFonts w:ascii="Times New Roman" w:hAnsi="Times New Roman" w:cs="Times New Roman"/>
            <w:noProof/>
            <w:webHidden/>
            <w:sz w:val="20"/>
            <w:szCs w:val="20"/>
          </w:rPr>
          <w:fldChar w:fldCharType="end"/>
        </w:r>
      </w:hyperlink>
    </w:p>
    <w:p w:rsidR="00052B0A" w:rsidRDefault="00362824">
      <w:pPr>
        <w:rPr>
          <w:rFonts w:ascii="Times New Roman" w:hAnsi="Times New Roman" w:cs="Times New Roman"/>
          <w:sz w:val="20"/>
          <w:szCs w:val="20"/>
        </w:rPr>
      </w:pPr>
      <w:r w:rsidRPr="00216910">
        <w:rPr>
          <w:rFonts w:ascii="Times New Roman" w:hAnsi="Times New Roman" w:cs="Times New Roman"/>
          <w:sz w:val="20"/>
          <w:szCs w:val="20"/>
        </w:rPr>
        <w:fldChar w:fldCharType="end"/>
      </w:r>
    </w:p>
    <w:p w:rsidR="00052B0A" w:rsidRDefault="00052B0A" w:rsidP="00052B0A">
      <w:pPr>
        <w:pStyle w:val="Nadpis1"/>
        <w:keepNext w:val="0"/>
        <w:widowControl w:val="0"/>
        <w:spacing w:before="0"/>
        <w:rPr>
          <w:rFonts w:ascii="Times New Roman" w:hAnsi="Times New Roman" w:cs="Times New Roman"/>
          <w:b/>
          <w:color w:val="5B9BD5" w:themeColor="accent1"/>
          <w:sz w:val="28"/>
        </w:rPr>
      </w:pPr>
      <w:bookmarkStart w:id="1" w:name="_Toc52893234"/>
      <w:bookmarkStart w:id="2" w:name="_Toc84684741"/>
      <w:r w:rsidRPr="00052B0A">
        <w:rPr>
          <w:rFonts w:ascii="Times New Roman" w:hAnsi="Times New Roman" w:cs="Times New Roman"/>
          <w:b/>
          <w:color w:val="5B9BD5" w:themeColor="accent1"/>
          <w:sz w:val="28"/>
        </w:rPr>
        <w:t>Zhrnutie</w:t>
      </w:r>
      <w:bookmarkEnd w:id="1"/>
      <w:bookmarkEnd w:id="2"/>
    </w:p>
    <w:p w:rsidR="0064597C" w:rsidRDefault="0064597C" w:rsidP="0064597C"/>
    <w:p w:rsidR="00E34105" w:rsidRPr="0024278B" w:rsidRDefault="00E34105" w:rsidP="008F09CD">
      <w:pPr>
        <w:pBdr>
          <w:bottom w:val="single" w:sz="12" w:space="1" w:color="auto"/>
        </w:pBdr>
        <w:spacing w:after="0" w:line="240" w:lineRule="auto"/>
        <w:jc w:val="both"/>
        <w:rPr>
          <w:rFonts w:ascii="Times New Roman" w:hAnsi="Times New Roman" w:cs="Times New Roman"/>
          <w:i/>
          <w:sz w:val="24"/>
          <w:szCs w:val="24"/>
        </w:rPr>
      </w:pPr>
      <w:r w:rsidRPr="0024278B">
        <w:rPr>
          <w:rFonts w:ascii="Times New Roman" w:hAnsi="Times New Roman" w:cs="Times New Roman"/>
          <w:i/>
          <w:sz w:val="24"/>
          <w:szCs w:val="24"/>
        </w:rPr>
        <w:t>Príprava návrhu rozpočtu prebiehala v podmienkach pokračujúcej pandémie ochorenia COVID-19</w:t>
      </w:r>
      <w:r w:rsidR="00FB2654">
        <w:rPr>
          <w:rFonts w:ascii="Times New Roman" w:hAnsi="Times New Roman" w:cs="Times New Roman"/>
          <w:i/>
          <w:sz w:val="24"/>
          <w:szCs w:val="24"/>
        </w:rPr>
        <w:t xml:space="preserve"> a pokračujúcej neistoty ohľadom</w:t>
      </w:r>
      <w:r w:rsidRPr="0024278B">
        <w:rPr>
          <w:rFonts w:ascii="Times New Roman" w:hAnsi="Times New Roman" w:cs="Times New Roman"/>
          <w:i/>
          <w:sz w:val="24"/>
          <w:szCs w:val="24"/>
        </w:rPr>
        <w:t xml:space="preserve"> jej budúceho vývoja. Návrh rozpočtu bol zostavený so zreteľom na prihlásenie sa Slovenska ku klubu 8 krajín EÚ, ktoré presadzujú aby členské štáty v prvom rade mysleli na zdravie svojich verejných financií a znižovali verejný dlh, ktorý vznikol počas koronakrízy. Návrh rozpočtu predpokladá výrazný pokles deficitu z</w:t>
      </w:r>
      <w:r w:rsidR="002008BD">
        <w:rPr>
          <w:rFonts w:ascii="Times New Roman" w:hAnsi="Times New Roman" w:cs="Times New Roman"/>
          <w:i/>
          <w:sz w:val="24"/>
          <w:szCs w:val="24"/>
        </w:rPr>
        <w:t> </w:t>
      </w:r>
      <w:r w:rsidRPr="0024278B">
        <w:rPr>
          <w:rFonts w:ascii="Times New Roman" w:hAnsi="Times New Roman" w:cs="Times New Roman"/>
          <w:i/>
          <w:sz w:val="24"/>
          <w:szCs w:val="24"/>
        </w:rPr>
        <w:t>úrovne</w:t>
      </w:r>
      <w:r w:rsidR="008F09CD">
        <w:rPr>
          <w:rFonts w:ascii="Times New Roman" w:hAnsi="Times New Roman" w:cs="Times New Roman"/>
          <w:i/>
          <w:sz w:val="24"/>
          <w:szCs w:val="24"/>
        </w:rPr>
        <w:t xml:space="preserve"> 10</w:t>
      </w:r>
      <w:r w:rsidR="002008BD">
        <w:rPr>
          <w:rFonts w:ascii="Times New Roman" w:hAnsi="Times New Roman" w:cs="Times New Roman"/>
          <w:i/>
          <w:sz w:val="24"/>
          <w:szCs w:val="24"/>
        </w:rPr>
        <w:t xml:space="preserve"> %</w:t>
      </w:r>
      <w:r w:rsidR="00B501E1">
        <w:rPr>
          <w:rFonts w:ascii="Times New Roman" w:hAnsi="Times New Roman" w:cs="Times New Roman"/>
          <w:i/>
          <w:sz w:val="24"/>
          <w:szCs w:val="24"/>
        </w:rPr>
        <w:t xml:space="preserve"> HDP</w:t>
      </w:r>
      <w:r w:rsidR="002008BD">
        <w:rPr>
          <w:rFonts w:ascii="Times New Roman" w:hAnsi="Times New Roman" w:cs="Times New Roman"/>
          <w:i/>
          <w:sz w:val="24"/>
          <w:szCs w:val="24"/>
        </w:rPr>
        <w:t xml:space="preserve"> očakávanej skutočnosti prezentovanej v Programe stability</w:t>
      </w:r>
      <w:r w:rsidR="008F09CD">
        <w:rPr>
          <w:rFonts w:ascii="Times New Roman" w:hAnsi="Times New Roman" w:cs="Times New Roman"/>
          <w:i/>
          <w:sz w:val="24"/>
          <w:szCs w:val="24"/>
        </w:rPr>
        <w:t xml:space="preserve"> pre tento rok na polovičnú úroveň, </w:t>
      </w:r>
      <w:r w:rsidR="00B501E1">
        <w:rPr>
          <w:rFonts w:ascii="Times New Roman" w:hAnsi="Times New Roman" w:cs="Times New Roman"/>
          <w:i/>
          <w:sz w:val="24"/>
          <w:szCs w:val="24"/>
        </w:rPr>
        <w:t xml:space="preserve">t. j. </w:t>
      </w:r>
      <w:r w:rsidR="008F09CD">
        <w:rPr>
          <w:rFonts w:ascii="Times New Roman" w:hAnsi="Times New Roman" w:cs="Times New Roman"/>
          <w:i/>
          <w:sz w:val="24"/>
          <w:szCs w:val="24"/>
        </w:rPr>
        <w:t>pod</w:t>
      </w:r>
      <w:r w:rsidRPr="0024278B">
        <w:rPr>
          <w:rFonts w:ascii="Times New Roman" w:hAnsi="Times New Roman" w:cs="Times New Roman"/>
          <w:i/>
          <w:sz w:val="24"/>
          <w:szCs w:val="24"/>
        </w:rPr>
        <w:t xml:space="preserve"> 5 %</w:t>
      </w:r>
      <w:r w:rsidR="00B501E1">
        <w:rPr>
          <w:rFonts w:ascii="Times New Roman" w:hAnsi="Times New Roman" w:cs="Times New Roman"/>
          <w:i/>
          <w:sz w:val="24"/>
          <w:szCs w:val="24"/>
        </w:rPr>
        <w:t xml:space="preserve"> HDP</w:t>
      </w:r>
      <w:r w:rsidRPr="0024278B">
        <w:rPr>
          <w:rFonts w:ascii="Times New Roman" w:hAnsi="Times New Roman" w:cs="Times New Roman"/>
          <w:i/>
          <w:sz w:val="24"/>
          <w:szCs w:val="24"/>
        </w:rPr>
        <w:t xml:space="preserve"> v roku 2022. Na druhej strane s ohľadom na pokračujúcu pandémiu ochorenia COVID-19 návrh rozpočtu počíta s financovaním dopadov prebiehajúcej 3. vlny pandémie, ktoré sa z časti presunú do prvých mesiacov roka 2022</w:t>
      </w:r>
      <w:r w:rsidR="00B90499">
        <w:rPr>
          <w:rFonts w:ascii="Times New Roman" w:hAnsi="Times New Roman" w:cs="Times New Roman"/>
          <w:i/>
          <w:sz w:val="24"/>
          <w:szCs w:val="24"/>
        </w:rPr>
        <w:t>. Z</w:t>
      </w:r>
      <w:r w:rsidRPr="0024278B">
        <w:rPr>
          <w:rFonts w:ascii="Times New Roman" w:hAnsi="Times New Roman" w:cs="Times New Roman"/>
          <w:i/>
          <w:sz w:val="24"/>
          <w:szCs w:val="24"/>
        </w:rPr>
        <w:t>ároveň vytvára priestor na štrukturálne opatrenia a plnenie cieľov, ku ktorým sa vláda zaviazala vo svojom programovom vyhlásení.</w:t>
      </w:r>
      <w:r w:rsidR="00E73811">
        <w:rPr>
          <w:rFonts w:ascii="Times New Roman" w:hAnsi="Times New Roman" w:cs="Times New Roman"/>
          <w:i/>
          <w:sz w:val="24"/>
          <w:szCs w:val="24"/>
        </w:rPr>
        <w:t xml:space="preserve"> Rozpočet tak predstavuje starostlivo vyváženú kombináciu principiálnej rozpočtovej zodpovednosti, dostatočnej zdrojovej bázy na možné presahy pandémie</w:t>
      </w:r>
      <w:r w:rsidR="00A822AB">
        <w:rPr>
          <w:rFonts w:ascii="Times New Roman" w:hAnsi="Times New Roman" w:cs="Times New Roman"/>
          <w:i/>
          <w:sz w:val="24"/>
          <w:szCs w:val="24"/>
        </w:rPr>
        <w:t xml:space="preserve"> (</w:t>
      </w:r>
      <w:r w:rsidR="00710876">
        <w:rPr>
          <w:rFonts w:ascii="Times New Roman" w:hAnsi="Times New Roman" w:cs="Times New Roman"/>
          <w:i/>
          <w:sz w:val="24"/>
          <w:szCs w:val="24"/>
        </w:rPr>
        <w:t xml:space="preserve">v podobe </w:t>
      </w:r>
      <w:r w:rsidR="00B86798">
        <w:rPr>
          <w:rFonts w:ascii="Times New Roman" w:hAnsi="Times New Roman" w:cs="Times New Roman"/>
          <w:i/>
          <w:sz w:val="24"/>
          <w:szCs w:val="24"/>
        </w:rPr>
        <w:t xml:space="preserve">rezervy) a zahŕňa aj zdroje </w:t>
      </w:r>
      <w:r w:rsidR="008B65DE">
        <w:rPr>
          <w:rFonts w:ascii="Times New Roman" w:hAnsi="Times New Roman" w:cs="Times New Roman"/>
          <w:i/>
          <w:sz w:val="24"/>
          <w:szCs w:val="24"/>
        </w:rPr>
        <w:t>pre</w:t>
      </w:r>
      <w:r w:rsidR="00E73811">
        <w:rPr>
          <w:rFonts w:ascii="Times New Roman" w:hAnsi="Times New Roman" w:cs="Times New Roman"/>
          <w:i/>
          <w:sz w:val="24"/>
          <w:szCs w:val="24"/>
        </w:rPr>
        <w:t xml:space="preserve"> rozvoj ekonomiky</w:t>
      </w:r>
      <w:r w:rsidR="00A822AB">
        <w:rPr>
          <w:rFonts w:ascii="Times New Roman" w:hAnsi="Times New Roman" w:cs="Times New Roman"/>
          <w:i/>
          <w:sz w:val="24"/>
          <w:szCs w:val="24"/>
        </w:rPr>
        <w:t xml:space="preserve"> formou investícií </w:t>
      </w:r>
      <w:r w:rsidR="00E73811">
        <w:rPr>
          <w:rFonts w:ascii="Times New Roman" w:hAnsi="Times New Roman" w:cs="Times New Roman"/>
          <w:i/>
          <w:sz w:val="24"/>
          <w:szCs w:val="24"/>
        </w:rPr>
        <w:t xml:space="preserve">(najmä v oblasti </w:t>
      </w:r>
      <w:r w:rsidR="00A822AB">
        <w:rPr>
          <w:rFonts w:ascii="Times New Roman" w:hAnsi="Times New Roman" w:cs="Times New Roman"/>
          <w:i/>
          <w:sz w:val="24"/>
          <w:szCs w:val="24"/>
        </w:rPr>
        <w:t>E</w:t>
      </w:r>
      <w:r w:rsidR="00E73811">
        <w:rPr>
          <w:rFonts w:ascii="Times New Roman" w:hAnsi="Times New Roman" w:cs="Times New Roman"/>
          <w:i/>
          <w:sz w:val="24"/>
          <w:szCs w:val="24"/>
        </w:rPr>
        <w:t>urópskych zdrojov – ako štrukturálnych fondov, tak aj zd</w:t>
      </w:r>
      <w:r w:rsidR="008F09CD">
        <w:rPr>
          <w:rFonts w:ascii="Times New Roman" w:hAnsi="Times New Roman" w:cs="Times New Roman"/>
          <w:i/>
          <w:sz w:val="24"/>
          <w:szCs w:val="24"/>
        </w:rPr>
        <w:t>rojov Plánu obnovy a odolnosti) rastúcich na historicky najvyššiu úroveň takmer 6 mld. eur, čo predstavuje zvýšenie</w:t>
      </w:r>
      <w:r w:rsidR="009F6EB7">
        <w:rPr>
          <w:rFonts w:ascii="Times New Roman" w:hAnsi="Times New Roman" w:cs="Times New Roman"/>
          <w:i/>
          <w:sz w:val="24"/>
          <w:szCs w:val="24"/>
        </w:rPr>
        <w:t xml:space="preserve"> na</w:t>
      </w:r>
      <w:r w:rsidR="008F09CD">
        <w:rPr>
          <w:rFonts w:ascii="Times New Roman" w:hAnsi="Times New Roman" w:cs="Times New Roman"/>
          <w:i/>
          <w:sz w:val="24"/>
          <w:szCs w:val="24"/>
        </w:rPr>
        <w:t xml:space="preserve"> </w:t>
      </w:r>
      <w:r w:rsidR="009F6EB7">
        <w:rPr>
          <w:rFonts w:ascii="Times New Roman" w:hAnsi="Times New Roman" w:cs="Times New Roman"/>
          <w:i/>
          <w:sz w:val="24"/>
          <w:szCs w:val="24"/>
        </w:rPr>
        <w:t>približne 1,5 násobok</w:t>
      </w:r>
      <w:r w:rsidR="008F09CD" w:rsidRPr="008F09CD">
        <w:rPr>
          <w:rFonts w:ascii="Times New Roman" w:hAnsi="Times New Roman" w:cs="Times New Roman"/>
          <w:i/>
          <w:sz w:val="24"/>
          <w:szCs w:val="24"/>
        </w:rPr>
        <w:t xml:space="preserve"> priemeru rokov 2018 až 2021</w:t>
      </w:r>
      <w:r w:rsidR="008F09CD">
        <w:rPr>
          <w:rFonts w:ascii="Times New Roman" w:hAnsi="Times New Roman" w:cs="Times New Roman"/>
          <w:i/>
          <w:sz w:val="24"/>
          <w:szCs w:val="24"/>
        </w:rPr>
        <w:t>.</w:t>
      </w:r>
    </w:p>
    <w:p w:rsidR="00E34105" w:rsidRPr="00562428" w:rsidRDefault="00E34105" w:rsidP="00E34105">
      <w:pPr>
        <w:pBdr>
          <w:bottom w:val="single" w:sz="12" w:space="1" w:color="auto"/>
        </w:pBdr>
        <w:spacing w:after="0" w:line="240" w:lineRule="auto"/>
        <w:jc w:val="both"/>
        <w:rPr>
          <w:rFonts w:ascii="Times New Roman" w:hAnsi="Times New Roman" w:cs="Times New Roman"/>
          <w:sz w:val="24"/>
          <w:szCs w:val="24"/>
        </w:rPr>
      </w:pPr>
    </w:p>
    <w:p w:rsidR="00E34105" w:rsidRPr="00562428" w:rsidRDefault="00E34105" w:rsidP="00E34105">
      <w:pPr>
        <w:widowControl w:val="0"/>
        <w:spacing w:after="0" w:line="240" w:lineRule="auto"/>
        <w:jc w:val="both"/>
        <w:rPr>
          <w:rFonts w:ascii="Times New Roman" w:hAnsi="Times New Roman" w:cs="Times New Roman"/>
          <w:sz w:val="24"/>
          <w:szCs w:val="24"/>
        </w:rPr>
      </w:pPr>
    </w:p>
    <w:p w:rsidR="00E34105" w:rsidRPr="00562428" w:rsidRDefault="00E34105" w:rsidP="00E34105">
      <w:pPr>
        <w:widowControl w:val="0"/>
        <w:spacing w:after="0" w:line="240" w:lineRule="auto"/>
        <w:jc w:val="both"/>
        <w:rPr>
          <w:rFonts w:ascii="Times New Roman" w:eastAsia="NeueHaasGroteskText W02" w:hAnsi="Times New Roman" w:cs="Times New Roman"/>
          <w:noProof/>
          <w:sz w:val="24"/>
          <w:szCs w:val="24"/>
        </w:rPr>
      </w:pPr>
      <w:r w:rsidRPr="00562428">
        <w:rPr>
          <w:rFonts w:ascii="Times New Roman" w:eastAsia="NeueHaasGroteskText W02" w:hAnsi="Times New Roman" w:cs="Times New Roman"/>
          <w:b/>
          <w:noProof/>
          <w:sz w:val="24"/>
          <w:szCs w:val="24"/>
        </w:rPr>
        <w:t>Po prepade ekonomiky v dôsledku globálnej pandémie sa HDP Slovenska v roku 2021 čiastočne zotaví</w:t>
      </w:r>
      <w:r w:rsidRPr="00562428">
        <w:rPr>
          <w:rFonts w:ascii="Times New Roman" w:eastAsia="NeueHaasGroteskText W02" w:hAnsi="Times New Roman" w:cs="Times New Roman"/>
          <w:noProof/>
          <w:sz w:val="24"/>
          <w:szCs w:val="24"/>
        </w:rPr>
        <w:t xml:space="preserve"> a stúpne o 3,7 %. Uvoľnenie opatrení po druhej vlne sa pretavilo do vyššej spotreby domácností, avšak oživenie ekonomiky koncom roku stlmí tretia vlna pandémie. </w:t>
      </w:r>
      <w:r w:rsidRPr="00562428">
        <w:rPr>
          <w:rFonts w:ascii="Times New Roman" w:eastAsia="NeueHaasGroteskText W02" w:hAnsi="Times New Roman" w:cs="Times New Roman"/>
          <w:b/>
          <w:noProof/>
          <w:sz w:val="24"/>
          <w:szCs w:val="24"/>
        </w:rPr>
        <w:t>V roku 2022 dosiahne rast HDP 4,2 %</w:t>
      </w:r>
      <w:r w:rsidRPr="00562428">
        <w:rPr>
          <w:rFonts w:ascii="Times New Roman" w:eastAsia="NeueHaasGroteskText W02" w:hAnsi="Times New Roman" w:cs="Times New Roman"/>
          <w:noProof/>
          <w:sz w:val="24"/>
          <w:szCs w:val="24"/>
        </w:rPr>
        <w:t>, hnaný najmä investíciami. Pandémia začiatkom roku ustúpi, neistota sa zníži a firmy opäť začnú investovať. Nástup tretej vlny a s ňou spojené opatrenia prerušia pozitívn</w:t>
      </w:r>
      <w:r w:rsidR="00FB2654">
        <w:rPr>
          <w:rFonts w:ascii="Times New Roman" w:eastAsia="NeueHaasGroteskText W02" w:hAnsi="Times New Roman" w:cs="Times New Roman"/>
          <w:noProof/>
          <w:sz w:val="24"/>
          <w:szCs w:val="24"/>
        </w:rPr>
        <w:t>y vývoj na trhu práce. Očakáva sa</w:t>
      </w:r>
      <w:r w:rsidRPr="00562428">
        <w:rPr>
          <w:rFonts w:ascii="Times New Roman" w:eastAsia="NeueHaasGroteskText W02" w:hAnsi="Times New Roman" w:cs="Times New Roman"/>
          <w:noProof/>
          <w:sz w:val="24"/>
          <w:szCs w:val="24"/>
        </w:rPr>
        <w:t xml:space="preserve">, že zamestnanosť začne výraznejšie rásť na jar roku 2022. Priemerná nominálna mzda sa v roku 2021 zvýši o 5,4 %. Rast cien v roku 2022 prekročí 4 % a bude tlmiť zotavenie ekonomiky. </w:t>
      </w:r>
    </w:p>
    <w:p w:rsidR="00E34105" w:rsidRPr="00562428" w:rsidRDefault="00E34105" w:rsidP="00E34105">
      <w:pPr>
        <w:widowControl w:val="0"/>
        <w:spacing w:after="0" w:line="240" w:lineRule="auto"/>
        <w:jc w:val="both"/>
        <w:rPr>
          <w:rFonts w:ascii="Times New Roman" w:eastAsia="NeueHaasGroteskText W02" w:hAnsi="Times New Roman" w:cs="Times New Roman"/>
          <w:noProof/>
          <w:sz w:val="24"/>
          <w:szCs w:val="24"/>
        </w:rPr>
      </w:pPr>
    </w:p>
    <w:p w:rsidR="00E34105" w:rsidRPr="00562428" w:rsidRDefault="00E34105" w:rsidP="00E34105">
      <w:pPr>
        <w:widowControl w:val="0"/>
        <w:spacing w:after="0" w:line="240" w:lineRule="auto"/>
        <w:jc w:val="both"/>
        <w:rPr>
          <w:rFonts w:ascii="Times New Roman" w:eastAsia="NeueHaasGroteskText W02" w:hAnsi="Times New Roman" w:cs="Times New Roman"/>
          <w:b/>
          <w:noProof/>
          <w:sz w:val="24"/>
          <w:szCs w:val="24"/>
        </w:rPr>
      </w:pPr>
      <w:r w:rsidRPr="00562428">
        <w:rPr>
          <w:rFonts w:ascii="Times New Roman" w:eastAsia="NeueHaasGroteskText W02" w:hAnsi="Times New Roman" w:cs="Times New Roman"/>
          <w:b/>
          <w:noProof/>
          <w:sz w:val="24"/>
          <w:szCs w:val="24"/>
        </w:rPr>
        <w:t xml:space="preserve">Makroekonomické predpoklady boli základom pre vypracovanie aktuálnych prognóz daňových príjmov verejnej správy na roky 2022 až 2024. </w:t>
      </w:r>
      <w:r w:rsidRPr="00562428">
        <w:rPr>
          <w:rFonts w:ascii="Times New Roman" w:eastAsia="NeueHaasGroteskText W02" w:hAnsi="Times New Roman" w:cs="Times New Roman"/>
          <w:noProof/>
          <w:sz w:val="24"/>
          <w:szCs w:val="24"/>
        </w:rPr>
        <w:t xml:space="preserve">Aktuálna prognóza bola podrobená nezávislému hodnoteniu v rámci Výboru pre daňové prognózy dňa 23. 9. 2021. Výsledkom je celkové hodnotenie charakteru prognózy MF SR na základe stanoveného kritéria. </w:t>
      </w:r>
      <w:r w:rsidRPr="00562428">
        <w:rPr>
          <w:rFonts w:ascii="Times New Roman" w:eastAsia="NeueHaasGroteskText W02" w:hAnsi="Times New Roman" w:cs="Times New Roman"/>
          <w:b/>
          <w:noProof/>
          <w:sz w:val="24"/>
          <w:szCs w:val="24"/>
        </w:rPr>
        <w:t xml:space="preserve">Strednodobá prognóza daňových príjmov a sociálnych odvodov MF SR bola všetkými členmi Výboru označená ako </w:t>
      </w:r>
      <w:r w:rsidRPr="00562428">
        <w:rPr>
          <w:rFonts w:ascii="Times New Roman" w:eastAsia="NeueHaasGroteskText W02" w:hAnsi="Times New Roman" w:cs="Times New Roman"/>
          <w:b/>
          <w:bCs/>
          <w:noProof/>
          <w:sz w:val="24"/>
          <w:szCs w:val="24"/>
        </w:rPr>
        <w:t>realistická</w:t>
      </w:r>
      <w:r w:rsidRPr="00562428">
        <w:rPr>
          <w:rFonts w:ascii="Times New Roman" w:eastAsia="NeueHaasGroteskText W02" w:hAnsi="Times New Roman" w:cs="Times New Roman"/>
          <w:b/>
          <w:noProof/>
          <w:sz w:val="24"/>
          <w:szCs w:val="24"/>
        </w:rPr>
        <w:t xml:space="preserve">. </w:t>
      </w:r>
    </w:p>
    <w:p w:rsidR="00E34105" w:rsidRPr="00562428" w:rsidRDefault="00E34105" w:rsidP="00E34105">
      <w:pPr>
        <w:widowControl w:val="0"/>
        <w:spacing w:after="0" w:line="240" w:lineRule="auto"/>
        <w:jc w:val="both"/>
        <w:rPr>
          <w:rFonts w:ascii="Times New Roman" w:eastAsia="NeueHaasGroteskText W02" w:hAnsi="Times New Roman" w:cs="Times New Roman"/>
          <w:noProof/>
          <w:sz w:val="24"/>
          <w:szCs w:val="24"/>
        </w:rPr>
      </w:pPr>
    </w:p>
    <w:p w:rsidR="00E34105" w:rsidRPr="00562428" w:rsidRDefault="00E34105" w:rsidP="00E34105">
      <w:pPr>
        <w:spacing w:after="0" w:line="240" w:lineRule="auto"/>
        <w:jc w:val="both"/>
        <w:rPr>
          <w:rFonts w:ascii="Times New Roman" w:eastAsia="Calibri" w:hAnsi="Times New Roman" w:cs="Times New Roman"/>
          <w:sz w:val="24"/>
          <w:szCs w:val="24"/>
        </w:rPr>
      </w:pPr>
      <w:r w:rsidRPr="00562428">
        <w:rPr>
          <w:rFonts w:ascii="Times New Roman" w:eastAsia="Calibri" w:hAnsi="Times New Roman" w:cs="Times New Roman"/>
          <w:sz w:val="24"/>
          <w:szCs w:val="24"/>
        </w:rPr>
        <w:t>Prognóza daňových príjmov verejnej správy je v porovnaní so schváleným rozpočtom na roky 2021 až 2023 vyššia o 1 až 3 mld. eur. Za zlepšením sú najmä príjmy z DPPO po zapracovaní lepších ako očakávaných príjmov za rok 2020, ktoré zlepšujú výber korporátnej dane na celom horizonte. Od 2021 sa pripája aj DPH na základe silného plnenia počas roka, ktoré reflektuje rast domácej spotreby a rast úspešnosti výberu. Od roku 2022 ďalšie príjmy</w:t>
      </w:r>
      <w:r w:rsidR="00BB5E23">
        <w:rPr>
          <w:rStyle w:val="Odkaznapoznmkupodiarou"/>
          <w:rFonts w:ascii="Times New Roman" w:eastAsia="Calibri" w:hAnsi="Times New Roman"/>
          <w:sz w:val="24"/>
          <w:szCs w:val="24"/>
        </w:rPr>
        <w:footnoteReference w:id="1"/>
      </w:r>
      <w:r w:rsidRPr="00562428">
        <w:rPr>
          <w:rFonts w:ascii="Times New Roman" w:eastAsia="Calibri" w:hAnsi="Times New Roman" w:cs="Times New Roman"/>
          <w:sz w:val="24"/>
          <w:szCs w:val="24"/>
        </w:rPr>
        <w:t xml:space="preserve"> prináša  pokračujúci hospodársky rast dodatoč</w:t>
      </w:r>
      <w:r w:rsidR="00BB5E23">
        <w:rPr>
          <w:rFonts w:ascii="Times New Roman" w:eastAsia="Calibri" w:hAnsi="Times New Roman" w:cs="Times New Roman"/>
          <w:sz w:val="24"/>
          <w:szCs w:val="24"/>
        </w:rPr>
        <w:t>ne podporený prostriedkami z EÚ</w:t>
      </w:r>
      <w:r w:rsidRPr="00562428">
        <w:rPr>
          <w:rFonts w:ascii="Times New Roman" w:eastAsia="Calibri" w:hAnsi="Times New Roman" w:cs="Times New Roman"/>
          <w:sz w:val="24"/>
          <w:szCs w:val="24"/>
        </w:rPr>
        <w:t xml:space="preserve">. Nová legislatíva vplýva na prognózu len minimálne. </w:t>
      </w:r>
    </w:p>
    <w:p w:rsidR="00E34105" w:rsidRPr="00562428" w:rsidRDefault="00E34105" w:rsidP="00E34105">
      <w:pPr>
        <w:widowControl w:val="0"/>
        <w:spacing w:after="0" w:line="240" w:lineRule="auto"/>
        <w:jc w:val="both"/>
        <w:rPr>
          <w:rFonts w:ascii="Times New Roman" w:eastAsia="NeueHaasGroteskText W02" w:hAnsi="Times New Roman" w:cs="Times New Roman"/>
          <w:noProof/>
          <w:sz w:val="24"/>
          <w:szCs w:val="24"/>
        </w:rPr>
      </w:pPr>
    </w:p>
    <w:p w:rsidR="00E34105" w:rsidRPr="00562428" w:rsidRDefault="00E34105" w:rsidP="00E34105">
      <w:pPr>
        <w:spacing w:after="0" w:line="240" w:lineRule="auto"/>
        <w:contextualSpacing/>
        <w:jc w:val="both"/>
        <w:rPr>
          <w:rFonts w:ascii="Times New Roman" w:hAnsi="Times New Roman" w:cs="Times New Roman"/>
          <w:sz w:val="24"/>
          <w:szCs w:val="24"/>
        </w:rPr>
      </w:pPr>
      <w:r w:rsidRPr="00562428">
        <w:rPr>
          <w:rFonts w:ascii="Times New Roman" w:hAnsi="Times New Roman" w:cs="Times New Roman"/>
          <w:b/>
          <w:sz w:val="24"/>
          <w:szCs w:val="24"/>
        </w:rPr>
        <w:t>Schodok rozpočtu verejnej správy sa aktuálne v roku 2021 odhaduje v metodike ESA 2010 na úrovni 7,92 % HDP.</w:t>
      </w:r>
      <w:r w:rsidRPr="00562428">
        <w:rPr>
          <w:rFonts w:ascii="Times New Roman" w:hAnsi="Times New Roman" w:cs="Times New Roman"/>
          <w:sz w:val="24"/>
          <w:szCs w:val="24"/>
        </w:rPr>
        <w:t xml:space="preserve"> Z dôvodu negatívnejšieho priebehu pandémie COVID–19, v súvislosti s jej silnou druhou vlnou bolo potrebné v priebehu roka prijať novelu zákona o štátnom rozpočte a tým umožniť najmä financovanie opatrení vlády v súvislosti s ochorením COVID–19. Zhoršenie hospodárenia oproti pôvodne schválenému rozpočtu verejnej správy predstavuje 0,51 %</w:t>
      </w:r>
      <w:r w:rsidR="00164A62">
        <w:rPr>
          <w:rFonts w:ascii="Times New Roman" w:hAnsi="Times New Roman" w:cs="Times New Roman"/>
          <w:sz w:val="24"/>
          <w:szCs w:val="24"/>
        </w:rPr>
        <w:t xml:space="preserve"> HDP</w:t>
      </w:r>
      <w:r w:rsidRPr="00562428">
        <w:rPr>
          <w:rStyle w:val="Odkaznapoznmkupodiarou"/>
          <w:rFonts w:ascii="Times New Roman" w:hAnsi="Times New Roman"/>
          <w:sz w:val="24"/>
          <w:szCs w:val="24"/>
        </w:rPr>
        <w:footnoteReference w:id="2"/>
      </w:r>
      <w:r w:rsidRPr="00562428">
        <w:rPr>
          <w:rFonts w:ascii="Times New Roman" w:hAnsi="Times New Roman" w:cs="Times New Roman"/>
          <w:sz w:val="24"/>
          <w:szCs w:val="24"/>
        </w:rPr>
        <w:t>. Vplyv financovania opatrení proti pandémii COVID–19 sa očakáva na 1,99 % HDP, z toho predpokladané čerpanie COVID výdavkov novely štátneho rozpočtu predstavuje 1,68 % HDP a zvýšené výdavky poistenia Sociálnej poisťovne na pandemické dávky sa očakávajú v objeme 0,31 % HDP.</w:t>
      </w:r>
      <w:r w:rsidR="004D1916">
        <w:rPr>
          <w:rStyle w:val="Odkaznapoznmkupodiarou"/>
          <w:rFonts w:ascii="Times New Roman" w:hAnsi="Times New Roman"/>
          <w:sz w:val="24"/>
          <w:szCs w:val="24"/>
        </w:rPr>
        <w:footnoteReference w:id="3"/>
      </w:r>
    </w:p>
    <w:p w:rsidR="00E34105" w:rsidRPr="00562428" w:rsidRDefault="00E34105" w:rsidP="00E34105">
      <w:pPr>
        <w:spacing w:after="0" w:line="240" w:lineRule="auto"/>
        <w:contextualSpacing/>
        <w:jc w:val="both"/>
        <w:rPr>
          <w:rFonts w:ascii="Times New Roman" w:hAnsi="Times New Roman" w:cs="Times New Roman"/>
          <w:sz w:val="24"/>
          <w:szCs w:val="24"/>
        </w:rPr>
      </w:pPr>
    </w:p>
    <w:p w:rsidR="00E34105" w:rsidRDefault="00E34105" w:rsidP="00E34105">
      <w:pPr>
        <w:spacing w:after="0" w:line="240" w:lineRule="auto"/>
        <w:jc w:val="both"/>
        <w:rPr>
          <w:rFonts w:ascii="Times New Roman" w:hAnsi="Times New Roman" w:cs="Times New Roman"/>
          <w:sz w:val="24"/>
          <w:szCs w:val="24"/>
        </w:rPr>
      </w:pPr>
      <w:r w:rsidRPr="00562428">
        <w:rPr>
          <w:rFonts w:ascii="Times New Roman" w:hAnsi="Times New Roman" w:cs="Times New Roman"/>
          <w:b/>
          <w:sz w:val="24"/>
          <w:szCs w:val="24"/>
        </w:rPr>
        <w:t>Rozpočtový cieľ na rok 2022 je stanovený na úrovni 4,94 % HDP. V ďalšom roku návrh rozpočtu verejnej správy predpokladá pokles deficitu hospodárenia verejnej správy pod 3 % HDP</w:t>
      </w:r>
      <w:r w:rsidRPr="00562428">
        <w:rPr>
          <w:rFonts w:ascii="Times New Roman" w:hAnsi="Times New Roman" w:cs="Times New Roman"/>
          <w:sz w:val="24"/>
          <w:szCs w:val="24"/>
        </w:rPr>
        <w:t xml:space="preserve">. V roku 2023 by sa tak mali slovenské verejné financie dostať už mimo korektívnej časti Paktu stability a rastu, pri deficite na úrovni približne 2,7 % HDP. </w:t>
      </w:r>
      <w:r w:rsidRPr="00562428">
        <w:rPr>
          <w:rFonts w:ascii="Times New Roman" w:hAnsi="Times New Roman" w:cs="Times New Roman"/>
          <w:b/>
          <w:sz w:val="24"/>
          <w:szCs w:val="24"/>
        </w:rPr>
        <w:t>Na horizonte rozpočtu by mal hrubý dlh SR kulminovať v rokoch 2021 a 2022 na úrovni 61,5 % HDP a do roku 2024 klesnúť pod 59 % HDP.</w:t>
      </w:r>
      <w:r w:rsidRPr="00562428">
        <w:rPr>
          <w:rFonts w:ascii="Times New Roman" w:hAnsi="Times New Roman" w:cs="Times New Roman"/>
          <w:sz w:val="24"/>
          <w:szCs w:val="24"/>
        </w:rPr>
        <w:t xml:space="preserve"> Vzhľadom na prognózovanú úroveň dlhu nad všetkými sankčnými pásmami ústavného zákona o rozp</w:t>
      </w:r>
      <w:r w:rsidR="00164A62">
        <w:rPr>
          <w:rFonts w:ascii="Times New Roman" w:hAnsi="Times New Roman" w:cs="Times New Roman"/>
          <w:sz w:val="24"/>
          <w:szCs w:val="24"/>
        </w:rPr>
        <w:t>očtovej zodpovednosti vyžaduje</w:t>
      </w:r>
      <w:r w:rsidRPr="00562428">
        <w:rPr>
          <w:rFonts w:ascii="Times New Roman" w:hAnsi="Times New Roman" w:cs="Times New Roman"/>
          <w:sz w:val="24"/>
          <w:szCs w:val="24"/>
        </w:rPr>
        <w:t xml:space="preserve"> platná legislatíva na rok 2024 už dosiahnutie nominálne vyrovnaného rozpočtu, čo by si pri súčasných podmienkach fiškálneho rámca vyžadovalo prijatie konsolidačných opatrení na úrovni takmer 4 mld. eur.</w:t>
      </w:r>
    </w:p>
    <w:p w:rsidR="00164A62" w:rsidRDefault="00164A62" w:rsidP="00E34105">
      <w:pPr>
        <w:spacing w:after="0" w:line="240" w:lineRule="auto"/>
        <w:jc w:val="both"/>
        <w:rPr>
          <w:rFonts w:ascii="Times New Roman" w:hAnsi="Times New Roman" w:cs="Times New Roman"/>
          <w:sz w:val="24"/>
          <w:szCs w:val="24"/>
        </w:rPr>
      </w:pPr>
    </w:p>
    <w:p w:rsidR="00164A62" w:rsidRDefault="00164A62" w:rsidP="00E34105">
      <w:pPr>
        <w:spacing w:after="0" w:line="240" w:lineRule="auto"/>
        <w:jc w:val="both"/>
        <w:rPr>
          <w:rFonts w:ascii="Times New Roman" w:hAnsi="Times New Roman" w:cs="Times New Roman"/>
          <w:sz w:val="24"/>
          <w:szCs w:val="24"/>
        </w:rPr>
      </w:pPr>
      <w:r w:rsidRPr="00B54137">
        <w:rPr>
          <w:rFonts w:ascii="Times New Roman" w:hAnsi="Times New Roman" w:cs="Times New Roman"/>
          <w:b/>
          <w:sz w:val="24"/>
          <w:szCs w:val="24"/>
        </w:rPr>
        <w:t>Výdavky verejnej správy</w:t>
      </w:r>
      <w:r>
        <w:rPr>
          <w:rFonts w:ascii="Times New Roman" w:hAnsi="Times New Roman" w:cs="Times New Roman"/>
          <w:sz w:val="24"/>
          <w:szCs w:val="24"/>
        </w:rPr>
        <w:t xml:space="preserve"> </w:t>
      </w:r>
      <w:r w:rsidRPr="00164A62">
        <w:rPr>
          <w:rFonts w:ascii="Times New Roman" w:hAnsi="Times New Roman" w:cs="Times New Roman"/>
          <w:sz w:val="24"/>
          <w:szCs w:val="24"/>
        </w:rPr>
        <w:t>porastú najmä</w:t>
      </w:r>
      <w:r>
        <w:rPr>
          <w:rFonts w:ascii="Times New Roman" w:hAnsi="Times New Roman" w:cs="Times New Roman"/>
          <w:sz w:val="24"/>
          <w:szCs w:val="24"/>
        </w:rPr>
        <w:t xml:space="preserve"> </w:t>
      </w:r>
      <w:r w:rsidRPr="00164A62">
        <w:rPr>
          <w:rFonts w:ascii="Times New Roman" w:hAnsi="Times New Roman" w:cs="Times New Roman"/>
          <w:sz w:val="24"/>
          <w:szCs w:val="24"/>
        </w:rPr>
        <w:t>v školstve, kde verejné v</w:t>
      </w:r>
      <w:r>
        <w:rPr>
          <w:rFonts w:ascii="Times New Roman" w:hAnsi="Times New Roman" w:cs="Times New Roman"/>
          <w:sz w:val="24"/>
          <w:szCs w:val="24"/>
        </w:rPr>
        <w:t xml:space="preserve">ýdavky medzinárodne zaostávajú, v </w:t>
      </w:r>
      <w:r w:rsidRPr="00164A62">
        <w:rPr>
          <w:rFonts w:ascii="Times New Roman" w:hAnsi="Times New Roman" w:cs="Times New Roman"/>
          <w:sz w:val="24"/>
          <w:szCs w:val="24"/>
        </w:rPr>
        <w:t>zdravotníctve, kde Slovensko nedosahuje dobré výsledky a</w:t>
      </w:r>
      <w:r w:rsidR="00B54137">
        <w:rPr>
          <w:rFonts w:ascii="Times New Roman" w:hAnsi="Times New Roman" w:cs="Times New Roman"/>
          <w:sz w:val="24"/>
          <w:szCs w:val="24"/>
        </w:rPr>
        <w:t xml:space="preserve"> v </w:t>
      </w:r>
      <w:r w:rsidRPr="00164A62">
        <w:rPr>
          <w:rFonts w:ascii="Times New Roman" w:hAnsi="Times New Roman" w:cs="Times New Roman"/>
          <w:sz w:val="24"/>
          <w:szCs w:val="24"/>
        </w:rPr>
        <w:t xml:space="preserve">sociálnej oblasti, ktorá patrí medzi priority vlády podľa programového vyhlásenia. V súvislosti s nástupom tretej vlny pandémie a pretrvávajúcim nepriaznivým vplyvom pandémie </w:t>
      </w:r>
      <w:r w:rsidR="00B54137">
        <w:rPr>
          <w:rFonts w:ascii="Times New Roman" w:hAnsi="Times New Roman" w:cs="Times New Roman"/>
          <w:sz w:val="24"/>
          <w:szCs w:val="24"/>
        </w:rPr>
        <w:t xml:space="preserve">ochorenia </w:t>
      </w:r>
      <w:r w:rsidRPr="00164A62">
        <w:rPr>
          <w:rFonts w:ascii="Times New Roman" w:hAnsi="Times New Roman" w:cs="Times New Roman"/>
          <w:sz w:val="24"/>
          <w:szCs w:val="24"/>
        </w:rPr>
        <w:t xml:space="preserve">COVID-19 je v rozpočte zabezpečená rezerva </w:t>
      </w:r>
      <w:r w:rsidR="00B54137">
        <w:rPr>
          <w:rFonts w:ascii="Times New Roman" w:hAnsi="Times New Roman" w:cs="Times New Roman"/>
          <w:sz w:val="24"/>
          <w:szCs w:val="24"/>
        </w:rPr>
        <w:t xml:space="preserve">v sume </w:t>
      </w:r>
      <w:r w:rsidRPr="00164A62">
        <w:rPr>
          <w:rFonts w:ascii="Times New Roman" w:hAnsi="Times New Roman" w:cs="Times New Roman"/>
          <w:sz w:val="24"/>
          <w:szCs w:val="24"/>
        </w:rPr>
        <w:t>717 mil. eur.</w:t>
      </w:r>
    </w:p>
    <w:p w:rsidR="00164A62" w:rsidRDefault="00164A62" w:rsidP="00E34105">
      <w:pPr>
        <w:spacing w:after="0" w:line="240" w:lineRule="auto"/>
        <w:jc w:val="both"/>
        <w:rPr>
          <w:rFonts w:ascii="Times New Roman" w:hAnsi="Times New Roman" w:cs="Times New Roman"/>
          <w:sz w:val="24"/>
          <w:szCs w:val="24"/>
        </w:rPr>
      </w:pPr>
    </w:p>
    <w:p w:rsidR="00164A62" w:rsidRDefault="00164A62" w:rsidP="00164A62">
      <w:pPr>
        <w:spacing w:after="0" w:line="240" w:lineRule="auto"/>
        <w:jc w:val="both"/>
        <w:rPr>
          <w:rFonts w:ascii="Times New Roman" w:eastAsia="NeueHaasGroteskText W02" w:hAnsi="Times New Roman" w:cs="Times New Roman"/>
          <w:b/>
          <w:noProof/>
          <w:sz w:val="24"/>
          <w:szCs w:val="24"/>
        </w:rPr>
      </w:pPr>
      <w:r>
        <w:rPr>
          <w:rFonts w:ascii="Times New Roman" w:eastAsia="NeueHaasGroteskText W02" w:hAnsi="Times New Roman" w:cs="Times New Roman"/>
          <w:b/>
          <w:noProof/>
          <w:sz w:val="24"/>
          <w:szCs w:val="24"/>
        </w:rPr>
        <w:t>K rastu výdavkov významne prispievajú prostriedky P</w:t>
      </w:r>
      <w:r w:rsidRPr="00562428">
        <w:rPr>
          <w:rFonts w:ascii="Times New Roman" w:eastAsia="NeueHaasGroteskText W02" w:hAnsi="Times New Roman" w:cs="Times New Roman"/>
          <w:b/>
          <w:noProof/>
          <w:sz w:val="24"/>
          <w:szCs w:val="24"/>
        </w:rPr>
        <w:t>lánu obnovy a odolnosti v</w:t>
      </w:r>
      <w:r w:rsidR="00B54137">
        <w:rPr>
          <w:rFonts w:ascii="Times New Roman" w:eastAsia="NeueHaasGroteskText W02" w:hAnsi="Times New Roman" w:cs="Times New Roman"/>
          <w:b/>
          <w:noProof/>
          <w:sz w:val="24"/>
          <w:szCs w:val="24"/>
        </w:rPr>
        <w:t xml:space="preserve"> rokoch 2022 až 2024 v </w:t>
      </w:r>
      <w:r w:rsidRPr="00562428">
        <w:rPr>
          <w:rFonts w:ascii="Times New Roman" w:eastAsia="NeueHaasGroteskText W02" w:hAnsi="Times New Roman" w:cs="Times New Roman"/>
          <w:b/>
          <w:noProof/>
          <w:sz w:val="24"/>
          <w:szCs w:val="24"/>
        </w:rPr>
        <w:t xml:space="preserve">celkovom objeme 4,59 mld. eur. </w:t>
      </w:r>
      <w:r>
        <w:rPr>
          <w:rFonts w:ascii="Times New Roman" w:eastAsia="NeueHaasGroteskText W02" w:hAnsi="Times New Roman" w:cs="Times New Roman"/>
          <w:b/>
          <w:noProof/>
          <w:sz w:val="24"/>
          <w:szCs w:val="24"/>
        </w:rPr>
        <w:t xml:space="preserve">Toto zvýšenie je zároveň fiškálne neutrálne, keďže výdavky sú kompenzované príjmami. </w:t>
      </w:r>
      <w:r w:rsidRPr="00562428">
        <w:rPr>
          <w:rFonts w:ascii="Times New Roman" w:eastAsia="NeueHaasGroteskText W02" w:hAnsi="Times New Roman" w:cs="Times New Roman"/>
          <w:noProof/>
          <w:sz w:val="24"/>
          <w:szCs w:val="24"/>
        </w:rPr>
        <w:t xml:space="preserve">Plán obnovy a odolnosti je komplexnou odpoveďou na dôsledky krízy spojenej s pandémiou </w:t>
      </w:r>
      <w:r w:rsidR="00B54137">
        <w:rPr>
          <w:rFonts w:ascii="Times New Roman" w:eastAsia="NeueHaasGroteskText W02" w:hAnsi="Times New Roman" w:cs="Times New Roman"/>
          <w:noProof/>
          <w:sz w:val="24"/>
          <w:szCs w:val="24"/>
        </w:rPr>
        <w:t xml:space="preserve">ochorenia </w:t>
      </w:r>
      <w:r w:rsidRPr="00562428">
        <w:rPr>
          <w:rFonts w:ascii="Times New Roman" w:eastAsia="NeueHaasGroteskText W02" w:hAnsi="Times New Roman" w:cs="Times New Roman"/>
          <w:noProof/>
          <w:sz w:val="24"/>
          <w:szCs w:val="24"/>
        </w:rPr>
        <w:t>COVID-19, ako aj reakciou na identifikované hlavné výzvy a systémové nedostatky slovenskej ekonomiky. Plán obnovy a odolnosti je postavený na globálnej vízii Slovenska ako moderného štátu,</w:t>
      </w:r>
      <w:r w:rsidRPr="00562428">
        <w:rPr>
          <w:rFonts w:ascii="Times New Roman" w:eastAsia="NeueHaasGroteskText W02" w:hAnsi="Times New Roman" w:cs="Times New Roman"/>
          <w:b/>
          <w:noProof/>
          <w:sz w:val="24"/>
          <w:szCs w:val="24"/>
        </w:rPr>
        <w:t xml:space="preserve"> </w:t>
      </w:r>
      <w:r w:rsidRPr="00562428">
        <w:rPr>
          <w:rFonts w:ascii="Times New Roman" w:eastAsia="NeueHaasGroteskText W02" w:hAnsi="Times New Roman" w:cs="Times New Roman"/>
          <w:noProof/>
          <w:sz w:val="24"/>
          <w:szCs w:val="24"/>
        </w:rPr>
        <w:t>ktorý poskytuje občanom kvalitné verejné služby a Slovenska ako zdravej krajiny, ktorá vytvára predpoklad na plnohodnotné využívanie ľudského</w:t>
      </w:r>
      <w:r w:rsidRPr="00562428">
        <w:rPr>
          <w:rFonts w:ascii="Times New Roman" w:eastAsia="NeueHaasGroteskText W02" w:hAnsi="Times New Roman" w:cs="Times New Roman"/>
          <w:b/>
          <w:noProof/>
          <w:sz w:val="24"/>
          <w:szCs w:val="24"/>
        </w:rPr>
        <w:t xml:space="preserve"> </w:t>
      </w:r>
      <w:r w:rsidRPr="00562428">
        <w:rPr>
          <w:rFonts w:ascii="Times New Roman" w:eastAsia="NeueHaasGroteskText W02" w:hAnsi="Times New Roman" w:cs="Times New Roman"/>
          <w:noProof/>
          <w:sz w:val="24"/>
          <w:szCs w:val="24"/>
        </w:rPr>
        <w:t>a prírodného kapitálu.</w:t>
      </w:r>
      <w:r w:rsidRPr="00562428">
        <w:rPr>
          <w:rFonts w:ascii="Times New Roman" w:eastAsia="NeueHaasGroteskText W02" w:hAnsi="Times New Roman" w:cs="Times New Roman"/>
          <w:b/>
          <w:noProof/>
          <w:sz w:val="24"/>
          <w:szCs w:val="24"/>
        </w:rPr>
        <w:t xml:space="preserve"> </w:t>
      </w:r>
      <w:r>
        <w:rPr>
          <w:rFonts w:ascii="Times New Roman" w:eastAsia="NeueHaasGroteskText W02" w:hAnsi="Times New Roman" w:cs="Times New Roman"/>
          <w:b/>
          <w:noProof/>
          <w:sz w:val="24"/>
          <w:szCs w:val="24"/>
        </w:rPr>
        <w:t>V roku 2022 bude najviac výdavkov z Plánu obnovy a odolnosti smerovať do zelenej ekonomiky (454 mil. eur</w:t>
      </w:r>
      <w:r w:rsidR="00B54137">
        <w:rPr>
          <w:rFonts w:ascii="Times New Roman" w:eastAsia="NeueHaasGroteskText W02" w:hAnsi="Times New Roman" w:cs="Times New Roman"/>
          <w:b/>
          <w:noProof/>
          <w:sz w:val="24"/>
          <w:szCs w:val="24"/>
        </w:rPr>
        <w:t xml:space="preserve"> -</w:t>
      </w:r>
      <w:r>
        <w:rPr>
          <w:rFonts w:ascii="Times New Roman" w:eastAsia="NeueHaasGroteskText W02" w:hAnsi="Times New Roman" w:cs="Times New Roman"/>
          <w:b/>
          <w:noProof/>
          <w:sz w:val="24"/>
          <w:szCs w:val="24"/>
        </w:rPr>
        <w:t xml:space="preserve"> najmä obnova budov a obnoviteľné zdroje energie), vzdelávania (323 mil. eur) a zdravia (218 mil. eur).</w:t>
      </w:r>
    </w:p>
    <w:p w:rsidR="00164A62" w:rsidRDefault="00164A62" w:rsidP="00164A62">
      <w:pPr>
        <w:spacing w:after="0" w:line="240" w:lineRule="auto"/>
        <w:jc w:val="both"/>
        <w:rPr>
          <w:rFonts w:ascii="Times New Roman" w:eastAsia="NeueHaasGroteskText W02" w:hAnsi="Times New Roman" w:cs="Times New Roman"/>
          <w:b/>
          <w:noProof/>
          <w:sz w:val="24"/>
          <w:szCs w:val="24"/>
        </w:rPr>
      </w:pPr>
    </w:p>
    <w:p w:rsidR="00164A62" w:rsidRDefault="00164A62" w:rsidP="00164A62">
      <w:pPr>
        <w:spacing w:after="0" w:line="240" w:lineRule="auto"/>
        <w:jc w:val="both"/>
        <w:rPr>
          <w:rFonts w:ascii="Times New Roman" w:hAnsi="Times New Roman" w:cs="Times New Roman"/>
          <w:bCs/>
          <w:sz w:val="24"/>
          <w:szCs w:val="24"/>
        </w:rPr>
      </w:pPr>
      <w:r>
        <w:rPr>
          <w:rFonts w:ascii="Times New Roman" w:eastAsia="NeueHaasGroteskText W02" w:hAnsi="Times New Roman" w:cs="Times New Roman"/>
          <w:b/>
          <w:noProof/>
          <w:sz w:val="24"/>
          <w:szCs w:val="24"/>
        </w:rPr>
        <w:t>Vláda</w:t>
      </w:r>
      <w:r>
        <w:rPr>
          <w:rFonts w:ascii="Times New Roman" w:hAnsi="Times New Roman" w:cs="Times New Roman"/>
          <w:b/>
          <w:bCs/>
          <w:sz w:val="24"/>
          <w:szCs w:val="24"/>
        </w:rPr>
        <w:t xml:space="preserve"> </w:t>
      </w:r>
      <w:r w:rsidRPr="00562428">
        <w:rPr>
          <w:rFonts w:ascii="Times New Roman" w:hAnsi="Times New Roman" w:cs="Times New Roman"/>
          <w:b/>
          <w:bCs/>
          <w:sz w:val="24"/>
          <w:szCs w:val="24"/>
        </w:rPr>
        <w:t>pokračuje</w:t>
      </w:r>
      <w:r>
        <w:rPr>
          <w:rFonts w:ascii="Times New Roman" w:hAnsi="Times New Roman" w:cs="Times New Roman"/>
          <w:b/>
          <w:bCs/>
          <w:sz w:val="24"/>
          <w:szCs w:val="24"/>
        </w:rPr>
        <w:t xml:space="preserve"> v reforme riadenia investícií, ktorá má za cieľ zvýšiť</w:t>
      </w:r>
      <w:r w:rsidRPr="00562428">
        <w:rPr>
          <w:rFonts w:ascii="Times New Roman" w:hAnsi="Times New Roman" w:cs="Times New Roman"/>
          <w:b/>
          <w:bCs/>
          <w:sz w:val="24"/>
          <w:szCs w:val="24"/>
        </w:rPr>
        <w:t xml:space="preserve"> </w:t>
      </w:r>
      <w:r w:rsidRPr="00B41F15">
        <w:rPr>
          <w:rFonts w:ascii="Times New Roman" w:hAnsi="Times New Roman" w:cs="Times New Roman"/>
          <w:b/>
          <w:bCs/>
          <w:sz w:val="24"/>
          <w:szCs w:val="24"/>
        </w:rPr>
        <w:t>spoločenskú návratnosť projektov</w:t>
      </w:r>
      <w:r>
        <w:rPr>
          <w:rFonts w:ascii="Times New Roman" w:hAnsi="Times New Roman" w:cs="Times New Roman"/>
          <w:b/>
          <w:bCs/>
          <w:sz w:val="24"/>
          <w:szCs w:val="24"/>
        </w:rPr>
        <w:t xml:space="preserve"> a </w:t>
      </w:r>
      <w:r w:rsidRPr="00B41F15">
        <w:rPr>
          <w:rFonts w:ascii="Times New Roman" w:hAnsi="Times New Roman" w:cs="Times New Roman"/>
          <w:b/>
          <w:bCs/>
          <w:sz w:val="24"/>
          <w:szCs w:val="24"/>
        </w:rPr>
        <w:t xml:space="preserve">zrýchliť a sprehľadniť </w:t>
      </w:r>
      <w:r>
        <w:rPr>
          <w:rFonts w:ascii="Times New Roman" w:hAnsi="Times New Roman" w:cs="Times New Roman"/>
          <w:b/>
          <w:bCs/>
          <w:sz w:val="24"/>
          <w:szCs w:val="24"/>
        </w:rPr>
        <w:t xml:space="preserve">investičný </w:t>
      </w:r>
      <w:r w:rsidRPr="00B41F15">
        <w:rPr>
          <w:rFonts w:ascii="Times New Roman" w:hAnsi="Times New Roman" w:cs="Times New Roman"/>
          <w:b/>
          <w:bCs/>
          <w:sz w:val="24"/>
          <w:szCs w:val="24"/>
        </w:rPr>
        <w:t>proces</w:t>
      </w:r>
      <w:r>
        <w:rPr>
          <w:rFonts w:ascii="Times New Roman" w:hAnsi="Times New Roman" w:cs="Times New Roman"/>
          <w:b/>
          <w:bCs/>
          <w:sz w:val="24"/>
          <w:szCs w:val="24"/>
        </w:rPr>
        <w:t xml:space="preserve">. </w:t>
      </w:r>
      <w:r w:rsidRPr="007969E1">
        <w:rPr>
          <w:rFonts w:ascii="Times New Roman" w:hAnsi="Times New Roman" w:cs="Times New Roman"/>
          <w:bCs/>
          <w:sz w:val="24"/>
          <w:szCs w:val="24"/>
        </w:rPr>
        <w:t xml:space="preserve">Reforma je založená na metodicky podložených investičných plánoch jednotlivých kapitol, ktoré zvyšujú transparentnosť a predvídateľnosť investičného procesu. Jej súčasťou je princíp nulového štartovacieho rozpočtu (tzv. zero-based budgeting) zavedeného od roku 2021. Financované sú iba pripravené a návratné projekty v súlade s priorizovanými investičnými plánmi a v rozsahu dostupných rozpočtových zdrojov v jednotlivých rokoch. Nepresné plánovania a časté zmeny priorít </w:t>
      </w:r>
      <w:r>
        <w:rPr>
          <w:rFonts w:ascii="Times New Roman" w:hAnsi="Times New Roman" w:cs="Times New Roman"/>
          <w:bCs/>
          <w:sz w:val="24"/>
          <w:szCs w:val="24"/>
        </w:rPr>
        <w:t xml:space="preserve">v minulosti </w:t>
      </w:r>
      <w:r w:rsidRPr="007969E1">
        <w:rPr>
          <w:rFonts w:ascii="Times New Roman" w:hAnsi="Times New Roman" w:cs="Times New Roman"/>
          <w:bCs/>
          <w:sz w:val="24"/>
          <w:szCs w:val="24"/>
        </w:rPr>
        <w:t>spôsobovali, že nepripravené projekty dlhodobo blokovali veľký balík peňazí na úkor pripravených a lepších investícií naprieč sektormi.</w:t>
      </w:r>
    </w:p>
    <w:p w:rsidR="00164A62" w:rsidRDefault="00164A62" w:rsidP="00164A62">
      <w:pPr>
        <w:spacing w:after="0" w:line="240" w:lineRule="auto"/>
        <w:jc w:val="both"/>
        <w:rPr>
          <w:rFonts w:ascii="Times New Roman" w:hAnsi="Times New Roman" w:cs="Times New Roman"/>
          <w:bCs/>
          <w:sz w:val="24"/>
          <w:szCs w:val="24"/>
        </w:rPr>
      </w:pPr>
    </w:p>
    <w:p w:rsidR="00164A62" w:rsidRPr="001E6C33" w:rsidRDefault="00164A62" w:rsidP="00164A62">
      <w:pPr>
        <w:spacing w:after="0" w:line="240" w:lineRule="auto"/>
        <w:jc w:val="both"/>
        <w:rPr>
          <w:rFonts w:ascii="Times New Roman" w:eastAsia="NeueHaasGroteskText W02" w:hAnsi="Times New Roman" w:cs="Times New Roman"/>
          <w:noProof/>
          <w:sz w:val="24"/>
          <w:szCs w:val="24"/>
        </w:rPr>
      </w:pPr>
      <w:r w:rsidRPr="001E6C33">
        <w:rPr>
          <w:rFonts w:ascii="Times New Roman" w:eastAsia="NeueHaasGroteskText W02" w:hAnsi="Times New Roman" w:cs="Times New Roman"/>
          <w:b/>
          <w:noProof/>
          <w:sz w:val="24"/>
          <w:szCs w:val="24"/>
        </w:rPr>
        <w:t>V roku 2022 plánuje Slovenská republika investovať približne 5,9 mil. eur vrátane zdrojov Plánu obnovy</w:t>
      </w:r>
      <w:r>
        <w:rPr>
          <w:rFonts w:ascii="Times New Roman" w:eastAsia="NeueHaasGroteskText W02" w:hAnsi="Times New Roman" w:cs="Times New Roman"/>
          <w:b/>
          <w:noProof/>
          <w:sz w:val="24"/>
          <w:szCs w:val="24"/>
        </w:rPr>
        <w:t xml:space="preserve"> a odolnosti</w:t>
      </w:r>
      <w:r w:rsidRPr="001E6C33">
        <w:rPr>
          <w:rFonts w:ascii="Times New Roman" w:eastAsia="NeueHaasGroteskText W02" w:hAnsi="Times New Roman" w:cs="Times New Roman"/>
          <w:b/>
          <w:noProof/>
          <w:sz w:val="24"/>
          <w:szCs w:val="24"/>
        </w:rPr>
        <w:t xml:space="preserve">. </w:t>
      </w:r>
      <w:r w:rsidRPr="001E6C33">
        <w:rPr>
          <w:rFonts w:ascii="Times New Roman" w:eastAsia="NeueHaasGroteskText W02" w:hAnsi="Times New Roman" w:cs="Times New Roman"/>
          <w:noProof/>
          <w:sz w:val="24"/>
          <w:szCs w:val="24"/>
        </w:rPr>
        <w:t>Investičná obálka sa v nasledujúco</w:t>
      </w:r>
      <w:r>
        <w:rPr>
          <w:rFonts w:ascii="Times New Roman" w:eastAsia="NeueHaasGroteskText W02" w:hAnsi="Times New Roman" w:cs="Times New Roman"/>
          <w:noProof/>
          <w:sz w:val="24"/>
          <w:szCs w:val="24"/>
        </w:rPr>
        <w:t>m</w:t>
      </w:r>
      <w:r w:rsidRPr="001E6C33">
        <w:rPr>
          <w:rFonts w:ascii="Times New Roman" w:eastAsia="NeueHaasGroteskText W02" w:hAnsi="Times New Roman" w:cs="Times New Roman"/>
          <w:noProof/>
          <w:sz w:val="24"/>
          <w:szCs w:val="24"/>
        </w:rPr>
        <w:t xml:space="preserve"> roku zväčší o približne dve miliardy eur oproti priemeru rokov 2018 až 2021</w:t>
      </w:r>
      <w:r w:rsidR="00B54137">
        <w:rPr>
          <w:rFonts w:ascii="Times New Roman" w:eastAsia="NeueHaasGroteskText W02" w:hAnsi="Times New Roman" w:cs="Times New Roman"/>
          <w:noProof/>
          <w:sz w:val="24"/>
          <w:szCs w:val="24"/>
        </w:rPr>
        <w:t>,</w:t>
      </w:r>
      <w:r w:rsidRPr="001E6C33">
        <w:rPr>
          <w:rFonts w:ascii="Times New Roman" w:eastAsia="NeueHaasGroteskText W02" w:hAnsi="Times New Roman" w:cs="Times New Roman"/>
          <w:noProof/>
          <w:sz w:val="24"/>
          <w:szCs w:val="24"/>
        </w:rPr>
        <w:t xml:space="preserve"> najmä vďaka novým zdrojom Plánu obnovy</w:t>
      </w:r>
      <w:r w:rsidR="00B54137">
        <w:rPr>
          <w:rFonts w:ascii="Times New Roman" w:eastAsia="NeueHaasGroteskText W02" w:hAnsi="Times New Roman" w:cs="Times New Roman"/>
          <w:noProof/>
          <w:sz w:val="24"/>
          <w:szCs w:val="24"/>
        </w:rPr>
        <w:t xml:space="preserve"> a odolnosti</w:t>
      </w:r>
      <w:r w:rsidRPr="001E6C33">
        <w:rPr>
          <w:rFonts w:ascii="Times New Roman" w:eastAsia="NeueHaasGroteskText W02" w:hAnsi="Times New Roman" w:cs="Times New Roman"/>
          <w:noProof/>
          <w:sz w:val="24"/>
          <w:szCs w:val="24"/>
        </w:rPr>
        <w:t xml:space="preserve"> a dočerpávaniu európskych fondov do roku 2023. Najväčšie investičné projekty sú plánované v doprave a obrane.</w:t>
      </w:r>
    </w:p>
    <w:p w:rsidR="00164A62" w:rsidRDefault="00164A62" w:rsidP="00164A62">
      <w:pPr>
        <w:spacing w:after="0" w:line="240" w:lineRule="auto"/>
        <w:jc w:val="both"/>
        <w:rPr>
          <w:rFonts w:ascii="Times New Roman" w:hAnsi="Times New Roman" w:cs="Times New Roman"/>
          <w:b/>
          <w:bCs/>
          <w:sz w:val="24"/>
          <w:szCs w:val="24"/>
        </w:rPr>
      </w:pPr>
    </w:p>
    <w:p w:rsidR="00B96E0E" w:rsidRPr="002E6AD2" w:rsidRDefault="00B96E0E" w:rsidP="00B96E0E">
      <w:pPr>
        <w:spacing w:after="0" w:line="240" w:lineRule="auto"/>
        <w:jc w:val="both"/>
        <w:rPr>
          <w:rFonts w:ascii="Times New Roman" w:eastAsia="Times New Roman" w:hAnsi="Times New Roman" w:cs="Times New Roman"/>
          <w:sz w:val="24"/>
          <w:szCs w:val="24"/>
          <w:lang w:eastAsia="sk-SK"/>
        </w:rPr>
      </w:pPr>
      <w:r w:rsidRPr="002E6AD2">
        <w:rPr>
          <w:rFonts w:ascii="Times New Roman" w:eastAsia="Times New Roman" w:hAnsi="Times New Roman" w:cs="Times New Roman"/>
          <w:b/>
          <w:bCs/>
          <w:color w:val="000000"/>
          <w:sz w:val="24"/>
          <w:szCs w:val="24"/>
          <w:lang w:eastAsia="sk-SK"/>
        </w:rPr>
        <w:t>Výdavky na rozvoj a prevádzku dopravy v rokoch</w:t>
      </w:r>
      <w:r w:rsidRPr="002E6AD2">
        <w:rPr>
          <w:rFonts w:ascii="Times New Roman" w:eastAsia="Times New Roman" w:hAnsi="Times New Roman" w:cs="Times New Roman"/>
          <w:color w:val="000000"/>
          <w:sz w:val="24"/>
          <w:szCs w:val="24"/>
          <w:lang w:eastAsia="sk-SK"/>
        </w:rPr>
        <w:t xml:space="preserve"> </w:t>
      </w:r>
      <w:r w:rsidRPr="002E6AD2">
        <w:rPr>
          <w:rFonts w:ascii="Times New Roman" w:eastAsia="Times New Roman" w:hAnsi="Times New Roman" w:cs="Times New Roman"/>
          <w:b/>
          <w:bCs/>
          <w:color w:val="000000"/>
          <w:sz w:val="24"/>
          <w:szCs w:val="24"/>
          <w:lang w:eastAsia="sk-SK"/>
        </w:rPr>
        <w:t xml:space="preserve">2022 až 2024 oproti minulosti rastú. </w:t>
      </w:r>
      <w:r w:rsidRPr="002E6AD2">
        <w:rPr>
          <w:rFonts w:ascii="Times New Roman" w:eastAsia="Times New Roman" w:hAnsi="Times New Roman" w:cs="Times New Roman"/>
          <w:color w:val="000000"/>
          <w:sz w:val="24"/>
          <w:szCs w:val="24"/>
          <w:lang w:eastAsia="sk-SK"/>
        </w:rPr>
        <w:t xml:space="preserve">V roku 2022 sa oproti rozpočtu 2021 zvýšia o 585 mil. eur, pričom najviac prostriedkov </w:t>
      </w:r>
      <w:r w:rsidR="00B54137" w:rsidRPr="002E6AD2">
        <w:rPr>
          <w:rFonts w:ascii="Times New Roman" w:eastAsia="Times New Roman" w:hAnsi="Times New Roman" w:cs="Times New Roman"/>
          <w:color w:val="000000"/>
          <w:sz w:val="24"/>
          <w:szCs w:val="24"/>
          <w:lang w:eastAsia="sk-SK"/>
        </w:rPr>
        <w:t xml:space="preserve">bude </w:t>
      </w:r>
      <w:r w:rsidRPr="002E6AD2">
        <w:rPr>
          <w:rFonts w:ascii="Times New Roman" w:eastAsia="Times New Roman" w:hAnsi="Times New Roman" w:cs="Times New Roman"/>
          <w:color w:val="000000"/>
          <w:sz w:val="24"/>
          <w:szCs w:val="24"/>
          <w:lang w:eastAsia="sk-SK"/>
        </w:rPr>
        <w:t>smerovať na:</w:t>
      </w:r>
    </w:p>
    <w:p w:rsidR="00B96E0E" w:rsidRPr="002E6AD2" w:rsidRDefault="00B96E0E" w:rsidP="00B96E0E">
      <w:pPr>
        <w:numPr>
          <w:ilvl w:val="0"/>
          <w:numId w:val="31"/>
        </w:numPr>
        <w:spacing w:after="0" w:line="240" w:lineRule="auto"/>
        <w:ind w:left="709"/>
        <w:jc w:val="both"/>
        <w:textAlignment w:val="baseline"/>
        <w:rPr>
          <w:rFonts w:ascii="Times New Roman" w:eastAsia="Times New Roman" w:hAnsi="Times New Roman" w:cs="Times New Roman"/>
          <w:color w:val="000000"/>
          <w:lang w:eastAsia="sk-SK"/>
        </w:rPr>
      </w:pPr>
      <w:r w:rsidRPr="002E6AD2">
        <w:rPr>
          <w:rFonts w:ascii="Times New Roman" w:eastAsia="Times New Roman" w:hAnsi="Times New Roman" w:cs="Times New Roman"/>
          <w:color w:val="000000"/>
          <w:sz w:val="24"/>
          <w:szCs w:val="24"/>
          <w:lang w:eastAsia="sk-SK"/>
        </w:rPr>
        <w:t xml:space="preserve">pokračujúce investičné projekty v doprave za </w:t>
      </w:r>
      <w:r w:rsidRPr="00CA7269">
        <w:rPr>
          <w:rFonts w:ascii="Times New Roman" w:eastAsia="Times New Roman" w:hAnsi="Times New Roman" w:cs="Times New Roman"/>
          <w:color w:val="000000"/>
          <w:sz w:val="24"/>
          <w:szCs w:val="24"/>
          <w:lang w:eastAsia="sk-SK"/>
        </w:rPr>
        <w:t>503 mil. eur</w:t>
      </w:r>
      <w:r w:rsidR="00B54137">
        <w:rPr>
          <w:rFonts w:ascii="Times New Roman" w:eastAsia="Times New Roman" w:hAnsi="Times New Roman" w:cs="Times New Roman"/>
          <w:color w:val="000000"/>
          <w:sz w:val="24"/>
          <w:szCs w:val="24"/>
          <w:lang w:eastAsia="sk-SK"/>
        </w:rPr>
        <w:t>,</w:t>
      </w:r>
      <w:r w:rsidRPr="002E6AD2">
        <w:rPr>
          <w:rFonts w:ascii="Times New Roman" w:eastAsia="Times New Roman" w:hAnsi="Times New Roman" w:cs="Times New Roman"/>
          <w:color w:val="000000"/>
          <w:sz w:val="24"/>
          <w:szCs w:val="24"/>
          <w:lang w:eastAsia="sk-SK"/>
        </w:rPr>
        <w:t xml:space="preserve"> </w:t>
      </w:r>
    </w:p>
    <w:p w:rsidR="00B96E0E" w:rsidRPr="002E6AD2" w:rsidRDefault="00B96E0E" w:rsidP="00B96E0E">
      <w:pPr>
        <w:numPr>
          <w:ilvl w:val="0"/>
          <w:numId w:val="31"/>
        </w:numPr>
        <w:spacing w:after="0" w:line="240" w:lineRule="auto"/>
        <w:ind w:left="709"/>
        <w:jc w:val="both"/>
        <w:textAlignment w:val="baseline"/>
        <w:rPr>
          <w:rFonts w:ascii="Times New Roman" w:eastAsia="Times New Roman" w:hAnsi="Times New Roman" w:cs="Times New Roman"/>
          <w:color w:val="000000"/>
          <w:lang w:eastAsia="sk-SK"/>
        </w:rPr>
      </w:pPr>
      <w:r w:rsidRPr="002E6AD2">
        <w:rPr>
          <w:rFonts w:ascii="Times New Roman" w:eastAsia="Times New Roman" w:hAnsi="Times New Roman" w:cs="Times New Roman"/>
          <w:color w:val="000000"/>
          <w:sz w:val="24"/>
          <w:szCs w:val="24"/>
          <w:lang w:eastAsia="sk-SK"/>
        </w:rPr>
        <w:t>nové zdroje z Plánu obnovy a odolnosti vo výške 175 mil. eur</w:t>
      </w:r>
      <w:r w:rsidR="00B54137">
        <w:rPr>
          <w:rFonts w:ascii="Times New Roman" w:eastAsia="Times New Roman" w:hAnsi="Times New Roman" w:cs="Times New Roman"/>
          <w:color w:val="000000"/>
          <w:sz w:val="24"/>
          <w:szCs w:val="24"/>
          <w:lang w:eastAsia="sk-SK"/>
        </w:rPr>
        <w:t>,</w:t>
      </w:r>
    </w:p>
    <w:p w:rsidR="00B96E0E" w:rsidRPr="002E6AD2" w:rsidRDefault="00B96E0E" w:rsidP="00B96E0E">
      <w:pPr>
        <w:numPr>
          <w:ilvl w:val="0"/>
          <w:numId w:val="31"/>
        </w:numPr>
        <w:spacing w:after="0" w:line="240" w:lineRule="auto"/>
        <w:ind w:left="709"/>
        <w:jc w:val="both"/>
        <w:textAlignment w:val="baseline"/>
        <w:rPr>
          <w:rFonts w:ascii="Times New Roman" w:eastAsia="Times New Roman" w:hAnsi="Times New Roman" w:cs="Times New Roman"/>
          <w:color w:val="000000"/>
          <w:lang w:eastAsia="sk-SK"/>
        </w:rPr>
      </w:pPr>
      <w:r w:rsidRPr="002E6AD2">
        <w:rPr>
          <w:rFonts w:ascii="Times New Roman" w:eastAsia="Times New Roman" w:hAnsi="Times New Roman" w:cs="Times New Roman"/>
          <w:color w:val="000000"/>
          <w:sz w:val="24"/>
          <w:szCs w:val="24"/>
          <w:lang w:eastAsia="sk-SK"/>
        </w:rPr>
        <w:t>výdavky na údržbu ciest I. triedy a pokračujúce veľkoplošné opravy za 98,6 mil. eur</w:t>
      </w:r>
      <w:r w:rsidR="00B54137">
        <w:rPr>
          <w:rFonts w:ascii="Times New Roman" w:eastAsia="Times New Roman" w:hAnsi="Times New Roman" w:cs="Times New Roman"/>
          <w:color w:val="000000"/>
          <w:sz w:val="24"/>
          <w:szCs w:val="24"/>
          <w:lang w:eastAsia="sk-SK"/>
        </w:rPr>
        <w:t>,</w:t>
      </w:r>
      <w:r w:rsidRPr="002E6AD2">
        <w:rPr>
          <w:rFonts w:ascii="Times New Roman" w:eastAsia="Times New Roman" w:hAnsi="Times New Roman" w:cs="Times New Roman"/>
          <w:color w:val="000000"/>
          <w:sz w:val="24"/>
          <w:szCs w:val="24"/>
          <w:lang w:eastAsia="sk-SK"/>
        </w:rPr>
        <w:t> </w:t>
      </w:r>
    </w:p>
    <w:p w:rsidR="00B96E0E" w:rsidRPr="002E6AD2" w:rsidRDefault="00B96E0E" w:rsidP="00B96E0E">
      <w:pPr>
        <w:numPr>
          <w:ilvl w:val="0"/>
          <w:numId w:val="31"/>
        </w:numPr>
        <w:spacing w:after="0" w:line="240" w:lineRule="auto"/>
        <w:ind w:left="709" w:hanging="357"/>
        <w:jc w:val="both"/>
        <w:textAlignment w:val="baseline"/>
        <w:rPr>
          <w:rFonts w:ascii="Times New Roman" w:eastAsia="Times New Roman" w:hAnsi="Times New Roman" w:cs="Times New Roman"/>
          <w:color w:val="000000"/>
          <w:lang w:eastAsia="sk-SK"/>
        </w:rPr>
      </w:pPr>
      <w:r w:rsidRPr="002E6AD2">
        <w:rPr>
          <w:rFonts w:ascii="Times New Roman" w:eastAsia="Times New Roman" w:hAnsi="Times New Roman" w:cs="Times New Roman"/>
          <w:color w:val="000000"/>
          <w:sz w:val="24"/>
          <w:szCs w:val="24"/>
          <w:lang w:eastAsia="sk-SK"/>
        </w:rPr>
        <w:t>zvýšenie bežného transferu pre ZSSK v porovnaní so schváleným rozpočtom roku 2021 o 98,6 mil. eur</w:t>
      </w:r>
      <w:r>
        <w:rPr>
          <w:rFonts w:ascii="Times New Roman" w:eastAsia="Times New Roman" w:hAnsi="Times New Roman" w:cs="Times New Roman"/>
          <w:color w:val="000000"/>
          <w:sz w:val="24"/>
          <w:szCs w:val="24"/>
          <w:lang w:eastAsia="sk-SK"/>
        </w:rPr>
        <w:t>.</w:t>
      </w:r>
    </w:p>
    <w:p w:rsidR="00862FB5" w:rsidRDefault="00862FB5" w:rsidP="00E34105">
      <w:pPr>
        <w:spacing w:after="0" w:line="240" w:lineRule="auto"/>
        <w:jc w:val="both"/>
        <w:rPr>
          <w:rFonts w:ascii="Times New Roman" w:hAnsi="Times New Roman" w:cs="Times New Roman"/>
          <w:bCs/>
          <w:sz w:val="24"/>
          <w:szCs w:val="24"/>
        </w:rPr>
      </w:pPr>
    </w:p>
    <w:p w:rsidR="00862FB5" w:rsidRDefault="00862FB5" w:rsidP="00862FB5">
      <w:pPr>
        <w:spacing w:after="0" w:line="240" w:lineRule="auto"/>
        <w:contextualSpacing/>
        <w:jc w:val="both"/>
        <w:rPr>
          <w:rFonts w:ascii="Times New Roman" w:hAnsi="Times New Roman" w:cs="Times New Roman"/>
          <w:sz w:val="24"/>
          <w:szCs w:val="24"/>
        </w:rPr>
      </w:pPr>
      <w:r w:rsidRPr="00562428">
        <w:rPr>
          <w:rFonts w:ascii="Times New Roman" w:hAnsi="Times New Roman" w:cs="Times New Roman"/>
          <w:sz w:val="24"/>
          <w:szCs w:val="24"/>
        </w:rPr>
        <w:t xml:space="preserve">Celkové výdavky smerujúce </w:t>
      </w:r>
      <w:r w:rsidRPr="00562428">
        <w:rPr>
          <w:rFonts w:ascii="Times New Roman" w:hAnsi="Times New Roman" w:cs="Times New Roman"/>
          <w:b/>
          <w:sz w:val="24"/>
          <w:szCs w:val="24"/>
        </w:rPr>
        <w:t>na podporu rozvoja bývania</w:t>
      </w:r>
      <w:r w:rsidRPr="00562428">
        <w:rPr>
          <w:rFonts w:ascii="Times New Roman" w:hAnsi="Times New Roman" w:cs="Times New Roman"/>
          <w:sz w:val="24"/>
          <w:szCs w:val="24"/>
        </w:rPr>
        <w:t xml:space="preserve"> na rok 2022 sa rozpočtujú vo výške  313 mil. eur vrátane výdavkov Štátneho fondu rozvoja bývania.</w:t>
      </w:r>
    </w:p>
    <w:p w:rsidR="00E34105" w:rsidRDefault="00E34105" w:rsidP="00E34105">
      <w:pPr>
        <w:spacing w:after="0" w:line="240" w:lineRule="auto"/>
        <w:jc w:val="both"/>
        <w:rPr>
          <w:rFonts w:ascii="Times New Roman" w:hAnsi="Times New Roman" w:cs="Times New Roman"/>
          <w:bCs/>
          <w:sz w:val="24"/>
          <w:szCs w:val="24"/>
        </w:rPr>
      </w:pPr>
    </w:p>
    <w:p w:rsidR="00B96E0E" w:rsidRDefault="00B96E0E" w:rsidP="00B96E0E">
      <w:pPr>
        <w:spacing w:after="0" w:line="240" w:lineRule="auto"/>
        <w:jc w:val="both"/>
        <w:rPr>
          <w:rFonts w:ascii="Times New Roman" w:hAnsi="Times New Roman" w:cs="Times New Roman"/>
          <w:sz w:val="24"/>
          <w:szCs w:val="24"/>
          <w:lang w:eastAsia="cs-CZ"/>
        </w:rPr>
      </w:pPr>
      <w:r w:rsidRPr="00562428">
        <w:rPr>
          <w:rFonts w:ascii="Times New Roman" w:hAnsi="Times New Roman" w:cs="Times New Roman"/>
          <w:b/>
          <w:bCs/>
          <w:sz w:val="24"/>
          <w:szCs w:val="24"/>
          <w:lang w:eastAsia="cs-CZ"/>
        </w:rPr>
        <w:t>Výdavky na vzdelávanie, vedu, výskum a šport medziročne rastú</w:t>
      </w:r>
      <w:r w:rsidRPr="00562428">
        <w:rPr>
          <w:rFonts w:ascii="Times New Roman" w:hAnsi="Times New Roman" w:cs="Times New Roman"/>
          <w:sz w:val="24"/>
          <w:szCs w:val="24"/>
          <w:lang w:eastAsia="cs-CZ"/>
        </w:rPr>
        <w:t xml:space="preserve"> o 459 mil. eur. Návrh rozpočtu odzrkadľuje zvýšenie </w:t>
      </w:r>
      <w:r>
        <w:rPr>
          <w:rFonts w:ascii="Times New Roman" w:hAnsi="Times New Roman" w:cs="Times New Roman"/>
          <w:sz w:val="24"/>
          <w:szCs w:val="24"/>
          <w:lang w:eastAsia="cs-CZ"/>
        </w:rPr>
        <w:t>výdavkov z titulu realizovania P</w:t>
      </w:r>
      <w:r w:rsidRPr="00562428">
        <w:rPr>
          <w:rFonts w:ascii="Times New Roman" w:hAnsi="Times New Roman" w:cs="Times New Roman"/>
          <w:sz w:val="24"/>
          <w:szCs w:val="24"/>
          <w:lang w:eastAsia="cs-CZ"/>
        </w:rPr>
        <w:t xml:space="preserve">lánu obnovy a odolnosti, pokračovania projektov financovaných zo štrukturálnych fondov EÚ vrátane spolufinancovania zo štátneho rozpočtu. </w:t>
      </w:r>
      <w:r w:rsidR="00CA7269">
        <w:rPr>
          <w:rFonts w:ascii="Times New Roman" w:hAnsi="Times New Roman" w:cs="Times New Roman"/>
          <w:sz w:val="24"/>
          <w:szCs w:val="24"/>
          <w:lang w:eastAsia="cs-CZ"/>
        </w:rPr>
        <w:t>Vláda zabezpečuje</w:t>
      </w:r>
      <w:r>
        <w:rPr>
          <w:rFonts w:ascii="Times New Roman" w:hAnsi="Times New Roman" w:cs="Times New Roman"/>
          <w:sz w:val="24"/>
          <w:szCs w:val="24"/>
          <w:lang w:eastAsia="cs-CZ"/>
        </w:rPr>
        <w:t xml:space="preserve"> výdavky najmä na:</w:t>
      </w:r>
    </w:p>
    <w:p w:rsidR="00B96E0E" w:rsidRDefault="00B96E0E" w:rsidP="00B96E0E">
      <w:pPr>
        <w:pStyle w:val="Odsekzoznamu"/>
        <w:numPr>
          <w:ilvl w:val="0"/>
          <w:numId w:val="32"/>
        </w:numPr>
        <w:jc w:val="both"/>
        <w:rPr>
          <w:rFonts w:ascii="Times New Roman" w:hAnsi="Times New Roman" w:cs="Times New Roman"/>
        </w:rPr>
      </w:pPr>
      <w:r w:rsidRPr="00EF1552">
        <w:rPr>
          <w:rFonts w:ascii="Times New Roman" w:hAnsi="Times New Roman" w:cs="Times New Roman"/>
        </w:rPr>
        <w:t>podporu predprimárneho vzdelávania</w:t>
      </w:r>
      <w:r>
        <w:rPr>
          <w:rFonts w:ascii="Times New Roman" w:hAnsi="Times New Roman" w:cs="Times New Roman"/>
        </w:rPr>
        <w:t xml:space="preserve"> </w:t>
      </w:r>
      <w:r w:rsidRPr="00EF1552">
        <w:rPr>
          <w:rFonts w:ascii="Times New Roman" w:hAnsi="Times New Roman" w:cs="Times New Roman"/>
        </w:rPr>
        <w:t>zvýšením výdavkov na príspevok na výchovu a vzdelávanie detí v materských školách od 5 rokov (10,9 mil. eur)</w:t>
      </w:r>
      <w:r w:rsidR="00B54137">
        <w:rPr>
          <w:rFonts w:ascii="Times New Roman" w:hAnsi="Times New Roman" w:cs="Times New Roman"/>
        </w:rPr>
        <w:t>,</w:t>
      </w:r>
    </w:p>
    <w:p w:rsidR="00B96E0E" w:rsidRPr="00EF1552" w:rsidRDefault="00B96E0E" w:rsidP="00B96E0E">
      <w:pPr>
        <w:pStyle w:val="Odsekzoznamu"/>
        <w:numPr>
          <w:ilvl w:val="0"/>
          <w:numId w:val="32"/>
        </w:numPr>
        <w:jc w:val="both"/>
        <w:rPr>
          <w:rFonts w:ascii="Times New Roman" w:hAnsi="Times New Roman" w:cs="Times New Roman"/>
        </w:rPr>
      </w:pPr>
      <w:r w:rsidRPr="00EF1552">
        <w:rPr>
          <w:rFonts w:ascii="Times New Roman" w:hAnsi="Times New Roman" w:cs="Times New Roman"/>
        </w:rPr>
        <w:t>úhradu výdavkov súvisiacich s členskými príspevkami v medzinárodných organizáciách a financovanie výdavkov na asistentov učiteľa v regionálnom školstve</w:t>
      </w:r>
      <w:r w:rsidR="00B54137">
        <w:rPr>
          <w:rFonts w:ascii="Times New Roman" w:hAnsi="Times New Roman" w:cs="Times New Roman"/>
        </w:rPr>
        <w:t>,</w:t>
      </w:r>
      <w:r w:rsidRPr="00EF1552">
        <w:rPr>
          <w:rFonts w:ascii="Times New Roman" w:hAnsi="Times New Roman" w:cs="Times New Roman"/>
        </w:rPr>
        <w:t xml:space="preserve"> </w:t>
      </w:r>
    </w:p>
    <w:p w:rsidR="00B96E0E" w:rsidRPr="00EF1552" w:rsidRDefault="00B96E0E" w:rsidP="00B96E0E">
      <w:pPr>
        <w:pStyle w:val="Odsekzoznamu"/>
        <w:numPr>
          <w:ilvl w:val="0"/>
          <w:numId w:val="32"/>
        </w:numPr>
        <w:jc w:val="both"/>
        <w:rPr>
          <w:rFonts w:ascii="Times New Roman" w:hAnsi="Times New Roman" w:cs="Times New Roman"/>
        </w:rPr>
      </w:pPr>
      <w:r w:rsidRPr="00EF1552">
        <w:rPr>
          <w:rFonts w:ascii="Times New Roman" w:hAnsi="Times New Roman" w:cs="Times New Roman"/>
        </w:rPr>
        <w:t>podporu športu prostredníctvom Fondu na podporu športu výdavkami zo štátneho rozpočtu (31,5 mil. eur).</w:t>
      </w:r>
    </w:p>
    <w:p w:rsidR="00B96E0E" w:rsidRDefault="00B96E0E" w:rsidP="00E34105">
      <w:pPr>
        <w:spacing w:after="0" w:line="240" w:lineRule="auto"/>
        <w:jc w:val="both"/>
        <w:rPr>
          <w:rFonts w:ascii="Times New Roman" w:hAnsi="Times New Roman" w:cs="Times New Roman"/>
          <w:bCs/>
          <w:sz w:val="24"/>
          <w:szCs w:val="24"/>
        </w:rPr>
      </w:pPr>
    </w:p>
    <w:p w:rsidR="00B96E0E" w:rsidRPr="00B63B56" w:rsidRDefault="00B96E0E" w:rsidP="00B96E0E">
      <w:pPr>
        <w:spacing w:after="0"/>
        <w:jc w:val="both"/>
        <w:rPr>
          <w:rFonts w:ascii="Times New Roman" w:hAnsi="Times New Roman" w:cs="Times New Roman"/>
          <w:bCs/>
          <w:sz w:val="24"/>
          <w:szCs w:val="24"/>
        </w:rPr>
      </w:pPr>
      <w:r w:rsidRPr="003C305E">
        <w:rPr>
          <w:rFonts w:ascii="Times New Roman" w:hAnsi="Times New Roman" w:cs="Times New Roman"/>
          <w:b/>
          <w:bCs/>
          <w:sz w:val="24"/>
        </w:rPr>
        <w:t xml:space="preserve">Výdavky </w:t>
      </w:r>
      <w:r>
        <w:rPr>
          <w:rFonts w:ascii="Times New Roman" w:hAnsi="Times New Roman" w:cs="Times New Roman"/>
          <w:b/>
          <w:bCs/>
          <w:sz w:val="24"/>
        </w:rPr>
        <w:t xml:space="preserve"> na </w:t>
      </w:r>
      <w:r w:rsidRPr="003C305E">
        <w:rPr>
          <w:rFonts w:ascii="Times New Roman" w:hAnsi="Times New Roman" w:cs="Times New Roman"/>
          <w:b/>
          <w:bCs/>
          <w:sz w:val="24"/>
        </w:rPr>
        <w:t>zdravotníctv</w:t>
      </w:r>
      <w:r>
        <w:rPr>
          <w:rFonts w:ascii="Times New Roman" w:hAnsi="Times New Roman" w:cs="Times New Roman"/>
          <w:b/>
          <w:bCs/>
          <w:sz w:val="24"/>
        </w:rPr>
        <w:t>o</w:t>
      </w:r>
      <w:r w:rsidRPr="003C305E">
        <w:rPr>
          <w:rFonts w:ascii="Times New Roman" w:hAnsi="Times New Roman" w:cs="Times New Roman"/>
          <w:b/>
          <w:bCs/>
          <w:sz w:val="24"/>
        </w:rPr>
        <w:t xml:space="preserve"> </w:t>
      </w:r>
      <w:r>
        <w:rPr>
          <w:rFonts w:ascii="Times New Roman" w:hAnsi="Times New Roman" w:cs="Times New Roman"/>
          <w:b/>
          <w:bCs/>
          <w:sz w:val="24"/>
        </w:rPr>
        <w:t>rastú a zodpovedajú možnostiam ekonomiky.</w:t>
      </w:r>
      <w:r w:rsidRPr="003C305E">
        <w:rPr>
          <w:rFonts w:ascii="Times New Roman" w:hAnsi="Times New Roman" w:cs="Times New Roman"/>
          <w:b/>
          <w:bCs/>
          <w:sz w:val="24"/>
        </w:rPr>
        <w:t xml:space="preserve"> </w:t>
      </w:r>
      <w:r>
        <w:rPr>
          <w:rFonts w:ascii="Times New Roman" w:hAnsi="Times New Roman" w:cs="Times New Roman"/>
          <w:b/>
          <w:bCs/>
          <w:sz w:val="24"/>
        </w:rPr>
        <w:t>V</w:t>
      </w:r>
      <w:r w:rsidRPr="003C305E">
        <w:rPr>
          <w:rFonts w:ascii="Times New Roman" w:hAnsi="Times New Roman" w:cs="Times New Roman"/>
          <w:b/>
          <w:bCs/>
          <w:sz w:val="24"/>
        </w:rPr>
        <w:t xml:space="preserve"> roku 2022</w:t>
      </w:r>
      <w:r w:rsidR="00B54137">
        <w:rPr>
          <w:rFonts w:ascii="Times New Roman" w:hAnsi="Times New Roman" w:cs="Times New Roman"/>
          <w:b/>
          <w:bCs/>
          <w:sz w:val="24"/>
        </w:rPr>
        <w:t xml:space="preserve"> dosiahnu</w:t>
      </w:r>
      <w:r w:rsidRPr="003C305E">
        <w:rPr>
          <w:rFonts w:ascii="Times New Roman" w:hAnsi="Times New Roman" w:cs="Times New Roman"/>
          <w:b/>
          <w:bCs/>
          <w:sz w:val="24"/>
        </w:rPr>
        <w:t xml:space="preserve"> </w:t>
      </w:r>
      <w:r w:rsidRPr="00CA7269">
        <w:rPr>
          <w:rFonts w:ascii="Times New Roman" w:hAnsi="Times New Roman" w:cs="Times New Roman"/>
          <w:b/>
          <w:bCs/>
          <w:sz w:val="24"/>
        </w:rPr>
        <w:t>úroveň 6,4 mld. eur</w:t>
      </w:r>
      <w:r w:rsidRPr="003C305E">
        <w:rPr>
          <w:rFonts w:ascii="Times New Roman" w:hAnsi="Times New Roman" w:cs="Times New Roman"/>
          <w:b/>
          <w:bCs/>
          <w:sz w:val="24"/>
        </w:rPr>
        <w:t xml:space="preserve">, s medziročným rastom 411 mil. eur, </w:t>
      </w:r>
      <w:r w:rsidRPr="003C305E">
        <w:rPr>
          <w:rFonts w:ascii="Times New Roman" w:hAnsi="Times New Roman" w:cs="Times New Roman"/>
          <w:sz w:val="24"/>
        </w:rPr>
        <w:t xml:space="preserve">t. j. o 6,9 % oproti schválenému rozpočtu 2021. </w:t>
      </w:r>
      <w:r w:rsidRPr="00B63B56">
        <w:rPr>
          <w:rFonts w:ascii="Times New Roman" w:hAnsi="Times New Roman" w:cs="Times New Roman"/>
          <w:bCs/>
          <w:sz w:val="24"/>
          <w:szCs w:val="24"/>
        </w:rPr>
        <w:t xml:space="preserve">Výdavky </w:t>
      </w:r>
      <w:r w:rsidR="00CA7269">
        <w:rPr>
          <w:rFonts w:ascii="Times New Roman" w:hAnsi="Times New Roman" w:cs="Times New Roman"/>
          <w:bCs/>
          <w:sz w:val="24"/>
          <w:szCs w:val="24"/>
        </w:rPr>
        <w:t>sa zabezpečujú naj</w:t>
      </w:r>
      <w:r w:rsidRPr="00B63B56">
        <w:rPr>
          <w:rFonts w:ascii="Times New Roman" w:hAnsi="Times New Roman" w:cs="Times New Roman"/>
          <w:bCs/>
          <w:sz w:val="24"/>
          <w:szCs w:val="24"/>
        </w:rPr>
        <w:t>mä v súvislosti s:</w:t>
      </w:r>
    </w:p>
    <w:p w:rsidR="00B96E0E" w:rsidRDefault="00B96E0E" w:rsidP="00B96E0E">
      <w:pPr>
        <w:pStyle w:val="Odsekzoznamu"/>
        <w:numPr>
          <w:ilvl w:val="0"/>
          <w:numId w:val="33"/>
        </w:numPr>
        <w:jc w:val="both"/>
        <w:rPr>
          <w:rFonts w:ascii="Times New Roman" w:hAnsi="Times New Roman" w:cs="Times New Roman"/>
        </w:rPr>
      </w:pPr>
      <w:r>
        <w:rPr>
          <w:rFonts w:ascii="Times New Roman" w:hAnsi="Times New Roman" w:cs="Times New Roman"/>
        </w:rPr>
        <w:t>zrušením doplatkov za lieky pre vybrané skupiny obyvateľstva a zabezpečenie inovatívnej liečby (57 mil. eur),</w:t>
      </w:r>
    </w:p>
    <w:p w:rsidR="00B96E0E" w:rsidRDefault="00B96E0E" w:rsidP="00B96E0E">
      <w:pPr>
        <w:pStyle w:val="Odsekzoznamu"/>
        <w:numPr>
          <w:ilvl w:val="0"/>
          <w:numId w:val="33"/>
        </w:numPr>
        <w:jc w:val="both"/>
        <w:rPr>
          <w:rFonts w:ascii="Times New Roman" w:hAnsi="Times New Roman" w:cs="Times New Roman"/>
        </w:rPr>
      </w:pPr>
      <w:r w:rsidRPr="004210FC">
        <w:rPr>
          <w:rFonts w:ascii="Times New Roman" w:hAnsi="Times New Roman" w:cs="Times New Roman"/>
          <w:lang w:eastAsia="sk-SK"/>
        </w:rPr>
        <w:t>dobeh</w:t>
      </w:r>
      <w:r>
        <w:rPr>
          <w:rFonts w:ascii="Times New Roman" w:hAnsi="Times New Roman" w:cs="Times New Roman"/>
          <w:lang w:eastAsia="sk-SK"/>
        </w:rPr>
        <w:t>om</w:t>
      </w:r>
      <w:r w:rsidRPr="004210FC">
        <w:rPr>
          <w:rFonts w:ascii="Times New Roman" w:hAnsi="Times New Roman" w:cs="Times New Roman"/>
          <w:lang w:eastAsia="sk-SK"/>
        </w:rPr>
        <w:t xml:space="preserve"> zdravotnej starostlivosti, ktorá bola odložená kvôli reštriktívnym opatreniam a vyťaženosti nemocníc v priebehu pandémie </w:t>
      </w:r>
      <w:r>
        <w:rPr>
          <w:rFonts w:ascii="Times New Roman" w:hAnsi="Times New Roman" w:cs="Times New Roman"/>
          <w:lang w:eastAsia="sk-SK"/>
        </w:rPr>
        <w:t>(</w:t>
      </w:r>
      <w:r w:rsidRPr="004210FC">
        <w:rPr>
          <w:rFonts w:ascii="Times New Roman" w:hAnsi="Times New Roman" w:cs="Times New Roman"/>
          <w:lang w:eastAsia="sk-SK"/>
        </w:rPr>
        <w:t>100 mil. eur</w:t>
      </w:r>
      <w:r>
        <w:rPr>
          <w:rFonts w:ascii="Times New Roman" w:hAnsi="Times New Roman" w:cs="Times New Roman"/>
          <w:lang w:eastAsia="sk-SK"/>
        </w:rPr>
        <w:t>),</w:t>
      </w:r>
    </w:p>
    <w:p w:rsidR="00B96E0E" w:rsidRPr="00496595" w:rsidRDefault="00B96E0E" w:rsidP="00B96E0E">
      <w:pPr>
        <w:pStyle w:val="Odsekzoznamu"/>
        <w:numPr>
          <w:ilvl w:val="0"/>
          <w:numId w:val="33"/>
        </w:numPr>
        <w:jc w:val="both"/>
        <w:rPr>
          <w:rFonts w:ascii="Times New Roman" w:hAnsi="Times New Roman" w:cs="Times New Roman"/>
        </w:rPr>
      </w:pPr>
      <w:r w:rsidRPr="00496595">
        <w:rPr>
          <w:rFonts w:ascii="Times New Roman" w:hAnsi="Times New Roman" w:cs="Times New Roman"/>
        </w:rPr>
        <w:t>dofinancovaním zdravotníckych zariadení v pôsobnosti Ministerstva zdravotníctva SR (125 mil. eur)</w:t>
      </w:r>
      <w:r w:rsidR="00B54137">
        <w:rPr>
          <w:rFonts w:ascii="Times New Roman" w:hAnsi="Times New Roman" w:cs="Times New Roman"/>
        </w:rPr>
        <w:t>,</w:t>
      </w:r>
    </w:p>
    <w:p w:rsidR="00B96E0E" w:rsidRDefault="00B96E0E" w:rsidP="00B96E0E">
      <w:pPr>
        <w:pStyle w:val="Odsekzoznamu"/>
        <w:numPr>
          <w:ilvl w:val="0"/>
          <w:numId w:val="33"/>
        </w:numPr>
        <w:jc w:val="both"/>
        <w:rPr>
          <w:rFonts w:ascii="Times New Roman" w:hAnsi="Times New Roman" w:cs="Times New Roman"/>
        </w:rPr>
      </w:pPr>
      <w:r w:rsidRPr="00496595">
        <w:rPr>
          <w:rFonts w:ascii="Times New Roman" w:hAnsi="Times New Roman" w:cs="Times New Roman"/>
        </w:rPr>
        <w:t>finančn</w:t>
      </w:r>
      <w:r>
        <w:rPr>
          <w:rFonts w:ascii="Times New Roman" w:hAnsi="Times New Roman" w:cs="Times New Roman"/>
        </w:rPr>
        <w:t xml:space="preserve">ými </w:t>
      </w:r>
      <w:r w:rsidRPr="00496595">
        <w:rPr>
          <w:rFonts w:ascii="Times New Roman" w:hAnsi="Times New Roman" w:cs="Times New Roman"/>
        </w:rPr>
        <w:t>prostriedk</w:t>
      </w:r>
      <w:r>
        <w:rPr>
          <w:rFonts w:ascii="Times New Roman" w:hAnsi="Times New Roman" w:cs="Times New Roman"/>
        </w:rPr>
        <w:t>ami</w:t>
      </w:r>
      <w:r w:rsidRPr="00496595">
        <w:rPr>
          <w:rFonts w:ascii="Times New Roman" w:hAnsi="Times New Roman" w:cs="Times New Roman"/>
        </w:rPr>
        <w:t xml:space="preserve"> z Plánu obnovy a odolnosti </w:t>
      </w:r>
      <w:r>
        <w:rPr>
          <w:rFonts w:ascii="Times New Roman" w:hAnsi="Times New Roman" w:cs="Times New Roman"/>
        </w:rPr>
        <w:t>(</w:t>
      </w:r>
      <w:r w:rsidRPr="00496595">
        <w:rPr>
          <w:rFonts w:ascii="Times New Roman" w:hAnsi="Times New Roman" w:cs="Times New Roman"/>
        </w:rPr>
        <w:t>219,9 mil. eur</w:t>
      </w:r>
      <w:r>
        <w:rPr>
          <w:rFonts w:ascii="Times New Roman" w:hAnsi="Times New Roman" w:cs="Times New Roman"/>
        </w:rPr>
        <w:t>)</w:t>
      </w:r>
      <w:r w:rsidR="00B54137">
        <w:rPr>
          <w:rFonts w:ascii="Times New Roman" w:hAnsi="Times New Roman" w:cs="Times New Roman"/>
        </w:rPr>
        <w:t>,</w:t>
      </w:r>
    </w:p>
    <w:p w:rsidR="00B96E0E" w:rsidRDefault="00B96E0E" w:rsidP="00B96E0E">
      <w:pPr>
        <w:pStyle w:val="Odsekzoznamu"/>
        <w:numPr>
          <w:ilvl w:val="0"/>
          <w:numId w:val="33"/>
        </w:numPr>
        <w:jc w:val="both"/>
        <w:rPr>
          <w:rFonts w:ascii="Times New Roman" w:hAnsi="Times New Roman" w:cs="Times New Roman"/>
        </w:rPr>
      </w:pPr>
      <w:r w:rsidRPr="00426C93">
        <w:rPr>
          <w:rFonts w:ascii="Times New Roman" w:hAnsi="Times New Roman" w:cs="Times New Roman"/>
        </w:rPr>
        <w:t>plnením opatrení hodnoty za peniaze</w:t>
      </w:r>
      <w:r>
        <w:rPr>
          <w:rFonts w:ascii="Times New Roman" w:hAnsi="Times New Roman" w:cs="Times New Roman"/>
        </w:rPr>
        <w:t>, ktoré definovali finančné priority v zdravotníctve, na druhej strane aj optimalizačné opatrenia, ktoré vytvárajú priestor na financovanie priorít vrátane rastu miezd v zdravotníctve</w:t>
      </w:r>
      <w:r w:rsidRPr="00426C93">
        <w:rPr>
          <w:rFonts w:ascii="Times New Roman" w:hAnsi="Times New Roman" w:cs="Times New Roman"/>
        </w:rPr>
        <w:t>.</w:t>
      </w:r>
    </w:p>
    <w:p w:rsidR="00B96E0E" w:rsidRDefault="00B96E0E" w:rsidP="00B96E0E">
      <w:pPr>
        <w:spacing w:after="0"/>
        <w:jc w:val="both"/>
        <w:rPr>
          <w:rFonts w:ascii="Times New Roman" w:hAnsi="Times New Roman" w:cs="Times New Roman"/>
          <w:b/>
          <w:sz w:val="24"/>
        </w:rPr>
      </w:pPr>
    </w:p>
    <w:p w:rsidR="00B96E0E" w:rsidRDefault="00B96E0E" w:rsidP="00B96E0E">
      <w:pPr>
        <w:spacing w:after="0"/>
        <w:jc w:val="both"/>
        <w:rPr>
          <w:rFonts w:ascii="Times New Roman" w:hAnsi="Times New Roman" w:cs="Times New Roman"/>
          <w:sz w:val="24"/>
        </w:rPr>
      </w:pPr>
      <w:r w:rsidRPr="004075F2">
        <w:rPr>
          <w:rFonts w:ascii="Times New Roman" w:hAnsi="Times New Roman" w:cs="Times New Roman"/>
          <w:b/>
          <w:sz w:val="24"/>
        </w:rPr>
        <w:t>V</w:t>
      </w:r>
      <w:r>
        <w:rPr>
          <w:rFonts w:ascii="Times New Roman" w:hAnsi="Times New Roman" w:cs="Times New Roman"/>
          <w:b/>
          <w:sz w:val="24"/>
        </w:rPr>
        <w:t> oblasti životného prostredia</w:t>
      </w:r>
      <w:r w:rsidRPr="004075F2">
        <w:rPr>
          <w:rFonts w:ascii="Times New Roman" w:hAnsi="Times New Roman" w:cs="Times New Roman"/>
          <w:b/>
          <w:sz w:val="24"/>
        </w:rPr>
        <w:t xml:space="preserve"> budú priority financované zo zdrojov Plánu obnovy a odolnosti </w:t>
      </w:r>
      <w:r w:rsidRPr="00CA7269">
        <w:rPr>
          <w:rFonts w:ascii="Times New Roman" w:hAnsi="Times New Roman" w:cs="Times New Roman"/>
          <w:b/>
          <w:sz w:val="24"/>
        </w:rPr>
        <w:t>v</w:t>
      </w:r>
      <w:r w:rsidR="00CA7269" w:rsidRPr="00CA7269">
        <w:rPr>
          <w:rFonts w:ascii="Times New Roman" w:hAnsi="Times New Roman" w:cs="Times New Roman"/>
          <w:b/>
          <w:sz w:val="24"/>
        </w:rPr>
        <w:t xml:space="preserve"> objeme 213 mil. eur</w:t>
      </w:r>
      <w:r w:rsidRPr="00CA7269">
        <w:rPr>
          <w:rFonts w:ascii="Times New Roman" w:hAnsi="Times New Roman" w:cs="Times New Roman"/>
          <w:sz w:val="24"/>
        </w:rPr>
        <w:t>,</w:t>
      </w:r>
      <w:r w:rsidRPr="004075F2">
        <w:rPr>
          <w:rFonts w:ascii="Times New Roman" w:hAnsi="Times New Roman" w:cs="Times New Roman"/>
          <w:sz w:val="24"/>
        </w:rPr>
        <w:t xml:space="preserve"> najmä na:</w:t>
      </w:r>
    </w:p>
    <w:p w:rsidR="00B96E0E" w:rsidRDefault="00B96E0E" w:rsidP="00B96E0E">
      <w:pPr>
        <w:pStyle w:val="Odsekzoznamu"/>
        <w:numPr>
          <w:ilvl w:val="0"/>
          <w:numId w:val="34"/>
        </w:numPr>
        <w:jc w:val="both"/>
        <w:rPr>
          <w:rFonts w:ascii="Times New Roman" w:hAnsi="Times New Roman" w:cs="Times New Roman"/>
        </w:rPr>
      </w:pPr>
      <w:r w:rsidRPr="004075F2">
        <w:rPr>
          <w:rFonts w:ascii="Times New Roman" w:hAnsi="Times New Roman" w:cs="Times New Roman"/>
        </w:rPr>
        <w:t xml:space="preserve">dekarbonizáciu priemyslu (105 mil. eur), </w:t>
      </w:r>
    </w:p>
    <w:p w:rsidR="00B96E0E" w:rsidRDefault="00B96E0E" w:rsidP="00B96E0E">
      <w:pPr>
        <w:pStyle w:val="Odsekzoznamu"/>
        <w:numPr>
          <w:ilvl w:val="0"/>
          <w:numId w:val="34"/>
        </w:numPr>
        <w:jc w:val="both"/>
        <w:rPr>
          <w:rFonts w:ascii="Times New Roman" w:hAnsi="Times New Roman" w:cs="Times New Roman"/>
        </w:rPr>
      </w:pPr>
      <w:r w:rsidRPr="004075F2">
        <w:rPr>
          <w:rFonts w:ascii="Times New Roman" w:hAnsi="Times New Roman" w:cs="Times New Roman"/>
        </w:rPr>
        <w:t xml:space="preserve">obnovu budov (83,6 mil. eur), </w:t>
      </w:r>
    </w:p>
    <w:p w:rsidR="00B96E0E" w:rsidRDefault="00B96E0E" w:rsidP="00B96E0E">
      <w:pPr>
        <w:pStyle w:val="Odsekzoznamu"/>
        <w:numPr>
          <w:ilvl w:val="0"/>
          <w:numId w:val="34"/>
        </w:numPr>
        <w:jc w:val="both"/>
        <w:rPr>
          <w:rFonts w:ascii="Times New Roman" w:hAnsi="Times New Roman" w:cs="Times New Roman"/>
        </w:rPr>
      </w:pPr>
      <w:r w:rsidRPr="004075F2">
        <w:rPr>
          <w:rFonts w:ascii="Times New Roman" w:hAnsi="Times New Roman" w:cs="Times New Roman"/>
        </w:rPr>
        <w:t>ochranu prírody a krajiny (20,4 mil. eur) a</w:t>
      </w:r>
    </w:p>
    <w:p w:rsidR="00B96E0E" w:rsidRPr="004075F2" w:rsidRDefault="00B96E0E" w:rsidP="00B96E0E">
      <w:pPr>
        <w:pStyle w:val="Odsekzoznamu"/>
        <w:numPr>
          <w:ilvl w:val="0"/>
          <w:numId w:val="34"/>
        </w:numPr>
        <w:jc w:val="both"/>
        <w:rPr>
          <w:rFonts w:ascii="Times New Roman" w:hAnsi="Times New Roman" w:cs="Times New Roman"/>
        </w:rPr>
      </w:pPr>
      <w:r w:rsidRPr="004075F2">
        <w:rPr>
          <w:rFonts w:ascii="Times New Roman" w:hAnsi="Times New Roman" w:cs="Times New Roman"/>
        </w:rPr>
        <w:t xml:space="preserve">renaturáciu vodných tokov a mokradí (3,60 mil. eur). </w:t>
      </w:r>
    </w:p>
    <w:p w:rsidR="00E34105" w:rsidRPr="00B96E0E" w:rsidRDefault="00E34105" w:rsidP="00E34105">
      <w:pPr>
        <w:spacing w:after="0" w:line="240" w:lineRule="auto"/>
        <w:jc w:val="both"/>
        <w:rPr>
          <w:rFonts w:ascii="Times New Roman" w:hAnsi="Times New Roman" w:cs="Times New Roman"/>
          <w:sz w:val="24"/>
          <w:szCs w:val="24"/>
        </w:rPr>
      </w:pPr>
      <w:r w:rsidRPr="00562428">
        <w:rPr>
          <w:rFonts w:ascii="Times New Roman" w:hAnsi="Times New Roman" w:cs="Times New Roman"/>
          <w:b/>
          <w:bCs/>
          <w:sz w:val="24"/>
          <w:szCs w:val="24"/>
        </w:rPr>
        <w:t>Návrh rozpočtu na roky 2022 až 2024 významne podporuje financovanie sociálnej oblasti</w:t>
      </w:r>
      <w:r w:rsidR="00B96E0E">
        <w:rPr>
          <w:rFonts w:ascii="Times New Roman" w:hAnsi="Times New Roman" w:cs="Times New Roman"/>
          <w:sz w:val="24"/>
          <w:szCs w:val="24"/>
        </w:rPr>
        <w:t xml:space="preserve">, </w:t>
      </w:r>
      <w:r w:rsidR="00CA7269" w:rsidRPr="00CA7269">
        <w:rPr>
          <w:rFonts w:ascii="Times New Roman" w:hAnsi="Times New Roman" w:cs="Times New Roman"/>
          <w:sz w:val="24"/>
          <w:szCs w:val="24"/>
        </w:rPr>
        <w:t>pričom</w:t>
      </w:r>
      <w:r w:rsidR="00B96E0E" w:rsidRPr="00CA7269">
        <w:rPr>
          <w:rFonts w:ascii="Times New Roman" w:hAnsi="Times New Roman" w:cs="Times New Roman"/>
          <w:sz w:val="24"/>
          <w:szCs w:val="24"/>
        </w:rPr>
        <w:t xml:space="preserve"> v kapitole</w:t>
      </w:r>
      <w:r w:rsidRPr="00CA7269">
        <w:rPr>
          <w:rFonts w:ascii="Times New Roman" w:hAnsi="Times New Roman" w:cs="Times New Roman"/>
          <w:sz w:val="24"/>
          <w:szCs w:val="24"/>
        </w:rPr>
        <w:t xml:space="preserve"> Ministerstva práce, sociálnych vecí a rodiny SR </w:t>
      </w:r>
      <w:r w:rsidR="00CA7269" w:rsidRPr="00CA7269">
        <w:rPr>
          <w:rFonts w:ascii="Times New Roman" w:hAnsi="Times New Roman" w:cs="Times New Roman"/>
          <w:sz w:val="24"/>
          <w:szCs w:val="24"/>
        </w:rPr>
        <w:t>je zaznamenaný</w:t>
      </w:r>
      <w:r w:rsidRPr="00CA7269">
        <w:rPr>
          <w:rFonts w:ascii="Times New Roman" w:hAnsi="Times New Roman" w:cs="Times New Roman"/>
          <w:sz w:val="24"/>
          <w:szCs w:val="24"/>
        </w:rPr>
        <w:t xml:space="preserve"> medziročný </w:t>
      </w:r>
      <w:r w:rsidR="00B96E0E" w:rsidRPr="00CA7269">
        <w:rPr>
          <w:rFonts w:ascii="Times New Roman" w:hAnsi="Times New Roman" w:cs="Times New Roman"/>
          <w:sz w:val="24"/>
          <w:szCs w:val="24"/>
        </w:rPr>
        <w:t>ná</w:t>
      </w:r>
      <w:r w:rsidRPr="00CA7269">
        <w:rPr>
          <w:rFonts w:ascii="Times New Roman" w:hAnsi="Times New Roman" w:cs="Times New Roman"/>
          <w:sz w:val="24"/>
          <w:szCs w:val="24"/>
        </w:rPr>
        <w:t xml:space="preserve">rast v celkovej </w:t>
      </w:r>
      <w:r w:rsidR="00B96E0E" w:rsidRPr="00CA7269">
        <w:rPr>
          <w:rFonts w:ascii="Times New Roman" w:hAnsi="Times New Roman" w:cs="Times New Roman"/>
          <w:sz w:val="24"/>
          <w:szCs w:val="24"/>
        </w:rPr>
        <w:t>výške 171 mil. eur, a to najmä:</w:t>
      </w:r>
    </w:p>
    <w:p w:rsidR="00E34105" w:rsidRPr="00562428" w:rsidRDefault="00E34105" w:rsidP="00E34105">
      <w:pPr>
        <w:numPr>
          <w:ilvl w:val="0"/>
          <w:numId w:val="13"/>
        </w:numPr>
        <w:spacing w:after="0" w:line="240" w:lineRule="auto"/>
        <w:contextualSpacing/>
        <w:jc w:val="both"/>
        <w:rPr>
          <w:rFonts w:ascii="Times New Roman" w:hAnsi="Times New Roman" w:cs="Times New Roman"/>
          <w:sz w:val="24"/>
          <w:szCs w:val="24"/>
          <w:lang w:eastAsia="cs-CZ"/>
        </w:rPr>
      </w:pPr>
      <w:r w:rsidRPr="00562428">
        <w:rPr>
          <w:rFonts w:ascii="Times New Roman" w:hAnsi="Times New Roman" w:cs="Times New Roman"/>
          <w:sz w:val="24"/>
          <w:szCs w:val="24"/>
          <w:lang w:eastAsia="cs-CZ"/>
        </w:rPr>
        <w:t>nárastom výdavkov na kompenzáciu sociálnych dôsledkov ŤZP o 46,7 mil. eur, najmä v súvislosti so zvýšením príspevku na opatrovanie a sadzby na 1 hodinu osobnej asistencie nariadením vlády SR a valorizáciou jednotlivých príspevkov naviazanú na úpravu súm životného minima,</w:t>
      </w:r>
    </w:p>
    <w:p w:rsidR="00E34105" w:rsidRPr="00562428" w:rsidRDefault="00E34105" w:rsidP="00E34105">
      <w:pPr>
        <w:numPr>
          <w:ilvl w:val="0"/>
          <w:numId w:val="13"/>
        </w:numPr>
        <w:spacing w:after="0" w:line="240" w:lineRule="auto"/>
        <w:contextualSpacing/>
        <w:jc w:val="both"/>
        <w:rPr>
          <w:rFonts w:ascii="Times New Roman" w:hAnsi="Times New Roman" w:cs="Times New Roman"/>
          <w:sz w:val="24"/>
          <w:szCs w:val="24"/>
          <w:lang w:eastAsia="cs-CZ"/>
        </w:rPr>
      </w:pPr>
      <w:r w:rsidRPr="00562428">
        <w:rPr>
          <w:rFonts w:ascii="Times New Roman" w:hAnsi="Times New Roman" w:cs="Times New Roman"/>
          <w:sz w:val="24"/>
          <w:szCs w:val="24"/>
          <w:lang w:eastAsia="cs-CZ"/>
        </w:rPr>
        <w:t>zvýšením výdavkov na podporu rodiny o</w:t>
      </w:r>
      <w:r w:rsidRPr="00562428">
        <w:rPr>
          <w:rFonts w:ascii="Times New Roman" w:hAnsi="Times New Roman" w:cs="Times New Roman"/>
          <w:color w:val="1F497D"/>
          <w:sz w:val="24"/>
          <w:szCs w:val="24"/>
          <w:lang w:eastAsia="cs-CZ"/>
        </w:rPr>
        <w:t> </w:t>
      </w:r>
      <w:r w:rsidRPr="00562428">
        <w:rPr>
          <w:rFonts w:ascii="Times New Roman" w:hAnsi="Times New Roman" w:cs="Times New Roman"/>
          <w:sz w:val="24"/>
          <w:szCs w:val="24"/>
          <w:lang w:eastAsia="cs-CZ"/>
        </w:rPr>
        <w:t xml:space="preserve">33,0 mil. eur, najmä v súvislosti s valorizáciou rodičovského príspevku a prídavku na dieťa, </w:t>
      </w:r>
    </w:p>
    <w:p w:rsidR="00E34105" w:rsidRPr="00562428" w:rsidRDefault="00E34105" w:rsidP="00E34105">
      <w:pPr>
        <w:numPr>
          <w:ilvl w:val="0"/>
          <w:numId w:val="13"/>
        </w:numPr>
        <w:spacing w:after="0" w:line="240" w:lineRule="auto"/>
        <w:ind w:left="714" w:hanging="357"/>
        <w:contextualSpacing/>
        <w:jc w:val="both"/>
        <w:rPr>
          <w:rFonts w:ascii="Times New Roman" w:hAnsi="Times New Roman" w:cs="Times New Roman"/>
          <w:sz w:val="24"/>
          <w:szCs w:val="24"/>
          <w:lang w:eastAsia="cs-CZ"/>
        </w:rPr>
      </w:pPr>
      <w:r w:rsidRPr="00562428">
        <w:rPr>
          <w:rFonts w:ascii="Times New Roman" w:hAnsi="Times New Roman" w:cs="Times New Roman"/>
          <w:sz w:val="24"/>
          <w:szCs w:val="24"/>
          <w:lang w:eastAsia="cs-CZ"/>
        </w:rPr>
        <w:t>nárastom výdavkov na poistné za osoby, za ktoré poistné do Sociálnej poisťovne a príspevky do II. piliera platí štát o 19,6 mil. eur,</w:t>
      </w:r>
    </w:p>
    <w:p w:rsidR="00E34105" w:rsidRPr="00562428" w:rsidRDefault="00E34105" w:rsidP="00E34105">
      <w:pPr>
        <w:numPr>
          <w:ilvl w:val="0"/>
          <w:numId w:val="13"/>
        </w:numPr>
        <w:spacing w:after="0" w:line="240" w:lineRule="auto"/>
        <w:ind w:left="714" w:hanging="357"/>
        <w:contextualSpacing/>
        <w:jc w:val="both"/>
        <w:rPr>
          <w:rFonts w:ascii="Times New Roman" w:hAnsi="Times New Roman" w:cs="Times New Roman"/>
          <w:sz w:val="24"/>
          <w:szCs w:val="24"/>
          <w:lang w:eastAsia="cs-CZ"/>
        </w:rPr>
      </w:pPr>
      <w:r w:rsidRPr="00562428">
        <w:rPr>
          <w:rFonts w:ascii="Times New Roman" w:hAnsi="Times New Roman" w:cs="Times New Roman"/>
          <w:sz w:val="24"/>
          <w:szCs w:val="24"/>
          <w:lang w:eastAsia="cs-CZ"/>
        </w:rPr>
        <w:t>zvýšením výdavkov na nesystémové dávky sociálneho poistenia o 30,1 mil. eur, najmä v súvislosti s vyššími výdavkami na invalidné dôchodky z</w:t>
      </w:r>
      <w:r w:rsidR="00C751A3">
        <w:rPr>
          <w:rFonts w:ascii="Times New Roman" w:hAnsi="Times New Roman" w:cs="Times New Roman"/>
          <w:sz w:val="24"/>
          <w:szCs w:val="24"/>
          <w:lang w:eastAsia="cs-CZ"/>
        </w:rPr>
        <w:t> </w:t>
      </w:r>
      <w:r w:rsidRPr="00562428">
        <w:rPr>
          <w:rFonts w:ascii="Times New Roman" w:hAnsi="Times New Roman" w:cs="Times New Roman"/>
          <w:sz w:val="24"/>
          <w:szCs w:val="24"/>
          <w:lang w:eastAsia="cs-CZ"/>
        </w:rPr>
        <w:t>mladosti</w:t>
      </w:r>
      <w:r w:rsidR="00C751A3">
        <w:rPr>
          <w:rFonts w:ascii="Times New Roman" w:hAnsi="Times New Roman" w:cs="Times New Roman"/>
          <w:sz w:val="24"/>
          <w:szCs w:val="24"/>
          <w:lang w:eastAsia="cs-CZ"/>
        </w:rPr>
        <w:t>,</w:t>
      </w:r>
    </w:p>
    <w:p w:rsidR="00E34105" w:rsidRPr="00562428" w:rsidRDefault="00E34105" w:rsidP="00E34105">
      <w:pPr>
        <w:numPr>
          <w:ilvl w:val="0"/>
          <w:numId w:val="13"/>
        </w:numPr>
        <w:spacing w:after="0" w:line="240" w:lineRule="auto"/>
        <w:ind w:left="714" w:hanging="357"/>
        <w:contextualSpacing/>
        <w:jc w:val="both"/>
        <w:rPr>
          <w:rFonts w:ascii="Times New Roman" w:hAnsi="Times New Roman" w:cs="Times New Roman"/>
          <w:sz w:val="24"/>
          <w:szCs w:val="24"/>
          <w:lang w:eastAsia="cs-CZ"/>
        </w:rPr>
      </w:pPr>
      <w:r w:rsidRPr="00562428">
        <w:rPr>
          <w:rFonts w:ascii="Times New Roman" w:hAnsi="Times New Roman" w:cs="Times New Roman"/>
          <w:sz w:val="24"/>
          <w:szCs w:val="24"/>
          <w:lang w:eastAsia="cs-CZ"/>
        </w:rPr>
        <w:t>zvýšením finančných príspevkov v zariadeniach sociálnych služieb podmienených odkázanosťou v sume 14,3 mil. eur</w:t>
      </w:r>
      <w:r w:rsidR="00C751A3">
        <w:rPr>
          <w:rFonts w:ascii="Times New Roman" w:hAnsi="Times New Roman" w:cs="Times New Roman"/>
          <w:sz w:val="24"/>
          <w:szCs w:val="24"/>
          <w:lang w:eastAsia="cs-CZ"/>
        </w:rPr>
        <w:t>,</w:t>
      </w:r>
    </w:p>
    <w:p w:rsidR="00E34105" w:rsidRPr="00562428" w:rsidRDefault="00E34105" w:rsidP="00E34105">
      <w:pPr>
        <w:numPr>
          <w:ilvl w:val="0"/>
          <w:numId w:val="13"/>
        </w:numPr>
        <w:spacing w:after="0" w:line="240" w:lineRule="auto"/>
        <w:ind w:left="714" w:hanging="357"/>
        <w:contextualSpacing/>
        <w:jc w:val="both"/>
        <w:rPr>
          <w:rFonts w:ascii="Times New Roman" w:hAnsi="Times New Roman" w:cs="Times New Roman"/>
          <w:sz w:val="24"/>
          <w:szCs w:val="24"/>
          <w:lang w:eastAsia="cs-CZ"/>
        </w:rPr>
      </w:pPr>
      <w:r w:rsidRPr="00562428">
        <w:rPr>
          <w:rFonts w:ascii="Times New Roman" w:hAnsi="Times New Roman" w:cs="Times New Roman"/>
          <w:sz w:val="24"/>
          <w:szCs w:val="24"/>
          <w:lang w:eastAsia="cs-CZ"/>
        </w:rPr>
        <w:t>alokáciou výdavkov z Plánu obnovy a odolnosti v sume 39,5 mil. eur</w:t>
      </w:r>
      <w:r w:rsidR="00C751A3">
        <w:rPr>
          <w:rFonts w:ascii="Times New Roman" w:hAnsi="Times New Roman" w:cs="Times New Roman"/>
          <w:sz w:val="24"/>
          <w:szCs w:val="24"/>
          <w:lang w:eastAsia="cs-CZ"/>
        </w:rPr>
        <w:t>.</w:t>
      </w:r>
    </w:p>
    <w:p w:rsidR="00E34105" w:rsidRPr="00562428" w:rsidRDefault="00E34105" w:rsidP="00E34105">
      <w:pPr>
        <w:spacing w:after="0" w:line="240" w:lineRule="auto"/>
        <w:jc w:val="both"/>
        <w:rPr>
          <w:rFonts w:ascii="Times New Roman" w:hAnsi="Times New Roman" w:cs="Times New Roman"/>
          <w:b/>
          <w:bCs/>
          <w:sz w:val="24"/>
          <w:szCs w:val="24"/>
          <w:lang w:eastAsia="cs-CZ"/>
        </w:rPr>
      </w:pPr>
    </w:p>
    <w:p w:rsidR="00E34105" w:rsidRPr="00562428" w:rsidRDefault="00E34105" w:rsidP="00E34105">
      <w:pPr>
        <w:spacing w:after="0" w:line="240" w:lineRule="auto"/>
        <w:jc w:val="both"/>
        <w:rPr>
          <w:rFonts w:ascii="Times New Roman" w:hAnsi="Times New Roman" w:cs="Times New Roman"/>
          <w:b/>
          <w:bCs/>
          <w:sz w:val="24"/>
          <w:szCs w:val="24"/>
          <w:lang w:eastAsia="cs-CZ"/>
        </w:rPr>
      </w:pPr>
      <w:r w:rsidRPr="00562428">
        <w:rPr>
          <w:rFonts w:ascii="Times New Roman" w:hAnsi="Times New Roman" w:cs="Times New Roman"/>
          <w:b/>
          <w:sz w:val="24"/>
          <w:szCs w:val="24"/>
          <w:lang w:eastAsia="cs-CZ"/>
        </w:rPr>
        <w:t>Sociálna poisťovňa</w:t>
      </w:r>
      <w:r w:rsidRPr="00562428">
        <w:rPr>
          <w:rFonts w:ascii="Times New Roman" w:hAnsi="Times New Roman" w:cs="Times New Roman"/>
          <w:sz w:val="24"/>
          <w:szCs w:val="24"/>
          <w:lang w:eastAsia="cs-CZ"/>
        </w:rPr>
        <w:t xml:space="preserve"> má v rámci svojho rozpočtu zohľadnené </w:t>
      </w:r>
      <w:r w:rsidR="004F2E6A">
        <w:rPr>
          <w:rFonts w:ascii="Times New Roman" w:hAnsi="Times New Roman" w:cs="Times New Roman"/>
          <w:sz w:val="24"/>
          <w:szCs w:val="24"/>
          <w:lang w:eastAsia="cs-CZ"/>
        </w:rPr>
        <w:t>zvýšenie</w:t>
      </w:r>
      <w:r w:rsidRPr="00562428">
        <w:rPr>
          <w:rFonts w:ascii="Times New Roman" w:hAnsi="Times New Roman" w:cs="Times New Roman"/>
          <w:sz w:val="24"/>
          <w:szCs w:val="24"/>
          <w:lang w:eastAsia="cs-CZ"/>
        </w:rPr>
        <w:t xml:space="preserve"> o 22,4 mil. eur na celkovú sumu 61,8 mil. eur z </w:t>
      </w:r>
      <w:r w:rsidRPr="00562428">
        <w:rPr>
          <w:rFonts w:ascii="Times New Roman" w:hAnsi="Times New Roman" w:cs="Times New Roman"/>
          <w:b/>
          <w:sz w:val="24"/>
          <w:szCs w:val="24"/>
          <w:lang w:eastAsia="cs-CZ"/>
        </w:rPr>
        <w:t>dôvodu celoročného vyplácania dávky tehotenské</w:t>
      </w:r>
      <w:r w:rsidRPr="00562428">
        <w:rPr>
          <w:rFonts w:ascii="Times New Roman" w:hAnsi="Times New Roman" w:cs="Times New Roman"/>
          <w:sz w:val="24"/>
          <w:szCs w:val="24"/>
          <w:lang w:eastAsia="cs-CZ"/>
        </w:rPr>
        <w:t>, ktorá bola zavedená s účinnosťou od 1. apríla 2021. V súvislosti s novo prijatým zákonom o podpore v čase skrátenej práce sa v rozpočte Sociálnej poisťovne uvažuje s výdavkami na daný účel v sume 16,5 mil. eur.</w:t>
      </w:r>
    </w:p>
    <w:p w:rsidR="00E34105" w:rsidRPr="00562428" w:rsidRDefault="00E34105" w:rsidP="00E34105">
      <w:pPr>
        <w:spacing w:after="0" w:line="240" w:lineRule="auto"/>
        <w:jc w:val="both"/>
        <w:rPr>
          <w:rFonts w:ascii="Times New Roman" w:hAnsi="Times New Roman" w:cs="Times New Roman"/>
          <w:sz w:val="24"/>
          <w:szCs w:val="24"/>
          <w:lang w:eastAsia="cs-CZ"/>
        </w:rPr>
      </w:pP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lang w:eastAsia="cs-CZ"/>
        </w:rPr>
      </w:pPr>
      <w:r w:rsidRPr="00562428">
        <w:rPr>
          <w:rFonts w:ascii="Times New Roman" w:eastAsia="Times New Roman" w:hAnsi="Times New Roman" w:cs="Times New Roman"/>
          <w:b/>
          <w:sz w:val="24"/>
          <w:szCs w:val="24"/>
          <w:lang w:eastAsia="cs-CZ"/>
        </w:rPr>
        <w:t>Podpora pôdohospodárstva</w:t>
      </w:r>
      <w:r w:rsidRPr="00562428">
        <w:rPr>
          <w:rFonts w:ascii="Times New Roman" w:eastAsia="Times New Roman" w:hAnsi="Times New Roman" w:cs="Times New Roman"/>
          <w:sz w:val="24"/>
          <w:szCs w:val="24"/>
          <w:lang w:eastAsia="cs-CZ"/>
        </w:rPr>
        <w:t xml:space="preserve"> bude zabezpečená naďalej cez kapitolu Ministerstva pôdohospodárstva a rozvoja vidieka SR, v ktorej sa rozpočtujú prostriedky v sume 30 mil. eur na poskytovanie pomoci vo forme úľav na environmentálnych daniach (zelená nafta)</w:t>
      </w:r>
      <w:r w:rsidR="00C751A3">
        <w:rPr>
          <w:rFonts w:ascii="Times New Roman" w:eastAsia="Times New Roman" w:hAnsi="Times New Roman" w:cs="Times New Roman"/>
          <w:sz w:val="24"/>
          <w:szCs w:val="24"/>
          <w:lang w:eastAsia="cs-CZ"/>
        </w:rPr>
        <w:t>, 8 mil. eur na národné</w:t>
      </w:r>
      <w:r w:rsidR="000B406D">
        <w:rPr>
          <w:rFonts w:ascii="Times New Roman" w:eastAsia="Times New Roman" w:hAnsi="Times New Roman" w:cs="Times New Roman"/>
          <w:sz w:val="24"/>
          <w:szCs w:val="24"/>
          <w:lang w:eastAsia="cs-CZ"/>
        </w:rPr>
        <w:t xml:space="preserve"> podpory</w:t>
      </w:r>
      <w:r w:rsidRPr="00562428">
        <w:rPr>
          <w:rFonts w:ascii="Times New Roman" w:eastAsia="Times New Roman" w:hAnsi="Times New Roman" w:cs="Times New Roman"/>
          <w:sz w:val="24"/>
          <w:szCs w:val="24"/>
          <w:lang w:eastAsia="cs-CZ"/>
        </w:rPr>
        <w:t> </w:t>
      </w:r>
      <w:r w:rsidRPr="00562428">
        <w:rPr>
          <w:rFonts w:ascii="Times New Roman" w:hAnsi="Times New Roman" w:cs="Times New Roman"/>
          <w:sz w:val="24"/>
          <w:szCs w:val="24"/>
        </w:rPr>
        <w:t>a 27,5 mil. eur najmä na platby poistného v poľnohospodárskej prvovýrobe, na odstraňovanie a likvidáciu mŕtvych zvierat, na poskytovanie podpory v lesnom hospodárstve na plnenie mimoprodukčných funkcií lesov podľa schémy minimálnej pomoci a na ďalšie úlohy súvisiace s podporou pôdohospodárstva.</w:t>
      </w:r>
    </w:p>
    <w:p w:rsidR="00E34105" w:rsidRPr="00562428" w:rsidRDefault="00E34105" w:rsidP="00E34105">
      <w:pPr>
        <w:spacing w:after="0" w:line="240" w:lineRule="auto"/>
        <w:contextualSpacing/>
        <w:jc w:val="both"/>
        <w:rPr>
          <w:rFonts w:ascii="Times New Roman" w:hAnsi="Times New Roman" w:cs="Times New Roman"/>
          <w:sz w:val="24"/>
          <w:szCs w:val="24"/>
        </w:rPr>
      </w:pP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lang w:eastAsia="cs-CZ"/>
        </w:rPr>
      </w:pPr>
      <w:r w:rsidRPr="00562428">
        <w:rPr>
          <w:rFonts w:ascii="Times New Roman" w:eastAsia="Times New Roman" w:hAnsi="Times New Roman" w:cs="Times New Roman"/>
          <w:b/>
          <w:sz w:val="24"/>
          <w:szCs w:val="24"/>
          <w:lang w:eastAsia="cs-CZ"/>
        </w:rPr>
        <w:t>Prostredníctvom rozpočtu kapitoly Ministerstva vnútra SR</w:t>
      </w:r>
      <w:r w:rsidRPr="00562428">
        <w:rPr>
          <w:rFonts w:ascii="Times New Roman" w:eastAsia="Times New Roman" w:hAnsi="Times New Roman" w:cs="Times New Roman"/>
          <w:sz w:val="24"/>
          <w:szCs w:val="24"/>
          <w:lang w:eastAsia="cs-CZ"/>
        </w:rPr>
        <w:t xml:space="preserve"> sa realizuje </w:t>
      </w:r>
      <w:r w:rsidRPr="00562428">
        <w:rPr>
          <w:rFonts w:ascii="Times New Roman" w:hAnsi="Times New Roman" w:cs="Times New Roman"/>
          <w:sz w:val="24"/>
          <w:szCs w:val="24"/>
        </w:rPr>
        <w:t>Boj proti korupcii a praniu špinavých peňazí</w:t>
      </w:r>
      <w:r w:rsidRPr="00562428">
        <w:rPr>
          <w:rFonts w:ascii="Times New Roman" w:eastAsia="Times New Roman" w:hAnsi="Times New Roman" w:cs="Times New Roman"/>
          <w:sz w:val="24"/>
          <w:szCs w:val="24"/>
          <w:lang w:eastAsia="cs-CZ"/>
        </w:rPr>
        <w:t>. Za týmto účelom sa medziročne zvýšili výdavky o 67,9 mil. eur. V návrhu rozpočtu Ministerstva vnútra SR sú zvýšené kapitálové výdavky na investičnú výstavbu, rekonštrukcie a modernizáciu v sume 7,7 mil. eur.</w:t>
      </w: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highlight w:val="yellow"/>
          <w:lang w:eastAsia="cs-CZ"/>
        </w:rPr>
      </w:pP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lang w:eastAsia="cs-CZ"/>
        </w:rPr>
      </w:pPr>
      <w:r w:rsidRPr="00562428">
        <w:rPr>
          <w:rFonts w:ascii="Times New Roman" w:eastAsia="Times New Roman" w:hAnsi="Times New Roman" w:cs="Times New Roman"/>
          <w:b/>
          <w:sz w:val="24"/>
          <w:szCs w:val="24"/>
          <w:lang w:eastAsia="cs-CZ"/>
        </w:rPr>
        <w:t>V rámci výdavkov Ministerstva spravodlivosti SR</w:t>
      </w:r>
      <w:r w:rsidRPr="00562428">
        <w:rPr>
          <w:rFonts w:ascii="Times New Roman" w:eastAsia="Times New Roman" w:hAnsi="Times New Roman" w:cs="Times New Roman"/>
          <w:sz w:val="24"/>
          <w:szCs w:val="24"/>
          <w:lang w:eastAsia="cs-CZ"/>
        </w:rPr>
        <w:t xml:space="preserve"> sú rozpočtované výdavky na Plán obnovy</w:t>
      </w:r>
      <w:r w:rsidR="00841FE8">
        <w:rPr>
          <w:rFonts w:ascii="Times New Roman" w:eastAsia="Times New Roman" w:hAnsi="Times New Roman" w:cs="Times New Roman"/>
          <w:sz w:val="24"/>
          <w:szCs w:val="24"/>
          <w:lang w:eastAsia="cs-CZ"/>
        </w:rPr>
        <w:t xml:space="preserve"> a odolnosti</w:t>
      </w:r>
      <w:r w:rsidRPr="00562428">
        <w:rPr>
          <w:rFonts w:ascii="Times New Roman" w:eastAsia="Times New Roman" w:hAnsi="Times New Roman" w:cs="Times New Roman"/>
          <w:sz w:val="24"/>
          <w:szCs w:val="24"/>
          <w:lang w:eastAsia="cs-CZ"/>
        </w:rPr>
        <w:t xml:space="preserve"> určené na reorganizáciu súdov a renovácie budov, ako aj na digitalizáciu a analytické kapacity a tiež na digitalizáciu procesov insolvenčného konania v sume 66,1 mil. eur.</w:t>
      </w: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lang w:eastAsia="cs-CZ"/>
        </w:rPr>
      </w:pPr>
    </w:p>
    <w:p w:rsidR="00E34105" w:rsidRPr="00562428" w:rsidRDefault="00E34105" w:rsidP="00E34105">
      <w:pPr>
        <w:spacing w:after="0" w:line="240" w:lineRule="auto"/>
        <w:jc w:val="both"/>
        <w:rPr>
          <w:rFonts w:ascii="Times New Roman" w:eastAsia="Times New Roman" w:hAnsi="Times New Roman" w:cs="Times New Roman"/>
          <w:sz w:val="24"/>
          <w:szCs w:val="24"/>
          <w:lang w:eastAsia="cs-CZ"/>
        </w:rPr>
      </w:pPr>
      <w:r w:rsidRPr="00CA7269">
        <w:rPr>
          <w:rFonts w:ascii="Times New Roman" w:eastAsia="Times New Roman" w:hAnsi="Times New Roman" w:cs="Times New Roman"/>
          <w:sz w:val="24"/>
          <w:szCs w:val="24"/>
          <w:lang w:eastAsia="cs-CZ"/>
        </w:rPr>
        <w:t xml:space="preserve">Slovenská republika si je aj v zhoršených ekonomických podmienkach vedomá svojich záväzkov vyplývajúcich z členstva NATO. Z tohto dôvodu </w:t>
      </w:r>
      <w:r w:rsidRPr="00CA7269">
        <w:rPr>
          <w:rFonts w:ascii="Times New Roman" w:eastAsia="Times New Roman" w:hAnsi="Times New Roman" w:cs="Times New Roman"/>
          <w:b/>
          <w:sz w:val="24"/>
          <w:szCs w:val="24"/>
          <w:lang w:eastAsia="cs-CZ"/>
        </w:rPr>
        <w:t xml:space="preserve">obranné výdavky </w:t>
      </w:r>
      <w:r w:rsidRPr="00CA7269">
        <w:rPr>
          <w:rFonts w:ascii="Times New Roman" w:eastAsia="Times New Roman" w:hAnsi="Times New Roman" w:cs="Times New Roman"/>
          <w:sz w:val="24"/>
          <w:szCs w:val="24"/>
          <w:lang w:eastAsia="cs-CZ"/>
        </w:rPr>
        <w:t xml:space="preserve">Slovenskej republiky </w:t>
      </w:r>
      <w:r w:rsidRPr="00CA7269">
        <w:rPr>
          <w:rFonts w:ascii="Times New Roman" w:eastAsia="Times New Roman" w:hAnsi="Times New Roman" w:cs="Times New Roman"/>
          <w:b/>
          <w:sz w:val="24"/>
          <w:szCs w:val="24"/>
          <w:lang w:eastAsia="cs-CZ"/>
        </w:rPr>
        <w:t>dosahujú v roku 2022 úroveň 1,</w:t>
      </w:r>
      <w:r w:rsidR="0081360C" w:rsidRPr="00CA7269">
        <w:rPr>
          <w:rFonts w:ascii="Times New Roman" w:eastAsia="Times New Roman" w:hAnsi="Times New Roman" w:cs="Times New Roman"/>
          <w:b/>
          <w:sz w:val="24"/>
          <w:szCs w:val="24"/>
          <w:lang w:eastAsia="cs-CZ"/>
        </w:rPr>
        <w:t>80</w:t>
      </w:r>
      <w:r w:rsidRPr="00CA7269">
        <w:rPr>
          <w:rFonts w:ascii="Times New Roman" w:eastAsia="Times New Roman" w:hAnsi="Times New Roman" w:cs="Times New Roman"/>
          <w:b/>
          <w:sz w:val="24"/>
          <w:szCs w:val="24"/>
          <w:lang w:eastAsia="cs-CZ"/>
        </w:rPr>
        <w:t xml:space="preserve"> % HDP</w:t>
      </w:r>
      <w:r w:rsidRPr="00CA7269">
        <w:rPr>
          <w:rFonts w:ascii="Times New Roman" w:eastAsia="Times New Roman" w:hAnsi="Times New Roman" w:cs="Times New Roman"/>
          <w:sz w:val="24"/>
          <w:szCs w:val="24"/>
          <w:lang w:eastAsia="cs-CZ"/>
        </w:rPr>
        <w:t xml:space="preserve">. Samotné Ministerstvo obrany  SR má zabezpečený medziročný nárast výdavkov vo výške </w:t>
      </w:r>
      <w:r w:rsidR="0081360C" w:rsidRPr="00CA7269">
        <w:rPr>
          <w:rFonts w:ascii="Times New Roman" w:eastAsia="Times New Roman" w:hAnsi="Times New Roman" w:cs="Times New Roman"/>
          <w:sz w:val="24"/>
          <w:szCs w:val="24"/>
          <w:lang w:eastAsia="cs-CZ"/>
        </w:rPr>
        <w:t>164</w:t>
      </w:r>
      <w:r w:rsidRPr="00CA7269">
        <w:rPr>
          <w:rFonts w:ascii="Times New Roman" w:eastAsia="Times New Roman" w:hAnsi="Times New Roman" w:cs="Times New Roman"/>
          <w:sz w:val="24"/>
          <w:szCs w:val="24"/>
          <w:lang w:eastAsia="cs-CZ"/>
        </w:rPr>
        <w:t xml:space="preserve"> mil. eur (vrátane výdavkov alokovaných v kapitole Všeobecná pokladničná správa).</w:t>
      </w:r>
      <w:r w:rsidRPr="00562428">
        <w:rPr>
          <w:rFonts w:ascii="Times New Roman" w:eastAsia="Times New Roman" w:hAnsi="Times New Roman" w:cs="Times New Roman"/>
          <w:sz w:val="24"/>
          <w:szCs w:val="24"/>
          <w:lang w:eastAsia="cs-CZ"/>
        </w:rPr>
        <w:t xml:space="preserve"> </w:t>
      </w:r>
    </w:p>
    <w:p w:rsidR="00E34105" w:rsidRPr="00562428" w:rsidRDefault="00E34105" w:rsidP="00E34105">
      <w:pPr>
        <w:spacing w:after="0" w:line="240" w:lineRule="auto"/>
        <w:jc w:val="both"/>
        <w:rPr>
          <w:rFonts w:ascii="Times New Roman" w:hAnsi="Times New Roman" w:cs="Times New Roman"/>
          <w:b/>
          <w:sz w:val="24"/>
          <w:szCs w:val="24"/>
          <w:highlight w:val="yellow"/>
        </w:rPr>
      </w:pP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highlight w:val="yellow"/>
          <w:lang w:eastAsia="cs-CZ"/>
        </w:rPr>
      </w:pPr>
      <w:r w:rsidRPr="00562428">
        <w:rPr>
          <w:rFonts w:ascii="Times New Roman" w:eastAsia="Times New Roman" w:hAnsi="Times New Roman" w:cs="Times New Roman"/>
          <w:sz w:val="24"/>
          <w:szCs w:val="24"/>
          <w:lang w:eastAsia="cs-CZ"/>
        </w:rPr>
        <w:t xml:space="preserve">Vo výdavkoch </w:t>
      </w:r>
      <w:r w:rsidR="00841FE8">
        <w:rPr>
          <w:rFonts w:ascii="Times New Roman" w:eastAsia="Times New Roman" w:hAnsi="Times New Roman" w:cs="Times New Roman"/>
          <w:b/>
          <w:sz w:val="24"/>
          <w:szCs w:val="24"/>
          <w:lang w:eastAsia="cs-CZ"/>
        </w:rPr>
        <w:t>Ministerstva</w:t>
      </w:r>
      <w:r w:rsidRPr="00562428">
        <w:rPr>
          <w:rFonts w:ascii="Times New Roman" w:eastAsia="Times New Roman" w:hAnsi="Times New Roman" w:cs="Times New Roman"/>
          <w:b/>
          <w:sz w:val="24"/>
          <w:szCs w:val="24"/>
          <w:lang w:eastAsia="cs-CZ"/>
        </w:rPr>
        <w:t xml:space="preserve"> hospodárstva SR</w:t>
      </w:r>
      <w:r w:rsidRPr="00562428">
        <w:rPr>
          <w:rFonts w:ascii="Times New Roman" w:eastAsia="Times New Roman" w:hAnsi="Times New Roman" w:cs="Times New Roman"/>
          <w:sz w:val="24"/>
          <w:szCs w:val="24"/>
          <w:lang w:eastAsia="cs-CZ"/>
        </w:rPr>
        <w:t xml:space="preserve"> sú zohľadnené výdavky zo zdrojov Plánu obnovy a odolnosti v celkovej sume 120 mil. eur a zvýšenie výdavkov na útlm uhoľného baníctva v sume 5,82 mil. eur v nadväznosti na Akčný plán transformácie uhoľného regiónu horná Nitra.</w:t>
      </w:r>
    </w:p>
    <w:p w:rsidR="00E34105" w:rsidRPr="00562428" w:rsidRDefault="00E34105" w:rsidP="00E34105">
      <w:pPr>
        <w:spacing w:after="0" w:line="240" w:lineRule="auto"/>
        <w:jc w:val="both"/>
        <w:rPr>
          <w:rFonts w:ascii="Times New Roman" w:hAnsi="Times New Roman" w:cs="Times New Roman"/>
          <w:b/>
          <w:sz w:val="24"/>
          <w:szCs w:val="24"/>
          <w:highlight w:val="yellow"/>
        </w:rPr>
      </w:pPr>
    </w:p>
    <w:p w:rsidR="00E34105" w:rsidRPr="00562428" w:rsidRDefault="00E34105" w:rsidP="00E34105">
      <w:pPr>
        <w:spacing w:after="0" w:line="240" w:lineRule="auto"/>
        <w:contextualSpacing/>
        <w:jc w:val="both"/>
        <w:rPr>
          <w:rFonts w:ascii="Times New Roman" w:eastAsia="Times New Roman" w:hAnsi="Times New Roman" w:cs="Times New Roman"/>
          <w:sz w:val="24"/>
          <w:szCs w:val="24"/>
          <w:highlight w:val="yellow"/>
          <w:lang w:eastAsia="cs-CZ"/>
        </w:rPr>
      </w:pPr>
      <w:r w:rsidRPr="00562428">
        <w:rPr>
          <w:rFonts w:ascii="Times New Roman" w:eastAsia="Times New Roman" w:hAnsi="Times New Roman" w:cs="Times New Roman"/>
          <w:b/>
          <w:sz w:val="24"/>
          <w:szCs w:val="24"/>
          <w:lang w:eastAsia="cs-CZ"/>
        </w:rPr>
        <w:t>V rozpočte Ministerstva kultúry SR</w:t>
      </w:r>
      <w:r w:rsidRPr="00562428">
        <w:rPr>
          <w:rFonts w:ascii="Times New Roman" w:eastAsia="Times New Roman" w:hAnsi="Times New Roman" w:cs="Times New Roman"/>
          <w:sz w:val="24"/>
          <w:szCs w:val="24"/>
          <w:lang w:eastAsia="cs-CZ"/>
        </w:rPr>
        <w:t xml:space="preserve"> sú zabezpečené finančné prostriedky na rekonštrukciu a modernizáciu Slovenskej národnej galérie, na rekonštrukciu Štátnej opery Banská Bystrica, na obnovu a revitalizáciu hradu Krásna Hôrka a na zabezpečenie sanácie havarijného stavu Spišského hradu. Na rok 2022 sú v kapitole rozpočtované výdavky na reformu zvýšenia transparentnosti a zefektívnenia rozhodnutí Pamiatkového úradu Slovenskej republiky financovanú z prostriedkov Plánu obnovy a odolnosti v sume 3,7 mil. eur.</w:t>
      </w:r>
    </w:p>
    <w:p w:rsidR="00E34105" w:rsidRDefault="00E34105" w:rsidP="00E34105">
      <w:pPr>
        <w:spacing w:after="0" w:line="240" w:lineRule="auto"/>
        <w:jc w:val="both"/>
        <w:rPr>
          <w:rFonts w:ascii="Times New Roman" w:hAnsi="Times New Roman" w:cs="Times New Roman"/>
          <w:b/>
          <w:sz w:val="24"/>
          <w:szCs w:val="24"/>
          <w:highlight w:val="yellow"/>
        </w:rPr>
      </w:pPr>
    </w:p>
    <w:p w:rsidR="00164A62" w:rsidRDefault="00164A62" w:rsidP="00164A62">
      <w:pPr>
        <w:spacing w:after="0" w:line="240" w:lineRule="auto"/>
        <w:jc w:val="both"/>
        <w:rPr>
          <w:rFonts w:ascii="Times New Roman" w:hAnsi="Times New Roman" w:cs="Times New Roman"/>
          <w:sz w:val="24"/>
          <w:szCs w:val="24"/>
        </w:rPr>
      </w:pPr>
      <w:r w:rsidRPr="00562428">
        <w:rPr>
          <w:rFonts w:ascii="Times New Roman" w:hAnsi="Times New Roman" w:cs="Times New Roman"/>
          <w:b/>
          <w:sz w:val="24"/>
          <w:szCs w:val="24"/>
        </w:rPr>
        <w:t>Návrh rozpočtu verejnej správy na rok 2022 je zostavený na predpoklade, že sektor verejnej správy b</w:t>
      </w:r>
      <w:r>
        <w:rPr>
          <w:rFonts w:ascii="Times New Roman" w:hAnsi="Times New Roman" w:cs="Times New Roman"/>
          <w:b/>
          <w:sz w:val="24"/>
          <w:szCs w:val="24"/>
        </w:rPr>
        <w:t>ude zamestnávať</w:t>
      </w:r>
      <w:r w:rsidRPr="00562428">
        <w:rPr>
          <w:rFonts w:ascii="Times New Roman" w:hAnsi="Times New Roman" w:cs="Times New Roman"/>
          <w:b/>
          <w:sz w:val="24"/>
          <w:szCs w:val="24"/>
        </w:rPr>
        <w:t xml:space="preserve"> 429 010 osôb. </w:t>
      </w:r>
      <w:r w:rsidRPr="00562428">
        <w:rPr>
          <w:rFonts w:ascii="Times New Roman" w:hAnsi="Times New Roman" w:cs="Times New Roman"/>
          <w:sz w:val="24"/>
          <w:szCs w:val="24"/>
        </w:rPr>
        <w:t>Oproti roku 2021 zamestnanosť medziročne  rastie o 1 622 osôb, z toho na zabezpečenie realizácie Plánu obnovy a odolnosti SR o 1 515 osôb. Výdavky na zamestnanosť sú naďalej ovplyvnené realizáciou niektorých opatrení vyplývajúcich z „Revízie výdavkov zamestnanosti a odmeňovania vo verejnej správe“ implementovaných už do rozpočtu na roky 2021 až 2023.</w:t>
      </w:r>
    </w:p>
    <w:p w:rsidR="0088407E" w:rsidRDefault="0088407E" w:rsidP="00164A62">
      <w:pPr>
        <w:spacing w:after="0" w:line="240" w:lineRule="auto"/>
        <w:jc w:val="both"/>
        <w:rPr>
          <w:rFonts w:ascii="Times New Roman" w:hAnsi="Times New Roman" w:cs="Times New Roman"/>
          <w:sz w:val="24"/>
          <w:szCs w:val="24"/>
        </w:rPr>
      </w:pPr>
    </w:p>
    <w:p w:rsidR="00164A62" w:rsidRDefault="00DE7DD0" w:rsidP="0088407E">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Vláda bude v rokoch 2022 až </w:t>
      </w:r>
      <w:r w:rsidR="0088407E" w:rsidRPr="0088407E">
        <w:rPr>
          <w:rFonts w:ascii="Times New Roman" w:hAnsi="Times New Roman" w:cs="Times New Roman"/>
          <w:b/>
          <w:bCs/>
          <w:sz w:val="24"/>
          <w:szCs w:val="24"/>
        </w:rPr>
        <w:t xml:space="preserve">2024 pokračovať v reformách riadenia verejných financií, najmä posilňovaním orientácie na výsledok a zvyšovaním transparentnosti. </w:t>
      </w:r>
      <w:r w:rsidR="0088407E" w:rsidRPr="0088407E">
        <w:rPr>
          <w:rFonts w:ascii="Times New Roman" w:hAnsi="Times New Roman" w:cs="Times New Roman"/>
          <w:sz w:val="24"/>
          <w:szCs w:val="24"/>
        </w:rPr>
        <w:t xml:space="preserve">Orientácia na dosahované výsledky a zvýšenie zrozumiteľnosti rozpočtu pre občanov bude posilnená najmä stanovením kľúčových indikátorov pre vecné oblasti. Identifikované cieľové hodnoty umožnia nastaviť a komunikovať jasnú trajektóriu k splneniu stanovených priorít ako aj porovnateľnosť výsledkov v čase. </w:t>
      </w:r>
    </w:p>
    <w:p w:rsidR="0088407E" w:rsidRPr="0088407E" w:rsidRDefault="0088407E" w:rsidP="0088407E">
      <w:pPr>
        <w:spacing w:after="0"/>
        <w:jc w:val="both"/>
        <w:rPr>
          <w:rFonts w:ascii="Times New Roman" w:hAnsi="Times New Roman" w:cs="Times New Roman"/>
          <w:sz w:val="24"/>
          <w:szCs w:val="24"/>
        </w:rPr>
      </w:pPr>
    </w:p>
    <w:p w:rsidR="00E34105" w:rsidRPr="00562428" w:rsidRDefault="00E34105" w:rsidP="0088407E">
      <w:pPr>
        <w:spacing w:after="0" w:line="240" w:lineRule="auto"/>
        <w:jc w:val="both"/>
        <w:rPr>
          <w:rFonts w:ascii="Times New Roman" w:hAnsi="Times New Roman" w:cs="Times New Roman"/>
          <w:sz w:val="24"/>
          <w:szCs w:val="24"/>
        </w:rPr>
      </w:pPr>
      <w:r w:rsidRPr="00562428">
        <w:rPr>
          <w:rFonts w:ascii="Times New Roman" w:hAnsi="Times New Roman" w:cs="Times New Roman"/>
          <w:sz w:val="24"/>
          <w:szCs w:val="24"/>
        </w:rPr>
        <w:t>Vláda sa vo svojom programovom vyhlásení okrem iného zaviazala aj k zníženiu podielu časti príjmov a výdavkov, ktoré neboli v minulých rokoch zahrnuté v rozpočte</w:t>
      </w:r>
      <w:r w:rsidRPr="00562428">
        <w:rPr>
          <w:rFonts w:ascii="Times New Roman" w:hAnsi="Times New Roman" w:cs="Times New Roman"/>
          <w:sz w:val="24"/>
          <w:szCs w:val="24"/>
          <w:vertAlign w:val="superscript"/>
        </w:rPr>
        <w:footnoteReference w:id="4"/>
      </w:r>
      <w:r w:rsidRPr="00562428">
        <w:rPr>
          <w:rFonts w:ascii="Times New Roman" w:hAnsi="Times New Roman" w:cs="Times New Roman"/>
          <w:sz w:val="24"/>
          <w:szCs w:val="24"/>
          <w:vertAlign w:val="superscript"/>
        </w:rPr>
        <w:t xml:space="preserve">. </w:t>
      </w:r>
      <w:r w:rsidRPr="00562428">
        <w:rPr>
          <w:rFonts w:ascii="Times New Roman" w:hAnsi="Times New Roman" w:cs="Times New Roman"/>
          <w:b/>
          <w:sz w:val="24"/>
          <w:szCs w:val="24"/>
        </w:rPr>
        <w:t>Do návrhu rozpočtu preto bola zahrnutá významná časť týchto titulov, ktoré sú obsiahnuté v notifikovanej skutočnosti, ale neboli doteraz zahrnuté v rozpočte verejnej správy.</w:t>
      </w:r>
      <w:r w:rsidRPr="00562428">
        <w:rPr>
          <w:rFonts w:ascii="Times New Roman" w:hAnsi="Times New Roman" w:cs="Times New Roman"/>
          <w:sz w:val="24"/>
          <w:szCs w:val="24"/>
        </w:rPr>
        <w:t xml:space="preserve"> Oproti rozpočtu verejnej správy na roky 2021 až 2023 boli do návrhu rozpočtu zapracované aj príjmy a výdavky spoločnosti Slovak Investment Holding, a. s. Naďalej však nie sú v návrhu rozpočtu premietnuté údaje za časť organizácií, patriacich do sektora verejnej správy, ako napríklad záujmové združenia právnických osôb, neziskové organizácie, spoločnosti s ručením obmedzeným a pod. Získavanie údajov pre rozpočet od týchto subjektov je značne problematické a zároveň ich skutočný vplyv na bilanciu rozpočtu verejnej správy je zanedbateľný. </w:t>
      </w:r>
    </w:p>
    <w:p w:rsidR="00E34105" w:rsidRPr="00562428" w:rsidRDefault="00E34105" w:rsidP="00E34105">
      <w:pPr>
        <w:spacing w:after="0" w:line="240" w:lineRule="auto"/>
        <w:rPr>
          <w:rFonts w:ascii="Times New Roman" w:hAnsi="Times New Roman" w:cs="Times New Roman"/>
          <w:sz w:val="24"/>
          <w:szCs w:val="24"/>
          <w:highlight w:val="yellow"/>
        </w:rPr>
      </w:pPr>
    </w:p>
    <w:p w:rsidR="00E34105" w:rsidRPr="00562428" w:rsidRDefault="00E34105" w:rsidP="00E34105">
      <w:pPr>
        <w:spacing w:after="0" w:line="240" w:lineRule="auto"/>
        <w:jc w:val="both"/>
        <w:rPr>
          <w:rFonts w:ascii="Times New Roman" w:hAnsi="Times New Roman" w:cs="Times New Roman"/>
          <w:b/>
          <w:sz w:val="24"/>
          <w:szCs w:val="24"/>
        </w:rPr>
      </w:pPr>
      <w:r w:rsidRPr="00562428">
        <w:rPr>
          <w:rFonts w:ascii="Times New Roman" w:hAnsi="Times New Roman" w:cs="Times New Roman"/>
          <w:b/>
          <w:sz w:val="24"/>
          <w:szCs w:val="24"/>
        </w:rPr>
        <w:t>Návrh rozpočtu verejnej správy je predkladaný v čase nastupujúcej 3. vlny pandémie. Prognózovanie ekonomických veličín a fiškálne plánovanie sa tak uskutočňujú naďalej v zložitých podmienkach. Napriek tomu predložený dokument možno považovať za vyvážený</w:t>
      </w:r>
      <w:r w:rsidR="006D5008">
        <w:rPr>
          <w:rFonts w:ascii="Times New Roman" w:hAnsi="Times New Roman" w:cs="Times New Roman"/>
          <w:b/>
          <w:sz w:val="24"/>
          <w:szCs w:val="24"/>
        </w:rPr>
        <w:t>, ktorý</w:t>
      </w:r>
      <w:r w:rsidRPr="00562428">
        <w:rPr>
          <w:rFonts w:ascii="Times New Roman" w:hAnsi="Times New Roman" w:cs="Times New Roman"/>
          <w:b/>
          <w:sz w:val="24"/>
          <w:szCs w:val="24"/>
        </w:rPr>
        <w:t xml:space="preserve"> v najlepšej možnej miere zosúlaďuje požiadavky na rozpočtovú zo</w:t>
      </w:r>
      <w:r>
        <w:rPr>
          <w:rFonts w:ascii="Times New Roman" w:hAnsi="Times New Roman" w:cs="Times New Roman"/>
          <w:b/>
          <w:sz w:val="24"/>
          <w:szCs w:val="24"/>
        </w:rPr>
        <w:t>dpovednosť</w:t>
      </w:r>
      <w:r w:rsidR="006D5008">
        <w:rPr>
          <w:rFonts w:ascii="Times New Roman" w:hAnsi="Times New Roman" w:cs="Times New Roman"/>
          <w:b/>
          <w:sz w:val="24"/>
          <w:szCs w:val="24"/>
        </w:rPr>
        <w:t xml:space="preserve"> (znižovaním deficitu na polovičnú úroveň)</w:t>
      </w:r>
      <w:r>
        <w:rPr>
          <w:rFonts w:ascii="Times New Roman" w:hAnsi="Times New Roman" w:cs="Times New Roman"/>
          <w:b/>
          <w:sz w:val="24"/>
          <w:szCs w:val="24"/>
        </w:rPr>
        <w:t xml:space="preserve">, </w:t>
      </w:r>
      <w:r w:rsidR="006D5008">
        <w:rPr>
          <w:rFonts w:ascii="Times New Roman" w:hAnsi="Times New Roman" w:cs="Times New Roman"/>
          <w:b/>
          <w:sz w:val="24"/>
          <w:szCs w:val="24"/>
        </w:rPr>
        <w:t xml:space="preserve">vytvára zdrojovú bázu na možné </w:t>
      </w:r>
      <w:r>
        <w:rPr>
          <w:rFonts w:ascii="Times New Roman" w:hAnsi="Times New Roman" w:cs="Times New Roman"/>
          <w:b/>
          <w:sz w:val="24"/>
          <w:szCs w:val="24"/>
        </w:rPr>
        <w:t>negatívn</w:t>
      </w:r>
      <w:r w:rsidR="006D5008">
        <w:rPr>
          <w:rFonts w:ascii="Times New Roman" w:hAnsi="Times New Roman" w:cs="Times New Roman"/>
          <w:b/>
          <w:sz w:val="24"/>
          <w:szCs w:val="24"/>
        </w:rPr>
        <w:t>e</w:t>
      </w:r>
      <w:r>
        <w:rPr>
          <w:rFonts w:ascii="Times New Roman" w:hAnsi="Times New Roman" w:cs="Times New Roman"/>
          <w:b/>
          <w:sz w:val="24"/>
          <w:szCs w:val="24"/>
        </w:rPr>
        <w:t xml:space="preserve"> vplyv</w:t>
      </w:r>
      <w:r w:rsidR="006D5008">
        <w:rPr>
          <w:rFonts w:ascii="Times New Roman" w:hAnsi="Times New Roman" w:cs="Times New Roman"/>
          <w:b/>
          <w:sz w:val="24"/>
          <w:szCs w:val="24"/>
        </w:rPr>
        <w:t>y</w:t>
      </w:r>
      <w:r w:rsidRPr="00562428">
        <w:rPr>
          <w:rFonts w:ascii="Times New Roman" w:hAnsi="Times New Roman" w:cs="Times New Roman"/>
          <w:b/>
          <w:sz w:val="24"/>
          <w:szCs w:val="24"/>
        </w:rPr>
        <w:t xml:space="preserve"> stále prebiehajú</w:t>
      </w:r>
      <w:r w:rsidR="006D5008">
        <w:rPr>
          <w:rFonts w:ascii="Times New Roman" w:hAnsi="Times New Roman" w:cs="Times New Roman"/>
          <w:b/>
          <w:sz w:val="24"/>
          <w:szCs w:val="24"/>
        </w:rPr>
        <w:t xml:space="preserve">cej pandémie ochorenia COVID-19 a zároveň počíta s </w:t>
      </w:r>
      <w:r w:rsidRPr="00562428">
        <w:rPr>
          <w:rFonts w:ascii="Times New Roman" w:hAnsi="Times New Roman" w:cs="Times New Roman"/>
          <w:b/>
          <w:sz w:val="24"/>
          <w:szCs w:val="24"/>
        </w:rPr>
        <w:t>potrebný</w:t>
      </w:r>
      <w:r w:rsidR="006D5008">
        <w:rPr>
          <w:rFonts w:ascii="Times New Roman" w:hAnsi="Times New Roman" w:cs="Times New Roman"/>
          <w:b/>
          <w:sz w:val="24"/>
          <w:szCs w:val="24"/>
        </w:rPr>
        <w:t>mi</w:t>
      </w:r>
      <w:r w:rsidRPr="00562428">
        <w:rPr>
          <w:rFonts w:ascii="Times New Roman" w:hAnsi="Times New Roman" w:cs="Times New Roman"/>
          <w:b/>
          <w:sz w:val="24"/>
          <w:szCs w:val="24"/>
        </w:rPr>
        <w:t xml:space="preserve"> fiškálny</w:t>
      </w:r>
      <w:r w:rsidR="006D5008">
        <w:rPr>
          <w:rFonts w:ascii="Times New Roman" w:hAnsi="Times New Roman" w:cs="Times New Roman"/>
          <w:b/>
          <w:sz w:val="24"/>
          <w:szCs w:val="24"/>
        </w:rPr>
        <w:t>mi</w:t>
      </w:r>
      <w:r w:rsidRPr="00562428">
        <w:rPr>
          <w:rFonts w:ascii="Times New Roman" w:hAnsi="Times New Roman" w:cs="Times New Roman"/>
          <w:b/>
          <w:sz w:val="24"/>
          <w:szCs w:val="24"/>
        </w:rPr>
        <w:t xml:space="preserve"> stimul</w:t>
      </w:r>
      <w:r w:rsidR="006D5008">
        <w:rPr>
          <w:rFonts w:ascii="Times New Roman" w:hAnsi="Times New Roman" w:cs="Times New Roman"/>
          <w:b/>
          <w:sz w:val="24"/>
          <w:szCs w:val="24"/>
        </w:rPr>
        <w:t>mi</w:t>
      </w:r>
      <w:r w:rsidRPr="00562428">
        <w:rPr>
          <w:rFonts w:ascii="Times New Roman" w:hAnsi="Times New Roman" w:cs="Times New Roman"/>
          <w:b/>
          <w:sz w:val="24"/>
          <w:szCs w:val="24"/>
        </w:rPr>
        <w:t xml:space="preserve"> do oslabenej ekonomiky</w:t>
      </w:r>
      <w:r w:rsidR="00B86798">
        <w:rPr>
          <w:rFonts w:ascii="Times New Roman" w:hAnsi="Times New Roman" w:cs="Times New Roman"/>
          <w:b/>
          <w:sz w:val="24"/>
          <w:szCs w:val="24"/>
        </w:rPr>
        <w:t xml:space="preserve"> formou investícií rastúcich  </w:t>
      </w:r>
      <w:r w:rsidR="009F6EB7">
        <w:rPr>
          <w:rFonts w:ascii="Times New Roman" w:hAnsi="Times New Roman" w:cs="Times New Roman"/>
          <w:b/>
          <w:sz w:val="24"/>
          <w:szCs w:val="24"/>
        </w:rPr>
        <w:t xml:space="preserve">na približne 1,5 násobok </w:t>
      </w:r>
      <w:r w:rsidR="00B86798">
        <w:rPr>
          <w:rFonts w:ascii="Times New Roman" w:hAnsi="Times New Roman" w:cs="Times New Roman"/>
          <w:b/>
          <w:sz w:val="24"/>
          <w:szCs w:val="24"/>
        </w:rPr>
        <w:t>na úroveň takmer 6 mld. eur.</w:t>
      </w:r>
    </w:p>
    <w:p w:rsidR="00FA7DE1" w:rsidRDefault="00FA7DE1" w:rsidP="007B1BD5">
      <w:pPr>
        <w:rPr>
          <w:rFonts w:ascii="Times New Roman" w:hAnsi="Times New Roman" w:cs="Times New Roman"/>
          <w:sz w:val="24"/>
          <w:szCs w:val="24"/>
        </w:rPr>
      </w:pPr>
    </w:p>
    <w:p w:rsidR="00052B0A" w:rsidRDefault="00052B0A" w:rsidP="00AF6D19">
      <w:pPr>
        <w:pStyle w:val="Nadpis1"/>
        <w:numPr>
          <w:ilvl w:val="0"/>
          <w:numId w:val="1"/>
        </w:numPr>
        <w:ind w:left="284" w:hanging="284"/>
        <w:rPr>
          <w:rFonts w:ascii="Times New Roman" w:hAnsi="Times New Roman"/>
          <w:b/>
          <w:color w:val="5B9BD5" w:themeColor="accent1"/>
          <w:sz w:val="28"/>
          <w:szCs w:val="24"/>
        </w:rPr>
      </w:pPr>
      <w:bookmarkStart w:id="3" w:name="_Toc84684742"/>
      <w:r w:rsidRPr="00AF6D19">
        <w:rPr>
          <w:rFonts w:ascii="Times New Roman" w:hAnsi="Times New Roman"/>
          <w:b/>
          <w:color w:val="5B9BD5" w:themeColor="accent1"/>
          <w:sz w:val="28"/>
          <w:szCs w:val="24"/>
        </w:rPr>
        <w:t>Makroekonomické predpoklady rozpočtu</w:t>
      </w:r>
      <w:bookmarkEnd w:id="3"/>
      <w:r w:rsidRPr="00AF6D19">
        <w:rPr>
          <w:rFonts w:ascii="Times New Roman" w:hAnsi="Times New Roman"/>
          <w:b/>
          <w:color w:val="5B9BD5" w:themeColor="accent1"/>
          <w:sz w:val="28"/>
          <w:szCs w:val="24"/>
        </w:rPr>
        <w:t xml:space="preserve"> </w:t>
      </w:r>
    </w:p>
    <w:p w:rsidR="00EA1CFD" w:rsidRDefault="00EA1CFD" w:rsidP="00EA1CFD"/>
    <w:p w:rsidR="00EA1CFD" w:rsidRDefault="00EA1CFD" w:rsidP="00694747">
      <w:pPr>
        <w:pStyle w:val="NormalList"/>
        <w:rPr>
          <w:rFonts w:ascii="Times New Roman" w:eastAsia="NeueHaasGroteskText W02" w:hAnsi="Times New Roman" w:cs="Times New Roman"/>
          <w:noProof/>
          <w:sz w:val="24"/>
          <w:szCs w:val="24"/>
        </w:rPr>
      </w:pPr>
      <w:r w:rsidRPr="00EA1988">
        <w:rPr>
          <w:rFonts w:ascii="Times New Roman" w:eastAsia="NeueHaasGroteskText W02" w:hAnsi="Times New Roman" w:cs="Times New Roman"/>
          <w:noProof/>
          <w:sz w:val="24"/>
          <w:szCs w:val="24"/>
        </w:rPr>
        <w:t>Po prepade ekonomiky v dôsledku globálnej pandémie sa HDP Slovenska v roku 2021 čiastočne zotaví a stúpne o 3,7 %. Uvoľnenie opatrení po druhej vlne sa pretavilo do vyššej spotreby domácností a ekonomika bude operovať blízko svojho predkrízového maxima. Oživenie ekonomiky koncom roku však stlmí tretia vlna pandémie. Predpokladom je, že vďaka vakcinácii bude na jej zvládnutie potrebné zaviesť miernejšie opatrenia v porovnaní s koncom roku 2020. Hoci tretia vlna</w:t>
      </w:r>
      <w:r w:rsidR="0052441A" w:rsidRPr="00EA1988">
        <w:rPr>
          <w:rFonts w:ascii="Times New Roman" w:eastAsia="NeueHaasGroteskText W02" w:hAnsi="Times New Roman" w:cs="Times New Roman"/>
          <w:noProof/>
          <w:sz w:val="24"/>
          <w:szCs w:val="24"/>
        </w:rPr>
        <w:t xml:space="preserve"> výraznejšie ďalej nez</w:t>
      </w:r>
      <w:r w:rsidRPr="00EA1988">
        <w:rPr>
          <w:rFonts w:ascii="Times New Roman" w:eastAsia="NeueHaasGroteskText W02" w:hAnsi="Times New Roman" w:cs="Times New Roman"/>
          <w:noProof/>
          <w:sz w:val="24"/>
          <w:szCs w:val="24"/>
        </w:rPr>
        <w:t>výši počty nezamestnaných, zamestnaných bude za celý rok stále</w:t>
      </w:r>
      <w:r w:rsidR="0052441A" w:rsidRPr="00EA1988">
        <w:rPr>
          <w:rFonts w:ascii="Times New Roman" w:eastAsia="NeueHaasGroteskText W02" w:hAnsi="Times New Roman" w:cs="Times New Roman"/>
          <w:noProof/>
          <w:sz w:val="24"/>
          <w:szCs w:val="24"/>
        </w:rPr>
        <w:t xml:space="preserve"> v priemere o 66 tisíc menej ako</w:t>
      </w:r>
      <w:r w:rsidRPr="00EA1988">
        <w:rPr>
          <w:rFonts w:ascii="Times New Roman" w:eastAsia="NeueHaasGroteskText W02" w:hAnsi="Times New Roman" w:cs="Times New Roman"/>
          <w:noProof/>
          <w:sz w:val="24"/>
          <w:szCs w:val="24"/>
        </w:rPr>
        <w:t xml:space="preserve"> v roku 2019. Export bude brzdený nedostatkom súčiastok. Globálny dopyt po tovaroch zostáva vysoký a ponuka ho nedokáže nasýtiť. Výsledkom sú rastúce inflačné tlaky a výpadky vo výrobe. </w:t>
      </w:r>
    </w:p>
    <w:p w:rsidR="00694747" w:rsidRDefault="00694747" w:rsidP="00694747">
      <w:pPr>
        <w:pStyle w:val="NormalList"/>
        <w:rPr>
          <w:rFonts w:ascii="Times New Roman" w:eastAsia="NeueHaasGroteskText W02" w:hAnsi="Times New Roman" w:cs="Times New Roman"/>
          <w:noProof/>
          <w:sz w:val="24"/>
          <w:szCs w:val="24"/>
        </w:rPr>
      </w:pPr>
    </w:p>
    <w:p w:rsidR="002C5D02" w:rsidRDefault="00EA1CFD" w:rsidP="00694747">
      <w:pPr>
        <w:pStyle w:val="NormalList"/>
        <w:rPr>
          <w:rFonts w:ascii="Times New Roman" w:eastAsia="NeueHaasGroteskText W02" w:hAnsi="Times New Roman" w:cs="Times New Roman"/>
          <w:noProof/>
          <w:sz w:val="24"/>
          <w:szCs w:val="24"/>
        </w:rPr>
      </w:pPr>
      <w:r w:rsidRPr="00EA1988">
        <w:rPr>
          <w:rFonts w:ascii="Times New Roman" w:eastAsia="NeueHaasGroteskText W02" w:hAnsi="Times New Roman" w:cs="Times New Roman"/>
          <w:noProof/>
          <w:sz w:val="24"/>
          <w:szCs w:val="24"/>
        </w:rPr>
        <w:t xml:space="preserve">V roku 2022 dosiahne rast HDP 4,2 %, hnaný najmä investíciami. Pandémia začiatkom roku ustúpi, neistota sa zníži a firmy opäť začnú investovať. S blížiacim sa koncom </w:t>
      </w:r>
      <w:r w:rsidR="00E80549" w:rsidRPr="00EA1988">
        <w:rPr>
          <w:rFonts w:ascii="Times New Roman" w:eastAsia="NeueHaasGroteskText W02" w:hAnsi="Times New Roman" w:cs="Times New Roman"/>
          <w:noProof/>
          <w:sz w:val="24"/>
          <w:szCs w:val="24"/>
        </w:rPr>
        <w:t>3.</w:t>
      </w:r>
      <w:r w:rsidRPr="00EA1988">
        <w:rPr>
          <w:rFonts w:ascii="Times New Roman" w:eastAsia="NeueHaasGroteskText W02" w:hAnsi="Times New Roman" w:cs="Times New Roman"/>
          <w:noProof/>
          <w:sz w:val="24"/>
          <w:szCs w:val="24"/>
        </w:rPr>
        <w:t xml:space="preserve"> programového obdobia tiež predpokladáme, že sa začne zrýchľovať čerpanie EÚ fondov. K týmto zdrojom sa pridá aj čerpani</w:t>
      </w:r>
      <w:r w:rsidR="00350557">
        <w:rPr>
          <w:rFonts w:ascii="Times New Roman" w:eastAsia="NeueHaasGroteskText W02" w:hAnsi="Times New Roman" w:cs="Times New Roman"/>
          <w:noProof/>
          <w:sz w:val="24"/>
          <w:szCs w:val="24"/>
        </w:rPr>
        <w:t>e prostriedkov z Plánu obnovy a odolnosti</w:t>
      </w:r>
      <w:r w:rsidRPr="00EA1988">
        <w:rPr>
          <w:rFonts w:ascii="Times New Roman" w:eastAsia="NeueHaasGroteskText W02" w:hAnsi="Times New Roman" w:cs="Times New Roman"/>
          <w:noProof/>
          <w:sz w:val="24"/>
          <w:szCs w:val="24"/>
        </w:rPr>
        <w:t>. Celkové investície v </w:t>
      </w:r>
      <w:r w:rsidR="002C5D02">
        <w:rPr>
          <w:rFonts w:ascii="Times New Roman" w:eastAsia="NeueHaasGroteskText W02" w:hAnsi="Times New Roman" w:cs="Times New Roman"/>
          <w:noProof/>
          <w:sz w:val="24"/>
          <w:szCs w:val="24"/>
        </w:rPr>
        <w:t>ekonomike tak stúpnu medziročn</w:t>
      </w:r>
      <w:r w:rsidR="00350557">
        <w:rPr>
          <w:rFonts w:ascii="Times New Roman" w:eastAsia="NeueHaasGroteskText W02" w:hAnsi="Times New Roman" w:cs="Times New Roman"/>
          <w:noProof/>
          <w:sz w:val="24"/>
          <w:szCs w:val="24"/>
        </w:rPr>
        <w:t xml:space="preserve">e </w:t>
      </w:r>
      <w:r w:rsidRPr="00EA1988">
        <w:rPr>
          <w:rFonts w:ascii="Times New Roman" w:eastAsia="NeueHaasGroteskText W02" w:hAnsi="Times New Roman" w:cs="Times New Roman"/>
          <w:noProof/>
          <w:sz w:val="24"/>
          <w:szCs w:val="24"/>
        </w:rPr>
        <w:t>o takmer 17 %. To prispeje nielen k menšiemu podchladeniu slovenskej ekonomiky, ale aj k zrýchleniu tvorby potenciálu slovenskej ekonomiky v ďalších rokoch.</w:t>
      </w:r>
    </w:p>
    <w:p w:rsidR="00694747" w:rsidRPr="00EA1988" w:rsidRDefault="00694747" w:rsidP="00694747">
      <w:pPr>
        <w:pStyle w:val="NormalList"/>
        <w:rPr>
          <w:rFonts w:ascii="Times New Roman" w:eastAsia="NeueHaasGroteskText W02" w:hAnsi="Times New Roman" w:cs="Times New Roman"/>
          <w:noProof/>
          <w:sz w:val="24"/>
          <w:szCs w:val="24"/>
        </w:rPr>
      </w:pPr>
    </w:p>
    <w:p w:rsidR="00EA1CFD" w:rsidRDefault="00EA1CFD" w:rsidP="00694747">
      <w:pPr>
        <w:pStyle w:val="NormalList"/>
        <w:rPr>
          <w:rFonts w:ascii="Times New Roman" w:eastAsia="NeueHaasGroteskText W02" w:hAnsi="Times New Roman" w:cs="Times New Roman"/>
          <w:noProof/>
          <w:sz w:val="24"/>
          <w:szCs w:val="24"/>
        </w:rPr>
      </w:pPr>
      <w:r w:rsidRPr="00EA1988">
        <w:rPr>
          <w:rFonts w:ascii="Times New Roman" w:eastAsia="NeueHaasGroteskText W02" w:hAnsi="Times New Roman" w:cs="Times New Roman"/>
          <w:noProof/>
          <w:sz w:val="24"/>
          <w:szCs w:val="24"/>
        </w:rPr>
        <w:t>Nástup tretej vlny a s ňou spojené opatrenia prerušia pozitívny vývoj na trhu práce. Očakávame, že koncom roku bude ekonomika a trh práce stagnovať a zamestn</w:t>
      </w:r>
      <w:r w:rsidR="0049203F">
        <w:rPr>
          <w:rFonts w:ascii="Times New Roman" w:eastAsia="NeueHaasGroteskText W02" w:hAnsi="Times New Roman" w:cs="Times New Roman"/>
          <w:noProof/>
          <w:sz w:val="24"/>
          <w:szCs w:val="24"/>
        </w:rPr>
        <w:t xml:space="preserve">anosť začne výraznejšie rásť </w:t>
      </w:r>
      <w:r w:rsidRPr="00EA1988">
        <w:rPr>
          <w:rFonts w:ascii="Times New Roman" w:eastAsia="NeueHaasGroteskText W02" w:hAnsi="Times New Roman" w:cs="Times New Roman"/>
          <w:noProof/>
          <w:sz w:val="24"/>
          <w:szCs w:val="24"/>
        </w:rPr>
        <w:t>na jar roku 2022. Miera nezamestnanosti začne postupne klesať a v roku 2022 by mala dosiahnuť v priemere 6,7 %. Následný výraznejší pokles počtu nezamestnaných bude podporen</w:t>
      </w:r>
      <w:r w:rsidR="00350557">
        <w:rPr>
          <w:rFonts w:ascii="Times New Roman" w:eastAsia="NeueHaasGroteskText W02" w:hAnsi="Times New Roman" w:cs="Times New Roman"/>
          <w:noProof/>
          <w:sz w:val="24"/>
          <w:szCs w:val="24"/>
        </w:rPr>
        <w:t>ý investíciami z Plánu obnovy a odolnosti</w:t>
      </w:r>
      <w:r w:rsidRPr="00EA1988">
        <w:rPr>
          <w:rFonts w:ascii="Times New Roman" w:eastAsia="NeueHaasGroteskText W02" w:hAnsi="Times New Roman" w:cs="Times New Roman"/>
          <w:noProof/>
          <w:sz w:val="24"/>
          <w:szCs w:val="24"/>
        </w:rPr>
        <w:t xml:space="preserve">. </w:t>
      </w:r>
    </w:p>
    <w:p w:rsidR="00694747" w:rsidRPr="00EA1988" w:rsidRDefault="00694747" w:rsidP="00694747">
      <w:pPr>
        <w:pStyle w:val="NormalList"/>
        <w:rPr>
          <w:rFonts w:ascii="Times New Roman" w:eastAsia="NeueHaasGroteskText W02" w:hAnsi="Times New Roman" w:cs="Times New Roman"/>
          <w:noProof/>
          <w:sz w:val="24"/>
          <w:szCs w:val="24"/>
        </w:rPr>
      </w:pPr>
    </w:p>
    <w:p w:rsidR="00EA1CFD" w:rsidRDefault="00EA1CFD" w:rsidP="00694747">
      <w:pPr>
        <w:pStyle w:val="NormalList"/>
        <w:rPr>
          <w:rFonts w:ascii="Times New Roman" w:eastAsia="NeueHaasGroteskText W02" w:hAnsi="Times New Roman" w:cs="Times New Roman"/>
          <w:noProof/>
          <w:sz w:val="24"/>
          <w:szCs w:val="24"/>
        </w:rPr>
      </w:pPr>
      <w:r w:rsidRPr="00EA1988">
        <w:rPr>
          <w:rFonts w:ascii="Times New Roman" w:eastAsia="NeueHaasGroteskText W02" w:hAnsi="Times New Roman" w:cs="Times New Roman"/>
          <w:noProof/>
          <w:sz w:val="24"/>
          <w:szCs w:val="24"/>
        </w:rPr>
        <w:t xml:space="preserve">Rast cien v roku 2022 prekročí </w:t>
      </w:r>
      <w:r w:rsidR="003941F9" w:rsidRPr="00EA1988">
        <w:rPr>
          <w:rFonts w:ascii="Times New Roman" w:eastAsia="NeueHaasGroteskText W02" w:hAnsi="Times New Roman" w:cs="Times New Roman"/>
          <w:noProof/>
          <w:sz w:val="24"/>
          <w:szCs w:val="24"/>
        </w:rPr>
        <w:t>4 %</w:t>
      </w:r>
      <w:r w:rsidRPr="00EA1988">
        <w:rPr>
          <w:rFonts w:ascii="Times New Roman" w:eastAsia="NeueHaasGroteskText W02" w:hAnsi="Times New Roman" w:cs="Times New Roman"/>
          <w:noProof/>
          <w:sz w:val="24"/>
          <w:szCs w:val="24"/>
        </w:rPr>
        <w:t xml:space="preserve"> a bude tlmiť zotavenie ekonomiky. Opätovné oživenie dopytu na svetových trhoch, vyššie ceny emisných povoleniek, ako aj iné globálne faktory prudko zdvihli ceny budúcich kontraktov energetických komodít. To povedie k zvýšeniu regulovaných cien v rokoch 2022 a 2023. Predpokladáme, že rast cien surovín v druhej polovici budúceho roka zvoľní a ceny vstupov sa tak stabilizujú. Stabilná bude aj dopytová inflácia, ktorú bude tlmiť nižšia zamestnanosť v súkromnom aj verejnom sektore. V roku 2023 sa do cien premietne aj schválené ďalšie zvýšenie spotrebnej dane z tabaku.</w:t>
      </w:r>
    </w:p>
    <w:p w:rsidR="00694747" w:rsidRPr="00EA1988" w:rsidRDefault="00694747" w:rsidP="00694747">
      <w:pPr>
        <w:pStyle w:val="NormalList"/>
        <w:rPr>
          <w:rFonts w:ascii="Times New Roman" w:eastAsia="NeueHaasGroteskText W02" w:hAnsi="Times New Roman" w:cs="Times New Roman"/>
          <w:noProof/>
          <w:sz w:val="24"/>
          <w:szCs w:val="24"/>
        </w:rPr>
      </w:pPr>
    </w:p>
    <w:p w:rsidR="00EA1CFD" w:rsidRDefault="00EA1CFD" w:rsidP="00694747">
      <w:pPr>
        <w:pStyle w:val="NormalList"/>
        <w:rPr>
          <w:rFonts w:ascii="Times New Roman" w:eastAsia="NeueHaasGroteskText W02" w:hAnsi="Times New Roman" w:cs="Times New Roman"/>
          <w:noProof/>
          <w:sz w:val="24"/>
          <w:szCs w:val="24"/>
        </w:rPr>
      </w:pPr>
      <w:r w:rsidRPr="00EA1988">
        <w:rPr>
          <w:rFonts w:ascii="Times New Roman" w:eastAsia="NeueHaasGroteskText W02" w:hAnsi="Times New Roman" w:cs="Times New Roman"/>
          <w:noProof/>
          <w:sz w:val="24"/>
          <w:szCs w:val="24"/>
        </w:rPr>
        <w:t>Nominálne mzdy budú naprie</w:t>
      </w:r>
      <w:r w:rsidR="003911FD" w:rsidRPr="00EA1988">
        <w:rPr>
          <w:rFonts w:ascii="Times New Roman" w:eastAsia="NeueHaasGroteskText W02" w:hAnsi="Times New Roman" w:cs="Times New Roman"/>
          <w:noProof/>
          <w:sz w:val="24"/>
          <w:szCs w:val="24"/>
        </w:rPr>
        <w:t>k pandémii stúpať rýchlejšie ako</w:t>
      </w:r>
      <w:r w:rsidRPr="00EA1988">
        <w:rPr>
          <w:rFonts w:ascii="Times New Roman" w:eastAsia="NeueHaasGroteskText W02" w:hAnsi="Times New Roman" w:cs="Times New Roman"/>
          <w:noProof/>
          <w:sz w:val="24"/>
          <w:szCs w:val="24"/>
        </w:rPr>
        <w:t xml:space="preserve"> ceny. Priemerná nominálna mzda sa v roku 2021 zvýši o 5,4 %. Výška miezd bude do veľkej miery ovplyvnená </w:t>
      </w:r>
      <w:r w:rsidR="003911FD" w:rsidRPr="00EA1988">
        <w:rPr>
          <w:rFonts w:ascii="Times New Roman" w:eastAsia="NeueHaasGroteskText W02" w:hAnsi="Times New Roman" w:cs="Times New Roman"/>
          <w:noProof/>
          <w:sz w:val="24"/>
          <w:szCs w:val="24"/>
        </w:rPr>
        <w:t>nízkou porovnávacou bázou z roku</w:t>
      </w:r>
      <w:r w:rsidRPr="00EA1988">
        <w:rPr>
          <w:rFonts w:ascii="Times New Roman" w:eastAsia="NeueHaasGroteskText W02" w:hAnsi="Times New Roman" w:cs="Times New Roman"/>
          <w:noProof/>
          <w:sz w:val="24"/>
          <w:szCs w:val="24"/>
        </w:rPr>
        <w:t xml:space="preserve"> 2020, ale aj pandemickými vlnami. Vysoká chorobnosť zvyšuje počet poberateľov PN a OČR, čo sa prejavuje v nižších vyplácaných mzdách a vykazovanej priemernej mzde.</w:t>
      </w:r>
      <w:r w:rsidRPr="00EA1988">
        <w:rPr>
          <w:rFonts w:ascii="Times New Roman" w:eastAsia="NeueHaasGroteskText W02" w:hAnsi="Times New Roman" w:cs="Times New Roman"/>
          <w:noProof/>
          <w:sz w:val="24"/>
          <w:szCs w:val="24"/>
          <w:vertAlign w:val="superscript"/>
        </w:rPr>
        <w:footnoteReference w:id="5"/>
      </w:r>
      <w:r w:rsidRPr="00EA1988">
        <w:rPr>
          <w:rFonts w:ascii="Times New Roman" w:eastAsia="NeueHaasGroteskText W02" w:hAnsi="Times New Roman" w:cs="Times New Roman"/>
          <w:noProof/>
          <w:sz w:val="24"/>
          <w:szCs w:val="24"/>
          <w:vertAlign w:val="superscript"/>
        </w:rPr>
        <w:t xml:space="preserve"> </w:t>
      </w:r>
      <w:r w:rsidRPr="00EA1988">
        <w:rPr>
          <w:rFonts w:ascii="Times New Roman" w:eastAsia="NeueHaasGroteskText W02" w:hAnsi="Times New Roman" w:cs="Times New Roman"/>
          <w:noProof/>
          <w:sz w:val="24"/>
          <w:szCs w:val="24"/>
        </w:rPr>
        <w:t>V roku 2022 sa vyšší rast cien čiastočne premietne do nominálnych miezd, ktoré sa zvýšia o 5,5 %, a reálne mzdy (zohľadňujúce infláciu) tak stúpnu o 1,3 %. Priemerná mzda si udrží stabilné tempo rastu aj v nasledujúcich rokoch spolu s oživením ekonomiky a tvorbou pracovných miest.</w:t>
      </w:r>
    </w:p>
    <w:p w:rsidR="00694747" w:rsidRPr="00EA1988" w:rsidRDefault="00694747" w:rsidP="00694747">
      <w:pPr>
        <w:pStyle w:val="NormalList"/>
        <w:rPr>
          <w:rFonts w:ascii="Times New Roman" w:eastAsia="NeueHaasGroteskText W02" w:hAnsi="Times New Roman" w:cs="Times New Roman"/>
          <w:noProof/>
          <w:sz w:val="24"/>
          <w:szCs w:val="24"/>
        </w:rPr>
      </w:pPr>
    </w:p>
    <w:p w:rsidR="00EA1CFD" w:rsidRPr="00AC0B5F" w:rsidRDefault="00EA1CFD" w:rsidP="00AC0B5F">
      <w:pPr>
        <w:pStyle w:val="NormalList"/>
        <w:rPr>
          <w:rFonts w:ascii="Times New Roman" w:eastAsia="NeueHaasGroteskText W02" w:hAnsi="Times New Roman" w:cs="Times New Roman"/>
          <w:noProof/>
          <w:sz w:val="24"/>
          <w:szCs w:val="24"/>
        </w:rPr>
      </w:pPr>
      <w:r w:rsidRPr="00EA1988">
        <w:rPr>
          <w:rFonts w:ascii="Times New Roman" w:eastAsia="NeueHaasGroteskText W02" w:hAnsi="Times New Roman" w:cs="Times New Roman"/>
          <w:noProof/>
          <w:sz w:val="24"/>
          <w:szCs w:val="24"/>
        </w:rPr>
        <w:t>Koniec horizontu prognózy ovplyvní dynamika čerpania EÚ fondov. V roku 2023 rast ekonomiky zrýchli na 5</w:t>
      </w:r>
      <w:r w:rsidR="002E4A62">
        <w:rPr>
          <w:rFonts w:ascii="Times New Roman" w:eastAsia="NeueHaasGroteskText W02" w:hAnsi="Times New Roman" w:cs="Times New Roman"/>
          <w:noProof/>
          <w:sz w:val="24"/>
          <w:szCs w:val="24"/>
        </w:rPr>
        <w:t xml:space="preserve"> </w:t>
      </w:r>
      <w:r w:rsidRPr="00EA1988">
        <w:rPr>
          <w:rFonts w:ascii="Times New Roman" w:eastAsia="NeueHaasGroteskText W02" w:hAnsi="Times New Roman" w:cs="Times New Roman"/>
          <w:noProof/>
          <w:sz w:val="24"/>
          <w:szCs w:val="24"/>
        </w:rPr>
        <w:t xml:space="preserve">% s vplyvom dočerpávania zdrojov z EÚ z končiaceho programového obdobia, podobne ako v roku 2015. Táto akcelerácia bude znamenať mierne prehrievanie ekonomiky a ďalšie zotavenie trhu práce. Následne v roku 2024 ekonomika zvoľní, keďže predpokladáme, že čerpanie zdrojov z nového </w:t>
      </w:r>
      <w:r w:rsidR="003911FD" w:rsidRPr="00EA1988">
        <w:rPr>
          <w:rFonts w:ascii="Times New Roman" w:eastAsia="NeueHaasGroteskText W02" w:hAnsi="Times New Roman" w:cs="Times New Roman"/>
          <w:noProof/>
          <w:sz w:val="24"/>
          <w:szCs w:val="24"/>
        </w:rPr>
        <w:t>4.</w:t>
      </w:r>
      <w:r w:rsidRPr="00EA1988">
        <w:rPr>
          <w:rFonts w:ascii="Times New Roman" w:eastAsia="NeueHaasGroteskText W02" w:hAnsi="Times New Roman" w:cs="Times New Roman"/>
          <w:noProof/>
          <w:sz w:val="24"/>
          <w:szCs w:val="24"/>
        </w:rPr>
        <w:t xml:space="preserve"> programového obdobia bude len postupné.</w:t>
      </w:r>
    </w:p>
    <w:p w:rsidR="001335BD" w:rsidRPr="001335BD" w:rsidRDefault="001335BD" w:rsidP="001335BD">
      <w:pPr>
        <w:pStyle w:val="Popis"/>
        <w:keepNext/>
        <w:spacing w:after="0"/>
        <w:rPr>
          <w:rFonts w:ascii="Times New Roman" w:hAnsi="Times New Roman" w:cs="Times New Roman"/>
          <w:b/>
          <w:i w:val="0"/>
          <w:color w:val="5B9BD5" w:themeColor="accent1"/>
          <w:sz w:val="20"/>
          <w:szCs w:val="20"/>
        </w:rPr>
      </w:pPr>
      <w:bookmarkStart w:id="4" w:name="_Toc84845225"/>
      <w:r w:rsidRPr="001335BD">
        <w:rPr>
          <w:rFonts w:ascii="Times New Roman" w:hAnsi="Times New Roman" w:cs="Times New Roman"/>
          <w:b/>
          <w:i w:val="0"/>
          <w:color w:val="5B9BD5" w:themeColor="accent1"/>
          <w:sz w:val="20"/>
          <w:szCs w:val="20"/>
        </w:rPr>
        <w:t xml:space="preserve">Tabuľka </w:t>
      </w:r>
      <w:r w:rsidRPr="001335BD">
        <w:rPr>
          <w:rFonts w:ascii="Times New Roman" w:hAnsi="Times New Roman" w:cs="Times New Roman"/>
          <w:b/>
          <w:i w:val="0"/>
          <w:color w:val="5B9BD5" w:themeColor="accent1"/>
          <w:sz w:val="20"/>
          <w:szCs w:val="20"/>
        </w:rPr>
        <w:fldChar w:fldCharType="begin"/>
      </w:r>
      <w:r w:rsidRPr="001335BD">
        <w:rPr>
          <w:rFonts w:ascii="Times New Roman" w:hAnsi="Times New Roman" w:cs="Times New Roman"/>
          <w:b/>
          <w:i w:val="0"/>
          <w:color w:val="5B9BD5" w:themeColor="accent1"/>
          <w:sz w:val="20"/>
          <w:szCs w:val="20"/>
        </w:rPr>
        <w:instrText xml:space="preserve"> SEQ Tabuľka \* ARABIC </w:instrText>
      </w:r>
      <w:r w:rsidRPr="001335B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w:t>
      </w:r>
      <w:r w:rsidRPr="001335B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1335BD">
        <w:rPr>
          <w:rFonts w:ascii="Times New Roman" w:hAnsi="Times New Roman" w:cs="Times New Roman"/>
          <w:b/>
          <w:i w:val="0"/>
          <w:color w:val="5B9BD5" w:themeColor="accent1"/>
          <w:sz w:val="20"/>
          <w:szCs w:val="20"/>
        </w:rPr>
        <w:t>- Prognóza vybraných ukazovateľov ekonomiky (september 2021)</w:t>
      </w:r>
      <w:bookmarkEnd w:id="4"/>
    </w:p>
    <w:tbl>
      <w:tblPr>
        <w:tblW w:w="5000"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8"/>
        <w:gridCol w:w="786"/>
        <w:gridCol w:w="786"/>
        <w:gridCol w:w="731"/>
        <w:gridCol w:w="709"/>
        <w:gridCol w:w="740"/>
        <w:gridCol w:w="742"/>
      </w:tblGrid>
      <w:tr w:rsidR="00EA1CFD" w:rsidRPr="0092685D" w:rsidTr="00070053">
        <w:trPr>
          <w:trHeight w:val="227"/>
          <w:jc w:val="center"/>
        </w:trPr>
        <w:tc>
          <w:tcPr>
            <w:tcW w:w="2523" w:type="pct"/>
            <w:vMerge w:val="restart"/>
            <w:tcBorders>
              <w:right w:val="nil"/>
            </w:tcBorders>
            <w:shd w:val="clear" w:color="auto" w:fill="auto"/>
            <w:noWrap/>
            <w:vAlign w:val="center"/>
            <w:hideMark/>
          </w:tcPr>
          <w:p w:rsidR="00EA1CFD" w:rsidRPr="0092685D" w:rsidRDefault="00EA1CFD" w:rsidP="0052441A">
            <w:pPr>
              <w:jc w:val="center"/>
              <w:rPr>
                <w:rFonts w:ascii="Times New Roman" w:hAnsi="Times New Roman" w:cs="Times New Roman"/>
                <w:b/>
                <w:bCs/>
                <w:sz w:val="14"/>
                <w:szCs w:val="14"/>
                <w:lang w:eastAsia="sk-SK"/>
              </w:rPr>
            </w:pPr>
            <w:r w:rsidRPr="0092685D">
              <w:rPr>
                <w:rFonts w:ascii="Times New Roman" w:hAnsi="Times New Roman" w:cs="Times New Roman"/>
                <w:b/>
                <w:bCs/>
                <w:sz w:val="14"/>
                <w:szCs w:val="14"/>
                <w:lang w:eastAsia="sk-SK"/>
              </w:rPr>
              <w:t xml:space="preserve">Ukazovateľ </w:t>
            </w:r>
            <w:r w:rsidRPr="0092685D">
              <w:rPr>
                <w:rFonts w:ascii="Times New Roman" w:hAnsi="Times New Roman" w:cs="Times New Roman"/>
                <w:b/>
                <w:sz w:val="14"/>
                <w:szCs w:val="14"/>
                <w:lang w:eastAsia="sk-SK"/>
              </w:rPr>
              <w:t>(rast v %, ak nie je uvedené inak)</w:t>
            </w:r>
          </w:p>
        </w:tc>
        <w:tc>
          <w:tcPr>
            <w:tcW w:w="866" w:type="pct"/>
            <w:gridSpan w:val="2"/>
            <w:tcBorders>
              <w:left w:val="nil"/>
              <w:bottom w:val="nil"/>
              <w:right w:val="nil"/>
            </w:tcBorders>
            <w:shd w:val="clear" w:color="auto" w:fill="auto"/>
            <w:noWrap/>
            <w:vAlign w:val="center"/>
          </w:tcPr>
          <w:p w:rsidR="00EA1CFD" w:rsidRPr="0092685D" w:rsidRDefault="00EA1CFD" w:rsidP="0052441A">
            <w:pPr>
              <w:jc w:val="center"/>
              <w:rPr>
                <w:rFonts w:ascii="Times New Roman" w:hAnsi="Times New Roman" w:cs="Times New Roman"/>
                <w:b/>
                <w:bCs/>
                <w:sz w:val="14"/>
                <w:szCs w:val="14"/>
                <w:lang w:eastAsia="sk-SK"/>
              </w:rPr>
            </w:pPr>
            <w:r w:rsidRPr="0092685D">
              <w:rPr>
                <w:rFonts w:ascii="Times New Roman" w:hAnsi="Times New Roman" w:cs="Times New Roman"/>
                <w:b/>
                <w:bCs/>
                <w:sz w:val="14"/>
                <w:szCs w:val="14"/>
                <w:lang w:eastAsia="sk-SK"/>
              </w:rPr>
              <w:t>Skutočnosť</w:t>
            </w:r>
          </w:p>
        </w:tc>
        <w:tc>
          <w:tcPr>
            <w:tcW w:w="1610" w:type="pct"/>
            <w:gridSpan w:val="4"/>
            <w:tcBorders>
              <w:left w:val="nil"/>
              <w:bottom w:val="nil"/>
            </w:tcBorders>
            <w:shd w:val="clear" w:color="auto" w:fill="auto"/>
            <w:noWrap/>
            <w:vAlign w:val="center"/>
            <w:hideMark/>
          </w:tcPr>
          <w:p w:rsidR="00EA1CFD" w:rsidRPr="0092685D" w:rsidRDefault="00EA1CFD" w:rsidP="0052441A">
            <w:pPr>
              <w:jc w:val="center"/>
              <w:rPr>
                <w:rFonts w:ascii="Times New Roman" w:hAnsi="Times New Roman" w:cs="Times New Roman"/>
                <w:b/>
                <w:bCs/>
                <w:sz w:val="14"/>
                <w:szCs w:val="14"/>
                <w:lang w:eastAsia="sk-SK"/>
              </w:rPr>
            </w:pPr>
            <w:r w:rsidRPr="0092685D">
              <w:rPr>
                <w:rFonts w:ascii="Times New Roman" w:hAnsi="Times New Roman" w:cs="Times New Roman"/>
                <w:b/>
                <w:bCs/>
                <w:sz w:val="14"/>
                <w:szCs w:val="14"/>
                <w:lang w:eastAsia="sk-SK"/>
              </w:rPr>
              <w:t>Prognóza</w:t>
            </w:r>
          </w:p>
        </w:tc>
      </w:tr>
      <w:tr w:rsidR="00EA1CFD" w:rsidRPr="0092685D" w:rsidTr="00070053">
        <w:trPr>
          <w:trHeight w:val="227"/>
          <w:jc w:val="center"/>
        </w:trPr>
        <w:tc>
          <w:tcPr>
            <w:tcW w:w="0" w:type="auto"/>
            <w:vMerge/>
            <w:tcBorders>
              <w:bottom w:val="single" w:sz="4" w:space="0" w:color="auto"/>
              <w:right w:val="nil"/>
            </w:tcBorders>
            <w:shd w:val="clear" w:color="auto" w:fill="auto"/>
            <w:vAlign w:val="center"/>
            <w:hideMark/>
          </w:tcPr>
          <w:p w:rsidR="00EA1CFD" w:rsidRPr="0092685D" w:rsidRDefault="00EA1CFD" w:rsidP="0052441A">
            <w:pPr>
              <w:rPr>
                <w:rFonts w:ascii="Times New Roman" w:hAnsi="Times New Roman" w:cs="Times New Roman"/>
                <w:b/>
                <w:bCs/>
                <w:sz w:val="14"/>
                <w:szCs w:val="14"/>
                <w:lang w:eastAsia="sk-SK"/>
              </w:rPr>
            </w:pPr>
          </w:p>
        </w:tc>
        <w:tc>
          <w:tcPr>
            <w:tcW w:w="433" w:type="pct"/>
            <w:tcBorders>
              <w:top w:val="nil"/>
              <w:left w:val="nil"/>
              <w:bottom w:val="single" w:sz="4" w:space="0" w:color="auto"/>
              <w:right w:val="nil"/>
            </w:tcBorders>
            <w:shd w:val="clear" w:color="auto" w:fill="auto"/>
            <w:noWrap/>
            <w:vAlign w:val="center"/>
          </w:tcPr>
          <w:p w:rsidR="00EA1CFD" w:rsidRPr="0092685D" w:rsidRDefault="00EA1CFD" w:rsidP="0052441A">
            <w:pPr>
              <w:jc w:val="center"/>
              <w:rPr>
                <w:rFonts w:ascii="Times New Roman" w:hAnsi="Times New Roman" w:cs="Times New Roman"/>
                <w:b/>
                <w:sz w:val="14"/>
                <w:szCs w:val="14"/>
                <w:lang w:eastAsia="sk-SK"/>
              </w:rPr>
            </w:pPr>
            <w:r w:rsidRPr="0092685D">
              <w:rPr>
                <w:rFonts w:ascii="Times New Roman" w:hAnsi="Times New Roman" w:cs="Times New Roman"/>
                <w:b/>
                <w:sz w:val="14"/>
                <w:szCs w:val="14"/>
                <w:lang w:eastAsia="sk-SK"/>
              </w:rPr>
              <w:t>2019</w:t>
            </w:r>
          </w:p>
        </w:tc>
        <w:tc>
          <w:tcPr>
            <w:tcW w:w="433" w:type="pct"/>
            <w:tcBorders>
              <w:top w:val="nil"/>
              <w:left w:val="nil"/>
              <w:bottom w:val="single" w:sz="4" w:space="0" w:color="auto"/>
              <w:right w:val="nil"/>
            </w:tcBorders>
            <w:shd w:val="clear" w:color="auto" w:fill="auto"/>
            <w:vAlign w:val="center"/>
          </w:tcPr>
          <w:p w:rsidR="00EA1CFD" w:rsidRPr="0092685D" w:rsidRDefault="00EA1CFD" w:rsidP="0052441A">
            <w:pPr>
              <w:jc w:val="center"/>
              <w:rPr>
                <w:rFonts w:ascii="Times New Roman" w:hAnsi="Times New Roman" w:cs="Times New Roman"/>
                <w:b/>
                <w:sz w:val="14"/>
                <w:szCs w:val="14"/>
                <w:lang w:eastAsia="sk-SK"/>
              </w:rPr>
            </w:pPr>
            <w:r w:rsidRPr="0092685D">
              <w:rPr>
                <w:rFonts w:ascii="Times New Roman" w:hAnsi="Times New Roman" w:cs="Times New Roman"/>
                <w:b/>
                <w:sz w:val="14"/>
                <w:szCs w:val="14"/>
                <w:lang w:eastAsia="sk-SK"/>
              </w:rPr>
              <w:t>2020</w:t>
            </w:r>
          </w:p>
        </w:tc>
        <w:tc>
          <w:tcPr>
            <w:tcW w:w="403" w:type="pct"/>
            <w:tcBorders>
              <w:top w:val="nil"/>
              <w:left w:val="nil"/>
              <w:bottom w:val="single" w:sz="4" w:space="0" w:color="auto"/>
              <w:right w:val="nil"/>
            </w:tcBorders>
            <w:shd w:val="clear" w:color="auto" w:fill="auto"/>
            <w:noWrap/>
            <w:vAlign w:val="center"/>
            <w:hideMark/>
          </w:tcPr>
          <w:p w:rsidR="00EA1CFD" w:rsidRPr="0092685D" w:rsidRDefault="00EA1CFD" w:rsidP="0052441A">
            <w:pPr>
              <w:jc w:val="center"/>
              <w:rPr>
                <w:rFonts w:ascii="Times New Roman" w:hAnsi="Times New Roman" w:cs="Times New Roman"/>
                <w:b/>
                <w:sz w:val="14"/>
                <w:szCs w:val="14"/>
                <w:lang w:eastAsia="sk-SK"/>
              </w:rPr>
            </w:pPr>
            <w:r w:rsidRPr="0092685D">
              <w:rPr>
                <w:rFonts w:ascii="Times New Roman" w:hAnsi="Times New Roman" w:cs="Times New Roman"/>
                <w:b/>
                <w:sz w:val="14"/>
                <w:szCs w:val="14"/>
                <w:lang w:eastAsia="sk-SK"/>
              </w:rPr>
              <w:t>2021</w:t>
            </w:r>
          </w:p>
        </w:tc>
        <w:tc>
          <w:tcPr>
            <w:tcW w:w="391" w:type="pct"/>
            <w:tcBorders>
              <w:top w:val="nil"/>
              <w:left w:val="nil"/>
              <w:bottom w:val="single" w:sz="4" w:space="0" w:color="auto"/>
              <w:right w:val="nil"/>
            </w:tcBorders>
            <w:shd w:val="clear" w:color="auto" w:fill="auto"/>
            <w:noWrap/>
            <w:vAlign w:val="center"/>
            <w:hideMark/>
          </w:tcPr>
          <w:p w:rsidR="00EA1CFD" w:rsidRPr="0092685D" w:rsidRDefault="00EA1CFD" w:rsidP="0052441A">
            <w:pPr>
              <w:jc w:val="center"/>
              <w:rPr>
                <w:rFonts w:ascii="Times New Roman" w:hAnsi="Times New Roman" w:cs="Times New Roman"/>
                <w:b/>
                <w:sz w:val="14"/>
                <w:szCs w:val="14"/>
                <w:lang w:eastAsia="sk-SK"/>
              </w:rPr>
            </w:pPr>
            <w:r w:rsidRPr="0092685D">
              <w:rPr>
                <w:rFonts w:ascii="Times New Roman" w:hAnsi="Times New Roman" w:cs="Times New Roman"/>
                <w:b/>
                <w:sz w:val="14"/>
                <w:szCs w:val="14"/>
                <w:lang w:eastAsia="sk-SK"/>
              </w:rPr>
              <w:t>2022</w:t>
            </w:r>
          </w:p>
        </w:tc>
        <w:tc>
          <w:tcPr>
            <w:tcW w:w="408" w:type="pct"/>
            <w:tcBorders>
              <w:top w:val="nil"/>
              <w:left w:val="nil"/>
              <w:bottom w:val="single" w:sz="4" w:space="0" w:color="auto"/>
              <w:right w:val="nil"/>
            </w:tcBorders>
            <w:shd w:val="clear" w:color="auto" w:fill="auto"/>
            <w:noWrap/>
            <w:vAlign w:val="center"/>
            <w:hideMark/>
          </w:tcPr>
          <w:p w:rsidR="00EA1CFD" w:rsidRPr="0092685D" w:rsidRDefault="00EA1CFD" w:rsidP="0052441A">
            <w:pPr>
              <w:jc w:val="center"/>
              <w:rPr>
                <w:rFonts w:ascii="Times New Roman" w:hAnsi="Times New Roman" w:cs="Times New Roman"/>
                <w:b/>
                <w:sz w:val="14"/>
                <w:szCs w:val="14"/>
                <w:lang w:eastAsia="sk-SK"/>
              </w:rPr>
            </w:pPr>
            <w:r w:rsidRPr="0092685D">
              <w:rPr>
                <w:rFonts w:ascii="Times New Roman" w:hAnsi="Times New Roman" w:cs="Times New Roman"/>
                <w:b/>
                <w:sz w:val="14"/>
                <w:szCs w:val="14"/>
                <w:lang w:eastAsia="sk-SK"/>
              </w:rPr>
              <w:t>2023</w:t>
            </w:r>
          </w:p>
        </w:tc>
        <w:tc>
          <w:tcPr>
            <w:tcW w:w="409" w:type="pct"/>
            <w:tcBorders>
              <w:top w:val="nil"/>
              <w:left w:val="nil"/>
              <w:bottom w:val="single" w:sz="4" w:space="0" w:color="auto"/>
            </w:tcBorders>
            <w:shd w:val="clear" w:color="auto" w:fill="auto"/>
            <w:noWrap/>
            <w:vAlign w:val="center"/>
            <w:hideMark/>
          </w:tcPr>
          <w:p w:rsidR="00EA1CFD" w:rsidRPr="0092685D" w:rsidRDefault="00EA1CFD" w:rsidP="0052441A">
            <w:pPr>
              <w:jc w:val="center"/>
              <w:rPr>
                <w:rFonts w:ascii="Times New Roman" w:hAnsi="Times New Roman" w:cs="Times New Roman"/>
                <w:b/>
                <w:sz w:val="14"/>
                <w:szCs w:val="14"/>
                <w:lang w:eastAsia="sk-SK"/>
              </w:rPr>
            </w:pPr>
            <w:r w:rsidRPr="0092685D">
              <w:rPr>
                <w:rFonts w:ascii="Times New Roman" w:hAnsi="Times New Roman" w:cs="Times New Roman"/>
                <w:b/>
                <w:sz w:val="14"/>
                <w:szCs w:val="14"/>
                <w:lang w:eastAsia="sk-SK"/>
              </w:rPr>
              <w:t>2024</w:t>
            </w:r>
          </w:p>
        </w:tc>
      </w:tr>
      <w:tr w:rsidR="00EA1CFD" w:rsidRPr="0092685D" w:rsidTr="00070053">
        <w:trPr>
          <w:trHeight w:val="227"/>
          <w:jc w:val="center"/>
        </w:trPr>
        <w:tc>
          <w:tcPr>
            <w:tcW w:w="5000" w:type="pct"/>
            <w:gridSpan w:val="7"/>
            <w:tcBorders>
              <w:bottom w:val="nil"/>
            </w:tcBorders>
            <w:noWrap/>
            <w:vAlign w:val="center"/>
            <w:hideMark/>
          </w:tcPr>
          <w:p w:rsidR="00EA1CFD" w:rsidRPr="0092685D" w:rsidRDefault="00EA1CFD" w:rsidP="0052441A">
            <w:pPr>
              <w:rPr>
                <w:rFonts w:ascii="Times New Roman" w:hAnsi="Times New Roman" w:cs="Times New Roman"/>
                <w:b/>
                <w:bCs/>
                <w:sz w:val="14"/>
                <w:szCs w:val="14"/>
                <w:lang w:eastAsia="sk-SK"/>
              </w:rPr>
            </w:pPr>
            <w:r w:rsidRPr="0092685D">
              <w:rPr>
                <w:rFonts w:ascii="Times New Roman" w:hAnsi="Times New Roman" w:cs="Times New Roman"/>
                <w:b/>
                <w:bCs/>
                <w:sz w:val="14"/>
                <w:szCs w:val="14"/>
                <w:lang w:eastAsia="sk-SK"/>
              </w:rPr>
              <w:t>Hrubý domáci produkt</w:t>
            </w:r>
            <w:r w:rsidRPr="0092685D">
              <w:rPr>
                <w:rFonts w:ascii="Times New Roman" w:hAnsi="Times New Roman" w:cs="Times New Roman"/>
                <w:sz w:val="14"/>
                <w:szCs w:val="14"/>
                <w:lang w:eastAsia="sk-SK"/>
              </w:rPr>
              <w:t> </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HDP, s.</w:t>
            </w:r>
            <w:r w:rsidR="00AC0B5F">
              <w:rPr>
                <w:rFonts w:ascii="Times New Roman" w:hAnsi="Times New Roman" w:cs="Times New Roman"/>
                <w:sz w:val="14"/>
                <w:szCs w:val="14"/>
                <w:lang w:eastAsia="sk-SK"/>
              </w:rPr>
              <w:t xml:space="preserve"> </w:t>
            </w:r>
            <w:r w:rsidRPr="0092685D">
              <w:rPr>
                <w:rFonts w:ascii="Times New Roman" w:hAnsi="Times New Roman" w:cs="Times New Roman"/>
                <w:sz w:val="14"/>
                <w:szCs w:val="14"/>
                <w:lang w:eastAsia="sk-SK"/>
              </w:rPr>
              <w:t>c.</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2,5</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-4,8</w:t>
            </w:r>
          </w:p>
        </w:tc>
        <w:tc>
          <w:tcPr>
            <w:tcW w:w="403" w:type="pct"/>
            <w:tcBorders>
              <w:top w:val="nil"/>
              <w:left w:val="nil"/>
              <w:bottom w:val="nil"/>
              <w:right w:val="nil"/>
            </w:tcBorders>
            <w:noWrap/>
            <w:vAlign w:val="center"/>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3,7</w:t>
            </w:r>
          </w:p>
        </w:tc>
        <w:tc>
          <w:tcPr>
            <w:tcW w:w="391" w:type="pct"/>
            <w:tcBorders>
              <w:top w:val="nil"/>
              <w:left w:val="nil"/>
              <w:bottom w:val="nil"/>
              <w:right w:val="nil"/>
            </w:tcBorders>
            <w:noWrap/>
            <w:vAlign w:val="center"/>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4,2</w:t>
            </w:r>
          </w:p>
        </w:tc>
        <w:tc>
          <w:tcPr>
            <w:tcW w:w="408" w:type="pct"/>
            <w:tcBorders>
              <w:top w:val="nil"/>
              <w:left w:val="nil"/>
              <w:bottom w:val="nil"/>
              <w:right w:val="nil"/>
            </w:tcBorders>
            <w:noWrap/>
            <w:vAlign w:val="center"/>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5,0</w:t>
            </w:r>
          </w:p>
        </w:tc>
        <w:tc>
          <w:tcPr>
            <w:tcW w:w="409" w:type="pct"/>
            <w:tcBorders>
              <w:top w:val="nil"/>
              <w:left w:val="nil"/>
              <w:bottom w:val="nil"/>
            </w:tcBorders>
            <w:noWrap/>
            <w:vAlign w:val="center"/>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0,7</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HDP, b.</w:t>
            </w:r>
            <w:r w:rsidR="00AC0B5F">
              <w:rPr>
                <w:rFonts w:ascii="Times New Roman" w:hAnsi="Times New Roman" w:cs="Times New Roman"/>
                <w:sz w:val="14"/>
                <w:szCs w:val="14"/>
                <w:lang w:eastAsia="sk-SK"/>
              </w:rPr>
              <w:t xml:space="preserve"> </w:t>
            </w:r>
            <w:r w:rsidRPr="0092685D">
              <w:rPr>
                <w:rFonts w:ascii="Times New Roman" w:hAnsi="Times New Roman" w:cs="Times New Roman"/>
                <w:sz w:val="14"/>
                <w:szCs w:val="14"/>
                <w:lang w:eastAsia="sk-SK"/>
              </w:rPr>
              <w:t>c. (mld. eur)</w:t>
            </w:r>
          </w:p>
        </w:tc>
        <w:tc>
          <w:tcPr>
            <w:tcW w:w="433" w:type="pct"/>
            <w:tcBorders>
              <w:top w:val="nil"/>
              <w:left w:val="nil"/>
              <w:bottom w:val="nil"/>
              <w:right w:val="nil"/>
            </w:tcBorders>
            <w:noWrap/>
            <w:vAlign w:val="bottom"/>
          </w:tcPr>
          <w:p w:rsidR="00EA1CFD" w:rsidRPr="0092685D" w:rsidRDefault="00C721AB" w:rsidP="0052441A">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94,0</w:t>
            </w:r>
          </w:p>
        </w:tc>
        <w:tc>
          <w:tcPr>
            <w:tcW w:w="433" w:type="pct"/>
            <w:tcBorders>
              <w:top w:val="nil"/>
              <w:left w:val="nil"/>
              <w:bottom w:val="nil"/>
              <w:right w:val="nil"/>
            </w:tcBorders>
            <w:vAlign w:val="bottom"/>
          </w:tcPr>
          <w:p w:rsidR="00EA1CFD" w:rsidRPr="0092685D" w:rsidRDefault="00C721AB" w:rsidP="0052441A">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92,1</w:t>
            </w:r>
          </w:p>
        </w:tc>
        <w:tc>
          <w:tcPr>
            <w:tcW w:w="403" w:type="pct"/>
            <w:tcBorders>
              <w:top w:val="nil"/>
              <w:left w:val="nil"/>
              <w:bottom w:val="nil"/>
              <w:right w:val="nil"/>
            </w:tcBorders>
            <w:noWrap/>
            <w:vAlign w:val="bottom"/>
          </w:tcPr>
          <w:p w:rsidR="00EA1CFD" w:rsidRPr="0092685D" w:rsidRDefault="00C721AB" w:rsidP="0052441A">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97,4</w:t>
            </w:r>
          </w:p>
        </w:tc>
        <w:tc>
          <w:tcPr>
            <w:tcW w:w="391" w:type="pct"/>
            <w:tcBorders>
              <w:top w:val="nil"/>
              <w:left w:val="nil"/>
              <w:bottom w:val="nil"/>
              <w:right w:val="nil"/>
            </w:tcBorders>
            <w:noWrap/>
            <w:vAlign w:val="bottom"/>
          </w:tcPr>
          <w:p w:rsidR="00EA1CFD" w:rsidRPr="0092685D" w:rsidRDefault="00C721AB" w:rsidP="0052441A">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105,5</w:t>
            </w:r>
          </w:p>
        </w:tc>
        <w:tc>
          <w:tcPr>
            <w:tcW w:w="408" w:type="pct"/>
            <w:tcBorders>
              <w:top w:val="nil"/>
              <w:left w:val="nil"/>
              <w:bottom w:val="nil"/>
              <w:right w:val="nil"/>
            </w:tcBorders>
            <w:noWrap/>
            <w:vAlign w:val="bottom"/>
          </w:tcPr>
          <w:p w:rsidR="00EA1CFD" w:rsidRPr="0092685D" w:rsidRDefault="00C721AB" w:rsidP="0052441A">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113,9</w:t>
            </w:r>
          </w:p>
        </w:tc>
        <w:tc>
          <w:tcPr>
            <w:tcW w:w="409" w:type="pct"/>
            <w:tcBorders>
              <w:top w:val="nil"/>
              <w:left w:val="nil"/>
              <w:bottom w:val="nil"/>
            </w:tcBorders>
            <w:noWrap/>
            <w:vAlign w:val="bottom"/>
          </w:tcPr>
          <w:p w:rsidR="00EA1CFD" w:rsidRPr="0092685D" w:rsidRDefault="00C721AB" w:rsidP="0052441A">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117,2</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Súkromná spotreba, s.</w:t>
            </w:r>
            <w:r w:rsidR="00AC0B5F">
              <w:rPr>
                <w:rFonts w:ascii="Times New Roman" w:hAnsi="Times New Roman" w:cs="Times New Roman"/>
                <w:sz w:val="14"/>
                <w:szCs w:val="14"/>
                <w:lang w:eastAsia="sk-SK"/>
              </w:rPr>
              <w:t xml:space="preserve"> </w:t>
            </w:r>
            <w:r w:rsidRPr="0092685D">
              <w:rPr>
                <w:rFonts w:ascii="Times New Roman" w:hAnsi="Times New Roman" w:cs="Times New Roman"/>
                <w:sz w:val="14"/>
                <w:szCs w:val="14"/>
                <w:lang w:eastAsia="sk-SK"/>
              </w:rPr>
              <w:t>c.</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2,7</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-1,0</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0,2</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2,4</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3,6</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3,9</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Súkromná spotreba, b.</w:t>
            </w:r>
            <w:r w:rsidR="00AC0B5F">
              <w:rPr>
                <w:rFonts w:ascii="Times New Roman" w:hAnsi="Times New Roman" w:cs="Times New Roman"/>
                <w:sz w:val="14"/>
                <w:szCs w:val="14"/>
                <w:lang w:eastAsia="sk-SK"/>
              </w:rPr>
              <w:t xml:space="preserve"> </w:t>
            </w:r>
            <w:r w:rsidRPr="0092685D">
              <w:rPr>
                <w:rFonts w:ascii="Times New Roman" w:hAnsi="Times New Roman" w:cs="Times New Roman"/>
                <w:sz w:val="14"/>
                <w:szCs w:val="14"/>
                <w:lang w:eastAsia="sk-SK"/>
              </w:rPr>
              <w:t>c.</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5,5</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1,1</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2,5</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6,9</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6,8</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5,6</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Vládna spotreba</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4,6</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0,3</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4,9</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4,1</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1,8</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-0,4</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Fixné investície</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6,6</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-12,0</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-0,3</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16,7</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15,2</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-12,2</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Export tovarov a služieb</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0,8</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-7,5</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10,5</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3,1</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6,0</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4,0</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Import tovarov a služieb</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2,1</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-8,3</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10,9</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3,9</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6,5</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2,4</w:t>
            </w:r>
          </w:p>
        </w:tc>
      </w:tr>
      <w:tr w:rsidR="00EA1CFD" w:rsidRPr="0092685D" w:rsidTr="00070053">
        <w:trPr>
          <w:trHeight w:val="227"/>
          <w:jc w:val="center"/>
        </w:trPr>
        <w:tc>
          <w:tcPr>
            <w:tcW w:w="5000" w:type="pct"/>
            <w:gridSpan w:val="7"/>
            <w:tcBorders>
              <w:top w:val="nil"/>
              <w:bottom w:val="nil"/>
            </w:tcBorders>
            <w:noWrap/>
            <w:vAlign w:val="center"/>
            <w:hideMark/>
          </w:tcPr>
          <w:p w:rsidR="00EA1CFD" w:rsidRPr="0092685D" w:rsidRDefault="00EA1CFD" w:rsidP="0052441A">
            <w:pPr>
              <w:rPr>
                <w:rFonts w:ascii="Times New Roman" w:hAnsi="Times New Roman" w:cs="Times New Roman"/>
                <w:b/>
                <w:bCs/>
                <w:sz w:val="14"/>
                <w:szCs w:val="14"/>
                <w:lang w:eastAsia="sk-SK"/>
              </w:rPr>
            </w:pPr>
            <w:r w:rsidRPr="0092685D">
              <w:rPr>
                <w:rFonts w:ascii="Times New Roman" w:hAnsi="Times New Roman" w:cs="Times New Roman"/>
                <w:b/>
                <w:bCs/>
                <w:sz w:val="14"/>
                <w:szCs w:val="14"/>
                <w:lang w:eastAsia="sk-SK"/>
              </w:rPr>
              <w:t>Trh práce</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Zamestnanosť (štatistické výkazníctvo)</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1,0</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-1,8</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-0,8</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0,6</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1,0</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0,4</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Mzdy, nominálne</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7,8</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3,8</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5,4</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5,5</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5,1</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4,8</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Mzdy, reálne</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5,0</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1,8</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2,8</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1,3</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1,9</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3,2</w:t>
            </w:r>
          </w:p>
        </w:tc>
      </w:tr>
      <w:tr w:rsidR="00EA1CFD" w:rsidRPr="0092685D" w:rsidTr="00070053">
        <w:trPr>
          <w:trHeight w:val="227"/>
          <w:jc w:val="center"/>
        </w:trPr>
        <w:tc>
          <w:tcPr>
            <w:tcW w:w="2523" w:type="pct"/>
            <w:tcBorders>
              <w:top w:val="nil"/>
              <w:bottom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Miera nezamestnanosti</w:t>
            </w:r>
          </w:p>
        </w:tc>
        <w:tc>
          <w:tcPr>
            <w:tcW w:w="43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5,8</w:t>
            </w:r>
          </w:p>
        </w:tc>
        <w:tc>
          <w:tcPr>
            <w:tcW w:w="433" w:type="pct"/>
            <w:tcBorders>
              <w:top w:val="nil"/>
              <w:left w:val="nil"/>
              <w:bottom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6,7</w:t>
            </w:r>
          </w:p>
        </w:tc>
        <w:tc>
          <w:tcPr>
            <w:tcW w:w="403"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7,0</w:t>
            </w:r>
          </w:p>
        </w:tc>
        <w:tc>
          <w:tcPr>
            <w:tcW w:w="391"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6,7</w:t>
            </w:r>
          </w:p>
        </w:tc>
        <w:tc>
          <w:tcPr>
            <w:tcW w:w="408" w:type="pct"/>
            <w:tcBorders>
              <w:top w:val="nil"/>
              <w:left w:val="nil"/>
              <w:bottom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5,7</w:t>
            </w:r>
          </w:p>
        </w:tc>
        <w:tc>
          <w:tcPr>
            <w:tcW w:w="409" w:type="pct"/>
            <w:tcBorders>
              <w:top w:val="nil"/>
              <w:left w:val="nil"/>
              <w:bottom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5,2</w:t>
            </w:r>
          </w:p>
        </w:tc>
      </w:tr>
      <w:tr w:rsidR="00EA1CFD" w:rsidRPr="0092685D" w:rsidTr="00070053">
        <w:trPr>
          <w:trHeight w:val="227"/>
          <w:jc w:val="center"/>
        </w:trPr>
        <w:tc>
          <w:tcPr>
            <w:tcW w:w="5000" w:type="pct"/>
            <w:gridSpan w:val="7"/>
            <w:tcBorders>
              <w:top w:val="nil"/>
              <w:bottom w:val="nil"/>
            </w:tcBorders>
            <w:noWrap/>
            <w:vAlign w:val="center"/>
            <w:hideMark/>
          </w:tcPr>
          <w:p w:rsidR="00EA1CFD" w:rsidRPr="0092685D" w:rsidRDefault="00EA1CFD" w:rsidP="0052441A">
            <w:pPr>
              <w:rPr>
                <w:rFonts w:ascii="Times New Roman" w:hAnsi="Times New Roman" w:cs="Times New Roman"/>
                <w:b/>
                <w:bCs/>
                <w:sz w:val="14"/>
                <w:szCs w:val="14"/>
                <w:lang w:eastAsia="sk-SK"/>
              </w:rPr>
            </w:pPr>
            <w:r w:rsidRPr="0092685D">
              <w:rPr>
                <w:rFonts w:ascii="Times New Roman" w:hAnsi="Times New Roman" w:cs="Times New Roman"/>
                <w:b/>
                <w:bCs/>
                <w:sz w:val="14"/>
                <w:szCs w:val="14"/>
                <w:lang w:eastAsia="sk-SK"/>
              </w:rPr>
              <w:t>Inflácia</w:t>
            </w:r>
            <w:r w:rsidRPr="0092685D">
              <w:rPr>
                <w:rFonts w:ascii="Times New Roman" w:hAnsi="Times New Roman" w:cs="Times New Roman"/>
                <w:sz w:val="14"/>
                <w:szCs w:val="14"/>
              </w:rPr>
              <w:t> </w:t>
            </w:r>
          </w:p>
        </w:tc>
      </w:tr>
      <w:tr w:rsidR="00EA1CFD" w:rsidRPr="00E710AD" w:rsidTr="00070053">
        <w:trPr>
          <w:trHeight w:val="227"/>
          <w:jc w:val="center"/>
        </w:trPr>
        <w:tc>
          <w:tcPr>
            <w:tcW w:w="2523" w:type="pct"/>
            <w:tcBorders>
              <w:top w:val="nil"/>
              <w:right w:val="nil"/>
            </w:tcBorders>
            <w:noWrap/>
            <w:vAlign w:val="center"/>
            <w:hideMark/>
          </w:tcPr>
          <w:p w:rsidR="00EA1CFD" w:rsidRPr="0092685D" w:rsidRDefault="00EA1CFD" w:rsidP="0052441A">
            <w:pPr>
              <w:rPr>
                <w:rFonts w:ascii="Times New Roman" w:hAnsi="Times New Roman" w:cs="Times New Roman"/>
                <w:sz w:val="14"/>
                <w:szCs w:val="14"/>
                <w:lang w:eastAsia="sk-SK"/>
              </w:rPr>
            </w:pPr>
            <w:r w:rsidRPr="0092685D">
              <w:rPr>
                <w:rFonts w:ascii="Times New Roman" w:hAnsi="Times New Roman" w:cs="Times New Roman"/>
                <w:sz w:val="14"/>
                <w:szCs w:val="14"/>
                <w:lang w:eastAsia="sk-SK"/>
              </w:rPr>
              <w:t>Index spotrebiteľských cien</w:t>
            </w:r>
          </w:p>
        </w:tc>
        <w:tc>
          <w:tcPr>
            <w:tcW w:w="433" w:type="pct"/>
            <w:tcBorders>
              <w:top w:val="nil"/>
              <w:left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2,7</w:t>
            </w:r>
          </w:p>
        </w:tc>
        <w:tc>
          <w:tcPr>
            <w:tcW w:w="433" w:type="pct"/>
            <w:tcBorders>
              <w:top w:val="nil"/>
              <w:left w:val="nil"/>
              <w:right w:val="nil"/>
            </w:tcBorders>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1,9</w:t>
            </w:r>
          </w:p>
        </w:tc>
        <w:tc>
          <w:tcPr>
            <w:tcW w:w="403" w:type="pct"/>
            <w:tcBorders>
              <w:top w:val="nil"/>
              <w:left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2,5</w:t>
            </w:r>
          </w:p>
        </w:tc>
        <w:tc>
          <w:tcPr>
            <w:tcW w:w="391" w:type="pct"/>
            <w:tcBorders>
              <w:top w:val="nil"/>
              <w:left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4,2</w:t>
            </w:r>
          </w:p>
        </w:tc>
        <w:tc>
          <w:tcPr>
            <w:tcW w:w="408" w:type="pct"/>
            <w:tcBorders>
              <w:top w:val="nil"/>
              <w:left w:val="nil"/>
              <w:righ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3,1</w:t>
            </w:r>
          </w:p>
        </w:tc>
        <w:tc>
          <w:tcPr>
            <w:tcW w:w="409" w:type="pct"/>
            <w:tcBorders>
              <w:top w:val="nil"/>
              <w:left w:val="nil"/>
            </w:tcBorders>
            <w:noWrap/>
            <w:vAlign w:val="bottom"/>
          </w:tcPr>
          <w:p w:rsidR="00EA1CFD" w:rsidRPr="0092685D" w:rsidRDefault="00EA1CFD" w:rsidP="0052441A">
            <w:pPr>
              <w:jc w:val="center"/>
              <w:rPr>
                <w:rFonts w:ascii="Times New Roman" w:hAnsi="Times New Roman" w:cs="Times New Roman"/>
                <w:sz w:val="14"/>
                <w:szCs w:val="14"/>
                <w:lang w:eastAsia="sk-SK"/>
              </w:rPr>
            </w:pPr>
            <w:r w:rsidRPr="0092685D">
              <w:rPr>
                <w:rFonts w:ascii="Times New Roman" w:hAnsi="Times New Roman" w:cs="Times New Roman"/>
                <w:sz w:val="14"/>
                <w:szCs w:val="14"/>
                <w:lang w:eastAsia="sk-SK"/>
              </w:rPr>
              <w:t>1,5</w:t>
            </w:r>
          </w:p>
        </w:tc>
      </w:tr>
    </w:tbl>
    <w:p w:rsidR="00EA1CFD" w:rsidRPr="004768B6" w:rsidRDefault="00EA1CFD" w:rsidP="00AC0B5F">
      <w:pPr>
        <w:spacing w:after="0"/>
        <w:jc w:val="both"/>
        <w:rPr>
          <w:rFonts w:ascii="Times New Roman" w:hAnsi="Times New Roman" w:cs="Times New Roman"/>
          <w:sz w:val="14"/>
          <w:szCs w:val="14"/>
        </w:rPr>
      </w:pP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r>
      <w:r w:rsidRPr="004768B6">
        <w:rPr>
          <w:rFonts w:ascii="Times New Roman" w:hAnsi="Times New Roman" w:cs="Times New Roman"/>
          <w:sz w:val="14"/>
          <w:szCs w:val="14"/>
        </w:rPr>
        <w:tab/>
        <w:t xml:space="preserve">     </w:t>
      </w:r>
      <w:r w:rsidRPr="004768B6">
        <w:rPr>
          <w:rFonts w:ascii="Times New Roman" w:hAnsi="Times New Roman" w:cs="Times New Roman"/>
          <w:sz w:val="14"/>
          <w:szCs w:val="14"/>
        </w:rPr>
        <w:tab/>
      </w:r>
      <w:r w:rsidRPr="004768B6">
        <w:rPr>
          <w:rFonts w:ascii="Times New Roman" w:hAnsi="Times New Roman" w:cs="Times New Roman"/>
          <w:sz w:val="14"/>
          <w:szCs w:val="14"/>
        </w:rPr>
        <w:tab/>
        <w:t xml:space="preserve">  Zdroj: ŠÚ SR, MF SR</w:t>
      </w:r>
    </w:p>
    <w:p w:rsidR="00694747" w:rsidRDefault="00694747" w:rsidP="00AC0B5F">
      <w:pPr>
        <w:spacing w:after="0" w:line="276" w:lineRule="auto"/>
        <w:jc w:val="both"/>
        <w:rPr>
          <w:rFonts w:ascii="Times New Roman" w:hAnsi="Times New Roman" w:cs="Times New Roman"/>
          <w:sz w:val="24"/>
          <w:szCs w:val="24"/>
        </w:rPr>
      </w:pPr>
    </w:p>
    <w:p w:rsidR="00BA5299" w:rsidRPr="00EA1988" w:rsidRDefault="00EA1CFD" w:rsidP="00887ECD">
      <w:pPr>
        <w:spacing w:after="0" w:line="240" w:lineRule="auto"/>
        <w:jc w:val="both"/>
        <w:rPr>
          <w:rFonts w:ascii="Times New Roman" w:hAnsi="Times New Roman" w:cs="Times New Roman"/>
          <w:sz w:val="24"/>
          <w:szCs w:val="24"/>
        </w:rPr>
      </w:pPr>
      <w:r w:rsidRPr="00EA1988">
        <w:rPr>
          <w:rFonts w:ascii="Times New Roman" w:hAnsi="Times New Roman" w:cs="Times New Roman"/>
          <w:sz w:val="24"/>
          <w:szCs w:val="24"/>
        </w:rPr>
        <w:t>Prognóza MF</w:t>
      </w:r>
      <w:r w:rsidR="00FE72FA" w:rsidRPr="00EA1988">
        <w:rPr>
          <w:rFonts w:ascii="Times New Roman" w:hAnsi="Times New Roman" w:cs="Times New Roman"/>
          <w:sz w:val="24"/>
          <w:szCs w:val="24"/>
        </w:rPr>
        <w:t xml:space="preserve"> </w:t>
      </w:r>
      <w:r w:rsidRPr="00EA1988">
        <w:rPr>
          <w:rFonts w:ascii="Times New Roman" w:hAnsi="Times New Roman" w:cs="Times New Roman"/>
          <w:sz w:val="24"/>
          <w:szCs w:val="24"/>
        </w:rPr>
        <w:t>SR je v porovnaní s jarnou aj letnou prognózou EK pesimistickejšia</w:t>
      </w:r>
      <w:r w:rsidRPr="00EA1988">
        <w:rPr>
          <w:rStyle w:val="Odkaznapoznmkupodiarou"/>
          <w:rFonts w:ascii="Times New Roman" w:hAnsi="Times New Roman"/>
          <w:sz w:val="24"/>
          <w:szCs w:val="24"/>
        </w:rPr>
        <w:footnoteReference w:id="6"/>
      </w:r>
      <w:r w:rsidRPr="00EA1988">
        <w:rPr>
          <w:rFonts w:ascii="Times New Roman" w:hAnsi="Times New Roman" w:cs="Times New Roman"/>
          <w:sz w:val="24"/>
          <w:szCs w:val="24"/>
        </w:rPr>
        <w:t>. Hlavným dôvodom je fakt, že v septembrovej prognóze MF</w:t>
      </w:r>
      <w:r w:rsidR="00FE72FA" w:rsidRPr="00EA1988">
        <w:rPr>
          <w:rFonts w:ascii="Times New Roman" w:hAnsi="Times New Roman" w:cs="Times New Roman"/>
          <w:sz w:val="24"/>
          <w:szCs w:val="24"/>
        </w:rPr>
        <w:t xml:space="preserve"> </w:t>
      </w:r>
      <w:r w:rsidRPr="00EA1988">
        <w:rPr>
          <w:rFonts w:ascii="Times New Roman" w:hAnsi="Times New Roman" w:cs="Times New Roman"/>
          <w:sz w:val="24"/>
          <w:szCs w:val="24"/>
        </w:rPr>
        <w:t>SR je premietnutý vplyv nastupujúcej tretej vlny pandémie. MF</w:t>
      </w:r>
      <w:r w:rsidR="00FE72FA" w:rsidRPr="00EA1988">
        <w:rPr>
          <w:rFonts w:ascii="Times New Roman" w:hAnsi="Times New Roman" w:cs="Times New Roman"/>
          <w:sz w:val="24"/>
          <w:szCs w:val="24"/>
        </w:rPr>
        <w:t xml:space="preserve"> </w:t>
      </w:r>
      <w:r w:rsidRPr="00EA1988">
        <w:rPr>
          <w:rFonts w:ascii="Times New Roman" w:hAnsi="Times New Roman" w:cs="Times New Roman"/>
          <w:sz w:val="24"/>
          <w:szCs w:val="24"/>
        </w:rPr>
        <w:t>SR taktiež uvažuje s rýchlejším rastom cien a s výpadkami súčiastok v priemysle, čo sú faktory tlmiace spotrebu domácností a export. Z tohto dôvodu je aj odhad produkčnej medzery pod odhadom EK a ekonomika je tak, podľa MF</w:t>
      </w:r>
      <w:r w:rsidR="00FE72FA" w:rsidRPr="00EA1988">
        <w:rPr>
          <w:rFonts w:ascii="Times New Roman" w:hAnsi="Times New Roman" w:cs="Times New Roman"/>
          <w:sz w:val="24"/>
          <w:szCs w:val="24"/>
        </w:rPr>
        <w:t xml:space="preserve"> </w:t>
      </w:r>
      <w:r w:rsidRPr="00EA1988">
        <w:rPr>
          <w:rFonts w:ascii="Times New Roman" w:hAnsi="Times New Roman" w:cs="Times New Roman"/>
          <w:sz w:val="24"/>
          <w:szCs w:val="24"/>
        </w:rPr>
        <w:t>SR, viac podchladená.</w:t>
      </w:r>
    </w:p>
    <w:p w:rsidR="00214A4A" w:rsidRDefault="00214A4A"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887ECD" w:rsidRDefault="00887ECD"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AC0B5F" w:rsidRDefault="00AC0B5F" w:rsidP="00BA5299">
      <w:pPr>
        <w:spacing w:after="0" w:line="276" w:lineRule="auto"/>
        <w:jc w:val="both"/>
        <w:rPr>
          <w:rFonts w:ascii="Times New Roman" w:hAnsi="Times New Roman" w:cs="Times New Roman"/>
        </w:rPr>
      </w:pPr>
    </w:p>
    <w:p w:rsidR="00694747" w:rsidRDefault="00694747" w:rsidP="00BA5299">
      <w:pPr>
        <w:spacing w:after="0" w:line="276" w:lineRule="auto"/>
        <w:jc w:val="both"/>
        <w:rPr>
          <w:rFonts w:ascii="Times New Roman" w:hAnsi="Times New Roman" w:cs="Times New Roman"/>
        </w:rPr>
      </w:pPr>
    </w:p>
    <w:p w:rsidR="00694747" w:rsidRPr="00BA5299" w:rsidRDefault="00694747" w:rsidP="00BA5299">
      <w:pPr>
        <w:spacing w:after="0" w:line="276" w:lineRule="auto"/>
        <w:jc w:val="both"/>
        <w:rPr>
          <w:rFonts w:ascii="Times New Roman" w:hAnsi="Times New Roman" w:cs="Times New Roman"/>
        </w:rPr>
      </w:pPr>
    </w:p>
    <w:p w:rsidR="00BA5299" w:rsidRPr="00BA5299" w:rsidRDefault="00BA5299" w:rsidP="00BA5299">
      <w:pPr>
        <w:pStyle w:val="Popis"/>
        <w:keepNext/>
        <w:spacing w:after="0"/>
        <w:rPr>
          <w:rFonts w:ascii="Times New Roman" w:hAnsi="Times New Roman" w:cs="Times New Roman"/>
          <w:b/>
          <w:i w:val="0"/>
          <w:color w:val="5B9BD5" w:themeColor="accent1"/>
          <w:sz w:val="20"/>
          <w:szCs w:val="20"/>
        </w:rPr>
      </w:pPr>
      <w:bookmarkStart w:id="5" w:name="_Toc84845226"/>
      <w:r w:rsidRPr="00BA5299">
        <w:rPr>
          <w:rFonts w:ascii="Times New Roman" w:hAnsi="Times New Roman" w:cs="Times New Roman"/>
          <w:b/>
          <w:i w:val="0"/>
          <w:color w:val="5B9BD5" w:themeColor="accent1"/>
          <w:sz w:val="20"/>
          <w:szCs w:val="20"/>
        </w:rPr>
        <w:t xml:space="preserve">Tabuľka </w:t>
      </w:r>
      <w:r w:rsidRPr="00BA5299">
        <w:rPr>
          <w:rFonts w:ascii="Times New Roman" w:hAnsi="Times New Roman" w:cs="Times New Roman"/>
          <w:b/>
          <w:i w:val="0"/>
          <w:color w:val="5B9BD5" w:themeColor="accent1"/>
          <w:sz w:val="20"/>
          <w:szCs w:val="20"/>
        </w:rPr>
        <w:fldChar w:fldCharType="begin"/>
      </w:r>
      <w:r w:rsidRPr="00BA5299">
        <w:rPr>
          <w:rFonts w:ascii="Times New Roman" w:hAnsi="Times New Roman" w:cs="Times New Roman"/>
          <w:b/>
          <w:i w:val="0"/>
          <w:color w:val="5B9BD5" w:themeColor="accent1"/>
          <w:sz w:val="20"/>
          <w:szCs w:val="20"/>
        </w:rPr>
        <w:instrText xml:space="preserve"> SEQ Tabuľka \* ARABIC </w:instrText>
      </w:r>
      <w:r w:rsidRPr="00BA529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2</w:t>
      </w:r>
      <w:r w:rsidRPr="00BA5299">
        <w:rPr>
          <w:rFonts w:ascii="Times New Roman" w:hAnsi="Times New Roman" w:cs="Times New Roman"/>
          <w:b/>
          <w:i w:val="0"/>
          <w:color w:val="5B9BD5" w:themeColor="accent1"/>
          <w:sz w:val="20"/>
          <w:szCs w:val="20"/>
        </w:rPr>
        <w:fldChar w:fldCharType="end"/>
      </w:r>
      <w:r w:rsidRPr="00BA5299">
        <w:rPr>
          <w:rFonts w:ascii="Times New Roman" w:hAnsi="Times New Roman" w:cs="Times New Roman"/>
          <w:b/>
          <w:i w:val="0"/>
          <w:color w:val="5B9BD5" w:themeColor="accent1"/>
          <w:sz w:val="20"/>
          <w:szCs w:val="20"/>
        </w:rPr>
        <w:t xml:space="preserve"> - Porovnanie prognóz Európskej komisie (EK) a MF SR</w:t>
      </w:r>
      <w:bookmarkEnd w:id="5"/>
    </w:p>
    <w:tbl>
      <w:tblPr>
        <w:tblW w:w="5000" w:type="pct"/>
        <w:jc w:val="center"/>
        <w:tblCellMar>
          <w:left w:w="70" w:type="dxa"/>
          <w:right w:w="70" w:type="dxa"/>
        </w:tblCellMar>
        <w:tblLook w:val="04A0" w:firstRow="1" w:lastRow="0" w:firstColumn="1" w:lastColumn="0" w:noHBand="0" w:noVBand="1"/>
      </w:tblPr>
      <w:tblGrid>
        <w:gridCol w:w="4043"/>
        <w:gridCol w:w="2344"/>
        <w:gridCol w:w="704"/>
        <w:gridCol w:w="704"/>
        <w:gridCol w:w="637"/>
        <w:gridCol w:w="640"/>
      </w:tblGrid>
      <w:tr w:rsidR="00EA1CFD" w:rsidRPr="004768B6" w:rsidTr="00721CBC">
        <w:trPr>
          <w:trHeight w:val="227"/>
          <w:jc w:val="center"/>
        </w:trPr>
        <w:tc>
          <w:tcPr>
            <w:tcW w:w="5000" w:type="pct"/>
            <w:gridSpan w:val="6"/>
            <w:tcBorders>
              <w:top w:val="single" w:sz="4" w:space="0" w:color="auto"/>
            </w:tcBorders>
            <w:shd w:val="clear" w:color="auto" w:fill="auto"/>
            <w:noWrap/>
            <w:vAlign w:val="center"/>
            <w:hideMark/>
          </w:tcPr>
          <w:p w:rsidR="00EA1CFD" w:rsidRPr="004768B6" w:rsidRDefault="00EA1CFD" w:rsidP="0052441A">
            <w:pPr>
              <w:rPr>
                <w:rFonts w:ascii="Times New Roman" w:hAnsi="Times New Roman" w:cs="Times New Roman"/>
                <w:b/>
                <w:bCs/>
                <w:color w:val="2C9ADC"/>
                <w:sz w:val="14"/>
                <w:szCs w:val="14"/>
                <w:lang w:eastAsia="sk-SK"/>
              </w:rPr>
            </w:pPr>
          </w:p>
        </w:tc>
      </w:tr>
      <w:tr w:rsidR="00EA1CFD" w:rsidRPr="004768B6" w:rsidTr="00721CBC">
        <w:trPr>
          <w:trHeight w:val="227"/>
          <w:jc w:val="center"/>
        </w:trPr>
        <w:tc>
          <w:tcPr>
            <w:tcW w:w="2228" w:type="pct"/>
            <w:tcBorders>
              <w:bottom w:val="single" w:sz="4" w:space="0" w:color="auto"/>
              <w:right w:val="nil"/>
            </w:tcBorders>
            <w:shd w:val="clear" w:color="auto" w:fill="auto"/>
            <w:noWrap/>
            <w:vAlign w:val="center"/>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 </w:t>
            </w:r>
            <w:r w:rsidRPr="004768B6">
              <w:rPr>
                <w:rFonts w:ascii="Times New Roman" w:hAnsi="Times New Roman" w:cs="Times New Roman"/>
                <w:b/>
                <w:bCs/>
                <w:sz w:val="14"/>
                <w:szCs w:val="14"/>
                <w:lang w:eastAsia="sk-SK"/>
              </w:rPr>
              <w:t xml:space="preserve">Ukazovateľ </w:t>
            </w:r>
            <w:r w:rsidRPr="004768B6">
              <w:rPr>
                <w:rFonts w:ascii="Times New Roman" w:hAnsi="Times New Roman" w:cs="Times New Roman"/>
                <w:b/>
                <w:sz w:val="14"/>
                <w:szCs w:val="14"/>
                <w:lang w:eastAsia="sk-SK"/>
              </w:rPr>
              <w:t>(rast v %, ak nie je uvedené inak)</w:t>
            </w:r>
          </w:p>
        </w:tc>
        <w:tc>
          <w:tcPr>
            <w:tcW w:w="1292" w:type="pct"/>
            <w:tcBorders>
              <w:left w:val="nil"/>
              <w:bottom w:val="single" w:sz="4" w:space="0" w:color="auto"/>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 </w:t>
            </w:r>
          </w:p>
        </w:tc>
        <w:tc>
          <w:tcPr>
            <w:tcW w:w="388" w:type="pct"/>
            <w:tcBorders>
              <w:bottom w:val="single" w:sz="4" w:space="0" w:color="auto"/>
            </w:tcBorders>
            <w:shd w:val="clear" w:color="auto" w:fill="auto"/>
            <w:noWrap/>
            <w:vAlign w:val="bottom"/>
            <w:hideMark/>
          </w:tcPr>
          <w:p w:rsidR="00EA1CFD" w:rsidRPr="004768B6" w:rsidRDefault="00EA1CFD" w:rsidP="00721CBC">
            <w:pPr>
              <w:jc w:val="right"/>
              <w:rPr>
                <w:rFonts w:ascii="Times New Roman" w:hAnsi="Times New Roman" w:cs="Times New Roman"/>
                <w:b/>
                <w:bCs/>
                <w:color w:val="000000"/>
                <w:sz w:val="14"/>
                <w:szCs w:val="14"/>
                <w:lang w:eastAsia="sk-SK"/>
              </w:rPr>
            </w:pPr>
            <w:r w:rsidRPr="004768B6">
              <w:rPr>
                <w:rFonts w:ascii="Times New Roman" w:hAnsi="Times New Roman" w:cs="Times New Roman"/>
                <w:b/>
                <w:bCs/>
                <w:color w:val="000000"/>
                <w:sz w:val="14"/>
                <w:szCs w:val="14"/>
                <w:lang w:eastAsia="sk-SK"/>
              </w:rPr>
              <w:t>2019</w:t>
            </w:r>
          </w:p>
        </w:tc>
        <w:tc>
          <w:tcPr>
            <w:tcW w:w="388" w:type="pct"/>
            <w:tcBorders>
              <w:left w:val="nil"/>
              <w:bottom w:val="single" w:sz="4" w:space="0" w:color="auto"/>
            </w:tcBorders>
            <w:shd w:val="clear" w:color="auto" w:fill="auto"/>
            <w:noWrap/>
            <w:vAlign w:val="bottom"/>
            <w:hideMark/>
          </w:tcPr>
          <w:p w:rsidR="00EA1CFD" w:rsidRPr="004768B6" w:rsidRDefault="00EA1CFD" w:rsidP="00721CBC">
            <w:pPr>
              <w:jc w:val="right"/>
              <w:rPr>
                <w:rFonts w:ascii="Times New Roman" w:hAnsi="Times New Roman" w:cs="Times New Roman"/>
                <w:b/>
                <w:bCs/>
                <w:color w:val="000000"/>
                <w:sz w:val="14"/>
                <w:szCs w:val="14"/>
                <w:lang w:eastAsia="sk-SK"/>
              </w:rPr>
            </w:pPr>
            <w:r w:rsidRPr="004768B6">
              <w:rPr>
                <w:rFonts w:ascii="Times New Roman" w:hAnsi="Times New Roman" w:cs="Times New Roman"/>
                <w:b/>
                <w:bCs/>
                <w:color w:val="000000"/>
                <w:sz w:val="14"/>
                <w:szCs w:val="14"/>
                <w:lang w:eastAsia="sk-SK"/>
              </w:rPr>
              <w:t>2020</w:t>
            </w:r>
          </w:p>
        </w:tc>
        <w:tc>
          <w:tcPr>
            <w:tcW w:w="351" w:type="pct"/>
            <w:tcBorders>
              <w:bottom w:val="single" w:sz="4" w:space="0" w:color="auto"/>
            </w:tcBorders>
            <w:shd w:val="clear" w:color="auto" w:fill="auto"/>
            <w:noWrap/>
            <w:vAlign w:val="bottom"/>
            <w:hideMark/>
          </w:tcPr>
          <w:p w:rsidR="00EA1CFD" w:rsidRPr="004768B6" w:rsidRDefault="00EA1CFD" w:rsidP="00721CBC">
            <w:pPr>
              <w:jc w:val="right"/>
              <w:rPr>
                <w:rFonts w:ascii="Times New Roman" w:hAnsi="Times New Roman" w:cs="Times New Roman"/>
                <w:b/>
                <w:bCs/>
                <w:color w:val="000000"/>
                <w:sz w:val="14"/>
                <w:szCs w:val="14"/>
                <w:lang w:eastAsia="sk-SK"/>
              </w:rPr>
            </w:pPr>
            <w:r w:rsidRPr="004768B6">
              <w:rPr>
                <w:rFonts w:ascii="Times New Roman" w:hAnsi="Times New Roman" w:cs="Times New Roman"/>
                <w:b/>
                <w:bCs/>
                <w:color w:val="000000"/>
                <w:sz w:val="14"/>
                <w:szCs w:val="14"/>
                <w:lang w:eastAsia="sk-SK"/>
              </w:rPr>
              <w:t>2021</w:t>
            </w:r>
          </w:p>
        </w:tc>
        <w:tc>
          <w:tcPr>
            <w:tcW w:w="353" w:type="pct"/>
            <w:tcBorders>
              <w:left w:val="nil"/>
              <w:bottom w:val="single" w:sz="4" w:space="0" w:color="auto"/>
            </w:tcBorders>
            <w:shd w:val="clear" w:color="auto" w:fill="auto"/>
            <w:noWrap/>
            <w:vAlign w:val="bottom"/>
            <w:hideMark/>
          </w:tcPr>
          <w:p w:rsidR="00EA1CFD" w:rsidRPr="004768B6" w:rsidRDefault="00EA1CFD" w:rsidP="00721CBC">
            <w:pPr>
              <w:jc w:val="right"/>
              <w:rPr>
                <w:rFonts w:ascii="Times New Roman" w:hAnsi="Times New Roman" w:cs="Times New Roman"/>
                <w:b/>
                <w:bCs/>
                <w:color w:val="000000"/>
                <w:sz w:val="14"/>
                <w:szCs w:val="14"/>
                <w:lang w:eastAsia="sk-SK"/>
              </w:rPr>
            </w:pPr>
            <w:r w:rsidRPr="004768B6">
              <w:rPr>
                <w:rFonts w:ascii="Times New Roman" w:hAnsi="Times New Roman" w:cs="Times New Roman"/>
                <w:b/>
                <w:bCs/>
                <w:color w:val="000000"/>
                <w:sz w:val="14"/>
                <w:szCs w:val="14"/>
                <w:lang w:eastAsia="sk-SK"/>
              </w:rPr>
              <w:t>2022</w:t>
            </w:r>
          </w:p>
        </w:tc>
      </w:tr>
      <w:tr w:rsidR="00EA1CFD" w:rsidRPr="004768B6" w:rsidTr="00721CBC">
        <w:trPr>
          <w:trHeight w:val="227"/>
          <w:jc w:val="center"/>
        </w:trPr>
        <w:tc>
          <w:tcPr>
            <w:tcW w:w="2228" w:type="pct"/>
            <w:vMerge w:val="restart"/>
            <w:tcBorders>
              <w:top w:val="single" w:sz="4" w:space="0" w:color="auto"/>
              <w:bottom w:val="single" w:sz="4" w:space="0" w:color="000000"/>
            </w:tcBorders>
            <w:shd w:val="clear" w:color="auto" w:fill="auto"/>
            <w:noWrap/>
            <w:vAlign w:val="center"/>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Reálne HDP</w:t>
            </w:r>
          </w:p>
        </w:tc>
        <w:tc>
          <w:tcPr>
            <w:tcW w:w="1292" w:type="pct"/>
            <w:tcBorders>
              <w:top w:val="single" w:sz="4" w:space="0" w:color="auto"/>
              <w:left w:val="nil"/>
              <w:bottom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tcBorders>
              <w:top w:val="single" w:sz="4" w:space="0" w:color="auto"/>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2,5</w:t>
            </w:r>
          </w:p>
        </w:tc>
        <w:tc>
          <w:tcPr>
            <w:tcW w:w="388" w:type="pct"/>
            <w:tcBorders>
              <w:top w:val="single" w:sz="4" w:space="0" w:color="auto"/>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-4,8</w:t>
            </w:r>
          </w:p>
        </w:tc>
        <w:tc>
          <w:tcPr>
            <w:tcW w:w="351" w:type="pct"/>
            <w:tcBorders>
              <w:top w:val="single" w:sz="4" w:space="0" w:color="auto"/>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4,8</w:t>
            </w:r>
          </w:p>
        </w:tc>
        <w:tc>
          <w:tcPr>
            <w:tcW w:w="353" w:type="pct"/>
            <w:tcBorders>
              <w:top w:val="single" w:sz="4" w:space="0" w:color="auto"/>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5,2</w:t>
            </w:r>
          </w:p>
        </w:tc>
      </w:tr>
      <w:tr w:rsidR="00EA1CFD" w:rsidRPr="004768B6" w:rsidTr="00721CBC">
        <w:trPr>
          <w:trHeight w:val="227"/>
          <w:jc w:val="center"/>
        </w:trPr>
        <w:tc>
          <w:tcPr>
            <w:tcW w:w="2228" w:type="pct"/>
            <w:vMerge/>
            <w:tcBorders>
              <w:top w:val="single" w:sz="4" w:space="0" w:color="000000"/>
              <w:bottom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(leto)</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2,5</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-4,8</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4,9</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5,3</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2,5</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-4,8</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3,7</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4,2</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ind w:firstLineChars="300" w:firstLine="420"/>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Súkromná spotreba</w:t>
            </w:r>
          </w:p>
        </w:tc>
        <w:tc>
          <w:tcPr>
            <w:tcW w:w="1292" w:type="pct"/>
            <w:tcBorders>
              <w:left w:val="nil"/>
              <w:bottom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tcBorders>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2,7</w:t>
            </w:r>
          </w:p>
        </w:tc>
        <w:tc>
          <w:tcPr>
            <w:tcW w:w="388" w:type="pct"/>
            <w:tcBorders>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w:t>
            </w:r>
          </w:p>
        </w:tc>
        <w:tc>
          <w:tcPr>
            <w:tcW w:w="351" w:type="pct"/>
            <w:tcBorders>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c>
          <w:tcPr>
            <w:tcW w:w="353" w:type="pct"/>
            <w:tcBorders>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5,2</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2,7</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0,2</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2,4</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ind w:firstLineChars="300" w:firstLine="420"/>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Verejná spotreba</w:t>
            </w: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4,6</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0,3</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2,5</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-0,2</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4,6</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0,3</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4,9</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4,1</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ind w:firstLineChars="300" w:firstLine="420"/>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Investície</w:t>
            </w:r>
          </w:p>
        </w:tc>
        <w:tc>
          <w:tcPr>
            <w:tcW w:w="1292" w:type="pct"/>
            <w:tcBorders>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6,6</w:t>
            </w:r>
          </w:p>
        </w:tc>
        <w:tc>
          <w:tcPr>
            <w:tcW w:w="388"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-12,0</w:t>
            </w:r>
          </w:p>
        </w:tc>
        <w:tc>
          <w:tcPr>
            <w:tcW w:w="351"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8,6</w:t>
            </w:r>
          </w:p>
        </w:tc>
        <w:tc>
          <w:tcPr>
            <w:tcW w:w="353"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12,5</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6,6</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-12,0</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-0,3</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16,7</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ind w:firstLineChars="300" w:firstLine="420"/>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Export</w:t>
            </w:r>
          </w:p>
        </w:tc>
        <w:tc>
          <w:tcPr>
            <w:tcW w:w="1292" w:type="pct"/>
            <w:tcBorders>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c>
          <w:tcPr>
            <w:tcW w:w="388"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-7,5</w:t>
            </w:r>
          </w:p>
        </w:tc>
        <w:tc>
          <w:tcPr>
            <w:tcW w:w="351"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12,2</w:t>
            </w:r>
          </w:p>
        </w:tc>
        <w:tc>
          <w:tcPr>
            <w:tcW w:w="353"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5,3</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-7,5</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10,5</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3,1</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ind w:firstLineChars="300" w:firstLine="420"/>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Import</w:t>
            </w:r>
          </w:p>
        </w:tc>
        <w:tc>
          <w:tcPr>
            <w:tcW w:w="1292" w:type="pct"/>
            <w:tcBorders>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2,1</w:t>
            </w:r>
          </w:p>
        </w:tc>
        <w:tc>
          <w:tcPr>
            <w:tcW w:w="388"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-8,3</w:t>
            </w:r>
          </w:p>
        </w:tc>
        <w:tc>
          <w:tcPr>
            <w:tcW w:w="351"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10,9</w:t>
            </w:r>
          </w:p>
        </w:tc>
        <w:tc>
          <w:tcPr>
            <w:tcW w:w="353"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5,6</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2,1</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-8,3</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10,9</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3,9</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Inflácia (HICP)</w:t>
            </w:r>
          </w:p>
        </w:tc>
        <w:tc>
          <w:tcPr>
            <w:tcW w:w="1292" w:type="pct"/>
            <w:tcBorders>
              <w:left w:val="nil"/>
              <w:bottom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tcBorders>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2,8</w:t>
            </w:r>
          </w:p>
        </w:tc>
        <w:tc>
          <w:tcPr>
            <w:tcW w:w="388" w:type="pct"/>
            <w:tcBorders>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2,0</w:t>
            </w:r>
          </w:p>
        </w:tc>
        <w:tc>
          <w:tcPr>
            <w:tcW w:w="351" w:type="pct"/>
            <w:tcBorders>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1,5</w:t>
            </w:r>
          </w:p>
        </w:tc>
        <w:tc>
          <w:tcPr>
            <w:tcW w:w="353" w:type="pct"/>
            <w:tcBorders>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1,9</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(leto)</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2,8</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2,0</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2,1</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2,2</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2,8</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2,0</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2,3</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4,0</w:t>
            </w:r>
          </w:p>
        </w:tc>
      </w:tr>
      <w:tr w:rsidR="00EA1CFD" w:rsidRPr="004768B6" w:rsidTr="00721CBC">
        <w:trPr>
          <w:trHeight w:val="227"/>
          <w:jc w:val="center"/>
        </w:trPr>
        <w:tc>
          <w:tcPr>
            <w:tcW w:w="2228" w:type="pct"/>
            <w:vMerge w:val="restart"/>
            <w:shd w:val="clear" w:color="auto" w:fill="auto"/>
            <w:noWrap/>
            <w:vAlign w:val="center"/>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Zamestnanosť (ESA)</w:t>
            </w:r>
          </w:p>
        </w:tc>
        <w:tc>
          <w:tcPr>
            <w:tcW w:w="1292" w:type="pct"/>
            <w:tcBorders>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w:t>
            </w:r>
          </w:p>
        </w:tc>
        <w:tc>
          <w:tcPr>
            <w:tcW w:w="388"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-1,9</w:t>
            </w:r>
          </w:p>
        </w:tc>
        <w:tc>
          <w:tcPr>
            <w:tcW w:w="351" w:type="pct"/>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-0,6</w:t>
            </w:r>
          </w:p>
        </w:tc>
        <w:tc>
          <w:tcPr>
            <w:tcW w:w="353" w:type="pct"/>
            <w:tcBorders>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r>
      <w:tr w:rsidR="00EA1CFD" w:rsidRPr="004768B6" w:rsidTr="00721CBC">
        <w:trPr>
          <w:trHeight w:val="227"/>
          <w:jc w:val="center"/>
        </w:trPr>
        <w:tc>
          <w:tcPr>
            <w:tcW w:w="2228" w:type="pct"/>
            <w:vMerge/>
            <w:tcBorders>
              <w:top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1,0</w:t>
            </w:r>
          </w:p>
        </w:tc>
        <w:tc>
          <w:tcPr>
            <w:tcW w:w="388"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-1,9</w:t>
            </w:r>
          </w:p>
        </w:tc>
        <w:tc>
          <w:tcPr>
            <w:tcW w:w="351" w:type="pct"/>
            <w:tcBorders>
              <w:top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c>
          <w:tcPr>
            <w:tcW w:w="353" w:type="pct"/>
            <w:tcBorders>
              <w:top w:val="nil"/>
              <w:left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r>
      <w:tr w:rsidR="00EA1CFD" w:rsidRPr="004768B6" w:rsidTr="00721CBC">
        <w:trPr>
          <w:trHeight w:val="227"/>
          <w:jc w:val="center"/>
        </w:trPr>
        <w:tc>
          <w:tcPr>
            <w:tcW w:w="2228" w:type="pct"/>
            <w:vMerge w:val="restart"/>
            <w:tcBorders>
              <w:bottom w:val="single" w:sz="4" w:space="0" w:color="000000"/>
            </w:tcBorders>
            <w:shd w:val="clear" w:color="auto" w:fill="auto"/>
            <w:vAlign w:val="center"/>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Produkčná medzera</w:t>
            </w:r>
            <w:r w:rsidRPr="004768B6">
              <w:rPr>
                <w:rFonts w:ascii="Times New Roman" w:hAnsi="Times New Roman" w:cs="Times New Roman"/>
                <w:color w:val="000000"/>
                <w:sz w:val="14"/>
                <w:szCs w:val="14"/>
                <w:lang w:eastAsia="sk-SK"/>
              </w:rPr>
              <w:br/>
              <w:t>(% z pot. HDP)</w:t>
            </w:r>
          </w:p>
        </w:tc>
        <w:tc>
          <w:tcPr>
            <w:tcW w:w="1292" w:type="pct"/>
            <w:tcBorders>
              <w:left w:val="nil"/>
              <w:bottom w:val="nil"/>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EK (jar)</w:t>
            </w:r>
          </w:p>
        </w:tc>
        <w:tc>
          <w:tcPr>
            <w:tcW w:w="388" w:type="pct"/>
            <w:tcBorders>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2,4</w:t>
            </w:r>
          </w:p>
        </w:tc>
        <w:tc>
          <w:tcPr>
            <w:tcW w:w="388" w:type="pct"/>
            <w:tcBorders>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-3,9</w:t>
            </w:r>
          </w:p>
        </w:tc>
        <w:tc>
          <w:tcPr>
            <w:tcW w:w="351" w:type="pct"/>
            <w:tcBorders>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-1,4</w:t>
            </w:r>
          </w:p>
        </w:tc>
        <w:tc>
          <w:tcPr>
            <w:tcW w:w="353" w:type="pct"/>
            <w:tcBorders>
              <w:left w:val="nil"/>
              <w:bottom w:val="nil"/>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0,8</w:t>
            </w:r>
          </w:p>
        </w:tc>
      </w:tr>
      <w:tr w:rsidR="00EA1CFD" w:rsidRPr="004768B6" w:rsidTr="00721CBC">
        <w:trPr>
          <w:trHeight w:val="227"/>
          <w:jc w:val="center"/>
        </w:trPr>
        <w:tc>
          <w:tcPr>
            <w:tcW w:w="2228" w:type="pct"/>
            <w:vMerge/>
            <w:tcBorders>
              <w:top w:val="single" w:sz="4" w:space="0" w:color="000000"/>
              <w:bottom w:val="single" w:sz="4" w:space="0" w:color="000000"/>
            </w:tcBorders>
            <w:vAlign w:val="center"/>
            <w:hideMark/>
          </w:tcPr>
          <w:p w:rsidR="00EA1CFD" w:rsidRPr="004768B6" w:rsidRDefault="00EA1CFD" w:rsidP="0052441A">
            <w:pPr>
              <w:rPr>
                <w:rFonts w:ascii="Times New Roman" w:hAnsi="Times New Roman" w:cs="Times New Roman"/>
                <w:color w:val="000000"/>
                <w:sz w:val="14"/>
                <w:szCs w:val="14"/>
                <w:lang w:eastAsia="sk-SK"/>
              </w:rPr>
            </w:pPr>
          </w:p>
        </w:tc>
        <w:tc>
          <w:tcPr>
            <w:tcW w:w="1292" w:type="pct"/>
            <w:tcBorders>
              <w:top w:val="nil"/>
              <w:left w:val="nil"/>
              <w:bottom w:val="single" w:sz="4" w:space="0" w:color="auto"/>
            </w:tcBorders>
            <w:shd w:val="clear" w:color="auto" w:fill="auto"/>
            <w:noWrap/>
            <w:vAlign w:val="bottom"/>
            <w:hideMark/>
          </w:tcPr>
          <w:p w:rsidR="00EA1CFD" w:rsidRPr="004768B6" w:rsidRDefault="00EA1CFD" w:rsidP="0052441A">
            <w:pPr>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Prognóza MF SR (sep)</w:t>
            </w:r>
          </w:p>
        </w:tc>
        <w:tc>
          <w:tcPr>
            <w:tcW w:w="388" w:type="pct"/>
            <w:tcBorders>
              <w:top w:val="nil"/>
              <w:bottom w:val="single" w:sz="4" w:space="0" w:color="auto"/>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1,8</w:t>
            </w:r>
          </w:p>
        </w:tc>
        <w:tc>
          <w:tcPr>
            <w:tcW w:w="388" w:type="pct"/>
            <w:tcBorders>
              <w:top w:val="nil"/>
              <w:left w:val="nil"/>
              <w:bottom w:val="single" w:sz="4" w:space="0" w:color="auto"/>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-3,6</w:t>
            </w:r>
          </w:p>
        </w:tc>
        <w:tc>
          <w:tcPr>
            <w:tcW w:w="351" w:type="pct"/>
            <w:tcBorders>
              <w:top w:val="nil"/>
              <w:bottom w:val="single" w:sz="4" w:space="0" w:color="auto"/>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-1,7</w:t>
            </w:r>
          </w:p>
        </w:tc>
        <w:tc>
          <w:tcPr>
            <w:tcW w:w="353" w:type="pct"/>
            <w:tcBorders>
              <w:top w:val="nil"/>
              <w:left w:val="nil"/>
              <w:bottom w:val="single" w:sz="4" w:space="0" w:color="auto"/>
            </w:tcBorders>
            <w:shd w:val="clear" w:color="auto" w:fill="auto"/>
            <w:noWrap/>
            <w:vAlign w:val="bottom"/>
          </w:tcPr>
          <w:p w:rsidR="00EA1CFD" w:rsidRPr="004768B6" w:rsidRDefault="00EA1CFD" w:rsidP="0052441A">
            <w:pPr>
              <w:jc w:val="right"/>
              <w:rPr>
                <w:rFonts w:ascii="Times New Roman" w:hAnsi="Times New Roman" w:cs="Times New Roman"/>
                <w:color w:val="000000"/>
                <w:sz w:val="14"/>
                <w:szCs w:val="14"/>
                <w:lang w:eastAsia="sk-SK"/>
              </w:rPr>
            </w:pPr>
            <w:r w:rsidRPr="004768B6">
              <w:rPr>
                <w:rFonts w:ascii="Times New Roman" w:hAnsi="Times New Roman" w:cs="Times New Roman"/>
                <w:color w:val="000000"/>
                <w:sz w:val="14"/>
                <w:szCs w:val="14"/>
                <w:lang w:eastAsia="sk-SK"/>
              </w:rPr>
              <w:t>-0,4</w:t>
            </w:r>
          </w:p>
        </w:tc>
      </w:tr>
      <w:tr w:rsidR="00EA1CFD" w:rsidRPr="00717D0B" w:rsidTr="0052441A">
        <w:trPr>
          <w:trHeight w:val="227"/>
          <w:jc w:val="center"/>
        </w:trPr>
        <w:tc>
          <w:tcPr>
            <w:tcW w:w="5000" w:type="pct"/>
            <w:gridSpan w:val="6"/>
            <w:tcBorders>
              <w:top w:val="single" w:sz="4" w:space="0" w:color="auto"/>
              <w:left w:val="nil"/>
              <w:bottom w:val="nil"/>
              <w:right w:val="nil"/>
            </w:tcBorders>
            <w:shd w:val="clear" w:color="auto" w:fill="auto"/>
            <w:noWrap/>
            <w:vAlign w:val="bottom"/>
            <w:hideMark/>
          </w:tcPr>
          <w:p w:rsidR="00EA1CFD" w:rsidRPr="00717D0B" w:rsidRDefault="00EA1CFD" w:rsidP="0052441A">
            <w:pPr>
              <w:jc w:val="right"/>
              <w:rPr>
                <w:rFonts w:ascii="Times New Roman" w:hAnsi="Times New Roman" w:cs="Times New Roman"/>
                <w:i/>
                <w:iCs/>
                <w:color w:val="000000"/>
                <w:sz w:val="14"/>
                <w:szCs w:val="14"/>
                <w:lang w:eastAsia="sk-SK"/>
              </w:rPr>
            </w:pPr>
            <w:r w:rsidRPr="004768B6">
              <w:rPr>
                <w:rFonts w:ascii="Times New Roman" w:hAnsi="Times New Roman" w:cs="Times New Roman"/>
                <w:iCs/>
                <w:color w:val="000000"/>
                <w:sz w:val="14"/>
                <w:szCs w:val="14"/>
                <w:lang w:eastAsia="sk-SK"/>
              </w:rPr>
              <w:t>Zdroj: MF SR, EK</w:t>
            </w:r>
          </w:p>
        </w:tc>
      </w:tr>
    </w:tbl>
    <w:p w:rsidR="00F14DDB" w:rsidRDefault="00F14DDB"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214A4A" w:rsidRDefault="00214A4A" w:rsidP="00F14DDB">
      <w:pPr>
        <w:pStyle w:val="NormalList"/>
        <w:rPr>
          <w:rFonts w:ascii="Times New Roman" w:eastAsia="NeueHaasGroteskText W02" w:hAnsi="Times New Roman" w:cs="Times New Roman"/>
          <w:noProof/>
          <w:sz w:val="24"/>
          <w:szCs w:val="20"/>
        </w:rPr>
      </w:pPr>
    </w:p>
    <w:p w:rsidR="00F009A7" w:rsidRDefault="00F009A7" w:rsidP="00F009A7">
      <w:pPr>
        <w:pStyle w:val="Nadpis1"/>
        <w:tabs>
          <w:tab w:val="left" w:pos="284"/>
        </w:tabs>
        <w:ind w:left="284" w:hanging="284"/>
        <w:jc w:val="both"/>
        <w:rPr>
          <w:rFonts w:ascii="Times New Roman" w:hAnsi="Times New Roman"/>
          <w:b/>
          <w:color w:val="5B9BD5" w:themeColor="accent1"/>
          <w:sz w:val="28"/>
          <w:szCs w:val="24"/>
        </w:rPr>
      </w:pPr>
      <w:bookmarkStart w:id="6" w:name="_Toc53040754"/>
      <w:bookmarkStart w:id="7" w:name="_Toc84684743"/>
      <w:bookmarkStart w:id="8" w:name="_Toc494463958"/>
      <w:bookmarkStart w:id="9" w:name="_Toc526273177"/>
      <w:bookmarkStart w:id="10" w:name="_Toc21596070"/>
      <w:r w:rsidRPr="000C265D">
        <w:rPr>
          <w:rFonts w:ascii="Times New Roman" w:hAnsi="Times New Roman"/>
          <w:b/>
          <w:color w:val="5B9BD5" w:themeColor="accent1"/>
          <w:sz w:val="28"/>
          <w:szCs w:val="24"/>
        </w:rPr>
        <w:t>2.</w:t>
      </w:r>
      <w:r w:rsidRPr="000C265D">
        <w:rPr>
          <w:rFonts w:ascii="Times New Roman" w:hAnsi="Times New Roman"/>
          <w:b/>
          <w:color w:val="5B9BD5" w:themeColor="accent1"/>
          <w:sz w:val="28"/>
          <w:szCs w:val="24"/>
        </w:rPr>
        <w:tab/>
        <w:t>Východiskový rámec rozpo</w:t>
      </w:r>
      <w:r w:rsidR="007F202B">
        <w:rPr>
          <w:rFonts w:ascii="Times New Roman" w:hAnsi="Times New Roman"/>
          <w:b/>
          <w:color w:val="5B9BD5" w:themeColor="accent1"/>
          <w:sz w:val="28"/>
          <w:szCs w:val="24"/>
        </w:rPr>
        <w:t>čtu verejnej správy na roky 2022 až 2024</w:t>
      </w:r>
      <w:r w:rsidRPr="000C265D">
        <w:rPr>
          <w:rFonts w:ascii="Times New Roman" w:hAnsi="Times New Roman"/>
          <w:b/>
          <w:color w:val="5B9BD5" w:themeColor="accent1"/>
          <w:sz w:val="28"/>
          <w:szCs w:val="24"/>
        </w:rPr>
        <w:t xml:space="preserve"> v metodike ESA 2010</w:t>
      </w:r>
      <w:r w:rsidRPr="000C265D">
        <w:rPr>
          <w:rFonts w:ascii="Times New Roman" w:hAnsi="Times New Roman"/>
          <w:b/>
          <w:color w:val="5B9BD5" w:themeColor="accent1"/>
          <w:sz w:val="28"/>
          <w:szCs w:val="24"/>
          <w:vertAlign w:val="superscript"/>
        </w:rPr>
        <w:footnoteReference w:id="7"/>
      </w:r>
      <w:bookmarkEnd w:id="6"/>
      <w:bookmarkEnd w:id="7"/>
    </w:p>
    <w:p w:rsidR="007B4FDF" w:rsidRPr="007B4FDF" w:rsidRDefault="007B4FDF" w:rsidP="00B271BE">
      <w:pPr>
        <w:spacing w:after="0"/>
      </w:pPr>
    </w:p>
    <w:p w:rsidR="000C265D" w:rsidRDefault="000C265D" w:rsidP="00B271BE">
      <w:pPr>
        <w:pStyle w:val="Nadpis2"/>
        <w:spacing w:after="0"/>
        <w:rPr>
          <w:rFonts w:ascii="Times New Roman" w:hAnsi="Times New Roman"/>
          <w:i w:val="0"/>
          <w:color w:val="5B9BD5" w:themeColor="accent1"/>
          <w:sz w:val="24"/>
          <w:szCs w:val="24"/>
        </w:rPr>
      </w:pPr>
      <w:bookmarkStart w:id="11" w:name="_Toc53040755"/>
      <w:bookmarkStart w:id="12" w:name="_Toc84684744"/>
      <w:bookmarkEnd w:id="8"/>
      <w:bookmarkEnd w:id="9"/>
      <w:bookmarkEnd w:id="10"/>
      <w:r w:rsidRPr="00463362">
        <w:rPr>
          <w:rFonts w:ascii="Times New Roman" w:hAnsi="Times New Roman"/>
          <w:i w:val="0"/>
          <w:color w:val="5B9BD5" w:themeColor="accent1"/>
          <w:sz w:val="24"/>
          <w:szCs w:val="24"/>
        </w:rPr>
        <w:t>2.1. Aktuálny vývoj verejných financií v roku 202</w:t>
      </w:r>
      <w:bookmarkEnd w:id="11"/>
      <w:r w:rsidR="007F202B">
        <w:rPr>
          <w:rFonts w:ascii="Times New Roman" w:hAnsi="Times New Roman"/>
          <w:i w:val="0"/>
          <w:color w:val="5B9BD5" w:themeColor="accent1"/>
          <w:sz w:val="24"/>
          <w:szCs w:val="24"/>
        </w:rPr>
        <w:t>1</w:t>
      </w:r>
      <w:bookmarkEnd w:id="12"/>
    </w:p>
    <w:p w:rsidR="007B4FDF" w:rsidRPr="00AF0046" w:rsidRDefault="007B4FDF" w:rsidP="007B4FDF">
      <w:pPr>
        <w:keepNext/>
        <w:spacing w:after="0" w:line="240" w:lineRule="auto"/>
        <w:outlineLvl w:val="1"/>
        <w:rPr>
          <w:rFonts w:ascii="Times New Roman" w:hAnsi="Times New Roman" w:cs="Times New Roman"/>
          <w:b/>
          <w:bCs/>
          <w:sz w:val="24"/>
          <w:szCs w:val="24"/>
        </w:rPr>
      </w:pPr>
    </w:p>
    <w:p w:rsidR="00176825" w:rsidRDefault="00176825" w:rsidP="00176825">
      <w:pPr>
        <w:spacing w:after="0" w:line="240" w:lineRule="auto"/>
        <w:contextualSpacing/>
        <w:jc w:val="both"/>
        <w:rPr>
          <w:rFonts w:ascii="Times New Roman" w:hAnsi="Times New Roman" w:cs="Times New Roman"/>
          <w:sz w:val="24"/>
          <w:szCs w:val="24"/>
        </w:rPr>
      </w:pPr>
      <w:r w:rsidRPr="00CA7CA2">
        <w:rPr>
          <w:rFonts w:ascii="Times New Roman" w:hAnsi="Times New Roman" w:cs="Times New Roman"/>
          <w:sz w:val="24"/>
          <w:szCs w:val="24"/>
        </w:rPr>
        <w:t>Na rok 2021 bol schválený schodok roz</w:t>
      </w:r>
      <w:r w:rsidR="005C4C01">
        <w:rPr>
          <w:rFonts w:ascii="Times New Roman" w:hAnsi="Times New Roman" w:cs="Times New Roman"/>
          <w:sz w:val="24"/>
          <w:szCs w:val="24"/>
        </w:rPr>
        <w:t>počtu verejnej správy na úrovni -7,41 % HDP</w:t>
      </w:r>
      <w:r w:rsidRPr="00CA7CA2">
        <w:rPr>
          <w:rFonts w:ascii="Times New Roman" w:hAnsi="Times New Roman" w:cs="Times New Roman"/>
          <w:sz w:val="24"/>
          <w:szCs w:val="24"/>
        </w:rPr>
        <w:t xml:space="preserve">. </w:t>
      </w:r>
      <w:r>
        <w:rPr>
          <w:rFonts w:ascii="Times New Roman" w:hAnsi="Times New Roman" w:cs="Times New Roman"/>
          <w:sz w:val="24"/>
          <w:szCs w:val="24"/>
        </w:rPr>
        <w:t>Z dôvodu negatívn</w:t>
      </w:r>
      <w:r w:rsidR="00D25E8C">
        <w:rPr>
          <w:rFonts w:ascii="Times New Roman" w:hAnsi="Times New Roman" w:cs="Times New Roman"/>
          <w:sz w:val="24"/>
          <w:szCs w:val="24"/>
        </w:rPr>
        <w:t>ejšieho priebehu pandémie COVID-</w:t>
      </w:r>
      <w:r>
        <w:rPr>
          <w:rFonts w:ascii="Times New Roman" w:hAnsi="Times New Roman" w:cs="Times New Roman"/>
          <w:sz w:val="24"/>
          <w:szCs w:val="24"/>
        </w:rPr>
        <w:t>19, v súvislosti s jej silnou druhou vlnou bolo potrebné v priebehu roka prijať novelu zákona o štátnom rozpočte a tým umožniť najmä financovanie opatrení vlády</w:t>
      </w:r>
      <w:r w:rsidR="00D25E8C">
        <w:rPr>
          <w:rFonts w:ascii="Times New Roman" w:hAnsi="Times New Roman" w:cs="Times New Roman"/>
          <w:sz w:val="24"/>
          <w:szCs w:val="24"/>
        </w:rPr>
        <w:t xml:space="preserve"> v súvislosti s ochorením COVID-</w:t>
      </w:r>
      <w:r>
        <w:rPr>
          <w:rFonts w:ascii="Times New Roman" w:hAnsi="Times New Roman" w:cs="Times New Roman"/>
          <w:sz w:val="24"/>
          <w:szCs w:val="24"/>
        </w:rPr>
        <w:t xml:space="preserve">19. </w:t>
      </w:r>
    </w:p>
    <w:p w:rsidR="00176825" w:rsidRDefault="00176825" w:rsidP="00176825">
      <w:pPr>
        <w:spacing w:after="0" w:line="240" w:lineRule="auto"/>
        <w:contextualSpacing/>
        <w:jc w:val="both"/>
        <w:rPr>
          <w:rFonts w:ascii="Times New Roman" w:hAnsi="Times New Roman" w:cs="Times New Roman"/>
          <w:sz w:val="24"/>
          <w:szCs w:val="24"/>
        </w:rPr>
      </w:pPr>
    </w:p>
    <w:p w:rsidR="00176825" w:rsidRDefault="00176825" w:rsidP="0017682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Aktuálne sa očakáva h</w:t>
      </w:r>
      <w:r w:rsidRPr="00754014">
        <w:rPr>
          <w:rFonts w:ascii="Times New Roman" w:hAnsi="Times New Roman" w:cs="Times New Roman"/>
          <w:sz w:val="24"/>
          <w:szCs w:val="24"/>
        </w:rPr>
        <w:t>ospodárenie rozpočtu verejnej správy na úrovni -</w:t>
      </w:r>
      <w:r>
        <w:rPr>
          <w:rFonts w:ascii="Times New Roman" w:hAnsi="Times New Roman" w:cs="Times New Roman"/>
          <w:sz w:val="24"/>
          <w:szCs w:val="24"/>
        </w:rPr>
        <w:t>7,92</w:t>
      </w:r>
      <w:r w:rsidR="005C4C01">
        <w:rPr>
          <w:rFonts w:ascii="Times New Roman" w:hAnsi="Times New Roman" w:cs="Times New Roman"/>
          <w:sz w:val="24"/>
          <w:szCs w:val="24"/>
        </w:rPr>
        <w:t xml:space="preserve"> % HDP</w:t>
      </w:r>
      <w:r>
        <w:rPr>
          <w:rStyle w:val="Odkaznapoznmkupodiarou"/>
          <w:rFonts w:ascii="Times New Roman" w:hAnsi="Times New Roman"/>
          <w:sz w:val="24"/>
          <w:szCs w:val="24"/>
        </w:rPr>
        <w:footnoteReference w:id="8"/>
      </w:r>
      <w:r w:rsidRPr="00754014">
        <w:rPr>
          <w:rFonts w:ascii="Times New Roman" w:hAnsi="Times New Roman" w:cs="Times New Roman"/>
          <w:sz w:val="24"/>
          <w:szCs w:val="24"/>
        </w:rPr>
        <w:t>, čo predstavuje zhoršenie hospodárenia oproti pôvodne schválenému rozpočtu verejnej</w:t>
      </w:r>
      <w:r>
        <w:rPr>
          <w:rFonts w:ascii="Times New Roman" w:hAnsi="Times New Roman" w:cs="Times New Roman"/>
          <w:sz w:val="24"/>
          <w:szCs w:val="24"/>
        </w:rPr>
        <w:t xml:space="preserve"> správy</w:t>
      </w:r>
      <w:r w:rsidRPr="007C6EF4">
        <w:rPr>
          <w:rFonts w:ascii="Times New Roman" w:hAnsi="Times New Roman" w:cs="Times New Roman"/>
          <w:sz w:val="24"/>
          <w:szCs w:val="24"/>
        </w:rPr>
        <w:t xml:space="preserve"> </w:t>
      </w:r>
      <w:r>
        <w:rPr>
          <w:rFonts w:ascii="Times New Roman" w:hAnsi="Times New Roman" w:cs="Times New Roman"/>
          <w:sz w:val="24"/>
          <w:szCs w:val="24"/>
        </w:rPr>
        <w:t xml:space="preserve">o  </w:t>
      </w:r>
      <w:r w:rsidR="005C4C01">
        <w:rPr>
          <w:rFonts w:ascii="Times New Roman" w:hAnsi="Times New Roman" w:cs="Times New Roman"/>
          <w:sz w:val="24"/>
          <w:szCs w:val="24"/>
        </w:rPr>
        <w:br/>
        <w:t>-0,51 % HDP</w:t>
      </w:r>
      <w:r>
        <w:rPr>
          <w:rFonts w:ascii="Times New Roman" w:hAnsi="Times New Roman" w:cs="Times New Roman"/>
          <w:sz w:val="24"/>
          <w:szCs w:val="24"/>
        </w:rPr>
        <w:t xml:space="preserve">. Vplyv financovania </w:t>
      </w:r>
      <w:r w:rsidR="00D25E8C">
        <w:rPr>
          <w:rFonts w:ascii="Times New Roman" w:hAnsi="Times New Roman" w:cs="Times New Roman"/>
          <w:sz w:val="24"/>
          <w:szCs w:val="24"/>
        </w:rPr>
        <w:t>opatrení proti pandémii COVID-</w:t>
      </w:r>
      <w:r w:rsidR="005C4C01">
        <w:rPr>
          <w:rFonts w:ascii="Times New Roman" w:hAnsi="Times New Roman" w:cs="Times New Roman"/>
          <w:sz w:val="24"/>
          <w:szCs w:val="24"/>
        </w:rPr>
        <w:t xml:space="preserve">19 sa očakáva na úrovni  </w:t>
      </w:r>
      <w:r w:rsidR="005C4C01">
        <w:rPr>
          <w:rFonts w:ascii="Times New Roman" w:hAnsi="Times New Roman" w:cs="Times New Roman"/>
          <w:sz w:val="24"/>
          <w:szCs w:val="24"/>
        </w:rPr>
        <w:br/>
        <w:t>-1,99 % HDP</w:t>
      </w:r>
      <w:r>
        <w:rPr>
          <w:rFonts w:ascii="Times New Roman" w:hAnsi="Times New Roman" w:cs="Times New Roman"/>
          <w:sz w:val="24"/>
          <w:szCs w:val="24"/>
        </w:rPr>
        <w:t>, z toho</w:t>
      </w:r>
      <w:r w:rsidR="00D25E8C">
        <w:rPr>
          <w:rFonts w:ascii="Times New Roman" w:hAnsi="Times New Roman" w:cs="Times New Roman"/>
          <w:sz w:val="24"/>
          <w:szCs w:val="24"/>
        </w:rPr>
        <w:t xml:space="preserve"> predpokladané čerpanie COVID-</w:t>
      </w:r>
      <w:r>
        <w:rPr>
          <w:rFonts w:ascii="Times New Roman" w:hAnsi="Times New Roman" w:cs="Times New Roman"/>
          <w:sz w:val="24"/>
          <w:szCs w:val="24"/>
        </w:rPr>
        <w:t xml:space="preserve">19 výdavkov novely štátneho rozpočtu predstavuje </w:t>
      </w:r>
      <w:r w:rsidR="005C4C01">
        <w:rPr>
          <w:rFonts w:ascii="Times New Roman" w:hAnsi="Times New Roman" w:cs="Times New Roman"/>
          <w:sz w:val="24"/>
          <w:szCs w:val="24"/>
        </w:rPr>
        <w:t>-1,68 % HDP</w:t>
      </w:r>
      <w:r>
        <w:rPr>
          <w:rFonts w:ascii="Times New Roman" w:hAnsi="Times New Roman" w:cs="Times New Roman"/>
          <w:sz w:val="24"/>
          <w:szCs w:val="24"/>
        </w:rPr>
        <w:t xml:space="preserve"> a zvýšené výdavky poistenia Sociálnej poisťovne na pandem</w:t>
      </w:r>
      <w:r w:rsidR="005C4C01">
        <w:rPr>
          <w:rFonts w:ascii="Times New Roman" w:hAnsi="Times New Roman" w:cs="Times New Roman"/>
          <w:sz w:val="24"/>
          <w:szCs w:val="24"/>
        </w:rPr>
        <w:t>ické dávky sa očakávajú na úrovni</w:t>
      </w:r>
      <w:r>
        <w:rPr>
          <w:rFonts w:ascii="Times New Roman" w:hAnsi="Times New Roman" w:cs="Times New Roman"/>
          <w:sz w:val="24"/>
          <w:szCs w:val="24"/>
        </w:rPr>
        <w:t xml:space="preserve"> </w:t>
      </w:r>
      <w:r w:rsidR="005C4C01">
        <w:rPr>
          <w:rFonts w:ascii="Times New Roman" w:hAnsi="Times New Roman" w:cs="Times New Roman"/>
          <w:sz w:val="24"/>
          <w:szCs w:val="24"/>
        </w:rPr>
        <w:t>-0,31 % HDP</w:t>
      </w:r>
      <w:r>
        <w:rPr>
          <w:rFonts w:ascii="Times New Roman" w:hAnsi="Times New Roman" w:cs="Times New Roman"/>
          <w:sz w:val="24"/>
          <w:szCs w:val="24"/>
        </w:rPr>
        <w:t>.</w:t>
      </w:r>
    </w:p>
    <w:p w:rsidR="00176825" w:rsidRDefault="00176825" w:rsidP="00176825">
      <w:pPr>
        <w:spacing w:after="0" w:line="240" w:lineRule="auto"/>
        <w:contextualSpacing/>
        <w:jc w:val="both"/>
        <w:rPr>
          <w:rFonts w:ascii="Times New Roman" w:hAnsi="Times New Roman" w:cs="Times New Roman"/>
          <w:sz w:val="24"/>
          <w:szCs w:val="24"/>
        </w:rPr>
      </w:pPr>
    </w:p>
    <w:p w:rsidR="00E32A3D" w:rsidRPr="00E32A3D" w:rsidRDefault="00176825" w:rsidP="00E32A3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Predpokladá sa</w:t>
      </w:r>
      <w:r w:rsidR="00D25E8C">
        <w:rPr>
          <w:rFonts w:ascii="Times New Roman" w:hAnsi="Times New Roman" w:cs="Times New Roman"/>
          <w:sz w:val="24"/>
          <w:szCs w:val="24"/>
        </w:rPr>
        <w:t>, že na boj s pandémiou COVID-</w:t>
      </w:r>
      <w:r>
        <w:rPr>
          <w:rFonts w:ascii="Times New Roman" w:hAnsi="Times New Roman" w:cs="Times New Roman"/>
          <w:sz w:val="24"/>
          <w:szCs w:val="24"/>
        </w:rPr>
        <w:t xml:space="preserve">19 budú použité celkové výdavky rozpočtu verejnej </w:t>
      </w:r>
      <w:r w:rsidR="0024278B">
        <w:rPr>
          <w:rFonts w:ascii="Times New Roman" w:hAnsi="Times New Roman" w:cs="Times New Roman"/>
          <w:sz w:val="24"/>
          <w:szCs w:val="24"/>
        </w:rPr>
        <w:t>správy v roku 2021 vo výške 3,04</w:t>
      </w:r>
      <w:r>
        <w:rPr>
          <w:rFonts w:ascii="Times New Roman" w:hAnsi="Times New Roman" w:cs="Times New Roman"/>
          <w:sz w:val="24"/>
          <w:szCs w:val="24"/>
        </w:rPr>
        <w:t xml:space="preserve"> mld. eur. Z týchto výdavkov nie všetky majú dodatočný negatívny vplyv na schodok oproti schválenému rozpočtu verejnej správy, nakoľko pôvodne schválený rozpočet na rok 2021 už obsahoval </w:t>
      </w:r>
      <w:r w:rsidRPr="00AF266A">
        <w:rPr>
          <w:rFonts w:ascii="Times New Roman" w:hAnsi="Times New Roman" w:cs="Times New Roman"/>
          <w:i/>
          <w:sz w:val="24"/>
          <w:szCs w:val="24"/>
        </w:rPr>
        <w:t>„Rezervu na negatívne vp</w:t>
      </w:r>
      <w:r w:rsidR="00D25E8C">
        <w:rPr>
          <w:rFonts w:ascii="Times New Roman" w:hAnsi="Times New Roman" w:cs="Times New Roman"/>
          <w:i/>
          <w:sz w:val="24"/>
          <w:szCs w:val="24"/>
        </w:rPr>
        <w:t>lyvy pandémie ochorenia COVID-</w:t>
      </w:r>
      <w:r w:rsidRPr="00AF266A">
        <w:rPr>
          <w:rFonts w:ascii="Times New Roman" w:hAnsi="Times New Roman" w:cs="Times New Roman"/>
          <w:i/>
          <w:sz w:val="24"/>
          <w:szCs w:val="24"/>
        </w:rPr>
        <w:t>19“</w:t>
      </w:r>
      <w:r>
        <w:rPr>
          <w:rFonts w:ascii="Times New Roman" w:hAnsi="Times New Roman" w:cs="Times New Roman"/>
          <w:sz w:val="24"/>
          <w:szCs w:val="24"/>
        </w:rPr>
        <w:t xml:space="preserve"> vo výške 1,</w:t>
      </w:r>
      <w:r w:rsidRPr="00AF266A">
        <w:rPr>
          <w:rFonts w:ascii="Times New Roman" w:hAnsi="Times New Roman" w:cs="Times New Roman"/>
          <w:sz w:val="24"/>
          <w:szCs w:val="24"/>
        </w:rPr>
        <w:t>04 ml</w:t>
      </w:r>
      <w:r>
        <w:rPr>
          <w:rFonts w:ascii="Times New Roman" w:hAnsi="Times New Roman" w:cs="Times New Roman"/>
          <w:sz w:val="24"/>
          <w:szCs w:val="24"/>
        </w:rPr>
        <w:t>d</w:t>
      </w:r>
      <w:r w:rsidRPr="00AF266A">
        <w:rPr>
          <w:rFonts w:ascii="Times New Roman" w:hAnsi="Times New Roman" w:cs="Times New Roman"/>
          <w:sz w:val="24"/>
          <w:szCs w:val="24"/>
        </w:rPr>
        <w:t>. eur</w:t>
      </w:r>
      <w:r>
        <w:rPr>
          <w:rFonts w:ascii="Times New Roman" w:hAnsi="Times New Roman" w:cs="Times New Roman"/>
          <w:sz w:val="24"/>
          <w:szCs w:val="24"/>
        </w:rPr>
        <w:t>. Z tejto rezervy ministerstvo financií začiatkom roka 2021 zabezpečovalo plynulé financovanie opatrení proti pandémii COVI</w:t>
      </w:r>
      <w:r w:rsidR="00D25E8C">
        <w:rPr>
          <w:rFonts w:ascii="Times New Roman" w:hAnsi="Times New Roman" w:cs="Times New Roman"/>
          <w:sz w:val="24"/>
          <w:szCs w:val="24"/>
        </w:rPr>
        <w:t>D-</w:t>
      </w:r>
      <w:r>
        <w:rPr>
          <w:rFonts w:ascii="Times New Roman" w:hAnsi="Times New Roman" w:cs="Times New Roman"/>
          <w:sz w:val="24"/>
          <w:szCs w:val="24"/>
        </w:rPr>
        <w:t>19 a nad jej rámec realokovalo ďalšie</w:t>
      </w:r>
      <w:r w:rsidR="00E32A3D">
        <w:rPr>
          <w:rFonts w:ascii="Times New Roman" w:hAnsi="Times New Roman" w:cs="Times New Roman"/>
          <w:sz w:val="24"/>
          <w:szCs w:val="24"/>
        </w:rPr>
        <w:t xml:space="preserve"> zdroje na úrovni 46,0 mil. eur. </w:t>
      </w:r>
      <w:r w:rsidR="00E32A3D" w:rsidRPr="00E32A3D">
        <w:rPr>
          <w:rFonts w:ascii="Times New Roman" w:hAnsi="Times New Roman" w:cs="Times New Roman"/>
          <w:sz w:val="24"/>
          <w:szCs w:val="24"/>
        </w:rPr>
        <w:t>Išlo o financovanie nasledovných opatrení:</w:t>
      </w:r>
    </w:p>
    <w:p w:rsidR="00E32A3D" w:rsidRPr="00E32A3D" w:rsidRDefault="00E32A3D" w:rsidP="00E32A3D">
      <w:pPr>
        <w:spacing w:after="0" w:line="240" w:lineRule="auto"/>
        <w:contextualSpacing/>
        <w:jc w:val="both"/>
        <w:rPr>
          <w:rFonts w:ascii="Times New Roman" w:hAnsi="Times New Roman" w:cs="Times New Roman"/>
          <w:sz w:val="24"/>
          <w:szCs w:val="24"/>
        </w:rPr>
      </w:pPr>
    </w:p>
    <w:p w:rsidR="00E32A3D" w:rsidRPr="00E32A3D" w:rsidRDefault="00E32A3D" w:rsidP="00E32A3D">
      <w:pPr>
        <w:pStyle w:val="Popis"/>
        <w:keepNext/>
        <w:spacing w:after="0"/>
        <w:rPr>
          <w:rFonts w:ascii="Times New Roman" w:hAnsi="Times New Roman" w:cs="Times New Roman"/>
          <w:b/>
          <w:i w:val="0"/>
          <w:color w:val="5B9BD5" w:themeColor="accent1"/>
          <w:sz w:val="20"/>
          <w:szCs w:val="20"/>
        </w:rPr>
      </w:pPr>
      <w:bookmarkStart w:id="13" w:name="_Toc84845227"/>
      <w:r w:rsidRPr="00E32A3D">
        <w:rPr>
          <w:rFonts w:ascii="Times New Roman" w:hAnsi="Times New Roman" w:cs="Times New Roman"/>
          <w:b/>
          <w:i w:val="0"/>
          <w:color w:val="5B9BD5" w:themeColor="accent1"/>
          <w:sz w:val="20"/>
          <w:szCs w:val="20"/>
        </w:rPr>
        <w:t xml:space="preserve">Tabuľka </w:t>
      </w:r>
      <w:r w:rsidRPr="00E32A3D">
        <w:rPr>
          <w:rFonts w:ascii="Times New Roman" w:hAnsi="Times New Roman" w:cs="Times New Roman"/>
          <w:b/>
          <w:i w:val="0"/>
          <w:color w:val="5B9BD5" w:themeColor="accent1"/>
          <w:sz w:val="20"/>
          <w:szCs w:val="20"/>
        </w:rPr>
        <w:fldChar w:fldCharType="begin"/>
      </w:r>
      <w:r w:rsidRPr="00E32A3D">
        <w:rPr>
          <w:rFonts w:ascii="Times New Roman" w:hAnsi="Times New Roman" w:cs="Times New Roman"/>
          <w:b/>
          <w:i w:val="0"/>
          <w:color w:val="5B9BD5" w:themeColor="accent1"/>
          <w:sz w:val="20"/>
          <w:szCs w:val="20"/>
        </w:rPr>
        <w:instrText xml:space="preserve"> SEQ Tabuľka \* ARABIC </w:instrText>
      </w:r>
      <w:r w:rsidRPr="00E32A3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w:t>
      </w:r>
      <w:r w:rsidRPr="00E32A3D">
        <w:rPr>
          <w:rFonts w:ascii="Times New Roman" w:hAnsi="Times New Roman" w:cs="Times New Roman"/>
          <w:b/>
          <w:i w:val="0"/>
          <w:color w:val="5B9BD5" w:themeColor="accent1"/>
          <w:sz w:val="20"/>
          <w:szCs w:val="20"/>
        </w:rPr>
        <w:fldChar w:fldCharType="end"/>
      </w:r>
      <w:r w:rsidRPr="00E32A3D">
        <w:rPr>
          <w:rFonts w:ascii="Times New Roman" w:hAnsi="Times New Roman" w:cs="Times New Roman"/>
          <w:b/>
          <w:i w:val="0"/>
          <w:color w:val="5B9BD5" w:themeColor="accent1"/>
          <w:sz w:val="20"/>
          <w:szCs w:val="20"/>
        </w:rPr>
        <w:t xml:space="preserve"> -</w:t>
      </w:r>
      <w:r w:rsidR="00432887">
        <w:rPr>
          <w:rFonts w:ascii="Times New Roman" w:hAnsi="Times New Roman" w:cs="Times New Roman"/>
          <w:b/>
          <w:i w:val="0"/>
          <w:color w:val="5B9BD5" w:themeColor="accent1"/>
          <w:sz w:val="20"/>
          <w:szCs w:val="20"/>
        </w:rPr>
        <w:t xml:space="preserve"> </w:t>
      </w:r>
      <w:r w:rsidRPr="00E32A3D">
        <w:rPr>
          <w:rFonts w:ascii="Times New Roman" w:hAnsi="Times New Roman" w:cs="Times New Roman"/>
          <w:b/>
          <w:i w:val="0"/>
          <w:color w:val="5B9BD5" w:themeColor="accent1"/>
          <w:sz w:val="20"/>
          <w:szCs w:val="20"/>
        </w:rPr>
        <w:t>Použitie Rezervy na negatívne vplyvy pandémie ochorenia COVID-19</w:t>
      </w:r>
      <w:bookmarkEnd w:id="13"/>
    </w:p>
    <w:tbl>
      <w:tblPr>
        <w:tblW w:w="5000" w:type="pct"/>
        <w:jc w:val="center"/>
        <w:tblCellMar>
          <w:left w:w="70" w:type="dxa"/>
          <w:right w:w="70" w:type="dxa"/>
        </w:tblCellMar>
        <w:tblLook w:val="04A0" w:firstRow="1" w:lastRow="0" w:firstColumn="1" w:lastColumn="0" w:noHBand="0" w:noVBand="1"/>
      </w:tblPr>
      <w:tblGrid>
        <w:gridCol w:w="7472"/>
        <w:gridCol w:w="800"/>
        <w:gridCol w:w="800"/>
      </w:tblGrid>
      <w:tr w:rsidR="00E32A3D" w:rsidRPr="00E32A3D" w:rsidTr="00E32A3D">
        <w:trPr>
          <w:trHeight w:val="255"/>
          <w:jc w:val="center"/>
        </w:trPr>
        <w:tc>
          <w:tcPr>
            <w:tcW w:w="4118" w:type="pct"/>
            <w:tcBorders>
              <w:top w:val="single" w:sz="4" w:space="0" w:color="auto"/>
              <w:left w:val="nil"/>
              <w:bottom w:val="single" w:sz="4" w:space="0" w:color="auto"/>
              <w:right w:val="nil"/>
            </w:tcBorders>
            <w:shd w:val="clear" w:color="auto" w:fill="auto"/>
            <w:vAlign w:val="center"/>
            <w:hideMark/>
          </w:tcPr>
          <w:p w:rsidR="00E32A3D" w:rsidRPr="00E32A3D" w:rsidRDefault="00E32A3D" w:rsidP="00E32A3D">
            <w:pPr>
              <w:spacing w:after="0" w:line="240" w:lineRule="auto"/>
              <w:rPr>
                <w:rFonts w:ascii="Times New Roman" w:eastAsia="Times New Roman" w:hAnsi="Times New Roman" w:cs="Times New Roman"/>
                <w:b/>
                <w:bCs/>
                <w:sz w:val="18"/>
                <w:szCs w:val="18"/>
                <w:lang w:eastAsia="sk-SK"/>
              </w:rPr>
            </w:pPr>
            <w:r w:rsidRPr="00E32A3D">
              <w:rPr>
                <w:rFonts w:ascii="Times New Roman" w:eastAsia="Times New Roman" w:hAnsi="Times New Roman" w:cs="Times New Roman"/>
                <w:i/>
                <w:iCs/>
                <w:sz w:val="18"/>
                <w:szCs w:val="18"/>
                <w:lang w:eastAsia="sk-SK"/>
              </w:rPr>
              <w:t>(v mil. eur; na nekonsolidovanej báze)</w:t>
            </w:r>
          </w:p>
        </w:tc>
        <w:tc>
          <w:tcPr>
            <w:tcW w:w="441" w:type="pct"/>
            <w:tcBorders>
              <w:top w:val="single" w:sz="4" w:space="0" w:color="auto"/>
              <w:left w:val="nil"/>
              <w:bottom w:val="single" w:sz="4" w:space="0" w:color="auto"/>
              <w:right w:val="nil"/>
            </w:tcBorders>
            <w:shd w:val="clear" w:color="auto" w:fill="auto"/>
            <w:noWrap/>
            <w:vAlign w:val="center"/>
            <w:hideMark/>
          </w:tcPr>
          <w:p w:rsidR="00E32A3D" w:rsidRPr="00E32A3D" w:rsidRDefault="00E32A3D" w:rsidP="00E32A3D">
            <w:pPr>
              <w:spacing w:after="0" w:line="240" w:lineRule="auto"/>
              <w:jc w:val="center"/>
              <w:rPr>
                <w:rFonts w:ascii="Times New Roman" w:eastAsia="Times New Roman" w:hAnsi="Times New Roman" w:cs="Times New Roman"/>
                <w:b/>
                <w:bCs/>
                <w:sz w:val="18"/>
                <w:szCs w:val="18"/>
                <w:lang w:eastAsia="sk-SK"/>
              </w:rPr>
            </w:pPr>
            <w:r w:rsidRPr="00E32A3D">
              <w:rPr>
                <w:rFonts w:ascii="Times New Roman" w:eastAsia="Times New Roman" w:hAnsi="Times New Roman" w:cs="Times New Roman"/>
                <w:b/>
                <w:bCs/>
                <w:sz w:val="18"/>
                <w:szCs w:val="18"/>
                <w:lang w:eastAsia="sk-SK"/>
              </w:rPr>
              <w:t> </w:t>
            </w:r>
          </w:p>
        </w:tc>
        <w:tc>
          <w:tcPr>
            <w:tcW w:w="441" w:type="pct"/>
            <w:tcBorders>
              <w:top w:val="single" w:sz="4" w:space="0" w:color="auto"/>
              <w:left w:val="nil"/>
              <w:bottom w:val="single" w:sz="4" w:space="0" w:color="auto"/>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b/>
                <w:bCs/>
                <w:sz w:val="18"/>
                <w:szCs w:val="18"/>
                <w:lang w:eastAsia="sk-SK"/>
              </w:rPr>
            </w:pPr>
            <w:r w:rsidRPr="00E32A3D">
              <w:rPr>
                <w:rFonts w:ascii="Times New Roman" w:eastAsia="Times New Roman" w:hAnsi="Times New Roman" w:cs="Times New Roman"/>
                <w:b/>
                <w:bCs/>
                <w:sz w:val="18"/>
                <w:szCs w:val="18"/>
                <w:lang w:eastAsia="sk-SK"/>
              </w:rPr>
              <w:t>1 087,0</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Schémy pomoci na zmiernenie negatívneho vplyvu COVID-19, z toho:</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710,2</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Financovanie programu "Prvá pomoc ++"</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500,0</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Podpora cestovného ruchu v súvislosti s COVID-19</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70,0</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Podpora pre podnikateľov - dotácia na nájomné</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50,0</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Poskytovanie SOS dotácií v roku 2021 a dotácií na predchádzanie šírenia COVID-19</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400" w:firstLine="640"/>
              <w:rPr>
                <w:rFonts w:ascii="Times New Roman" w:eastAsia="Times New Roman" w:hAnsi="Times New Roman" w:cs="Times New Roman"/>
                <w:i/>
                <w:iCs/>
                <w:sz w:val="16"/>
                <w:szCs w:val="16"/>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i/>
                <w:iCs/>
                <w:sz w:val="16"/>
                <w:szCs w:val="16"/>
                <w:lang w:eastAsia="sk-SK"/>
              </w:rPr>
            </w:pPr>
            <w:r w:rsidRPr="00E32A3D">
              <w:rPr>
                <w:rFonts w:ascii="Times New Roman" w:eastAsia="Times New Roman" w:hAnsi="Times New Roman" w:cs="Times New Roman"/>
                <w:i/>
                <w:iCs/>
                <w:sz w:val="16"/>
                <w:szCs w:val="16"/>
                <w:lang w:eastAsia="sk-SK"/>
              </w:rPr>
              <w:t>48,0</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Testovanie</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292,7</w:t>
            </w:r>
          </w:p>
        </w:tc>
      </w:tr>
      <w:tr w:rsidR="00E32A3D" w:rsidRPr="00E32A3D" w:rsidTr="00E32A3D">
        <w:trPr>
          <w:trHeight w:val="255"/>
          <w:jc w:val="center"/>
        </w:trPr>
        <w:tc>
          <w:tcPr>
            <w:tcW w:w="4118"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Očkovanie</w:t>
            </w: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p>
        </w:tc>
        <w:tc>
          <w:tcPr>
            <w:tcW w:w="441" w:type="pct"/>
            <w:tcBorders>
              <w:top w:val="nil"/>
              <w:left w:val="nil"/>
              <w:bottom w:val="nil"/>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53,4</w:t>
            </w:r>
          </w:p>
        </w:tc>
      </w:tr>
      <w:tr w:rsidR="00E32A3D" w:rsidRPr="00E32A3D" w:rsidTr="00E32A3D">
        <w:trPr>
          <w:trHeight w:val="255"/>
          <w:jc w:val="center"/>
        </w:trPr>
        <w:tc>
          <w:tcPr>
            <w:tcW w:w="4118" w:type="pct"/>
            <w:tcBorders>
              <w:top w:val="nil"/>
              <w:left w:val="nil"/>
              <w:bottom w:val="single" w:sz="4" w:space="0" w:color="auto"/>
              <w:right w:val="nil"/>
            </w:tcBorders>
            <w:shd w:val="clear" w:color="auto" w:fill="auto"/>
            <w:noWrap/>
            <w:vAlign w:val="center"/>
            <w:hideMark/>
          </w:tcPr>
          <w:p w:rsidR="00E32A3D" w:rsidRPr="00E32A3D" w:rsidRDefault="00E32A3D" w:rsidP="00E32A3D">
            <w:pPr>
              <w:spacing w:after="0" w:line="240" w:lineRule="auto"/>
              <w:ind w:firstLineChars="100" w:firstLine="180"/>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Mimoriadny príplatok pre COVID oddelenia, hospodárska mobilizácia, liek Veklury</w:t>
            </w:r>
          </w:p>
        </w:tc>
        <w:tc>
          <w:tcPr>
            <w:tcW w:w="441" w:type="pct"/>
            <w:tcBorders>
              <w:top w:val="nil"/>
              <w:left w:val="nil"/>
              <w:bottom w:val="single" w:sz="4" w:space="0" w:color="auto"/>
              <w:right w:val="nil"/>
            </w:tcBorders>
            <w:shd w:val="clear" w:color="auto" w:fill="auto"/>
            <w:noWrap/>
            <w:vAlign w:val="center"/>
            <w:hideMark/>
          </w:tcPr>
          <w:p w:rsidR="00E32A3D" w:rsidRPr="00E32A3D" w:rsidRDefault="00E32A3D" w:rsidP="00E32A3D">
            <w:pPr>
              <w:spacing w:after="0" w:line="240" w:lineRule="auto"/>
              <w:jc w:val="center"/>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 </w:t>
            </w:r>
          </w:p>
        </w:tc>
        <w:tc>
          <w:tcPr>
            <w:tcW w:w="441" w:type="pct"/>
            <w:tcBorders>
              <w:top w:val="nil"/>
              <w:left w:val="nil"/>
              <w:bottom w:val="single" w:sz="4" w:space="0" w:color="auto"/>
              <w:right w:val="nil"/>
            </w:tcBorders>
            <w:shd w:val="clear" w:color="auto" w:fill="auto"/>
            <w:noWrap/>
            <w:vAlign w:val="center"/>
            <w:hideMark/>
          </w:tcPr>
          <w:p w:rsidR="00E32A3D" w:rsidRPr="00E32A3D" w:rsidRDefault="00E32A3D" w:rsidP="00E32A3D">
            <w:pPr>
              <w:spacing w:after="0" w:line="240" w:lineRule="auto"/>
              <w:jc w:val="right"/>
              <w:rPr>
                <w:rFonts w:ascii="Times New Roman" w:eastAsia="Times New Roman" w:hAnsi="Times New Roman" w:cs="Times New Roman"/>
                <w:sz w:val="18"/>
                <w:szCs w:val="18"/>
                <w:lang w:eastAsia="sk-SK"/>
              </w:rPr>
            </w:pPr>
            <w:r w:rsidRPr="00E32A3D">
              <w:rPr>
                <w:rFonts w:ascii="Times New Roman" w:eastAsia="Times New Roman" w:hAnsi="Times New Roman" w:cs="Times New Roman"/>
                <w:sz w:val="18"/>
                <w:szCs w:val="18"/>
                <w:lang w:eastAsia="sk-SK"/>
              </w:rPr>
              <w:t>30,7</w:t>
            </w:r>
          </w:p>
        </w:tc>
      </w:tr>
    </w:tbl>
    <w:p w:rsidR="00176825" w:rsidRDefault="00176825" w:rsidP="00176825">
      <w:pPr>
        <w:spacing w:after="0" w:line="240" w:lineRule="auto"/>
        <w:contextualSpacing/>
        <w:jc w:val="both"/>
        <w:rPr>
          <w:rFonts w:ascii="Times New Roman" w:hAnsi="Times New Roman" w:cs="Times New Roman"/>
          <w:sz w:val="24"/>
          <w:szCs w:val="24"/>
        </w:rPr>
      </w:pPr>
    </w:p>
    <w:p w:rsidR="00176825" w:rsidRDefault="00176825" w:rsidP="0017682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Vývoj rozpočtu verejnej správy v roku 2021 ovplyvnila najmä potreba financovať vyššie      proti – pandemické výdavky. Negatívny vplyv vyšších výdavkov z titulu pandémie bol sčasti kom</w:t>
      </w:r>
      <w:r w:rsidR="00D25E8C">
        <w:rPr>
          <w:rFonts w:ascii="Times New Roman" w:hAnsi="Times New Roman" w:cs="Times New Roman"/>
          <w:sz w:val="24"/>
          <w:szCs w:val="24"/>
        </w:rPr>
        <w:t>penzovaný lepším vývojom daňovo-</w:t>
      </w:r>
      <w:r>
        <w:rPr>
          <w:rFonts w:ascii="Times New Roman" w:hAnsi="Times New Roman" w:cs="Times New Roman"/>
          <w:sz w:val="24"/>
          <w:szCs w:val="24"/>
        </w:rPr>
        <w:t>odvodových príjmov.</w:t>
      </w:r>
    </w:p>
    <w:p w:rsidR="00176825" w:rsidRDefault="00176825" w:rsidP="00176825">
      <w:pPr>
        <w:spacing w:after="0" w:line="240" w:lineRule="auto"/>
        <w:jc w:val="both"/>
        <w:rPr>
          <w:rFonts w:ascii="Times New Roman" w:hAnsi="Times New Roman" w:cs="Times New Roman"/>
          <w:sz w:val="24"/>
          <w:szCs w:val="24"/>
        </w:rPr>
      </w:pPr>
    </w:p>
    <w:p w:rsidR="00E32A3D" w:rsidRDefault="00E32A3D" w:rsidP="00176825">
      <w:pPr>
        <w:spacing w:after="0" w:line="240" w:lineRule="auto"/>
        <w:jc w:val="both"/>
        <w:rPr>
          <w:rFonts w:ascii="Times New Roman" w:hAnsi="Times New Roman" w:cs="Times New Roman"/>
          <w:sz w:val="24"/>
          <w:szCs w:val="24"/>
        </w:rPr>
      </w:pPr>
    </w:p>
    <w:p w:rsidR="00E32A3D" w:rsidRDefault="00E32A3D" w:rsidP="00176825">
      <w:pPr>
        <w:spacing w:after="0" w:line="240" w:lineRule="auto"/>
        <w:jc w:val="both"/>
        <w:rPr>
          <w:rFonts w:ascii="Times New Roman" w:hAnsi="Times New Roman" w:cs="Times New Roman"/>
          <w:sz w:val="24"/>
          <w:szCs w:val="24"/>
        </w:rPr>
      </w:pPr>
    </w:p>
    <w:p w:rsidR="00BB5E23" w:rsidRDefault="00BB5E23" w:rsidP="00176825">
      <w:pPr>
        <w:spacing w:after="0" w:line="240" w:lineRule="auto"/>
        <w:jc w:val="both"/>
        <w:rPr>
          <w:rFonts w:ascii="Times New Roman" w:hAnsi="Times New Roman" w:cs="Times New Roman"/>
          <w:sz w:val="24"/>
          <w:szCs w:val="24"/>
        </w:rPr>
      </w:pPr>
    </w:p>
    <w:p w:rsidR="00E32A3D" w:rsidRDefault="00E32A3D" w:rsidP="00176825">
      <w:pPr>
        <w:spacing w:after="0" w:line="240" w:lineRule="auto"/>
        <w:jc w:val="both"/>
        <w:rPr>
          <w:rFonts w:ascii="Times New Roman" w:hAnsi="Times New Roman" w:cs="Times New Roman"/>
          <w:sz w:val="24"/>
          <w:szCs w:val="24"/>
        </w:rPr>
      </w:pPr>
    </w:p>
    <w:p w:rsidR="00176825" w:rsidRPr="00CA7CA2" w:rsidRDefault="00176825" w:rsidP="00176825">
      <w:pPr>
        <w:spacing w:after="0" w:line="240" w:lineRule="auto"/>
        <w:rPr>
          <w:rFonts w:ascii="Times New Roman" w:hAnsi="Times New Roman" w:cs="Times New Roman"/>
          <w:b/>
          <w:color w:val="5B9BD5" w:themeColor="accent1"/>
          <w:sz w:val="20"/>
          <w:szCs w:val="20"/>
        </w:rPr>
      </w:pPr>
      <w:bookmarkStart w:id="14" w:name="_Toc84847992"/>
      <w:r w:rsidRPr="00BA211E">
        <w:rPr>
          <w:rFonts w:ascii="Times New Roman" w:eastAsia="Calibri" w:hAnsi="Times New Roman"/>
          <w:b/>
          <w:iCs/>
          <w:color w:val="5B9BD5"/>
          <w:sz w:val="20"/>
          <w:szCs w:val="18"/>
        </w:rPr>
        <w:t xml:space="preserve">Graf </w:t>
      </w:r>
      <w:r w:rsidRPr="00BA211E">
        <w:rPr>
          <w:rFonts w:ascii="Times New Roman" w:eastAsia="Calibri" w:hAnsi="Times New Roman"/>
          <w:b/>
          <w:iCs/>
          <w:color w:val="5B9BD5"/>
          <w:sz w:val="20"/>
          <w:szCs w:val="18"/>
        </w:rPr>
        <w:fldChar w:fldCharType="begin"/>
      </w:r>
      <w:r w:rsidRPr="00BA211E">
        <w:rPr>
          <w:rFonts w:ascii="Times New Roman" w:eastAsia="Calibri" w:hAnsi="Times New Roman"/>
          <w:b/>
          <w:iCs/>
          <w:color w:val="5B9BD5"/>
          <w:sz w:val="20"/>
          <w:szCs w:val="18"/>
        </w:rPr>
        <w:instrText xml:space="preserve"> SEQ Obrázok \* ARABIC </w:instrText>
      </w:r>
      <w:r w:rsidRPr="00BA211E">
        <w:rPr>
          <w:rFonts w:ascii="Times New Roman" w:eastAsia="Calibri" w:hAnsi="Times New Roman"/>
          <w:b/>
          <w:iCs/>
          <w:color w:val="5B9BD5"/>
          <w:sz w:val="20"/>
          <w:szCs w:val="18"/>
        </w:rPr>
        <w:fldChar w:fldCharType="separate"/>
      </w:r>
      <w:r w:rsidR="006E67C6">
        <w:rPr>
          <w:rFonts w:ascii="Times New Roman" w:eastAsia="Calibri" w:hAnsi="Times New Roman"/>
          <w:b/>
          <w:iCs/>
          <w:noProof/>
          <w:color w:val="5B9BD5"/>
          <w:sz w:val="20"/>
          <w:szCs w:val="18"/>
        </w:rPr>
        <w:t>1</w:t>
      </w:r>
      <w:r w:rsidRPr="00BA211E">
        <w:rPr>
          <w:rFonts w:ascii="Times New Roman" w:eastAsia="Calibri" w:hAnsi="Times New Roman"/>
          <w:b/>
          <w:iCs/>
          <w:color w:val="5B9BD5"/>
          <w:sz w:val="20"/>
          <w:szCs w:val="18"/>
        </w:rPr>
        <w:fldChar w:fldCharType="end"/>
      </w:r>
      <w:r>
        <w:rPr>
          <w:rFonts w:ascii="Times New Roman" w:eastAsia="Calibri" w:hAnsi="Times New Roman"/>
          <w:b/>
          <w:iCs/>
          <w:color w:val="5B9BD5"/>
          <w:sz w:val="20"/>
          <w:szCs w:val="18"/>
        </w:rPr>
        <w:t xml:space="preserve"> </w:t>
      </w:r>
      <w:r w:rsidRPr="00CA7CA2">
        <w:rPr>
          <w:rFonts w:ascii="Times New Roman" w:hAnsi="Times New Roman" w:cs="Times New Roman"/>
          <w:b/>
          <w:color w:val="5B9BD5" w:themeColor="accent1"/>
          <w:sz w:val="20"/>
          <w:szCs w:val="20"/>
        </w:rPr>
        <w:t>– Hlavné odchýlenia očakávanej skutočnosti oproti pôvodne schválenému rozpočtu (v % HDP)</w:t>
      </w:r>
      <w:bookmarkEnd w:id="14"/>
    </w:p>
    <w:p w:rsidR="00176825" w:rsidRDefault="00176825" w:rsidP="00176825">
      <w:pPr>
        <w:pStyle w:val="Odsekzoznamu"/>
        <w:ind w:left="0"/>
        <w:jc w:val="center"/>
        <w:rPr>
          <w:rFonts w:ascii="Times New Roman" w:hAnsi="Times New Roman" w:cs="Times New Roman"/>
          <w:b/>
          <w:bCs/>
          <w:color w:val="5B9BD5" w:themeColor="accent1"/>
        </w:rPr>
      </w:pPr>
      <w:r>
        <w:rPr>
          <w:noProof/>
          <w:lang w:eastAsia="sk-SK"/>
        </w:rPr>
        <w:drawing>
          <wp:inline distT="0" distB="0" distL="0" distR="0" wp14:anchorId="22E1DCE3" wp14:editId="4DE3C296">
            <wp:extent cx="5760720" cy="143301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Mriekatabuky"/>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693"/>
      </w:tblGrid>
      <w:tr w:rsidR="00176825" w:rsidRPr="008B149B" w:rsidTr="003B3897">
        <w:tc>
          <w:tcPr>
            <w:tcW w:w="6521" w:type="dxa"/>
          </w:tcPr>
          <w:p w:rsidR="00176825" w:rsidRPr="00BC4F8C" w:rsidRDefault="00176825" w:rsidP="003B3897">
            <w:pPr>
              <w:rPr>
                <w:rFonts w:ascii="Times New Roman" w:hAnsi="Times New Roman"/>
                <w:sz w:val="16"/>
                <w:szCs w:val="16"/>
              </w:rPr>
            </w:pPr>
            <w:r w:rsidRPr="00BC4F8C">
              <w:rPr>
                <w:rFonts w:ascii="Times New Roman" w:hAnsi="Times New Roman"/>
                <w:sz w:val="16"/>
                <w:szCs w:val="16"/>
              </w:rPr>
              <w:t>(+) znamienko predstavuje pozitívny vplyv na schodok rozpoč</w:t>
            </w:r>
            <w:r>
              <w:rPr>
                <w:rFonts w:ascii="Times New Roman" w:hAnsi="Times New Roman"/>
                <w:sz w:val="16"/>
                <w:szCs w:val="16"/>
              </w:rPr>
              <w:t>tu verejnej správy (znižuje ho)</w:t>
            </w:r>
          </w:p>
          <w:p w:rsidR="00176825" w:rsidRPr="008B149B" w:rsidRDefault="00176825" w:rsidP="003B3897">
            <w:pPr>
              <w:rPr>
                <w:rFonts w:ascii="Times New Roman" w:hAnsi="Times New Roman"/>
                <w:i/>
                <w:sz w:val="16"/>
                <w:szCs w:val="16"/>
              </w:rPr>
            </w:pPr>
            <w:r w:rsidRPr="00BC4F8C">
              <w:rPr>
                <w:rFonts w:ascii="Times New Roman" w:hAnsi="Times New Roman"/>
                <w:sz w:val="16"/>
                <w:szCs w:val="16"/>
              </w:rPr>
              <w:t>(-) znamienko predstavuje negatívny dopad na schodok rozpočtu verejnej správy (zvyšuje ho)</w:t>
            </w:r>
          </w:p>
        </w:tc>
        <w:tc>
          <w:tcPr>
            <w:tcW w:w="2693" w:type="dxa"/>
          </w:tcPr>
          <w:p w:rsidR="00176825" w:rsidRPr="008B149B" w:rsidRDefault="00176825" w:rsidP="003B3897">
            <w:pPr>
              <w:jc w:val="right"/>
              <w:rPr>
                <w:rFonts w:ascii="Times New Roman" w:hAnsi="Times New Roman"/>
                <w:i/>
                <w:sz w:val="16"/>
                <w:szCs w:val="16"/>
              </w:rPr>
            </w:pPr>
            <w:r w:rsidRPr="008B149B">
              <w:rPr>
                <w:rFonts w:ascii="Times New Roman" w:hAnsi="Times New Roman"/>
                <w:i/>
                <w:sz w:val="16"/>
                <w:szCs w:val="16"/>
              </w:rPr>
              <w:t xml:space="preserve">     Zdroj: MF SR</w:t>
            </w:r>
          </w:p>
        </w:tc>
      </w:tr>
    </w:tbl>
    <w:p w:rsidR="00176825" w:rsidRDefault="00176825" w:rsidP="00176825">
      <w:pPr>
        <w:spacing w:after="0" w:line="240" w:lineRule="auto"/>
        <w:jc w:val="both"/>
        <w:rPr>
          <w:rFonts w:ascii="Times New Roman" w:hAnsi="Times New Roman" w:cs="Times New Roman"/>
          <w:sz w:val="24"/>
          <w:szCs w:val="24"/>
        </w:rPr>
      </w:pPr>
    </w:p>
    <w:p w:rsidR="00176825" w:rsidRDefault="00176825" w:rsidP="001768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Detailnejší popis najvýznamnejších rozdielov oproti schválenému rozpočtu podľa vybraných príjmových a výdavkových položiek, resp. hospodárenia jednotlivých subjektov rozpočtu verejnej správy zobrazuje nasledovná tabuľka.</w:t>
      </w:r>
    </w:p>
    <w:p w:rsidR="00176825" w:rsidRDefault="00176825" w:rsidP="00176825">
      <w:pPr>
        <w:spacing w:after="0" w:line="240" w:lineRule="auto"/>
        <w:jc w:val="both"/>
        <w:rPr>
          <w:rFonts w:ascii="Times New Roman" w:hAnsi="Times New Roman" w:cs="Times New Roman"/>
          <w:sz w:val="24"/>
          <w:szCs w:val="24"/>
        </w:rPr>
      </w:pPr>
    </w:p>
    <w:p w:rsidR="00176825" w:rsidRPr="00B501E1" w:rsidRDefault="00176825" w:rsidP="00176825">
      <w:pPr>
        <w:spacing w:after="0" w:line="240" w:lineRule="auto"/>
        <w:rPr>
          <w:rFonts w:ascii="Times New Roman" w:hAnsi="Times New Roman" w:cs="Times New Roman"/>
          <w:b/>
          <w:color w:val="5B9BD5" w:themeColor="accent1"/>
          <w:sz w:val="20"/>
          <w:szCs w:val="20"/>
          <w:vertAlign w:val="superscript"/>
        </w:rPr>
      </w:pPr>
      <w:bookmarkStart w:id="15" w:name="_Toc53040817"/>
      <w:bookmarkStart w:id="16" w:name="_Toc53086340"/>
      <w:bookmarkStart w:id="17" w:name="_Toc84845228"/>
      <w:r w:rsidRPr="000C41B0">
        <w:rPr>
          <w:rFonts w:ascii="Times New Roman" w:hAnsi="Times New Roman" w:cs="Times New Roman"/>
          <w:b/>
          <w:color w:val="5B9BD5" w:themeColor="accent1"/>
          <w:sz w:val="20"/>
          <w:szCs w:val="20"/>
        </w:rPr>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4</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Rozdiely príjmových a výdavkových položiek oproti schválenému rozpočtu</w:t>
      </w:r>
      <w:bookmarkEnd w:id="15"/>
      <w:bookmarkEnd w:id="16"/>
      <w:r w:rsidR="00B501E1">
        <w:rPr>
          <w:rFonts w:ascii="Times New Roman" w:hAnsi="Times New Roman" w:cs="Times New Roman"/>
          <w:b/>
          <w:color w:val="5B9BD5" w:themeColor="accent1"/>
          <w:sz w:val="20"/>
          <w:szCs w:val="20"/>
          <w:vertAlign w:val="superscript"/>
        </w:rPr>
        <w:t>*</w:t>
      </w:r>
      <w:bookmarkEnd w:id="17"/>
    </w:p>
    <w:tbl>
      <w:tblPr>
        <w:tblW w:w="5000" w:type="pct"/>
        <w:jc w:val="center"/>
        <w:tblCellMar>
          <w:left w:w="70" w:type="dxa"/>
          <w:right w:w="70" w:type="dxa"/>
        </w:tblCellMar>
        <w:tblLook w:val="04A0" w:firstRow="1" w:lastRow="0" w:firstColumn="1" w:lastColumn="0" w:noHBand="0" w:noVBand="1"/>
      </w:tblPr>
      <w:tblGrid>
        <w:gridCol w:w="5491"/>
        <w:gridCol w:w="896"/>
        <w:gridCol w:w="896"/>
        <w:gridCol w:w="896"/>
        <w:gridCol w:w="893"/>
      </w:tblGrid>
      <w:tr w:rsidR="00176825" w:rsidRPr="005801F3" w:rsidTr="003B3897">
        <w:trPr>
          <w:trHeight w:val="255"/>
          <w:jc w:val="center"/>
        </w:trPr>
        <w:tc>
          <w:tcPr>
            <w:tcW w:w="3026" w:type="pct"/>
            <w:tcBorders>
              <w:top w:val="single" w:sz="4" w:space="0" w:color="auto"/>
              <w:left w:val="nil"/>
              <w:bottom w:val="nil"/>
              <w:right w:val="nil"/>
            </w:tcBorders>
            <w:shd w:val="clear" w:color="auto" w:fill="auto"/>
            <w:noWrap/>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(ESA 2010 na konsolidovanej báze)</w:t>
            </w:r>
          </w:p>
        </w:tc>
        <w:tc>
          <w:tcPr>
            <w:tcW w:w="494" w:type="pct"/>
            <w:tcBorders>
              <w:top w:val="single" w:sz="4" w:space="0" w:color="auto"/>
              <w:left w:val="nil"/>
              <w:bottom w:val="nil"/>
              <w:right w:val="nil"/>
            </w:tcBorders>
            <w:shd w:val="clear" w:color="auto" w:fill="auto"/>
            <w:noWrap/>
            <w:vAlign w:val="center"/>
            <w:hideMark/>
          </w:tcPr>
          <w:p w:rsidR="00176825" w:rsidRPr="005801F3" w:rsidRDefault="00176825" w:rsidP="003B3897">
            <w:pPr>
              <w:spacing w:after="0" w:line="240" w:lineRule="auto"/>
              <w:jc w:val="center"/>
              <w:rPr>
                <w:rFonts w:ascii="Times New Roman" w:eastAsia="Times New Roman" w:hAnsi="Times New Roman" w:cs="Times New Roman"/>
                <w:i/>
                <w:iCs/>
                <w:color w:val="000000"/>
                <w:sz w:val="18"/>
                <w:szCs w:val="18"/>
                <w:lang w:eastAsia="sk-SK"/>
              </w:rPr>
            </w:pPr>
            <w:r w:rsidRPr="005801F3">
              <w:rPr>
                <w:rFonts w:ascii="Times New Roman" w:eastAsia="Times New Roman" w:hAnsi="Times New Roman" w:cs="Times New Roman"/>
                <w:i/>
                <w:iCs/>
                <w:color w:val="000000"/>
                <w:sz w:val="18"/>
                <w:szCs w:val="18"/>
                <w:lang w:eastAsia="sk-SK"/>
              </w:rPr>
              <w:t> </w:t>
            </w:r>
          </w:p>
        </w:tc>
        <w:tc>
          <w:tcPr>
            <w:tcW w:w="494" w:type="pct"/>
            <w:tcBorders>
              <w:top w:val="single" w:sz="4" w:space="0" w:color="auto"/>
              <w:left w:val="nil"/>
              <w:bottom w:val="nil"/>
              <w:right w:val="nil"/>
            </w:tcBorders>
            <w:shd w:val="clear" w:color="auto" w:fill="auto"/>
            <w:vAlign w:val="center"/>
            <w:hideMark/>
          </w:tcPr>
          <w:p w:rsidR="00176825" w:rsidRPr="005801F3" w:rsidRDefault="00176825" w:rsidP="003B3897">
            <w:pPr>
              <w:spacing w:after="0" w:line="240" w:lineRule="auto"/>
              <w:jc w:val="center"/>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 </w:t>
            </w:r>
          </w:p>
        </w:tc>
        <w:tc>
          <w:tcPr>
            <w:tcW w:w="987" w:type="pct"/>
            <w:gridSpan w:val="2"/>
            <w:tcBorders>
              <w:top w:val="single" w:sz="4" w:space="0" w:color="auto"/>
              <w:left w:val="nil"/>
              <w:bottom w:val="nil"/>
              <w:right w:val="nil"/>
            </w:tcBorders>
            <w:shd w:val="clear" w:color="auto" w:fill="auto"/>
            <w:vAlign w:val="center"/>
            <w:hideMark/>
          </w:tcPr>
          <w:p w:rsidR="00176825" w:rsidRPr="005801F3" w:rsidRDefault="00176825" w:rsidP="003B3897">
            <w:pPr>
              <w:spacing w:after="0" w:line="240" w:lineRule="auto"/>
              <w:jc w:val="center"/>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z toho vplyv COVID</w:t>
            </w:r>
          </w:p>
        </w:tc>
      </w:tr>
      <w:tr w:rsidR="00176825" w:rsidRPr="005801F3" w:rsidTr="003B3897">
        <w:trPr>
          <w:trHeight w:val="255"/>
          <w:jc w:val="center"/>
        </w:trPr>
        <w:tc>
          <w:tcPr>
            <w:tcW w:w="3026" w:type="pct"/>
            <w:tcBorders>
              <w:top w:val="nil"/>
              <w:left w:val="nil"/>
              <w:bottom w:val="single" w:sz="4" w:space="0" w:color="auto"/>
              <w:right w:val="nil"/>
            </w:tcBorders>
            <w:shd w:val="clear" w:color="auto" w:fill="auto"/>
            <w:noWrap/>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 </w:t>
            </w:r>
          </w:p>
        </w:tc>
        <w:tc>
          <w:tcPr>
            <w:tcW w:w="494" w:type="pct"/>
            <w:tcBorders>
              <w:top w:val="nil"/>
              <w:left w:val="nil"/>
              <w:bottom w:val="single" w:sz="4" w:space="0" w:color="auto"/>
              <w:right w:val="nil"/>
            </w:tcBorders>
            <w:shd w:val="clear" w:color="auto" w:fill="auto"/>
            <w:vAlign w:val="center"/>
            <w:hideMark/>
          </w:tcPr>
          <w:p w:rsidR="00176825" w:rsidRPr="005801F3" w:rsidRDefault="00176825" w:rsidP="003B3897">
            <w:pPr>
              <w:spacing w:after="0" w:line="240" w:lineRule="auto"/>
              <w:jc w:val="center"/>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 mil. eur</w:t>
            </w:r>
          </w:p>
        </w:tc>
        <w:tc>
          <w:tcPr>
            <w:tcW w:w="494" w:type="pct"/>
            <w:tcBorders>
              <w:top w:val="nil"/>
              <w:left w:val="nil"/>
              <w:bottom w:val="single" w:sz="4" w:space="0" w:color="auto"/>
              <w:right w:val="nil"/>
            </w:tcBorders>
            <w:shd w:val="clear" w:color="auto" w:fill="auto"/>
            <w:vAlign w:val="center"/>
            <w:hideMark/>
          </w:tcPr>
          <w:p w:rsidR="00176825" w:rsidRPr="005801F3" w:rsidRDefault="00176825" w:rsidP="003B3897">
            <w:pPr>
              <w:spacing w:after="0" w:line="240" w:lineRule="auto"/>
              <w:jc w:val="center"/>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 HDP</w:t>
            </w:r>
          </w:p>
        </w:tc>
        <w:tc>
          <w:tcPr>
            <w:tcW w:w="494" w:type="pct"/>
            <w:tcBorders>
              <w:top w:val="nil"/>
              <w:left w:val="nil"/>
              <w:bottom w:val="single" w:sz="4" w:space="0" w:color="auto"/>
              <w:right w:val="nil"/>
            </w:tcBorders>
            <w:shd w:val="clear" w:color="auto" w:fill="auto"/>
            <w:vAlign w:val="center"/>
            <w:hideMark/>
          </w:tcPr>
          <w:p w:rsidR="00176825" w:rsidRPr="005801F3" w:rsidRDefault="00176825" w:rsidP="003B3897">
            <w:pPr>
              <w:spacing w:after="0" w:line="240" w:lineRule="auto"/>
              <w:jc w:val="center"/>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 mil. eur</w:t>
            </w:r>
          </w:p>
        </w:tc>
        <w:tc>
          <w:tcPr>
            <w:tcW w:w="494" w:type="pct"/>
            <w:tcBorders>
              <w:top w:val="nil"/>
              <w:left w:val="nil"/>
              <w:bottom w:val="single" w:sz="4" w:space="0" w:color="auto"/>
              <w:right w:val="nil"/>
            </w:tcBorders>
            <w:shd w:val="clear" w:color="auto" w:fill="auto"/>
            <w:vAlign w:val="center"/>
            <w:hideMark/>
          </w:tcPr>
          <w:p w:rsidR="00176825" w:rsidRPr="005801F3" w:rsidRDefault="00176825" w:rsidP="003B3897">
            <w:pPr>
              <w:spacing w:after="0" w:line="240" w:lineRule="auto"/>
              <w:jc w:val="center"/>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 HDP</w:t>
            </w:r>
          </w:p>
        </w:tc>
      </w:tr>
      <w:tr w:rsidR="00176825" w:rsidRPr="005801F3" w:rsidTr="003B3897">
        <w:trPr>
          <w:trHeight w:val="255"/>
          <w:jc w:val="center"/>
        </w:trPr>
        <w:tc>
          <w:tcPr>
            <w:tcW w:w="3026"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Schválený schodok rozpočtu verejnej správy 2021</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-7 091</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-7,41</w:t>
            </w:r>
          </w:p>
        </w:tc>
        <w:tc>
          <w:tcPr>
            <w:tcW w:w="494" w:type="pct"/>
            <w:tcBorders>
              <w:top w:val="nil"/>
              <w:left w:val="nil"/>
              <w:bottom w:val="single" w:sz="4" w:space="0" w:color="auto"/>
              <w:right w:val="nil"/>
            </w:tcBorders>
            <w:shd w:val="clear" w:color="auto" w:fill="auto"/>
            <w:vAlign w:val="center"/>
            <w:hideMark/>
          </w:tcPr>
          <w:p w:rsidR="00176825" w:rsidRPr="005801F3" w:rsidRDefault="00176825" w:rsidP="003B3897">
            <w:pPr>
              <w:spacing w:after="0" w:line="240" w:lineRule="auto"/>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 </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 </w:t>
            </w: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Daňové príjmy rozpočtu verejnej správy</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1 165</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1,20</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10</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0,01</w:t>
            </w: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Iné ako daňové príjmy verejnej správy (bez samosprávy)</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15</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0,02</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sz w:val="20"/>
                <w:szCs w:val="20"/>
                <w:lang w:eastAsia="sk-SK"/>
              </w:rPr>
            </w:pP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Výdavky štátneho rozpočtu</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-648</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-0,67</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-1 318</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-1,35</w:t>
            </w: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Vzťahy s rozpočtom EÚ</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118</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0,12</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sz w:val="20"/>
                <w:szCs w:val="20"/>
                <w:lang w:eastAsia="sk-SK"/>
              </w:rPr>
            </w:pP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Výdavky poistenia - Sociálna poisťovňa</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-12</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-0,01</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-299</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-0,31</w:t>
            </w: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Výdavky na zdravotníctvo</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-134</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-0,14</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-244</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-0,25</w:t>
            </w:r>
          </w:p>
        </w:tc>
      </w:tr>
      <w:tr w:rsidR="00176825" w:rsidRPr="005801F3" w:rsidTr="003B3897">
        <w:trPr>
          <w:trHeight w:val="255"/>
          <w:jc w:val="center"/>
        </w:trPr>
        <w:tc>
          <w:tcPr>
            <w:tcW w:w="3026"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Výdavky ostatných subjektov verejnej správy</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-1 042</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-1,07</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-6</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-0,01</w:t>
            </w:r>
          </w:p>
        </w:tc>
      </w:tr>
      <w:tr w:rsidR="00176825" w:rsidRPr="005801F3" w:rsidTr="003B3897">
        <w:trPr>
          <w:trHeight w:val="255"/>
          <w:jc w:val="center"/>
        </w:trPr>
        <w:tc>
          <w:tcPr>
            <w:tcW w:w="3026"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Hospodárenie samospráv - bez daní, EÚ a SF</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-89</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-0,09</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-83</w:t>
            </w:r>
          </w:p>
        </w:tc>
        <w:tc>
          <w:tcPr>
            <w:tcW w:w="494" w:type="pct"/>
            <w:tcBorders>
              <w:top w:val="nil"/>
              <w:left w:val="nil"/>
              <w:bottom w:val="nil"/>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color w:val="000000"/>
                <w:sz w:val="18"/>
                <w:szCs w:val="18"/>
                <w:lang w:eastAsia="sk-SK"/>
              </w:rPr>
            </w:pPr>
            <w:r w:rsidRPr="005801F3">
              <w:rPr>
                <w:rFonts w:ascii="Times New Roman" w:eastAsia="Times New Roman" w:hAnsi="Times New Roman" w:cs="Times New Roman"/>
                <w:color w:val="000000"/>
                <w:sz w:val="18"/>
                <w:szCs w:val="18"/>
                <w:lang w:eastAsia="sk-SK"/>
              </w:rPr>
              <w:t>-0,09</w:t>
            </w:r>
          </w:p>
        </w:tc>
      </w:tr>
      <w:tr w:rsidR="00176825" w:rsidRPr="005801F3" w:rsidTr="003B3897">
        <w:trPr>
          <w:trHeight w:val="255"/>
          <w:jc w:val="center"/>
        </w:trPr>
        <w:tc>
          <w:tcPr>
            <w:tcW w:w="3026"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Aktuálny odhad schodku rozpočtu verejnej správy 2021</w:t>
            </w:r>
          </w:p>
        </w:tc>
        <w:tc>
          <w:tcPr>
            <w:tcW w:w="494" w:type="pct"/>
            <w:tcBorders>
              <w:top w:val="single" w:sz="4" w:space="0" w:color="auto"/>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-7 718</w:t>
            </w:r>
          </w:p>
        </w:tc>
        <w:tc>
          <w:tcPr>
            <w:tcW w:w="494" w:type="pct"/>
            <w:tcBorders>
              <w:top w:val="single" w:sz="4" w:space="0" w:color="auto"/>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-7,92</w:t>
            </w:r>
          </w:p>
        </w:tc>
        <w:tc>
          <w:tcPr>
            <w:tcW w:w="494" w:type="pct"/>
            <w:tcBorders>
              <w:top w:val="single" w:sz="4" w:space="0" w:color="auto"/>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-1 940</w:t>
            </w:r>
          </w:p>
        </w:tc>
        <w:tc>
          <w:tcPr>
            <w:tcW w:w="494" w:type="pct"/>
            <w:tcBorders>
              <w:top w:val="single" w:sz="4" w:space="0" w:color="auto"/>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b/>
                <w:bCs/>
                <w:color w:val="000000"/>
                <w:sz w:val="18"/>
                <w:szCs w:val="18"/>
                <w:lang w:eastAsia="sk-SK"/>
              </w:rPr>
            </w:pPr>
            <w:r w:rsidRPr="005801F3">
              <w:rPr>
                <w:rFonts w:ascii="Times New Roman" w:eastAsia="Times New Roman" w:hAnsi="Times New Roman" w:cs="Times New Roman"/>
                <w:b/>
                <w:bCs/>
                <w:color w:val="000000"/>
                <w:sz w:val="18"/>
                <w:szCs w:val="18"/>
                <w:lang w:eastAsia="sk-SK"/>
              </w:rPr>
              <w:t>-1,99</w:t>
            </w:r>
          </w:p>
        </w:tc>
      </w:tr>
      <w:tr w:rsidR="00176825" w:rsidRPr="005801F3" w:rsidTr="003B3897">
        <w:trPr>
          <w:trHeight w:val="255"/>
          <w:jc w:val="center"/>
        </w:trPr>
        <w:tc>
          <w:tcPr>
            <w:tcW w:w="3026"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i/>
                <w:iCs/>
                <w:color w:val="000000"/>
                <w:sz w:val="18"/>
                <w:szCs w:val="18"/>
                <w:lang w:eastAsia="sk-SK"/>
              </w:rPr>
            </w:pPr>
            <w:r w:rsidRPr="005801F3">
              <w:rPr>
                <w:rFonts w:ascii="Times New Roman" w:eastAsia="Times New Roman" w:hAnsi="Times New Roman" w:cs="Times New Roman"/>
                <w:i/>
                <w:iCs/>
                <w:color w:val="000000"/>
                <w:sz w:val="18"/>
                <w:szCs w:val="18"/>
                <w:lang w:eastAsia="sk-SK"/>
              </w:rPr>
              <w:t>HDP v  b. c.</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jc w:val="right"/>
              <w:rPr>
                <w:rFonts w:ascii="Times New Roman" w:eastAsia="Times New Roman" w:hAnsi="Times New Roman" w:cs="Times New Roman"/>
                <w:i/>
                <w:iCs/>
                <w:color w:val="000000"/>
                <w:sz w:val="18"/>
                <w:szCs w:val="18"/>
                <w:lang w:eastAsia="sk-SK"/>
              </w:rPr>
            </w:pPr>
            <w:r w:rsidRPr="005801F3">
              <w:rPr>
                <w:rFonts w:ascii="Times New Roman" w:eastAsia="Times New Roman" w:hAnsi="Times New Roman" w:cs="Times New Roman"/>
                <w:i/>
                <w:iCs/>
                <w:color w:val="000000"/>
                <w:sz w:val="18"/>
                <w:szCs w:val="18"/>
                <w:lang w:eastAsia="sk-SK"/>
              </w:rPr>
              <w:t>97 440</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i/>
                <w:iCs/>
                <w:color w:val="000000"/>
                <w:sz w:val="18"/>
                <w:szCs w:val="18"/>
                <w:lang w:eastAsia="sk-SK"/>
              </w:rPr>
            </w:pPr>
            <w:r w:rsidRPr="005801F3">
              <w:rPr>
                <w:rFonts w:ascii="Times New Roman" w:eastAsia="Times New Roman" w:hAnsi="Times New Roman" w:cs="Times New Roman"/>
                <w:i/>
                <w:iCs/>
                <w:color w:val="000000"/>
                <w:sz w:val="18"/>
                <w:szCs w:val="18"/>
                <w:lang w:eastAsia="sk-SK"/>
              </w:rPr>
              <w:t> </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i/>
                <w:iCs/>
                <w:color w:val="000000"/>
                <w:sz w:val="18"/>
                <w:szCs w:val="18"/>
                <w:lang w:eastAsia="sk-SK"/>
              </w:rPr>
            </w:pPr>
            <w:r w:rsidRPr="005801F3">
              <w:rPr>
                <w:rFonts w:ascii="Times New Roman" w:eastAsia="Times New Roman" w:hAnsi="Times New Roman" w:cs="Times New Roman"/>
                <w:i/>
                <w:iCs/>
                <w:color w:val="000000"/>
                <w:sz w:val="18"/>
                <w:szCs w:val="18"/>
                <w:lang w:eastAsia="sk-SK"/>
              </w:rPr>
              <w:t> </w:t>
            </w:r>
          </w:p>
        </w:tc>
        <w:tc>
          <w:tcPr>
            <w:tcW w:w="494" w:type="pct"/>
            <w:tcBorders>
              <w:top w:val="nil"/>
              <w:left w:val="nil"/>
              <w:bottom w:val="single" w:sz="4" w:space="0" w:color="auto"/>
              <w:right w:val="nil"/>
            </w:tcBorders>
            <w:shd w:val="clear" w:color="auto" w:fill="auto"/>
            <w:noWrap/>
            <w:vAlign w:val="center"/>
            <w:hideMark/>
          </w:tcPr>
          <w:p w:rsidR="00176825" w:rsidRPr="005801F3" w:rsidRDefault="00176825" w:rsidP="003B3897">
            <w:pPr>
              <w:spacing w:after="0" w:line="240" w:lineRule="auto"/>
              <w:rPr>
                <w:rFonts w:ascii="Times New Roman" w:eastAsia="Times New Roman" w:hAnsi="Times New Roman" w:cs="Times New Roman"/>
                <w:i/>
                <w:iCs/>
                <w:color w:val="000000"/>
                <w:sz w:val="18"/>
                <w:szCs w:val="18"/>
                <w:lang w:eastAsia="sk-SK"/>
              </w:rPr>
            </w:pPr>
            <w:r w:rsidRPr="005801F3">
              <w:rPr>
                <w:rFonts w:ascii="Times New Roman" w:eastAsia="Times New Roman" w:hAnsi="Times New Roman" w:cs="Times New Roman"/>
                <w:i/>
                <w:iCs/>
                <w:color w:val="000000"/>
                <w:sz w:val="18"/>
                <w:szCs w:val="18"/>
                <w:lang w:eastAsia="sk-SK"/>
              </w:rPr>
              <w:t> </w:t>
            </w:r>
          </w:p>
        </w:tc>
      </w:tr>
    </w:tbl>
    <w:p w:rsidR="00B501E1" w:rsidRDefault="00B501E1" w:rsidP="00B501E1">
      <w:pPr>
        <w:spacing w:after="0" w:line="240" w:lineRule="auto"/>
        <w:rPr>
          <w:rFonts w:ascii="Times New Roman" w:hAnsi="Times New Roman" w:cs="Times New Roman"/>
          <w:i/>
          <w:sz w:val="16"/>
          <w:szCs w:val="16"/>
        </w:rPr>
      </w:pPr>
      <w:r>
        <w:rPr>
          <w:rFonts w:ascii="Times New Roman" w:hAnsi="Times New Roman" w:cs="Times New Roman"/>
          <w:i/>
          <w:sz w:val="16"/>
          <w:szCs w:val="16"/>
        </w:rPr>
        <w:t>*</w:t>
      </w:r>
      <w:r w:rsidRPr="00B501E1">
        <w:t xml:space="preserve"> </w:t>
      </w:r>
      <w:r w:rsidRPr="00B501E1">
        <w:rPr>
          <w:rFonts w:ascii="Times New Roman" w:hAnsi="Times New Roman" w:cs="Times New Roman"/>
          <w:i/>
          <w:sz w:val="16"/>
          <w:szCs w:val="16"/>
        </w:rPr>
        <w:t xml:space="preserve">Novelou zákona o štátnom rozpočte sa zmenili schválené limity štátneho rozpočtu na rok 2021, avšak pre lepšiu porovnateľnosť sa hodnoty porovnávajú k schválenému rozpočtu </w:t>
      </w:r>
      <w:r w:rsidR="009E42C5">
        <w:rPr>
          <w:rFonts w:ascii="Times New Roman" w:hAnsi="Times New Roman" w:cs="Times New Roman"/>
          <w:i/>
          <w:sz w:val="16"/>
          <w:szCs w:val="16"/>
        </w:rPr>
        <w:t>na rok</w:t>
      </w:r>
      <w:r w:rsidRPr="00B501E1">
        <w:rPr>
          <w:rFonts w:ascii="Times New Roman" w:hAnsi="Times New Roman" w:cs="Times New Roman"/>
          <w:i/>
          <w:sz w:val="16"/>
          <w:szCs w:val="16"/>
        </w:rPr>
        <w:t xml:space="preserve"> 2021.</w:t>
      </w:r>
    </w:p>
    <w:p w:rsidR="007B4FDF" w:rsidRPr="00AC0B5F" w:rsidRDefault="00176825" w:rsidP="00B501E1">
      <w:pPr>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         </w:t>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r>
      <w:r w:rsidR="00B501E1">
        <w:rPr>
          <w:rFonts w:ascii="Times New Roman" w:hAnsi="Times New Roman" w:cs="Times New Roman"/>
          <w:i/>
          <w:sz w:val="16"/>
          <w:szCs w:val="16"/>
        </w:rPr>
        <w:tab/>
        <w:t xml:space="preserve">        </w:t>
      </w:r>
      <w:r>
        <w:rPr>
          <w:rFonts w:ascii="Times New Roman" w:hAnsi="Times New Roman" w:cs="Times New Roman"/>
          <w:i/>
          <w:sz w:val="16"/>
          <w:szCs w:val="16"/>
        </w:rPr>
        <w:t>Zdroj</w:t>
      </w:r>
      <w:r w:rsidR="00AC0B5F">
        <w:rPr>
          <w:rFonts w:ascii="Times New Roman" w:hAnsi="Times New Roman" w:cs="Times New Roman"/>
          <w:i/>
          <w:sz w:val="16"/>
          <w:szCs w:val="16"/>
        </w:rPr>
        <w:t>: MF SR</w:t>
      </w:r>
    </w:p>
    <w:p w:rsidR="00F16D9D" w:rsidRDefault="00F16D9D" w:rsidP="007B4FDF">
      <w:pPr>
        <w:spacing w:after="0" w:line="240" w:lineRule="auto"/>
        <w:jc w:val="both"/>
        <w:rPr>
          <w:rFonts w:ascii="Times New Roman" w:hAnsi="Times New Roman" w:cs="Times New Roman"/>
          <w:sz w:val="24"/>
          <w:szCs w:val="24"/>
        </w:rPr>
      </w:pPr>
    </w:p>
    <w:p w:rsidR="007B4FDF" w:rsidRPr="003C305E" w:rsidRDefault="0080040F" w:rsidP="00B932F5">
      <w:pPr>
        <w:pStyle w:val="CharCharCharCharCharCharCharCharChar1"/>
        <w:spacing w:after="0"/>
        <w:rPr>
          <w:rFonts w:ascii="Times New Roman" w:hAnsi="Times New Roman" w:cs="Times New Roman"/>
          <w:b/>
          <w:color w:val="5B9BD5" w:themeColor="accent1"/>
          <w:sz w:val="24"/>
          <w:szCs w:val="24"/>
          <w:lang w:val="sk-SK"/>
        </w:rPr>
      </w:pPr>
      <w:bookmarkStart w:id="18" w:name="_Toc79153407"/>
      <w:r w:rsidRPr="0080040F">
        <w:rPr>
          <w:rFonts w:ascii="Times New Roman" w:hAnsi="Times New Roman" w:cs="Times New Roman"/>
          <w:b/>
          <w:color w:val="5B9BD5" w:themeColor="accent1"/>
          <w:sz w:val="24"/>
          <w:szCs w:val="24"/>
        </w:rPr>
        <w:t xml:space="preserve">2.1.1. </w:t>
      </w:r>
      <w:r w:rsidR="007B4FDF" w:rsidRPr="003C305E">
        <w:rPr>
          <w:rFonts w:ascii="Times New Roman" w:hAnsi="Times New Roman" w:cs="Times New Roman"/>
          <w:b/>
          <w:color w:val="5B9BD5" w:themeColor="accent1"/>
          <w:sz w:val="24"/>
          <w:szCs w:val="24"/>
          <w:lang w:val="sk-SK"/>
        </w:rPr>
        <w:t>Daňové príjmy rozpočtu verejnej správy</w:t>
      </w:r>
      <w:bookmarkEnd w:id="18"/>
    </w:p>
    <w:p w:rsidR="007B4FDF" w:rsidRDefault="007B4FDF" w:rsidP="00B932F5">
      <w:pPr>
        <w:spacing w:after="0" w:line="240" w:lineRule="auto"/>
        <w:jc w:val="both"/>
        <w:rPr>
          <w:rFonts w:ascii="Times New Roman" w:hAnsi="Times New Roman" w:cs="Times New Roman"/>
          <w:sz w:val="24"/>
          <w:szCs w:val="24"/>
        </w:rPr>
      </w:pPr>
    </w:p>
    <w:p w:rsidR="00176825" w:rsidRDefault="00176825" w:rsidP="00B932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Daňové príjmy rozpočtu verejnej správy, v metodike ESA 2010, sa oproti rozpočtu zvýšia o 1,17 mld. eur. Skladajú sa z daní prognózovaných Výborom pre daňové prognózy, platieb za poistencov štátu v rámci sociálneho a verejného zdravotného poistenia ako aj niektorých príjmov, ktoré sa podľa ESA 2010 zaraďujú medzi daňovo-odvodové príjmy</w:t>
      </w:r>
      <w:r w:rsidRPr="007479C0">
        <w:rPr>
          <w:rStyle w:val="Odkaznapoznmkupodiarou"/>
          <w:rFonts w:ascii="Times New Roman" w:hAnsi="Times New Roman"/>
        </w:rPr>
        <w:footnoteReference w:id="9"/>
      </w:r>
      <w:r w:rsidRPr="007479C0">
        <w:rPr>
          <w:rFonts w:ascii="Times New Roman" w:hAnsi="Times New Roman" w:cs="Times New Roman"/>
          <w:sz w:val="24"/>
          <w:szCs w:val="24"/>
        </w:rPr>
        <w:t>.</w:t>
      </w:r>
    </w:p>
    <w:p w:rsidR="00176825" w:rsidRDefault="00176825" w:rsidP="00176825">
      <w:pPr>
        <w:spacing w:after="0" w:line="240" w:lineRule="auto"/>
        <w:jc w:val="both"/>
        <w:rPr>
          <w:rFonts w:ascii="Times New Roman" w:hAnsi="Times New Roman" w:cs="Times New Roman"/>
          <w:b/>
          <w:sz w:val="24"/>
          <w:szCs w:val="24"/>
        </w:rPr>
      </w:pPr>
    </w:p>
    <w:p w:rsidR="00176825" w:rsidRDefault="00176825" w:rsidP="00176825">
      <w:pPr>
        <w:spacing w:after="0" w:line="240" w:lineRule="auto"/>
        <w:jc w:val="both"/>
        <w:rPr>
          <w:rFonts w:ascii="Times New Roman" w:hAnsi="Times New Roman" w:cs="Times New Roman"/>
          <w:sz w:val="24"/>
          <w:szCs w:val="24"/>
        </w:rPr>
      </w:pPr>
      <w:r w:rsidRPr="00505AD8">
        <w:rPr>
          <w:rFonts w:ascii="Times New Roman" w:hAnsi="Times New Roman" w:cs="Times New Roman"/>
          <w:sz w:val="24"/>
          <w:szCs w:val="24"/>
        </w:rPr>
        <w:t>Aktuálna prognóza Výboru pre daňové prognózy zo septembra 2021 predpokladá zvýšenie daňových príjmov oproti schválenému rozpočtu o 1,34 mld. eur. Z pohľadu jednotlivých daní</w:t>
      </w:r>
      <w:r w:rsidRPr="00A74AB8">
        <w:rPr>
          <w:rFonts w:ascii="Times New Roman" w:hAnsi="Times New Roman" w:cs="Times New Roman"/>
          <w:sz w:val="24"/>
          <w:szCs w:val="24"/>
        </w:rPr>
        <w:t xml:space="preserve"> sa očakáva vyšší výber najmä pri dani z právnických osôb (</w:t>
      </w:r>
      <w:r>
        <w:rPr>
          <w:rFonts w:ascii="Times New Roman" w:hAnsi="Times New Roman" w:cs="Times New Roman"/>
          <w:sz w:val="24"/>
          <w:szCs w:val="24"/>
        </w:rPr>
        <w:t>viac ako polovica z</w:t>
      </w:r>
      <w:r w:rsidRPr="00A74AB8">
        <w:rPr>
          <w:rFonts w:ascii="Times New Roman" w:hAnsi="Times New Roman" w:cs="Times New Roman"/>
          <w:sz w:val="24"/>
          <w:szCs w:val="24"/>
        </w:rPr>
        <w:t xml:space="preserve"> celkového navýšenia). </w:t>
      </w:r>
      <w:r>
        <w:rPr>
          <w:rFonts w:ascii="Times New Roman" w:hAnsi="Times New Roman" w:cs="Times New Roman"/>
          <w:sz w:val="24"/>
          <w:szCs w:val="24"/>
        </w:rPr>
        <w:t xml:space="preserve">Druhá najvýznamnejšia zmena oproti rozpočtu je zlepšenie výberu DPH. </w:t>
      </w:r>
      <w:r w:rsidRPr="00A74AB8">
        <w:rPr>
          <w:rFonts w:ascii="Times New Roman" w:hAnsi="Times New Roman" w:cs="Times New Roman"/>
          <w:sz w:val="24"/>
          <w:szCs w:val="24"/>
        </w:rPr>
        <w:t>Dane naviazané na trh práce, teda sociálne a zdravotné odvody a daň z príjmov fyz</w:t>
      </w:r>
      <w:r>
        <w:rPr>
          <w:rFonts w:ascii="Times New Roman" w:hAnsi="Times New Roman" w:cs="Times New Roman"/>
          <w:sz w:val="24"/>
          <w:szCs w:val="24"/>
        </w:rPr>
        <w:t>ických</w:t>
      </w:r>
      <w:r w:rsidRPr="00A74AB8">
        <w:rPr>
          <w:rFonts w:ascii="Times New Roman" w:hAnsi="Times New Roman" w:cs="Times New Roman"/>
          <w:sz w:val="24"/>
          <w:szCs w:val="24"/>
        </w:rPr>
        <w:t xml:space="preserve"> osôb prispievajú </w:t>
      </w:r>
      <w:r>
        <w:rPr>
          <w:rFonts w:ascii="Times New Roman" w:hAnsi="Times New Roman" w:cs="Times New Roman"/>
          <w:sz w:val="24"/>
          <w:szCs w:val="24"/>
        </w:rPr>
        <w:t>menšou mierou k nárastu výberu</w:t>
      </w:r>
      <w:r w:rsidRPr="00A74AB8">
        <w:rPr>
          <w:rFonts w:ascii="Times New Roman" w:hAnsi="Times New Roman" w:cs="Times New Roman"/>
          <w:sz w:val="24"/>
          <w:szCs w:val="24"/>
        </w:rPr>
        <w:t xml:space="preserve">. </w:t>
      </w:r>
    </w:p>
    <w:p w:rsidR="00FA7DE1" w:rsidRDefault="00FA7DE1" w:rsidP="00176825">
      <w:pPr>
        <w:spacing w:after="0" w:line="240" w:lineRule="auto"/>
        <w:jc w:val="both"/>
        <w:rPr>
          <w:rFonts w:ascii="Times New Roman" w:hAnsi="Times New Roman" w:cs="Times New Roman"/>
          <w:sz w:val="24"/>
          <w:szCs w:val="24"/>
        </w:rPr>
      </w:pPr>
    </w:p>
    <w:p w:rsidR="00FA7DE1" w:rsidRDefault="00FA7DE1" w:rsidP="00176825">
      <w:pPr>
        <w:spacing w:after="0" w:line="240" w:lineRule="auto"/>
        <w:jc w:val="both"/>
        <w:rPr>
          <w:rFonts w:ascii="Times New Roman" w:hAnsi="Times New Roman" w:cs="Times New Roman"/>
          <w:sz w:val="24"/>
          <w:szCs w:val="24"/>
        </w:rPr>
      </w:pPr>
    </w:p>
    <w:p w:rsidR="00176825" w:rsidRDefault="00176825" w:rsidP="00176825">
      <w:pPr>
        <w:spacing w:after="0" w:line="240" w:lineRule="auto"/>
        <w:jc w:val="both"/>
        <w:rPr>
          <w:rFonts w:ascii="Times New Roman" w:hAnsi="Times New Roman" w:cs="Times New Roman"/>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76825" w:rsidRPr="003169EA" w:rsidTr="003B3897">
        <w:tc>
          <w:tcPr>
            <w:tcW w:w="4531" w:type="dxa"/>
            <w:tcBorders>
              <w:bottom w:val="single" w:sz="4" w:space="0" w:color="auto"/>
            </w:tcBorders>
          </w:tcPr>
          <w:p w:rsidR="00176825" w:rsidRPr="003169EA" w:rsidRDefault="00176825" w:rsidP="003B3897">
            <w:pPr>
              <w:rPr>
                <w:rFonts w:ascii="Times New Roman" w:hAnsi="Times New Roman"/>
                <w:b/>
                <w:color w:val="5B9BD5" w:themeColor="accent1"/>
                <w:sz w:val="18"/>
                <w:szCs w:val="18"/>
              </w:rPr>
            </w:pPr>
            <w:bookmarkStart w:id="19" w:name="_Toc84847993"/>
            <w:r w:rsidRPr="00BA211E">
              <w:rPr>
                <w:rFonts w:ascii="Times New Roman" w:eastAsia="Calibri" w:hAnsi="Times New Roman"/>
                <w:b/>
                <w:iCs/>
                <w:color w:val="5B9BD5"/>
                <w:sz w:val="20"/>
                <w:szCs w:val="18"/>
              </w:rPr>
              <w:t xml:space="preserve">Graf </w:t>
            </w:r>
            <w:r w:rsidRPr="00BA211E">
              <w:rPr>
                <w:rFonts w:ascii="Times New Roman" w:eastAsia="Calibri" w:hAnsi="Times New Roman"/>
                <w:b/>
                <w:iCs/>
                <w:color w:val="5B9BD5"/>
                <w:sz w:val="20"/>
                <w:szCs w:val="18"/>
              </w:rPr>
              <w:fldChar w:fldCharType="begin"/>
            </w:r>
            <w:r w:rsidRPr="00BA211E">
              <w:rPr>
                <w:rFonts w:ascii="Times New Roman" w:eastAsia="Calibri" w:hAnsi="Times New Roman"/>
                <w:b/>
                <w:iCs/>
                <w:color w:val="5B9BD5"/>
                <w:sz w:val="20"/>
                <w:szCs w:val="18"/>
              </w:rPr>
              <w:instrText xml:space="preserve"> SEQ Obrázok \* ARABIC </w:instrText>
            </w:r>
            <w:r w:rsidRPr="00BA211E">
              <w:rPr>
                <w:rFonts w:ascii="Times New Roman" w:eastAsia="Calibri" w:hAnsi="Times New Roman"/>
                <w:b/>
                <w:iCs/>
                <w:color w:val="5B9BD5"/>
                <w:sz w:val="20"/>
                <w:szCs w:val="18"/>
              </w:rPr>
              <w:fldChar w:fldCharType="separate"/>
            </w:r>
            <w:r w:rsidR="006E67C6">
              <w:rPr>
                <w:rFonts w:ascii="Times New Roman" w:eastAsia="Calibri" w:hAnsi="Times New Roman"/>
                <w:b/>
                <w:iCs/>
                <w:noProof/>
                <w:color w:val="5B9BD5"/>
                <w:sz w:val="20"/>
                <w:szCs w:val="18"/>
              </w:rPr>
              <w:t>2</w:t>
            </w:r>
            <w:r w:rsidRPr="00BA211E">
              <w:rPr>
                <w:rFonts w:ascii="Times New Roman" w:eastAsia="Calibri" w:hAnsi="Times New Roman"/>
                <w:b/>
                <w:iCs/>
                <w:color w:val="5B9BD5"/>
                <w:sz w:val="20"/>
                <w:szCs w:val="18"/>
              </w:rPr>
              <w:fldChar w:fldCharType="end"/>
            </w:r>
            <w:r>
              <w:rPr>
                <w:rFonts w:ascii="Times New Roman" w:eastAsia="Calibri" w:hAnsi="Times New Roman"/>
                <w:b/>
                <w:iCs/>
                <w:color w:val="5B9BD5"/>
                <w:sz w:val="20"/>
                <w:szCs w:val="18"/>
              </w:rPr>
              <w:t xml:space="preserve"> - </w:t>
            </w:r>
            <w:r w:rsidRPr="003169EA">
              <w:rPr>
                <w:rFonts w:ascii="Times New Roman" w:hAnsi="Times New Roman"/>
                <w:b/>
                <w:color w:val="5B9BD5" w:themeColor="accent1"/>
                <w:sz w:val="18"/>
                <w:szCs w:val="18"/>
              </w:rPr>
              <w:t>Zmena odhadu výberu daní a odvodov voči RVS – (podľa jednotlivých faktorov, v mil. eur)</w:t>
            </w:r>
            <w:bookmarkEnd w:id="19"/>
          </w:p>
        </w:tc>
        <w:tc>
          <w:tcPr>
            <w:tcW w:w="4531" w:type="dxa"/>
            <w:tcBorders>
              <w:bottom w:val="single" w:sz="4" w:space="0" w:color="auto"/>
            </w:tcBorders>
          </w:tcPr>
          <w:p w:rsidR="00176825" w:rsidRPr="003169EA" w:rsidRDefault="00176825" w:rsidP="003B3897">
            <w:pPr>
              <w:rPr>
                <w:rFonts w:ascii="Times New Roman" w:hAnsi="Times New Roman"/>
                <w:b/>
                <w:color w:val="5B9BD5" w:themeColor="accent1"/>
                <w:sz w:val="18"/>
                <w:szCs w:val="18"/>
              </w:rPr>
            </w:pPr>
            <w:bookmarkStart w:id="20" w:name="_Toc84847994"/>
            <w:r w:rsidRPr="00BA211E">
              <w:rPr>
                <w:rFonts w:ascii="Times New Roman" w:eastAsia="Calibri" w:hAnsi="Times New Roman"/>
                <w:b/>
                <w:iCs/>
                <w:color w:val="5B9BD5"/>
                <w:sz w:val="20"/>
                <w:szCs w:val="18"/>
              </w:rPr>
              <w:t xml:space="preserve">Graf </w:t>
            </w:r>
            <w:r w:rsidRPr="00BA211E">
              <w:rPr>
                <w:rFonts w:ascii="Times New Roman" w:eastAsia="Calibri" w:hAnsi="Times New Roman"/>
                <w:b/>
                <w:iCs/>
                <w:color w:val="5B9BD5"/>
                <w:sz w:val="20"/>
                <w:szCs w:val="18"/>
              </w:rPr>
              <w:fldChar w:fldCharType="begin"/>
            </w:r>
            <w:r w:rsidRPr="00BA211E">
              <w:rPr>
                <w:rFonts w:ascii="Times New Roman" w:eastAsia="Calibri" w:hAnsi="Times New Roman"/>
                <w:b/>
                <w:iCs/>
                <w:color w:val="5B9BD5"/>
                <w:sz w:val="20"/>
                <w:szCs w:val="18"/>
              </w:rPr>
              <w:instrText xml:space="preserve"> SEQ Obrázok \* ARABIC </w:instrText>
            </w:r>
            <w:r w:rsidRPr="00BA211E">
              <w:rPr>
                <w:rFonts w:ascii="Times New Roman" w:eastAsia="Calibri" w:hAnsi="Times New Roman"/>
                <w:b/>
                <w:iCs/>
                <w:color w:val="5B9BD5"/>
                <w:sz w:val="20"/>
                <w:szCs w:val="18"/>
              </w:rPr>
              <w:fldChar w:fldCharType="separate"/>
            </w:r>
            <w:r w:rsidR="006E67C6">
              <w:rPr>
                <w:rFonts w:ascii="Times New Roman" w:eastAsia="Calibri" w:hAnsi="Times New Roman"/>
                <w:b/>
                <w:iCs/>
                <w:noProof/>
                <w:color w:val="5B9BD5"/>
                <w:sz w:val="20"/>
                <w:szCs w:val="18"/>
              </w:rPr>
              <w:t>3</w:t>
            </w:r>
            <w:r w:rsidRPr="00BA211E">
              <w:rPr>
                <w:rFonts w:ascii="Times New Roman" w:eastAsia="Calibri" w:hAnsi="Times New Roman"/>
                <w:b/>
                <w:iCs/>
                <w:color w:val="5B9BD5"/>
                <w:sz w:val="20"/>
                <w:szCs w:val="18"/>
              </w:rPr>
              <w:fldChar w:fldCharType="end"/>
            </w:r>
            <w:r>
              <w:rPr>
                <w:rFonts w:ascii="Times New Roman" w:eastAsia="Calibri" w:hAnsi="Times New Roman"/>
                <w:b/>
                <w:iCs/>
                <w:color w:val="5B9BD5"/>
                <w:sz w:val="20"/>
                <w:szCs w:val="18"/>
              </w:rPr>
              <w:t xml:space="preserve"> - </w:t>
            </w:r>
            <w:r w:rsidRPr="003169EA">
              <w:rPr>
                <w:rFonts w:ascii="Times New Roman" w:hAnsi="Times New Roman"/>
                <w:b/>
                <w:color w:val="5B9BD5" w:themeColor="accent1"/>
                <w:sz w:val="18"/>
                <w:szCs w:val="18"/>
              </w:rPr>
              <w:t>Zmena odhadu výberu daní a odvodov voči RVS (podľa vybraných daní, rok 2021, v %)</w:t>
            </w:r>
            <w:bookmarkEnd w:id="20"/>
          </w:p>
        </w:tc>
      </w:tr>
      <w:tr w:rsidR="00176825" w:rsidRPr="003169EA" w:rsidTr="003B3897">
        <w:tblPrEx>
          <w:tblCellMar>
            <w:left w:w="70" w:type="dxa"/>
            <w:right w:w="70" w:type="dxa"/>
          </w:tblCellMar>
        </w:tblPrEx>
        <w:tc>
          <w:tcPr>
            <w:tcW w:w="4531" w:type="dxa"/>
            <w:tcBorders>
              <w:top w:val="single" w:sz="4" w:space="0" w:color="auto"/>
              <w:bottom w:val="single" w:sz="4" w:space="0" w:color="auto"/>
            </w:tcBorders>
          </w:tcPr>
          <w:p w:rsidR="00176825" w:rsidRPr="003169EA" w:rsidRDefault="00176825" w:rsidP="003B3897">
            <w:r w:rsidRPr="003169EA">
              <w:rPr>
                <w:noProof/>
                <w:lang w:eastAsia="sk-SK"/>
              </w:rPr>
              <w:drawing>
                <wp:inline distT="0" distB="0" distL="0" distR="0" wp14:anchorId="45E3951E" wp14:editId="46DC843A">
                  <wp:extent cx="2763884" cy="1634999"/>
                  <wp:effectExtent l="0" t="0" r="0" b="381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124" cy="1654071"/>
                          </a:xfrm>
                          <a:prstGeom prst="rect">
                            <a:avLst/>
                          </a:prstGeom>
                          <a:noFill/>
                        </pic:spPr>
                      </pic:pic>
                    </a:graphicData>
                  </a:graphic>
                </wp:inline>
              </w:drawing>
            </w:r>
          </w:p>
        </w:tc>
        <w:tc>
          <w:tcPr>
            <w:tcW w:w="4531" w:type="dxa"/>
            <w:tcBorders>
              <w:top w:val="single" w:sz="4" w:space="0" w:color="auto"/>
              <w:bottom w:val="single" w:sz="4" w:space="0" w:color="auto"/>
            </w:tcBorders>
          </w:tcPr>
          <w:p w:rsidR="00176825" w:rsidRPr="003169EA" w:rsidRDefault="00176825" w:rsidP="003B3897">
            <w:r w:rsidRPr="003169EA">
              <w:rPr>
                <w:noProof/>
                <w:lang w:eastAsia="sk-SK"/>
              </w:rPr>
              <w:drawing>
                <wp:inline distT="0" distB="0" distL="0" distR="0" wp14:anchorId="14C9873B" wp14:editId="125593F7">
                  <wp:extent cx="2666247" cy="1592118"/>
                  <wp:effectExtent l="0" t="0" r="1270" b="825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576" cy="1604854"/>
                          </a:xfrm>
                          <a:prstGeom prst="rect">
                            <a:avLst/>
                          </a:prstGeom>
                          <a:noFill/>
                        </pic:spPr>
                      </pic:pic>
                    </a:graphicData>
                  </a:graphic>
                </wp:inline>
              </w:drawing>
            </w:r>
          </w:p>
        </w:tc>
      </w:tr>
      <w:tr w:rsidR="00176825" w:rsidRPr="003C309E" w:rsidTr="003B3897">
        <w:tc>
          <w:tcPr>
            <w:tcW w:w="4531" w:type="dxa"/>
            <w:tcBorders>
              <w:top w:val="single" w:sz="4" w:space="0" w:color="auto"/>
            </w:tcBorders>
          </w:tcPr>
          <w:p w:rsidR="00176825" w:rsidRPr="003169EA" w:rsidRDefault="00176825" w:rsidP="003B3897">
            <w:pPr>
              <w:jc w:val="right"/>
              <w:rPr>
                <w:rFonts w:ascii="Times New Roman" w:hAnsi="Times New Roman"/>
                <w:sz w:val="16"/>
                <w:szCs w:val="16"/>
              </w:rPr>
            </w:pPr>
            <w:r w:rsidRPr="003169EA">
              <w:rPr>
                <w:rFonts w:ascii="Times New Roman" w:hAnsi="Times New Roman"/>
                <w:i/>
                <w:sz w:val="16"/>
                <w:szCs w:val="16"/>
              </w:rPr>
              <w:t>Zdroj: MF SR</w:t>
            </w:r>
          </w:p>
        </w:tc>
        <w:tc>
          <w:tcPr>
            <w:tcW w:w="4531" w:type="dxa"/>
            <w:tcBorders>
              <w:top w:val="single" w:sz="4" w:space="0" w:color="auto"/>
            </w:tcBorders>
          </w:tcPr>
          <w:p w:rsidR="00176825" w:rsidRPr="003C309E" w:rsidRDefault="00176825" w:rsidP="003B3897">
            <w:pPr>
              <w:jc w:val="right"/>
              <w:rPr>
                <w:rFonts w:ascii="Times New Roman" w:hAnsi="Times New Roman"/>
                <w:i/>
                <w:sz w:val="16"/>
                <w:szCs w:val="16"/>
              </w:rPr>
            </w:pPr>
            <w:r w:rsidRPr="003169EA">
              <w:rPr>
                <w:rFonts w:ascii="Times New Roman" w:hAnsi="Times New Roman"/>
                <w:i/>
                <w:sz w:val="16"/>
                <w:szCs w:val="16"/>
              </w:rPr>
              <w:t>Zdroj: MF SR</w:t>
            </w:r>
          </w:p>
        </w:tc>
      </w:tr>
    </w:tbl>
    <w:p w:rsidR="00176825" w:rsidRPr="00A74AB8" w:rsidRDefault="00176825" w:rsidP="00176825">
      <w:pPr>
        <w:spacing w:after="0" w:line="240" w:lineRule="auto"/>
        <w:jc w:val="both"/>
        <w:rPr>
          <w:rFonts w:ascii="Times New Roman" w:hAnsi="Times New Roman" w:cs="Times New Roman"/>
          <w:sz w:val="24"/>
          <w:szCs w:val="24"/>
        </w:rPr>
      </w:pPr>
    </w:p>
    <w:p w:rsidR="00176825" w:rsidRDefault="00176825" w:rsidP="00AC0B5F">
      <w:pPr>
        <w:widowControl w:val="0"/>
        <w:spacing w:after="0" w:line="240" w:lineRule="auto"/>
        <w:jc w:val="both"/>
        <w:rPr>
          <w:rFonts w:ascii="Times New Roman" w:hAnsi="Times New Roman" w:cs="Times New Roman"/>
          <w:sz w:val="24"/>
          <w:szCs w:val="24"/>
        </w:rPr>
      </w:pPr>
      <w:r w:rsidRPr="00A13013">
        <w:rPr>
          <w:rFonts w:ascii="Times New Roman" w:hAnsi="Times New Roman" w:cs="Times New Roman"/>
          <w:sz w:val="24"/>
          <w:szCs w:val="24"/>
        </w:rPr>
        <w:t>Vývoj v roku 2020 nepriniesol očakávaný prepad korporátnej dane, avšak poukázal na výraznejšie rozdiely v štruktúre firiem.</w:t>
      </w:r>
      <w:r>
        <w:rPr>
          <w:rFonts w:ascii="Times New Roman" w:hAnsi="Times New Roman" w:cs="Times New Roman"/>
          <w:sz w:val="24"/>
          <w:szCs w:val="24"/>
        </w:rPr>
        <w:t xml:space="preserve"> Tento efekt má vplyv aj na nárast korporátnej dane v roku 2021. </w:t>
      </w:r>
      <w:r w:rsidRPr="003169EA">
        <w:rPr>
          <w:rFonts w:ascii="Times New Roman" w:hAnsi="Times New Roman" w:cs="Times New Roman"/>
          <w:sz w:val="24"/>
          <w:szCs w:val="24"/>
        </w:rPr>
        <w:t>Vzhľadom</w:t>
      </w:r>
      <w:r>
        <w:rPr>
          <w:rFonts w:ascii="Times New Roman" w:hAnsi="Times New Roman" w:cs="Times New Roman"/>
          <w:sz w:val="24"/>
          <w:szCs w:val="24"/>
        </w:rPr>
        <w:t xml:space="preserve"> na</w:t>
      </w:r>
      <w:r w:rsidRPr="003169EA">
        <w:rPr>
          <w:rFonts w:ascii="Times New Roman" w:hAnsi="Times New Roman" w:cs="Times New Roman"/>
          <w:sz w:val="24"/>
          <w:szCs w:val="24"/>
        </w:rPr>
        <w:t xml:space="preserve"> stabilný vývoj </w:t>
      </w:r>
      <w:r w:rsidRPr="006C116F">
        <w:rPr>
          <w:rFonts w:ascii="Times New Roman" w:hAnsi="Times New Roman" w:cs="Times New Roman"/>
          <w:sz w:val="24"/>
          <w:szCs w:val="24"/>
        </w:rPr>
        <w:t>korporátnej dane</w:t>
      </w:r>
      <w:r w:rsidRPr="003169EA">
        <w:rPr>
          <w:rFonts w:ascii="Times New Roman" w:hAnsi="Times New Roman" w:cs="Times New Roman"/>
          <w:sz w:val="24"/>
          <w:szCs w:val="24"/>
        </w:rPr>
        <w:t xml:space="preserve"> </w:t>
      </w:r>
      <w:r>
        <w:rPr>
          <w:rFonts w:ascii="Times New Roman" w:hAnsi="Times New Roman" w:cs="Times New Roman"/>
          <w:sz w:val="24"/>
          <w:szCs w:val="24"/>
        </w:rPr>
        <w:t xml:space="preserve">v roku </w:t>
      </w:r>
      <w:r w:rsidRPr="003169EA">
        <w:rPr>
          <w:rFonts w:ascii="Times New Roman" w:hAnsi="Times New Roman" w:cs="Times New Roman"/>
          <w:sz w:val="24"/>
          <w:szCs w:val="24"/>
        </w:rPr>
        <w:t xml:space="preserve">2020 je otázne, ako silno sa prejaví hospodárske oživenie v 2021 na raste výnosov. Prognóza rastu dane na rok 2021 je preto postavená na sektorovom pohľade. Ako ukazovateľ ziskovosti </w:t>
      </w:r>
      <w:r>
        <w:rPr>
          <w:rFonts w:ascii="Times New Roman" w:hAnsi="Times New Roman" w:cs="Times New Roman"/>
          <w:sz w:val="24"/>
          <w:szCs w:val="24"/>
        </w:rPr>
        <w:t>boli použité</w:t>
      </w:r>
      <w:r w:rsidRPr="003169EA">
        <w:rPr>
          <w:rFonts w:ascii="Times New Roman" w:hAnsi="Times New Roman" w:cs="Times New Roman"/>
          <w:sz w:val="24"/>
          <w:szCs w:val="24"/>
        </w:rPr>
        <w:t xml:space="preserve"> informácie o zmene pridanej hodnoty n</w:t>
      </w:r>
      <w:r w:rsidR="00EE0F22">
        <w:rPr>
          <w:rFonts w:ascii="Times New Roman" w:hAnsi="Times New Roman" w:cs="Times New Roman"/>
          <w:sz w:val="24"/>
          <w:szCs w:val="24"/>
        </w:rPr>
        <w:t>a rok 2021, ako aj zmeny</w:t>
      </w:r>
      <w:r w:rsidRPr="003169EA">
        <w:rPr>
          <w:rFonts w:ascii="Times New Roman" w:hAnsi="Times New Roman" w:cs="Times New Roman"/>
          <w:sz w:val="24"/>
          <w:szCs w:val="24"/>
        </w:rPr>
        <w:t xml:space="preserve"> tržieb z priznaní DPH. Oba ukazovatele naznačujú svižný rast na úrovni 7 až 9 %</w:t>
      </w:r>
      <w:r>
        <w:rPr>
          <w:rFonts w:ascii="Times New Roman" w:hAnsi="Times New Roman" w:cs="Times New Roman"/>
          <w:sz w:val="24"/>
          <w:szCs w:val="24"/>
        </w:rPr>
        <w:t>, pričom aktuálna prognóza uvažuje s rastom 7,6 %.</w:t>
      </w:r>
    </w:p>
    <w:p w:rsidR="00B872B2" w:rsidRDefault="00B872B2" w:rsidP="00AC0B5F">
      <w:pPr>
        <w:widowControl w:val="0"/>
        <w:spacing w:after="0" w:line="240" w:lineRule="auto"/>
        <w:jc w:val="both"/>
        <w:rPr>
          <w:rFonts w:ascii="Times New Roman" w:hAnsi="Times New Roman" w:cs="Times New Roman"/>
          <w:sz w:val="24"/>
          <w:szCs w:val="24"/>
        </w:rPr>
      </w:pPr>
    </w:p>
    <w:tbl>
      <w:tblPr>
        <w:tblpPr w:leftFromText="141" w:rightFromText="141" w:vertAnchor="text" w:horzAnchor="margin" w:tblpY="64"/>
        <w:tblOverlap w:val="never"/>
        <w:tblW w:w="4891"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874"/>
      </w:tblGrid>
      <w:tr w:rsidR="00176825" w:rsidRPr="005D0268" w:rsidTr="003B3897">
        <w:trPr>
          <w:trHeight w:hRule="exact" w:val="340"/>
        </w:trPr>
        <w:tc>
          <w:tcPr>
            <w:tcW w:w="5000" w:type="pct"/>
            <w:tcBorders>
              <w:top w:val="nil"/>
              <w:left w:val="nil"/>
              <w:bottom w:val="single" w:sz="4" w:space="0" w:color="auto"/>
              <w:right w:val="nil"/>
            </w:tcBorders>
            <w:shd w:val="clear" w:color="auto" w:fill="auto"/>
            <w:vAlign w:val="center"/>
          </w:tcPr>
          <w:p w:rsidR="00176825" w:rsidRPr="00B872B2" w:rsidRDefault="00B872B2" w:rsidP="00AC0B5F">
            <w:pPr>
              <w:widowControl w:val="0"/>
              <w:spacing w:after="0" w:line="240" w:lineRule="auto"/>
              <w:rPr>
                <w:rFonts w:ascii="Times New Roman" w:hAnsi="Times New Roman" w:cs="Times New Roman"/>
                <w:b/>
                <w:bCs/>
                <w:color w:val="2C9ADC"/>
                <w:sz w:val="20"/>
                <w:szCs w:val="20"/>
              </w:rPr>
            </w:pPr>
            <w:bookmarkStart w:id="21" w:name="_Toc84847995"/>
            <w:r w:rsidRPr="00B872B2">
              <w:rPr>
                <w:rFonts w:ascii="Times New Roman" w:eastAsia="Calibri" w:hAnsi="Times New Roman"/>
                <w:b/>
                <w:iCs/>
                <w:color w:val="5B9BD5" w:themeColor="accent1"/>
                <w:sz w:val="20"/>
                <w:szCs w:val="18"/>
              </w:rPr>
              <w:t xml:space="preserve">Graf </w:t>
            </w:r>
            <w:r w:rsidRPr="00B872B2">
              <w:rPr>
                <w:rFonts w:ascii="Times New Roman" w:eastAsia="Calibri" w:hAnsi="Times New Roman"/>
                <w:b/>
                <w:iCs/>
                <w:color w:val="5B9BD5" w:themeColor="accent1"/>
                <w:sz w:val="20"/>
                <w:szCs w:val="18"/>
              </w:rPr>
              <w:fldChar w:fldCharType="begin"/>
            </w:r>
            <w:r w:rsidRPr="00B872B2">
              <w:rPr>
                <w:rFonts w:ascii="Times New Roman" w:eastAsia="Calibri" w:hAnsi="Times New Roman"/>
                <w:b/>
                <w:iCs/>
                <w:color w:val="5B9BD5" w:themeColor="accent1"/>
                <w:sz w:val="20"/>
                <w:szCs w:val="18"/>
              </w:rPr>
              <w:instrText xml:space="preserve"> SEQ Obrázok \* ARABIC </w:instrText>
            </w:r>
            <w:r w:rsidRPr="00B872B2">
              <w:rPr>
                <w:rFonts w:ascii="Times New Roman" w:eastAsia="Calibri" w:hAnsi="Times New Roman"/>
                <w:b/>
                <w:iCs/>
                <w:color w:val="5B9BD5" w:themeColor="accent1"/>
                <w:sz w:val="20"/>
                <w:szCs w:val="18"/>
              </w:rPr>
              <w:fldChar w:fldCharType="separate"/>
            </w:r>
            <w:r w:rsidR="006E67C6">
              <w:rPr>
                <w:rFonts w:ascii="Times New Roman" w:eastAsia="Calibri" w:hAnsi="Times New Roman"/>
                <w:b/>
                <w:iCs/>
                <w:noProof/>
                <w:color w:val="5B9BD5" w:themeColor="accent1"/>
                <w:sz w:val="20"/>
                <w:szCs w:val="18"/>
              </w:rPr>
              <w:t>4</w:t>
            </w:r>
            <w:r w:rsidRPr="00B872B2">
              <w:rPr>
                <w:rFonts w:ascii="Times New Roman" w:eastAsia="Calibri" w:hAnsi="Times New Roman"/>
                <w:b/>
                <w:iCs/>
                <w:color w:val="5B9BD5" w:themeColor="accent1"/>
                <w:sz w:val="20"/>
                <w:szCs w:val="18"/>
              </w:rPr>
              <w:fldChar w:fldCharType="end"/>
            </w:r>
            <w:r w:rsidRPr="00B872B2">
              <w:rPr>
                <w:rFonts w:ascii="Times New Roman" w:eastAsia="Calibri" w:hAnsi="Times New Roman"/>
                <w:b/>
                <w:iCs/>
                <w:color w:val="5B9BD5" w:themeColor="accent1"/>
                <w:sz w:val="20"/>
                <w:szCs w:val="18"/>
              </w:rPr>
              <w:t xml:space="preserve"> - </w:t>
            </w:r>
            <w:r w:rsidR="00176825" w:rsidRPr="00B872B2">
              <w:rPr>
                <w:rFonts w:ascii="Times New Roman" w:hAnsi="Times New Roman" w:cs="Times New Roman"/>
                <w:b/>
                <w:bCs/>
                <w:color w:val="5B9BD5" w:themeColor="accent1"/>
                <w:sz w:val="20"/>
                <w:szCs w:val="20"/>
              </w:rPr>
              <w:t>Zmena zaplatenej dane  firiem v 2020</w:t>
            </w:r>
            <w:bookmarkEnd w:id="21"/>
          </w:p>
        </w:tc>
      </w:tr>
      <w:tr w:rsidR="00176825" w:rsidRPr="00D27787" w:rsidTr="003B3897">
        <w:trPr>
          <w:trHeight w:val="2317"/>
        </w:trPr>
        <w:tc>
          <w:tcPr>
            <w:tcW w:w="5000" w:type="pct"/>
            <w:tcBorders>
              <w:top w:val="single" w:sz="4" w:space="0" w:color="auto"/>
              <w:left w:val="nil"/>
              <w:bottom w:val="single" w:sz="4" w:space="0" w:color="auto"/>
              <w:right w:val="nil"/>
            </w:tcBorders>
            <w:shd w:val="clear" w:color="auto" w:fill="auto"/>
            <w:vAlign w:val="center"/>
          </w:tcPr>
          <w:p w:rsidR="00176825" w:rsidRPr="005D0268" w:rsidRDefault="00176825" w:rsidP="003B3897">
            <w:pPr>
              <w:spacing w:before="40" w:after="40"/>
              <w:jc w:val="center"/>
              <w:rPr>
                <w:rFonts w:ascii="Arial Narrow" w:hAnsi="Arial Narrow" w:cs="Arial"/>
                <w:b/>
                <w:sz w:val="20"/>
                <w:szCs w:val="20"/>
              </w:rPr>
            </w:pPr>
            <w:r>
              <w:rPr>
                <w:rFonts w:ascii="Arial Narrow" w:hAnsi="Arial Narrow" w:cs="Arial"/>
                <w:b/>
                <w:noProof/>
                <w:sz w:val="20"/>
                <w:szCs w:val="20"/>
                <w:lang w:eastAsia="sk-SK"/>
              </w:rPr>
              <w:drawing>
                <wp:inline distT="0" distB="0" distL="0" distR="0" wp14:anchorId="781A20AD" wp14:editId="1D6484A9">
                  <wp:extent cx="4941316" cy="1603611"/>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643" cy="1636495"/>
                          </a:xfrm>
                          <a:prstGeom prst="rect">
                            <a:avLst/>
                          </a:prstGeom>
                          <a:noFill/>
                        </pic:spPr>
                      </pic:pic>
                    </a:graphicData>
                  </a:graphic>
                </wp:inline>
              </w:drawing>
            </w:r>
          </w:p>
        </w:tc>
      </w:tr>
      <w:tr w:rsidR="00176825" w:rsidRPr="0064197F" w:rsidTr="003B3897">
        <w:trPr>
          <w:trHeight w:hRule="exact" w:val="359"/>
        </w:trPr>
        <w:tc>
          <w:tcPr>
            <w:tcW w:w="5000" w:type="pct"/>
            <w:tcBorders>
              <w:top w:val="single" w:sz="4" w:space="0" w:color="auto"/>
              <w:left w:val="nil"/>
              <w:bottom w:val="nil"/>
              <w:right w:val="nil"/>
            </w:tcBorders>
          </w:tcPr>
          <w:p w:rsidR="00176825" w:rsidRPr="00AC0B5F" w:rsidRDefault="00176825" w:rsidP="00AC0B5F">
            <w:pPr>
              <w:widowControl w:val="0"/>
              <w:spacing w:after="0"/>
              <w:contextualSpacing/>
              <w:jc w:val="right"/>
              <w:rPr>
                <w:rFonts w:ascii="Arial Narrow" w:hAnsi="Arial Narrow" w:cs="Arial"/>
                <w:i/>
                <w:sz w:val="16"/>
                <w:szCs w:val="14"/>
              </w:rPr>
            </w:pPr>
            <w:r w:rsidRPr="003169EA">
              <w:rPr>
                <w:rFonts w:ascii="Times New Roman" w:hAnsi="Times New Roman"/>
                <w:i/>
                <w:sz w:val="16"/>
                <w:szCs w:val="16"/>
              </w:rPr>
              <w:t>Zdroj: MF SR</w:t>
            </w:r>
          </w:p>
        </w:tc>
      </w:tr>
    </w:tbl>
    <w:p w:rsidR="00176825" w:rsidRDefault="00176825" w:rsidP="00AC0B5F">
      <w:pPr>
        <w:widowControl w:val="0"/>
        <w:spacing w:after="0" w:line="240" w:lineRule="auto"/>
        <w:contextualSpacing/>
        <w:jc w:val="both"/>
        <w:rPr>
          <w:rFonts w:ascii="Times New Roman" w:hAnsi="Times New Roman" w:cs="Times New Roman"/>
          <w:sz w:val="24"/>
          <w:szCs w:val="24"/>
        </w:rPr>
      </w:pPr>
      <w:r w:rsidRPr="00505AD8">
        <w:rPr>
          <w:rFonts w:ascii="Times New Roman" w:hAnsi="Times New Roman" w:cs="Times New Roman"/>
          <w:sz w:val="24"/>
          <w:szCs w:val="24"/>
        </w:rPr>
        <w:t xml:space="preserve">Silná DPH v druhom </w:t>
      </w:r>
      <w:r w:rsidR="00B46D8C">
        <w:rPr>
          <w:rFonts w:ascii="Times New Roman" w:hAnsi="Times New Roman" w:cs="Times New Roman"/>
          <w:sz w:val="24"/>
          <w:szCs w:val="24"/>
        </w:rPr>
        <w:t>kvartáli sa podpísala pod 7 %</w:t>
      </w:r>
      <w:r w:rsidRPr="00505AD8">
        <w:rPr>
          <w:rFonts w:ascii="Times New Roman" w:hAnsi="Times New Roman" w:cs="Times New Roman"/>
          <w:sz w:val="24"/>
          <w:szCs w:val="24"/>
        </w:rPr>
        <w:t xml:space="preserve"> medziročný rast výnosu a návrat k</w:t>
      </w:r>
      <w:r>
        <w:rPr>
          <w:rFonts w:ascii="Times New Roman" w:hAnsi="Times New Roman" w:cs="Times New Roman"/>
          <w:sz w:val="24"/>
          <w:szCs w:val="24"/>
        </w:rPr>
        <w:t xml:space="preserve"> predkrízovým hodnotám</w:t>
      </w:r>
      <w:r w:rsidRPr="003169EA">
        <w:rPr>
          <w:rFonts w:ascii="Times New Roman" w:hAnsi="Times New Roman" w:cs="Times New Roman"/>
          <w:sz w:val="24"/>
          <w:szCs w:val="24"/>
        </w:rPr>
        <w:t>. Silnejší rast DPH než bázy reflektuje rast efektívnej daňovej sadzby (EDS) v súlade s jej aktualizovaným výp</w:t>
      </w:r>
      <w:r>
        <w:rPr>
          <w:rFonts w:ascii="Times New Roman" w:hAnsi="Times New Roman" w:cs="Times New Roman"/>
          <w:sz w:val="24"/>
          <w:szCs w:val="24"/>
        </w:rPr>
        <w:t>očtom za druhý kvartál</w:t>
      </w:r>
      <w:r w:rsidRPr="003169EA">
        <w:rPr>
          <w:rFonts w:ascii="Times New Roman" w:hAnsi="Times New Roman" w:cs="Times New Roman"/>
          <w:sz w:val="24"/>
          <w:szCs w:val="24"/>
        </w:rPr>
        <w:t xml:space="preserve">, ktorý vstupuje do odhadu DPH na celom horizonte. Pokles spotreby domácností v závere roka plne vykompenzuje rast vládnych investícií a spotreby, z ktorých sa platí DPH. </w:t>
      </w:r>
    </w:p>
    <w:p w:rsidR="00176825" w:rsidRDefault="00176825" w:rsidP="00176825">
      <w:pPr>
        <w:spacing w:after="0" w:line="240" w:lineRule="auto"/>
        <w:jc w:val="both"/>
        <w:rPr>
          <w:rFonts w:ascii="Times New Roman" w:hAnsi="Times New Roman" w:cs="Times New Roman"/>
          <w:sz w:val="24"/>
          <w:szCs w:val="24"/>
        </w:rPr>
      </w:pPr>
    </w:p>
    <w:tbl>
      <w:tblPr>
        <w:tblpPr w:leftFromText="141" w:rightFromText="141" w:vertAnchor="text" w:horzAnchor="margin" w:tblpY="64"/>
        <w:tblOverlap w:val="never"/>
        <w:tblW w:w="4993"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463"/>
        <w:gridCol w:w="179"/>
        <w:gridCol w:w="4417"/>
      </w:tblGrid>
      <w:tr w:rsidR="00176825" w:rsidRPr="000524C0" w:rsidTr="003B3897">
        <w:trPr>
          <w:trHeight w:hRule="exact" w:val="284"/>
        </w:trPr>
        <w:tc>
          <w:tcPr>
            <w:tcW w:w="2463" w:type="pct"/>
            <w:tcBorders>
              <w:top w:val="nil"/>
              <w:left w:val="nil"/>
              <w:bottom w:val="single" w:sz="4" w:space="0" w:color="auto"/>
              <w:right w:val="nil"/>
            </w:tcBorders>
            <w:shd w:val="clear" w:color="auto" w:fill="auto"/>
            <w:vAlign w:val="center"/>
          </w:tcPr>
          <w:p w:rsidR="00176825" w:rsidRPr="00B872B2" w:rsidRDefault="00B872B2" w:rsidP="003B3897">
            <w:pPr>
              <w:spacing w:after="0" w:line="240" w:lineRule="auto"/>
              <w:rPr>
                <w:rFonts w:ascii="Times New Roman" w:hAnsi="Times New Roman" w:cs="Times New Roman"/>
                <w:b/>
                <w:color w:val="2C9ADC"/>
                <w:sz w:val="20"/>
                <w:szCs w:val="20"/>
                <w:highlight w:val="yellow"/>
              </w:rPr>
            </w:pPr>
            <w:bookmarkStart w:id="22" w:name="_Toc84847996"/>
            <w:r w:rsidRPr="00B872B2">
              <w:rPr>
                <w:rFonts w:ascii="Times New Roman" w:eastAsia="Calibri" w:hAnsi="Times New Roman"/>
                <w:b/>
                <w:iCs/>
                <w:color w:val="5B9BD5" w:themeColor="accent1"/>
                <w:sz w:val="20"/>
                <w:szCs w:val="18"/>
              </w:rPr>
              <w:t xml:space="preserve">Graf </w:t>
            </w:r>
            <w:r w:rsidRPr="00B872B2">
              <w:rPr>
                <w:rFonts w:ascii="Times New Roman" w:eastAsia="Calibri" w:hAnsi="Times New Roman"/>
                <w:b/>
                <w:iCs/>
                <w:color w:val="5B9BD5" w:themeColor="accent1"/>
                <w:sz w:val="20"/>
                <w:szCs w:val="18"/>
              </w:rPr>
              <w:fldChar w:fldCharType="begin"/>
            </w:r>
            <w:r w:rsidRPr="00B872B2">
              <w:rPr>
                <w:rFonts w:ascii="Times New Roman" w:eastAsia="Calibri" w:hAnsi="Times New Roman"/>
                <w:b/>
                <w:iCs/>
                <w:color w:val="5B9BD5" w:themeColor="accent1"/>
                <w:sz w:val="20"/>
                <w:szCs w:val="18"/>
              </w:rPr>
              <w:instrText xml:space="preserve"> SEQ Obrázok \* ARABIC </w:instrText>
            </w:r>
            <w:r w:rsidRPr="00B872B2">
              <w:rPr>
                <w:rFonts w:ascii="Times New Roman" w:eastAsia="Calibri" w:hAnsi="Times New Roman"/>
                <w:b/>
                <w:iCs/>
                <w:color w:val="5B9BD5" w:themeColor="accent1"/>
                <w:sz w:val="20"/>
                <w:szCs w:val="18"/>
              </w:rPr>
              <w:fldChar w:fldCharType="separate"/>
            </w:r>
            <w:r w:rsidR="006E67C6">
              <w:rPr>
                <w:rFonts w:ascii="Times New Roman" w:eastAsia="Calibri" w:hAnsi="Times New Roman"/>
                <w:b/>
                <w:iCs/>
                <w:noProof/>
                <w:color w:val="5B9BD5" w:themeColor="accent1"/>
                <w:sz w:val="20"/>
                <w:szCs w:val="18"/>
              </w:rPr>
              <w:t>5</w:t>
            </w:r>
            <w:r w:rsidRPr="00B872B2">
              <w:rPr>
                <w:rFonts w:ascii="Times New Roman" w:eastAsia="Calibri" w:hAnsi="Times New Roman"/>
                <w:b/>
                <w:iCs/>
                <w:color w:val="5B9BD5" w:themeColor="accent1"/>
                <w:sz w:val="20"/>
                <w:szCs w:val="18"/>
              </w:rPr>
              <w:fldChar w:fldCharType="end"/>
            </w:r>
            <w:r w:rsidRPr="00B872B2">
              <w:rPr>
                <w:rFonts w:ascii="Times New Roman" w:eastAsia="Calibri" w:hAnsi="Times New Roman"/>
                <w:b/>
                <w:iCs/>
                <w:color w:val="5B9BD5" w:themeColor="accent1"/>
                <w:sz w:val="20"/>
                <w:szCs w:val="18"/>
              </w:rPr>
              <w:t xml:space="preserve"> - </w:t>
            </w:r>
            <w:r w:rsidR="00176825" w:rsidRPr="00B872B2">
              <w:rPr>
                <w:rFonts w:ascii="Times New Roman" w:hAnsi="Times New Roman" w:cs="Times New Roman"/>
                <w:b/>
                <w:bCs/>
                <w:color w:val="5B9BD5" w:themeColor="accent1"/>
                <w:sz w:val="20"/>
                <w:szCs w:val="20"/>
              </w:rPr>
              <w:t>Skutočné plnenie DPH v 2. kvartáli</w:t>
            </w:r>
            <w:bookmarkEnd w:id="22"/>
            <w:r w:rsidR="00176825" w:rsidRPr="00B872B2">
              <w:rPr>
                <w:rFonts w:ascii="Times New Roman" w:hAnsi="Times New Roman" w:cs="Times New Roman"/>
                <w:b/>
                <w:bCs/>
                <w:color w:val="5B9BD5" w:themeColor="accent1"/>
                <w:sz w:val="20"/>
                <w:szCs w:val="20"/>
              </w:rPr>
              <w:t xml:space="preserve"> </w:t>
            </w:r>
          </w:p>
        </w:tc>
        <w:tc>
          <w:tcPr>
            <w:tcW w:w="99" w:type="pct"/>
            <w:tcBorders>
              <w:top w:val="nil"/>
              <w:left w:val="nil"/>
              <w:bottom w:val="nil"/>
              <w:right w:val="nil"/>
            </w:tcBorders>
            <w:shd w:val="clear" w:color="auto" w:fill="auto"/>
            <w:vAlign w:val="center"/>
          </w:tcPr>
          <w:p w:rsidR="00176825" w:rsidRPr="003169EA" w:rsidRDefault="00176825" w:rsidP="003B3897">
            <w:pPr>
              <w:spacing w:after="0" w:line="240" w:lineRule="auto"/>
              <w:rPr>
                <w:rFonts w:ascii="Times New Roman" w:hAnsi="Times New Roman" w:cs="Times New Roman"/>
                <w:b/>
                <w:color w:val="2C9ADC"/>
                <w:sz w:val="18"/>
                <w:szCs w:val="20"/>
                <w:highlight w:val="yellow"/>
              </w:rPr>
            </w:pPr>
          </w:p>
        </w:tc>
        <w:tc>
          <w:tcPr>
            <w:tcW w:w="2438" w:type="pct"/>
            <w:tcBorders>
              <w:top w:val="nil"/>
              <w:left w:val="nil"/>
              <w:bottom w:val="single" w:sz="4" w:space="0" w:color="auto"/>
              <w:right w:val="nil"/>
            </w:tcBorders>
            <w:shd w:val="clear" w:color="auto" w:fill="auto"/>
            <w:vAlign w:val="center"/>
          </w:tcPr>
          <w:p w:rsidR="00176825" w:rsidRPr="003169EA" w:rsidRDefault="00B872B2" w:rsidP="00EE0F22">
            <w:pPr>
              <w:spacing w:after="0" w:line="240" w:lineRule="auto"/>
              <w:rPr>
                <w:rFonts w:ascii="Times New Roman" w:hAnsi="Times New Roman" w:cs="Times New Roman"/>
                <w:b/>
                <w:color w:val="2C9ADC"/>
                <w:sz w:val="18"/>
                <w:szCs w:val="20"/>
              </w:rPr>
            </w:pPr>
            <w:bookmarkStart w:id="23" w:name="_Toc84847997"/>
            <w:r w:rsidRPr="00B872B2">
              <w:rPr>
                <w:rFonts w:ascii="Times New Roman" w:eastAsia="Calibri" w:hAnsi="Times New Roman"/>
                <w:b/>
                <w:iCs/>
                <w:color w:val="5B9BD5" w:themeColor="accent1"/>
                <w:sz w:val="20"/>
                <w:szCs w:val="18"/>
              </w:rPr>
              <w:t xml:space="preserve">Graf </w:t>
            </w:r>
            <w:r w:rsidRPr="00B872B2">
              <w:rPr>
                <w:rFonts w:ascii="Times New Roman" w:eastAsia="Calibri" w:hAnsi="Times New Roman"/>
                <w:b/>
                <w:iCs/>
                <w:color w:val="5B9BD5" w:themeColor="accent1"/>
                <w:sz w:val="20"/>
                <w:szCs w:val="18"/>
              </w:rPr>
              <w:fldChar w:fldCharType="begin"/>
            </w:r>
            <w:r w:rsidRPr="00B872B2">
              <w:rPr>
                <w:rFonts w:ascii="Times New Roman" w:eastAsia="Calibri" w:hAnsi="Times New Roman"/>
                <w:b/>
                <w:iCs/>
                <w:color w:val="5B9BD5" w:themeColor="accent1"/>
                <w:sz w:val="20"/>
                <w:szCs w:val="18"/>
              </w:rPr>
              <w:instrText xml:space="preserve"> SEQ Obrázok \* ARABIC </w:instrText>
            </w:r>
            <w:r w:rsidRPr="00B872B2">
              <w:rPr>
                <w:rFonts w:ascii="Times New Roman" w:eastAsia="Calibri" w:hAnsi="Times New Roman"/>
                <w:b/>
                <w:iCs/>
                <w:color w:val="5B9BD5" w:themeColor="accent1"/>
                <w:sz w:val="20"/>
                <w:szCs w:val="18"/>
              </w:rPr>
              <w:fldChar w:fldCharType="separate"/>
            </w:r>
            <w:r w:rsidR="006E67C6">
              <w:rPr>
                <w:rFonts w:ascii="Times New Roman" w:eastAsia="Calibri" w:hAnsi="Times New Roman"/>
                <w:b/>
                <w:iCs/>
                <w:noProof/>
                <w:color w:val="5B9BD5" w:themeColor="accent1"/>
                <w:sz w:val="20"/>
                <w:szCs w:val="18"/>
              </w:rPr>
              <w:t>6</w:t>
            </w:r>
            <w:r w:rsidRPr="00B872B2">
              <w:rPr>
                <w:rFonts w:ascii="Times New Roman" w:eastAsia="Calibri" w:hAnsi="Times New Roman"/>
                <w:b/>
                <w:iCs/>
                <w:color w:val="5B9BD5" w:themeColor="accent1"/>
                <w:sz w:val="20"/>
                <w:szCs w:val="18"/>
              </w:rPr>
              <w:fldChar w:fldCharType="end"/>
            </w:r>
            <w:r w:rsidRPr="00B872B2">
              <w:rPr>
                <w:rFonts w:ascii="Times New Roman" w:eastAsia="Calibri" w:hAnsi="Times New Roman"/>
                <w:b/>
                <w:iCs/>
                <w:color w:val="5B9BD5" w:themeColor="accent1"/>
                <w:sz w:val="20"/>
                <w:szCs w:val="18"/>
              </w:rPr>
              <w:t xml:space="preserve"> - </w:t>
            </w:r>
            <w:r w:rsidR="00176825" w:rsidRPr="00B872B2">
              <w:rPr>
                <w:rFonts w:ascii="Times New Roman" w:hAnsi="Times New Roman" w:cs="Times New Roman"/>
                <w:b/>
                <w:bCs/>
                <w:color w:val="5B9BD5" w:themeColor="accent1"/>
                <w:sz w:val="18"/>
                <w:szCs w:val="18"/>
              </w:rPr>
              <w:t>EDS</w:t>
            </w:r>
            <w:r w:rsidR="00EE0F22">
              <w:rPr>
                <w:rFonts w:ascii="Times New Roman" w:hAnsi="Times New Roman" w:cs="Times New Roman"/>
                <w:b/>
                <w:bCs/>
                <w:color w:val="5B9BD5" w:themeColor="accent1"/>
                <w:sz w:val="18"/>
                <w:szCs w:val="18"/>
              </w:rPr>
              <w:t xml:space="preserve"> DPH</w:t>
            </w:r>
            <w:r w:rsidR="00176825" w:rsidRPr="00B872B2">
              <w:rPr>
                <w:rFonts w:ascii="Times New Roman" w:hAnsi="Times New Roman" w:cs="Times New Roman"/>
                <w:b/>
                <w:bCs/>
                <w:color w:val="5B9BD5" w:themeColor="accent1"/>
                <w:sz w:val="18"/>
                <w:szCs w:val="18"/>
              </w:rPr>
              <w:t xml:space="preserve"> rastie</w:t>
            </w:r>
            <w:bookmarkEnd w:id="23"/>
          </w:p>
        </w:tc>
      </w:tr>
      <w:tr w:rsidR="00176825" w:rsidRPr="00D27787" w:rsidTr="003B3897">
        <w:trPr>
          <w:trHeight w:val="2346"/>
        </w:trPr>
        <w:tc>
          <w:tcPr>
            <w:tcW w:w="2463" w:type="pct"/>
            <w:tcBorders>
              <w:top w:val="single" w:sz="4" w:space="0" w:color="auto"/>
              <w:left w:val="nil"/>
              <w:bottom w:val="single" w:sz="4" w:space="0" w:color="auto"/>
              <w:right w:val="nil"/>
            </w:tcBorders>
            <w:shd w:val="clear" w:color="auto" w:fill="auto"/>
            <w:vAlign w:val="center"/>
          </w:tcPr>
          <w:p w:rsidR="00176825" w:rsidRPr="00D27787" w:rsidRDefault="00176825" w:rsidP="003B3897">
            <w:pPr>
              <w:spacing w:before="40" w:after="40"/>
              <w:jc w:val="center"/>
              <w:rPr>
                <w:rFonts w:ascii="Arial Narrow" w:hAnsi="Arial Narrow" w:cs="Arial"/>
                <w:b/>
                <w:sz w:val="20"/>
                <w:szCs w:val="20"/>
                <w:highlight w:val="yellow"/>
              </w:rPr>
            </w:pPr>
            <w:r w:rsidRPr="00122CA6">
              <w:rPr>
                <w:rFonts w:ascii="Arial Narrow" w:hAnsi="Arial Narrow" w:cs="Arial"/>
                <w:b/>
                <w:noProof/>
                <w:sz w:val="20"/>
                <w:szCs w:val="20"/>
                <w:lang w:eastAsia="sk-SK"/>
              </w:rPr>
              <w:drawing>
                <wp:inline distT="0" distB="0" distL="0" distR="0" wp14:anchorId="34420BF4" wp14:editId="64D17132">
                  <wp:extent cx="2441924" cy="1456687"/>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958" cy="1460883"/>
                          </a:xfrm>
                          <a:prstGeom prst="rect">
                            <a:avLst/>
                          </a:prstGeom>
                          <a:noFill/>
                        </pic:spPr>
                      </pic:pic>
                    </a:graphicData>
                  </a:graphic>
                </wp:inline>
              </w:drawing>
            </w:r>
          </w:p>
        </w:tc>
        <w:tc>
          <w:tcPr>
            <w:tcW w:w="99" w:type="pct"/>
            <w:tcBorders>
              <w:top w:val="nil"/>
              <w:left w:val="nil"/>
              <w:bottom w:val="nil"/>
              <w:right w:val="nil"/>
            </w:tcBorders>
            <w:vAlign w:val="center"/>
          </w:tcPr>
          <w:p w:rsidR="00176825" w:rsidRPr="00D27787" w:rsidRDefault="00176825" w:rsidP="003B3897">
            <w:pPr>
              <w:spacing w:before="40" w:after="40"/>
              <w:jc w:val="center"/>
              <w:rPr>
                <w:rFonts w:ascii="Arial Narrow" w:hAnsi="Arial Narrow" w:cs="Arial"/>
                <w:b/>
                <w:sz w:val="20"/>
                <w:szCs w:val="20"/>
                <w:highlight w:val="yellow"/>
              </w:rPr>
            </w:pPr>
          </w:p>
        </w:tc>
        <w:tc>
          <w:tcPr>
            <w:tcW w:w="2438" w:type="pct"/>
            <w:tcBorders>
              <w:top w:val="single" w:sz="4" w:space="0" w:color="auto"/>
              <w:left w:val="nil"/>
              <w:bottom w:val="single" w:sz="4" w:space="0" w:color="auto"/>
              <w:right w:val="nil"/>
            </w:tcBorders>
            <w:shd w:val="clear" w:color="auto" w:fill="auto"/>
            <w:vAlign w:val="center"/>
          </w:tcPr>
          <w:p w:rsidR="00176825" w:rsidRPr="00D27787" w:rsidRDefault="00176825" w:rsidP="003B3897">
            <w:pPr>
              <w:spacing w:before="40" w:after="40"/>
              <w:jc w:val="center"/>
              <w:rPr>
                <w:rFonts w:ascii="Arial Narrow" w:hAnsi="Arial Narrow" w:cs="Arial"/>
                <w:b/>
                <w:sz w:val="20"/>
                <w:szCs w:val="20"/>
                <w:highlight w:val="yellow"/>
              </w:rPr>
            </w:pPr>
            <w:r w:rsidRPr="002F73ED">
              <w:rPr>
                <w:rFonts w:ascii="Arial Narrow" w:hAnsi="Arial Narrow" w:cs="Arial"/>
                <w:b/>
                <w:noProof/>
                <w:sz w:val="20"/>
                <w:szCs w:val="20"/>
                <w:lang w:eastAsia="sk-SK"/>
              </w:rPr>
              <w:drawing>
                <wp:inline distT="0" distB="0" distL="0" distR="0" wp14:anchorId="51F07809" wp14:editId="1139C831">
                  <wp:extent cx="2429510" cy="1465159"/>
                  <wp:effectExtent l="0" t="0" r="8890" b="19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011" cy="1472698"/>
                          </a:xfrm>
                          <a:prstGeom prst="rect">
                            <a:avLst/>
                          </a:prstGeom>
                          <a:noFill/>
                        </pic:spPr>
                      </pic:pic>
                    </a:graphicData>
                  </a:graphic>
                </wp:inline>
              </w:drawing>
            </w:r>
          </w:p>
        </w:tc>
      </w:tr>
      <w:tr w:rsidR="00176825" w:rsidRPr="0064197F" w:rsidTr="003B3897">
        <w:trPr>
          <w:trHeight w:hRule="exact" w:val="382"/>
        </w:trPr>
        <w:tc>
          <w:tcPr>
            <w:tcW w:w="2463" w:type="pct"/>
            <w:tcBorders>
              <w:top w:val="single" w:sz="4" w:space="0" w:color="auto"/>
              <w:left w:val="nil"/>
              <w:bottom w:val="nil"/>
              <w:right w:val="nil"/>
            </w:tcBorders>
          </w:tcPr>
          <w:p w:rsidR="00176825" w:rsidRPr="008659CB" w:rsidRDefault="00176825" w:rsidP="003B3897">
            <w:pPr>
              <w:spacing w:before="40" w:after="40"/>
              <w:contextualSpacing/>
              <w:jc w:val="right"/>
              <w:rPr>
                <w:rFonts w:ascii="Arial Narrow" w:hAnsi="Arial Narrow" w:cs="Arial"/>
                <w:i/>
                <w:sz w:val="18"/>
                <w:szCs w:val="14"/>
              </w:rPr>
            </w:pPr>
            <w:r w:rsidRPr="003169EA">
              <w:rPr>
                <w:rFonts w:ascii="Times New Roman" w:hAnsi="Times New Roman"/>
                <w:i/>
                <w:sz w:val="16"/>
                <w:szCs w:val="16"/>
              </w:rPr>
              <w:t>Zdroj: MF SR</w:t>
            </w:r>
          </w:p>
        </w:tc>
        <w:tc>
          <w:tcPr>
            <w:tcW w:w="99" w:type="pct"/>
            <w:tcBorders>
              <w:top w:val="nil"/>
              <w:left w:val="nil"/>
              <w:bottom w:val="nil"/>
              <w:right w:val="nil"/>
            </w:tcBorders>
          </w:tcPr>
          <w:p w:rsidR="00176825" w:rsidRPr="008659CB" w:rsidRDefault="00176825" w:rsidP="003B3897">
            <w:pPr>
              <w:contextualSpacing/>
              <w:jc w:val="center"/>
              <w:rPr>
                <w:rFonts w:ascii="Arial Narrow" w:hAnsi="Arial Narrow" w:cs="Arial"/>
                <w:i/>
                <w:sz w:val="16"/>
                <w:szCs w:val="14"/>
              </w:rPr>
            </w:pPr>
          </w:p>
        </w:tc>
        <w:tc>
          <w:tcPr>
            <w:tcW w:w="2438" w:type="pct"/>
            <w:tcBorders>
              <w:top w:val="single" w:sz="4" w:space="0" w:color="auto"/>
              <w:left w:val="nil"/>
              <w:bottom w:val="nil"/>
              <w:right w:val="nil"/>
            </w:tcBorders>
          </w:tcPr>
          <w:p w:rsidR="00176825" w:rsidRPr="00372DDC" w:rsidRDefault="00176825" w:rsidP="003B3897">
            <w:pPr>
              <w:spacing w:before="40" w:after="40"/>
              <w:contextualSpacing/>
              <w:jc w:val="right"/>
              <w:rPr>
                <w:rFonts w:ascii="Arial Narrow" w:hAnsi="Arial Narrow" w:cs="Arial"/>
                <w:i/>
                <w:sz w:val="18"/>
                <w:szCs w:val="14"/>
                <w:highlight w:val="yellow"/>
              </w:rPr>
            </w:pPr>
            <w:r w:rsidRPr="003169EA">
              <w:rPr>
                <w:rFonts w:ascii="Times New Roman" w:hAnsi="Times New Roman"/>
                <w:i/>
                <w:sz w:val="16"/>
                <w:szCs w:val="16"/>
              </w:rPr>
              <w:t>Zdroj: MF SR</w:t>
            </w:r>
          </w:p>
        </w:tc>
      </w:tr>
    </w:tbl>
    <w:p w:rsidR="00176825" w:rsidRPr="00AC52B4" w:rsidRDefault="00176825" w:rsidP="00176825">
      <w:pPr>
        <w:spacing w:after="0" w:line="240" w:lineRule="auto"/>
        <w:jc w:val="both"/>
        <w:rPr>
          <w:rFonts w:ascii="Times New Roman" w:hAnsi="Times New Roman" w:cs="Times New Roman"/>
          <w:sz w:val="24"/>
          <w:szCs w:val="24"/>
          <w:highlight w:val="red"/>
        </w:rPr>
      </w:pPr>
      <w:r w:rsidRPr="00C573D9">
        <w:rPr>
          <w:rFonts w:ascii="Times New Roman" w:hAnsi="Times New Roman" w:cs="Times New Roman"/>
          <w:sz w:val="24"/>
          <w:szCs w:val="24"/>
        </w:rPr>
        <w:t>Vývoj na trhu práce v druhom kvartáli nepriniesol výraznejšie</w:t>
      </w:r>
      <w:r>
        <w:rPr>
          <w:rFonts w:ascii="Times New Roman" w:hAnsi="Times New Roman" w:cs="Times New Roman"/>
          <w:sz w:val="24"/>
          <w:szCs w:val="24"/>
        </w:rPr>
        <w:t xml:space="preserve"> </w:t>
      </w:r>
      <w:r w:rsidRPr="00C573D9">
        <w:rPr>
          <w:rFonts w:ascii="Times New Roman" w:hAnsi="Times New Roman" w:cs="Times New Roman"/>
          <w:sz w:val="24"/>
          <w:szCs w:val="24"/>
        </w:rPr>
        <w:t>prekvapenia.</w:t>
      </w:r>
      <w:r>
        <w:rPr>
          <w:rFonts w:ascii="Times New Roman" w:hAnsi="Times New Roman" w:cs="Times New Roman"/>
          <w:sz w:val="24"/>
          <w:szCs w:val="24"/>
        </w:rPr>
        <w:t xml:space="preserve"> </w:t>
      </w:r>
      <w:r w:rsidRPr="00C573D9">
        <w:rPr>
          <w:rFonts w:ascii="Times New Roman" w:hAnsi="Times New Roman" w:cs="Times New Roman"/>
          <w:sz w:val="24"/>
          <w:szCs w:val="24"/>
        </w:rPr>
        <w:t>Výnos</w:t>
      </w:r>
      <w:r>
        <w:rPr>
          <w:rFonts w:ascii="Times New Roman" w:hAnsi="Times New Roman" w:cs="Times New Roman"/>
          <w:sz w:val="24"/>
          <w:szCs w:val="24"/>
        </w:rPr>
        <w:t>y</w:t>
      </w:r>
      <w:r w:rsidRPr="00C573D9">
        <w:rPr>
          <w:rFonts w:ascii="Times New Roman" w:hAnsi="Times New Roman" w:cs="Times New Roman"/>
          <w:sz w:val="24"/>
          <w:szCs w:val="24"/>
        </w:rPr>
        <w:t xml:space="preserve"> dane z</w:t>
      </w:r>
      <w:r>
        <w:rPr>
          <w:rFonts w:ascii="Times New Roman" w:hAnsi="Times New Roman" w:cs="Times New Roman"/>
          <w:sz w:val="24"/>
          <w:szCs w:val="24"/>
        </w:rPr>
        <w:t xml:space="preserve"> </w:t>
      </w:r>
      <w:r w:rsidRPr="00C573D9">
        <w:rPr>
          <w:rFonts w:ascii="Times New Roman" w:hAnsi="Times New Roman" w:cs="Times New Roman"/>
          <w:sz w:val="24"/>
          <w:szCs w:val="24"/>
        </w:rPr>
        <w:t>príjmov fyzických osôb, sociálnych a zdravotných odvodov sa vyvíjal</w:t>
      </w:r>
      <w:r>
        <w:rPr>
          <w:rFonts w:ascii="Times New Roman" w:hAnsi="Times New Roman" w:cs="Times New Roman"/>
          <w:sz w:val="24"/>
          <w:szCs w:val="24"/>
        </w:rPr>
        <w:t>i</w:t>
      </w:r>
      <w:r w:rsidRPr="00C573D9">
        <w:rPr>
          <w:rFonts w:ascii="Times New Roman" w:hAnsi="Times New Roman" w:cs="Times New Roman"/>
          <w:sz w:val="24"/>
          <w:szCs w:val="24"/>
        </w:rPr>
        <w:t xml:space="preserve"> v súlade s</w:t>
      </w:r>
      <w:r>
        <w:rPr>
          <w:rFonts w:ascii="Times New Roman" w:hAnsi="Times New Roman" w:cs="Times New Roman"/>
          <w:sz w:val="24"/>
          <w:szCs w:val="24"/>
        </w:rPr>
        <w:t> rastom miezd a tvorbou pracovných miest.</w:t>
      </w:r>
      <w:r w:rsidRPr="00C573D9">
        <w:rPr>
          <w:rFonts w:ascii="Times New Roman" w:hAnsi="Times New Roman" w:cs="Times New Roman"/>
          <w:sz w:val="24"/>
          <w:szCs w:val="24"/>
        </w:rPr>
        <w:t xml:space="preserve"> S nástupom tretej vlny sa však očakáva spomalenie</w:t>
      </w:r>
      <w:r>
        <w:rPr>
          <w:rFonts w:ascii="Times New Roman" w:hAnsi="Times New Roman" w:cs="Times New Roman"/>
          <w:sz w:val="24"/>
          <w:szCs w:val="24"/>
        </w:rPr>
        <w:t xml:space="preserve"> rastu nových pracovných miest v poslednom kvartáli</w:t>
      </w:r>
      <w:r w:rsidRPr="00C573D9">
        <w:rPr>
          <w:rFonts w:ascii="Times New Roman" w:hAnsi="Times New Roman" w:cs="Times New Roman"/>
          <w:sz w:val="24"/>
          <w:szCs w:val="24"/>
        </w:rPr>
        <w:t xml:space="preserve"> 2021</w:t>
      </w:r>
      <w:r>
        <w:rPr>
          <w:rFonts w:ascii="Times New Roman" w:hAnsi="Times New Roman" w:cs="Times New Roman"/>
          <w:sz w:val="24"/>
          <w:szCs w:val="24"/>
        </w:rPr>
        <w:t>. Oproti rozpočtu dochádza k nárastu o 239 mil. eur.</w:t>
      </w:r>
    </w:p>
    <w:p w:rsidR="00176825" w:rsidRDefault="00176825" w:rsidP="00176825">
      <w:pPr>
        <w:spacing w:after="0" w:line="240" w:lineRule="auto"/>
        <w:jc w:val="both"/>
        <w:rPr>
          <w:rFonts w:ascii="Times New Roman" w:hAnsi="Times New Roman" w:cs="Times New Roman"/>
          <w:sz w:val="24"/>
          <w:szCs w:val="24"/>
        </w:rPr>
      </w:pPr>
    </w:p>
    <w:p w:rsidR="00176825" w:rsidRPr="00170443" w:rsidRDefault="00176825" w:rsidP="00176825">
      <w:pPr>
        <w:spacing w:after="0" w:line="240" w:lineRule="auto"/>
        <w:jc w:val="both"/>
        <w:rPr>
          <w:rFonts w:ascii="Times New Roman" w:hAnsi="Times New Roman" w:cs="Times New Roman"/>
          <w:sz w:val="24"/>
          <w:szCs w:val="24"/>
        </w:rPr>
      </w:pPr>
      <w:r w:rsidRPr="00170443">
        <w:rPr>
          <w:rFonts w:ascii="Times New Roman" w:hAnsi="Times New Roman" w:cs="Times New Roman"/>
          <w:sz w:val="24"/>
          <w:szCs w:val="24"/>
        </w:rPr>
        <w:t xml:space="preserve">Platby za poistencov štátu v rámci odvodových príjmov predpokladajú oproti schválenému rozpočtu výpadok </w:t>
      </w:r>
      <w:r>
        <w:rPr>
          <w:rFonts w:ascii="Times New Roman" w:hAnsi="Times New Roman" w:cs="Times New Roman"/>
          <w:sz w:val="24"/>
          <w:szCs w:val="24"/>
        </w:rPr>
        <w:t>155</w:t>
      </w:r>
      <w:r w:rsidRPr="00170443">
        <w:rPr>
          <w:rFonts w:ascii="Times New Roman" w:hAnsi="Times New Roman" w:cs="Times New Roman"/>
          <w:sz w:val="24"/>
          <w:szCs w:val="24"/>
        </w:rPr>
        <w:t xml:space="preserve"> mil. eur. Výpadok odvodových príjmov v rámci verejného zdravotného poistenia </w:t>
      </w:r>
      <w:r>
        <w:rPr>
          <w:rFonts w:ascii="Times New Roman" w:hAnsi="Times New Roman" w:cs="Times New Roman"/>
          <w:sz w:val="24"/>
          <w:szCs w:val="24"/>
        </w:rPr>
        <w:t>226</w:t>
      </w:r>
      <w:r w:rsidRPr="00170443">
        <w:rPr>
          <w:rFonts w:ascii="Times New Roman" w:hAnsi="Times New Roman" w:cs="Times New Roman"/>
          <w:sz w:val="24"/>
          <w:szCs w:val="24"/>
        </w:rPr>
        <w:t xml:space="preserve"> mil. eur</w:t>
      </w:r>
      <w:r w:rsidRPr="008D2AF5">
        <w:rPr>
          <w:rStyle w:val="Odkaznapoznmkupodiarou"/>
          <w:rFonts w:ascii="Times New Roman" w:hAnsi="Times New Roman"/>
          <w:szCs w:val="24"/>
        </w:rPr>
        <w:footnoteReference w:id="10"/>
      </w:r>
      <w:r w:rsidRPr="008D2AF5">
        <w:rPr>
          <w:rFonts w:ascii="Times New Roman" w:hAnsi="Times New Roman" w:cs="Times New Roman"/>
          <w:szCs w:val="24"/>
        </w:rPr>
        <w:t xml:space="preserve"> </w:t>
      </w:r>
      <w:r w:rsidRPr="00170443">
        <w:rPr>
          <w:rFonts w:ascii="Times New Roman" w:hAnsi="Times New Roman" w:cs="Times New Roman"/>
          <w:sz w:val="24"/>
          <w:szCs w:val="24"/>
        </w:rPr>
        <w:t>je čiastočne kompenzovaný nárastom odvodových príjmov sociálneho poistenia v</w:t>
      </w:r>
      <w:r>
        <w:rPr>
          <w:rFonts w:ascii="Times New Roman" w:hAnsi="Times New Roman" w:cs="Times New Roman"/>
          <w:sz w:val="24"/>
          <w:szCs w:val="24"/>
        </w:rPr>
        <w:t xml:space="preserve"> sume</w:t>
      </w:r>
      <w:r w:rsidRPr="00170443">
        <w:rPr>
          <w:rFonts w:ascii="Times New Roman" w:hAnsi="Times New Roman" w:cs="Times New Roman"/>
          <w:sz w:val="24"/>
          <w:szCs w:val="24"/>
        </w:rPr>
        <w:t xml:space="preserve"> </w:t>
      </w:r>
      <w:r>
        <w:rPr>
          <w:rFonts w:ascii="Times New Roman" w:hAnsi="Times New Roman" w:cs="Times New Roman"/>
          <w:sz w:val="24"/>
          <w:szCs w:val="24"/>
        </w:rPr>
        <w:t>70,8</w:t>
      </w:r>
      <w:r w:rsidRPr="00170443">
        <w:rPr>
          <w:rFonts w:ascii="Times New Roman" w:hAnsi="Times New Roman" w:cs="Times New Roman"/>
          <w:sz w:val="24"/>
          <w:szCs w:val="24"/>
        </w:rPr>
        <w:t xml:space="preserve"> mil. eur.</w:t>
      </w:r>
    </w:p>
    <w:p w:rsidR="00176825" w:rsidRDefault="00176825" w:rsidP="00176825">
      <w:pPr>
        <w:spacing w:after="0" w:line="240" w:lineRule="auto"/>
        <w:jc w:val="both"/>
        <w:rPr>
          <w:rFonts w:ascii="Times New Roman" w:hAnsi="Times New Roman" w:cs="Times New Roman"/>
          <w:sz w:val="24"/>
          <w:szCs w:val="24"/>
        </w:rPr>
      </w:pPr>
    </w:p>
    <w:p w:rsidR="00176825" w:rsidRPr="008D2AF5" w:rsidRDefault="00176825" w:rsidP="00176825">
      <w:pPr>
        <w:spacing w:after="0" w:line="240" w:lineRule="auto"/>
        <w:jc w:val="both"/>
        <w:rPr>
          <w:rFonts w:ascii="Times New Roman" w:hAnsi="Times New Roman" w:cs="Times New Roman"/>
          <w:sz w:val="24"/>
          <w:szCs w:val="24"/>
          <w:vertAlign w:val="superscript"/>
        </w:rPr>
      </w:pPr>
      <w:r w:rsidRPr="00170443">
        <w:rPr>
          <w:rFonts w:ascii="Times New Roman" w:hAnsi="Times New Roman" w:cs="Times New Roman"/>
          <w:sz w:val="24"/>
          <w:szCs w:val="24"/>
        </w:rPr>
        <w:t>Ostatné daňové príjmy</w:t>
      </w:r>
      <w:r w:rsidRPr="008D2AF5">
        <w:rPr>
          <w:rStyle w:val="Odkaznapoznmkupodiarou"/>
          <w:rFonts w:ascii="Times New Roman" w:hAnsi="Times New Roman"/>
        </w:rPr>
        <w:footnoteReference w:id="11"/>
      </w:r>
      <w:r w:rsidRPr="008D2AF5">
        <w:rPr>
          <w:rFonts w:ascii="Times New Roman" w:hAnsi="Times New Roman" w:cs="Times New Roman"/>
          <w:szCs w:val="24"/>
        </w:rPr>
        <w:t xml:space="preserve"> </w:t>
      </w:r>
      <w:r w:rsidRPr="007479C0">
        <w:rPr>
          <w:rFonts w:ascii="Times New Roman" w:hAnsi="Times New Roman" w:cs="Times New Roman"/>
          <w:sz w:val="24"/>
          <w:szCs w:val="24"/>
        </w:rPr>
        <w:t>predpokladajú</w:t>
      </w:r>
      <w:r w:rsidRPr="00170443">
        <w:rPr>
          <w:rFonts w:ascii="Times New Roman" w:hAnsi="Times New Roman" w:cs="Times New Roman"/>
          <w:sz w:val="24"/>
          <w:szCs w:val="24"/>
        </w:rPr>
        <w:t xml:space="preserve"> negatívny vplyv na schodok roz</w:t>
      </w:r>
      <w:r>
        <w:rPr>
          <w:rFonts w:ascii="Times New Roman" w:hAnsi="Times New Roman" w:cs="Times New Roman"/>
          <w:sz w:val="24"/>
          <w:szCs w:val="24"/>
        </w:rPr>
        <w:t xml:space="preserve">počtu verejnej správy na úrovni 24,2 </w:t>
      </w:r>
      <w:r w:rsidRPr="00170443">
        <w:rPr>
          <w:rFonts w:ascii="Times New Roman" w:hAnsi="Times New Roman" w:cs="Times New Roman"/>
          <w:sz w:val="24"/>
          <w:szCs w:val="24"/>
        </w:rPr>
        <w:t>mil. eur</w:t>
      </w:r>
      <w:r w:rsidRPr="008D2AF5">
        <w:rPr>
          <w:rStyle w:val="Odkaznapoznmkupodiarou"/>
          <w:rFonts w:ascii="Times New Roman" w:hAnsi="Times New Roman"/>
          <w:szCs w:val="24"/>
        </w:rPr>
        <w:footnoteReference w:id="12"/>
      </w:r>
      <w:r w:rsidRPr="00170443">
        <w:rPr>
          <w:rFonts w:ascii="Times New Roman" w:hAnsi="Times New Roman" w:cs="Times New Roman"/>
          <w:sz w:val="24"/>
          <w:szCs w:val="24"/>
        </w:rPr>
        <w:t xml:space="preserve">. </w:t>
      </w:r>
    </w:p>
    <w:p w:rsidR="00176825" w:rsidRDefault="00176825" w:rsidP="007B4FDF">
      <w:pPr>
        <w:spacing w:after="0" w:line="240" w:lineRule="auto"/>
        <w:jc w:val="both"/>
        <w:rPr>
          <w:rFonts w:ascii="Times New Roman" w:hAnsi="Times New Roman" w:cs="Times New Roman"/>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24" w:name="_Toc79153408"/>
      <w:r>
        <w:rPr>
          <w:rFonts w:ascii="Times New Roman" w:hAnsi="Times New Roman" w:cs="Times New Roman"/>
          <w:b/>
          <w:color w:val="5B9BD5" w:themeColor="accent1"/>
        </w:rPr>
        <w:t xml:space="preserve">2.1.2. </w:t>
      </w:r>
      <w:r w:rsidR="007B4FDF" w:rsidRPr="0080040F">
        <w:rPr>
          <w:rFonts w:ascii="Times New Roman" w:hAnsi="Times New Roman" w:cs="Times New Roman"/>
          <w:b/>
          <w:color w:val="5B9BD5" w:themeColor="accent1"/>
        </w:rPr>
        <w:t>Iné ako daňové príjmy verejnej správy (bez samosprávy)</w:t>
      </w:r>
      <w:bookmarkEnd w:id="24"/>
    </w:p>
    <w:p w:rsidR="007B4FDF" w:rsidRDefault="007B4FDF" w:rsidP="007B4FDF">
      <w:pPr>
        <w:spacing w:after="0" w:line="240" w:lineRule="auto"/>
        <w:contextualSpacing/>
        <w:jc w:val="both"/>
        <w:rPr>
          <w:rFonts w:ascii="Times New Roman" w:hAnsi="Times New Roman" w:cs="Times New Roman"/>
          <w:sz w:val="24"/>
          <w:szCs w:val="24"/>
        </w:rPr>
      </w:pPr>
    </w:p>
    <w:p w:rsidR="00B872B2" w:rsidRDefault="00B872B2" w:rsidP="00B872B2">
      <w:pPr>
        <w:spacing w:after="0" w:line="240" w:lineRule="auto"/>
        <w:jc w:val="both"/>
        <w:rPr>
          <w:rFonts w:ascii="Times New Roman" w:hAnsi="Times New Roman" w:cs="Times New Roman"/>
          <w:sz w:val="24"/>
          <w:szCs w:val="24"/>
        </w:rPr>
      </w:pPr>
      <w:r w:rsidRPr="00D05F44">
        <w:rPr>
          <w:rFonts w:ascii="Times New Roman" w:hAnsi="Times New Roman" w:cs="Times New Roman"/>
          <w:sz w:val="24"/>
          <w:szCs w:val="24"/>
        </w:rPr>
        <w:t xml:space="preserve">V rámci týchto príjmov sa predpokladá prekročenie rozpočtu </w:t>
      </w:r>
      <w:r>
        <w:rPr>
          <w:rFonts w:ascii="Times New Roman" w:hAnsi="Times New Roman" w:cs="Times New Roman"/>
          <w:sz w:val="24"/>
          <w:szCs w:val="24"/>
        </w:rPr>
        <w:t xml:space="preserve">celkovo </w:t>
      </w:r>
      <w:r w:rsidRPr="00D05F44">
        <w:rPr>
          <w:rFonts w:ascii="Times New Roman" w:hAnsi="Times New Roman" w:cs="Times New Roman"/>
          <w:sz w:val="24"/>
          <w:szCs w:val="24"/>
        </w:rPr>
        <w:t>o 15,2 mil. eur</w:t>
      </w:r>
      <w:r>
        <w:rPr>
          <w:rFonts w:ascii="Times New Roman" w:hAnsi="Times New Roman" w:cs="Times New Roman"/>
          <w:sz w:val="24"/>
          <w:szCs w:val="24"/>
        </w:rPr>
        <w:t>. N</w:t>
      </w:r>
      <w:r w:rsidRPr="00D05F44">
        <w:rPr>
          <w:rFonts w:ascii="Times New Roman" w:hAnsi="Times New Roman" w:cs="Times New Roman"/>
          <w:sz w:val="24"/>
          <w:szCs w:val="24"/>
        </w:rPr>
        <w:t>árast grantov a</w:t>
      </w:r>
      <w:r>
        <w:rPr>
          <w:rFonts w:ascii="Times New Roman" w:hAnsi="Times New Roman" w:cs="Times New Roman"/>
          <w:sz w:val="24"/>
          <w:szCs w:val="24"/>
        </w:rPr>
        <w:t> </w:t>
      </w:r>
      <w:r w:rsidRPr="00D05F44">
        <w:rPr>
          <w:rFonts w:ascii="Times New Roman" w:hAnsi="Times New Roman" w:cs="Times New Roman"/>
          <w:sz w:val="24"/>
          <w:szCs w:val="24"/>
        </w:rPr>
        <w:t>transferov</w:t>
      </w:r>
      <w:r>
        <w:rPr>
          <w:rFonts w:ascii="Times New Roman" w:hAnsi="Times New Roman" w:cs="Times New Roman"/>
          <w:sz w:val="24"/>
          <w:szCs w:val="24"/>
        </w:rPr>
        <w:t>, v zmysle metodiky ESA 2010</w:t>
      </w:r>
      <w:r w:rsidRPr="008D2AF5">
        <w:rPr>
          <w:rStyle w:val="Odkaznapoznmkupodiarou"/>
          <w:rFonts w:ascii="Times New Roman" w:hAnsi="Times New Roman"/>
        </w:rPr>
        <w:footnoteReference w:id="13"/>
      </w:r>
      <w:r>
        <w:rPr>
          <w:rFonts w:ascii="Times New Roman" w:hAnsi="Times New Roman" w:cs="Times New Roman"/>
          <w:sz w:val="24"/>
          <w:szCs w:val="24"/>
        </w:rPr>
        <w:t>, sa očakáva</w:t>
      </w:r>
      <w:r w:rsidRPr="00D05F44">
        <w:rPr>
          <w:rFonts w:ascii="Times New Roman" w:hAnsi="Times New Roman" w:cs="Times New Roman"/>
          <w:sz w:val="24"/>
          <w:szCs w:val="24"/>
        </w:rPr>
        <w:t xml:space="preserve"> vo výške 113 mil. eur. </w:t>
      </w:r>
      <w:r w:rsidRPr="00235009">
        <w:rPr>
          <w:rFonts w:ascii="Times New Roman" w:hAnsi="Times New Roman" w:cs="Times New Roman"/>
          <w:sz w:val="24"/>
          <w:szCs w:val="24"/>
        </w:rPr>
        <w:t xml:space="preserve">V rámci štátneho rozpočtu ide o nárast </w:t>
      </w:r>
      <w:r>
        <w:rPr>
          <w:rFonts w:ascii="Times New Roman" w:hAnsi="Times New Roman" w:cs="Times New Roman"/>
          <w:sz w:val="24"/>
          <w:szCs w:val="24"/>
        </w:rPr>
        <w:t>na úrovni</w:t>
      </w:r>
      <w:r w:rsidRPr="00235009">
        <w:rPr>
          <w:rFonts w:ascii="Times New Roman" w:hAnsi="Times New Roman" w:cs="Times New Roman"/>
          <w:sz w:val="24"/>
          <w:szCs w:val="24"/>
        </w:rPr>
        <w:t xml:space="preserve"> 90,2 mil. eur, a to najmä z dôvodu vyšších príjmov štátneho rozpočtu zo zúčtovania finančných vzťahov so štátnym rozpočtom (46,0 mil. eur) a </w:t>
      </w:r>
      <w:r w:rsidRPr="00D05F44">
        <w:rPr>
          <w:rFonts w:ascii="Times New Roman" w:hAnsi="Times New Roman" w:cs="Times New Roman"/>
          <w:sz w:val="24"/>
          <w:szCs w:val="24"/>
        </w:rPr>
        <w:t>príjm</w:t>
      </w:r>
      <w:r>
        <w:rPr>
          <w:rFonts w:ascii="Times New Roman" w:hAnsi="Times New Roman" w:cs="Times New Roman"/>
          <w:sz w:val="24"/>
          <w:szCs w:val="24"/>
        </w:rPr>
        <w:t>u</w:t>
      </w:r>
      <w:r w:rsidRPr="00D05F44">
        <w:rPr>
          <w:rFonts w:ascii="Times New Roman" w:hAnsi="Times New Roman" w:cs="Times New Roman"/>
          <w:sz w:val="24"/>
          <w:szCs w:val="24"/>
        </w:rPr>
        <w:t xml:space="preserve"> štátnych finančných aktív zo splátky návratnej finančnej výpomoci od Národnej transfúznej služby SR</w:t>
      </w:r>
      <w:r>
        <w:rPr>
          <w:rFonts w:ascii="Times New Roman" w:hAnsi="Times New Roman" w:cs="Times New Roman"/>
          <w:sz w:val="24"/>
          <w:szCs w:val="24"/>
        </w:rPr>
        <w:t xml:space="preserve"> vo výške 28,0 mil. eur</w:t>
      </w:r>
      <w:r w:rsidRPr="00D05F44">
        <w:rPr>
          <w:rFonts w:ascii="Times New Roman" w:hAnsi="Times New Roman" w:cs="Times New Roman"/>
          <w:sz w:val="24"/>
          <w:szCs w:val="24"/>
        </w:rPr>
        <w:t>.</w:t>
      </w:r>
      <w:r w:rsidRPr="00235009">
        <w:rPr>
          <w:rFonts w:ascii="Times New Roman" w:hAnsi="Times New Roman" w:cs="Times New Roman"/>
          <w:sz w:val="24"/>
          <w:szCs w:val="24"/>
        </w:rPr>
        <w:t xml:space="preserve"> V rámci Železníc SR sa očakávajú zvýšené zahraničné granty na úrovni 18,0 mil. eur. </w:t>
      </w:r>
      <w:r w:rsidRPr="00D05F44">
        <w:rPr>
          <w:rFonts w:ascii="Times New Roman" w:hAnsi="Times New Roman" w:cs="Times New Roman"/>
          <w:sz w:val="24"/>
          <w:szCs w:val="24"/>
        </w:rPr>
        <w:t>Príjem z dôchodkov z majetku sa očakáva vyšší o 10,0 mil. eur.</w:t>
      </w:r>
    </w:p>
    <w:p w:rsidR="00B872B2" w:rsidRDefault="00B872B2" w:rsidP="00B872B2">
      <w:pPr>
        <w:spacing w:after="0" w:line="240" w:lineRule="auto"/>
        <w:jc w:val="both"/>
        <w:rPr>
          <w:rFonts w:ascii="Times New Roman" w:hAnsi="Times New Roman" w:cs="Times New Roman"/>
          <w:sz w:val="24"/>
          <w:szCs w:val="24"/>
        </w:rPr>
      </w:pPr>
    </w:p>
    <w:p w:rsidR="00B872B2" w:rsidRPr="00146EA1" w:rsidRDefault="004947DE" w:rsidP="00B872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Negatívum predstavuje výpadok</w:t>
      </w:r>
      <w:r w:rsidR="00B872B2" w:rsidRPr="00D05F44">
        <w:rPr>
          <w:rFonts w:ascii="Times New Roman" w:hAnsi="Times New Roman" w:cs="Times New Roman"/>
          <w:sz w:val="24"/>
          <w:szCs w:val="24"/>
        </w:rPr>
        <w:t xml:space="preserve"> príjmov z tržieb 108 mil. eur, pričom výpadok tržieb spoločností rezortu dopravy predstavuje 110 mil. eur. Najväčší výpadok príjmov sa predpokladá pri Národnej diaľničnej spoločnosti, a. s., a to 55,0 mil. eur. Železničná spoločnosť Slovensko predpokladá výpadok tržieb na úrovni 48,5 mil. eur. </w:t>
      </w:r>
    </w:p>
    <w:p w:rsidR="007B4FDF" w:rsidRDefault="007B4FDF" w:rsidP="007B4FDF">
      <w:pPr>
        <w:spacing w:after="0" w:line="240" w:lineRule="auto"/>
        <w:jc w:val="both"/>
        <w:rPr>
          <w:rFonts w:ascii="Times New Roman" w:hAnsi="Times New Roman" w:cs="Times New Roman"/>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25" w:name="_Toc79153409"/>
      <w:r w:rsidRPr="0080040F">
        <w:rPr>
          <w:rFonts w:ascii="Times New Roman" w:hAnsi="Times New Roman" w:cs="Times New Roman"/>
          <w:b/>
          <w:color w:val="5B9BD5" w:themeColor="accent1"/>
        </w:rPr>
        <w:t xml:space="preserve">2.1.3. </w:t>
      </w:r>
      <w:r w:rsidR="007B4FDF" w:rsidRPr="0080040F">
        <w:rPr>
          <w:rFonts w:ascii="Times New Roman" w:hAnsi="Times New Roman" w:cs="Times New Roman"/>
          <w:b/>
          <w:color w:val="5B9BD5" w:themeColor="accent1"/>
        </w:rPr>
        <w:t>Výdavky štátneho rozpočtu</w:t>
      </w:r>
      <w:bookmarkEnd w:id="25"/>
    </w:p>
    <w:p w:rsidR="007B4FDF" w:rsidRDefault="007B4FDF" w:rsidP="007B4FDF">
      <w:pPr>
        <w:spacing w:after="0" w:line="240" w:lineRule="auto"/>
        <w:jc w:val="both"/>
        <w:rPr>
          <w:rFonts w:ascii="Times New Roman" w:hAnsi="Times New Roman" w:cs="Times New Roman"/>
          <w:sz w:val="24"/>
          <w:szCs w:val="24"/>
        </w:rPr>
      </w:pPr>
    </w:p>
    <w:p w:rsidR="00B872B2" w:rsidRDefault="00B872B2" w:rsidP="00B872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rámci výdavkov štátneho rozpočtu, v metodike ESA 2010 na konsolidovanej báze, sa </w:t>
      </w:r>
      <w:r w:rsidRPr="00335185">
        <w:rPr>
          <w:rFonts w:ascii="Times New Roman" w:hAnsi="Times New Roman" w:cs="Times New Roman"/>
          <w:sz w:val="24"/>
          <w:szCs w:val="24"/>
        </w:rPr>
        <w:t xml:space="preserve">očakáva prekročenie schváleného rozpočtu o 648 mil. eur. Hlavným dôvodom je financovanie </w:t>
      </w:r>
      <w:r w:rsidR="00D25E8C">
        <w:rPr>
          <w:rFonts w:ascii="Times New Roman" w:hAnsi="Times New Roman" w:cs="Times New Roman"/>
          <w:sz w:val="24"/>
          <w:szCs w:val="24"/>
        </w:rPr>
        <w:t>opatrení proti pandémii COVID-</w:t>
      </w:r>
      <w:r w:rsidR="005D5804">
        <w:rPr>
          <w:rFonts w:ascii="Times New Roman" w:hAnsi="Times New Roman" w:cs="Times New Roman"/>
          <w:sz w:val="24"/>
          <w:szCs w:val="24"/>
        </w:rPr>
        <w:t>19 vo výške 1,32 mld. eur (nad rámec „Rezervy na negatívne vplyvy pandémie ochorenia COVID-19“</w:t>
      </w:r>
      <w:r w:rsidR="00985376">
        <w:rPr>
          <w:rFonts w:ascii="Times New Roman" w:hAnsi="Times New Roman" w:cs="Times New Roman"/>
          <w:sz w:val="24"/>
          <w:szCs w:val="24"/>
        </w:rPr>
        <w:t>, ktorej použitie je uvedené v tabuľke</w:t>
      </w:r>
      <w:r w:rsidR="005D5804">
        <w:rPr>
          <w:rFonts w:ascii="Times New Roman" w:hAnsi="Times New Roman" w:cs="Times New Roman"/>
          <w:sz w:val="24"/>
          <w:szCs w:val="24"/>
        </w:rPr>
        <w:t xml:space="preserve"> č. 3).</w:t>
      </w:r>
    </w:p>
    <w:p w:rsidR="00B932F5" w:rsidRDefault="00B932F5" w:rsidP="00B872B2">
      <w:pPr>
        <w:spacing w:after="0" w:line="240" w:lineRule="auto"/>
        <w:jc w:val="both"/>
        <w:rPr>
          <w:rFonts w:ascii="Times New Roman" w:hAnsi="Times New Roman" w:cs="Times New Roman"/>
          <w:sz w:val="24"/>
          <w:szCs w:val="24"/>
        </w:rPr>
      </w:pPr>
    </w:p>
    <w:p w:rsidR="00B932F5" w:rsidRDefault="00B932F5" w:rsidP="00B872B2">
      <w:pPr>
        <w:spacing w:after="0" w:line="240" w:lineRule="auto"/>
        <w:jc w:val="both"/>
        <w:rPr>
          <w:rFonts w:ascii="Times New Roman" w:hAnsi="Times New Roman" w:cs="Times New Roman"/>
          <w:sz w:val="24"/>
          <w:szCs w:val="24"/>
        </w:rPr>
      </w:pPr>
    </w:p>
    <w:p w:rsidR="00B932F5" w:rsidRDefault="00B932F5" w:rsidP="00B872B2">
      <w:pPr>
        <w:spacing w:after="0" w:line="240" w:lineRule="auto"/>
        <w:jc w:val="both"/>
        <w:rPr>
          <w:rFonts w:ascii="Times New Roman" w:hAnsi="Times New Roman" w:cs="Times New Roman"/>
          <w:sz w:val="24"/>
          <w:szCs w:val="24"/>
        </w:rPr>
      </w:pPr>
    </w:p>
    <w:p w:rsidR="00B932F5" w:rsidRDefault="00B932F5" w:rsidP="00B872B2">
      <w:pPr>
        <w:spacing w:after="0" w:line="240" w:lineRule="auto"/>
        <w:jc w:val="both"/>
        <w:rPr>
          <w:rFonts w:ascii="Times New Roman" w:hAnsi="Times New Roman" w:cs="Times New Roman"/>
          <w:sz w:val="24"/>
          <w:szCs w:val="24"/>
        </w:rPr>
      </w:pPr>
    </w:p>
    <w:p w:rsidR="00B932F5" w:rsidRDefault="00B932F5" w:rsidP="00B872B2">
      <w:pPr>
        <w:spacing w:after="0" w:line="240" w:lineRule="auto"/>
        <w:jc w:val="both"/>
        <w:rPr>
          <w:rFonts w:ascii="Times New Roman" w:hAnsi="Times New Roman" w:cs="Times New Roman"/>
          <w:sz w:val="24"/>
          <w:szCs w:val="24"/>
        </w:rPr>
      </w:pPr>
    </w:p>
    <w:p w:rsidR="00B872B2" w:rsidRDefault="00B872B2" w:rsidP="00B872B2">
      <w:pPr>
        <w:spacing w:after="0" w:line="240" w:lineRule="auto"/>
        <w:jc w:val="both"/>
        <w:rPr>
          <w:rFonts w:ascii="Times New Roman" w:hAnsi="Times New Roman" w:cs="Times New Roman"/>
          <w:sz w:val="24"/>
          <w:szCs w:val="24"/>
        </w:rPr>
      </w:pPr>
    </w:p>
    <w:p w:rsidR="00B872B2" w:rsidRPr="00B872B2" w:rsidRDefault="00B872B2" w:rsidP="00B872B2">
      <w:pPr>
        <w:pStyle w:val="Popis"/>
        <w:keepNext/>
        <w:spacing w:after="0"/>
        <w:rPr>
          <w:rFonts w:ascii="Times New Roman" w:hAnsi="Times New Roman" w:cs="Times New Roman"/>
          <w:b/>
          <w:i w:val="0"/>
          <w:color w:val="5B9BD5" w:themeColor="accent1"/>
          <w:sz w:val="20"/>
          <w:szCs w:val="20"/>
        </w:rPr>
      </w:pPr>
      <w:bookmarkStart w:id="26" w:name="_Toc84845229"/>
      <w:r w:rsidRPr="00B872B2">
        <w:rPr>
          <w:rFonts w:ascii="Times New Roman" w:hAnsi="Times New Roman" w:cs="Times New Roman"/>
          <w:b/>
          <w:i w:val="0"/>
          <w:color w:val="5B9BD5" w:themeColor="accent1"/>
          <w:sz w:val="20"/>
          <w:szCs w:val="20"/>
        </w:rPr>
        <w:t xml:space="preserve">Tabuľka </w:t>
      </w:r>
      <w:r w:rsidRPr="00B872B2">
        <w:rPr>
          <w:rFonts w:ascii="Times New Roman" w:hAnsi="Times New Roman" w:cs="Times New Roman"/>
          <w:b/>
          <w:i w:val="0"/>
          <w:color w:val="5B9BD5" w:themeColor="accent1"/>
          <w:sz w:val="20"/>
          <w:szCs w:val="20"/>
        </w:rPr>
        <w:fldChar w:fldCharType="begin"/>
      </w:r>
      <w:r w:rsidRPr="00B872B2">
        <w:rPr>
          <w:rFonts w:ascii="Times New Roman" w:hAnsi="Times New Roman" w:cs="Times New Roman"/>
          <w:b/>
          <w:i w:val="0"/>
          <w:color w:val="5B9BD5" w:themeColor="accent1"/>
          <w:sz w:val="20"/>
          <w:szCs w:val="20"/>
        </w:rPr>
        <w:instrText xml:space="preserve"> SEQ Tabuľka \* ARABIC </w:instrText>
      </w:r>
      <w:r w:rsidRPr="00B872B2">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5</w:t>
      </w:r>
      <w:r w:rsidRPr="00B872B2">
        <w:rPr>
          <w:rFonts w:ascii="Times New Roman" w:hAnsi="Times New Roman" w:cs="Times New Roman"/>
          <w:b/>
          <w:i w:val="0"/>
          <w:color w:val="5B9BD5" w:themeColor="accent1"/>
          <w:sz w:val="20"/>
          <w:szCs w:val="20"/>
        </w:rPr>
        <w:fldChar w:fldCharType="end"/>
      </w:r>
      <w:r w:rsidRPr="00B872B2">
        <w:rPr>
          <w:rFonts w:ascii="Times New Roman" w:hAnsi="Times New Roman" w:cs="Times New Roman"/>
          <w:b/>
          <w:i w:val="0"/>
          <w:color w:val="5B9BD5" w:themeColor="accent1"/>
          <w:sz w:val="20"/>
          <w:szCs w:val="20"/>
        </w:rPr>
        <w:t xml:space="preserve"> - Vý</w:t>
      </w:r>
      <w:r w:rsidR="00D25E8C">
        <w:rPr>
          <w:rFonts w:ascii="Times New Roman" w:hAnsi="Times New Roman" w:cs="Times New Roman"/>
          <w:b/>
          <w:i w:val="0"/>
          <w:color w:val="5B9BD5" w:themeColor="accent1"/>
          <w:sz w:val="20"/>
          <w:szCs w:val="20"/>
        </w:rPr>
        <w:t>davky štátneho rozpočtu – COVID–</w:t>
      </w:r>
      <w:r w:rsidRPr="00B872B2">
        <w:rPr>
          <w:rFonts w:ascii="Times New Roman" w:hAnsi="Times New Roman" w:cs="Times New Roman"/>
          <w:b/>
          <w:i w:val="0"/>
          <w:color w:val="5B9BD5" w:themeColor="accent1"/>
          <w:sz w:val="20"/>
          <w:szCs w:val="20"/>
        </w:rPr>
        <w:t>19</w:t>
      </w:r>
      <w:bookmarkEnd w:id="26"/>
    </w:p>
    <w:tbl>
      <w:tblPr>
        <w:tblW w:w="5000" w:type="pct"/>
        <w:jc w:val="center"/>
        <w:tblLayout w:type="fixed"/>
        <w:tblCellMar>
          <w:left w:w="70" w:type="dxa"/>
          <w:right w:w="70" w:type="dxa"/>
        </w:tblCellMar>
        <w:tblLook w:val="04A0" w:firstRow="1" w:lastRow="0" w:firstColumn="1" w:lastColumn="0" w:noHBand="0" w:noVBand="1"/>
      </w:tblPr>
      <w:tblGrid>
        <w:gridCol w:w="7089"/>
        <w:gridCol w:w="1136"/>
        <w:gridCol w:w="847"/>
      </w:tblGrid>
      <w:tr w:rsidR="00B872B2" w:rsidRPr="005277EE" w:rsidTr="00B872B2">
        <w:trPr>
          <w:trHeight w:val="255"/>
          <w:jc w:val="center"/>
        </w:trPr>
        <w:tc>
          <w:tcPr>
            <w:tcW w:w="3907" w:type="pct"/>
            <w:tcBorders>
              <w:top w:val="single" w:sz="4" w:space="0" w:color="auto"/>
              <w:left w:val="nil"/>
              <w:bottom w:val="single" w:sz="4" w:space="0" w:color="auto"/>
              <w:right w:val="nil"/>
            </w:tcBorders>
            <w:shd w:val="clear" w:color="auto" w:fill="auto"/>
            <w:vAlign w:val="center"/>
            <w:hideMark/>
          </w:tcPr>
          <w:p w:rsidR="00B872B2" w:rsidRPr="005277EE" w:rsidRDefault="00B872B2" w:rsidP="003B3897">
            <w:pPr>
              <w:spacing w:after="0" w:line="240" w:lineRule="auto"/>
              <w:rPr>
                <w:rFonts w:ascii="Times New Roman" w:eastAsia="Times New Roman" w:hAnsi="Times New Roman" w:cs="Times New Roman"/>
                <w:b/>
                <w:bCs/>
                <w:sz w:val="16"/>
                <w:szCs w:val="16"/>
                <w:lang w:eastAsia="sk-SK"/>
              </w:rPr>
            </w:pPr>
            <w:r w:rsidRPr="005277EE">
              <w:rPr>
                <w:rFonts w:ascii="Times New Roman" w:eastAsia="Times New Roman" w:hAnsi="Times New Roman" w:cs="Times New Roman"/>
                <w:i/>
                <w:iCs/>
                <w:sz w:val="16"/>
                <w:szCs w:val="16"/>
                <w:lang w:eastAsia="sk-SK"/>
              </w:rPr>
              <w:t>(v mil. eur; ESA</w:t>
            </w:r>
            <w:r>
              <w:rPr>
                <w:rFonts w:ascii="Times New Roman" w:eastAsia="Times New Roman" w:hAnsi="Times New Roman" w:cs="Times New Roman"/>
                <w:i/>
                <w:iCs/>
                <w:sz w:val="16"/>
                <w:szCs w:val="16"/>
                <w:lang w:eastAsia="sk-SK"/>
              </w:rPr>
              <w:t xml:space="preserve"> </w:t>
            </w:r>
            <w:r w:rsidRPr="005277EE">
              <w:rPr>
                <w:rFonts w:ascii="Times New Roman" w:eastAsia="Times New Roman" w:hAnsi="Times New Roman" w:cs="Times New Roman"/>
                <w:i/>
                <w:iCs/>
                <w:sz w:val="16"/>
                <w:szCs w:val="16"/>
                <w:lang w:eastAsia="sk-SK"/>
              </w:rPr>
              <w:t>2010 na konsolidovanej báze)</w:t>
            </w:r>
          </w:p>
        </w:tc>
        <w:tc>
          <w:tcPr>
            <w:tcW w:w="626" w:type="pct"/>
            <w:tcBorders>
              <w:top w:val="single" w:sz="4" w:space="0" w:color="auto"/>
              <w:left w:val="nil"/>
              <w:bottom w:val="single" w:sz="4" w:space="0" w:color="auto"/>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b/>
                <w:bCs/>
                <w:sz w:val="16"/>
                <w:szCs w:val="16"/>
                <w:lang w:eastAsia="sk-SK"/>
              </w:rPr>
            </w:pPr>
            <w:r w:rsidRPr="005277EE">
              <w:rPr>
                <w:rFonts w:ascii="Times New Roman" w:eastAsia="Times New Roman" w:hAnsi="Times New Roman" w:cs="Times New Roman"/>
                <w:b/>
                <w:bCs/>
                <w:sz w:val="16"/>
                <w:szCs w:val="16"/>
                <w:lang w:eastAsia="sk-SK"/>
              </w:rPr>
              <w:t>SPOLU</w:t>
            </w:r>
          </w:p>
        </w:tc>
        <w:tc>
          <w:tcPr>
            <w:tcW w:w="467" w:type="pct"/>
            <w:tcBorders>
              <w:top w:val="single" w:sz="4" w:space="0" w:color="auto"/>
              <w:left w:val="nil"/>
              <w:bottom w:val="single" w:sz="4" w:space="0" w:color="auto"/>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b/>
                <w:bCs/>
                <w:sz w:val="16"/>
                <w:szCs w:val="16"/>
                <w:lang w:eastAsia="sk-SK"/>
              </w:rPr>
            </w:pPr>
            <w:r w:rsidRPr="005277EE">
              <w:rPr>
                <w:rFonts w:ascii="Times New Roman" w:eastAsia="Times New Roman" w:hAnsi="Times New Roman" w:cs="Times New Roman"/>
                <w:b/>
                <w:bCs/>
                <w:sz w:val="16"/>
                <w:szCs w:val="16"/>
                <w:lang w:eastAsia="sk-SK"/>
              </w:rPr>
              <w:t>-1 318,2</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Prvá pomoc ++</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-570,4</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 xml:space="preserve">Prvá pomoc - semafor </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-244,0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Humanitárna pomoc</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-3,6</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SOS dotácie</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-30,0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891C96">
              <w:rPr>
                <w:rFonts w:ascii="Times New Roman" w:eastAsia="Times New Roman" w:hAnsi="Times New Roman" w:cs="Times New Roman"/>
                <w:sz w:val="16"/>
                <w:szCs w:val="16"/>
                <w:lang w:eastAsia="sk-SK"/>
              </w:rPr>
              <w:t>Pandemický rodičovský príspevok</w:t>
            </w:r>
          </w:p>
        </w:tc>
        <w:tc>
          <w:tcPr>
            <w:tcW w:w="626"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jc w:val="center"/>
              <w:rPr>
                <w:rFonts w:ascii="Times New Roman" w:eastAsia="Times New Roman" w:hAnsi="Times New Roman" w:cs="Times New Roman"/>
                <w:sz w:val="16"/>
                <w:szCs w:val="16"/>
                <w:lang w:eastAsia="sk-SK"/>
              </w:rPr>
            </w:pPr>
            <w:r w:rsidRPr="00891C96">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891C96">
              <w:rPr>
                <w:rFonts w:ascii="Times New Roman" w:eastAsia="Times New Roman" w:hAnsi="Times New Roman" w:cs="Times New Roman"/>
                <w:sz w:val="16"/>
                <w:szCs w:val="16"/>
                <w:lang w:eastAsia="sk-SK"/>
              </w:rPr>
              <w:t>-25,0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Jednorazový prídavok na dieťa 333 eur pre 13,5 tis. detí v hmotnej núdzi</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-4,3</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Jednorazové zvýšenie prídavku na dieťa o 74,50 eur za mesiac september</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MPSVR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-70,3</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Liek Bamlanivimab, Veklury a Regeneron</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MZ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-26,7</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Vakcíny (Pfizer, Moderna, Astra Zeneca, Sputnik)</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MZ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-65,2</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COVID zákon - kúpeľná starostlivosť pre post covidových pacientov</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MZ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-1,0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Distribúcia liekov a zdravotníckych pomôcok MZ ako subjektu HM</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MZ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-0,6</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7479C0">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 xml:space="preserve">Dotácie na zníženie strát v cestnej doprave </w:t>
            </w:r>
            <w:r w:rsidR="007479C0">
              <w:rPr>
                <w:rFonts w:ascii="Times New Roman" w:eastAsia="Times New Roman" w:hAnsi="Times New Roman" w:cs="Times New Roman"/>
                <w:sz w:val="16"/>
                <w:szCs w:val="16"/>
                <w:lang w:eastAsia="sk-SK"/>
              </w:rPr>
              <w:t>– medzinár. autobus. doprava, autoškoly, strediská vzd.</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MDV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-20,0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Pomoc cestovný ruch a gastro de-minimis</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MDV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-120,3</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Pomoc cestovný ruch a gastroveľká schéma</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MDV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-37,3</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891C96">
              <w:rPr>
                <w:rFonts w:ascii="Times New Roman" w:eastAsia="Times New Roman" w:hAnsi="Times New Roman" w:cs="Times New Roman"/>
                <w:sz w:val="16"/>
                <w:szCs w:val="16"/>
                <w:lang w:eastAsia="sk-SK"/>
              </w:rPr>
              <w:t xml:space="preserve">Dotácia na nájomné </w:t>
            </w:r>
          </w:p>
        </w:tc>
        <w:tc>
          <w:tcPr>
            <w:tcW w:w="626"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jc w:val="center"/>
              <w:rPr>
                <w:rFonts w:ascii="Times New Roman" w:eastAsia="Times New Roman" w:hAnsi="Times New Roman" w:cs="Times New Roman"/>
                <w:sz w:val="16"/>
                <w:szCs w:val="16"/>
                <w:lang w:eastAsia="sk-SK"/>
              </w:rPr>
            </w:pPr>
            <w:r w:rsidRPr="00891C96">
              <w:rPr>
                <w:rFonts w:ascii="Times New Roman" w:eastAsia="Times New Roman" w:hAnsi="Times New Roman" w:cs="Times New Roman"/>
                <w:sz w:val="16"/>
                <w:szCs w:val="16"/>
                <w:lang w:eastAsia="sk-SK"/>
              </w:rPr>
              <w:t>MH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891C96">
              <w:rPr>
                <w:rFonts w:ascii="Times New Roman" w:eastAsia="Times New Roman" w:hAnsi="Times New Roman" w:cs="Times New Roman"/>
                <w:sz w:val="16"/>
                <w:szCs w:val="16"/>
                <w:lang w:eastAsia="sk-SK"/>
              </w:rPr>
              <w:t>-20,0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Dotácie v oblasti kultúry</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MH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-6,0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Odmeny príslušníkov PZ, HaZZ, HZZ, štátnych zamestnancov - skríningové testovanie</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MV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-6,0</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RTVS - vysielací čas na osvetu prevencie šírenia ochorenia COVID-19</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MK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-0,2</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Testovanie na školách kloktaním</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MŠVVŠ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-12,4</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Ostatné</w:t>
            </w:r>
            <w:r w:rsidR="00AB58F8">
              <w:rPr>
                <w:rFonts w:ascii="Times New Roman" w:eastAsia="Times New Roman" w:hAnsi="Times New Roman" w:cs="Times New Roman"/>
                <w:sz w:val="16"/>
                <w:szCs w:val="16"/>
                <w:lang w:eastAsia="sk-SK"/>
              </w:rPr>
              <w:t xml:space="preserve"> - nové opatrenia</w:t>
            </w:r>
            <w:r w:rsidRPr="005277EE">
              <w:rPr>
                <w:rFonts w:ascii="Times New Roman" w:eastAsia="Times New Roman" w:hAnsi="Times New Roman" w:cs="Times New Roman"/>
                <w:sz w:val="16"/>
                <w:szCs w:val="16"/>
                <w:lang w:eastAsia="sk-SK"/>
              </w:rPr>
              <w:t>, ako napr.</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VPS</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-135,4</w:t>
            </w:r>
          </w:p>
        </w:tc>
      </w:tr>
      <w:tr w:rsidR="00B872B2" w:rsidRPr="00D24637"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ind w:firstLineChars="400" w:firstLine="560"/>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Očkovacia prémia a sprostredkovateľský bonus</w:t>
            </w:r>
          </w:p>
        </w:tc>
        <w:tc>
          <w:tcPr>
            <w:tcW w:w="626"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center"/>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MF SR</w:t>
            </w:r>
          </w:p>
        </w:tc>
        <w:tc>
          <w:tcPr>
            <w:tcW w:w="46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right"/>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-42,0</w:t>
            </w:r>
          </w:p>
        </w:tc>
      </w:tr>
      <w:tr w:rsidR="00B872B2" w:rsidRPr="00891C96"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ind w:firstLineChars="400" w:firstLine="560"/>
              <w:rPr>
                <w:rFonts w:ascii="Times New Roman" w:eastAsia="Times New Roman" w:hAnsi="Times New Roman" w:cs="Times New Roman"/>
                <w:i/>
                <w:iCs/>
                <w:sz w:val="14"/>
                <w:szCs w:val="14"/>
                <w:lang w:eastAsia="sk-SK"/>
              </w:rPr>
            </w:pPr>
            <w:r w:rsidRPr="00891C96">
              <w:rPr>
                <w:rFonts w:ascii="Times New Roman" w:eastAsia="Times New Roman" w:hAnsi="Times New Roman" w:cs="Times New Roman"/>
                <w:i/>
                <w:iCs/>
                <w:sz w:val="14"/>
                <w:szCs w:val="14"/>
                <w:lang w:eastAsia="sk-SK"/>
              </w:rPr>
              <w:t xml:space="preserve">Pandemický rodičovský príspevok – dofinancovanie </w:t>
            </w:r>
          </w:p>
        </w:tc>
        <w:tc>
          <w:tcPr>
            <w:tcW w:w="626"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jc w:val="center"/>
              <w:rPr>
                <w:rFonts w:ascii="Times New Roman" w:eastAsia="Times New Roman" w:hAnsi="Times New Roman" w:cs="Times New Roman"/>
                <w:i/>
                <w:iCs/>
                <w:sz w:val="14"/>
                <w:szCs w:val="14"/>
                <w:lang w:eastAsia="sk-SK"/>
              </w:rPr>
            </w:pPr>
            <w:r w:rsidRPr="00891C96">
              <w:rPr>
                <w:rFonts w:ascii="Times New Roman" w:eastAsia="Times New Roman" w:hAnsi="Times New Roman" w:cs="Times New Roman"/>
                <w:i/>
                <w:iCs/>
                <w:sz w:val="14"/>
                <w:szCs w:val="14"/>
                <w:lang w:eastAsia="sk-SK"/>
              </w:rPr>
              <w:t>MPSVR SR</w:t>
            </w:r>
          </w:p>
        </w:tc>
        <w:tc>
          <w:tcPr>
            <w:tcW w:w="467"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jc w:val="right"/>
              <w:rPr>
                <w:rFonts w:ascii="Times New Roman" w:eastAsia="Times New Roman" w:hAnsi="Times New Roman" w:cs="Times New Roman"/>
                <w:i/>
                <w:iCs/>
                <w:sz w:val="14"/>
                <w:szCs w:val="14"/>
                <w:lang w:eastAsia="sk-SK"/>
              </w:rPr>
            </w:pPr>
            <w:r w:rsidRPr="00891C96">
              <w:rPr>
                <w:rFonts w:ascii="Times New Roman" w:eastAsia="Times New Roman" w:hAnsi="Times New Roman" w:cs="Times New Roman"/>
                <w:i/>
                <w:iCs/>
                <w:sz w:val="14"/>
                <w:szCs w:val="14"/>
                <w:lang w:eastAsia="sk-SK"/>
              </w:rPr>
              <w:t>-30,7</w:t>
            </w:r>
          </w:p>
        </w:tc>
      </w:tr>
      <w:tr w:rsidR="00B872B2" w:rsidRPr="00D24637"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ind w:firstLineChars="400" w:firstLine="560"/>
              <w:rPr>
                <w:rFonts w:ascii="Times New Roman" w:eastAsia="Times New Roman" w:hAnsi="Times New Roman" w:cs="Times New Roman"/>
                <w:i/>
                <w:iCs/>
                <w:sz w:val="14"/>
                <w:szCs w:val="14"/>
                <w:lang w:eastAsia="sk-SK"/>
              </w:rPr>
            </w:pPr>
            <w:r w:rsidRPr="00891C96">
              <w:rPr>
                <w:rFonts w:ascii="Times New Roman" w:eastAsia="Times New Roman" w:hAnsi="Times New Roman" w:cs="Times New Roman"/>
                <w:i/>
                <w:iCs/>
                <w:sz w:val="14"/>
                <w:szCs w:val="14"/>
                <w:lang w:eastAsia="sk-SK"/>
              </w:rPr>
              <w:t xml:space="preserve">Dotácie na nájomné – dofinancovanie </w:t>
            </w:r>
          </w:p>
        </w:tc>
        <w:tc>
          <w:tcPr>
            <w:tcW w:w="626" w:type="pct"/>
            <w:tcBorders>
              <w:top w:val="nil"/>
              <w:left w:val="nil"/>
              <w:bottom w:val="nil"/>
              <w:right w:val="nil"/>
            </w:tcBorders>
            <w:shd w:val="clear" w:color="auto" w:fill="auto"/>
            <w:noWrap/>
            <w:vAlign w:val="center"/>
            <w:hideMark/>
          </w:tcPr>
          <w:p w:rsidR="00B872B2" w:rsidRPr="00891C96" w:rsidRDefault="00B872B2" w:rsidP="003B3897">
            <w:pPr>
              <w:spacing w:after="0" w:line="240" w:lineRule="auto"/>
              <w:jc w:val="center"/>
              <w:rPr>
                <w:rFonts w:ascii="Times New Roman" w:eastAsia="Times New Roman" w:hAnsi="Times New Roman" w:cs="Times New Roman"/>
                <w:i/>
                <w:iCs/>
                <w:sz w:val="14"/>
                <w:szCs w:val="14"/>
                <w:lang w:eastAsia="sk-SK"/>
              </w:rPr>
            </w:pPr>
            <w:r w:rsidRPr="00891C96">
              <w:rPr>
                <w:rFonts w:ascii="Times New Roman" w:eastAsia="Times New Roman" w:hAnsi="Times New Roman" w:cs="Times New Roman"/>
                <w:i/>
                <w:iCs/>
                <w:sz w:val="14"/>
                <w:szCs w:val="14"/>
                <w:lang w:eastAsia="sk-SK"/>
              </w:rPr>
              <w:t>MH SR</w:t>
            </w:r>
          </w:p>
        </w:tc>
        <w:tc>
          <w:tcPr>
            <w:tcW w:w="46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right"/>
              <w:rPr>
                <w:rFonts w:ascii="Times New Roman" w:eastAsia="Times New Roman" w:hAnsi="Times New Roman" w:cs="Times New Roman"/>
                <w:i/>
                <w:iCs/>
                <w:sz w:val="14"/>
                <w:szCs w:val="14"/>
                <w:lang w:eastAsia="sk-SK"/>
              </w:rPr>
            </w:pPr>
            <w:r w:rsidRPr="00891C96">
              <w:rPr>
                <w:rFonts w:ascii="Times New Roman" w:eastAsia="Times New Roman" w:hAnsi="Times New Roman" w:cs="Times New Roman"/>
                <w:i/>
                <w:iCs/>
                <w:sz w:val="14"/>
                <w:szCs w:val="14"/>
                <w:lang w:eastAsia="sk-SK"/>
              </w:rPr>
              <w:t>-25,0</w:t>
            </w:r>
          </w:p>
        </w:tc>
      </w:tr>
      <w:tr w:rsidR="00B872B2" w:rsidRPr="00D24637"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ind w:firstLineChars="400" w:firstLine="560"/>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Štátom platené poistné</w:t>
            </w:r>
          </w:p>
        </w:tc>
        <w:tc>
          <w:tcPr>
            <w:tcW w:w="626"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center"/>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MPSVR SR</w:t>
            </w:r>
          </w:p>
        </w:tc>
        <w:tc>
          <w:tcPr>
            <w:tcW w:w="46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right"/>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-10,3</w:t>
            </w:r>
          </w:p>
        </w:tc>
      </w:tr>
      <w:tr w:rsidR="00B872B2" w:rsidRPr="00D24637"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ind w:firstLineChars="400" w:firstLine="560"/>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Iné opatrenia</w:t>
            </w:r>
          </w:p>
        </w:tc>
        <w:tc>
          <w:tcPr>
            <w:tcW w:w="626"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center"/>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ŠR</w:t>
            </w:r>
          </w:p>
        </w:tc>
        <w:tc>
          <w:tcPr>
            <w:tcW w:w="467" w:type="pct"/>
            <w:tcBorders>
              <w:top w:val="nil"/>
              <w:left w:val="nil"/>
              <w:bottom w:val="nil"/>
              <w:right w:val="nil"/>
            </w:tcBorders>
            <w:shd w:val="clear" w:color="auto" w:fill="auto"/>
            <w:noWrap/>
            <w:vAlign w:val="center"/>
            <w:hideMark/>
          </w:tcPr>
          <w:p w:rsidR="00B872B2" w:rsidRPr="00D24637" w:rsidRDefault="00B872B2" w:rsidP="003B3897">
            <w:pPr>
              <w:spacing w:after="0" w:line="240" w:lineRule="auto"/>
              <w:jc w:val="right"/>
              <w:rPr>
                <w:rFonts w:ascii="Times New Roman" w:eastAsia="Times New Roman" w:hAnsi="Times New Roman" w:cs="Times New Roman"/>
                <w:i/>
                <w:iCs/>
                <w:sz w:val="14"/>
                <w:szCs w:val="14"/>
                <w:lang w:eastAsia="sk-SK"/>
              </w:rPr>
            </w:pPr>
            <w:r w:rsidRPr="00D24637">
              <w:rPr>
                <w:rFonts w:ascii="Times New Roman" w:eastAsia="Times New Roman" w:hAnsi="Times New Roman" w:cs="Times New Roman"/>
                <w:i/>
                <w:iCs/>
                <w:sz w:val="14"/>
                <w:szCs w:val="14"/>
                <w:lang w:eastAsia="sk-SK"/>
              </w:rPr>
              <w:t>-27,4</w:t>
            </w:r>
          </w:p>
        </w:tc>
      </w:tr>
      <w:tr w:rsidR="00B872B2" w:rsidRPr="005277EE" w:rsidTr="00B872B2">
        <w:trPr>
          <w:trHeight w:val="255"/>
          <w:jc w:val="center"/>
        </w:trPr>
        <w:tc>
          <w:tcPr>
            <w:tcW w:w="390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Plnenie opatrení hosp. mobiliz., mimoriadny príplatok za prácu na covid. odd. zdrav. zariadení, MOM *</w:t>
            </w:r>
          </w:p>
        </w:tc>
        <w:tc>
          <w:tcPr>
            <w:tcW w:w="626"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center"/>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MZ SR</w:t>
            </w:r>
          </w:p>
        </w:tc>
        <w:tc>
          <w:tcPr>
            <w:tcW w:w="467" w:type="pct"/>
            <w:tcBorders>
              <w:top w:val="nil"/>
              <w:left w:val="nil"/>
              <w:bottom w:val="nil"/>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56,0</w:t>
            </w:r>
          </w:p>
        </w:tc>
      </w:tr>
      <w:tr w:rsidR="00B872B2" w:rsidRPr="005277EE" w:rsidTr="00B872B2">
        <w:trPr>
          <w:trHeight w:val="255"/>
          <w:jc w:val="center"/>
        </w:trPr>
        <w:tc>
          <w:tcPr>
            <w:tcW w:w="3907" w:type="pct"/>
            <w:tcBorders>
              <w:top w:val="nil"/>
              <w:left w:val="nil"/>
              <w:bottom w:val="single" w:sz="4" w:space="0" w:color="auto"/>
              <w:right w:val="nil"/>
            </w:tcBorders>
            <w:shd w:val="clear" w:color="auto" w:fill="auto"/>
            <w:noWrap/>
            <w:vAlign w:val="center"/>
            <w:hideMark/>
          </w:tcPr>
          <w:p w:rsidR="00B872B2" w:rsidRPr="005277EE"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Kompenzácia výpadku príjmov samosprávy *</w:t>
            </w:r>
          </w:p>
        </w:tc>
        <w:tc>
          <w:tcPr>
            <w:tcW w:w="626" w:type="pct"/>
            <w:tcBorders>
              <w:top w:val="nil"/>
              <w:left w:val="nil"/>
              <w:bottom w:val="single" w:sz="4" w:space="0" w:color="auto"/>
              <w:right w:val="nil"/>
            </w:tcBorders>
            <w:shd w:val="clear" w:color="auto" w:fill="auto"/>
            <w:noWrap/>
            <w:vAlign w:val="center"/>
            <w:hideMark/>
          </w:tcPr>
          <w:p w:rsidR="00B872B2" w:rsidRPr="00E078B7" w:rsidRDefault="00B872B2" w:rsidP="003B3897">
            <w:pPr>
              <w:spacing w:after="0" w:line="240" w:lineRule="auto"/>
              <w:jc w:val="center"/>
              <w:rPr>
                <w:rFonts w:ascii="Times New Roman" w:eastAsia="Times New Roman" w:hAnsi="Times New Roman" w:cs="Times New Roman"/>
                <w:sz w:val="12"/>
                <w:szCs w:val="12"/>
                <w:lang w:eastAsia="sk-SK"/>
              </w:rPr>
            </w:pPr>
            <w:r w:rsidRPr="00E078B7">
              <w:rPr>
                <w:rFonts w:ascii="Times New Roman" w:eastAsia="Times New Roman" w:hAnsi="Times New Roman" w:cs="Times New Roman"/>
                <w:sz w:val="12"/>
                <w:szCs w:val="12"/>
                <w:lang w:eastAsia="sk-SK"/>
              </w:rPr>
              <w:t>MV SR, MŠVVŠ SR</w:t>
            </w:r>
          </w:p>
        </w:tc>
        <w:tc>
          <w:tcPr>
            <w:tcW w:w="467" w:type="pct"/>
            <w:tcBorders>
              <w:top w:val="nil"/>
              <w:left w:val="nil"/>
              <w:bottom w:val="single" w:sz="4" w:space="0" w:color="auto"/>
              <w:right w:val="nil"/>
            </w:tcBorders>
            <w:shd w:val="clear" w:color="auto" w:fill="auto"/>
            <w:noWrap/>
            <w:vAlign w:val="center"/>
            <w:hideMark/>
          </w:tcPr>
          <w:p w:rsidR="00B872B2" w:rsidRPr="005277EE" w:rsidRDefault="00B872B2" w:rsidP="003B3897">
            <w:pPr>
              <w:spacing w:after="0" w:line="240" w:lineRule="auto"/>
              <w:jc w:val="right"/>
              <w:rPr>
                <w:rFonts w:ascii="Times New Roman" w:eastAsia="Times New Roman" w:hAnsi="Times New Roman" w:cs="Times New Roman"/>
                <w:sz w:val="16"/>
                <w:szCs w:val="16"/>
                <w:lang w:eastAsia="sk-SK"/>
              </w:rPr>
            </w:pPr>
            <w:r w:rsidRPr="005277EE">
              <w:rPr>
                <w:rFonts w:ascii="Times New Roman" w:eastAsia="Times New Roman" w:hAnsi="Times New Roman" w:cs="Times New Roman"/>
                <w:sz w:val="16"/>
                <w:szCs w:val="16"/>
                <w:lang w:eastAsia="sk-SK"/>
              </w:rPr>
              <w:t>24,5</w:t>
            </w:r>
          </w:p>
        </w:tc>
      </w:tr>
    </w:tbl>
    <w:p w:rsidR="00B872B2" w:rsidRPr="008C07E5" w:rsidRDefault="00B872B2" w:rsidP="00B872B2">
      <w:pPr>
        <w:spacing w:after="0" w:line="240" w:lineRule="auto"/>
        <w:jc w:val="both"/>
        <w:rPr>
          <w:rFonts w:ascii="Times New Roman" w:hAnsi="Times New Roman" w:cs="Times New Roman"/>
          <w:sz w:val="15"/>
          <w:szCs w:val="15"/>
        </w:rPr>
      </w:pPr>
      <w:r>
        <w:rPr>
          <w:rFonts w:ascii="Times New Roman" w:hAnsi="Times New Roman" w:cs="Times New Roman"/>
          <w:sz w:val="15"/>
          <w:szCs w:val="15"/>
        </w:rPr>
        <w:t xml:space="preserve"> * U</w:t>
      </w:r>
      <w:r w:rsidRPr="008C07E5">
        <w:rPr>
          <w:rFonts w:ascii="Times New Roman" w:hAnsi="Times New Roman" w:cs="Times New Roman"/>
          <w:sz w:val="15"/>
          <w:szCs w:val="15"/>
        </w:rPr>
        <w:t xml:space="preserve">vedené položky predstavujú úsporu v štátnom rozpočte, </w:t>
      </w:r>
      <w:r>
        <w:rPr>
          <w:rFonts w:ascii="Times New Roman" w:hAnsi="Times New Roman" w:cs="Times New Roman"/>
          <w:sz w:val="15"/>
          <w:szCs w:val="15"/>
        </w:rPr>
        <w:t>nakoľko boli financované z </w:t>
      </w:r>
      <w:r w:rsidRPr="00E078B7">
        <w:rPr>
          <w:rFonts w:ascii="Times New Roman" w:hAnsi="Times New Roman" w:cs="Times New Roman"/>
          <w:i/>
          <w:sz w:val="15"/>
          <w:szCs w:val="15"/>
        </w:rPr>
        <w:t>„Rezervy na negatívne vplyvy pandémie ochorenia COVID – 19“</w:t>
      </w:r>
      <w:r>
        <w:rPr>
          <w:rFonts w:ascii="Times New Roman" w:hAnsi="Times New Roman" w:cs="Times New Roman"/>
          <w:sz w:val="15"/>
          <w:szCs w:val="15"/>
        </w:rPr>
        <w:t xml:space="preserve"> pôvodne schváleného rozpočtu na rok 2021. Konečný</w:t>
      </w:r>
      <w:r w:rsidRPr="008C07E5">
        <w:rPr>
          <w:rFonts w:ascii="Times New Roman" w:hAnsi="Times New Roman" w:cs="Times New Roman"/>
          <w:sz w:val="15"/>
          <w:szCs w:val="15"/>
        </w:rPr>
        <w:t xml:space="preserve"> výdavok </w:t>
      </w:r>
      <w:r>
        <w:rPr>
          <w:rFonts w:ascii="Times New Roman" w:hAnsi="Times New Roman" w:cs="Times New Roman"/>
          <w:sz w:val="15"/>
          <w:szCs w:val="15"/>
        </w:rPr>
        <w:t xml:space="preserve">je zaznamenaný </w:t>
      </w:r>
      <w:r w:rsidRPr="008C07E5">
        <w:rPr>
          <w:rFonts w:ascii="Times New Roman" w:hAnsi="Times New Roman" w:cs="Times New Roman"/>
          <w:sz w:val="15"/>
          <w:szCs w:val="15"/>
        </w:rPr>
        <w:t>v </w:t>
      </w:r>
      <w:r>
        <w:rPr>
          <w:rFonts w:ascii="Times New Roman" w:hAnsi="Times New Roman" w:cs="Times New Roman"/>
          <w:sz w:val="15"/>
          <w:szCs w:val="15"/>
        </w:rPr>
        <w:t>z</w:t>
      </w:r>
      <w:r w:rsidRPr="008C07E5">
        <w:rPr>
          <w:rFonts w:ascii="Times New Roman" w:hAnsi="Times New Roman" w:cs="Times New Roman"/>
          <w:sz w:val="15"/>
          <w:szCs w:val="15"/>
        </w:rPr>
        <w:t>dravotníckych zariaden</w:t>
      </w:r>
      <w:r>
        <w:rPr>
          <w:rFonts w:ascii="Times New Roman" w:hAnsi="Times New Roman" w:cs="Times New Roman"/>
          <w:sz w:val="15"/>
          <w:szCs w:val="15"/>
        </w:rPr>
        <w:t>iach</w:t>
      </w:r>
      <w:r w:rsidRPr="008C07E5">
        <w:rPr>
          <w:rFonts w:ascii="Times New Roman" w:hAnsi="Times New Roman" w:cs="Times New Roman"/>
          <w:sz w:val="15"/>
          <w:szCs w:val="15"/>
        </w:rPr>
        <w:t xml:space="preserve"> a samospráv</w:t>
      </w:r>
      <w:r>
        <w:rPr>
          <w:rFonts w:ascii="Times New Roman" w:hAnsi="Times New Roman" w:cs="Times New Roman"/>
          <w:sz w:val="15"/>
          <w:szCs w:val="15"/>
        </w:rPr>
        <w:t>e</w:t>
      </w:r>
      <w:r w:rsidRPr="008C07E5">
        <w:rPr>
          <w:rFonts w:ascii="Times New Roman" w:hAnsi="Times New Roman" w:cs="Times New Roman"/>
          <w:sz w:val="15"/>
          <w:szCs w:val="15"/>
        </w:rPr>
        <w:t xml:space="preserve"> (konsolidácia)</w:t>
      </w:r>
      <w:r>
        <w:rPr>
          <w:rFonts w:ascii="Times New Roman" w:hAnsi="Times New Roman" w:cs="Times New Roman"/>
          <w:sz w:val="15"/>
          <w:szCs w:val="15"/>
        </w:rPr>
        <w:t>.</w:t>
      </w:r>
    </w:p>
    <w:p w:rsidR="00B872B2" w:rsidRPr="00C516F2" w:rsidRDefault="00B872B2" w:rsidP="00B872B2">
      <w:pPr>
        <w:spacing w:after="0" w:line="240" w:lineRule="auto"/>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B872B2" w:rsidRDefault="00B872B2" w:rsidP="00B872B2">
      <w:pPr>
        <w:spacing w:after="0" w:line="240" w:lineRule="auto"/>
        <w:jc w:val="both"/>
        <w:rPr>
          <w:rFonts w:ascii="Times New Roman" w:hAnsi="Times New Roman" w:cs="Times New Roman"/>
          <w:sz w:val="24"/>
          <w:szCs w:val="24"/>
        </w:rPr>
      </w:pPr>
    </w:p>
    <w:p w:rsidR="00B872B2" w:rsidRPr="00335185" w:rsidRDefault="00B872B2" w:rsidP="00B872B2">
      <w:pPr>
        <w:spacing w:after="0" w:line="240" w:lineRule="auto"/>
        <w:jc w:val="both"/>
        <w:rPr>
          <w:rFonts w:ascii="Times New Roman" w:hAnsi="Times New Roman" w:cs="Times New Roman"/>
          <w:sz w:val="24"/>
          <w:szCs w:val="24"/>
        </w:rPr>
      </w:pPr>
      <w:r w:rsidRPr="00264220">
        <w:rPr>
          <w:rFonts w:ascii="Times New Roman" w:hAnsi="Times New Roman" w:cs="Times New Roman"/>
          <w:sz w:val="24"/>
          <w:szCs w:val="24"/>
        </w:rPr>
        <w:t xml:space="preserve">V rámci novely zákona o štátnom rozpočte na rok 2021 došlo aj k navýšeniu výdavkov, ktoré </w:t>
      </w:r>
      <w:r w:rsidRPr="00335185">
        <w:rPr>
          <w:rFonts w:ascii="Times New Roman" w:hAnsi="Times New Roman" w:cs="Times New Roman"/>
          <w:sz w:val="24"/>
          <w:szCs w:val="24"/>
        </w:rPr>
        <w:t>nesúvisia s o</w:t>
      </w:r>
      <w:r w:rsidR="00FB06FB">
        <w:rPr>
          <w:rFonts w:ascii="Times New Roman" w:hAnsi="Times New Roman" w:cs="Times New Roman"/>
          <w:sz w:val="24"/>
          <w:szCs w:val="24"/>
        </w:rPr>
        <w:t>patreniami proti pandémii COVID–</w:t>
      </w:r>
      <w:r w:rsidRPr="00335185">
        <w:rPr>
          <w:rFonts w:ascii="Times New Roman" w:hAnsi="Times New Roman" w:cs="Times New Roman"/>
          <w:sz w:val="24"/>
          <w:szCs w:val="24"/>
        </w:rPr>
        <w:t>19. V aktuálnom predpoklade sa počíta s ich vynaložením v celkovej výške 264 mil. eur</w:t>
      </w:r>
      <w:r w:rsidR="00FB06FB">
        <w:rPr>
          <w:rFonts w:ascii="Times New Roman" w:hAnsi="Times New Roman" w:cs="Times New Roman"/>
          <w:sz w:val="24"/>
          <w:szCs w:val="24"/>
        </w:rPr>
        <w:t>, a to</w:t>
      </w:r>
      <w:r w:rsidRPr="00335185">
        <w:rPr>
          <w:rFonts w:ascii="Times New Roman" w:hAnsi="Times New Roman" w:cs="Times New Roman"/>
          <w:sz w:val="24"/>
          <w:szCs w:val="24"/>
        </w:rPr>
        <w:t xml:space="preserve"> na nasledujúce položky:</w:t>
      </w:r>
    </w:p>
    <w:p w:rsidR="00B872B2" w:rsidRPr="00AC0B5F" w:rsidRDefault="00B872B2" w:rsidP="00B872B2">
      <w:pPr>
        <w:spacing w:after="0" w:line="240" w:lineRule="auto"/>
        <w:rPr>
          <w:rFonts w:ascii="Times New Roman" w:hAnsi="Times New Roman" w:cs="Times New Roman"/>
          <w:b/>
          <w:color w:val="5B9BD5" w:themeColor="accent1"/>
          <w:sz w:val="24"/>
          <w:szCs w:val="20"/>
        </w:rPr>
      </w:pPr>
    </w:p>
    <w:p w:rsidR="00B872B2" w:rsidRPr="00B872B2" w:rsidRDefault="00B872B2" w:rsidP="00B872B2">
      <w:pPr>
        <w:pStyle w:val="Popis"/>
        <w:keepNext/>
        <w:spacing w:after="0"/>
        <w:rPr>
          <w:rFonts w:ascii="Times New Roman" w:hAnsi="Times New Roman" w:cs="Times New Roman"/>
          <w:b/>
          <w:i w:val="0"/>
          <w:color w:val="5B9BD5" w:themeColor="accent1"/>
          <w:sz w:val="20"/>
          <w:szCs w:val="20"/>
        </w:rPr>
      </w:pPr>
      <w:bookmarkStart w:id="27" w:name="_Toc84845230"/>
      <w:r w:rsidRPr="00B872B2">
        <w:rPr>
          <w:rFonts w:ascii="Times New Roman" w:hAnsi="Times New Roman" w:cs="Times New Roman"/>
          <w:b/>
          <w:i w:val="0"/>
          <w:color w:val="5B9BD5" w:themeColor="accent1"/>
          <w:sz w:val="20"/>
          <w:szCs w:val="20"/>
        </w:rPr>
        <w:t xml:space="preserve">Tabuľka </w:t>
      </w:r>
      <w:r w:rsidRPr="00B872B2">
        <w:rPr>
          <w:rFonts w:ascii="Times New Roman" w:hAnsi="Times New Roman" w:cs="Times New Roman"/>
          <w:b/>
          <w:i w:val="0"/>
          <w:color w:val="5B9BD5" w:themeColor="accent1"/>
          <w:sz w:val="20"/>
          <w:szCs w:val="20"/>
        </w:rPr>
        <w:fldChar w:fldCharType="begin"/>
      </w:r>
      <w:r w:rsidRPr="00B872B2">
        <w:rPr>
          <w:rFonts w:ascii="Times New Roman" w:hAnsi="Times New Roman" w:cs="Times New Roman"/>
          <w:b/>
          <w:i w:val="0"/>
          <w:color w:val="5B9BD5" w:themeColor="accent1"/>
          <w:sz w:val="20"/>
          <w:szCs w:val="20"/>
        </w:rPr>
        <w:instrText xml:space="preserve"> SEQ Tabuľka \* ARABIC </w:instrText>
      </w:r>
      <w:r w:rsidRPr="00B872B2">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6</w:t>
      </w:r>
      <w:r w:rsidRPr="00B872B2">
        <w:rPr>
          <w:rFonts w:ascii="Times New Roman" w:hAnsi="Times New Roman" w:cs="Times New Roman"/>
          <w:b/>
          <w:i w:val="0"/>
          <w:color w:val="5B9BD5" w:themeColor="accent1"/>
          <w:sz w:val="20"/>
          <w:szCs w:val="20"/>
        </w:rPr>
        <w:fldChar w:fldCharType="end"/>
      </w:r>
      <w:r w:rsidRPr="00B872B2">
        <w:rPr>
          <w:rFonts w:ascii="Times New Roman" w:hAnsi="Times New Roman" w:cs="Times New Roman"/>
          <w:b/>
          <w:i w:val="0"/>
          <w:color w:val="5B9BD5" w:themeColor="accent1"/>
          <w:sz w:val="20"/>
          <w:szCs w:val="20"/>
        </w:rPr>
        <w:t xml:space="preserve"> - Výdavky štátneho rozpočtu – NECOVID</w:t>
      </w:r>
      <w:bookmarkEnd w:id="27"/>
    </w:p>
    <w:tbl>
      <w:tblPr>
        <w:tblW w:w="5000" w:type="pct"/>
        <w:jc w:val="center"/>
        <w:tblCellMar>
          <w:left w:w="70" w:type="dxa"/>
          <w:right w:w="70" w:type="dxa"/>
        </w:tblCellMar>
        <w:tblLook w:val="04A0" w:firstRow="1" w:lastRow="0" w:firstColumn="1" w:lastColumn="0" w:noHBand="0" w:noVBand="1"/>
      </w:tblPr>
      <w:tblGrid>
        <w:gridCol w:w="7409"/>
        <w:gridCol w:w="926"/>
        <w:gridCol w:w="737"/>
      </w:tblGrid>
      <w:tr w:rsidR="00B872B2" w:rsidRPr="00CC08B4" w:rsidTr="003B3897">
        <w:trPr>
          <w:trHeight w:val="255"/>
          <w:jc w:val="center"/>
        </w:trPr>
        <w:tc>
          <w:tcPr>
            <w:tcW w:w="4083" w:type="pct"/>
            <w:tcBorders>
              <w:top w:val="single" w:sz="4" w:space="0" w:color="auto"/>
              <w:left w:val="nil"/>
              <w:bottom w:val="single" w:sz="4" w:space="0" w:color="auto"/>
              <w:right w:val="nil"/>
            </w:tcBorders>
            <w:shd w:val="clear" w:color="auto" w:fill="auto"/>
            <w:vAlign w:val="center"/>
            <w:hideMark/>
          </w:tcPr>
          <w:p w:rsidR="00B872B2" w:rsidRPr="00CC08B4" w:rsidRDefault="00B872B2" w:rsidP="003B3897">
            <w:pPr>
              <w:spacing w:after="0" w:line="240" w:lineRule="auto"/>
              <w:rPr>
                <w:rFonts w:ascii="Times New Roman" w:eastAsia="Times New Roman" w:hAnsi="Times New Roman" w:cs="Times New Roman"/>
                <w:b/>
                <w:bCs/>
                <w:sz w:val="18"/>
                <w:szCs w:val="18"/>
                <w:lang w:eastAsia="sk-SK"/>
              </w:rPr>
            </w:pPr>
            <w:r w:rsidRPr="00CC08B4">
              <w:rPr>
                <w:rFonts w:ascii="Times New Roman" w:eastAsia="Times New Roman" w:hAnsi="Times New Roman" w:cs="Times New Roman"/>
                <w:i/>
                <w:iCs/>
                <w:sz w:val="18"/>
                <w:szCs w:val="18"/>
                <w:lang w:eastAsia="sk-SK"/>
              </w:rPr>
              <w:t>(v mil. eur; ESA</w:t>
            </w:r>
            <w:r>
              <w:rPr>
                <w:rFonts w:ascii="Times New Roman" w:eastAsia="Times New Roman" w:hAnsi="Times New Roman" w:cs="Times New Roman"/>
                <w:i/>
                <w:iCs/>
                <w:sz w:val="18"/>
                <w:szCs w:val="18"/>
                <w:lang w:eastAsia="sk-SK"/>
              </w:rPr>
              <w:t xml:space="preserve"> </w:t>
            </w:r>
            <w:r w:rsidRPr="00CC08B4">
              <w:rPr>
                <w:rFonts w:ascii="Times New Roman" w:eastAsia="Times New Roman" w:hAnsi="Times New Roman" w:cs="Times New Roman"/>
                <w:i/>
                <w:iCs/>
                <w:sz w:val="18"/>
                <w:szCs w:val="18"/>
                <w:lang w:eastAsia="sk-SK"/>
              </w:rPr>
              <w:t>2010 na konsolidovanej báze)</w:t>
            </w:r>
          </w:p>
        </w:tc>
        <w:tc>
          <w:tcPr>
            <w:tcW w:w="510" w:type="pct"/>
            <w:tcBorders>
              <w:top w:val="single" w:sz="4" w:space="0" w:color="auto"/>
              <w:left w:val="nil"/>
              <w:bottom w:val="single" w:sz="4" w:space="0" w:color="auto"/>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b/>
                <w:bCs/>
                <w:sz w:val="18"/>
                <w:szCs w:val="18"/>
                <w:lang w:eastAsia="sk-SK"/>
              </w:rPr>
            </w:pPr>
            <w:r w:rsidRPr="00CC08B4">
              <w:rPr>
                <w:rFonts w:ascii="Times New Roman" w:eastAsia="Times New Roman" w:hAnsi="Times New Roman" w:cs="Times New Roman"/>
                <w:b/>
                <w:bCs/>
                <w:sz w:val="18"/>
                <w:szCs w:val="18"/>
                <w:lang w:eastAsia="sk-SK"/>
              </w:rPr>
              <w:t>SPOLU</w:t>
            </w:r>
          </w:p>
        </w:tc>
        <w:tc>
          <w:tcPr>
            <w:tcW w:w="406" w:type="pct"/>
            <w:tcBorders>
              <w:top w:val="single" w:sz="4" w:space="0" w:color="auto"/>
              <w:left w:val="nil"/>
              <w:bottom w:val="single" w:sz="4" w:space="0" w:color="auto"/>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b/>
                <w:bCs/>
                <w:sz w:val="18"/>
                <w:szCs w:val="18"/>
                <w:lang w:eastAsia="sk-SK"/>
              </w:rPr>
            </w:pPr>
            <w:r w:rsidRPr="00CC08B4">
              <w:rPr>
                <w:rFonts w:ascii="Times New Roman" w:eastAsia="Times New Roman" w:hAnsi="Times New Roman" w:cs="Times New Roman"/>
                <w:b/>
                <w:bCs/>
                <w:sz w:val="18"/>
                <w:szCs w:val="18"/>
                <w:lang w:eastAsia="sk-SK"/>
              </w:rPr>
              <w:t>-263,8</w:t>
            </w:r>
          </w:p>
        </w:tc>
      </w:tr>
      <w:tr w:rsidR="00B872B2" w:rsidRPr="00CC08B4" w:rsidTr="003B3897">
        <w:trPr>
          <w:trHeight w:val="255"/>
          <w:jc w:val="center"/>
        </w:trPr>
        <w:tc>
          <w:tcPr>
            <w:tcW w:w="4083"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Plán obnovy alokácia + DPH</w:t>
            </w:r>
          </w:p>
        </w:tc>
        <w:tc>
          <w:tcPr>
            <w:tcW w:w="510"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VPS</w:t>
            </w:r>
          </w:p>
        </w:tc>
        <w:tc>
          <w:tcPr>
            <w:tcW w:w="406"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-148,3</w:t>
            </w:r>
          </w:p>
        </w:tc>
      </w:tr>
      <w:tr w:rsidR="00B872B2" w:rsidRPr="00CC08B4" w:rsidTr="003B3897">
        <w:trPr>
          <w:trHeight w:val="255"/>
          <w:jc w:val="center"/>
        </w:trPr>
        <w:tc>
          <w:tcPr>
            <w:tcW w:w="4083" w:type="pct"/>
            <w:tcBorders>
              <w:top w:val="nil"/>
              <w:left w:val="nil"/>
              <w:bottom w:val="nil"/>
              <w:right w:val="nil"/>
            </w:tcBorders>
            <w:shd w:val="clear" w:color="auto" w:fill="auto"/>
            <w:noWrap/>
            <w:vAlign w:val="center"/>
            <w:hideMark/>
          </w:tcPr>
          <w:p w:rsidR="00B872B2" w:rsidRPr="00CC08B4" w:rsidRDefault="00B872B2" w:rsidP="007479C0">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MS SR - dofi</w:t>
            </w:r>
            <w:r w:rsidR="007479C0">
              <w:rPr>
                <w:rFonts w:ascii="Times New Roman" w:eastAsia="Times New Roman" w:hAnsi="Times New Roman" w:cs="Times New Roman"/>
                <w:sz w:val="18"/>
                <w:szCs w:val="18"/>
                <w:lang w:eastAsia="sk-SK"/>
              </w:rPr>
              <w:t>nancovanie rozpočtu najmä ZVJS</w:t>
            </w:r>
          </w:p>
        </w:tc>
        <w:tc>
          <w:tcPr>
            <w:tcW w:w="510"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MS SR</w:t>
            </w:r>
          </w:p>
        </w:tc>
        <w:tc>
          <w:tcPr>
            <w:tcW w:w="406"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-38,2</w:t>
            </w:r>
          </w:p>
        </w:tc>
      </w:tr>
      <w:tr w:rsidR="00B872B2" w:rsidRPr="00CC08B4" w:rsidTr="003B3897">
        <w:trPr>
          <w:trHeight w:val="255"/>
          <w:jc w:val="center"/>
        </w:trPr>
        <w:tc>
          <w:tcPr>
            <w:tcW w:w="4083"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Policajti odchodné</w:t>
            </w:r>
          </w:p>
        </w:tc>
        <w:tc>
          <w:tcPr>
            <w:tcW w:w="510"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MV SR</w:t>
            </w:r>
          </w:p>
        </w:tc>
        <w:tc>
          <w:tcPr>
            <w:tcW w:w="406"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-30,0</w:t>
            </w:r>
          </w:p>
        </w:tc>
      </w:tr>
      <w:tr w:rsidR="00B872B2" w:rsidRPr="00CC08B4" w:rsidTr="003B3897">
        <w:trPr>
          <w:trHeight w:val="255"/>
          <w:jc w:val="center"/>
        </w:trPr>
        <w:tc>
          <w:tcPr>
            <w:tcW w:w="4083"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Rezerva na ne</w:t>
            </w:r>
            <w:r w:rsidR="00AB58F8">
              <w:rPr>
                <w:rFonts w:ascii="Times New Roman" w:eastAsia="Times New Roman" w:hAnsi="Times New Roman" w:cs="Times New Roman"/>
                <w:sz w:val="18"/>
                <w:szCs w:val="18"/>
                <w:lang w:eastAsia="sk-SK"/>
              </w:rPr>
              <w:t>predvídané tituly</w:t>
            </w:r>
            <w:r>
              <w:rPr>
                <w:rFonts w:ascii="Times New Roman" w:eastAsia="Times New Roman" w:hAnsi="Times New Roman" w:cs="Times New Roman"/>
                <w:sz w:val="18"/>
                <w:szCs w:val="18"/>
                <w:lang w:eastAsia="sk-SK"/>
              </w:rPr>
              <w:t>*</w:t>
            </w:r>
          </w:p>
        </w:tc>
        <w:tc>
          <w:tcPr>
            <w:tcW w:w="510"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VPS</w:t>
            </w:r>
          </w:p>
        </w:tc>
        <w:tc>
          <w:tcPr>
            <w:tcW w:w="406"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-22,0</w:t>
            </w:r>
          </w:p>
        </w:tc>
      </w:tr>
      <w:tr w:rsidR="00B872B2" w:rsidRPr="00CC08B4" w:rsidTr="003B3897">
        <w:trPr>
          <w:trHeight w:val="255"/>
          <w:jc w:val="center"/>
        </w:trPr>
        <w:tc>
          <w:tcPr>
            <w:tcW w:w="4083"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 xml:space="preserve">MIRRI </w:t>
            </w:r>
            <w:r w:rsidR="00D25E8C">
              <w:rPr>
                <w:rFonts w:ascii="Times New Roman" w:eastAsia="Times New Roman" w:hAnsi="Times New Roman" w:cs="Times New Roman"/>
                <w:sz w:val="18"/>
                <w:szCs w:val="18"/>
                <w:lang w:eastAsia="sk-SK"/>
              </w:rPr>
              <w:t xml:space="preserve">SR </w:t>
            </w:r>
            <w:r w:rsidRPr="00CC08B4">
              <w:rPr>
                <w:rFonts w:ascii="Times New Roman" w:eastAsia="Times New Roman" w:hAnsi="Times New Roman" w:cs="Times New Roman"/>
                <w:sz w:val="18"/>
                <w:szCs w:val="18"/>
                <w:lang w:eastAsia="sk-SK"/>
              </w:rPr>
              <w:t>- regionálny rozvoj</w:t>
            </w:r>
          </w:p>
        </w:tc>
        <w:tc>
          <w:tcPr>
            <w:tcW w:w="510"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MIRRI SR</w:t>
            </w:r>
          </w:p>
        </w:tc>
        <w:tc>
          <w:tcPr>
            <w:tcW w:w="406"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-20,0</w:t>
            </w:r>
          </w:p>
        </w:tc>
      </w:tr>
      <w:tr w:rsidR="00B872B2" w:rsidRPr="00CC08B4" w:rsidTr="003B3897">
        <w:trPr>
          <w:trHeight w:val="255"/>
          <w:jc w:val="center"/>
        </w:trPr>
        <w:tc>
          <w:tcPr>
            <w:tcW w:w="4083"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Zmena stavebného konania</w:t>
            </w:r>
          </w:p>
        </w:tc>
        <w:tc>
          <w:tcPr>
            <w:tcW w:w="510"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ÚV SR</w:t>
            </w:r>
          </w:p>
        </w:tc>
        <w:tc>
          <w:tcPr>
            <w:tcW w:w="406" w:type="pct"/>
            <w:tcBorders>
              <w:top w:val="nil"/>
              <w:left w:val="nil"/>
              <w:bottom w:val="nil"/>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-3,2</w:t>
            </w:r>
          </w:p>
        </w:tc>
      </w:tr>
      <w:tr w:rsidR="00B872B2" w:rsidRPr="00CC08B4" w:rsidTr="003B3897">
        <w:trPr>
          <w:trHeight w:val="255"/>
          <w:jc w:val="center"/>
        </w:trPr>
        <w:tc>
          <w:tcPr>
            <w:tcW w:w="4083" w:type="pct"/>
            <w:tcBorders>
              <w:top w:val="nil"/>
              <w:left w:val="nil"/>
              <w:bottom w:val="single" w:sz="4" w:space="0" w:color="auto"/>
              <w:right w:val="nil"/>
            </w:tcBorders>
            <w:shd w:val="clear" w:color="auto" w:fill="auto"/>
            <w:noWrap/>
            <w:vAlign w:val="center"/>
            <w:hideMark/>
          </w:tcPr>
          <w:p w:rsidR="00B872B2" w:rsidRPr="00CC08B4" w:rsidRDefault="00B872B2" w:rsidP="003B3897">
            <w:pPr>
              <w:spacing w:after="0" w:line="240" w:lineRule="auto"/>
              <w:ind w:firstLineChars="100" w:firstLine="180"/>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Odkúpenie majetku letisko Sliač civilná časť</w:t>
            </w:r>
          </w:p>
        </w:tc>
        <w:tc>
          <w:tcPr>
            <w:tcW w:w="510" w:type="pct"/>
            <w:tcBorders>
              <w:top w:val="nil"/>
              <w:left w:val="nil"/>
              <w:bottom w:val="single" w:sz="4" w:space="0" w:color="auto"/>
              <w:right w:val="nil"/>
            </w:tcBorders>
            <w:shd w:val="clear" w:color="auto" w:fill="auto"/>
            <w:noWrap/>
            <w:vAlign w:val="center"/>
            <w:hideMark/>
          </w:tcPr>
          <w:p w:rsidR="00B872B2" w:rsidRPr="00CC08B4" w:rsidRDefault="00B872B2" w:rsidP="003B3897">
            <w:pPr>
              <w:spacing w:after="0" w:line="240" w:lineRule="auto"/>
              <w:jc w:val="center"/>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MO SR</w:t>
            </w:r>
          </w:p>
        </w:tc>
        <w:tc>
          <w:tcPr>
            <w:tcW w:w="406" w:type="pct"/>
            <w:tcBorders>
              <w:top w:val="nil"/>
              <w:left w:val="nil"/>
              <w:bottom w:val="single" w:sz="4" w:space="0" w:color="auto"/>
              <w:right w:val="nil"/>
            </w:tcBorders>
            <w:shd w:val="clear" w:color="auto" w:fill="auto"/>
            <w:noWrap/>
            <w:vAlign w:val="center"/>
            <w:hideMark/>
          </w:tcPr>
          <w:p w:rsidR="00B872B2" w:rsidRPr="00CC08B4" w:rsidRDefault="00B872B2" w:rsidP="003B3897">
            <w:pPr>
              <w:spacing w:after="0" w:line="240" w:lineRule="auto"/>
              <w:jc w:val="right"/>
              <w:rPr>
                <w:rFonts w:ascii="Times New Roman" w:eastAsia="Times New Roman" w:hAnsi="Times New Roman" w:cs="Times New Roman"/>
                <w:sz w:val="18"/>
                <w:szCs w:val="18"/>
                <w:lang w:eastAsia="sk-SK"/>
              </w:rPr>
            </w:pPr>
            <w:r w:rsidRPr="00CC08B4">
              <w:rPr>
                <w:rFonts w:ascii="Times New Roman" w:eastAsia="Times New Roman" w:hAnsi="Times New Roman" w:cs="Times New Roman"/>
                <w:sz w:val="18"/>
                <w:szCs w:val="18"/>
                <w:lang w:eastAsia="sk-SK"/>
              </w:rPr>
              <w:t>-2,1</w:t>
            </w:r>
          </w:p>
        </w:tc>
      </w:tr>
    </w:tbl>
    <w:p w:rsidR="00B872B2" w:rsidRDefault="00B872B2" w:rsidP="00B872B2">
      <w:pPr>
        <w:spacing w:after="0" w:line="240" w:lineRule="auto"/>
        <w:jc w:val="both"/>
        <w:rPr>
          <w:rFonts w:ascii="Times New Roman" w:hAnsi="Times New Roman" w:cs="Times New Roman"/>
          <w:sz w:val="15"/>
          <w:szCs w:val="15"/>
        </w:rPr>
      </w:pPr>
      <w:r>
        <w:rPr>
          <w:rFonts w:ascii="Times New Roman" w:hAnsi="Times New Roman" w:cs="Times New Roman"/>
          <w:sz w:val="15"/>
          <w:szCs w:val="15"/>
        </w:rPr>
        <w:t>* Ide napr. o zabezpečenie financovania návštevy Svätého Otca</w:t>
      </w:r>
      <w:r w:rsidRPr="00120EEF">
        <w:rPr>
          <w:rFonts w:ascii="Times New Roman" w:hAnsi="Times New Roman" w:cs="Times New Roman"/>
          <w:sz w:val="15"/>
          <w:szCs w:val="15"/>
        </w:rPr>
        <w:t xml:space="preserve"> na Slovensku</w:t>
      </w:r>
      <w:r>
        <w:rPr>
          <w:rFonts w:ascii="Times New Roman" w:hAnsi="Times New Roman" w:cs="Times New Roman"/>
          <w:sz w:val="15"/>
          <w:szCs w:val="15"/>
        </w:rPr>
        <w:t xml:space="preserve">, </w:t>
      </w:r>
      <w:r w:rsidRPr="00120EEF">
        <w:rPr>
          <w:rFonts w:ascii="Times New Roman" w:hAnsi="Times New Roman" w:cs="Times New Roman"/>
          <w:sz w:val="15"/>
          <w:szCs w:val="15"/>
        </w:rPr>
        <w:t>cyklistick</w:t>
      </w:r>
      <w:r>
        <w:rPr>
          <w:rFonts w:ascii="Times New Roman" w:hAnsi="Times New Roman" w:cs="Times New Roman"/>
          <w:sz w:val="15"/>
          <w:szCs w:val="15"/>
        </w:rPr>
        <w:t xml:space="preserve">ých pretekov </w:t>
      </w:r>
      <w:r w:rsidRPr="00120EEF">
        <w:rPr>
          <w:rFonts w:ascii="Times New Roman" w:hAnsi="Times New Roman" w:cs="Times New Roman"/>
          <w:i/>
          <w:sz w:val="15"/>
          <w:szCs w:val="15"/>
        </w:rPr>
        <w:t>„Okolo Slovenska“</w:t>
      </w:r>
      <w:r>
        <w:rPr>
          <w:rFonts w:ascii="Times New Roman" w:hAnsi="Times New Roman" w:cs="Times New Roman"/>
          <w:sz w:val="15"/>
          <w:szCs w:val="15"/>
        </w:rPr>
        <w:t xml:space="preserve">, </w:t>
      </w:r>
      <w:r w:rsidRPr="00120EEF">
        <w:rPr>
          <w:rFonts w:ascii="Times New Roman" w:hAnsi="Times New Roman" w:cs="Times New Roman"/>
          <w:sz w:val="15"/>
          <w:szCs w:val="15"/>
        </w:rPr>
        <w:t>opatrení na komplexné riešenie zabránenia šíreniu afrického moru ošípaných</w:t>
      </w:r>
    </w:p>
    <w:p w:rsidR="00B872B2" w:rsidRPr="00C516F2" w:rsidRDefault="00B872B2" w:rsidP="00B872B2">
      <w:pPr>
        <w:spacing w:after="0" w:line="240" w:lineRule="auto"/>
        <w:jc w:val="right"/>
        <w:rPr>
          <w:rFonts w:ascii="Times New Roman" w:hAnsi="Times New Roman" w:cs="Times New Roman"/>
          <w:i/>
          <w:sz w:val="16"/>
          <w:szCs w:val="16"/>
        </w:rPr>
      </w:pPr>
      <w:r w:rsidRPr="00E078B7">
        <w:rPr>
          <w:rFonts w:ascii="Times New Roman" w:hAnsi="Times New Roman" w:cs="Times New Roman"/>
          <w:i/>
          <w:sz w:val="15"/>
          <w:szCs w:val="15"/>
        </w:rPr>
        <w:t xml:space="preserve"> </w:t>
      </w: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B872B2" w:rsidRDefault="00B872B2" w:rsidP="00B872B2">
      <w:pPr>
        <w:spacing w:after="0" w:line="240" w:lineRule="auto"/>
        <w:jc w:val="both"/>
        <w:rPr>
          <w:rFonts w:ascii="Times New Roman" w:hAnsi="Times New Roman" w:cs="Times New Roman"/>
          <w:sz w:val="24"/>
          <w:szCs w:val="24"/>
        </w:rPr>
      </w:pPr>
    </w:p>
    <w:p w:rsidR="00E32A3D" w:rsidRPr="00E32A3D" w:rsidRDefault="00E32A3D" w:rsidP="00E32A3D">
      <w:pPr>
        <w:spacing w:after="0" w:line="240" w:lineRule="auto"/>
        <w:jc w:val="both"/>
        <w:rPr>
          <w:rFonts w:ascii="Times New Roman" w:hAnsi="Times New Roman" w:cs="Times New Roman"/>
          <w:sz w:val="24"/>
          <w:szCs w:val="24"/>
        </w:rPr>
      </w:pPr>
      <w:r w:rsidRPr="00E32A3D">
        <w:rPr>
          <w:rFonts w:ascii="Times New Roman" w:hAnsi="Times New Roman" w:cs="Times New Roman"/>
          <w:sz w:val="24"/>
          <w:szCs w:val="24"/>
        </w:rPr>
        <w:t>Ostatné výdavky štátneho rozpočtu sa zvyšujú o 93,4 mil. eur, a to najmä z dôvodu skoršieho dodania vojenskej techniky, než sa pôvodne predpokladalo v schválenom rozpočte.</w:t>
      </w:r>
    </w:p>
    <w:p w:rsidR="00B872B2" w:rsidRPr="00335185" w:rsidRDefault="00B872B2" w:rsidP="00B872B2">
      <w:pPr>
        <w:spacing w:after="0" w:line="240" w:lineRule="auto"/>
        <w:jc w:val="both"/>
        <w:rPr>
          <w:rFonts w:ascii="Times New Roman" w:hAnsi="Times New Roman" w:cs="Times New Roman"/>
          <w:sz w:val="24"/>
          <w:szCs w:val="24"/>
        </w:rPr>
      </w:pPr>
    </w:p>
    <w:p w:rsidR="00B872B2" w:rsidRPr="00335185" w:rsidRDefault="00B872B2" w:rsidP="00B872B2">
      <w:pPr>
        <w:spacing w:after="0" w:line="240" w:lineRule="auto"/>
        <w:jc w:val="both"/>
        <w:rPr>
          <w:rFonts w:ascii="Times New Roman" w:hAnsi="Times New Roman" w:cs="Times New Roman"/>
          <w:sz w:val="24"/>
          <w:szCs w:val="24"/>
        </w:rPr>
      </w:pPr>
      <w:r w:rsidRPr="00335185">
        <w:rPr>
          <w:rFonts w:ascii="Times New Roman" w:hAnsi="Times New Roman" w:cs="Times New Roman"/>
          <w:sz w:val="24"/>
          <w:szCs w:val="24"/>
        </w:rPr>
        <w:t xml:space="preserve">Vyššie uvedené negatíva predstavujúce zvýšenie čerpania výdavkov štátneho rozpočtu sú čiastočne kompenzované očakávaným nečerpaním niektorých výdavkov štátneho rozpočtu, a to vo výške </w:t>
      </w:r>
      <w:r>
        <w:rPr>
          <w:rFonts w:ascii="Times New Roman" w:hAnsi="Times New Roman" w:cs="Times New Roman"/>
          <w:sz w:val="24"/>
          <w:szCs w:val="24"/>
        </w:rPr>
        <w:t>1,03 mld.</w:t>
      </w:r>
      <w:r w:rsidRPr="00335185">
        <w:rPr>
          <w:rFonts w:ascii="Times New Roman" w:hAnsi="Times New Roman" w:cs="Times New Roman"/>
          <w:sz w:val="24"/>
          <w:szCs w:val="24"/>
        </w:rPr>
        <w:t xml:space="preserve"> eur.</w:t>
      </w:r>
    </w:p>
    <w:p w:rsidR="00B872B2" w:rsidRDefault="00B872B2" w:rsidP="00B872B2">
      <w:pPr>
        <w:spacing w:after="0" w:line="240" w:lineRule="auto"/>
        <w:jc w:val="both"/>
        <w:rPr>
          <w:rFonts w:ascii="Times New Roman" w:hAnsi="Times New Roman" w:cs="Times New Roman"/>
          <w:sz w:val="24"/>
          <w:szCs w:val="24"/>
        </w:rPr>
      </w:pPr>
    </w:p>
    <w:p w:rsidR="00B872B2" w:rsidRPr="00B872B2" w:rsidRDefault="00B872B2" w:rsidP="00B872B2">
      <w:pPr>
        <w:pStyle w:val="Popis"/>
        <w:keepNext/>
        <w:spacing w:after="0"/>
        <w:rPr>
          <w:rFonts w:ascii="Times New Roman" w:hAnsi="Times New Roman" w:cs="Times New Roman"/>
          <w:b/>
          <w:i w:val="0"/>
          <w:color w:val="5B9BD5" w:themeColor="accent1"/>
          <w:sz w:val="20"/>
          <w:szCs w:val="20"/>
        </w:rPr>
      </w:pPr>
      <w:bookmarkStart w:id="28" w:name="_Toc84845231"/>
      <w:r w:rsidRPr="00B872B2">
        <w:rPr>
          <w:rFonts w:ascii="Times New Roman" w:hAnsi="Times New Roman" w:cs="Times New Roman"/>
          <w:b/>
          <w:i w:val="0"/>
          <w:color w:val="5B9BD5" w:themeColor="accent1"/>
          <w:sz w:val="20"/>
          <w:szCs w:val="20"/>
        </w:rPr>
        <w:t xml:space="preserve">Tabuľka </w:t>
      </w:r>
      <w:r w:rsidRPr="00B872B2">
        <w:rPr>
          <w:rFonts w:ascii="Times New Roman" w:hAnsi="Times New Roman" w:cs="Times New Roman"/>
          <w:b/>
          <w:i w:val="0"/>
          <w:color w:val="5B9BD5" w:themeColor="accent1"/>
          <w:sz w:val="20"/>
          <w:szCs w:val="20"/>
        </w:rPr>
        <w:fldChar w:fldCharType="begin"/>
      </w:r>
      <w:r w:rsidRPr="00B872B2">
        <w:rPr>
          <w:rFonts w:ascii="Times New Roman" w:hAnsi="Times New Roman" w:cs="Times New Roman"/>
          <w:b/>
          <w:i w:val="0"/>
          <w:color w:val="5B9BD5" w:themeColor="accent1"/>
          <w:sz w:val="20"/>
          <w:szCs w:val="20"/>
        </w:rPr>
        <w:instrText xml:space="preserve"> SEQ Tabuľka \* ARABIC </w:instrText>
      </w:r>
      <w:r w:rsidRPr="00B872B2">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7</w:t>
      </w:r>
      <w:r w:rsidRPr="00B872B2">
        <w:rPr>
          <w:rFonts w:ascii="Times New Roman" w:hAnsi="Times New Roman" w:cs="Times New Roman"/>
          <w:b/>
          <w:i w:val="0"/>
          <w:color w:val="5B9BD5" w:themeColor="accent1"/>
          <w:sz w:val="20"/>
          <w:szCs w:val="20"/>
        </w:rPr>
        <w:fldChar w:fldCharType="end"/>
      </w:r>
      <w:r w:rsidRPr="00B872B2">
        <w:rPr>
          <w:rFonts w:ascii="Times New Roman" w:hAnsi="Times New Roman" w:cs="Times New Roman"/>
          <w:b/>
          <w:i w:val="0"/>
          <w:color w:val="5B9BD5" w:themeColor="accent1"/>
          <w:sz w:val="20"/>
          <w:szCs w:val="20"/>
        </w:rPr>
        <w:t xml:space="preserve"> - Predpoklad nečerpania výdavkov štátneho rozpočtu</w:t>
      </w:r>
      <w:bookmarkEnd w:id="28"/>
    </w:p>
    <w:tbl>
      <w:tblPr>
        <w:tblW w:w="5000" w:type="pct"/>
        <w:jc w:val="center"/>
        <w:tblCellMar>
          <w:left w:w="70" w:type="dxa"/>
          <w:right w:w="70" w:type="dxa"/>
        </w:tblCellMar>
        <w:tblLook w:val="04A0" w:firstRow="1" w:lastRow="0" w:firstColumn="1" w:lastColumn="0" w:noHBand="0" w:noVBand="1"/>
      </w:tblPr>
      <w:tblGrid>
        <w:gridCol w:w="7472"/>
        <w:gridCol w:w="800"/>
        <w:gridCol w:w="800"/>
      </w:tblGrid>
      <w:tr w:rsidR="00B872B2" w:rsidRPr="00120EEF" w:rsidTr="00B872B2">
        <w:trPr>
          <w:trHeight w:val="255"/>
          <w:jc w:val="center"/>
        </w:trPr>
        <w:tc>
          <w:tcPr>
            <w:tcW w:w="4118" w:type="pct"/>
            <w:tcBorders>
              <w:top w:val="single" w:sz="4" w:space="0" w:color="auto"/>
              <w:left w:val="nil"/>
              <w:bottom w:val="single" w:sz="4" w:space="0" w:color="auto"/>
              <w:right w:val="nil"/>
            </w:tcBorders>
            <w:shd w:val="clear" w:color="auto" w:fill="auto"/>
            <w:vAlign w:val="center"/>
            <w:hideMark/>
          </w:tcPr>
          <w:p w:rsidR="00B872B2" w:rsidRPr="00120EEF" w:rsidRDefault="00B872B2" w:rsidP="003B3897">
            <w:pPr>
              <w:spacing w:after="0" w:line="240" w:lineRule="auto"/>
              <w:rPr>
                <w:rFonts w:ascii="Times New Roman" w:eastAsia="Times New Roman" w:hAnsi="Times New Roman" w:cs="Times New Roman"/>
                <w:b/>
                <w:bCs/>
                <w:sz w:val="16"/>
                <w:szCs w:val="16"/>
                <w:lang w:eastAsia="sk-SK"/>
              </w:rPr>
            </w:pPr>
            <w:r w:rsidRPr="00120EEF">
              <w:rPr>
                <w:rFonts w:ascii="Times New Roman" w:eastAsia="Times New Roman" w:hAnsi="Times New Roman" w:cs="Times New Roman"/>
                <w:i/>
                <w:iCs/>
                <w:sz w:val="16"/>
                <w:szCs w:val="16"/>
                <w:lang w:eastAsia="sk-SK"/>
              </w:rPr>
              <w:t>(v mil. eur; ESA</w:t>
            </w:r>
            <w:r>
              <w:rPr>
                <w:rFonts w:ascii="Times New Roman" w:eastAsia="Times New Roman" w:hAnsi="Times New Roman" w:cs="Times New Roman"/>
                <w:i/>
                <w:iCs/>
                <w:sz w:val="16"/>
                <w:szCs w:val="16"/>
                <w:lang w:eastAsia="sk-SK"/>
              </w:rPr>
              <w:t xml:space="preserve"> </w:t>
            </w:r>
            <w:r w:rsidRPr="00120EEF">
              <w:rPr>
                <w:rFonts w:ascii="Times New Roman" w:eastAsia="Times New Roman" w:hAnsi="Times New Roman" w:cs="Times New Roman"/>
                <w:i/>
                <w:iCs/>
                <w:sz w:val="16"/>
                <w:szCs w:val="16"/>
                <w:lang w:eastAsia="sk-SK"/>
              </w:rPr>
              <w:t>2010 na konsolidovanej báze)</w:t>
            </w:r>
          </w:p>
        </w:tc>
        <w:tc>
          <w:tcPr>
            <w:tcW w:w="441" w:type="pct"/>
            <w:tcBorders>
              <w:top w:val="single" w:sz="4" w:space="0" w:color="auto"/>
              <w:left w:val="nil"/>
              <w:bottom w:val="single" w:sz="4" w:space="0" w:color="auto"/>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b/>
                <w:bCs/>
                <w:sz w:val="16"/>
                <w:szCs w:val="16"/>
                <w:lang w:eastAsia="sk-SK"/>
              </w:rPr>
            </w:pPr>
            <w:r w:rsidRPr="00120EEF">
              <w:rPr>
                <w:rFonts w:ascii="Times New Roman" w:eastAsia="Times New Roman" w:hAnsi="Times New Roman" w:cs="Times New Roman"/>
                <w:b/>
                <w:bCs/>
                <w:sz w:val="16"/>
                <w:szCs w:val="16"/>
                <w:lang w:eastAsia="sk-SK"/>
              </w:rPr>
              <w:t>SPOLU</w:t>
            </w:r>
          </w:p>
        </w:tc>
        <w:tc>
          <w:tcPr>
            <w:tcW w:w="441" w:type="pct"/>
            <w:tcBorders>
              <w:top w:val="single" w:sz="4" w:space="0" w:color="auto"/>
              <w:left w:val="nil"/>
              <w:bottom w:val="single" w:sz="4" w:space="0" w:color="auto"/>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b/>
                <w:bCs/>
                <w:sz w:val="16"/>
                <w:szCs w:val="16"/>
                <w:lang w:eastAsia="sk-SK"/>
              </w:rPr>
            </w:pPr>
            <w:r w:rsidRPr="00120EEF">
              <w:rPr>
                <w:rFonts w:ascii="Times New Roman" w:eastAsia="Times New Roman" w:hAnsi="Times New Roman" w:cs="Times New Roman"/>
                <w:b/>
                <w:bCs/>
                <w:sz w:val="16"/>
                <w:szCs w:val="16"/>
                <w:lang w:eastAsia="sk-SK"/>
              </w:rPr>
              <w:t>1 027,1</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Zvýšené transfery štátneho rozpočtu pre OSVS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ŠR</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677,9</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Platba štátu v rámci verejného zdravotného poistenia</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MZ SR</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232,5</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Rezerva na riešenie vplyvov nových právnych predpisov</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27,9</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Výdavky na obsluhu štátneho dlhu</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21,5</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Výdavky na rozvoj hokeja a rekonštrukciu športovej infraštruktúry</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14,0</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Výdavky na budovanie analytických jednotiek</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10,0</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Rezerva na realizáciu súdnych a exekučných rozhodnutí</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9,7</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Výdavky na športovú infraštruktúru - NCC (uzn.</w:t>
            </w:r>
            <w:r w:rsidR="00CF349E">
              <w:rPr>
                <w:rFonts w:ascii="Times New Roman" w:eastAsia="Times New Roman" w:hAnsi="Times New Roman" w:cs="Times New Roman"/>
                <w:sz w:val="16"/>
                <w:szCs w:val="16"/>
                <w:lang w:eastAsia="sk-SK"/>
              </w:rPr>
              <w:t xml:space="preserve"> vl.</w:t>
            </w:r>
            <w:r w:rsidRPr="00120EEF">
              <w:rPr>
                <w:rFonts w:ascii="Times New Roman" w:eastAsia="Times New Roman" w:hAnsi="Times New Roman" w:cs="Times New Roman"/>
                <w:sz w:val="16"/>
                <w:szCs w:val="16"/>
                <w:lang w:eastAsia="sk-SK"/>
              </w:rPr>
              <w:t xml:space="preserve"> 141/2019)</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9,5</w:t>
            </w:r>
          </w:p>
        </w:tc>
      </w:tr>
      <w:tr w:rsidR="00B872B2" w:rsidRPr="00120EEF" w:rsidTr="00B872B2">
        <w:trPr>
          <w:trHeight w:val="255"/>
          <w:jc w:val="center"/>
        </w:trPr>
        <w:tc>
          <w:tcPr>
            <w:tcW w:w="4118"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Rezerva na realizáciu súdnych a exekučných rozhodnutí (z emisných kvôt určených pre MF SR)</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nil"/>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8,6</w:t>
            </w:r>
          </w:p>
        </w:tc>
      </w:tr>
      <w:tr w:rsidR="00B872B2" w:rsidRPr="00120EEF" w:rsidTr="00B872B2">
        <w:trPr>
          <w:trHeight w:val="255"/>
          <w:jc w:val="center"/>
        </w:trPr>
        <w:tc>
          <w:tcPr>
            <w:tcW w:w="4118" w:type="pct"/>
            <w:tcBorders>
              <w:top w:val="nil"/>
              <w:left w:val="nil"/>
              <w:bottom w:val="single" w:sz="4" w:space="0" w:color="auto"/>
              <w:right w:val="nil"/>
            </w:tcBorders>
            <w:shd w:val="clear" w:color="auto" w:fill="auto"/>
            <w:noWrap/>
            <w:vAlign w:val="center"/>
            <w:hideMark/>
          </w:tcPr>
          <w:p w:rsidR="00B872B2" w:rsidRPr="00120EEF"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Ostatné</w:t>
            </w:r>
          </w:p>
        </w:tc>
        <w:tc>
          <w:tcPr>
            <w:tcW w:w="441" w:type="pct"/>
            <w:tcBorders>
              <w:top w:val="nil"/>
              <w:left w:val="nil"/>
              <w:bottom w:val="single" w:sz="4" w:space="0" w:color="auto"/>
              <w:right w:val="nil"/>
            </w:tcBorders>
            <w:shd w:val="clear" w:color="auto" w:fill="auto"/>
            <w:noWrap/>
            <w:vAlign w:val="center"/>
            <w:hideMark/>
          </w:tcPr>
          <w:p w:rsidR="00B872B2" w:rsidRPr="00120EEF" w:rsidRDefault="00B872B2" w:rsidP="003B3897">
            <w:pPr>
              <w:spacing w:after="0" w:line="240" w:lineRule="auto"/>
              <w:jc w:val="center"/>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VPS</w:t>
            </w:r>
          </w:p>
        </w:tc>
        <w:tc>
          <w:tcPr>
            <w:tcW w:w="441" w:type="pct"/>
            <w:tcBorders>
              <w:top w:val="nil"/>
              <w:left w:val="nil"/>
              <w:bottom w:val="single" w:sz="4" w:space="0" w:color="auto"/>
              <w:right w:val="nil"/>
            </w:tcBorders>
            <w:shd w:val="clear" w:color="auto" w:fill="auto"/>
            <w:noWrap/>
            <w:vAlign w:val="center"/>
            <w:hideMark/>
          </w:tcPr>
          <w:p w:rsidR="00B872B2" w:rsidRPr="00120EEF" w:rsidRDefault="00B872B2" w:rsidP="003B3897">
            <w:pPr>
              <w:spacing w:after="0" w:line="240" w:lineRule="auto"/>
              <w:jc w:val="right"/>
              <w:rPr>
                <w:rFonts w:ascii="Times New Roman" w:eastAsia="Times New Roman" w:hAnsi="Times New Roman" w:cs="Times New Roman"/>
                <w:sz w:val="16"/>
                <w:szCs w:val="16"/>
                <w:lang w:eastAsia="sk-SK"/>
              </w:rPr>
            </w:pPr>
            <w:r w:rsidRPr="00120EEF">
              <w:rPr>
                <w:rFonts w:ascii="Times New Roman" w:eastAsia="Times New Roman" w:hAnsi="Times New Roman" w:cs="Times New Roman"/>
                <w:sz w:val="16"/>
                <w:szCs w:val="16"/>
                <w:lang w:eastAsia="sk-SK"/>
              </w:rPr>
              <w:t>15,3</w:t>
            </w:r>
          </w:p>
        </w:tc>
      </w:tr>
    </w:tbl>
    <w:p w:rsidR="00B872B2" w:rsidRPr="00C516F2" w:rsidRDefault="00B872B2" w:rsidP="00B872B2">
      <w:pPr>
        <w:spacing w:after="0" w:line="240" w:lineRule="auto"/>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B872B2" w:rsidRDefault="00B872B2" w:rsidP="00B872B2">
      <w:pPr>
        <w:spacing w:after="0" w:line="240" w:lineRule="auto"/>
        <w:jc w:val="both"/>
        <w:rPr>
          <w:rFonts w:ascii="Times New Roman" w:hAnsi="Times New Roman" w:cs="Times New Roman"/>
          <w:sz w:val="24"/>
          <w:szCs w:val="24"/>
        </w:rPr>
      </w:pPr>
    </w:p>
    <w:p w:rsidR="00B872B2" w:rsidRDefault="00B872B2" w:rsidP="00B872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 titulu vyššieho ako rozpočtovaného objemu transferov štátneho rozpočtu pre ostatné subjekty verejnej správy dochádza v štátnom rozpočte k nečerpaniu výdavkov na konsolidovanej báze vo výške 678 mil. eur</w:t>
      </w:r>
      <w:r w:rsidR="005D5804">
        <w:rPr>
          <w:rFonts w:ascii="Times New Roman" w:hAnsi="Times New Roman" w:cs="Times New Roman"/>
          <w:sz w:val="24"/>
          <w:szCs w:val="24"/>
        </w:rPr>
        <w:t xml:space="preserve"> (a to aj v súvislosti so zavedením zero based budgetingu)</w:t>
      </w:r>
      <w:r>
        <w:rPr>
          <w:rFonts w:ascii="Times New Roman" w:hAnsi="Times New Roman" w:cs="Times New Roman"/>
          <w:sz w:val="24"/>
          <w:szCs w:val="24"/>
        </w:rPr>
        <w:t>. Konečná spotreba týchto prostriedkov sa prejavuje vo výdavkoch a hospodárení dotknutých ostatných subjektov verejnej správy.</w:t>
      </w:r>
    </w:p>
    <w:p w:rsidR="00B872B2" w:rsidRDefault="00B872B2" w:rsidP="00B872B2">
      <w:pPr>
        <w:spacing w:after="0" w:line="240" w:lineRule="auto"/>
        <w:jc w:val="both"/>
        <w:rPr>
          <w:rFonts w:ascii="Times New Roman" w:hAnsi="Times New Roman" w:cs="Times New Roman"/>
          <w:sz w:val="24"/>
          <w:szCs w:val="24"/>
        </w:rPr>
      </w:pPr>
    </w:p>
    <w:p w:rsidR="00B872B2" w:rsidRPr="00B872B2" w:rsidRDefault="00B872B2" w:rsidP="00B872B2">
      <w:pPr>
        <w:pStyle w:val="Popis"/>
        <w:keepNext/>
        <w:spacing w:after="0"/>
        <w:rPr>
          <w:rFonts w:ascii="Times New Roman" w:hAnsi="Times New Roman" w:cs="Times New Roman"/>
          <w:b/>
          <w:i w:val="0"/>
          <w:color w:val="5B9BD5" w:themeColor="accent1"/>
          <w:sz w:val="20"/>
          <w:szCs w:val="20"/>
        </w:rPr>
      </w:pPr>
      <w:bookmarkStart w:id="29" w:name="_Toc84845232"/>
      <w:r w:rsidRPr="00B872B2">
        <w:rPr>
          <w:rFonts w:ascii="Times New Roman" w:hAnsi="Times New Roman" w:cs="Times New Roman"/>
          <w:b/>
          <w:i w:val="0"/>
          <w:color w:val="5B9BD5" w:themeColor="accent1"/>
          <w:sz w:val="20"/>
          <w:szCs w:val="20"/>
        </w:rPr>
        <w:t xml:space="preserve">Tabuľka </w:t>
      </w:r>
      <w:r w:rsidRPr="00B872B2">
        <w:rPr>
          <w:rFonts w:ascii="Times New Roman" w:hAnsi="Times New Roman" w:cs="Times New Roman"/>
          <w:b/>
          <w:i w:val="0"/>
          <w:color w:val="5B9BD5" w:themeColor="accent1"/>
          <w:sz w:val="20"/>
          <w:szCs w:val="20"/>
        </w:rPr>
        <w:fldChar w:fldCharType="begin"/>
      </w:r>
      <w:r w:rsidRPr="00B872B2">
        <w:rPr>
          <w:rFonts w:ascii="Times New Roman" w:hAnsi="Times New Roman" w:cs="Times New Roman"/>
          <w:b/>
          <w:i w:val="0"/>
          <w:color w:val="5B9BD5" w:themeColor="accent1"/>
          <w:sz w:val="20"/>
          <w:szCs w:val="20"/>
        </w:rPr>
        <w:instrText xml:space="preserve"> SEQ Tabuľka \* ARABIC </w:instrText>
      </w:r>
      <w:r w:rsidRPr="00B872B2">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8</w:t>
      </w:r>
      <w:r w:rsidRPr="00B872B2">
        <w:rPr>
          <w:rFonts w:ascii="Times New Roman" w:hAnsi="Times New Roman" w:cs="Times New Roman"/>
          <w:b/>
          <w:i w:val="0"/>
          <w:color w:val="5B9BD5" w:themeColor="accent1"/>
          <w:sz w:val="20"/>
          <w:szCs w:val="20"/>
        </w:rPr>
        <w:fldChar w:fldCharType="end"/>
      </w:r>
      <w:r w:rsidRPr="00B872B2">
        <w:rPr>
          <w:rFonts w:ascii="Times New Roman" w:hAnsi="Times New Roman" w:cs="Times New Roman"/>
          <w:b/>
          <w:i w:val="0"/>
          <w:color w:val="5B9BD5" w:themeColor="accent1"/>
          <w:sz w:val="20"/>
          <w:szCs w:val="20"/>
        </w:rPr>
        <w:t xml:space="preserve"> - Zvýšené transfery štátneho rozpočtu pre OSVS</w:t>
      </w:r>
      <w:bookmarkEnd w:id="29"/>
    </w:p>
    <w:tbl>
      <w:tblPr>
        <w:tblW w:w="5000" w:type="pct"/>
        <w:jc w:val="center"/>
        <w:tblCellMar>
          <w:left w:w="70" w:type="dxa"/>
          <w:right w:w="70" w:type="dxa"/>
        </w:tblCellMar>
        <w:tblLook w:val="04A0" w:firstRow="1" w:lastRow="0" w:firstColumn="1" w:lastColumn="0" w:noHBand="0" w:noVBand="1"/>
      </w:tblPr>
      <w:tblGrid>
        <w:gridCol w:w="8272"/>
        <w:gridCol w:w="800"/>
      </w:tblGrid>
      <w:tr w:rsidR="00B872B2" w:rsidRPr="00AD4213" w:rsidTr="003B3897">
        <w:trPr>
          <w:trHeight w:val="255"/>
          <w:jc w:val="center"/>
        </w:trPr>
        <w:tc>
          <w:tcPr>
            <w:tcW w:w="4559" w:type="pct"/>
            <w:tcBorders>
              <w:top w:val="single" w:sz="4" w:space="0" w:color="auto"/>
              <w:left w:val="nil"/>
              <w:bottom w:val="single" w:sz="4" w:space="0" w:color="auto"/>
              <w:right w:val="nil"/>
            </w:tcBorders>
            <w:shd w:val="clear" w:color="auto" w:fill="auto"/>
            <w:vAlign w:val="center"/>
            <w:hideMark/>
          </w:tcPr>
          <w:p w:rsidR="00B872B2" w:rsidRPr="00AD4213" w:rsidRDefault="00B872B2" w:rsidP="003B3897">
            <w:pPr>
              <w:spacing w:after="0" w:line="240" w:lineRule="auto"/>
              <w:rPr>
                <w:rFonts w:ascii="Times New Roman" w:eastAsia="Times New Roman" w:hAnsi="Times New Roman" w:cs="Times New Roman"/>
                <w:b/>
                <w:bCs/>
                <w:sz w:val="16"/>
                <w:szCs w:val="16"/>
                <w:lang w:eastAsia="sk-SK"/>
              </w:rPr>
            </w:pPr>
            <w:r w:rsidRPr="00AD4213">
              <w:rPr>
                <w:rFonts w:ascii="Times New Roman" w:eastAsia="Times New Roman" w:hAnsi="Times New Roman" w:cs="Times New Roman"/>
                <w:i/>
                <w:iCs/>
                <w:sz w:val="16"/>
                <w:szCs w:val="16"/>
                <w:lang w:eastAsia="sk-SK"/>
              </w:rPr>
              <w:t>(v mil. eur; ESA</w:t>
            </w:r>
            <w:r>
              <w:rPr>
                <w:rFonts w:ascii="Times New Roman" w:eastAsia="Times New Roman" w:hAnsi="Times New Roman" w:cs="Times New Roman"/>
                <w:i/>
                <w:iCs/>
                <w:sz w:val="16"/>
                <w:szCs w:val="16"/>
                <w:lang w:eastAsia="sk-SK"/>
              </w:rPr>
              <w:t xml:space="preserve"> </w:t>
            </w:r>
            <w:r w:rsidRPr="00AD4213">
              <w:rPr>
                <w:rFonts w:ascii="Times New Roman" w:eastAsia="Times New Roman" w:hAnsi="Times New Roman" w:cs="Times New Roman"/>
                <w:i/>
                <w:iCs/>
                <w:sz w:val="16"/>
                <w:szCs w:val="16"/>
                <w:lang w:eastAsia="sk-SK"/>
              </w:rPr>
              <w:t>2010 na konsolidovanej báze)</w:t>
            </w:r>
          </w:p>
        </w:tc>
        <w:tc>
          <w:tcPr>
            <w:tcW w:w="441" w:type="pct"/>
            <w:tcBorders>
              <w:top w:val="single" w:sz="4" w:space="0" w:color="auto"/>
              <w:left w:val="nil"/>
              <w:bottom w:val="single" w:sz="4" w:space="0" w:color="auto"/>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b/>
                <w:bCs/>
                <w:sz w:val="16"/>
                <w:szCs w:val="16"/>
                <w:lang w:eastAsia="sk-SK"/>
              </w:rPr>
            </w:pPr>
            <w:r w:rsidRPr="00AD4213">
              <w:rPr>
                <w:rFonts w:ascii="Times New Roman" w:eastAsia="Times New Roman" w:hAnsi="Times New Roman" w:cs="Times New Roman"/>
                <w:b/>
                <w:bCs/>
                <w:sz w:val="16"/>
                <w:szCs w:val="16"/>
                <w:lang w:eastAsia="sk-SK"/>
              </w:rPr>
              <w:t>677,9</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Národná diaľničná spoločnosť, a. s.</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270,4</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Obce</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225,6</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Príspevkové organizácie</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88,0</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Železničná spoločnosť Slovensko</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61,5</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Verejné vysoké školy</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41,3</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Fond na podporu športu</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35,2</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Železnice SR</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24,4</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Zdravotnícke zariadenia</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12,7</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RTVS</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5,6</w:t>
            </w:r>
          </w:p>
        </w:tc>
      </w:tr>
      <w:tr w:rsidR="00B872B2" w:rsidRPr="00AD4213" w:rsidTr="003B3897">
        <w:trPr>
          <w:trHeight w:val="255"/>
          <w:jc w:val="center"/>
        </w:trPr>
        <w:tc>
          <w:tcPr>
            <w:tcW w:w="4559"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Verejné zdravotné poistenie</w:t>
            </w:r>
          </w:p>
        </w:tc>
        <w:tc>
          <w:tcPr>
            <w:tcW w:w="441" w:type="pct"/>
            <w:tcBorders>
              <w:top w:val="nil"/>
              <w:left w:val="nil"/>
              <w:bottom w:val="nil"/>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1,2</w:t>
            </w:r>
          </w:p>
        </w:tc>
      </w:tr>
      <w:tr w:rsidR="00B872B2" w:rsidRPr="00AD4213" w:rsidTr="003B3897">
        <w:trPr>
          <w:trHeight w:val="255"/>
          <w:jc w:val="center"/>
        </w:trPr>
        <w:tc>
          <w:tcPr>
            <w:tcW w:w="4559" w:type="pct"/>
            <w:tcBorders>
              <w:top w:val="nil"/>
              <w:left w:val="nil"/>
              <w:bottom w:val="single" w:sz="4" w:space="0" w:color="auto"/>
              <w:right w:val="nil"/>
            </w:tcBorders>
            <w:shd w:val="clear" w:color="auto" w:fill="auto"/>
            <w:noWrap/>
            <w:vAlign w:val="center"/>
            <w:hideMark/>
          </w:tcPr>
          <w:p w:rsidR="00B872B2" w:rsidRPr="00AD4213" w:rsidRDefault="00B872B2" w:rsidP="003B3897">
            <w:pPr>
              <w:spacing w:after="0" w:line="240" w:lineRule="auto"/>
              <w:ind w:firstLineChars="100" w:firstLine="160"/>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Vyššie územné celky</w:t>
            </w:r>
          </w:p>
        </w:tc>
        <w:tc>
          <w:tcPr>
            <w:tcW w:w="441" w:type="pct"/>
            <w:tcBorders>
              <w:top w:val="nil"/>
              <w:left w:val="nil"/>
              <w:bottom w:val="single" w:sz="4" w:space="0" w:color="auto"/>
              <w:right w:val="nil"/>
            </w:tcBorders>
            <w:shd w:val="clear" w:color="auto" w:fill="auto"/>
            <w:noWrap/>
            <w:vAlign w:val="center"/>
            <w:hideMark/>
          </w:tcPr>
          <w:p w:rsidR="00B872B2" w:rsidRPr="00AD4213" w:rsidRDefault="00B872B2" w:rsidP="003B3897">
            <w:pPr>
              <w:spacing w:after="0" w:line="240" w:lineRule="auto"/>
              <w:jc w:val="right"/>
              <w:rPr>
                <w:rFonts w:ascii="Times New Roman" w:eastAsia="Times New Roman" w:hAnsi="Times New Roman" w:cs="Times New Roman"/>
                <w:sz w:val="16"/>
                <w:szCs w:val="16"/>
                <w:lang w:eastAsia="sk-SK"/>
              </w:rPr>
            </w:pPr>
            <w:r w:rsidRPr="00AD4213">
              <w:rPr>
                <w:rFonts w:ascii="Times New Roman" w:eastAsia="Times New Roman" w:hAnsi="Times New Roman" w:cs="Times New Roman"/>
                <w:sz w:val="16"/>
                <w:szCs w:val="16"/>
                <w:lang w:eastAsia="sk-SK"/>
              </w:rPr>
              <w:t>-88,0</w:t>
            </w:r>
          </w:p>
        </w:tc>
      </w:tr>
    </w:tbl>
    <w:p w:rsidR="00B872B2" w:rsidRPr="00C516F2" w:rsidRDefault="00B872B2" w:rsidP="00B872B2">
      <w:pPr>
        <w:spacing w:after="0" w:line="240" w:lineRule="auto"/>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7B4FDF" w:rsidRDefault="007B4FDF" w:rsidP="007B4FDF">
      <w:pPr>
        <w:spacing w:after="0" w:line="240" w:lineRule="auto"/>
        <w:jc w:val="both"/>
        <w:rPr>
          <w:rFonts w:ascii="Times New Roman" w:hAnsi="Times New Roman" w:cs="Times New Roman"/>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30" w:name="_Toc79153410"/>
      <w:r w:rsidRPr="0080040F">
        <w:rPr>
          <w:rFonts w:ascii="Times New Roman" w:hAnsi="Times New Roman" w:cs="Times New Roman"/>
          <w:b/>
          <w:color w:val="5B9BD5" w:themeColor="accent1"/>
        </w:rPr>
        <w:t xml:space="preserve">2.1.4. </w:t>
      </w:r>
      <w:r w:rsidR="007B4FDF" w:rsidRPr="0080040F">
        <w:rPr>
          <w:rFonts w:ascii="Times New Roman" w:hAnsi="Times New Roman" w:cs="Times New Roman"/>
          <w:b/>
          <w:color w:val="5B9BD5" w:themeColor="accent1"/>
        </w:rPr>
        <w:t>Vzťahy s rozpočtom EÚ</w:t>
      </w:r>
      <w:bookmarkEnd w:id="30"/>
    </w:p>
    <w:p w:rsidR="007B4FDF" w:rsidRDefault="007B4FDF" w:rsidP="007B4FDF">
      <w:pPr>
        <w:spacing w:after="0" w:line="240" w:lineRule="auto"/>
        <w:jc w:val="both"/>
        <w:rPr>
          <w:rFonts w:ascii="Times New Roman" w:hAnsi="Times New Roman" w:cs="Times New Roman"/>
          <w:b/>
          <w:sz w:val="24"/>
          <w:szCs w:val="24"/>
        </w:rPr>
      </w:pPr>
    </w:p>
    <w:p w:rsidR="00B872B2" w:rsidRPr="00AF67D0" w:rsidRDefault="00B872B2" w:rsidP="00B872B2">
      <w:pPr>
        <w:spacing w:after="0" w:line="240" w:lineRule="auto"/>
        <w:jc w:val="both"/>
        <w:rPr>
          <w:rFonts w:ascii="Times New Roman" w:hAnsi="Times New Roman"/>
          <w:color w:val="2E75B6"/>
          <w:sz w:val="24"/>
          <w:szCs w:val="24"/>
        </w:rPr>
      </w:pPr>
      <w:r w:rsidRPr="00AF67D0">
        <w:rPr>
          <w:rFonts w:ascii="Times New Roman" w:hAnsi="Times New Roman" w:cs="Times New Roman"/>
          <w:sz w:val="24"/>
          <w:szCs w:val="24"/>
        </w:rPr>
        <w:t>Vzťahy s rozpočtom EÚ majú pozitívny vplyv na hospodárenie rozpočtu verejnej správy v roku 2021 na úrovni 11</w:t>
      </w:r>
      <w:r>
        <w:rPr>
          <w:rFonts w:ascii="Times New Roman" w:hAnsi="Times New Roman" w:cs="Times New Roman"/>
          <w:sz w:val="24"/>
          <w:szCs w:val="24"/>
        </w:rPr>
        <w:t>8</w:t>
      </w:r>
      <w:r w:rsidRPr="00AF67D0">
        <w:rPr>
          <w:rFonts w:ascii="Times New Roman" w:hAnsi="Times New Roman" w:cs="Times New Roman"/>
          <w:sz w:val="24"/>
          <w:szCs w:val="24"/>
        </w:rPr>
        <w:t xml:space="preserve"> mil. eur. Ide najmä o</w:t>
      </w:r>
      <w:r>
        <w:rPr>
          <w:rFonts w:ascii="Times New Roman" w:hAnsi="Times New Roman" w:cs="Times New Roman"/>
          <w:sz w:val="24"/>
          <w:szCs w:val="24"/>
        </w:rPr>
        <w:t> očakávané nižšie čerpanie</w:t>
      </w:r>
      <w:r w:rsidRPr="00AF67D0">
        <w:rPr>
          <w:rFonts w:ascii="Times New Roman" w:hAnsi="Times New Roman" w:cs="Times New Roman"/>
          <w:sz w:val="24"/>
          <w:szCs w:val="24"/>
        </w:rPr>
        <w:t xml:space="preserve"> spolufinancovania spoločných programov SR a EÚ </w:t>
      </w:r>
      <w:r>
        <w:rPr>
          <w:rFonts w:ascii="Times New Roman" w:hAnsi="Times New Roman" w:cs="Times New Roman"/>
          <w:sz w:val="24"/>
          <w:szCs w:val="24"/>
        </w:rPr>
        <w:t xml:space="preserve">na úrovni </w:t>
      </w:r>
      <w:r w:rsidRPr="00AF67D0">
        <w:rPr>
          <w:rFonts w:ascii="Times New Roman" w:hAnsi="Times New Roman" w:cs="Times New Roman"/>
          <w:sz w:val="24"/>
          <w:szCs w:val="24"/>
        </w:rPr>
        <w:t>159 mil. eur</w:t>
      </w:r>
      <w:r>
        <w:rPr>
          <w:rFonts w:ascii="Times New Roman" w:hAnsi="Times New Roman" w:cs="Times New Roman"/>
          <w:sz w:val="24"/>
          <w:szCs w:val="24"/>
        </w:rPr>
        <w:t>. Dôvodom je skutočnosť</w:t>
      </w:r>
      <w:r w:rsidRPr="00AF67D0">
        <w:rPr>
          <w:rFonts w:ascii="Times New Roman" w:hAnsi="Times New Roman" w:cs="Times New Roman"/>
          <w:sz w:val="24"/>
          <w:szCs w:val="24"/>
        </w:rPr>
        <w:t>, že dochádza vo väčšej miere k čerpaniu projektov zo súkromného sektora s nižšou mierou spolufinancovania zo ŠR v porovnaní s projektami z verejného sektora.</w:t>
      </w:r>
    </w:p>
    <w:p w:rsidR="00B872B2" w:rsidRPr="00AF67D0" w:rsidRDefault="00B872B2" w:rsidP="00B872B2">
      <w:pPr>
        <w:spacing w:after="0" w:line="240" w:lineRule="auto"/>
        <w:jc w:val="both"/>
        <w:rPr>
          <w:rFonts w:ascii="Times New Roman" w:hAnsi="Times New Roman"/>
          <w:color w:val="2E75B6"/>
          <w:sz w:val="24"/>
          <w:szCs w:val="24"/>
        </w:rPr>
      </w:pPr>
    </w:p>
    <w:p w:rsidR="00B872B2" w:rsidRDefault="00B872B2" w:rsidP="00B872B2">
      <w:pPr>
        <w:spacing w:after="0" w:line="240" w:lineRule="auto"/>
        <w:jc w:val="both"/>
        <w:rPr>
          <w:rFonts w:ascii="Times New Roman" w:hAnsi="Times New Roman" w:cs="Times New Roman"/>
          <w:sz w:val="24"/>
          <w:szCs w:val="24"/>
        </w:rPr>
      </w:pPr>
      <w:r w:rsidRPr="00AF67D0">
        <w:rPr>
          <w:rFonts w:ascii="Times New Roman" w:hAnsi="Times New Roman" w:cs="Times New Roman"/>
          <w:sz w:val="24"/>
          <w:szCs w:val="24"/>
        </w:rPr>
        <w:t>Vplyv korekcií k čerpaniu EÚ fondov očistený o vplyv príjmov platobných jednotiek z prostriedkov EÚ z uhradených korekcií má negatívny vplyv 5</w:t>
      </w:r>
      <w:r>
        <w:rPr>
          <w:rFonts w:ascii="Times New Roman" w:hAnsi="Times New Roman" w:cs="Times New Roman"/>
          <w:sz w:val="24"/>
          <w:szCs w:val="24"/>
        </w:rPr>
        <w:t>2,1 mil. eur.</w:t>
      </w:r>
    </w:p>
    <w:p w:rsidR="00B872B2" w:rsidRDefault="00B872B2" w:rsidP="00B872B2">
      <w:pPr>
        <w:spacing w:after="0" w:line="240" w:lineRule="auto"/>
        <w:jc w:val="both"/>
        <w:rPr>
          <w:rFonts w:ascii="Times New Roman" w:hAnsi="Times New Roman" w:cs="Times New Roman"/>
          <w:sz w:val="24"/>
          <w:szCs w:val="24"/>
        </w:rPr>
      </w:pPr>
    </w:p>
    <w:p w:rsidR="00B872B2" w:rsidRDefault="00B872B2" w:rsidP="00B872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rámci odvodu</w:t>
      </w:r>
      <w:r w:rsidRPr="00AF67D0">
        <w:rPr>
          <w:rFonts w:ascii="Times New Roman" w:hAnsi="Times New Roman" w:cs="Times New Roman"/>
          <w:sz w:val="24"/>
          <w:szCs w:val="24"/>
        </w:rPr>
        <w:t xml:space="preserve"> do rozpočtu EÚ</w:t>
      </w:r>
      <w:r>
        <w:rPr>
          <w:rFonts w:ascii="Times New Roman" w:hAnsi="Times New Roman" w:cs="Times New Roman"/>
          <w:sz w:val="24"/>
          <w:szCs w:val="24"/>
        </w:rPr>
        <w:t xml:space="preserve"> </w:t>
      </w:r>
      <w:r w:rsidRPr="00AF67D0">
        <w:rPr>
          <w:rFonts w:ascii="Times New Roman" w:hAnsi="Times New Roman" w:cs="Times New Roman"/>
          <w:sz w:val="24"/>
          <w:szCs w:val="24"/>
        </w:rPr>
        <w:t xml:space="preserve">sa očakáva </w:t>
      </w:r>
      <w:r>
        <w:rPr>
          <w:rFonts w:ascii="Times New Roman" w:hAnsi="Times New Roman" w:cs="Times New Roman"/>
          <w:sz w:val="24"/>
          <w:szCs w:val="24"/>
        </w:rPr>
        <w:t>nižšie čerpanie na úrovni 11,6</w:t>
      </w:r>
      <w:r w:rsidRPr="00AF67D0">
        <w:rPr>
          <w:rFonts w:ascii="Times New Roman" w:hAnsi="Times New Roman" w:cs="Times New Roman"/>
          <w:sz w:val="24"/>
          <w:szCs w:val="24"/>
        </w:rPr>
        <w:t xml:space="preserve"> mil. eur, a to najmä z dôvodu aktualizácie základní pre výpočet vlastných zdrojov na rok 2021.</w:t>
      </w:r>
    </w:p>
    <w:p w:rsidR="007B4FDF" w:rsidRPr="00264220" w:rsidRDefault="007B4FDF" w:rsidP="007B4FDF">
      <w:pPr>
        <w:spacing w:after="0" w:line="240" w:lineRule="auto"/>
        <w:jc w:val="both"/>
        <w:rPr>
          <w:rFonts w:ascii="Times New Roman" w:hAnsi="Times New Roman" w:cs="Times New Roman"/>
          <w:sz w:val="24"/>
          <w:szCs w:val="24"/>
        </w:rPr>
      </w:pPr>
    </w:p>
    <w:p w:rsidR="007B4FDF" w:rsidRPr="0080040F" w:rsidRDefault="0080040F" w:rsidP="00AC0B5F">
      <w:pPr>
        <w:pStyle w:val="CharCharCharCharCharCharCharCharChar1"/>
        <w:spacing w:after="0"/>
        <w:rPr>
          <w:rFonts w:ascii="Times New Roman" w:hAnsi="Times New Roman" w:cs="Times New Roman"/>
          <w:b/>
          <w:color w:val="5B9BD5" w:themeColor="accent1"/>
          <w:sz w:val="24"/>
          <w:szCs w:val="24"/>
        </w:rPr>
      </w:pPr>
      <w:bookmarkStart w:id="31" w:name="_Toc79153411"/>
      <w:r w:rsidRPr="0080040F">
        <w:rPr>
          <w:rFonts w:ascii="Times New Roman" w:hAnsi="Times New Roman" w:cs="Times New Roman"/>
          <w:b/>
          <w:color w:val="5B9BD5" w:themeColor="accent1"/>
          <w:sz w:val="24"/>
          <w:szCs w:val="24"/>
        </w:rPr>
        <w:t xml:space="preserve">2.1.5. </w:t>
      </w:r>
      <w:r w:rsidR="007B4FDF" w:rsidRPr="003C305E">
        <w:rPr>
          <w:rFonts w:ascii="Times New Roman" w:hAnsi="Times New Roman" w:cs="Times New Roman"/>
          <w:b/>
          <w:color w:val="5B9BD5" w:themeColor="accent1"/>
          <w:sz w:val="24"/>
          <w:szCs w:val="24"/>
          <w:lang w:val="sk-SK"/>
        </w:rPr>
        <w:t>Výdavky poistenia - Sociálna poisťovňa</w:t>
      </w:r>
      <w:bookmarkEnd w:id="31"/>
    </w:p>
    <w:p w:rsidR="007B4FDF" w:rsidRDefault="007B4FDF" w:rsidP="00AC0B5F">
      <w:pPr>
        <w:spacing w:after="0" w:line="240" w:lineRule="auto"/>
        <w:jc w:val="both"/>
        <w:rPr>
          <w:rFonts w:ascii="Times New Roman" w:hAnsi="Times New Roman"/>
          <w:b/>
          <w:bCs/>
          <w:sz w:val="24"/>
          <w:szCs w:val="24"/>
        </w:rPr>
      </w:pPr>
    </w:p>
    <w:p w:rsidR="003B3897" w:rsidRDefault="003B3897" w:rsidP="00AC0B5F">
      <w:pPr>
        <w:spacing w:after="0" w:line="240" w:lineRule="auto"/>
        <w:jc w:val="both"/>
        <w:rPr>
          <w:rFonts w:ascii="Times New Roman" w:hAnsi="Times New Roman"/>
          <w:sz w:val="24"/>
          <w:szCs w:val="24"/>
        </w:rPr>
      </w:pPr>
      <w:r>
        <w:rPr>
          <w:rFonts w:ascii="Times New Roman" w:hAnsi="Times New Roman"/>
          <w:sz w:val="24"/>
          <w:szCs w:val="24"/>
        </w:rPr>
        <w:t>Výdavky poistenia sa predpokladajú oproti rozpočtu vyššie o 12,3 mil. eur. Výdavky poistenia Sociálnej poisťovne, kt</w:t>
      </w:r>
      <w:r w:rsidR="009F5321">
        <w:rPr>
          <w:rFonts w:ascii="Times New Roman" w:hAnsi="Times New Roman"/>
          <w:sz w:val="24"/>
          <w:szCs w:val="24"/>
        </w:rPr>
        <w:t>oré súvisia s pandémiou COVID-</w:t>
      </w:r>
      <w:r>
        <w:rPr>
          <w:rFonts w:ascii="Times New Roman" w:hAnsi="Times New Roman"/>
          <w:sz w:val="24"/>
          <w:szCs w:val="24"/>
        </w:rPr>
        <w:t>19 neboli súčasťou pôvodne schváleného rozpočtu Sociálnej poisťovne. Aktuálne sa na základe septembrovej prognózy daňového výboru predpokladajú výdavky na pandemické dávky vo výške 299 mil. eur, z toho pandemická PN v sume 191 mil. eur, pandemická OČR v sume 68,3 mil. eur a výdavky na predĺženie podpory v nezamestnanosti v sume 40,1 mil. eur. Tieto sú sčasti kompenzované úsporou výdavkov poistenia Sociálnej poisťovne, ktor</w:t>
      </w:r>
      <w:r w:rsidR="009F5321">
        <w:rPr>
          <w:rFonts w:ascii="Times New Roman" w:hAnsi="Times New Roman"/>
          <w:sz w:val="24"/>
          <w:szCs w:val="24"/>
        </w:rPr>
        <w:t>é nesúvisia s pandémiou COVID-</w:t>
      </w:r>
      <w:r>
        <w:rPr>
          <w:rFonts w:ascii="Times New Roman" w:hAnsi="Times New Roman"/>
          <w:sz w:val="24"/>
          <w:szCs w:val="24"/>
        </w:rPr>
        <w:t>19 na úrovni 287 mil. eur. Uvedená úspora sa očakáva pri dôchodkových dávkach v sume 222 mil. eur, z</w:t>
      </w:r>
      <w:r>
        <w:rPr>
          <w:rFonts w:ascii="Times New Roman" w:hAnsi="Times New Roman"/>
          <w:color w:val="1F497D"/>
          <w:sz w:val="24"/>
          <w:szCs w:val="24"/>
        </w:rPr>
        <w:t> </w:t>
      </w:r>
      <w:r>
        <w:rPr>
          <w:rFonts w:ascii="Times New Roman" w:hAnsi="Times New Roman"/>
          <w:sz w:val="24"/>
          <w:szCs w:val="24"/>
        </w:rPr>
        <w:t>dôvodu vyššieho počtu zaniknutých dôchodkov ako bolo predpokladané v rozpočte, pri nemocenských dávkach v sume 75,0 mil. eur, z dôvodu očakávaného nižšieho počtu poberateľov necovidových nemocenských dávok oproti rozpočtovaným počtom v schválenom rozpočte na rok 2021. Zároveň sa aktuálne predpokladá vyššie čerpanie výdavkov poistenia v nezamestnanosti v sume 12,1 mil. eur z dôvodu očakávaného vyššieho priemerného mesačného počtu dávok ako aj vyššej vyplácanej priemernej mesačnej výšky dávok oproti rozpočtovaným výdavkom poistenia v nezamestnanosti.</w:t>
      </w:r>
    </w:p>
    <w:p w:rsidR="007B4FDF" w:rsidRDefault="007B4FDF" w:rsidP="007B4FDF">
      <w:pPr>
        <w:spacing w:after="0" w:line="240" w:lineRule="auto"/>
        <w:jc w:val="both"/>
        <w:rPr>
          <w:rFonts w:ascii="Times New Roman" w:hAnsi="Times New Roman"/>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32" w:name="_Toc79153412"/>
      <w:r w:rsidRPr="0080040F">
        <w:rPr>
          <w:rFonts w:ascii="Times New Roman" w:hAnsi="Times New Roman" w:cs="Times New Roman"/>
          <w:b/>
          <w:color w:val="5B9BD5" w:themeColor="accent1"/>
        </w:rPr>
        <w:t xml:space="preserve">2.1.6. </w:t>
      </w:r>
      <w:r w:rsidR="007B4FDF" w:rsidRPr="0080040F">
        <w:rPr>
          <w:rFonts w:ascii="Times New Roman" w:hAnsi="Times New Roman" w:cs="Times New Roman"/>
          <w:b/>
          <w:color w:val="5B9BD5" w:themeColor="accent1"/>
        </w:rPr>
        <w:t>Výdavky na zdravotníctvo</w:t>
      </w:r>
      <w:bookmarkEnd w:id="32"/>
    </w:p>
    <w:p w:rsidR="007B4FDF" w:rsidRDefault="007B4FDF" w:rsidP="007B4FDF">
      <w:pPr>
        <w:spacing w:after="0" w:line="240" w:lineRule="auto"/>
        <w:jc w:val="both"/>
        <w:rPr>
          <w:rFonts w:ascii="Times New Roman" w:hAnsi="Times New Roman" w:cs="Times New Roman"/>
          <w:color w:val="000000"/>
          <w:sz w:val="24"/>
          <w:szCs w:val="24"/>
        </w:rPr>
      </w:pPr>
    </w:p>
    <w:p w:rsidR="003B3897" w:rsidRDefault="003B3897" w:rsidP="003B3897">
      <w:pPr>
        <w:spacing w:after="0" w:line="240" w:lineRule="auto"/>
        <w:jc w:val="both"/>
        <w:rPr>
          <w:rFonts w:ascii="Times New Roman" w:hAnsi="Times New Roman" w:cs="Times New Roman"/>
          <w:color w:val="000000"/>
          <w:sz w:val="24"/>
          <w:szCs w:val="24"/>
        </w:rPr>
      </w:pPr>
      <w:r w:rsidRPr="00417C73">
        <w:rPr>
          <w:rFonts w:ascii="Times New Roman" w:hAnsi="Times New Roman" w:cs="Times New Roman"/>
          <w:color w:val="000000"/>
          <w:sz w:val="24"/>
          <w:szCs w:val="24"/>
        </w:rPr>
        <w:t xml:space="preserve">V rámci tejto kategórie sa predpokladá vplyv zhoršenia schodku rozpočtu verejnej správy </w:t>
      </w:r>
      <w:r>
        <w:rPr>
          <w:rFonts w:ascii="Times New Roman" w:hAnsi="Times New Roman" w:cs="Times New Roman"/>
          <w:color w:val="000000"/>
          <w:sz w:val="24"/>
          <w:szCs w:val="24"/>
        </w:rPr>
        <w:t xml:space="preserve">           </w:t>
      </w:r>
      <w:r w:rsidRPr="00417C73">
        <w:rPr>
          <w:rFonts w:ascii="Times New Roman" w:hAnsi="Times New Roman" w:cs="Times New Roman"/>
          <w:color w:val="000000"/>
          <w:sz w:val="24"/>
          <w:szCs w:val="24"/>
        </w:rPr>
        <w:t xml:space="preserve">o </w:t>
      </w:r>
      <w:r>
        <w:rPr>
          <w:rFonts w:ascii="Times New Roman" w:hAnsi="Times New Roman" w:cs="Times New Roman"/>
          <w:color w:val="000000"/>
          <w:sz w:val="24"/>
          <w:szCs w:val="24"/>
        </w:rPr>
        <w:t>134</w:t>
      </w:r>
      <w:r w:rsidRPr="00417C73">
        <w:rPr>
          <w:rFonts w:ascii="Times New Roman" w:hAnsi="Times New Roman" w:cs="Times New Roman"/>
          <w:color w:val="000000"/>
          <w:sz w:val="24"/>
          <w:szCs w:val="24"/>
        </w:rPr>
        <w:t xml:space="preserve"> mil. eur. </w:t>
      </w:r>
    </w:p>
    <w:p w:rsidR="003B3897" w:rsidRDefault="003B3897" w:rsidP="003B3897">
      <w:pPr>
        <w:spacing w:after="0" w:line="240" w:lineRule="auto"/>
        <w:jc w:val="both"/>
        <w:rPr>
          <w:rFonts w:ascii="Times New Roman" w:hAnsi="Times New Roman" w:cs="Times New Roman"/>
          <w:color w:val="000000"/>
          <w:sz w:val="24"/>
          <w:szCs w:val="24"/>
        </w:rPr>
      </w:pPr>
    </w:p>
    <w:p w:rsidR="003B3897" w:rsidRPr="003B3897" w:rsidRDefault="003B3897" w:rsidP="003B3897">
      <w:pPr>
        <w:pStyle w:val="Popis"/>
        <w:keepNext/>
        <w:spacing w:after="0"/>
        <w:rPr>
          <w:rFonts w:ascii="Times New Roman" w:hAnsi="Times New Roman" w:cs="Times New Roman"/>
          <w:b/>
          <w:i w:val="0"/>
          <w:color w:val="5B9BD5" w:themeColor="accent1"/>
          <w:sz w:val="20"/>
          <w:szCs w:val="20"/>
        </w:rPr>
      </w:pPr>
      <w:bookmarkStart w:id="33" w:name="_Toc84845233"/>
      <w:r w:rsidRPr="003B3897">
        <w:rPr>
          <w:rFonts w:ascii="Times New Roman" w:hAnsi="Times New Roman" w:cs="Times New Roman"/>
          <w:b/>
          <w:i w:val="0"/>
          <w:color w:val="5B9BD5" w:themeColor="accent1"/>
          <w:sz w:val="20"/>
          <w:szCs w:val="20"/>
        </w:rPr>
        <w:t xml:space="preserve">Tabuľka </w:t>
      </w:r>
      <w:r w:rsidRPr="003B3897">
        <w:rPr>
          <w:rFonts w:ascii="Times New Roman" w:hAnsi="Times New Roman" w:cs="Times New Roman"/>
          <w:b/>
          <w:i w:val="0"/>
          <w:color w:val="5B9BD5" w:themeColor="accent1"/>
          <w:sz w:val="20"/>
          <w:szCs w:val="20"/>
        </w:rPr>
        <w:fldChar w:fldCharType="begin"/>
      </w:r>
      <w:r w:rsidRPr="003B3897">
        <w:rPr>
          <w:rFonts w:ascii="Times New Roman" w:hAnsi="Times New Roman" w:cs="Times New Roman"/>
          <w:b/>
          <w:i w:val="0"/>
          <w:color w:val="5B9BD5" w:themeColor="accent1"/>
          <w:sz w:val="20"/>
          <w:szCs w:val="20"/>
        </w:rPr>
        <w:instrText xml:space="preserve"> SEQ Tabuľka \* ARABIC </w:instrText>
      </w:r>
      <w:r w:rsidRPr="003B3897">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w:t>
      </w:r>
      <w:r w:rsidRPr="003B3897">
        <w:rPr>
          <w:rFonts w:ascii="Times New Roman" w:hAnsi="Times New Roman" w:cs="Times New Roman"/>
          <w:b/>
          <w:i w:val="0"/>
          <w:color w:val="5B9BD5" w:themeColor="accent1"/>
          <w:sz w:val="20"/>
          <w:szCs w:val="20"/>
        </w:rPr>
        <w:fldChar w:fldCharType="end"/>
      </w:r>
      <w:r w:rsidRPr="003B3897">
        <w:rPr>
          <w:rFonts w:ascii="Times New Roman" w:hAnsi="Times New Roman" w:cs="Times New Roman"/>
          <w:b/>
          <w:i w:val="0"/>
          <w:color w:val="5B9BD5" w:themeColor="accent1"/>
          <w:sz w:val="20"/>
          <w:szCs w:val="20"/>
        </w:rPr>
        <w:t xml:space="preserve"> - Výdavky na zdravotníctvo</w:t>
      </w:r>
      <w:bookmarkEnd w:id="33"/>
    </w:p>
    <w:tbl>
      <w:tblPr>
        <w:tblW w:w="5000" w:type="pct"/>
        <w:jc w:val="center"/>
        <w:tblCellMar>
          <w:left w:w="70" w:type="dxa"/>
          <w:right w:w="70" w:type="dxa"/>
        </w:tblCellMar>
        <w:tblLook w:val="04A0" w:firstRow="1" w:lastRow="0" w:firstColumn="1" w:lastColumn="0" w:noHBand="0" w:noVBand="1"/>
      </w:tblPr>
      <w:tblGrid>
        <w:gridCol w:w="8306"/>
        <w:gridCol w:w="766"/>
      </w:tblGrid>
      <w:tr w:rsidR="003B3897" w:rsidRPr="00BC5D40" w:rsidTr="003B3897">
        <w:trPr>
          <w:trHeight w:val="255"/>
          <w:jc w:val="center"/>
        </w:trPr>
        <w:tc>
          <w:tcPr>
            <w:tcW w:w="4578" w:type="pct"/>
            <w:tcBorders>
              <w:top w:val="single" w:sz="4" w:space="0" w:color="auto"/>
              <w:left w:val="nil"/>
              <w:bottom w:val="single" w:sz="4" w:space="0" w:color="auto"/>
              <w:right w:val="nil"/>
            </w:tcBorders>
            <w:shd w:val="clear" w:color="auto" w:fill="auto"/>
            <w:vAlign w:val="center"/>
            <w:hideMark/>
          </w:tcPr>
          <w:p w:rsidR="003B3897" w:rsidRPr="00BC5D40" w:rsidRDefault="003B3897" w:rsidP="003B3897">
            <w:pPr>
              <w:spacing w:after="0" w:line="240" w:lineRule="auto"/>
              <w:rPr>
                <w:rFonts w:ascii="Times New Roman" w:eastAsia="Times New Roman" w:hAnsi="Times New Roman" w:cs="Times New Roman"/>
                <w:b/>
                <w:bCs/>
                <w:sz w:val="16"/>
                <w:szCs w:val="16"/>
                <w:lang w:eastAsia="sk-SK"/>
              </w:rPr>
            </w:pPr>
            <w:r w:rsidRPr="00BC5D40">
              <w:rPr>
                <w:rFonts w:ascii="Times New Roman" w:eastAsia="Times New Roman" w:hAnsi="Times New Roman" w:cs="Times New Roman"/>
                <w:i/>
                <w:iCs/>
                <w:sz w:val="16"/>
                <w:szCs w:val="16"/>
                <w:lang w:eastAsia="sk-SK"/>
              </w:rPr>
              <w:t>(v mil. eur; ESA</w:t>
            </w:r>
            <w:r>
              <w:rPr>
                <w:rFonts w:ascii="Times New Roman" w:eastAsia="Times New Roman" w:hAnsi="Times New Roman" w:cs="Times New Roman"/>
                <w:i/>
                <w:iCs/>
                <w:sz w:val="16"/>
                <w:szCs w:val="16"/>
                <w:lang w:eastAsia="sk-SK"/>
              </w:rPr>
              <w:t xml:space="preserve"> </w:t>
            </w:r>
            <w:r w:rsidRPr="00BC5D40">
              <w:rPr>
                <w:rFonts w:ascii="Times New Roman" w:eastAsia="Times New Roman" w:hAnsi="Times New Roman" w:cs="Times New Roman"/>
                <w:i/>
                <w:iCs/>
                <w:sz w:val="16"/>
                <w:szCs w:val="16"/>
                <w:lang w:eastAsia="sk-SK"/>
              </w:rPr>
              <w:t>2010 na konsolidovanej báze)</w:t>
            </w:r>
          </w:p>
        </w:tc>
        <w:tc>
          <w:tcPr>
            <w:tcW w:w="422" w:type="pct"/>
            <w:tcBorders>
              <w:top w:val="single" w:sz="4" w:space="0" w:color="auto"/>
              <w:left w:val="nil"/>
              <w:bottom w:val="single" w:sz="4" w:space="0" w:color="auto"/>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b/>
                <w:bCs/>
                <w:sz w:val="16"/>
                <w:szCs w:val="16"/>
                <w:lang w:eastAsia="sk-SK"/>
              </w:rPr>
            </w:pPr>
            <w:r w:rsidRPr="00BC5D40">
              <w:rPr>
                <w:rFonts w:ascii="Times New Roman" w:eastAsia="Times New Roman" w:hAnsi="Times New Roman" w:cs="Times New Roman"/>
                <w:b/>
                <w:bCs/>
                <w:sz w:val="16"/>
                <w:szCs w:val="16"/>
                <w:lang w:eastAsia="sk-SK"/>
              </w:rPr>
              <w:t>-134,3</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Výdavky zdravotníckych zariadení</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-269,3</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Výdavky akcionárom</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-9,8</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Zdravotná starostlivosť</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132,1</w:t>
            </w:r>
          </w:p>
        </w:tc>
      </w:tr>
      <w:tr w:rsidR="003B3897" w:rsidRPr="00BC5D40" w:rsidTr="003B3897">
        <w:trPr>
          <w:trHeight w:val="255"/>
          <w:jc w:val="center"/>
        </w:trPr>
        <w:tc>
          <w:tcPr>
            <w:tcW w:w="4578" w:type="pct"/>
            <w:tcBorders>
              <w:top w:val="nil"/>
              <w:left w:val="nil"/>
              <w:bottom w:val="single" w:sz="4" w:space="0" w:color="auto"/>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Prevádzkové výdavky zdravotných poisťovní</w:t>
            </w:r>
          </w:p>
        </w:tc>
        <w:tc>
          <w:tcPr>
            <w:tcW w:w="422" w:type="pct"/>
            <w:tcBorders>
              <w:top w:val="nil"/>
              <w:left w:val="nil"/>
              <w:bottom w:val="single" w:sz="4" w:space="0" w:color="auto"/>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12,6</w:t>
            </w:r>
          </w:p>
        </w:tc>
      </w:tr>
    </w:tbl>
    <w:p w:rsidR="003B3897" w:rsidRPr="00C516F2" w:rsidRDefault="003B3897" w:rsidP="003B3897">
      <w:pPr>
        <w:spacing w:after="0" w:line="240" w:lineRule="auto"/>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3B3897" w:rsidRDefault="003B3897" w:rsidP="003B3897">
      <w:pPr>
        <w:spacing w:after="0" w:line="240" w:lineRule="auto"/>
        <w:jc w:val="both"/>
        <w:rPr>
          <w:rFonts w:ascii="Times New Roman" w:hAnsi="Times New Roman" w:cs="Times New Roman"/>
          <w:color w:val="000000"/>
          <w:sz w:val="24"/>
          <w:szCs w:val="24"/>
        </w:rPr>
      </w:pPr>
    </w:p>
    <w:p w:rsidR="003B3897" w:rsidRPr="00264220" w:rsidRDefault="003B3897" w:rsidP="003B389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Predpokladá sa, že výdavky zdravotníckych zariadení vzrastú oproti rozpočtu o 269 mil. eur, pričom najväčší podiel má financovanie </w:t>
      </w:r>
      <w:r w:rsidR="009F5321">
        <w:rPr>
          <w:rFonts w:ascii="Times New Roman" w:hAnsi="Times New Roman" w:cs="Times New Roman"/>
          <w:color w:val="000000"/>
          <w:sz w:val="24"/>
          <w:szCs w:val="24"/>
        </w:rPr>
        <w:t>opatrení proti pandémii COVID-</w:t>
      </w:r>
      <w:r>
        <w:rPr>
          <w:rFonts w:ascii="Times New Roman" w:hAnsi="Times New Roman" w:cs="Times New Roman"/>
          <w:color w:val="000000"/>
          <w:sz w:val="24"/>
          <w:szCs w:val="24"/>
        </w:rPr>
        <w:t>19 v rámci zdravotníckych zariadení na úrovni 244 mil. eur (najmä n</w:t>
      </w:r>
      <w:r w:rsidRPr="00C22816">
        <w:rPr>
          <w:rFonts w:ascii="Times New Roman" w:hAnsi="Times New Roman" w:cs="Times New Roman"/>
          <w:color w:val="000000"/>
          <w:sz w:val="24"/>
          <w:szCs w:val="24"/>
        </w:rPr>
        <w:t>a plnenie opatrení hospodárskej mobilizácie</w:t>
      </w:r>
      <w:r>
        <w:rPr>
          <w:rFonts w:ascii="Times New Roman" w:hAnsi="Times New Roman" w:cs="Times New Roman"/>
          <w:color w:val="000000"/>
          <w:sz w:val="24"/>
          <w:szCs w:val="24"/>
        </w:rPr>
        <w:t>, na m</w:t>
      </w:r>
      <w:r w:rsidRPr="00C22816">
        <w:rPr>
          <w:rFonts w:ascii="Times New Roman" w:hAnsi="Times New Roman" w:cs="Times New Roman"/>
          <w:color w:val="000000"/>
          <w:sz w:val="24"/>
          <w:szCs w:val="24"/>
        </w:rPr>
        <w:t xml:space="preserve">imoriadny </w:t>
      </w:r>
      <w:r>
        <w:rPr>
          <w:rFonts w:ascii="Times New Roman" w:hAnsi="Times New Roman" w:cs="Times New Roman"/>
          <w:color w:val="000000"/>
          <w:sz w:val="24"/>
          <w:szCs w:val="24"/>
        </w:rPr>
        <w:t>COVID</w:t>
      </w:r>
      <w:r w:rsidRPr="00C22816">
        <w:rPr>
          <w:rFonts w:ascii="Times New Roman" w:hAnsi="Times New Roman" w:cs="Times New Roman"/>
          <w:color w:val="000000"/>
          <w:sz w:val="24"/>
          <w:szCs w:val="24"/>
        </w:rPr>
        <w:t xml:space="preserve"> príplatok pre COVID oddelenia </w:t>
      </w:r>
      <w:r>
        <w:rPr>
          <w:rFonts w:ascii="Times New Roman" w:hAnsi="Times New Roman" w:cs="Times New Roman"/>
          <w:color w:val="000000"/>
          <w:sz w:val="24"/>
          <w:szCs w:val="24"/>
        </w:rPr>
        <w:t>nemocníc a na zabezpečenie prevádzky mobilných odberových miest).</w:t>
      </w:r>
      <w:r w:rsidRPr="00417C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 aktuálnom odhade sa počíta s financovaním splátky dlhu zdravotnej poisťovni Dôvera z verejných zdrojov na úrovni takmer 9,77 mil. eur. V rámci výdavkov poistenia verejného zdravotného poistenia sa predpokladá, že podobne ako v roku 2020 dôjde k odloženiu niektorých zdravotníckych výkonov, </w:t>
      </w:r>
      <w:r w:rsidR="00426766">
        <w:rPr>
          <w:rFonts w:ascii="Times New Roman" w:hAnsi="Times New Roman" w:cs="Times New Roman"/>
          <w:color w:val="000000"/>
          <w:sz w:val="24"/>
          <w:szCs w:val="24"/>
        </w:rPr>
        <w:t>čo sa prejaví nečerpaním</w:t>
      </w:r>
      <w:r>
        <w:rPr>
          <w:rFonts w:ascii="Times New Roman" w:hAnsi="Times New Roman" w:cs="Times New Roman"/>
          <w:color w:val="000000"/>
          <w:sz w:val="24"/>
          <w:szCs w:val="24"/>
        </w:rPr>
        <w:t xml:space="preserve"> výdavkov poistenia na úrovni 132 mil. eur. Ďalej sa predpokladá úspora prevádzkových výdavkov jednotlivých zdravotných poisťovní na úrovni 12,6 mil. eur. </w:t>
      </w:r>
    </w:p>
    <w:p w:rsidR="007B4FDF" w:rsidRPr="00264220" w:rsidRDefault="007B4FDF" w:rsidP="007B4FDF">
      <w:pPr>
        <w:spacing w:after="0" w:line="240" w:lineRule="auto"/>
        <w:jc w:val="both"/>
        <w:rPr>
          <w:rFonts w:ascii="Times New Roman" w:hAnsi="Times New Roman" w:cs="Times New Roman"/>
          <w:color w:val="000000"/>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34" w:name="_Toc79153413"/>
      <w:r w:rsidRPr="0080040F">
        <w:rPr>
          <w:rFonts w:ascii="Times New Roman" w:hAnsi="Times New Roman" w:cs="Times New Roman"/>
          <w:b/>
          <w:color w:val="5B9BD5" w:themeColor="accent1"/>
        </w:rPr>
        <w:t xml:space="preserve">2.1.7. </w:t>
      </w:r>
      <w:r w:rsidR="007B4FDF" w:rsidRPr="0080040F">
        <w:rPr>
          <w:rFonts w:ascii="Times New Roman" w:hAnsi="Times New Roman" w:cs="Times New Roman"/>
          <w:b/>
          <w:color w:val="5B9BD5" w:themeColor="accent1"/>
        </w:rPr>
        <w:t>Výdavky ostatných subjektov verejnej správy</w:t>
      </w:r>
      <w:bookmarkEnd w:id="34"/>
    </w:p>
    <w:p w:rsidR="007B4FDF" w:rsidRDefault="007B4FDF" w:rsidP="007B4FDF">
      <w:pPr>
        <w:spacing w:after="0" w:line="240" w:lineRule="auto"/>
        <w:jc w:val="both"/>
        <w:rPr>
          <w:rFonts w:ascii="Times New Roman" w:hAnsi="Times New Roman" w:cs="Times New Roman"/>
          <w:color w:val="000000"/>
          <w:sz w:val="24"/>
          <w:szCs w:val="24"/>
        </w:rPr>
      </w:pPr>
    </w:p>
    <w:p w:rsidR="003B3897" w:rsidRDefault="003B3897" w:rsidP="003B389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Výdavky ostatných subjektov verejnej správy (ďalej „OSVS“) odzrkadľujú konečnú spotrebu výdavkov rozpočtu verejnej správy, a to aj v nadväznosti na prijímané transfery zo štátneho rozpočtu</w:t>
      </w:r>
      <w:r>
        <w:rPr>
          <w:rStyle w:val="Odkaznapoznmkupodiarou"/>
          <w:rFonts w:ascii="Times New Roman" w:hAnsi="Times New Roman"/>
          <w:color w:val="000000"/>
          <w:sz w:val="24"/>
          <w:szCs w:val="24"/>
        </w:rPr>
        <w:footnoteReference w:id="14"/>
      </w:r>
      <w:r>
        <w:rPr>
          <w:rFonts w:ascii="Times New Roman" w:hAnsi="Times New Roman" w:cs="Times New Roman"/>
          <w:color w:val="000000"/>
          <w:sz w:val="24"/>
          <w:szCs w:val="24"/>
        </w:rPr>
        <w:t xml:space="preserve"> ako aj použitie prostriedkov z minulých rokov. Prezentované údaje poukazujú na závislosť jednotlivých OSVS na financovaní zo </w:t>
      </w:r>
      <w:r w:rsidRPr="00BD1D64">
        <w:rPr>
          <w:rFonts w:ascii="Times New Roman" w:hAnsi="Times New Roman" w:cs="Times New Roman"/>
          <w:color w:val="000000"/>
          <w:sz w:val="24"/>
          <w:szCs w:val="24"/>
        </w:rPr>
        <w:t>štátneho rozpočtu. Aktuálne sa predpokladajú vyššie výdavky OSVS o</w:t>
      </w:r>
      <w:r>
        <w:rPr>
          <w:rFonts w:ascii="Times New Roman" w:hAnsi="Times New Roman" w:cs="Times New Roman"/>
          <w:color w:val="000000"/>
          <w:sz w:val="24"/>
          <w:szCs w:val="24"/>
        </w:rPr>
        <w:t> 1,04 mld.</w:t>
      </w:r>
      <w:r w:rsidRPr="00BD1D64">
        <w:rPr>
          <w:rFonts w:ascii="Times New Roman" w:hAnsi="Times New Roman" w:cs="Times New Roman"/>
          <w:color w:val="000000"/>
          <w:sz w:val="24"/>
          <w:szCs w:val="24"/>
        </w:rPr>
        <w:t xml:space="preserve"> eur.</w:t>
      </w:r>
    </w:p>
    <w:p w:rsidR="00893F59" w:rsidRPr="00893F59" w:rsidRDefault="00893F59" w:rsidP="00893F59">
      <w:pPr>
        <w:pStyle w:val="Popis"/>
        <w:keepNext/>
        <w:spacing w:after="0"/>
        <w:rPr>
          <w:rFonts w:ascii="Times New Roman" w:hAnsi="Times New Roman" w:cs="Times New Roman"/>
          <w:b/>
          <w:i w:val="0"/>
          <w:color w:val="5B9BD5" w:themeColor="accent1"/>
          <w:sz w:val="20"/>
          <w:szCs w:val="20"/>
        </w:rPr>
      </w:pPr>
      <w:bookmarkStart w:id="35" w:name="_Toc84845234"/>
      <w:r w:rsidRPr="00893F59">
        <w:rPr>
          <w:rFonts w:ascii="Times New Roman" w:hAnsi="Times New Roman" w:cs="Times New Roman"/>
          <w:b/>
          <w:i w:val="0"/>
          <w:color w:val="5B9BD5" w:themeColor="accent1"/>
          <w:sz w:val="20"/>
          <w:szCs w:val="20"/>
        </w:rPr>
        <w:t xml:space="preserve">Tabuľka </w:t>
      </w:r>
      <w:r w:rsidRPr="00893F59">
        <w:rPr>
          <w:rFonts w:ascii="Times New Roman" w:hAnsi="Times New Roman" w:cs="Times New Roman"/>
          <w:b/>
          <w:i w:val="0"/>
          <w:color w:val="5B9BD5" w:themeColor="accent1"/>
          <w:sz w:val="20"/>
          <w:szCs w:val="20"/>
        </w:rPr>
        <w:fldChar w:fldCharType="begin"/>
      </w:r>
      <w:r w:rsidRPr="00893F59">
        <w:rPr>
          <w:rFonts w:ascii="Times New Roman" w:hAnsi="Times New Roman" w:cs="Times New Roman"/>
          <w:b/>
          <w:i w:val="0"/>
          <w:color w:val="5B9BD5" w:themeColor="accent1"/>
          <w:sz w:val="20"/>
          <w:szCs w:val="20"/>
        </w:rPr>
        <w:instrText xml:space="preserve"> SEQ Tabuľka \* ARABIC </w:instrText>
      </w:r>
      <w:r w:rsidRPr="00893F5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10</w:t>
      </w:r>
      <w:r w:rsidRPr="00893F59">
        <w:rPr>
          <w:rFonts w:ascii="Times New Roman" w:hAnsi="Times New Roman" w:cs="Times New Roman"/>
          <w:b/>
          <w:i w:val="0"/>
          <w:color w:val="5B9BD5" w:themeColor="accent1"/>
          <w:sz w:val="20"/>
          <w:szCs w:val="20"/>
        </w:rPr>
        <w:fldChar w:fldCharType="end"/>
      </w:r>
      <w:r w:rsidRPr="00893F59">
        <w:rPr>
          <w:rFonts w:ascii="Times New Roman" w:hAnsi="Times New Roman" w:cs="Times New Roman"/>
          <w:b/>
          <w:i w:val="0"/>
          <w:color w:val="5B9BD5" w:themeColor="accent1"/>
          <w:sz w:val="20"/>
          <w:szCs w:val="20"/>
        </w:rPr>
        <w:t xml:space="preserve"> - Výdavky ostatných subjektov verejnej správy</w:t>
      </w:r>
      <w:bookmarkEnd w:id="35"/>
    </w:p>
    <w:tbl>
      <w:tblPr>
        <w:tblW w:w="5000" w:type="pct"/>
        <w:jc w:val="center"/>
        <w:tblCellMar>
          <w:left w:w="70" w:type="dxa"/>
          <w:right w:w="70" w:type="dxa"/>
        </w:tblCellMar>
        <w:tblLook w:val="04A0" w:firstRow="1" w:lastRow="0" w:firstColumn="1" w:lastColumn="0" w:noHBand="0" w:noVBand="1"/>
      </w:tblPr>
      <w:tblGrid>
        <w:gridCol w:w="8306"/>
        <w:gridCol w:w="766"/>
      </w:tblGrid>
      <w:tr w:rsidR="003B3897" w:rsidRPr="00BC5D40" w:rsidTr="003B3897">
        <w:trPr>
          <w:trHeight w:val="255"/>
          <w:jc w:val="center"/>
        </w:trPr>
        <w:tc>
          <w:tcPr>
            <w:tcW w:w="4578" w:type="pct"/>
            <w:tcBorders>
              <w:top w:val="single" w:sz="4" w:space="0" w:color="auto"/>
              <w:left w:val="nil"/>
              <w:bottom w:val="single" w:sz="4" w:space="0" w:color="auto"/>
              <w:right w:val="nil"/>
            </w:tcBorders>
            <w:shd w:val="clear" w:color="auto" w:fill="auto"/>
            <w:vAlign w:val="center"/>
            <w:hideMark/>
          </w:tcPr>
          <w:p w:rsidR="003B3897" w:rsidRPr="00BC5D40" w:rsidRDefault="003B3897" w:rsidP="003B3897">
            <w:pPr>
              <w:spacing w:after="0" w:line="240" w:lineRule="auto"/>
              <w:rPr>
                <w:rFonts w:ascii="Times New Roman" w:eastAsia="Times New Roman" w:hAnsi="Times New Roman" w:cs="Times New Roman"/>
                <w:b/>
                <w:bCs/>
                <w:sz w:val="16"/>
                <w:szCs w:val="16"/>
                <w:lang w:eastAsia="sk-SK"/>
              </w:rPr>
            </w:pPr>
            <w:r w:rsidRPr="00BC5D40">
              <w:rPr>
                <w:rFonts w:ascii="Times New Roman" w:eastAsia="Times New Roman" w:hAnsi="Times New Roman" w:cs="Times New Roman"/>
                <w:i/>
                <w:iCs/>
                <w:sz w:val="16"/>
                <w:szCs w:val="16"/>
                <w:lang w:eastAsia="sk-SK"/>
              </w:rPr>
              <w:t>(v mil. eur; ESA</w:t>
            </w:r>
            <w:r w:rsidR="00893F59">
              <w:rPr>
                <w:rFonts w:ascii="Times New Roman" w:eastAsia="Times New Roman" w:hAnsi="Times New Roman" w:cs="Times New Roman"/>
                <w:i/>
                <w:iCs/>
                <w:sz w:val="16"/>
                <w:szCs w:val="16"/>
                <w:lang w:eastAsia="sk-SK"/>
              </w:rPr>
              <w:t xml:space="preserve"> </w:t>
            </w:r>
            <w:r w:rsidRPr="00BC5D40">
              <w:rPr>
                <w:rFonts w:ascii="Times New Roman" w:eastAsia="Times New Roman" w:hAnsi="Times New Roman" w:cs="Times New Roman"/>
                <w:i/>
                <w:iCs/>
                <w:sz w:val="16"/>
                <w:szCs w:val="16"/>
                <w:lang w:eastAsia="sk-SK"/>
              </w:rPr>
              <w:t>2010 na konsolidovanej báze)</w:t>
            </w:r>
          </w:p>
        </w:tc>
        <w:tc>
          <w:tcPr>
            <w:tcW w:w="422" w:type="pct"/>
            <w:tcBorders>
              <w:top w:val="single" w:sz="4" w:space="0" w:color="auto"/>
              <w:left w:val="nil"/>
              <w:bottom w:val="single" w:sz="4" w:space="0" w:color="auto"/>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b/>
                <w:bCs/>
                <w:sz w:val="16"/>
                <w:szCs w:val="16"/>
                <w:lang w:eastAsia="sk-SK"/>
              </w:rPr>
            </w:pPr>
            <w:r w:rsidRPr="00BC5D40">
              <w:rPr>
                <w:rFonts w:ascii="Times New Roman" w:eastAsia="Times New Roman" w:hAnsi="Times New Roman" w:cs="Times New Roman"/>
                <w:b/>
                <w:bCs/>
                <w:sz w:val="16"/>
                <w:szCs w:val="16"/>
                <w:lang w:eastAsia="sk-SK"/>
              </w:rPr>
              <w:t>-1 041,5</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Národná diaľničná spoločnosť, a. s.</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-281,2</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Železnice SR</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-252,0</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Železničná spoločnosť Slovensko</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-189,2</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Verejné vysoké školy</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-136,2</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Príspevkové organizácie</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-94,5</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Rozhlas a televízia Slovenska</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-35,7</w:t>
            </w:r>
          </w:p>
        </w:tc>
      </w:tr>
      <w:tr w:rsidR="003B3897" w:rsidRPr="00BC5D40" w:rsidTr="003B3897">
        <w:trPr>
          <w:trHeight w:val="255"/>
          <w:jc w:val="center"/>
        </w:trPr>
        <w:tc>
          <w:tcPr>
            <w:tcW w:w="4578"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Fond na podporu športu</w:t>
            </w:r>
          </w:p>
        </w:tc>
        <w:tc>
          <w:tcPr>
            <w:tcW w:w="422" w:type="pct"/>
            <w:tcBorders>
              <w:top w:val="nil"/>
              <w:left w:val="nil"/>
              <w:bottom w:val="nil"/>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-25,6</w:t>
            </w:r>
          </w:p>
        </w:tc>
      </w:tr>
      <w:tr w:rsidR="003B3897" w:rsidRPr="00BC5D40" w:rsidTr="003B3897">
        <w:trPr>
          <w:trHeight w:val="255"/>
          <w:jc w:val="center"/>
        </w:trPr>
        <w:tc>
          <w:tcPr>
            <w:tcW w:w="4578" w:type="pct"/>
            <w:tcBorders>
              <w:top w:val="nil"/>
              <w:left w:val="nil"/>
              <w:bottom w:val="single" w:sz="4" w:space="0" w:color="auto"/>
              <w:right w:val="nil"/>
            </w:tcBorders>
            <w:shd w:val="clear" w:color="auto" w:fill="auto"/>
            <w:noWrap/>
            <w:vAlign w:val="center"/>
            <w:hideMark/>
          </w:tcPr>
          <w:p w:rsidR="003B3897" w:rsidRPr="00BC5D40" w:rsidRDefault="003B3897" w:rsidP="003B3897">
            <w:pPr>
              <w:spacing w:after="0" w:line="240" w:lineRule="auto"/>
              <w:ind w:firstLineChars="100" w:firstLine="160"/>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Ostatné subjekty</w:t>
            </w:r>
          </w:p>
        </w:tc>
        <w:tc>
          <w:tcPr>
            <w:tcW w:w="422" w:type="pct"/>
            <w:tcBorders>
              <w:top w:val="nil"/>
              <w:left w:val="nil"/>
              <w:bottom w:val="single" w:sz="4" w:space="0" w:color="auto"/>
              <w:right w:val="nil"/>
            </w:tcBorders>
            <w:shd w:val="clear" w:color="auto" w:fill="auto"/>
            <w:noWrap/>
            <w:vAlign w:val="center"/>
            <w:hideMark/>
          </w:tcPr>
          <w:p w:rsidR="003B3897" w:rsidRPr="00BC5D40" w:rsidRDefault="003B3897" w:rsidP="003B3897">
            <w:pPr>
              <w:spacing w:after="0" w:line="240" w:lineRule="auto"/>
              <w:jc w:val="right"/>
              <w:rPr>
                <w:rFonts w:ascii="Times New Roman" w:eastAsia="Times New Roman" w:hAnsi="Times New Roman" w:cs="Times New Roman"/>
                <w:sz w:val="16"/>
                <w:szCs w:val="16"/>
                <w:lang w:eastAsia="sk-SK"/>
              </w:rPr>
            </w:pPr>
            <w:r w:rsidRPr="00BC5D40">
              <w:rPr>
                <w:rFonts w:ascii="Times New Roman" w:eastAsia="Times New Roman" w:hAnsi="Times New Roman" w:cs="Times New Roman"/>
                <w:sz w:val="16"/>
                <w:szCs w:val="16"/>
                <w:lang w:eastAsia="sk-SK"/>
              </w:rPr>
              <w:t>-27,1</w:t>
            </w:r>
          </w:p>
        </w:tc>
      </w:tr>
    </w:tbl>
    <w:p w:rsidR="003B3897" w:rsidRPr="00C516F2" w:rsidRDefault="003B3897" w:rsidP="003B3897">
      <w:pPr>
        <w:spacing w:after="0" w:line="240" w:lineRule="auto"/>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3B3897" w:rsidRDefault="003B3897" w:rsidP="003B3897">
      <w:pPr>
        <w:spacing w:after="0" w:line="240" w:lineRule="auto"/>
        <w:jc w:val="both"/>
        <w:rPr>
          <w:rFonts w:ascii="Times New Roman" w:hAnsi="Times New Roman" w:cs="Times New Roman"/>
          <w:color w:val="000000"/>
          <w:sz w:val="24"/>
          <w:szCs w:val="24"/>
        </w:rPr>
      </w:pPr>
    </w:p>
    <w:p w:rsidR="003B3897" w:rsidRPr="00C84F40" w:rsidRDefault="003B3897" w:rsidP="003B3897">
      <w:pPr>
        <w:spacing w:after="0" w:line="240" w:lineRule="auto"/>
        <w:jc w:val="both"/>
        <w:rPr>
          <w:rFonts w:ascii="Times New Roman" w:hAnsi="Times New Roman" w:cs="Times New Roman"/>
          <w:color w:val="000000" w:themeColor="text1"/>
          <w:sz w:val="24"/>
          <w:szCs w:val="24"/>
        </w:rPr>
      </w:pPr>
      <w:r w:rsidRPr="00C84F40">
        <w:rPr>
          <w:rFonts w:ascii="Times New Roman" w:hAnsi="Times New Roman"/>
          <w:color w:val="000000" w:themeColor="text1"/>
          <w:sz w:val="24"/>
          <w:szCs w:val="24"/>
        </w:rPr>
        <w:t xml:space="preserve">V rámci ostatných subjektov verejnej správy sa predpokladá najväčší nárast výdavkov pri Národnej diaľničnej spoločnosti, a. s. </w:t>
      </w:r>
      <w:r>
        <w:rPr>
          <w:rFonts w:ascii="Times New Roman" w:hAnsi="Times New Roman"/>
          <w:color w:val="000000" w:themeColor="text1"/>
          <w:sz w:val="24"/>
          <w:szCs w:val="24"/>
        </w:rPr>
        <w:t>o</w:t>
      </w:r>
      <w:r w:rsidRPr="00C84F40">
        <w:rPr>
          <w:rFonts w:ascii="Times New Roman" w:hAnsi="Times New Roman"/>
          <w:color w:val="000000" w:themeColor="text1"/>
          <w:sz w:val="24"/>
          <w:szCs w:val="24"/>
        </w:rPr>
        <w:t xml:space="preserve"> 28</w:t>
      </w:r>
      <w:r>
        <w:rPr>
          <w:rFonts w:ascii="Times New Roman" w:hAnsi="Times New Roman"/>
          <w:color w:val="000000" w:themeColor="text1"/>
          <w:sz w:val="24"/>
          <w:szCs w:val="24"/>
        </w:rPr>
        <w:t>1</w:t>
      </w:r>
      <w:r w:rsidRPr="00C84F40">
        <w:rPr>
          <w:rFonts w:ascii="Times New Roman" w:hAnsi="Times New Roman"/>
          <w:color w:val="000000" w:themeColor="text1"/>
          <w:sz w:val="24"/>
          <w:szCs w:val="24"/>
        </w:rPr>
        <w:t xml:space="preserve"> mil. eur, ktorý súvisí predovšetkým so zavedením tzv. zero based budgetingu v oblasti kapitálových výdavkov pri schvaľovaní rozpočtu na rok 2021, kedy kapitálové výdavky na rok 2021 boli rozpočtované v kapitole Všeobecná pokladničná správa, a až po ich posúdení </w:t>
      </w:r>
      <w:r>
        <w:rPr>
          <w:rFonts w:ascii="Times New Roman" w:hAnsi="Times New Roman"/>
          <w:color w:val="000000" w:themeColor="text1"/>
          <w:sz w:val="24"/>
          <w:szCs w:val="24"/>
        </w:rPr>
        <w:t>I</w:t>
      </w:r>
      <w:r w:rsidRPr="00C84F40">
        <w:rPr>
          <w:rFonts w:ascii="Times New Roman" w:hAnsi="Times New Roman"/>
          <w:color w:val="000000" w:themeColor="text1"/>
          <w:sz w:val="24"/>
          <w:szCs w:val="24"/>
        </w:rPr>
        <w:t>nvestičnou autoritou sa očakáva ich reálne čerpanie v rámci výdavkov Národnej diaľničnej spoločnosti, a.</w:t>
      </w:r>
      <w:r>
        <w:rPr>
          <w:rFonts w:ascii="Times New Roman" w:hAnsi="Times New Roman"/>
          <w:color w:val="000000" w:themeColor="text1"/>
          <w:sz w:val="24"/>
          <w:szCs w:val="24"/>
        </w:rPr>
        <w:t xml:space="preserve"> </w:t>
      </w:r>
      <w:r w:rsidRPr="00C84F40">
        <w:rPr>
          <w:rFonts w:ascii="Times New Roman" w:hAnsi="Times New Roman"/>
          <w:color w:val="000000" w:themeColor="text1"/>
          <w:sz w:val="24"/>
          <w:szCs w:val="24"/>
        </w:rPr>
        <w:t>s. na výstavbu diaľnic a rýchlostných ciest.</w:t>
      </w:r>
    </w:p>
    <w:p w:rsidR="003B3897" w:rsidRDefault="003B3897" w:rsidP="003B3897">
      <w:pPr>
        <w:spacing w:after="0" w:line="240" w:lineRule="auto"/>
        <w:jc w:val="both"/>
        <w:rPr>
          <w:rFonts w:ascii="Times New Roman" w:hAnsi="Times New Roman"/>
          <w:color w:val="000000" w:themeColor="text1"/>
          <w:sz w:val="24"/>
          <w:szCs w:val="24"/>
        </w:rPr>
      </w:pPr>
    </w:p>
    <w:p w:rsidR="003B3897" w:rsidRPr="003025D3" w:rsidRDefault="003B3897" w:rsidP="003B3897">
      <w:pPr>
        <w:spacing w:after="0" w:line="240" w:lineRule="auto"/>
        <w:jc w:val="both"/>
        <w:rPr>
          <w:rFonts w:ascii="Times New Roman" w:hAnsi="Times New Roman"/>
          <w:color w:val="000000" w:themeColor="text1"/>
          <w:sz w:val="24"/>
          <w:szCs w:val="24"/>
        </w:rPr>
      </w:pPr>
      <w:r w:rsidRPr="003025D3">
        <w:rPr>
          <w:rFonts w:ascii="Times New Roman" w:hAnsi="Times New Roman"/>
          <w:color w:val="000000" w:themeColor="text1"/>
          <w:sz w:val="24"/>
          <w:szCs w:val="24"/>
        </w:rPr>
        <w:t xml:space="preserve">V rámci Železníc SR sa predpokladá nárast výdavkov o 252 mil. eur, a to najmä na prevádzku a obnovu železničnej siete v súvislosti s vyčlenenými dodatočnými zdrojmi v rámci novely zákona o štátnom rozpočte v sume 143 mil. eur, očakávaného rýchlejšieho čerpania zdrojov z nástroja na prepájanie Európy (CEF) v sume </w:t>
      </w:r>
      <w:r>
        <w:rPr>
          <w:rFonts w:ascii="Times New Roman" w:hAnsi="Times New Roman"/>
          <w:color w:val="000000" w:themeColor="text1"/>
          <w:sz w:val="24"/>
          <w:szCs w:val="24"/>
        </w:rPr>
        <w:t>61,8</w:t>
      </w:r>
      <w:r w:rsidRPr="003025D3">
        <w:rPr>
          <w:rFonts w:ascii="Times New Roman" w:hAnsi="Times New Roman"/>
          <w:color w:val="000000" w:themeColor="text1"/>
          <w:sz w:val="24"/>
          <w:szCs w:val="24"/>
        </w:rPr>
        <w:t xml:space="preserve"> mil. eur ako aj presunu kapitálových výdavkov z kapitoly Všeobecná pokladničná správa v dôsledku zavedenia zero based budgetingu v sume 26,5 mil. eur. Zvýšenie záväzkov sa očakáva na úrovni 20,8 mil. eur.</w:t>
      </w:r>
    </w:p>
    <w:p w:rsidR="003B3897" w:rsidRDefault="003B3897" w:rsidP="003B3897">
      <w:pPr>
        <w:spacing w:after="0" w:line="240" w:lineRule="auto"/>
        <w:jc w:val="both"/>
        <w:rPr>
          <w:rFonts w:ascii="Times New Roman" w:hAnsi="Times New Roman"/>
          <w:color w:val="000000" w:themeColor="text1"/>
          <w:sz w:val="24"/>
          <w:szCs w:val="24"/>
        </w:rPr>
      </w:pPr>
    </w:p>
    <w:p w:rsidR="003B3897" w:rsidRPr="008C33BF" w:rsidRDefault="003B3897" w:rsidP="003B3897">
      <w:pPr>
        <w:spacing w:after="0" w:line="240" w:lineRule="auto"/>
        <w:jc w:val="both"/>
        <w:rPr>
          <w:rFonts w:ascii="Times New Roman" w:hAnsi="Times New Roman"/>
          <w:color w:val="000000" w:themeColor="text1"/>
          <w:sz w:val="24"/>
          <w:szCs w:val="24"/>
        </w:rPr>
      </w:pPr>
      <w:r w:rsidRPr="00C84F40">
        <w:rPr>
          <w:rFonts w:ascii="Times New Roman" w:hAnsi="Times New Roman"/>
          <w:color w:val="000000" w:themeColor="text1"/>
          <w:sz w:val="24"/>
          <w:szCs w:val="24"/>
        </w:rPr>
        <w:t xml:space="preserve">Pri Železničnej spoločnosti Slovensko ide o nárast výdavkov vo výške 189 mil. eur na zvýšené dopravné výkony v zmysle objednávky štátu (napr. Bratislava – Dunajská Streda – Komárno) </w:t>
      </w:r>
      <w:r w:rsidRPr="008C33BF">
        <w:rPr>
          <w:rFonts w:ascii="Times New Roman" w:hAnsi="Times New Roman"/>
          <w:color w:val="000000" w:themeColor="text1"/>
          <w:sz w:val="24"/>
          <w:szCs w:val="24"/>
        </w:rPr>
        <w:t>ako aj potrebu opráv a nákupu železničných koľajových vozidiel, čo bolo zohľadnené v rámci novely zákona o štátnom rozpočte na rok 2021.</w:t>
      </w:r>
    </w:p>
    <w:p w:rsidR="003B3897" w:rsidRPr="00C84F40" w:rsidRDefault="003B3897" w:rsidP="003B3897">
      <w:pPr>
        <w:spacing w:after="0" w:line="240" w:lineRule="auto"/>
        <w:jc w:val="both"/>
        <w:rPr>
          <w:rFonts w:ascii="Times New Roman" w:hAnsi="Times New Roman"/>
          <w:color w:val="000000" w:themeColor="text1"/>
          <w:sz w:val="24"/>
          <w:szCs w:val="24"/>
        </w:rPr>
      </w:pPr>
    </w:p>
    <w:p w:rsidR="003B3897" w:rsidRPr="00C84F40" w:rsidRDefault="003B3897" w:rsidP="003B3897">
      <w:pPr>
        <w:spacing w:after="0" w:line="240" w:lineRule="auto"/>
        <w:jc w:val="both"/>
        <w:rPr>
          <w:rFonts w:ascii="Times New Roman" w:hAnsi="Times New Roman"/>
          <w:color w:val="000000" w:themeColor="text1"/>
          <w:sz w:val="24"/>
          <w:szCs w:val="24"/>
        </w:rPr>
      </w:pPr>
      <w:r w:rsidRPr="00C84F40">
        <w:rPr>
          <w:rFonts w:ascii="Times New Roman" w:hAnsi="Times New Roman"/>
          <w:color w:val="000000" w:themeColor="text1"/>
          <w:sz w:val="24"/>
          <w:szCs w:val="24"/>
        </w:rPr>
        <w:t>Verejné vysoké školy predpokladajú zvýšenie výdavkov o 1</w:t>
      </w:r>
      <w:r>
        <w:rPr>
          <w:rFonts w:ascii="Times New Roman" w:hAnsi="Times New Roman"/>
          <w:color w:val="000000" w:themeColor="text1"/>
          <w:sz w:val="24"/>
          <w:szCs w:val="24"/>
        </w:rPr>
        <w:t>3</w:t>
      </w:r>
      <w:r w:rsidRPr="00C84F40">
        <w:rPr>
          <w:rFonts w:ascii="Times New Roman" w:hAnsi="Times New Roman"/>
          <w:color w:val="000000" w:themeColor="text1"/>
          <w:sz w:val="24"/>
          <w:szCs w:val="24"/>
        </w:rPr>
        <w:t>6 mil. eur, ktoré súvisí najmä s presunom realizácie projektov vedy a výskumu z minulých rokov</w:t>
      </w:r>
      <w:r>
        <w:rPr>
          <w:rFonts w:ascii="Times New Roman" w:hAnsi="Times New Roman"/>
          <w:color w:val="000000" w:themeColor="text1"/>
          <w:sz w:val="24"/>
          <w:szCs w:val="24"/>
        </w:rPr>
        <w:t xml:space="preserve"> do tohto roka</w:t>
      </w:r>
      <w:r w:rsidRPr="00C84F40">
        <w:rPr>
          <w:rFonts w:ascii="Times New Roman" w:hAnsi="Times New Roman"/>
          <w:color w:val="000000" w:themeColor="text1"/>
          <w:sz w:val="24"/>
          <w:szCs w:val="24"/>
        </w:rPr>
        <w:t xml:space="preserve">. </w:t>
      </w:r>
    </w:p>
    <w:p w:rsidR="003B3897" w:rsidRPr="00C84F40" w:rsidRDefault="003B3897" w:rsidP="003B3897">
      <w:pPr>
        <w:spacing w:after="0" w:line="240" w:lineRule="auto"/>
        <w:jc w:val="both"/>
        <w:rPr>
          <w:rFonts w:ascii="Times New Roman" w:hAnsi="Times New Roman"/>
          <w:color w:val="000000" w:themeColor="text1"/>
          <w:sz w:val="24"/>
          <w:szCs w:val="24"/>
        </w:rPr>
      </w:pPr>
    </w:p>
    <w:p w:rsidR="003B3897" w:rsidRPr="00C84F40" w:rsidRDefault="003B3897" w:rsidP="003B3897">
      <w:pPr>
        <w:spacing w:after="0" w:line="240" w:lineRule="auto"/>
        <w:jc w:val="both"/>
        <w:rPr>
          <w:rFonts w:ascii="Times New Roman" w:hAnsi="Times New Roman"/>
          <w:color w:val="000000" w:themeColor="text1"/>
          <w:sz w:val="24"/>
          <w:szCs w:val="24"/>
        </w:rPr>
      </w:pPr>
      <w:r w:rsidRPr="00C84F40">
        <w:rPr>
          <w:rFonts w:ascii="Times New Roman" w:hAnsi="Times New Roman"/>
          <w:color w:val="000000" w:themeColor="text1"/>
          <w:sz w:val="24"/>
          <w:szCs w:val="24"/>
        </w:rPr>
        <w:t>V</w:t>
      </w:r>
      <w:r>
        <w:rPr>
          <w:rFonts w:ascii="Times New Roman" w:hAnsi="Times New Roman"/>
          <w:color w:val="000000" w:themeColor="text1"/>
          <w:sz w:val="24"/>
          <w:szCs w:val="24"/>
        </w:rPr>
        <w:t xml:space="preserve"> rámci</w:t>
      </w:r>
      <w:r w:rsidRPr="00C84F40">
        <w:rPr>
          <w:rFonts w:ascii="Times New Roman" w:hAnsi="Times New Roman"/>
          <w:color w:val="000000" w:themeColor="text1"/>
          <w:sz w:val="24"/>
          <w:szCs w:val="24"/>
        </w:rPr>
        <w:t xml:space="preserve"> príspevkových organizácií sa prejavuje efekt </w:t>
      </w:r>
      <w:r>
        <w:rPr>
          <w:rFonts w:ascii="Times New Roman" w:hAnsi="Times New Roman"/>
          <w:color w:val="000000" w:themeColor="text1"/>
          <w:sz w:val="24"/>
          <w:szCs w:val="24"/>
        </w:rPr>
        <w:t>zapojenia týchto organizácií do rôznych výziev a projektov v priebehu roka, ako aj vplyv dofinancovania zo strany zriaďovateľov</w:t>
      </w:r>
      <w:r w:rsidRPr="00C84F40">
        <w:rPr>
          <w:rFonts w:ascii="Times New Roman" w:hAnsi="Times New Roman"/>
          <w:color w:val="000000" w:themeColor="text1"/>
          <w:sz w:val="24"/>
          <w:szCs w:val="24"/>
        </w:rPr>
        <w:t>, ktor</w:t>
      </w:r>
      <w:r>
        <w:rPr>
          <w:rFonts w:ascii="Times New Roman" w:hAnsi="Times New Roman"/>
          <w:color w:val="000000" w:themeColor="text1"/>
          <w:sz w:val="24"/>
          <w:szCs w:val="24"/>
        </w:rPr>
        <w:t xml:space="preserve">é </w:t>
      </w:r>
      <w:r w:rsidRPr="00C84F40">
        <w:rPr>
          <w:rFonts w:ascii="Times New Roman" w:hAnsi="Times New Roman"/>
          <w:color w:val="000000" w:themeColor="text1"/>
          <w:sz w:val="24"/>
          <w:szCs w:val="24"/>
        </w:rPr>
        <w:t>spôsobuj</w:t>
      </w:r>
      <w:r>
        <w:rPr>
          <w:rFonts w:ascii="Times New Roman" w:hAnsi="Times New Roman"/>
          <w:color w:val="000000" w:themeColor="text1"/>
          <w:sz w:val="24"/>
          <w:szCs w:val="24"/>
        </w:rPr>
        <w:t xml:space="preserve">ú predpokladané </w:t>
      </w:r>
      <w:r w:rsidRPr="00C84F40">
        <w:rPr>
          <w:rFonts w:ascii="Times New Roman" w:hAnsi="Times New Roman"/>
          <w:color w:val="000000" w:themeColor="text1"/>
          <w:sz w:val="24"/>
          <w:szCs w:val="24"/>
        </w:rPr>
        <w:t xml:space="preserve">zvýšenie </w:t>
      </w:r>
      <w:r>
        <w:rPr>
          <w:rFonts w:ascii="Times New Roman" w:hAnsi="Times New Roman"/>
          <w:color w:val="000000" w:themeColor="text1"/>
          <w:sz w:val="24"/>
          <w:szCs w:val="24"/>
        </w:rPr>
        <w:t xml:space="preserve">výdavkov </w:t>
      </w:r>
      <w:r w:rsidRPr="00C84F40">
        <w:rPr>
          <w:rFonts w:ascii="Times New Roman" w:hAnsi="Times New Roman"/>
          <w:color w:val="000000" w:themeColor="text1"/>
          <w:sz w:val="24"/>
          <w:szCs w:val="24"/>
        </w:rPr>
        <w:t>o</w:t>
      </w:r>
      <w:r>
        <w:rPr>
          <w:rFonts w:ascii="Times New Roman" w:hAnsi="Times New Roman"/>
          <w:color w:val="000000" w:themeColor="text1"/>
          <w:sz w:val="24"/>
          <w:szCs w:val="24"/>
        </w:rPr>
        <w:t> 94,5</w:t>
      </w:r>
      <w:r w:rsidRPr="00C84F40">
        <w:rPr>
          <w:rFonts w:ascii="Times New Roman" w:hAnsi="Times New Roman"/>
          <w:color w:val="000000" w:themeColor="text1"/>
          <w:sz w:val="24"/>
          <w:szCs w:val="24"/>
        </w:rPr>
        <w:t xml:space="preserve"> mil. eur. </w:t>
      </w:r>
    </w:p>
    <w:p w:rsidR="003B3897" w:rsidRPr="00C84F40" w:rsidRDefault="003B3897" w:rsidP="003B3897">
      <w:pPr>
        <w:spacing w:after="0" w:line="240" w:lineRule="auto"/>
        <w:jc w:val="both"/>
        <w:rPr>
          <w:rFonts w:ascii="Times New Roman" w:hAnsi="Times New Roman"/>
          <w:color w:val="000000" w:themeColor="text1"/>
          <w:sz w:val="24"/>
          <w:szCs w:val="24"/>
        </w:rPr>
      </w:pPr>
    </w:p>
    <w:p w:rsidR="003B3897" w:rsidRPr="00C84F40" w:rsidRDefault="003B3897" w:rsidP="003B3897">
      <w:pPr>
        <w:spacing w:after="0" w:line="240" w:lineRule="auto"/>
        <w:jc w:val="both"/>
        <w:rPr>
          <w:rFonts w:ascii="Times New Roman" w:hAnsi="Times New Roman"/>
          <w:color w:val="000000" w:themeColor="text1"/>
          <w:sz w:val="24"/>
          <w:szCs w:val="24"/>
        </w:rPr>
      </w:pPr>
      <w:r w:rsidRPr="00C84F40">
        <w:rPr>
          <w:rFonts w:ascii="Times New Roman" w:hAnsi="Times New Roman"/>
          <w:color w:val="000000" w:themeColor="text1"/>
          <w:sz w:val="24"/>
          <w:szCs w:val="24"/>
        </w:rPr>
        <w:t>Rozhlas a televízia Slovenska predpokladá použi</w:t>
      </w:r>
      <w:r>
        <w:rPr>
          <w:rFonts w:ascii="Times New Roman" w:hAnsi="Times New Roman"/>
          <w:color w:val="000000" w:themeColor="text1"/>
          <w:sz w:val="24"/>
          <w:szCs w:val="24"/>
        </w:rPr>
        <w:t>tie</w:t>
      </w:r>
      <w:r w:rsidRPr="00C84F40">
        <w:rPr>
          <w:rFonts w:ascii="Times New Roman" w:hAnsi="Times New Roman"/>
          <w:color w:val="000000" w:themeColor="text1"/>
          <w:sz w:val="24"/>
          <w:szCs w:val="24"/>
        </w:rPr>
        <w:t xml:space="preserve"> prostriedk</w:t>
      </w:r>
      <w:r>
        <w:rPr>
          <w:rFonts w:ascii="Times New Roman" w:hAnsi="Times New Roman"/>
          <w:color w:val="000000" w:themeColor="text1"/>
          <w:sz w:val="24"/>
          <w:szCs w:val="24"/>
        </w:rPr>
        <w:t>ov</w:t>
      </w:r>
      <w:r w:rsidRPr="00C84F40">
        <w:rPr>
          <w:rFonts w:ascii="Times New Roman" w:hAnsi="Times New Roman"/>
          <w:color w:val="000000" w:themeColor="text1"/>
          <w:sz w:val="24"/>
          <w:szCs w:val="24"/>
        </w:rPr>
        <w:t xml:space="preserve"> z minulých rokov v rámci medzispotreby a kapitálových výdavkov, čím sa celkové výdavky zvýšia o</w:t>
      </w:r>
      <w:r>
        <w:rPr>
          <w:rFonts w:ascii="Times New Roman" w:hAnsi="Times New Roman"/>
          <w:color w:val="000000" w:themeColor="text1"/>
          <w:sz w:val="24"/>
          <w:szCs w:val="24"/>
        </w:rPr>
        <w:t> </w:t>
      </w:r>
      <w:r w:rsidRPr="00C84F40">
        <w:rPr>
          <w:rFonts w:ascii="Times New Roman" w:hAnsi="Times New Roman"/>
          <w:color w:val="000000" w:themeColor="text1"/>
          <w:sz w:val="24"/>
          <w:szCs w:val="24"/>
        </w:rPr>
        <w:t>3</w:t>
      </w:r>
      <w:r>
        <w:rPr>
          <w:rFonts w:ascii="Times New Roman" w:hAnsi="Times New Roman"/>
          <w:color w:val="000000" w:themeColor="text1"/>
          <w:sz w:val="24"/>
          <w:szCs w:val="24"/>
        </w:rPr>
        <w:t>5,7</w:t>
      </w:r>
      <w:r w:rsidRPr="00C84F40">
        <w:rPr>
          <w:rFonts w:ascii="Times New Roman" w:hAnsi="Times New Roman"/>
          <w:color w:val="000000" w:themeColor="text1"/>
          <w:sz w:val="24"/>
          <w:szCs w:val="24"/>
        </w:rPr>
        <w:t xml:space="preserve"> mil. eur. </w:t>
      </w:r>
    </w:p>
    <w:p w:rsidR="003B3897" w:rsidRPr="00C84F40" w:rsidRDefault="003B3897" w:rsidP="003B3897">
      <w:pPr>
        <w:spacing w:after="0" w:line="240" w:lineRule="auto"/>
        <w:jc w:val="both"/>
        <w:rPr>
          <w:rFonts w:ascii="Times New Roman" w:hAnsi="Times New Roman"/>
          <w:color w:val="000000" w:themeColor="text1"/>
          <w:sz w:val="24"/>
          <w:szCs w:val="24"/>
        </w:rPr>
      </w:pPr>
    </w:p>
    <w:p w:rsidR="003B3897" w:rsidRPr="00C84F40" w:rsidRDefault="003B3897" w:rsidP="003B3897">
      <w:pPr>
        <w:spacing w:after="0" w:line="240" w:lineRule="auto"/>
        <w:jc w:val="both"/>
        <w:rPr>
          <w:rFonts w:ascii="Times New Roman" w:hAnsi="Times New Roman"/>
          <w:color w:val="000000" w:themeColor="text1"/>
          <w:sz w:val="24"/>
          <w:szCs w:val="24"/>
        </w:rPr>
      </w:pPr>
      <w:r w:rsidRPr="00C84F40">
        <w:rPr>
          <w:rFonts w:ascii="Times New Roman" w:hAnsi="Times New Roman"/>
          <w:color w:val="000000" w:themeColor="text1"/>
          <w:sz w:val="24"/>
          <w:szCs w:val="24"/>
        </w:rPr>
        <w:t>Fond na podporu športu očakáva použitie prostriedkov presunutých z kapitoly Všeobecná pokladničná správa v priebehu roka 2021</w:t>
      </w:r>
      <w:r w:rsidRPr="00763864">
        <w:rPr>
          <w:rStyle w:val="Odkaznapoznmkupodiarou"/>
          <w:rFonts w:ascii="Times New Roman" w:hAnsi="Times New Roman"/>
          <w:color w:val="000000" w:themeColor="text1"/>
        </w:rPr>
        <w:footnoteReference w:id="15"/>
      </w:r>
      <w:r w:rsidRPr="00C84F40">
        <w:rPr>
          <w:rFonts w:ascii="Times New Roman" w:hAnsi="Times New Roman"/>
          <w:color w:val="000000" w:themeColor="text1"/>
          <w:sz w:val="24"/>
          <w:szCs w:val="24"/>
        </w:rPr>
        <w:t xml:space="preserve"> vo výške takmer 26 mil. eur súvisiacich s rekonštrukciou a obnovou športovej infraštruktúry v súlade s návrhom projektu modernizácie, rekonštrukcie a budovania športovej infraštruktúry národného významu</w:t>
      </w:r>
      <w:r w:rsidRPr="00763864">
        <w:rPr>
          <w:rStyle w:val="Odkaznapoznmkupodiarou"/>
          <w:rFonts w:ascii="Times New Roman" w:hAnsi="Times New Roman"/>
          <w:color w:val="000000" w:themeColor="text1"/>
        </w:rPr>
        <w:footnoteReference w:id="16"/>
      </w:r>
      <w:r w:rsidRPr="00763864">
        <w:rPr>
          <w:rFonts w:ascii="Times New Roman" w:hAnsi="Times New Roman" w:cs="Times New Roman"/>
          <w:color w:val="000000" w:themeColor="text1"/>
          <w:sz w:val="24"/>
          <w:szCs w:val="24"/>
        </w:rPr>
        <w:t>.</w:t>
      </w:r>
    </w:p>
    <w:p w:rsidR="007B4FDF" w:rsidRDefault="007B4FDF" w:rsidP="007B4FDF">
      <w:pPr>
        <w:spacing w:after="0" w:line="240" w:lineRule="auto"/>
        <w:jc w:val="both"/>
        <w:rPr>
          <w:rFonts w:ascii="Times New Roman" w:hAnsi="Times New Roman" w:cs="Times New Roman"/>
          <w:color w:val="000000"/>
          <w:sz w:val="24"/>
          <w:szCs w:val="24"/>
        </w:rPr>
      </w:pPr>
    </w:p>
    <w:p w:rsidR="00763864" w:rsidRDefault="00763864" w:rsidP="007B4FDF">
      <w:pPr>
        <w:spacing w:after="0" w:line="240" w:lineRule="auto"/>
        <w:jc w:val="both"/>
        <w:rPr>
          <w:rFonts w:ascii="Times New Roman" w:hAnsi="Times New Roman" w:cs="Times New Roman"/>
          <w:color w:val="000000"/>
          <w:sz w:val="24"/>
          <w:szCs w:val="24"/>
        </w:rPr>
      </w:pPr>
    </w:p>
    <w:p w:rsidR="00763864" w:rsidRPr="00264220" w:rsidRDefault="00763864" w:rsidP="007B4FDF">
      <w:pPr>
        <w:spacing w:after="0" w:line="240" w:lineRule="auto"/>
        <w:jc w:val="both"/>
        <w:rPr>
          <w:rFonts w:ascii="Times New Roman" w:hAnsi="Times New Roman" w:cs="Times New Roman"/>
          <w:color w:val="000000"/>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36" w:name="_Toc79153414"/>
      <w:r w:rsidRPr="0080040F">
        <w:rPr>
          <w:rFonts w:ascii="Times New Roman" w:hAnsi="Times New Roman" w:cs="Times New Roman"/>
          <w:b/>
          <w:color w:val="5B9BD5" w:themeColor="accent1"/>
        </w:rPr>
        <w:t xml:space="preserve">2.1.8. </w:t>
      </w:r>
      <w:r w:rsidR="007B4FDF" w:rsidRPr="0080040F">
        <w:rPr>
          <w:rFonts w:ascii="Times New Roman" w:hAnsi="Times New Roman" w:cs="Times New Roman"/>
          <w:b/>
          <w:color w:val="5B9BD5" w:themeColor="accent1"/>
        </w:rPr>
        <w:t>Hospodárenie samospráv - bez daní, prostriedkov EÚ a spolufinancovania</w:t>
      </w:r>
      <w:bookmarkEnd w:id="36"/>
    </w:p>
    <w:p w:rsidR="007B4FDF" w:rsidRDefault="007B4FDF" w:rsidP="007B4FDF">
      <w:pPr>
        <w:spacing w:after="0" w:line="240" w:lineRule="auto"/>
        <w:jc w:val="both"/>
        <w:rPr>
          <w:rFonts w:ascii="Times New Roman" w:hAnsi="Times New Roman" w:cs="Times New Roman"/>
          <w:color w:val="000000"/>
          <w:sz w:val="24"/>
          <w:szCs w:val="24"/>
        </w:rPr>
      </w:pPr>
    </w:p>
    <w:p w:rsidR="00893F59" w:rsidRPr="005D29F0" w:rsidRDefault="00893F59" w:rsidP="00893F59">
      <w:pPr>
        <w:spacing w:after="0" w:line="240" w:lineRule="auto"/>
        <w:jc w:val="both"/>
        <w:rPr>
          <w:rFonts w:ascii="Times New Roman" w:hAnsi="Times New Roman" w:cs="Times New Roman"/>
          <w:color w:val="000000"/>
          <w:sz w:val="24"/>
          <w:szCs w:val="24"/>
        </w:rPr>
      </w:pPr>
      <w:r w:rsidRPr="005D29F0">
        <w:rPr>
          <w:rFonts w:ascii="Times New Roman" w:hAnsi="Times New Roman" w:cs="Times New Roman"/>
          <w:color w:val="000000"/>
          <w:sz w:val="24"/>
          <w:szCs w:val="24"/>
        </w:rPr>
        <w:t>Samotné hospodárenie samospráv (obce, dopravné podniky a vyššie územné celky) bez daní, prostriedkov z rozpočtu EÚ a prostriedkov spolufinancovania bude oproti schválenému rozpočtu horšie o</w:t>
      </w:r>
      <w:r>
        <w:rPr>
          <w:rFonts w:ascii="Times New Roman" w:hAnsi="Times New Roman" w:cs="Times New Roman"/>
          <w:color w:val="000000"/>
          <w:sz w:val="24"/>
          <w:szCs w:val="24"/>
        </w:rPr>
        <w:t> </w:t>
      </w:r>
      <w:r w:rsidRPr="005D29F0">
        <w:rPr>
          <w:rFonts w:ascii="Times New Roman" w:hAnsi="Times New Roman" w:cs="Times New Roman"/>
          <w:color w:val="000000"/>
          <w:sz w:val="24"/>
          <w:szCs w:val="24"/>
        </w:rPr>
        <w:t>89</w:t>
      </w:r>
      <w:r>
        <w:rPr>
          <w:rFonts w:ascii="Times New Roman" w:hAnsi="Times New Roman" w:cs="Times New Roman"/>
          <w:color w:val="000000"/>
          <w:sz w:val="24"/>
          <w:szCs w:val="24"/>
        </w:rPr>
        <w:t>,2</w:t>
      </w:r>
      <w:r w:rsidRPr="005D29F0">
        <w:rPr>
          <w:rFonts w:ascii="Times New Roman" w:hAnsi="Times New Roman" w:cs="Times New Roman"/>
          <w:color w:val="000000"/>
          <w:sz w:val="24"/>
          <w:szCs w:val="24"/>
        </w:rPr>
        <w:t xml:space="preserve"> mil. eur.</w:t>
      </w:r>
    </w:p>
    <w:p w:rsidR="00893F59" w:rsidRDefault="00893F59" w:rsidP="00893F59">
      <w:pPr>
        <w:spacing w:after="0" w:line="240" w:lineRule="auto"/>
        <w:jc w:val="both"/>
        <w:rPr>
          <w:rFonts w:ascii="Times New Roman" w:hAnsi="Times New Roman" w:cs="Times New Roman"/>
          <w:color w:val="000000"/>
          <w:sz w:val="24"/>
          <w:szCs w:val="24"/>
        </w:rPr>
      </w:pPr>
    </w:p>
    <w:p w:rsidR="00893F59" w:rsidRPr="00893F59" w:rsidRDefault="00893F59" w:rsidP="00893F59">
      <w:pPr>
        <w:pStyle w:val="Popis"/>
        <w:keepNext/>
        <w:spacing w:after="0"/>
        <w:rPr>
          <w:rFonts w:ascii="Times New Roman" w:hAnsi="Times New Roman" w:cs="Times New Roman"/>
          <w:b/>
          <w:i w:val="0"/>
          <w:color w:val="5B9BD5" w:themeColor="accent1"/>
          <w:sz w:val="20"/>
          <w:szCs w:val="20"/>
        </w:rPr>
      </w:pPr>
      <w:bookmarkStart w:id="37" w:name="_Toc84845235"/>
      <w:r w:rsidRPr="00893F59">
        <w:rPr>
          <w:rFonts w:ascii="Times New Roman" w:hAnsi="Times New Roman" w:cs="Times New Roman"/>
          <w:b/>
          <w:i w:val="0"/>
          <w:color w:val="5B9BD5" w:themeColor="accent1"/>
          <w:sz w:val="20"/>
          <w:szCs w:val="20"/>
        </w:rPr>
        <w:t xml:space="preserve">Tabuľka </w:t>
      </w:r>
      <w:r w:rsidRPr="00893F59">
        <w:rPr>
          <w:rFonts w:ascii="Times New Roman" w:hAnsi="Times New Roman" w:cs="Times New Roman"/>
          <w:b/>
          <w:i w:val="0"/>
          <w:color w:val="5B9BD5" w:themeColor="accent1"/>
          <w:sz w:val="20"/>
          <w:szCs w:val="20"/>
        </w:rPr>
        <w:fldChar w:fldCharType="begin"/>
      </w:r>
      <w:r w:rsidRPr="00893F59">
        <w:rPr>
          <w:rFonts w:ascii="Times New Roman" w:hAnsi="Times New Roman" w:cs="Times New Roman"/>
          <w:b/>
          <w:i w:val="0"/>
          <w:color w:val="5B9BD5" w:themeColor="accent1"/>
          <w:sz w:val="20"/>
          <w:szCs w:val="20"/>
        </w:rPr>
        <w:instrText xml:space="preserve"> SEQ Tabuľka \* ARABIC </w:instrText>
      </w:r>
      <w:r w:rsidRPr="00893F5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11</w:t>
      </w:r>
      <w:r w:rsidRPr="00893F59">
        <w:rPr>
          <w:rFonts w:ascii="Times New Roman" w:hAnsi="Times New Roman" w:cs="Times New Roman"/>
          <w:b/>
          <w:i w:val="0"/>
          <w:color w:val="5B9BD5" w:themeColor="accent1"/>
          <w:sz w:val="20"/>
          <w:szCs w:val="20"/>
        </w:rPr>
        <w:fldChar w:fldCharType="end"/>
      </w:r>
      <w:r w:rsidRPr="00893F59">
        <w:rPr>
          <w:rFonts w:ascii="Times New Roman" w:hAnsi="Times New Roman" w:cs="Times New Roman"/>
          <w:b/>
          <w:i w:val="0"/>
          <w:color w:val="5B9BD5" w:themeColor="accent1"/>
          <w:sz w:val="20"/>
          <w:szCs w:val="20"/>
        </w:rPr>
        <w:t xml:space="preserve"> - Hospodárenie samospráv - bez daní, prostriedkov EÚ a spolufinancovania</w:t>
      </w:r>
      <w:bookmarkEnd w:id="37"/>
    </w:p>
    <w:tbl>
      <w:tblPr>
        <w:tblW w:w="5000" w:type="pct"/>
        <w:jc w:val="center"/>
        <w:tblCellMar>
          <w:left w:w="70" w:type="dxa"/>
          <w:right w:w="70" w:type="dxa"/>
        </w:tblCellMar>
        <w:tblLook w:val="04A0" w:firstRow="1" w:lastRow="0" w:firstColumn="1" w:lastColumn="0" w:noHBand="0" w:noVBand="1"/>
      </w:tblPr>
      <w:tblGrid>
        <w:gridCol w:w="8306"/>
        <w:gridCol w:w="766"/>
      </w:tblGrid>
      <w:tr w:rsidR="00893F59" w:rsidRPr="00D922AF" w:rsidTr="007C2BDC">
        <w:trPr>
          <w:trHeight w:val="255"/>
          <w:jc w:val="center"/>
        </w:trPr>
        <w:tc>
          <w:tcPr>
            <w:tcW w:w="4578" w:type="pct"/>
            <w:tcBorders>
              <w:top w:val="single" w:sz="4" w:space="0" w:color="auto"/>
              <w:left w:val="nil"/>
              <w:bottom w:val="single" w:sz="4" w:space="0" w:color="auto"/>
              <w:right w:val="nil"/>
            </w:tcBorders>
            <w:shd w:val="clear" w:color="auto" w:fill="auto"/>
            <w:vAlign w:val="center"/>
            <w:hideMark/>
          </w:tcPr>
          <w:p w:rsidR="00893F59" w:rsidRPr="00D922AF" w:rsidRDefault="00893F59" w:rsidP="007C2BDC">
            <w:pPr>
              <w:spacing w:after="0" w:line="240" w:lineRule="auto"/>
              <w:rPr>
                <w:rFonts w:ascii="Times New Roman" w:eastAsia="Times New Roman" w:hAnsi="Times New Roman" w:cs="Times New Roman"/>
                <w:b/>
                <w:bCs/>
                <w:sz w:val="16"/>
                <w:szCs w:val="16"/>
                <w:lang w:eastAsia="sk-SK"/>
              </w:rPr>
            </w:pPr>
            <w:r w:rsidRPr="00D922AF">
              <w:rPr>
                <w:rFonts w:ascii="Times New Roman" w:eastAsia="Times New Roman" w:hAnsi="Times New Roman" w:cs="Times New Roman"/>
                <w:i/>
                <w:iCs/>
                <w:sz w:val="16"/>
                <w:szCs w:val="16"/>
                <w:lang w:eastAsia="sk-SK"/>
              </w:rPr>
              <w:t>(v mil. eur; ESA</w:t>
            </w:r>
            <w:r>
              <w:rPr>
                <w:rFonts w:ascii="Times New Roman" w:eastAsia="Times New Roman" w:hAnsi="Times New Roman" w:cs="Times New Roman"/>
                <w:i/>
                <w:iCs/>
                <w:sz w:val="16"/>
                <w:szCs w:val="16"/>
                <w:lang w:eastAsia="sk-SK"/>
              </w:rPr>
              <w:t xml:space="preserve"> </w:t>
            </w:r>
            <w:r w:rsidRPr="00D922AF">
              <w:rPr>
                <w:rFonts w:ascii="Times New Roman" w:eastAsia="Times New Roman" w:hAnsi="Times New Roman" w:cs="Times New Roman"/>
                <w:i/>
                <w:iCs/>
                <w:sz w:val="16"/>
                <w:szCs w:val="16"/>
                <w:lang w:eastAsia="sk-SK"/>
              </w:rPr>
              <w:t>2010 na konsolidovanej báze)</w:t>
            </w:r>
          </w:p>
        </w:tc>
        <w:tc>
          <w:tcPr>
            <w:tcW w:w="422" w:type="pct"/>
            <w:tcBorders>
              <w:top w:val="single" w:sz="4" w:space="0" w:color="auto"/>
              <w:left w:val="nil"/>
              <w:bottom w:val="single" w:sz="4" w:space="0" w:color="auto"/>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b/>
                <w:bCs/>
                <w:sz w:val="16"/>
                <w:szCs w:val="16"/>
                <w:lang w:eastAsia="sk-SK"/>
              </w:rPr>
            </w:pPr>
            <w:r w:rsidRPr="00D922AF">
              <w:rPr>
                <w:rFonts w:ascii="Times New Roman" w:eastAsia="Times New Roman" w:hAnsi="Times New Roman" w:cs="Times New Roman"/>
                <w:b/>
                <w:bCs/>
                <w:sz w:val="16"/>
                <w:szCs w:val="16"/>
                <w:lang w:eastAsia="sk-SK"/>
              </w:rPr>
              <w:t>-89,2</w:t>
            </w:r>
          </w:p>
        </w:tc>
      </w:tr>
      <w:tr w:rsidR="00893F59" w:rsidRPr="00D922AF" w:rsidTr="007C2BDC">
        <w:trPr>
          <w:trHeight w:val="255"/>
          <w:jc w:val="center"/>
        </w:trPr>
        <w:tc>
          <w:tcPr>
            <w:tcW w:w="4578"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ind w:firstLineChars="100" w:firstLine="160"/>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Tržby</w:t>
            </w:r>
          </w:p>
        </w:tc>
        <w:tc>
          <w:tcPr>
            <w:tcW w:w="422"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-29,5</w:t>
            </w:r>
          </w:p>
        </w:tc>
      </w:tr>
      <w:tr w:rsidR="00893F59" w:rsidRPr="00D922AF" w:rsidTr="007C2BDC">
        <w:trPr>
          <w:trHeight w:val="255"/>
          <w:jc w:val="center"/>
        </w:trPr>
        <w:tc>
          <w:tcPr>
            <w:tcW w:w="4578"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ind w:firstLineChars="100" w:firstLine="160"/>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Kompenzácie zamestnancov</w:t>
            </w:r>
          </w:p>
        </w:tc>
        <w:tc>
          <w:tcPr>
            <w:tcW w:w="422"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67,4</w:t>
            </w:r>
          </w:p>
        </w:tc>
      </w:tr>
      <w:tr w:rsidR="00893F59" w:rsidRPr="00D922AF" w:rsidTr="007C2BDC">
        <w:trPr>
          <w:trHeight w:val="255"/>
          <w:jc w:val="center"/>
        </w:trPr>
        <w:tc>
          <w:tcPr>
            <w:tcW w:w="4578"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ind w:firstLineChars="100" w:firstLine="160"/>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Medzispotreba</w:t>
            </w:r>
          </w:p>
        </w:tc>
        <w:tc>
          <w:tcPr>
            <w:tcW w:w="422"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9,4</w:t>
            </w:r>
          </w:p>
        </w:tc>
      </w:tr>
      <w:tr w:rsidR="00893F59" w:rsidRPr="00D922AF" w:rsidTr="007C2BDC">
        <w:trPr>
          <w:trHeight w:val="255"/>
          <w:jc w:val="center"/>
        </w:trPr>
        <w:tc>
          <w:tcPr>
            <w:tcW w:w="4578"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ind w:firstLineChars="100" w:firstLine="160"/>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Bežné transfery</w:t>
            </w:r>
          </w:p>
        </w:tc>
        <w:tc>
          <w:tcPr>
            <w:tcW w:w="422"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-84,0</w:t>
            </w:r>
          </w:p>
        </w:tc>
      </w:tr>
      <w:tr w:rsidR="00893F59" w:rsidRPr="00D922AF" w:rsidTr="007C2BDC">
        <w:trPr>
          <w:trHeight w:val="255"/>
          <w:jc w:val="center"/>
        </w:trPr>
        <w:tc>
          <w:tcPr>
            <w:tcW w:w="4578"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ind w:firstLineChars="100" w:firstLine="160"/>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Kapitálové výdavky</w:t>
            </w:r>
          </w:p>
        </w:tc>
        <w:tc>
          <w:tcPr>
            <w:tcW w:w="422" w:type="pct"/>
            <w:tcBorders>
              <w:top w:val="nil"/>
              <w:left w:val="nil"/>
              <w:bottom w:val="nil"/>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-17,4</w:t>
            </w:r>
          </w:p>
        </w:tc>
      </w:tr>
      <w:tr w:rsidR="00893F59" w:rsidRPr="00D922AF" w:rsidTr="007C2BDC">
        <w:trPr>
          <w:trHeight w:val="255"/>
          <w:jc w:val="center"/>
        </w:trPr>
        <w:tc>
          <w:tcPr>
            <w:tcW w:w="4578" w:type="pct"/>
            <w:tcBorders>
              <w:top w:val="nil"/>
              <w:left w:val="nil"/>
              <w:bottom w:val="single" w:sz="4" w:space="0" w:color="auto"/>
              <w:right w:val="nil"/>
            </w:tcBorders>
            <w:shd w:val="clear" w:color="auto" w:fill="auto"/>
            <w:noWrap/>
            <w:vAlign w:val="center"/>
            <w:hideMark/>
          </w:tcPr>
          <w:p w:rsidR="00893F59" w:rsidRPr="00D922AF" w:rsidRDefault="00893F59" w:rsidP="007C2BDC">
            <w:pPr>
              <w:spacing w:after="0" w:line="240" w:lineRule="auto"/>
              <w:ind w:firstLineChars="100" w:firstLine="160"/>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Ostatné</w:t>
            </w:r>
          </w:p>
        </w:tc>
        <w:tc>
          <w:tcPr>
            <w:tcW w:w="422" w:type="pct"/>
            <w:tcBorders>
              <w:top w:val="nil"/>
              <w:left w:val="nil"/>
              <w:bottom w:val="single" w:sz="4" w:space="0" w:color="auto"/>
              <w:right w:val="nil"/>
            </w:tcBorders>
            <w:shd w:val="clear" w:color="auto" w:fill="auto"/>
            <w:noWrap/>
            <w:vAlign w:val="center"/>
            <w:hideMark/>
          </w:tcPr>
          <w:p w:rsidR="00893F59" w:rsidRPr="00D922AF" w:rsidRDefault="00893F59" w:rsidP="007C2BDC">
            <w:pPr>
              <w:spacing w:after="0" w:line="240" w:lineRule="auto"/>
              <w:jc w:val="right"/>
              <w:rPr>
                <w:rFonts w:ascii="Times New Roman" w:eastAsia="Times New Roman" w:hAnsi="Times New Roman" w:cs="Times New Roman"/>
                <w:sz w:val="16"/>
                <w:szCs w:val="16"/>
                <w:lang w:eastAsia="sk-SK"/>
              </w:rPr>
            </w:pPr>
            <w:r w:rsidRPr="00D922AF">
              <w:rPr>
                <w:rFonts w:ascii="Times New Roman" w:eastAsia="Times New Roman" w:hAnsi="Times New Roman" w:cs="Times New Roman"/>
                <w:sz w:val="16"/>
                <w:szCs w:val="16"/>
                <w:lang w:eastAsia="sk-SK"/>
              </w:rPr>
              <w:t>-35,1</w:t>
            </w:r>
          </w:p>
        </w:tc>
      </w:tr>
    </w:tbl>
    <w:p w:rsidR="00893F59" w:rsidRPr="00C516F2" w:rsidRDefault="00893F59" w:rsidP="00893F59">
      <w:pPr>
        <w:spacing w:after="0" w:line="240" w:lineRule="auto"/>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w:t>
      </w:r>
      <w:r w:rsidRPr="00C516F2">
        <w:rPr>
          <w:rFonts w:ascii="Times New Roman" w:hAnsi="Times New Roman" w:cs="Times New Roman"/>
          <w:i/>
          <w:sz w:val="16"/>
          <w:szCs w:val="16"/>
        </w:rPr>
        <w:t>: MF SR</w:t>
      </w:r>
    </w:p>
    <w:p w:rsidR="00893F59" w:rsidRDefault="00893F59" w:rsidP="00893F59">
      <w:pPr>
        <w:suppressAutoHyphens/>
        <w:spacing w:after="0" w:line="240" w:lineRule="auto"/>
        <w:jc w:val="both"/>
        <w:rPr>
          <w:rFonts w:ascii="Times New Roman" w:hAnsi="Times New Roman" w:cs="Times New Roman"/>
          <w:color w:val="000000"/>
          <w:sz w:val="24"/>
          <w:szCs w:val="24"/>
        </w:rPr>
      </w:pPr>
    </w:p>
    <w:p w:rsidR="00893F59" w:rsidRDefault="00893F59" w:rsidP="00893F59">
      <w:pPr>
        <w:spacing w:after="0" w:line="240" w:lineRule="auto"/>
        <w:jc w:val="both"/>
        <w:rPr>
          <w:rFonts w:ascii="Times New Roman" w:hAnsi="Times New Roman"/>
          <w:color w:val="000000"/>
          <w:sz w:val="24"/>
          <w:szCs w:val="24"/>
        </w:rPr>
      </w:pPr>
      <w:r>
        <w:rPr>
          <w:rFonts w:ascii="Times New Roman" w:hAnsi="Times New Roman"/>
          <w:color w:val="000000"/>
          <w:sz w:val="24"/>
          <w:szCs w:val="24"/>
        </w:rPr>
        <w:t>Oproti schválenému rozpočtu na rok 2021 sa odhaduje</w:t>
      </w:r>
      <w:r w:rsidRPr="009C55F0">
        <w:rPr>
          <w:rFonts w:ascii="Times New Roman" w:hAnsi="Times New Roman"/>
          <w:color w:val="000000"/>
          <w:sz w:val="24"/>
          <w:szCs w:val="24"/>
        </w:rPr>
        <w:t>, vzhľadom na doterajší vývoj v dôsledku pandémie, výpadok tržieb subjektov územnej sam</w:t>
      </w:r>
      <w:r>
        <w:rPr>
          <w:rFonts w:ascii="Times New Roman" w:hAnsi="Times New Roman"/>
          <w:color w:val="000000"/>
          <w:sz w:val="24"/>
          <w:szCs w:val="24"/>
        </w:rPr>
        <w:t>osprávy vo výške 29,5 mil. eur. Z toho administratívne a iné poplatky a platby obcí sa odhadujú nižšie o 30,0 mil. eur a vyšších územných celkov o 9,00 mil. eur. V rámci vyšších územných celkov dochádza taktiež k výpadku príjmov z podnikania na úrovni 1,00 mil. eur. Tento pokles mierne kompenzujú rastúce poplatky za komunálne odpady a drobné stavebné odpady o 9,85 mil. eur a rastúce tržby dopravných podnikov o 0,66 mil. eur.</w:t>
      </w:r>
    </w:p>
    <w:p w:rsidR="00893F59" w:rsidRDefault="00893F59" w:rsidP="00893F59">
      <w:pPr>
        <w:spacing w:after="0" w:line="240" w:lineRule="auto"/>
        <w:jc w:val="both"/>
        <w:rPr>
          <w:rFonts w:ascii="Times New Roman" w:hAnsi="Times New Roman"/>
          <w:color w:val="000000"/>
          <w:sz w:val="24"/>
          <w:szCs w:val="24"/>
        </w:rPr>
      </w:pPr>
    </w:p>
    <w:p w:rsidR="006C243F" w:rsidRPr="009C55F0" w:rsidRDefault="006C243F" w:rsidP="006C243F">
      <w:pPr>
        <w:spacing w:after="0" w:line="240" w:lineRule="auto"/>
        <w:jc w:val="both"/>
        <w:rPr>
          <w:rFonts w:ascii="Times New Roman" w:hAnsi="Times New Roman"/>
          <w:b/>
          <w:bCs/>
          <w:sz w:val="28"/>
          <w:szCs w:val="28"/>
        </w:rPr>
      </w:pPr>
      <w:r>
        <w:rPr>
          <w:rFonts w:ascii="Times New Roman" w:hAnsi="Times New Roman"/>
          <w:color w:val="000000"/>
          <w:sz w:val="24"/>
          <w:szCs w:val="24"/>
        </w:rPr>
        <w:t>V rámci kompenzácií zamestnancov sa odhaduje úspora na úrovni 67,4 mil. eur, a to najmä v nadväznosti na odhadovanú výšku poskytovaných transferov zo štátneho rozpočtu na regionálne školstvo</w:t>
      </w:r>
      <w:r w:rsidRPr="009C55F0">
        <w:rPr>
          <w:rFonts w:ascii="Times New Roman" w:hAnsi="Times New Roman"/>
          <w:sz w:val="24"/>
          <w:szCs w:val="24"/>
        </w:rPr>
        <w:t xml:space="preserve">. </w:t>
      </w:r>
    </w:p>
    <w:p w:rsidR="00893F59" w:rsidRDefault="00893F59" w:rsidP="00893F59">
      <w:pPr>
        <w:suppressAutoHyphens/>
        <w:spacing w:after="0" w:line="240" w:lineRule="auto"/>
        <w:jc w:val="both"/>
        <w:rPr>
          <w:rFonts w:ascii="Times New Roman" w:hAnsi="Times New Roman" w:cs="Times New Roman"/>
          <w:color w:val="000000"/>
          <w:sz w:val="24"/>
          <w:szCs w:val="24"/>
        </w:rPr>
      </w:pPr>
    </w:p>
    <w:p w:rsidR="00893F59" w:rsidRDefault="00893F59" w:rsidP="00893F59">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Bežné transfery územnej samosprávy prekročia rozpočtovanú úroveň o 84,0 mil. eur, a to najmä v súvislosti so zvýšenými platbami pre dopravcov v mestskej a prímestskej autobusovej doprave (mimo sektora verejnej správy) a neverejným poskytovateľom sociálnych služieb. Uvedený nárast je čiastočne kompenzovaný úsporou v rámci medzispotreby na úrovni 9,38</w:t>
      </w:r>
      <w:r w:rsidRPr="006B6619">
        <w:rPr>
          <w:rFonts w:ascii="Times New Roman" w:hAnsi="Times New Roman" w:cs="Times New Roman"/>
          <w:color w:val="000000"/>
          <w:sz w:val="24"/>
          <w:szCs w:val="24"/>
        </w:rPr>
        <w:t xml:space="preserve"> mil. eur.</w:t>
      </w:r>
    </w:p>
    <w:p w:rsidR="00893F59" w:rsidRDefault="00893F59" w:rsidP="00893F59">
      <w:pPr>
        <w:suppressAutoHyphens/>
        <w:spacing w:after="0" w:line="240" w:lineRule="auto"/>
        <w:jc w:val="both"/>
        <w:rPr>
          <w:rFonts w:ascii="Times New Roman" w:hAnsi="Times New Roman" w:cs="Times New Roman"/>
          <w:color w:val="000000"/>
          <w:sz w:val="24"/>
          <w:szCs w:val="24"/>
        </w:rPr>
      </w:pPr>
    </w:p>
    <w:p w:rsidR="00893F59" w:rsidRDefault="00893F59" w:rsidP="00893F59">
      <w:pPr>
        <w:suppressAutoHyphens/>
        <w:spacing w:after="0" w:line="240" w:lineRule="auto"/>
        <w:jc w:val="both"/>
        <w:rPr>
          <w:rFonts w:ascii="Times New Roman" w:hAnsi="Times New Roman" w:cs="Times New Roman"/>
          <w:color w:val="000000"/>
          <w:sz w:val="24"/>
          <w:szCs w:val="24"/>
        </w:rPr>
      </w:pPr>
      <w:r w:rsidRPr="006B6619">
        <w:rPr>
          <w:rFonts w:ascii="Times New Roman" w:hAnsi="Times New Roman" w:cs="Times New Roman"/>
          <w:color w:val="000000"/>
          <w:sz w:val="24"/>
          <w:szCs w:val="24"/>
        </w:rPr>
        <w:t>Kapitálové výdavky územnej samosprávy sa odhadujú vyššie o</w:t>
      </w:r>
      <w:r>
        <w:rPr>
          <w:rFonts w:ascii="Times New Roman" w:hAnsi="Times New Roman" w:cs="Times New Roman"/>
          <w:color w:val="000000"/>
          <w:sz w:val="24"/>
          <w:szCs w:val="24"/>
        </w:rPr>
        <w:t> </w:t>
      </w:r>
      <w:r w:rsidRPr="006B6619">
        <w:rPr>
          <w:rFonts w:ascii="Times New Roman" w:hAnsi="Times New Roman" w:cs="Times New Roman"/>
          <w:color w:val="000000"/>
          <w:sz w:val="24"/>
          <w:szCs w:val="24"/>
        </w:rPr>
        <w:t>1</w:t>
      </w:r>
      <w:r>
        <w:rPr>
          <w:rFonts w:ascii="Times New Roman" w:hAnsi="Times New Roman" w:cs="Times New Roman"/>
          <w:color w:val="000000"/>
          <w:sz w:val="24"/>
          <w:szCs w:val="24"/>
        </w:rPr>
        <w:t>7,4</w:t>
      </w:r>
      <w:r w:rsidRPr="006B6619">
        <w:rPr>
          <w:rFonts w:ascii="Times New Roman" w:hAnsi="Times New Roman" w:cs="Times New Roman"/>
          <w:color w:val="000000"/>
          <w:sz w:val="24"/>
          <w:szCs w:val="24"/>
        </w:rPr>
        <w:t xml:space="preserve"> mil. eur najmä v nadväznosti na zmenu očakávaných kapitálových grantov a transferov poskytovaných jednotlivými rozpočtovými kapitolami </w:t>
      </w:r>
      <w:r>
        <w:rPr>
          <w:rFonts w:ascii="Times New Roman" w:hAnsi="Times New Roman" w:cs="Times New Roman"/>
          <w:color w:val="000000"/>
          <w:sz w:val="24"/>
          <w:szCs w:val="24"/>
        </w:rPr>
        <w:t>štátneho rozpočtu. Tie</w:t>
      </w:r>
      <w:r w:rsidRPr="006B6619">
        <w:rPr>
          <w:rFonts w:ascii="Times New Roman" w:hAnsi="Times New Roman" w:cs="Times New Roman"/>
          <w:color w:val="000000"/>
          <w:sz w:val="24"/>
          <w:szCs w:val="24"/>
        </w:rPr>
        <w:t xml:space="preserve"> sa v prípade obcí očakávajú vyššie o</w:t>
      </w:r>
      <w:r>
        <w:rPr>
          <w:rFonts w:ascii="Times New Roman" w:hAnsi="Times New Roman" w:cs="Times New Roman"/>
          <w:color w:val="000000"/>
          <w:sz w:val="24"/>
          <w:szCs w:val="24"/>
        </w:rPr>
        <w:t> 18,3</w:t>
      </w:r>
      <w:r w:rsidRPr="006B6619">
        <w:rPr>
          <w:rFonts w:ascii="Times New Roman" w:hAnsi="Times New Roman" w:cs="Times New Roman"/>
          <w:color w:val="000000"/>
          <w:sz w:val="24"/>
          <w:szCs w:val="24"/>
        </w:rPr>
        <w:t xml:space="preserve"> mil. eur a v prípade vyšších územných celkov nižšie o</w:t>
      </w:r>
      <w:r>
        <w:rPr>
          <w:rFonts w:ascii="Times New Roman" w:hAnsi="Times New Roman" w:cs="Times New Roman"/>
          <w:color w:val="000000"/>
          <w:sz w:val="24"/>
          <w:szCs w:val="24"/>
        </w:rPr>
        <w:t> </w:t>
      </w:r>
      <w:r w:rsidRPr="006B6619">
        <w:rPr>
          <w:rFonts w:ascii="Times New Roman" w:hAnsi="Times New Roman" w:cs="Times New Roman"/>
          <w:color w:val="000000"/>
          <w:sz w:val="24"/>
          <w:szCs w:val="24"/>
        </w:rPr>
        <w:t>1</w:t>
      </w:r>
      <w:r>
        <w:rPr>
          <w:rFonts w:ascii="Times New Roman" w:hAnsi="Times New Roman" w:cs="Times New Roman"/>
          <w:color w:val="000000"/>
          <w:sz w:val="24"/>
          <w:szCs w:val="24"/>
        </w:rPr>
        <w:t>7,8</w:t>
      </w:r>
      <w:r w:rsidRPr="006B6619">
        <w:rPr>
          <w:rFonts w:ascii="Times New Roman" w:hAnsi="Times New Roman" w:cs="Times New Roman"/>
          <w:color w:val="000000"/>
          <w:sz w:val="24"/>
          <w:szCs w:val="24"/>
        </w:rPr>
        <w:t xml:space="preserve"> mil. eur. Zároveň </w:t>
      </w:r>
      <w:r>
        <w:rPr>
          <w:rFonts w:ascii="Times New Roman" w:hAnsi="Times New Roman" w:cs="Times New Roman"/>
          <w:color w:val="000000"/>
          <w:sz w:val="24"/>
          <w:szCs w:val="24"/>
        </w:rPr>
        <w:t xml:space="preserve">Dopravný podnik mesta </w:t>
      </w:r>
      <w:r w:rsidRPr="006B6619">
        <w:rPr>
          <w:rFonts w:ascii="Times New Roman" w:hAnsi="Times New Roman" w:cs="Times New Roman"/>
          <w:color w:val="000000"/>
          <w:sz w:val="24"/>
          <w:szCs w:val="24"/>
        </w:rPr>
        <w:t>Košice</w:t>
      </w:r>
      <w:r>
        <w:rPr>
          <w:rFonts w:ascii="Times New Roman" w:hAnsi="Times New Roman" w:cs="Times New Roman"/>
          <w:color w:val="000000"/>
          <w:sz w:val="24"/>
          <w:szCs w:val="24"/>
        </w:rPr>
        <w:t>, a. s.</w:t>
      </w:r>
      <w:r w:rsidRPr="006B6619">
        <w:rPr>
          <w:rFonts w:ascii="Times New Roman" w:hAnsi="Times New Roman" w:cs="Times New Roman"/>
          <w:color w:val="000000"/>
          <w:sz w:val="24"/>
          <w:szCs w:val="24"/>
        </w:rPr>
        <w:t xml:space="preserve"> plánuje prijať úver na kapitálové výdavky vo výšk</w:t>
      </w:r>
      <w:r>
        <w:rPr>
          <w:rFonts w:ascii="Times New Roman" w:hAnsi="Times New Roman" w:cs="Times New Roman"/>
          <w:color w:val="000000"/>
          <w:sz w:val="24"/>
          <w:szCs w:val="24"/>
        </w:rPr>
        <w:t>e 6,88</w:t>
      </w:r>
      <w:r w:rsidRPr="006B6619">
        <w:rPr>
          <w:rFonts w:ascii="Times New Roman" w:hAnsi="Times New Roman" w:cs="Times New Roman"/>
          <w:color w:val="000000"/>
          <w:sz w:val="24"/>
          <w:szCs w:val="24"/>
        </w:rPr>
        <w:t xml:space="preserve"> mil. eur a pri obciach sa očakávajú nižšie kapitálové príjmy o 10 mil. eur.</w:t>
      </w:r>
    </w:p>
    <w:p w:rsidR="007B4FDF" w:rsidRDefault="007B4FDF" w:rsidP="007B4FDF">
      <w:pPr>
        <w:suppressAutoHyphens/>
        <w:spacing w:after="0" w:line="240" w:lineRule="auto"/>
        <w:jc w:val="both"/>
        <w:rPr>
          <w:rFonts w:ascii="Times New Roman" w:hAnsi="Times New Roman" w:cs="Times New Roman"/>
          <w:color w:val="000000"/>
          <w:sz w:val="24"/>
          <w:szCs w:val="24"/>
        </w:rPr>
      </w:pPr>
    </w:p>
    <w:p w:rsidR="007B4FDF" w:rsidRPr="0080040F" w:rsidRDefault="0080040F" w:rsidP="0080040F">
      <w:pPr>
        <w:pStyle w:val="Zkladntext"/>
        <w:rPr>
          <w:rFonts w:ascii="Times New Roman" w:hAnsi="Times New Roman" w:cs="Times New Roman"/>
          <w:b/>
          <w:color w:val="5B9BD5" w:themeColor="accent1"/>
        </w:rPr>
      </w:pPr>
      <w:bookmarkStart w:id="38" w:name="_Toc79153415"/>
      <w:r w:rsidRPr="0080040F">
        <w:rPr>
          <w:rFonts w:ascii="Times New Roman" w:hAnsi="Times New Roman" w:cs="Times New Roman"/>
          <w:b/>
          <w:color w:val="5B9BD5" w:themeColor="accent1"/>
        </w:rPr>
        <w:t xml:space="preserve">2.1.9. </w:t>
      </w:r>
      <w:r w:rsidR="007B4FDF" w:rsidRPr="0080040F">
        <w:rPr>
          <w:rFonts w:ascii="Times New Roman" w:hAnsi="Times New Roman" w:cs="Times New Roman"/>
          <w:b/>
          <w:color w:val="5B9BD5" w:themeColor="accent1"/>
        </w:rPr>
        <w:t>Možné odchýlky od očakávaného vývoja</w:t>
      </w:r>
      <w:bookmarkEnd w:id="38"/>
    </w:p>
    <w:p w:rsidR="007B4FDF" w:rsidRPr="004C630F" w:rsidRDefault="007B4FDF" w:rsidP="007B4FDF">
      <w:pPr>
        <w:spacing w:after="0" w:line="240" w:lineRule="auto"/>
        <w:jc w:val="both"/>
        <w:rPr>
          <w:rFonts w:ascii="Times New Roman" w:hAnsi="Times New Roman" w:cs="Times New Roman"/>
          <w:color w:val="000000"/>
          <w:sz w:val="24"/>
          <w:szCs w:val="24"/>
        </w:rPr>
      </w:pPr>
    </w:p>
    <w:p w:rsidR="00893F59" w:rsidRPr="004C630F" w:rsidRDefault="00893F59" w:rsidP="00893F59">
      <w:pPr>
        <w:spacing w:after="0" w:line="240" w:lineRule="auto"/>
        <w:jc w:val="both"/>
        <w:rPr>
          <w:rFonts w:ascii="Times New Roman" w:hAnsi="Times New Roman" w:cs="Times New Roman"/>
          <w:color w:val="000000"/>
          <w:sz w:val="24"/>
          <w:szCs w:val="24"/>
        </w:rPr>
      </w:pPr>
      <w:r w:rsidRPr="004C630F">
        <w:rPr>
          <w:rFonts w:ascii="Times New Roman" w:hAnsi="Times New Roman" w:cs="Times New Roman"/>
          <w:color w:val="000000"/>
          <w:sz w:val="24"/>
          <w:szCs w:val="24"/>
        </w:rPr>
        <w:t>Okrem predpoklado</w:t>
      </w:r>
      <w:r>
        <w:rPr>
          <w:rFonts w:ascii="Times New Roman" w:hAnsi="Times New Roman" w:cs="Times New Roman"/>
          <w:color w:val="000000"/>
          <w:sz w:val="24"/>
          <w:szCs w:val="24"/>
        </w:rPr>
        <w:t>v</w:t>
      </w:r>
      <w:r w:rsidRPr="004C630F">
        <w:rPr>
          <w:rFonts w:ascii="Times New Roman" w:hAnsi="Times New Roman" w:cs="Times New Roman"/>
          <w:color w:val="000000"/>
          <w:sz w:val="24"/>
          <w:szCs w:val="24"/>
        </w:rPr>
        <w:t>, ktoré sú súčasťou aktuálneho odhadu vývoja verejných financií v roku 2021</w:t>
      </w:r>
      <w:r>
        <w:rPr>
          <w:rFonts w:ascii="Times New Roman" w:hAnsi="Times New Roman" w:cs="Times New Roman"/>
          <w:color w:val="000000"/>
          <w:sz w:val="24"/>
          <w:szCs w:val="24"/>
        </w:rPr>
        <w:t>,</w:t>
      </w:r>
      <w:r w:rsidRPr="004C630F">
        <w:rPr>
          <w:rFonts w:ascii="Times New Roman" w:hAnsi="Times New Roman" w:cs="Times New Roman"/>
          <w:color w:val="000000"/>
          <w:sz w:val="24"/>
          <w:szCs w:val="24"/>
        </w:rPr>
        <w:t xml:space="preserve"> môže dôjsť </w:t>
      </w:r>
      <w:r>
        <w:rPr>
          <w:rFonts w:ascii="Times New Roman" w:hAnsi="Times New Roman" w:cs="Times New Roman"/>
          <w:color w:val="000000"/>
          <w:sz w:val="24"/>
          <w:szCs w:val="24"/>
        </w:rPr>
        <w:t xml:space="preserve">k odlišnému vývoju do konca roka, a to </w:t>
      </w:r>
      <w:r w:rsidRPr="004C630F">
        <w:rPr>
          <w:rFonts w:ascii="Times New Roman" w:hAnsi="Times New Roman" w:cs="Times New Roman"/>
          <w:color w:val="000000"/>
          <w:sz w:val="24"/>
          <w:szCs w:val="24"/>
        </w:rPr>
        <w:t>naplnen</w:t>
      </w:r>
      <w:r>
        <w:rPr>
          <w:rFonts w:ascii="Times New Roman" w:hAnsi="Times New Roman" w:cs="Times New Roman"/>
          <w:color w:val="000000"/>
          <w:sz w:val="24"/>
          <w:szCs w:val="24"/>
        </w:rPr>
        <w:t>ím</w:t>
      </w:r>
      <w:r w:rsidRPr="004C630F">
        <w:rPr>
          <w:rFonts w:ascii="Times New Roman" w:hAnsi="Times New Roman" w:cs="Times New Roman"/>
          <w:color w:val="000000"/>
          <w:sz w:val="24"/>
          <w:szCs w:val="24"/>
        </w:rPr>
        <w:t xml:space="preserve"> niektorých pozitívnych</w:t>
      </w:r>
      <w:r>
        <w:rPr>
          <w:rFonts w:ascii="Times New Roman" w:hAnsi="Times New Roman" w:cs="Times New Roman"/>
          <w:color w:val="000000"/>
          <w:sz w:val="24"/>
          <w:szCs w:val="24"/>
        </w:rPr>
        <w:t xml:space="preserve">, resp. </w:t>
      </w:r>
      <w:r w:rsidRPr="004C630F">
        <w:rPr>
          <w:rFonts w:ascii="Times New Roman" w:hAnsi="Times New Roman" w:cs="Times New Roman"/>
          <w:color w:val="000000"/>
          <w:sz w:val="24"/>
          <w:szCs w:val="24"/>
        </w:rPr>
        <w:t>negatívnych rizík.</w:t>
      </w:r>
    </w:p>
    <w:p w:rsidR="00893F59" w:rsidRDefault="00893F59" w:rsidP="00893F59">
      <w:pPr>
        <w:spacing w:after="0" w:line="240" w:lineRule="auto"/>
        <w:jc w:val="both"/>
        <w:rPr>
          <w:rFonts w:ascii="Times New Roman" w:hAnsi="Times New Roman" w:cs="Times New Roman"/>
          <w:color w:val="000000"/>
          <w:sz w:val="24"/>
          <w:szCs w:val="24"/>
        </w:rPr>
      </w:pPr>
    </w:p>
    <w:p w:rsidR="00893F59" w:rsidRDefault="00893F59" w:rsidP="00893F59">
      <w:pPr>
        <w:spacing w:after="0" w:line="240" w:lineRule="auto"/>
        <w:jc w:val="both"/>
        <w:rPr>
          <w:rFonts w:ascii="Times New Roman" w:hAnsi="Times New Roman" w:cs="Times New Roman"/>
          <w:color w:val="000000"/>
          <w:sz w:val="24"/>
          <w:szCs w:val="24"/>
        </w:rPr>
      </w:pPr>
      <w:r w:rsidRPr="00456A55">
        <w:rPr>
          <w:rFonts w:ascii="Times New Roman" w:hAnsi="Times New Roman" w:cs="Times New Roman"/>
          <w:color w:val="000000"/>
          <w:sz w:val="24"/>
          <w:szCs w:val="24"/>
        </w:rPr>
        <w:t>V súčasnosti nie je možné predikovať vývoj pohľadávok a záväzkov jednotl</w:t>
      </w:r>
      <w:r>
        <w:rPr>
          <w:rFonts w:ascii="Times New Roman" w:hAnsi="Times New Roman" w:cs="Times New Roman"/>
          <w:color w:val="000000"/>
          <w:sz w:val="24"/>
          <w:szCs w:val="24"/>
        </w:rPr>
        <w:t>ivých subjektov verejnej správy</w:t>
      </w:r>
      <w:r w:rsidRPr="00456A55">
        <w:rPr>
          <w:rFonts w:ascii="Times New Roman" w:hAnsi="Times New Roman" w:cs="Times New Roman"/>
          <w:color w:val="000000"/>
          <w:sz w:val="24"/>
          <w:szCs w:val="24"/>
        </w:rPr>
        <w:t>. To je možné až po skončení roka na základe predložených finančných výkazov.</w:t>
      </w:r>
    </w:p>
    <w:p w:rsidR="00763864" w:rsidRDefault="00763864" w:rsidP="00893F59">
      <w:pPr>
        <w:spacing w:after="0" w:line="240" w:lineRule="auto"/>
        <w:jc w:val="both"/>
        <w:rPr>
          <w:rFonts w:ascii="Times New Roman" w:hAnsi="Times New Roman" w:cs="Times New Roman"/>
          <w:color w:val="000000"/>
          <w:sz w:val="24"/>
          <w:szCs w:val="24"/>
        </w:rPr>
      </w:pPr>
    </w:p>
    <w:p w:rsidR="00893F59" w:rsidRDefault="00893F59" w:rsidP="00893F59">
      <w:pPr>
        <w:spacing w:after="0" w:line="240" w:lineRule="auto"/>
        <w:jc w:val="both"/>
        <w:rPr>
          <w:rFonts w:ascii="Times New Roman" w:hAnsi="Times New Roman" w:cs="Times New Roman"/>
          <w:i/>
          <w:color w:val="5B9BD5" w:themeColor="accent1"/>
          <w:sz w:val="24"/>
          <w:szCs w:val="24"/>
        </w:rPr>
      </w:pPr>
    </w:p>
    <w:p w:rsidR="00893F59" w:rsidRDefault="00893F59" w:rsidP="00893F59">
      <w:pPr>
        <w:spacing w:after="0" w:line="240" w:lineRule="auto"/>
        <w:jc w:val="both"/>
        <w:rPr>
          <w:rFonts w:ascii="Times New Roman" w:hAnsi="Times New Roman" w:cs="Times New Roman"/>
          <w:i/>
          <w:color w:val="5B9BD5" w:themeColor="accent1"/>
          <w:sz w:val="24"/>
          <w:szCs w:val="24"/>
        </w:rPr>
      </w:pPr>
      <w:r w:rsidRPr="00456A55">
        <w:rPr>
          <w:rFonts w:ascii="Times New Roman" w:hAnsi="Times New Roman" w:cs="Times New Roman"/>
          <w:i/>
          <w:color w:val="5B9BD5" w:themeColor="accent1"/>
          <w:sz w:val="24"/>
          <w:szCs w:val="24"/>
        </w:rPr>
        <w:t>Pozitívne riziká</w:t>
      </w:r>
    </w:p>
    <w:p w:rsidR="00893F59" w:rsidRPr="00456A55" w:rsidRDefault="00893F59" w:rsidP="00893F59">
      <w:pPr>
        <w:spacing w:after="0" w:line="240" w:lineRule="auto"/>
        <w:jc w:val="both"/>
        <w:rPr>
          <w:rFonts w:ascii="Times New Roman" w:hAnsi="Times New Roman" w:cs="Times New Roman"/>
          <w:i/>
          <w:color w:val="5B9BD5" w:themeColor="accent1"/>
          <w:sz w:val="24"/>
          <w:szCs w:val="24"/>
        </w:rPr>
      </w:pPr>
    </w:p>
    <w:p w:rsidR="00893F59" w:rsidRPr="00456A55" w:rsidRDefault="00893F59" w:rsidP="00893F59">
      <w:pPr>
        <w:spacing w:after="0" w:line="240" w:lineRule="auto"/>
        <w:jc w:val="both"/>
        <w:rPr>
          <w:rFonts w:ascii="Times New Roman" w:hAnsi="Times New Roman" w:cs="Times New Roman"/>
          <w:color w:val="000000"/>
          <w:sz w:val="24"/>
          <w:szCs w:val="24"/>
        </w:rPr>
      </w:pPr>
      <w:r w:rsidRPr="00456A55">
        <w:rPr>
          <w:rFonts w:ascii="Times New Roman" w:hAnsi="Times New Roman" w:cs="Times New Roman"/>
          <w:color w:val="000000"/>
          <w:sz w:val="24"/>
          <w:szCs w:val="24"/>
        </w:rPr>
        <w:t>Rozpočet na rok 2021 obsahoval investičnú rezervu vo výške 1 439 mil. eur. Do</w:t>
      </w:r>
      <w:r>
        <w:rPr>
          <w:rFonts w:ascii="Times New Roman" w:hAnsi="Times New Roman" w:cs="Times New Roman"/>
          <w:color w:val="000000"/>
          <w:sz w:val="24"/>
          <w:szCs w:val="24"/>
        </w:rPr>
        <w:t xml:space="preserve"> konca augusta 2021 </w:t>
      </w:r>
      <w:r w:rsidRPr="00456A55">
        <w:rPr>
          <w:rFonts w:ascii="Times New Roman" w:hAnsi="Times New Roman" w:cs="Times New Roman"/>
          <w:color w:val="000000"/>
          <w:sz w:val="24"/>
          <w:szCs w:val="24"/>
        </w:rPr>
        <w:t xml:space="preserve">bolo uvoľnených 900 mil. eur, zostatok tak predstavuje 539 mil. eur. </w:t>
      </w:r>
      <w:r>
        <w:rPr>
          <w:rFonts w:ascii="Times New Roman" w:hAnsi="Times New Roman" w:cs="Times New Roman"/>
          <w:color w:val="000000"/>
          <w:sz w:val="24"/>
          <w:szCs w:val="24"/>
        </w:rPr>
        <w:t>Ak by došlo k realizácii aktuálne predložených žiadostí</w:t>
      </w:r>
      <w:r w:rsidRPr="00456A55">
        <w:rPr>
          <w:rFonts w:ascii="Times New Roman" w:hAnsi="Times New Roman" w:cs="Times New Roman"/>
          <w:color w:val="000000"/>
          <w:sz w:val="24"/>
          <w:szCs w:val="24"/>
        </w:rPr>
        <w:t xml:space="preserve">, zostatok by predstavoval sumu 394 mil. eur. </w:t>
      </w:r>
    </w:p>
    <w:p w:rsidR="00893F59" w:rsidRPr="004C630F" w:rsidRDefault="00893F59" w:rsidP="00893F59">
      <w:pPr>
        <w:spacing w:after="0" w:line="240" w:lineRule="auto"/>
        <w:jc w:val="both"/>
        <w:rPr>
          <w:rFonts w:ascii="Times New Roman" w:hAnsi="Times New Roman" w:cs="Times New Roman"/>
          <w:color w:val="000000"/>
          <w:sz w:val="24"/>
          <w:szCs w:val="24"/>
        </w:rPr>
      </w:pPr>
    </w:p>
    <w:p w:rsidR="00893F59" w:rsidRDefault="00893F59" w:rsidP="00893F59">
      <w:pPr>
        <w:spacing w:after="0" w:line="240" w:lineRule="auto"/>
        <w:jc w:val="both"/>
        <w:rPr>
          <w:rFonts w:ascii="Times New Roman" w:hAnsi="Times New Roman" w:cs="Times New Roman"/>
          <w:i/>
          <w:color w:val="5B9BD5" w:themeColor="accent1"/>
          <w:sz w:val="24"/>
          <w:szCs w:val="24"/>
        </w:rPr>
      </w:pPr>
      <w:r w:rsidRPr="00456A55">
        <w:rPr>
          <w:rFonts w:ascii="Times New Roman" w:hAnsi="Times New Roman" w:cs="Times New Roman"/>
          <w:i/>
          <w:color w:val="5B9BD5" w:themeColor="accent1"/>
          <w:sz w:val="24"/>
          <w:szCs w:val="24"/>
        </w:rPr>
        <w:t>Negatívne riziká</w:t>
      </w:r>
    </w:p>
    <w:p w:rsidR="00893F59" w:rsidRPr="00456A55" w:rsidRDefault="00893F59" w:rsidP="00893F59">
      <w:pPr>
        <w:spacing w:after="0" w:line="240" w:lineRule="auto"/>
        <w:jc w:val="both"/>
        <w:rPr>
          <w:rFonts w:ascii="Times New Roman" w:hAnsi="Times New Roman" w:cs="Times New Roman"/>
          <w:i/>
          <w:color w:val="5B9BD5" w:themeColor="accent1"/>
          <w:sz w:val="24"/>
          <w:szCs w:val="24"/>
        </w:rPr>
      </w:pPr>
    </w:p>
    <w:p w:rsidR="00893F59" w:rsidRDefault="00893F59" w:rsidP="00893F5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Medzi negatívne riziká je možné zaradiť prípadné vyššie zlyhanie splátok úverov poskytnutých v rámci schém pomoci realizovanými prostredníctvom Slovenskej záručnej a rozvojovej banky, a. s., Slovak Investment Holding, a. s. a Eximbankou SR zameraných na udržanie zamestnanosti, prevádzky a likvidity podnikov. Aktuálne je v rámci výdavkov štátnych finančných aktív na rok 2021 odhadovaná realizácia záruk na úrovni 8,64 mil. eur.</w:t>
      </w:r>
    </w:p>
    <w:p w:rsidR="00A16F72" w:rsidRPr="003E65A6" w:rsidRDefault="00A16F72" w:rsidP="00BF1C14">
      <w:pPr>
        <w:spacing w:after="0" w:line="240" w:lineRule="auto"/>
        <w:jc w:val="both"/>
        <w:rPr>
          <w:rFonts w:ascii="Times New Roman" w:hAnsi="Times New Roman" w:cs="Times New Roman"/>
          <w:sz w:val="24"/>
          <w:szCs w:val="24"/>
        </w:rPr>
      </w:pPr>
    </w:p>
    <w:p w:rsidR="000C265D" w:rsidRPr="000C41B0" w:rsidRDefault="000C265D" w:rsidP="00BF1C14">
      <w:pPr>
        <w:pStyle w:val="Nadpis2"/>
        <w:tabs>
          <w:tab w:val="left" w:pos="426"/>
        </w:tabs>
        <w:spacing w:before="0" w:after="0"/>
        <w:rPr>
          <w:rFonts w:ascii="Times New Roman" w:hAnsi="Times New Roman"/>
          <w:b w:val="0"/>
          <w:i w:val="0"/>
          <w:color w:val="5B9BD5" w:themeColor="accent1"/>
          <w:sz w:val="24"/>
          <w:szCs w:val="24"/>
        </w:rPr>
      </w:pPr>
      <w:bookmarkStart w:id="39" w:name="_Toc53040756"/>
      <w:bookmarkStart w:id="40" w:name="_Toc84684745"/>
      <w:r w:rsidRPr="000C41B0">
        <w:rPr>
          <w:rFonts w:ascii="Times New Roman" w:hAnsi="Times New Roman"/>
          <w:i w:val="0"/>
          <w:color w:val="5B9BD5" w:themeColor="accent1"/>
          <w:sz w:val="24"/>
          <w:szCs w:val="24"/>
        </w:rPr>
        <w:t>2.2.</w:t>
      </w:r>
      <w:r w:rsidRPr="000C41B0">
        <w:rPr>
          <w:rFonts w:ascii="Times New Roman" w:hAnsi="Times New Roman"/>
          <w:i w:val="0"/>
          <w:color w:val="5B9BD5" w:themeColor="accent1"/>
          <w:sz w:val="24"/>
          <w:szCs w:val="24"/>
        </w:rPr>
        <w:tab/>
        <w:t>Rozpočtové ciele</w:t>
      </w:r>
      <w:bookmarkEnd w:id="39"/>
      <w:bookmarkEnd w:id="40"/>
    </w:p>
    <w:p w:rsidR="0022562D" w:rsidRDefault="0022562D" w:rsidP="0022562D">
      <w:pPr>
        <w:spacing w:after="0" w:line="240" w:lineRule="auto"/>
        <w:jc w:val="both"/>
        <w:rPr>
          <w:rFonts w:ascii="Times New Roman" w:hAnsi="Times New Roman" w:cs="Times New Roman"/>
          <w:sz w:val="24"/>
          <w:szCs w:val="24"/>
        </w:rPr>
      </w:pPr>
    </w:p>
    <w:p w:rsidR="001505F4" w:rsidRDefault="001505F4" w:rsidP="001505F4">
      <w:pPr>
        <w:spacing w:after="0" w:line="240" w:lineRule="auto"/>
        <w:jc w:val="both"/>
        <w:rPr>
          <w:rFonts w:ascii="Times New Roman" w:hAnsi="Times New Roman" w:cs="Times New Roman"/>
          <w:sz w:val="24"/>
          <w:szCs w:val="24"/>
        </w:rPr>
      </w:pPr>
      <w:r w:rsidRPr="004A1C37">
        <w:rPr>
          <w:rFonts w:ascii="Times New Roman" w:hAnsi="Times New Roman" w:cs="Times New Roman"/>
          <w:sz w:val="24"/>
          <w:szCs w:val="24"/>
        </w:rPr>
        <w:t>Rozpočet verejnej správy predpokladá pokles deficitu hospodárenia verejnej správy pod 3 % HDP od roku 2023.</w:t>
      </w:r>
      <w:r>
        <w:rPr>
          <w:rFonts w:ascii="Times New Roman" w:hAnsi="Times New Roman" w:cs="Times New Roman"/>
          <w:sz w:val="24"/>
          <w:szCs w:val="24"/>
        </w:rPr>
        <w:t xml:space="preserve"> </w:t>
      </w:r>
      <w:r w:rsidRPr="00B256C3">
        <w:rPr>
          <w:rFonts w:ascii="Times New Roman" w:hAnsi="Times New Roman" w:cs="Times New Roman"/>
          <w:sz w:val="24"/>
          <w:szCs w:val="24"/>
        </w:rPr>
        <w:t>Po postupnom odzn</w:t>
      </w:r>
      <w:r>
        <w:rPr>
          <w:rFonts w:ascii="Times New Roman" w:hAnsi="Times New Roman" w:cs="Times New Roman"/>
          <w:sz w:val="24"/>
          <w:szCs w:val="24"/>
        </w:rPr>
        <w:t>ievaní</w:t>
      </w:r>
      <w:r w:rsidRPr="00B256C3">
        <w:rPr>
          <w:rFonts w:ascii="Times New Roman" w:hAnsi="Times New Roman" w:cs="Times New Roman"/>
          <w:sz w:val="24"/>
          <w:szCs w:val="24"/>
        </w:rPr>
        <w:t xml:space="preserve"> proti-pandemických opatrení klesne deficit na 4,9 % HDP v roku 2022.</w:t>
      </w:r>
      <w:r>
        <w:rPr>
          <w:rFonts w:ascii="Times New Roman" w:hAnsi="Times New Roman" w:cs="Times New Roman"/>
          <w:sz w:val="24"/>
          <w:szCs w:val="24"/>
        </w:rPr>
        <w:t xml:space="preserve"> V roku 2023 by sa mali slovenské verejné financie dostať už mimo korektívnej časti Paktu stability a rastu, pri deficite na úrovni približne 2,7 % HDP. Aktuálne</w:t>
      </w:r>
      <w:r w:rsidR="009F5321">
        <w:rPr>
          <w:rFonts w:ascii="Times New Roman" w:hAnsi="Times New Roman" w:cs="Times New Roman"/>
          <w:sz w:val="24"/>
          <w:szCs w:val="24"/>
        </w:rPr>
        <w:t xml:space="preserve"> platná legislatíva vyžaduje na</w:t>
      </w:r>
      <w:r>
        <w:rPr>
          <w:rFonts w:ascii="Times New Roman" w:hAnsi="Times New Roman" w:cs="Times New Roman"/>
          <w:sz w:val="24"/>
          <w:szCs w:val="24"/>
        </w:rPr>
        <w:t xml:space="preserve"> rok 2024 už dosiahnutie nominálne vyrovnaného rozpočtu, vzhľadom na prognózovanú úroveň dlhu nad všetkými sankčnými pásmami ústavného zákona o rozpočtovej zodpovednosti.  </w:t>
      </w:r>
    </w:p>
    <w:p w:rsidR="00EE76B1" w:rsidRDefault="00EE76B1" w:rsidP="00EE76B1">
      <w:pPr>
        <w:spacing w:after="0" w:line="240" w:lineRule="auto"/>
        <w:jc w:val="both"/>
        <w:rPr>
          <w:rFonts w:ascii="Times New Roman" w:hAnsi="Times New Roman" w:cs="Times New Roman"/>
          <w:sz w:val="24"/>
          <w:szCs w:val="24"/>
        </w:rPr>
      </w:pPr>
    </w:p>
    <w:p w:rsidR="00EE76B1" w:rsidRDefault="00EE76B1" w:rsidP="00B932F5">
      <w:pPr>
        <w:spacing w:after="0" w:line="240" w:lineRule="auto"/>
        <w:rPr>
          <w:rFonts w:ascii="Times New Roman" w:hAnsi="Times New Roman" w:cs="Times New Roman"/>
          <w:b/>
          <w:color w:val="5B9BD5" w:themeColor="accent1"/>
          <w:sz w:val="20"/>
          <w:szCs w:val="20"/>
        </w:rPr>
      </w:pPr>
      <w:bookmarkStart w:id="41" w:name="_Toc53080954"/>
      <w:bookmarkStart w:id="42" w:name="_Toc53086341"/>
      <w:bookmarkStart w:id="43" w:name="_Toc84845236"/>
      <w:r w:rsidRPr="00BB2CE5">
        <w:rPr>
          <w:rFonts w:ascii="Times New Roman" w:hAnsi="Times New Roman" w:cs="Times New Roman"/>
          <w:b/>
          <w:color w:val="5B9BD5" w:themeColor="accent1"/>
          <w:sz w:val="20"/>
          <w:szCs w:val="20"/>
        </w:rPr>
        <w:t xml:space="preserve">Tabuľka </w:t>
      </w:r>
      <w:r w:rsidRPr="00BB2CE5">
        <w:rPr>
          <w:rFonts w:ascii="Times New Roman" w:hAnsi="Times New Roman" w:cs="Times New Roman"/>
          <w:b/>
          <w:color w:val="5B9BD5" w:themeColor="accent1"/>
          <w:sz w:val="20"/>
          <w:szCs w:val="20"/>
        </w:rPr>
        <w:fldChar w:fldCharType="begin"/>
      </w:r>
      <w:r w:rsidRPr="00BB2CE5">
        <w:rPr>
          <w:rFonts w:ascii="Times New Roman" w:hAnsi="Times New Roman" w:cs="Times New Roman"/>
          <w:b/>
          <w:color w:val="5B9BD5" w:themeColor="accent1"/>
          <w:sz w:val="20"/>
          <w:szCs w:val="20"/>
        </w:rPr>
        <w:instrText xml:space="preserve"> SEQ Tabuľka \* ARABIC </w:instrText>
      </w:r>
      <w:r w:rsidRPr="00BB2CE5">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12</w:t>
      </w:r>
      <w:r w:rsidRPr="00BB2CE5">
        <w:rPr>
          <w:rFonts w:ascii="Times New Roman" w:hAnsi="Times New Roman" w:cs="Times New Roman"/>
          <w:b/>
          <w:color w:val="5B9BD5" w:themeColor="accent1"/>
          <w:sz w:val="20"/>
          <w:szCs w:val="20"/>
        </w:rPr>
        <w:fldChar w:fldCharType="end"/>
      </w:r>
      <w:r>
        <w:rPr>
          <w:rFonts w:ascii="Times New Roman" w:hAnsi="Times New Roman" w:cs="Times New Roman"/>
          <w:b/>
          <w:color w:val="5B9BD5" w:themeColor="accent1"/>
          <w:sz w:val="20"/>
          <w:szCs w:val="20"/>
        </w:rPr>
        <w:t xml:space="preserve"> - </w:t>
      </w:r>
      <w:r w:rsidRPr="00BB2CE5">
        <w:rPr>
          <w:rFonts w:ascii="Times New Roman" w:hAnsi="Times New Roman" w:cs="Times New Roman"/>
          <w:b/>
          <w:color w:val="5B9BD5" w:themeColor="accent1"/>
          <w:sz w:val="20"/>
          <w:szCs w:val="20"/>
        </w:rPr>
        <w:t>Rozpočtové ciele</w:t>
      </w:r>
      <w:bookmarkEnd w:id="41"/>
      <w:bookmarkEnd w:id="42"/>
      <w:bookmarkEnd w:id="43"/>
    </w:p>
    <w:tbl>
      <w:tblPr>
        <w:tblW w:w="9043" w:type="dxa"/>
        <w:tblCellMar>
          <w:left w:w="70" w:type="dxa"/>
          <w:right w:w="70" w:type="dxa"/>
        </w:tblCellMar>
        <w:tblLook w:val="04A0" w:firstRow="1" w:lastRow="0" w:firstColumn="1" w:lastColumn="0" w:noHBand="0" w:noVBand="1"/>
      </w:tblPr>
      <w:tblGrid>
        <w:gridCol w:w="2967"/>
        <w:gridCol w:w="868"/>
        <w:gridCol w:w="868"/>
        <w:gridCol w:w="868"/>
        <w:gridCol w:w="868"/>
        <w:gridCol w:w="868"/>
        <w:gridCol w:w="868"/>
        <w:gridCol w:w="868"/>
      </w:tblGrid>
      <w:tr w:rsidR="001505F4" w:rsidRPr="00B256C3" w:rsidTr="00011315">
        <w:trPr>
          <w:trHeight w:val="307"/>
        </w:trPr>
        <w:tc>
          <w:tcPr>
            <w:tcW w:w="2967"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(v % HDP)</w:t>
            </w:r>
          </w:p>
        </w:tc>
        <w:tc>
          <w:tcPr>
            <w:tcW w:w="868"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2019 S</w:t>
            </w:r>
          </w:p>
        </w:tc>
        <w:tc>
          <w:tcPr>
            <w:tcW w:w="868"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2020 S</w:t>
            </w:r>
          </w:p>
        </w:tc>
        <w:tc>
          <w:tcPr>
            <w:tcW w:w="868"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2021 R</w:t>
            </w:r>
          </w:p>
        </w:tc>
        <w:tc>
          <w:tcPr>
            <w:tcW w:w="868"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2021 OS</w:t>
            </w:r>
          </w:p>
        </w:tc>
        <w:tc>
          <w:tcPr>
            <w:tcW w:w="868"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2022 N</w:t>
            </w:r>
          </w:p>
        </w:tc>
        <w:tc>
          <w:tcPr>
            <w:tcW w:w="868" w:type="dxa"/>
            <w:tcBorders>
              <w:top w:val="single" w:sz="8" w:space="0" w:color="auto"/>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2023 N</w:t>
            </w:r>
          </w:p>
        </w:tc>
        <w:tc>
          <w:tcPr>
            <w:tcW w:w="868" w:type="dxa"/>
            <w:tcBorders>
              <w:top w:val="single" w:sz="8" w:space="0" w:color="auto"/>
              <w:left w:val="nil"/>
              <w:bottom w:val="single" w:sz="8" w:space="0" w:color="auto"/>
              <w:right w:val="nil"/>
            </w:tcBorders>
            <w:shd w:val="clear" w:color="auto" w:fill="auto"/>
            <w:vAlign w:val="center"/>
            <w:hideMark/>
          </w:tcPr>
          <w:p w:rsidR="001505F4" w:rsidRPr="00B256C3" w:rsidRDefault="001505F4" w:rsidP="00B932F5">
            <w:pPr>
              <w:spacing w:after="0" w:line="240" w:lineRule="auto"/>
              <w:jc w:val="center"/>
              <w:rPr>
                <w:rFonts w:ascii="Times New Roman" w:eastAsia="Times New Roman" w:hAnsi="Times New Roman" w:cs="Times New Roman"/>
                <w:b/>
                <w:bCs/>
                <w:color w:val="000000"/>
                <w:sz w:val="16"/>
                <w:szCs w:val="16"/>
                <w:lang w:eastAsia="sk-SK"/>
              </w:rPr>
            </w:pPr>
            <w:r w:rsidRPr="00B256C3">
              <w:rPr>
                <w:rFonts w:ascii="Times New Roman" w:eastAsia="Times New Roman" w:hAnsi="Times New Roman" w:cs="Times New Roman"/>
                <w:b/>
                <w:bCs/>
                <w:color w:val="000000"/>
                <w:sz w:val="16"/>
                <w:szCs w:val="16"/>
                <w:lang w:eastAsia="sk-SK"/>
              </w:rPr>
              <w:t>2024 N</w:t>
            </w:r>
          </w:p>
        </w:tc>
      </w:tr>
      <w:tr w:rsidR="001505F4" w:rsidRPr="00B256C3" w:rsidTr="00011315">
        <w:trPr>
          <w:trHeight w:val="292"/>
        </w:trPr>
        <w:tc>
          <w:tcPr>
            <w:tcW w:w="2967"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Ciele pre schodok rozpočtu verejnej správy</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0</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-0,49</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-7,41</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-7,41</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-4,94</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-2,68</w:t>
            </w:r>
          </w:p>
        </w:tc>
        <w:tc>
          <w:tcPr>
            <w:tcW w:w="868" w:type="dxa"/>
            <w:tcBorders>
              <w:top w:val="nil"/>
              <w:left w:val="nil"/>
              <w:bottom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0,00</w:t>
            </w:r>
          </w:p>
        </w:tc>
      </w:tr>
      <w:tr w:rsidR="001505F4" w:rsidRPr="00B256C3" w:rsidTr="00011315">
        <w:trPr>
          <w:trHeight w:val="292"/>
        </w:trPr>
        <w:tc>
          <w:tcPr>
            <w:tcW w:w="2967"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Návrh rozpočtu verejnej správy</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-1,33</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-6,16</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-7,41</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-7,92</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-4,94</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-3,39</w:t>
            </w:r>
          </w:p>
        </w:tc>
        <w:tc>
          <w:tcPr>
            <w:tcW w:w="868" w:type="dxa"/>
            <w:tcBorders>
              <w:top w:val="nil"/>
              <w:left w:val="nil"/>
              <w:bottom w:val="single" w:sz="4"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-3,26</w:t>
            </w:r>
          </w:p>
        </w:tc>
      </w:tr>
      <w:tr w:rsidR="001505F4" w:rsidRPr="00B256C3" w:rsidTr="00011315">
        <w:trPr>
          <w:trHeight w:val="292"/>
        </w:trPr>
        <w:tc>
          <w:tcPr>
            <w:tcW w:w="2967"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w:t>
            </w:r>
            <w:r w:rsidRPr="00B256C3">
              <w:rPr>
                <w:rFonts w:ascii="Times New Roman" w:eastAsia="Times New Roman" w:hAnsi="Times New Roman" w:cs="Times New Roman"/>
                <w:color w:val="000000"/>
                <w:sz w:val="16"/>
                <w:szCs w:val="16"/>
                <w:lang w:eastAsia="sk-SK"/>
              </w:rPr>
              <w:t>Rozdiel</w:t>
            </w:r>
            <w:r>
              <w:rPr>
                <w:rFonts w:ascii="Times New Roman" w:eastAsia="Times New Roman" w:hAnsi="Times New Roman" w:cs="Times New Roman"/>
                <w:color w:val="000000"/>
                <w:sz w:val="16"/>
                <w:szCs w:val="16"/>
                <w:lang w:eastAsia="sk-SK"/>
              </w:rPr>
              <w:t xml:space="preserve"> v p.</w:t>
            </w:r>
            <w:r w:rsidR="00011315">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b.</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-1,33</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-5,67</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0,00</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-0,51</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0,00</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-0,71</w:t>
            </w:r>
          </w:p>
        </w:tc>
        <w:tc>
          <w:tcPr>
            <w:tcW w:w="868" w:type="dxa"/>
            <w:tcBorders>
              <w:top w:val="single" w:sz="4" w:space="0" w:color="auto"/>
              <w:left w:val="nil"/>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-3,26</w:t>
            </w:r>
          </w:p>
        </w:tc>
      </w:tr>
      <w:tr w:rsidR="001505F4" w:rsidRPr="00B256C3" w:rsidTr="00011315">
        <w:trPr>
          <w:trHeight w:val="292"/>
        </w:trPr>
        <w:tc>
          <w:tcPr>
            <w:tcW w:w="2967"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w:t>
            </w:r>
            <w:r w:rsidRPr="00B256C3">
              <w:rPr>
                <w:rFonts w:ascii="Times New Roman" w:eastAsia="Times New Roman" w:hAnsi="Times New Roman" w:cs="Times New Roman"/>
                <w:color w:val="000000"/>
                <w:sz w:val="16"/>
                <w:szCs w:val="16"/>
                <w:lang w:eastAsia="sk-SK"/>
              </w:rPr>
              <w:t>Rozdiel v mil. eur</w:t>
            </w:r>
          </w:p>
        </w:tc>
        <w:tc>
          <w:tcPr>
            <w:tcW w:w="868"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-1 2</w:t>
            </w:r>
            <w:r>
              <w:rPr>
                <w:rFonts w:ascii="Times New Roman" w:eastAsia="Times New Roman" w:hAnsi="Times New Roman" w:cs="Times New Roman"/>
                <w:color w:val="000000"/>
                <w:sz w:val="16"/>
                <w:szCs w:val="16"/>
                <w:lang w:eastAsia="sk-SK"/>
              </w:rPr>
              <w:t>49</w:t>
            </w:r>
          </w:p>
        </w:tc>
        <w:tc>
          <w:tcPr>
            <w:tcW w:w="868"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5 129</w:t>
            </w:r>
          </w:p>
        </w:tc>
        <w:tc>
          <w:tcPr>
            <w:tcW w:w="868" w:type="dxa"/>
            <w:tcBorders>
              <w:left w:val="nil"/>
              <w:bottom w:val="single" w:sz="8" w:space="0" w:color="auto"/>
              <w:right w:val="nil"/>
            </w:tcBorders>
            <w:shd w:val="clear" w:color="auto" w:fill="auto"/>
            <w:noWrap/>
            <w:vAlign w:val="center"/>
            <w:hideMark/>
          </w:tcPr>
          <w:p w:rsidR="001505F4" w:rsidRPr="00B256C3" w:rsidRDefault="00701033"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w:t>
            </w:r>
          </w:p>
        </w:tc>
        <w:tc>
          <w:tcPr>
            <w:tcW w:w="868"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-628</w:t>
            </w:r>
          </w:p>
        </w:tc>
        <w:tc>
          <w:tcPr>
            <w:tcW w:w="868"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0</w:t>
            </w:r>
          </w:p>
        </w:tc>
        <w:tc>
          <w:tcPr>
            <w:tcW w:w="868"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-812</w:t>
            </w:r>
          </w:p>
        </w:tc>
        <w:tc>
          <w:tcPr>
            <w:tcW w:w="868" w:type="dxa"/>
            <w:tcBorders>
              <w:left w:val="nil"/>
              <w:bottom w:val="single" w:sz="8" w:space="0" w:color="auto"/>
              <w:right w:val="nil"/>
            </w:tcBorders>
            <w:shd w:val="clear" w:color="auto" w:fill="auto"/>
            <w:noWrap/>
            <w:vAlign w:val="center"/>
            <w:hideMark/>
          </w:tcPr>
          <w:p w:rsidR="001505F4" w:rsidRPr="00B256C3" w:rsidRDefault="001505F4" w:rsidP="00B932F5">
            <w:pPr>
              <w:spacing w:after="0" w:line="240" w:lineRule="auto"/>
              <w:jc w:val="center"/>
              <w:rPr>
                <w:rFonts w:ascii="Times New Roman" w:eastAsia="Times New Roman" w:hAnsi="Times New Roman" w:cs="Times New Roman"/>
                <w:color w:val="000000"/>
                <w:sz w:val="16"/>
                <w:szCs w:val="16"/>
                <w:lang w:eastAsia="sk-SK"/>
              </w:rPr>
            </w:pPr>
            <w:r w:rsidRPr="00B256C3">
              <w:rPr>
                <w:rFonts w:ascii="Times New Roman" w:eastAsia="Times New Roman" w:hAnsi="Times New Roman" w:cs="Times New Roman"/>
                <w:color w:val="000000"/>
                <w:sz w:val="16"/>
                <w:szCs w:val="16"/>
                <w:lang w:eastAsia="sk-SK"/>
              </w:rPr>
              <w:t>-3 815</w:t>
            </w:r>
          </w:p>
        </w:tc>
      </w:tr>
    </w:tbl>
    <w:p w:rsidR="00763864" w:rsidRDefault="001505F4" w:rsidP="00763864">
      <w:pPr>
        <w:spacing w:after="0" w:line="240" w:lineRule="auto"/>
        <w:rPr>
          <w:rFonts w:ascii="Times New Roman" w:hAnsi="Times New Roman" w:cs="Times New Roman"/>
          <w:b/>
          <w:color w:val="5B9BD5" w:themeColor="accent1"/>
          <w:sz w:val="20"/>
          <w:szCs w:val="20"/>
        </w:rPr>
      </w:pPr>
      <w:r>
        <w:rPr>
          <w:rFonts w:ascii="Times New Roman" w:hAnsi="Times New Roman" w:cs="Times New Roman"/>
          <w:i/>
          <w:sz w:val="14"/>
          <w:szCs w:val="14"/>
        </w:rPr>
        <w:t xml:space="preserve">                                                                                                                                                                                                                                         </w:t>
      </w:r>
      <w:r w:rsidRPr="000650EC">
        <w:rPr>
          <w:rFonts w:ascii="Times New Roman" w:hAnsi="Times New Roman" w:cs="Times New Roman"/>
          <w:i/>
          <w:sz w:val="14"/>
          <w:szCs w:val="14"/>
        </w:rPr>
        <w:t>Zdroj: MF SR</w:t>
      </w:r>
    </w:p>
    <w:p w:rsidR="00EE76B1" w:rsidRPr="00763864" w:rsidRDefault="00B932F5" w:rsidP="00763864">
      <w:pPr>
        <w:spacing w:after="0" w:line="240" w:lineRule="auto"/>
        <w:rPr>
          <w:rFonts w:ascii="Times New Roman" w:hAnsi="Times New Roman" w:cs="Times New Roman"/>
          <w:b/>
          <w:color w:val="5B9BD5" w:themeColor="accent1"/>
          <w:sz w:val="20"/>
          <w:szCs w:val="20"/>
        </w:rPr>
      </w:pPr>
      <w:r>
        <w:rPr>
          <w:rFonts w:ascii="Times New Roman" w:hAnsi="Times New Roman" w:cs="Times New Roman"/>
          <w:i/>
          <w:sz w:val="14"/>
          <w:szCs w:val="14"/>
        </w:rPr>
        <w:t xml:space="preserve"> </w:t>
      </w:r>
    </w:p>
    <w:p w:rsidR="001505F4" w:rsidRDefault="001505F4" w:rsidP="00B932F5">
      <w:pPr>
        <w:spacing w:after="0" w:line="240" w:lineRule="auto"/>
        <w:jc w:val="both"/>
        <w:rPr>
          <w:rFonts w:ascii="Times New Roman" w:hAnsi="Times New Roman" w:cs="Times New Roman"/>
          <w:sz w:val="24"/>
          <w:szCs w:val="24"/>
        </w:rPr>
      </w:pPr>
      <w:r w:rsidRPr="004A1C37">
        <w:rPr>
          <w:rFonts w:ascii="Times New Roman" w:hAnsi="Times New Roman" w:cs="Times New Roman"/>
          <w:sz w:val="24"/>
          <w:szCs w:val="24"/>
        </w:rPr>
        <w:t>Prognóza hrubého verejného dlhu predpokladá, že dosiahne takú výšku dlhu, pri ktorej by mali byť v zmysle ústavného zákona č. 493/2011 Z. z. o rozpočtovej zodpovednosti automaticky spustené opatrenia na jeho zníženie.</w:t>
      </w:r>
      <w:r w:rsidRPr="00EC3CE0">
        <w:rPr>
          <w:rFonts w:ascii="Times New Roman" w:hAnsi="Times New Roman" w:cs="Times New Roman"/>
          <w:sz w:val="24"/>
          <w:szCs w:val="24"/>
        </w:rPr>
        <w:t xml:space="preserve"> Na obdobie 24 mesiacov, od mesiaca v ktorom bolo schválené programové vyhlásenie vlády, sa však neuplatňuje viacero opatrení na zníženie dlhu definovaných </w:t>
      </w:r>
      <w:r>
        <w:rPr>
          <w:rFonts w:ascii="Times New Roman" w:hAnsi="Times New Roman" w:cs="Times New Roman"/>
          <w:sz w:val="24"/>
          <w:szCs w:val="24"/>
        </w:rPr>
        <w:t xml:space="preserve">vyššie uvedeným </w:t>
      </w:r>
      <w:r w:rsidRPr="00EC3CE0">
        <w:rPr>
          <w:rFonts w:ascii="Times New Roman" w:hAnsi="Times New Roman" w:cs="Times New Roman"/>
          <w:sz w:val="24"/>
          <w:szCs w:val="24"/>
        </w:rPr>
        <w:t>ústavným zákonom. Výnimka z uplatňovania opatrení na zníženie dlhu uplynie v máji v roku 202</w:t>
      </w:r>
      <w:r>
        <w:rPr>
          <w:rFonts w:ascii="Times New Roman" w:hAnsi="Times New Roman" w:cs="Times New Roman"/>
          <w:sz w:val="24"/>
          <w:szCs w:val="24"/>
        </w:rPr>
        <w:t>3</w:t>
      </w:r>
      <w:r w:rsidRPr="00EC3CE0">
        <w:rPr>
          <w:rFonts w:ascii="Times New Roman" w:hAnsi="Times New Roman" w:cs="Times New Roman"/>
          <w:sz w:val="24"/>
          <w:szCs w:val="24"/>
        </w:rPr>
        <w:t>. Vzhľadom na výšku prognózovaného hrubého verejného dlhu vláda nesmie po uplynutí tohto obdobia predložiť národnej rade návrh rozpočtu verejnej správy so schodkom v roku 202</w:t>
      </w:r>
      <w:r>
        <w:rPr>
          <w:rFonts w:ascii="Times New Roman" w:hAnsi="Times New Roman" w:cs="Times New Roman"/>
          <w:sz w:val="24"/>
          <w:szCs w:val="24"/>
        </w:rPr>
        <w:t>4</w:t>
      </w:r>
      <w:r w:rsidRPr="00EC3CE0">
        <w:rPr>
          <w:rFonts w:ascii="Times New Roman" w:hAnsi="Times New Roman" w:cs="Times New Roman"/>
          <w:sz w:val="24"/>
          <w:szCs w:val="24"/>
        </w:rPr>
        <w:t>. Rozpočtovým cieľom na rok 202</w:t>
      </w:r>
      <w:r>
        <w:rPr>
          <w:rFonts w:ascii="Times New Roman" w:hAnsi="Times New Roman" w:cs="Times New Roman"/>
          <w:sz w:val="24"/>
          <w:szCs w:val="24"/>
        </w:rPr>
        <w:t>4</w:t>
      </w:r>
      <w:r w:rsidRPr="00EC3CE0">
        <w:rPr>
          <w:rFonts w:ascii="Times New Roman" w:hAnsi="Times New Roman" w:cs="Times New Roman"/>
          <w:sz w:val="24"/>
          <w:szCs w:val="24"/>
        </w:rPr>
        <w:t xml:space="preserve"> sa tak v súčasných podmienkach automaticky stáva vyrovnaný rozpočet</w:t>
      </w:r>
      <w:r>
        <w:rPr>
          <w:rFonts w:ascii="Times New Roman" w:hAnsi="Times New Roman" w:cs="Times New Roman"/>
          <w:sz w:val="24"/>
          <w:szCs w:val="24"/>
        </w:rPr>
        <w:t>.</w:t>
      </w:r>
    </w:p>
    <w:p w:rsidR="00137C90" w:rsidRDefault="00137C90" w:rsidP="0022562D">
      <w:pPr>
        <w:spacing w:after="0" w:line="240" w:lineRule="auto"/>
        <w:jc w:val="both"/>
        <w:rPr>
          <w:rFonts w:ascii="Times New Roman" w:hAnsi="Times New Roman" w:cs="Times New Roman"/>
          <w:sz w:val="24"/>
          <w:szCs w:val="24"/>
        </w:rPr>
      </w:pPr>
    </w:p>
    <w:p w:rsidR="000C265D" w:rsidRDefault="000C265D" w:rsidP="00390E43">
      <w:pPr>
        <w:pStyle w:val="Nadpis2"/>
        <w:spacing w:before="0" w:after="0"/>
        <w:rPr>
          <w:rFonts w:ascii="Times New Roman" w:hAnsi="Times New Roman"/>
          <w:i w:val="0"/>
          <w:color w:val="5B9BD5" w:themeColor="accent1"/>
          <w:sz w:val="24"/>
          <w:szCs w:val="24"/>
        </w:rPr>
      </w:pPr>
      <w:bookmarkStart w:id="44" w:name="_Toc53040757"/>
      <w:bookmarkStart w:id="45" w:name="_Toc84684746"/>
      <w:r>
        <w:rPr>
          <w:rFonts w:ascii="Times New Roman" w:hAnsi="Times New Roman"/>
          <w:i w:val="0"/>
          <w:color w:val="5B9BD5" w:themeColor="accent1"/>
          <w:sz w:val="24"/>
          <w:szCs w:val="24"/>
        </w:rPr>
        <w:t xml:space="preserve">2.3. </w:t>
      </w:r>
      <w:r w:rsidRPr="000C41B0">
        <w:rPr>
          <w:rFonts w:ascii="Times New Roman" w:hAnsi="Times New Roman"/>
          <w:i w:val="0"/>
          <w:color w:val="5B9BD5" w:themeColor="accent1"/>
          <w:sz w:val="24"/>
          <w:szCs w:val="24"/>
        </w:rPr>
        <w:t>Hrubý dlh</w:t>
      </w:r>
      <w:bookmarkEnd w:id="44"/>
      <w:bookmarkEnd w:id="45"/>
    </w:p>
    <w:p w:rsidR="00390E43" w:rsidRPr="00390E43" w:rsidRDefault="00390E43" w:rsidP="00390E43">
      <w:pPr>
        <w:spacing w:after="0"/>
        <w:rPr>
          <w:lang w:eastAsia="cs-CZ"/>
        </w:rPr>
      </w:pPr>
    </w:p>
    <w:p w:rsidR="00EE76B1" w:rsidRDefault="00EE76B1" w:rsidP="00F54D87">
      <w:pPr>
        <w:spacing w:after="0"/>
        <w:jc w:val="both"/>
        <w:rPr>
          <w:rFonts w:ascii="Times New Roman" w:hAnsi="Times New Roman" w:cs="Times New Roman"/>
          <w:sz w:val="24"/>
          <w:szCs w:val="24"/>
        </w:rPr>
      </w:pPr>
      <w:r w:rsidRPr="00EE76B1">
        <w:rPr>
          <w:rFonts w:ascii="Times New Roman" w:hAnsi="Times New Roman" w:cs="Times New Roman"/>
          <w:b/>
          <w:sz w:val="24"/>
          <w:szCs w:val="24"/>
        </w:rPr>
        <w:t>Hrubý dlh verejnej správy dosiahol v roku 2020 výšku 59,7 %</w:t>
      </w:r>
      <w:r w:rsidRPr="00EE76B1">
        <w:rPr>
          <w:rFonts w:ascii="Times New Roman" w:hAnsi="Times New Roman" w:cs="Times New Roman"/>
          <w:sz w:val="24"/>
          <w:szCs w:val="24"/>
          <w:vertAlign w:val="superscript"/>
        </w:rPr>
        <w:footnoteReference w:id="17"/>
      </w:r>
      <w:r w:rsidRPr="00EE76B1">
        <w:rPr>
          <w:rFonts w:ascii="Times New Roman" w:hAnsi="Times New Roman" w:cs="Times New Roman"/>
          <w:b/>
          <w:sz w:val="24"/>
          <w:szCs w:val="24"/>
        </w:rPr>
        <w:t xml:space="preserve"> HDP. </w:t>
      </w:r>
      <w:r w:rsidRPr="00EE76B1">
        <w:rPr>
          <w:rFonts w:ascii="Times New Roman" w:hAnsi="Times New Roman" w:cs="Times New Roman"/>
          <w:sz w:val="24"/>
          <w:szCs w:val="24"/>
        </w:rPr>
        <w:t>Zadlženie Slovenska v minulom roku nepresiahlo maastrichtskú hranicu 60 % HDP, ale dlh dosiahol historicky najvyššiu úroveň a presiahol aj posledné 5. sankčné pásmo dlhovej brzdy</w:t>
      </w:r>
      <w:r w:rsidRPr="00EE76B1">
        <w:rPr>
          <w:rFonts w:ascii="Times New Roman" w:hAnsi="Times New Roman" w:cs="Times New Roman"/>
          <w:sz w:val="24"/>
          <w:szCs w:val="24"/>
          <w:vertAlign w:val="superscript"/>
        </w:rPr>
        <w:footnoteReference w:id="18"/>
      </w:r>
      <w:r w:rsidRPr="00EE76B1">
        <w:rPr>
          <w:rFonts w:ascii="Times New Roman" w:hAnsi="Times New Roman" w:cs="Times New Roman"/>
          <w:sz w:val="24"/>
          <w:szCs w:val="24"/>
        </w:rPr>
        <w:t>. V porovnaní s odhadom v Programe stability (PS) je dlh revidovaný smerom nadol o 0,8 p.</w:t>
      </w:r>
      <w:r>
        <w:rPr>
          <w:rFonts w:ascii="Times New Roman" w:hAnsi="Times New Roman" w:cs="Times New Roman"/>
          <w:sz w:val="24"/>
          <w:szCs w:val="24"/>
        </w:rPr>
        <w:t xml:space="preserve"> </w:t>
      </w:r>
      <w:r w:rsidRPr="00EE76B1">
        <w:rPr>
          <w:rFonts w:ascii="Times New Roman" w:hAnsi="Times New Roman" w:cs="Times New Roman"/>
          <w:sz w:val="24"/>
          <w:szCs w:val="24"/>
        </w:rPr>
        <w:t>b. HDP. Hlavnými dôvodmi revízie je aktualizácia HDP (0,6 p.</w:t>
      </w:r>
      <w:r>
        <w:rPr>
          <w:rFonts w:ascii="Times New Roman" w:hAnsi="Times New Roman" w:cs="Times New Roman"/>
          <w:sz w:val="24"/>
          <w:szCs w:val="24"/>
        </w:rPr>
        <w:t xml:space="preserve"> </w:t>
      </w:r>
      <w:r w:rsidRPr="00EE76B1">
        <w:rPr>
          <w:rFonts w:ascii="Times New Roman" w:hAnsi="Times New Roman" w:cs="Times New Roman"/>
          <w:sz w:val="24"/>
          <w:szCs w:val="24"/>
        </w:rPr>
        <w:t>b.) a zníženie nominálneho dlhu o 0,2 p.</w:t>
      </w:r>
      <w:r>
        <w:rPr>
          <w:rFonts w:ascii="Times New Roman" w:hAnsi="Times New Roman" w:cs="Times New Roman"/>
          <w:sz w:val="24"/>
          <w:szCs w:val="24"/>
        </w:rPr>
        <w:t xml:space="preserve"> </w:t>
      </w:r>
      <w:r w:rsidRPr="00EE76B1">
        <w:rPr>
          <w:rFonts w:ascii="Times New Roman" w:hAnsi="Times New Roman" w:cs="Times New Roman"/>
          <w:sz w:val="24"/>
          <w:szCs w:val="24"/>
        </w:rPr>
        <w:t>b. z dôvodu vyňatia záruky za Kubu z dlhu SR.</w:t>
      </w:r>
    </w:p>
    <w:p w:rsidR="00F54D87" w:rsidRPr="00EE76B1" w:rsidRDefault="00F54D87" w:rsidP="00F54D87">
      <w:pPr>
        <w:spacing w:after="0"/>
        <w:jc w:val="both"/>
        <w:rPr>
          <w:rFonts w:ascii="Times New Roman" w:hAnsi="Times New Roman" w:cs="Times New Roman"/>
          <w:sz w:val="24"/>
          <w:szCs w:val="24"/>
        </w:rPr>
      </w:pPr>
    </w:p>
    <w:p w:rsidR="00EE76B1" w:rsidRDefault="00EE76B1" w:rsidP="00F54D87">
      <w:pPr>
        <w:spacing w:after="0"/>
        <w:jc w:val="both"/>
        <w:rPr>
          <w:rFonts w:ascii="Times New Roman" w:hAnsi="Times New Roman" w:cs="Times New Roman"/>
          <w:sz w:val="24"/>
          <w:szCs w:val="24"/>
        </w:rPr>
      </w:pPr>
      <w:r w:rsidRPr="004A1C37">
        <w:rPr>
          <w:rFonts w:ascii="Times New Roman" w:hAnsi="Times New Roman" w:cs="Times New Roman"/>
          <w:sz w:val="24"/>
          <w:szCs w:val="24"/>
        </w:rPr>
        <w:t>Oproti roku 2019 vzrástol dlh o 11,6 p. b</w:t>
      </w:r>
      <w:r w:rsidRPr="00EE76B1">
        <w:rPr>
          <w:rFonts w:ascii="Times New Roman" w:hAnsi="Times New Roman" w:cs="Times New Roman"/>
          <w:sz w:val="24"/>
          <w:szCs w:val="24"/>
        </w:rPr>
        <w:t>. Hlavnými faktormi rastu boli vysoký deficit ovplyvnený najmä COVID-19 (6,1 p. b.) a predzásobenie sa – nárast hotovosti verejnej správy z dôvodu neistoty vývoja pandémie v priebehu roka 2020 (5,2 p.</w:t>
      </w:r>
      <w:r>
        <w:rPr>
          <w:rFonts w:ascii="Times New Roman" w:hAnsi="Times New Roman" w:cs="Times New Roman"/>
          <w:sz w:val="24"/>
          <w:szCs w:val="24"/>
        </w:rPr>
        <w:t xml:space="preserve"> </w:t>
      </w:r>
      <w:r w:rsidRPr="00EE76B1">
        <w:rPr>
          <w:rFonts w:ascii="Times New Roman" w:hAnsi="Times New Roman" w:cs="Times New Roman"/>
          <w:sz w:val="24"/>
          <w:szCs w:val="24"/>
        </w:rPr>
        <w:t>b.). K zvýšeniu dlhu v pomere k HDP prispel aj pokles ekonomiky cez efekt menovateľa.</w:t>
      </w:r>
    </w:p>
    <w:p w:rsidR="00F54D87" w:rsidRPr="00EE76B1" w:rsidRDefault="00F54D87" w:rsidP="00F54D87">
      <w:pPr>
        <w:spacing w:after="0"/>
        <w:jc w:val="both"/>
        <w:rPr>
          <w:rFonts w:ascii="Times New Roman" w:hAnsi="Times New Roman" w:cs="Times New Roman"/>
          <w:sz w:val="24"/>
          <w:szCs w:val="24"/>
        </w:rPr>
      </w:pPr>
    </w:p>
    <w:p w:rsidR="00EE76B1" w:rsidRDefault="00EE76B1" w:rsidP="00F54D87">
      <w:pPr>
        <w:spacing w:after="0"/>
        <w:jc w:val="both"/>
        <w:rPr>
          <w:rFonts w:ascii="Times New Roman" w:hAnsi="Times New Roman" w:cs="Times New Roman"/>
          <w:sz w:val="24"/>
          <w:szCs w:val="24"/>
        </w:rPr>
      </w:pPr>
      <w:r w:rsidRPr="004A1C37">
        <w:rPr>
          <w:rFonts w:ascii="Times New Roman" w:hAnsi="Times New Roman" w:cs="Times New Roman"/>
          <w:sz w:val="24"/>
          <w:szCs w:val="24"/>
        </w:rPr>
        <w:t>V roku 202</w:t>
      </w:r>
      <w:r w:rsidR="009F5321" w:rsidRPr="004A1C37">
        <w:rPr>
          <w:rFonts w:ascii="Times New Roman" w:hAnsi="Times New Roman" w:cs="Times New Roman"/>
          <w:sz w:val="24"/>
          <w:szCs w:val="24"/>
        </w:rPr>
        <w:t>1 hrubý dlh vzrastie nad 60 %</w:t>
      </w:r>
      <w:r w:rsidRPr="004A1C37">
        <w:rPr>
          <w:rFonts w:ascii="Times New Roman" w:hAnsi="Times New Roman" w:cs="Times New Roman"/>
          <w:sz w:val="24"/>
          <w:szCs w:val="24"/>
        </w:rPr>
        <w:t xml:space="preserve"> hranicu a podľa aktuálnych predpokladov dosiahne 61,5 % HDP.</w:t>
      </w:r>
      <w:r w:rsidRPr="00EE76B1">
        <w:rPr>
          <w:rFonts w:ascii="Times New Roman" w:hAnsi="Times New Roman" w:cs="Times New Roman"/>
          <w:sz w:val="24"/>
          <w:szCs w:val="24"/>
        </w:rPr>
        <w:t xml:space="preserve"> Hlavným dôvodom medziročného rastu zadlženia je vysoký očakávaný deficit verejnej správy na úrovni 8 % HDP. Vplyv deficitu budú kompenzovať reálny rast ekonomiky, zníženie hotovostnej rezervy štátu a tiež vyššia miera inflácie vyplývajúca z rastúceho dopytu a zaostávajúcich dodávateľsko-odberateľských reťazcov. Súčasťou nárastu hrubého dlhu budú aj záväzky štátu voči subjektom mimo sektora verejnej správy, ktoré ukladajú voľné finančné zdroje na účtoch Štátnej pokladnice v objeme asi 0,5 % HDP.</w:t>
      </w:r>
    </w:p>
    <w:p w:rsidR="00F54D87" w:rsidRPr="00EE76B1" w:rsidRDefault="00F54D87" w:rsidP="00F54D87">
      <w:pPr>
        <w:spacing w:after="0"/>
        <w:jc w:val="both"/>
        <w:rPr>
          <w:rFonts w:ascii="Times New Roman" w:hAnsi="Times New Roman" w:cs="Times New Roman"/>
          <w:sz w:val="24"/>
          <w:szCs w:val="24"/>
        </w:rPr>
      </w:pPr>
    </w:p>
    <w:p w:rsidR="00F54D87" w:rsidRDefault="00EE76B1" w:rsidP="00F54D87">
      <w:pPr>
        <w:spacing w:after="0"/>
        <w:jc w:val="both"/>
        <w:rPr>
          <w:rFonts w:ascii="Times New Roman" w:hAnsi="Times New Roman" w:cs="Times New Roman"/>
          <w:sz w:val="24"/>
          <w:szCs w:val="24"/>
        </w:rPr>
      </w:pPr>
      <w:r w:rsidRPr="00EE76B1">
        <w:rPr>
          <w:rFonts w:ascii="Times New Roman" w:hAnsi="Times New Roman" w:cs="Times New Roman"/>
          <w:b/>
          <w:sz w:val="24"/>
          <w:szCs w:val="24"/>
        </w:rPr>
        <w:t>Na horizonte rozpočtu by mal hrubý dlh SR kulminovať v rokoch 2021 a 2022 a do roku 2024 klesnúť pod 59 % HDP.</w:t>
      </w:r>
      <w:r w:rsidRPr="00EE76B1">
        <w:rPr>
          <w:rFonts w:ascii="Times New Roman" w:hAnsi="Times New Roman" w:cs="Times New Roman"/>
          <w:sz w:val="24"/>
          <w:szCs w:val="24"/>
        </w:rPr>
        <w:t xml:space="preserve"> Priaznivý vývoj ekonomiky podporený zdrojmi z Plánu obnovy bude sprevádzaný vyššou mierou inflácie a postupným rozpúšťaním hotovostnej rezervy. Do roku 2024 celkovo prispejú tieto faktory k zníženiu hrubého dlhu kumulatívne o takmer 20 p.</w:t>
      </w:r>
      <w:r w:rsidR="009F5321">
        <w:rPr>
          <w:rFonts w:ascii="Times New Roman" w:hAnsi="Times New Roman" w:cs="Times New Roman"/>
          <w:sz w:val="24"/>
          <w:szCs w:val="24"/>
        </w:rPr>
        <w:t xml:space="preserve"> </w:t>
      </w:r>
      <w:r w:rsidRPr="00EE76B1">
        <w:rPr>
          <w:rFonts w:ascii="Times New Roman" w:hAnsi="Times New Roman" w:cs="Times New Roman"/>
          <w:sz w:val="24"/>
          <w:szCs w:val="24"/>
        </w:rPr>
        <w:t>b. Dynamiku dlhu na druhej strane ovplyvní pretrvávajúci primárny deficit verejnej správy a naďalej nízke úrokové náklady, ktoré naopak zadlženie zvýšia celkovo o takmer 19 p.</w:t>
      </w:r>
      <w:r w:rsidR="009F5321">
        <w:rPr>
          <w:rFonts w:ascii="Times New Roman" w:hAnsi="Times New Roman" w:cs="Times New Roman"/>
          <w:sz w:val="24"/>
          <w:szCs w:val="24"/>
        </w:rPr>
        <w:t xml:space="preserve"> </w:t>
      </w:r>
      <w:r w:rsidRPr="00EE76B1">
        <w:rPr>
          <w:rFonts w:ascii="Times New Roman" w:hAnsi="Times New Roman" w:cs="Times New Roman"/>
          <w:sz w:val="24"/>
          <w:szCs w:val="24"/>
        </w:rPr>
        <w:t xml:space="preserve">b. </w:t>
      </w:r>
    </w:p>
    <w:p w:rsidR="00F54D87" w:rsidRDefault="00F54D87" w:rsidP="00F54D87">
      <w:pPr>
        <w:spacing w:after="0"/>
        <w:jc w:val="both"/>
        <w:rPr>
          <w:rFonts w:ascii="Times New Roman" w:hAnsi="Times New Roman" w:cs="Times New Roman"/>
          <w:sz w:val="24"/>
          <w:szCs w:val="24"/>
        </w:rPr>
      </w:pPr>
    </w:p>
    <w:p w:rsidR="00EE76B1" w:rsidRDefault="00EE76B1" w:rsidP="00B932F5">
      <w:pPr>
        <w:spacing w:after="0"/>
        <w:jc w:val="both"/>
        <w:rPr>
          <w:rFonts w:ascii="Times New Roman" w:hAnsi="Times New Roman" w:cs="Times New Roman"/>
          <w:sz w:val="24"/>
          <w:szCs w:val="24"/>
        </w:rPr>
      </w:pPr>
      <w:r w:rsidRPr="00EE76B1">
        <w:rPr>
          <w:rFonts w:ascii="Times New Roman" w:hAnsi="Times New Roman" w:cs="Times New Roman"/>
          <w:sz w:val="24"/>
          <w:szCs w:val="24"/>
        </w:rPr>
        <w:t>Celkový vplyv faktorov na zmenu dlhu na horizonte rozpočtu do roku 2024 tak bude mierne pozitívny, kedy zadlženie oproti roku 2020 poklesne o 1,1 p.</w:t>
      </w:r>
      <w:r w:rsidR="009F5321">
        <w:rPr>
          <w:rFonts w:ascii="Times New Roman" w:hAnsi="Times New Roman" w:cs="Times New Roman"/>
          <w:sz w:val="24"/>
          <w:szCs w:val="24"/>
        </w:rPr>
        <w:t xml:space="preserve"> </w:t>
      </w:r>
      <w:r w:rsidRPr="00EE76B1">
        <w:rPr>
          <w:rFonts w:ascii="Times New Roman" w:hAnsi="Times New Roman" w:cs="Times New Roman"/>
          <w:sz w:val="24"/>
          <w:szCs w:val="24"/>
        </w:rPr>
        <w:t xml:space="preserve">b. na 58,7 % HDP. </w:t>
      </w:r>
    </w:p>
    <w:p w:rsidR="00B932F5" w:rsidRDefault="00B932F5"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Default="00763864" w:rsidP="00B932F5">
      <w:pPr>
        <w:spacing w:after="0"/>
        <w:jc w:val="both"/>
        <w:rPr>
          <w:rFonts w:ascii="Times New Roman" w:hAnsi="Times New Roman" w:cs="Times New Roman"/>
          <w:sz w:val="24"/>
          <w:szCs w:val="24"/>
        </w:rPr>
      </w:pPr>
    </w:p>
    <w:p w:rsidR="00763864" w:rsidRPr="00EE76B1" w:rsidRDefault="00763864" w:rsidP="00B932F5">
      <w:pPr>
        <w:spacing w:after="0"/>
        <w:jc w:val="both"/>
        <w:rPr>
          <w:rFonts w:ascii="Times New Roman" w:hAnsi="Times New Roman" w:cs="Times New Roman"/>
          <w:sz w:val="24"/>
          <w:szCs w:val="24"/>
        </w:rPr>
      </w:pPr>
    </w:p>
    <w:tbl>
      <w:tblPr>
        <w:tblW w:w="5008"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4910"/>
        <w:gridCol w:w="146"/>
        <w:gridCol w:w="4280"/>
      </w:tblGrid>
      <w:tr w:rsidR="00EE76B1" w:rsidRPr="00EE76B1" w:rsidTr="00EE76B1">
        <w:trPr>
          <w:trHeight w:val="510"/>
          <w:jc w:val="center"/>
        </w:trPr>
        <w:tc>
          <w:tcPr>
            <w:tcW w:w="2973" w:type="pct"/>
            <w:tcBorders>
              <w:top w:val="nil"/>
              <w:left w:val="nil"/>
              <w:bottom w:val="single" w:sz="4" w:space="0" w:color="000000"/>
              <w:right w:val="nil"/>
            </w:tcBorders>
            <w:shd w:val="clear" w:color="auto" w:fill="auto"/>
            <w:vAlign w:val="center"/>
          </w:tcPr>
          <w:p w:rsidR="00EE76B1" w:rsidRPr="00EE76B1" w:rsidRDefault="00EE76B1" w:rsidP="00B932F5">
            <w:pPr>
              <w:spacing w:after="0" w:line="276" w:lineRule="auto"/>
              <w:jc w:val="both"/>
              <w:rPr>
                <w:rFonts w:ascii="Times New Roman" w:eastAsia="Arial Narrow" w:hAnsi="Times New Roman" w:cs="Times New Roman"/>
                <w:b/>
                <w:bCs/>
                <w:noProof/>
                <w:color w:val="2C9ADC"/>
                <w:sz w:val="20"/>
                <w:szCs w:val="36"/>
                <w:lang w:eastAsia="sk-SK"/>
              </w:rPr>
            </w:pPr>
            <w:bookmarkStart w:id="46" w:name="_Toc53499519"/>
            <w:bookmarkStart w:id="47" w:name="_Toc84847998"/>
            <w:r w:rsidRPr="00B872B2">
              <w:rPr>
                <w:rFonts w:ascii="Times New Roman" w:eastAsia="Calibri" w:hAnsi="Times New Roman"/>
                <w:b/>
                <w:iCs/>
                <w:color w:val="5B9BD5" w:themeColor="accent1"/>
                <w:sz w:val="20"/>
                <w:szCs w:val="18"/>
              </w:rPr>
              <w:t xml:space="preserve">Graf </w:t>
            </w:r>
            <w:r w:rsidRPr="00B872B2">
              <w:rPr>
                <w:rFonts w:ascii="Times New Roman" w:eastAsia="Calibri" w:hAnsi="Times New Roman"/>
                <w:b/>
                <w:iCs/>
                <w:color w:val="5B9BD5" w:themeColor="accent1"/>
                <w:sz w:val="20"/>
                <w:szCs w:val="18"/>
              </w:rPr>
              <w:fldChar w:fldCharType="begin"/>
            </w:r>
            <w:r w:rsidRPr="00B872B2">
              <w:rPr>
                <w:rFonts w:ascii="Times New Roman" w:eastAsia="Calibri" w:hAnsi="Times New Roman"/>
                <w:b/>
                <w:iCs/>
                <w:color w:val="5B9BD5" w:themeColor="accent1"/>
                <w:sz w:val="20"/>
                <w:szCs w:val="18"/>
              </w:rPr>
              <w:instrText xml:space="preserve"> SEQ Obrázok \* ARABIC </w:instrText>
            </w:r>
            <w:r w:rsidRPr="00B872B2">
              <w:rPr>
                <w:rFonts w:ascii="Times New Roman" w:eastAsia="Calibri" w:hAnsi="Times New Roman"/>
                <w:b/>
                <w:iCs/>
                <w:color w:val="5B9BD5" w:themeColor="accent1"/>
                <w:sz w:val="20"/>
                <w:szCs w:val="18"/>
              </w:rPr>
              <w:fldChar w:fldCharType="separate"/>
            </w:r>
            <w:r w:rsidR="006E67C6">
              <w:rPr>
                <w:rFonts w:ascii="Times New Roman" w:eastAsia="Calibri" w:hAnsi="Times New Roman"/>
                <w:b/>
                <w:iCs/>
                <w:noProof/>
                <w:color w:val="5B9BD5" w:themeColor="accent1"/>
                <w:sz w:val="20"/>
                <w:szCs w:val="18"/>
              </w:rPr>
              <w:t>7</w:t>
            </w:r>
            <w:r w:rsidRPr="00B872B2">
              <w:rPr>
                <w:rFonts w:ascii="Times New Roman" w:eastAsia="Calibri" w:hAnsi="Times New Roman"/>
                <w:b/>
                <w:iCs/>
                <w:color w:val="5B9BD5" w:themeColor="accent1"/>
                <w:sz w:val="20"/>
                <w:szCs w:val="18"/>
              </w:rPr>
              <w:fldChar w:fldCharType="end"/>
            </w:r>
            <w:r>
              <w:rPr>
                <w:rFonts w:ascii="Times New Roman" w:eastAsia="Calibri" w:hAnsi="Times New Roman"/>
                <w:b/>
                <w:iCs/>
                <w:color w:val="5B9BD5" w:themeColor="accent1"/>
                <w:sz w:val="20"/>
                <w:szCs w:val="18"/>
              </w:rPr>
              <w:t xml:space="preserve"> -</w:t>
            </w:r>
            <w:r w:rsidRPr="00EE76B1">
              <w:rPr>
                <w:rFonts w:ascii="Times New Roman" w:eastAsia="Arial Narrow" w:hAnsi="Times New Roman" w:cs="Times New Roman"/>
                <w:b/>
                <w:bCs/>
                <w:noProof/>
                <w:color w:val="2C9ADC"/>
                <w:sz w:val="20"/>
                <w:szCs w:val="36"/>
                <w:lang w:eastAsia="sk-SK"/>
              </w:rPr>
              <w:t xml:space="preserve"> Prognóza hrubého a čistého dlhu verejnej správy (% HDP)</w:t>
            </w:r>
            <w:bookmarkEnd w:id="46"/>
            <w:bookmarkEnd w:id="47"/>
          </w:p>
        </w:tc>
        <w:tc>
          <w:tcPr>
            <w:tcW w:w="80" w:type="pct"/>
            <w:tcBorders>
              <w:top w:val="nil"/>
              <w:left w:val="nil"/>
              <w:bottom w:val="nil"/>
              <w:right w:val="nil"/>
            </w:tcBorders>
            <w:shd w:val="clear" w:color="auto" w:fill="auto"/>
            <w:vAlign w:val="center"/>
          </w:tcPr>
          <w:p w:rsidR="00EE76B1" w:rsidRPr="00EE76B1" w:rsidRDefault="00EE76B1" w:rsidP="00B932F5">
            <w:pPr>
              <w:spacing w:after="0" w:line="276" w:lineRule="auto"/>
              <w:jc w:val="both"/>
              <w:rPr>
                <w:rFonts w:ascii="Arial Narrow" w:eastAsia="Arial Narrow" w:hAnsi="Arial Narrow" w:cs="Arial Narrow"/>
                <w:b/>
                <w:bCs/>
                <w:noProof/>
                <w:color w:val="2C9ADC"/>
                <w:sz w:val="20"/>
                <w:szCs w:val="36"/>
                <w:highlight w:val="yellow"/>
                <w:lang w:eastAsia="sk-SK"/>
              </w:rPr>
            </w:pPr>
          </w:p>
        </w:tc>
        <w:tc>
          <w:tcPr>
            <w:tcW w:w="1946" w:type="pct"/>
            <w:tcBorders>
              <w:top w:val="nil"/>
              <w:left w:val="nil"/>
              <w:bottom w:val="single" w:sz="4" w:space="0" w:color="000000"/>
              <w:right w:val="nil"/>
            </w:tcBorders>
            <w:shd w:val="clear" w:color="auto" w:fill="auto"/>
            <w:vAlign w:val="center"/>
          </w:tcPr>
          <w:p w:rsidR="00EE76B1" w:rsidRPr="00EE76B1" w:rsidRDefault="00EE76B1" w:rsidP="00B932F5">
            <w:pPr>
              <w:spacing w:after="0" w:line="276" w:lineRule="auto"/>
              <w:jc w:val="both"/>
              <w:rPr>
                <w:rFonts w:ascii="Times New Roman" w:eastAsia="Arial Narrow" w:hAnsi="Times New Roman" w:cs="Times New Roman"/>
                <w:b/>
                <w:bCs/>
                <w:noProof/>
                <w:color w:val="2C9ADC"/>
                <w:sz w:val="20"/>
                <w:szCs w:val="36"/>
                <w:highlight w:val="yellow"/>
                <w:lang w:eastAsia="sk-SK"/>
              </w:rPr>
            </w:pPr>
            <w:bookmarkStart w:id="48" w:name="_Toc53499520"/>
            <w:bookmarkStart w:id="49" w:name="_Toc84847999"/>
            <w:r w:rsidRPr="00B872B2">
              <w:rPr>
                <w:rFonts w:ascii="Times New Roman" w:eastAsia="Calibri" w:hAnsi="Times New Roman"/>
                <w:b/>
                <w:iCs/>
                <w:color w:val="5B9BD5" w:themeColor="accent1"/>
                <w:sz w:val="20"/>
                <w:szCs w:val="18"/>
              </w:rPr>
              <w:t xml:space="preserve">Graf </w:t>
            </w:r>
            <w:r w:rsidRPr="00B872B2">
              <w:rPr>
                <w:rFonts w:ascii="Times New Roman" w:eastAsia="Calibri" w:hAnsi="Times New Roman"/>
                <w:b/>
                <w:iCs/>
                <w:color w:val="5B9BD5" w:themeColor="accent1"/>
                <w:sz w:val="20"/>
                <w:szCs w:val="18"/>
              </w:rPr>
              <w:fldChar w:fldCharType="begin"/>
            </w:r>
            <w:r w:rsidRPr="00B872B2">
              <w:rPr>
                <w:rFonts w:ascii="Times New Roman" w:eastAsia="Calibri" w:hAnsi="Times New Roman"/>
                <w:b/>
                <w:iCs/>
                <w:color w:val="5B9BD5" w:themeColor="accent1"/>
                <w:sz w:val="20"/>
                <w:szCs w:val="18"/>
              </w:rPr>
              <w:instrText xml:space="preserve"> SEQ Obrázok \* ARABIC </w:instrText>
            </w:r>
            <w:r w:rsidRPr="00B872B2">
              <w:rPr>
                <w:rFonts w:ascii="Times New Roman" w:eastAsia="Calibri" w:hAnsi="Times New Roman"/>
                <w:b/>
                <w:iCs/>
                <w:color w:val="5B9BD5" w:themeColor="accent1"/>
                <w:sz w:val="20"/>
                <w:szCs w:val="18"/>
              </w:rPr>
              <w:fldChar w:fldCharType="separate"/>
            </w:r>
            <w:r w:rsidR="006E67C6">
              <w:rPr>
                <w:rFonts w:ascii="Times New Roman" w:eastAsia="Calibri" w:hAnsi="Times New Roman"/>
                <w:b/>
                <w:iCs/>
                <w:noProof/>
                <w:color w:val="5B9BD5" w:themeColor="accent1"/>
                <w:sz w:val="20"/>
                <w:szCs w:val="18"/>
              </w:rPr>
              <w:t>8</w:t>
            </w:r>
            <w:r w:rsidRPr="00B872B2">
              <w:rPr>
                <w:rFonts w:ascii="Times New Roman" w:eastAsia="Calibri" w:hAnsi="Times New Roman"/>
                <w:b/>
                <w:iCs/>
                <w:color w:val="5B9BD5" w:themeColor="accent1"/>
                <w:sz w:val="20"/>
                <w:szCs w:val="18"/>
              </w:rPr>
              <w:fldChar w:fldCharType="end"/>
            </w:r>
            <w:r>
              <w:rPr>
                <w:rFonts w:ascii="Times New Roman" w:eastAsia="Calibri" w:hAnsi="Times New Roman"/>
                <w:b/>
                <w:iCs/>
                <w:color w:val="5B9BD5" w:themeColor="accent1"/>
                <w:sz w:val="20"/>
                <w:szCs w:val="18"/>
              </w:rPr>
              <w:t xml:space="preserve"> </w:t>
            </w:r>
            <w:r w:rsidRPr="00EE76B1">
              <w:rPr>
                <w:rFonts w:ascii="Times New Roman" w:eastAsia="Arial Narrow" w:hAnsi="Times New Roman" w:cs="Times New Roman"/>
                <w:b/>
                <w:bCs/>
                <w:noProof/>
                <w:color w:val="2C9ADC"/>
                <w:sz w:val="20"/>
                <w:szCs w:val="36"/>
                <w:lang w:eastAsia="sk-SK"/>
              </w:rPr>
              <w:t>– Príspevky faktorov k medziročnej zmene hrubého dlhu (% HDP)</w:t>
            </w:r>
            <w:bookmarkEnd w:id="48"/>
            <w:bookmarkEnd w:id="49"/>
          </w:p>
        </w:tc>
      </w:tr>
      <w:tr w:rsidR="00EE76B1" w:rsidRPr="00EE76B1" w:rsidTr="00EE76B1">
        <w:trPr>
          <w:trHeight w:val="20"/>
          <w:jc w:val="center"/>
        </w:trPr>
        <w:tc>
          <w:tcPr>
            <w:tcW w:w="2973" w:type="pct"/>
            <w:tcBorders>
              <w:top w:val="single" w:sz="4" w:space="0" w:color="000000"/>
              <w:left w:val="nil"/>
              <w:bottom w:val="single" w:sz="4" w:space="0" w:color="000000"/>
              <w:right w:val="nil"/>
            </w:tcBorders>
            <w:shd w:val="clear" w:color="auto" w:fill="auto"/>
            <w:vAlign w:val="center"/>
          </w:tcPr>
          <w:p w:rsidR="00EE76B1" w:rsidRPr="00EE76B1" w:rsidRDefault="00EE76B1" w:rsidP="00763864">
            <w:pPr>
              <w:spacing w:after="40"/>
              <w:jc w:val="center"/>
              <w:rPr>
                <w:rFonts w:ascii="Arial Narrow" w:hAnsi="Arial Narrow"/>
                <w:color w:val="000000" w:themeColor="text1"/>
                <w:sz w:val="18"/>
                <w:szCs w:val="18"/>
              </w:rPr>
            </w:pPr>
            <w:r w:rsidRPr="00EE76B1">
              <w:rPr>
                <w:noProof/>
                <w:lang w:eastAsia="sk-SK"/>
              </w:rPr>
              <w:drawing>
                <wp:inline distT="0" distB="0" distL="0" distR="0" wp14:anchorId="27A0D518" wp14:editId="601BC698">
                  <wp:extent cx="3028493" cy="2384425"/>
                  <wp:effectExtent l="0" t="0" r="635"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80" w:type="pct"/>
            <w:tcBorders>
              <w:top w:val="nil"/>
              <w:left w:val="nil"/>
              <w:bottom w:val="nil"/>
              <w:right w:val="nil"/>
            </w:tcBorders>
            <w:shd w:val="clear" w:color="auto" w:fill="auto"/>
            <w:vAlign w:val="center"/>
          </w:tcPr>
          <w:p w:rsidR="00EE76B1" w:rsidRPr="00EE76B1" w:rsidRDefault="00EE76B1" w:rsidP="00763864">
            <w:pPr>
              <w:spacing w:after="40"/>
              <w:jc w:val="center"/>
              <w:rPr>
                <w:rFonts w:ascii="Arial Narrow" w:hAnsi="Arial Narrow"/>
                <w:highlight w:val="yellow"/>
              </w:rPr>
            </w:pPr>
          </w:p>
        </w:tc>
        <w:tc>
          <w:tcPr>
            <w:tcW w:w="1946" w:type="pct"/>
            <w:tcBorders>
              <w:top w:val="single" w:sz="4" w:space="0" w:color="000000"/>
              <w:left w:val="nil"/>
              <w:bottom w:val="single" w:sz="4" w:space="0" w:color="000000"/>
              <w:right w:val="nil"/>
            </w:tcBorders>
            <w:shd w:val="clear" w:color="auto" w:fill="auto"/>
            <w:vAlign w:val="center"/>
          </w:tcPr>
          <w:p w:rsidR="00EE76B1" w:rsidRPr="00EE76B1" w:rsidRDefault="00EE76B1" w:rsidP="00763864">
            <w:pPr>
              <w:spacing w:after="40"/>
              <w:jc w:val="right"/>
              <w:rPr>
                <w:rFonts w:ascii="Arial Narrow" w:hAnsi="Arial Narrow"/>
                <w:sz w:val="18"/>
                <w:szCs w:val="18"/>
                <w:highlight w:val="yellow"/>
              </w:rPr>
            </w:pPr>
            <w:r w:rsidRPr="00EE76B1">
              <w:rPr>
                <w:noProof/>
                <w:lang w:eastAsia="sk-SK"/>
              </w:rPr>
              <w:drawing>
                <wp:inline distT="0" distB="0" distL="0" distR="0" wp14:anchorId="249E9CFF" wp14:editId="73F9AC10">
                  <wp:extent cx="2622143" cy="2216150"/>
                  <wp:effectExtent l="0" t="0" r="6985"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E76B1" w:rsidRPr="00EE76B1" w:rsidTr="00EE76B1">
        <w:trPr>
          <w:trHeight w:val="260"/>
          <w:jc w:val="center"/>
        </w:trPr>
        <w:tc>
          <w:tcPr>
            <w:tcW w:w="2973" w:type="pct"/>
            <w:tcBorders>
              <w:top w:val="single" w:sz="4" w:space="0" w:color="000000"/>
              <w:left w:val="nil"/>
              <w:bottom w:val="nil"/>
              <w:right w:val="nil"/>
            </w:tcBorders>
            <w:shd w:val="clear" w:color="auto" w:fill="auto"/>
            <w:vAlign w:val="center"/>
          </w:tcPr>
          <w:p w:rsidR="00EE76B1" w:rsidRPr="00EE76B1" w:rsidRDefault="00EE76B1" w:rsidP="00763864">
            <w:pPr>
              <w:spacing w:after="0" w:line="240" w:lineRule="auto"/>
              <w:rPr>
                <w:rFonts w:ascii="Arial Narrow" w:hAnsi="Arial Narrow"/>
              </w:rPr>
            </w:pPr>
            <w:r w:rsidRPr="00214A4A">
              <w:rPr>
                <w:rFonts w:ascii="Times New Roman" w:hAnsi="Times New Roman" w:cs="Times New Roman"/>
                <w:i/>
                <w:sz w:val="14"/>
                <w:szCs w:val="16"/>
              </w:rPr>
              <w:t>Pozn. Sankčné pásma predstavujú aktuálne platný ústavný zákon o rozpočtovej zodpovednosti</w:t>
            </w:r>
            <w:r w:rsidRPr="00EE76B1">
              <w:rPr>
                <w:rFonts w:ascii="Arial Narrow" w:hAnsi="Arial Narrow"/>
                <w:i/>
                <w:sz w:val="14"/>
                <w:szCs w:val="16"/>
              </w:rPr>
              <w:t>.</w:t>
            </w:r>
          </w:p>
        </w:tc>
        <w:tc>
          <w:tcPr>
            <w:tcW w:w="80" w:type="pct"/>
            <w:tcBorders>
              <w:top w:val="nil"/>
              <w:left w:val="nil"/>
              <w:bottom w:val="nil"/>
              <w:right w:val="nil"/>
            </w:tcBorders>
            <w:shd w:val="clear" w:color="auto" w:fill="auto"/>
            <w:vAlign w:val="center"/>
          </w:tcPr>
          <w:p w:rsidR="00EE76B1" w:rsidRPr="00EE76B1" w:rsidRDefault="00EE76B1" w:rsidP="00763864">
            <w:pPr>
              <w:spacing w:after="0" w:line="240" w:lineRule="auto"/>
              <w:jc w:val="center"/>
              <w:rPr>
                <w:rFonts w:ascii="Arial Narrow" w:hAnsi="Arial Narrow"/>
                <w:highlight w:val="yellow"/>
              </w:rPr>
            </w:pPr>
          </w:p>
        </w:tc>
        <w:tc>
          <w:tcPr>
            <w:tcW w:w="1946" w:type="pct"/>
            <w:tcBorders>
              <w:top w:val="single" w:sz="4" w:space="0" w:color="000000"/>
              <w:left w:val="nil"/>
              <w:bottom w:val="nil"/>
              <w:right w:val="nil"/>
            </w:tcBorders>
            <w:shd w:val="clear" w:color="auto" w:fill="auto"/>
            <w:vAlign w:val="center"/>
          </w:tcPr>
          <w:p w:rsidR="00EE76B1" w:rsidRPr="00214A4A" w:rsidRDefault="00EE76B1" w:rsidP="00763864">
            <w:pPr>
              <w:spacing w:after="0" w:line="240" w:lineRule="auto"/>
              <w:ind w:firstLine="21"/>
              <w:jc w:val="both"/>
              <w:rPr>
                <w:rFonts w:ascii="Times New Roman" w:hAnsi="Times New Roman" w:cs="Times New Roman"/>
                <w:i/>
                <w:sz w:val="14"/>
                <w:szCs w:val="16"/>
              </w:rPr>
            </w:pPr>
            <w:r w:rsidRPr="00214A4A">
              <w:rPr>
                <w:rFonts w:ascii="Times New Roman" w:hAnsi="Times New Roman" w:cs="Times New Roman"/>
                <w:i/>
                <w:sz w:val="14"/>
                <w:szCs w:val="16"/>
              </w:rPr>
              <w:t>Pozn. SFA – zosúladenie deficitu a dlhu zahŕňa rozdiel medzi akruálnymi a hotovostnými údajmi, zmenu stavu finančných aktív, zmeny v diskontoch a iné.</w:t>
            </w:r>
          </w:p>
          <w:p w:rsidR="00EE76B1" w:rsidRPr="00EE76B1" w:rsidRDefault="00EE76B1" w:rsidP="00763864">
            <w:pPr>
              <w:spacing w:after="0" w:line="240" w:lineRule="auto"/>
              <w:jc w:val="right"/>
              <w:rPr>
                <w:rFonts w:ascii="Arial Narrow" w:hAnsi="Arial Narrow"/>
                <w:highlight w:val="yellow"/>
              </w:rPr>
            </w:pPr>
            <w:r w:rsidRPr="00EE76B1">
              <w:rPr>
                <w:rFonts w:ascii="Times New Roman" w:hAnsi="Times New Roman" w:cs="Times New Roman"/>
                <w:i/>
                <w:sz w:val="14"/>
                <w:szCs w:val="14"/>
              </w:rPr>
              <w:t>Zdroj: MF SR</w:t>
            </w:r>
          </w:p>
        </w:tc>
      </w:tr>
    </w:tbl>
    <w:p w:rsidR="00763864" w:rsidRDefault="00763864" w:rsidP="004A1C37">
      <w:pPr>
        <w:spacing w:after="0"/>
        <w:jc w:val="both"/>
        <w:rPr>
          <w:rFonts w:ascii="Times New Roman" w:hAnsi="Times New Roman" w:cs="Times New Roman"/>
          <w:sz w:val="24"/>
          <w:szCs w:val="24"/>
        </w:rPr>
      </w:pPr>
    </w:p>
    <w:p w:rsidR="004A1C37" w:rsidRDefault="00EE76B1" w:rsidP="004A1C37">
      <w:pPr>
        <w:spacing w:after="0"/>
        <w:jc w:val="both"/>
        <w:rPr>
          <w:rFonts w:ascii="Times New Roman" w:hAnsi="Times New Roman" w:cs="Times New Roman"/>
          <w:sz w:val="24"/>
          <w:szCs w:val="24"/>
        </w:rPr>
      </w:pPr>
      <w:r w:rsidRPr="004A1C37">
        <w:rPr>
          <w:rFonts w:ascii="Times New Roman" w:hAnsi="Times New Roman" w:cs="Times New Roman"/>
          <w:sz w:val="24"/>
          <w:szCs w:val="24"/>
        </w:rPr>
        <w:t>Rekonštrukcia vlády na jar 2021 aktivovala 24-mesačnú výnimku na uplatňovanie sankcií z prekročenia najvyšších pásiem dlhovej brzdy.</w:t>
      </w:r>
      <w:r w:rsidRPr="00EE76B1">
        <w:rPr>
          <w:rFonts w:ascii="Times New Roman" w:hAnsi="Times New Roman" w:cs="Times New Roman"/>
          <w:sz w:val="24"/>
          <w:szCs w:val="24"/>
        </w:rPr>
        <w:t xml:space="preserve"> Do tohto obdobia bude vláda povinná predkladať na rokovanie NR SR návrhy opatrení na zníženie dlhu a znížia sa platy členov vlády. Po skončení výnimky by si súčasné znenie ústavného zákona vyžiadalo pre rok 2024 predložiť vyrovnaný rozpočet verejnej správy.</w:t>
      </w:r>
    </w:p>
    <w:p w:rsidR="00EE76B1" w:rsidRPr="00EE76B1" w:rsidRDefault="00EE76B1" w:rsidP="004A1C37">
      <w:pPr>
        <w:spacing w:after="0"/>
        <w:jc w:val="both"/>
        <w:rPr>
          <w:rFonts w:ascii="Times New Roman" w:hAnsi="Times New Roman" w:cs="Times New Roman"/>
          <w:sz w:val="24"/>
          <w:szCs w:val="24"/>
        </w:rPr>
      </w:pPr>
      <w:r w:rsidRPr="00EE76B1">
        <w:rPr>
          <w:rFonts w:ascii="Times New Roman" w:hAnsi="Times New Roman" w:cs="Times New Roman"/>
          <w:sz w:val="24"/>
          <w:szCs w:val="24"/>
        </w:rPr>
        <w:t xml:space="preserve"> </w:t>
      </w:r>
    </w:p>
    <w:p w:rsidR="00EE76B1" w:rsidRPr="00EE76B1" w:rsidRDefault="00EE76B1" w:rsidP="004A1C37">
      <w:pPr>
        <w:spacing w:after="0"/>
        <w:jc w:val="both"/>
        <w:rPr>
          <w:rFonts w:ascii="Times New Roman" w:hAnsi="Times New Roman" w:cs="Times New Roman"/>
          <w:sz w:val="24"/>
          <w:szCs w:val="24"/>
        </w:rPr>
      </w:pPr>
      <w:r w:rsidRPr="00EE76B1">
        <w:rPr>
          <w:rFonts w:ascii="Times New Roman" w:hAnsi="Times New Roman" w:cs="Times New Roman"/>
          <w:sz w:val="24"/>
          <w:szCs w:val="24"/>
        </w:rPr>
        <w:t>Prognóza hrubého dlhu v rozpočte verejnej správy na roky 2022 až 2024 je založená na predpoklade 1 %-nej štrukturálnej konsolidácie od roku 2023 v súlade so znením novely ústavného zákona o rozpočtovej zodpovednosti, ktorej vládny návrh je predložený na rokovanie v NR SR.</w:t>
      </w:r>
    </w:p>
    <w:p w:rsidR="00214A4A" w:rsidRPr="00763864" w:rsidRDefault="00214A4A" w:rsidP="00B932F5">
      <w:pPr>
        <w:spacing w:after="0"/>
        <w:rPr>
          <w:rFonts w:ascii="Times New Roman" w:hAnsi="Times New Roman" w:cs="Times New Roman"/>
          <w:b/>
          <w:color w:val="5B9BD5" w:themeColor="accent1"/>
          <w:sz w:val="24"/>
          <w:szCs w:val="20"/>
        </w:rPr>
      </w:pPr>
      <w:bookmarkStart w:id="50" w:name="_Toc53080955"/>
      <w:bookmarkStart w:id="51" w:name="_Toc53086342"/>
    </w:p>
    <w:p w:rsidR="00EE76B1" w:rsidRPr="00EE76B1" w:rsidRDefault="00EE76B1" w:rsidP="00B932F5">
      <w:pPr>
        <w:spacing w:after="0"/>
        <w:rPr>
          <w:rFonts w:ascii="Times New Roman" w:hAnsi="Times New Roman" w:cs="Times New Roman"/>
          <w:b/>
          <w:color w:val="5B9BD5" w:themeColor="accent1"/>
          <w:sz w:val="20"/>
          <w:szCs w:val="20"/>
        </w:rPr>
      </w:pPr>
      <w:bookmarkStart w:id="52" w:name="_Toc84845237"/>
      <w:r w:rsidRPr="00EE76B1">
        <w:rPr>
          <w:rFonts w:ascii="Times New Roman" w:hAnsi="Times New Roman" w:cs="Times New Roman"/>
          <w:b/>
          <w:color w:val="5B9BD5" w:themeColor="accent1"/>
          <w:sz w:val="20"/>
          <w:szCs w:val="20"/>
        </w:rPr>
        <w:t xml:space="preserve">Tabuľka </w:t>
      </w:r>
      <w:r w:rsidRPr="00EE76B1">
        <w:rPr>
          <w:rFonts w:ascii="Times New Roman" w:hAnsi="Times New Roman" w:cs="Times New Roman"/>
          <w:b/>
          <w:color w:val="5B9BD5" w:themeColor="accent1"/>
          <w:sz w:val="20"/>
          <w:szCs w:val="20"/>
        </w:rPr>
        <w:fldChar w:fldCharType="begin"/>
      </w:r>
      <w:r w:rsidRPr="00EE76B1">
        <w:rPr>
          <w:rFonts w:ascii="Times New Roman" w:hAnsi="Times New Roman" w:cs="Times New Roman"/>
          <w:b/>
          <w:color w:val="5B9BD5" w:themeColor="accent1"/>
          <w:sz w:val="20"/>
          <w:szCs w:val="20"/>
        </w:rPr>
        <w:instrText xml:space="preserve"> SEQ Tabuľka \* ARABIC </w:instrText>
      </w:r>
      <w:r w:rsidRPr="00EE76B1">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13</w:t>
      </w:r>
      <w:r w:rsidRPr="00EE76B1">
        <w:rPr>
          <w:rFonts w:ascii="Times New Roman" w:hAnsi="Times New Roman" w:cs="Times New Roman"/>
          <w:b/>
          <w:color w:val="5B9BD5" w:themeColor="accent1"/>
          <w:sz w:val="20"/>
          <w:szCs w:val="20"/>
        </w:rPr>
        <w:fldChar w:fldCharType="end"/>
      </w:r>
      <w:r w:rsidRPr="00EE76B1">
        <w:rPr>
          <w:rFonts w:ascii="Times New Roman" w:hAnsi="Times New Roman" w:cs="Times New Roman"/>
          <w:b/>
          <w:color w:val="5B9BD5" w:themeColor="accent1"/>
          <w:sz w:val="20"/>
          <w:szCs w:val="20"/>
        </w:rPr>
        <w:t xml:space="preserve"> – Štruktúra hrubého dlhu verejnej správy</w:t>
      </w:r>
      <w:bookmarkEnd w:id="50"/>
      <w:bookmarkEnd w:id="51"/>
      <w:r w:rsidRPr="00EE76B1">
        <w:rPr>
          <w:rFonts w:ascii="Times New Roman" w:hAnsi="Times New Roman" w:cs="Times New Roman"/>
          <w:b/>
          <w:color w:val="5B9BD5" w:themeColor="accent1"/>
          <w:sz w:val="20"/>
          <w:szCs w:val="20"/>
        </w:rPr>
        <w:t xml:space="preserve"> (% HDP)</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7"/>
        <w:gridCol w:w="918"/>
        <w:gridCol w:w="918"/>
        <w:gridCol w:w="918"/>
        <w:gridCol w:w="918"/>
        <w:gridCol w:w="918"/>
        <w:gridCol w:w="918"/>
        <w:gridCol w:w="914"/>
        <w:gridCol w:w="13"/>
      </w:tblGrid>
      <w:tr w:rsidR="00EE76B1" w:rsidRPr="00EE76B1" w:rsidTr="00EE76B1">
        <w:trPr>
          <w:gridAfter w:val="1"/>
          <w:wAfter w:w="7" w:type="pct"/>
          <w:trHeight w:val="210"/>
          <w:jc w:val="center"/>
        </w:trPr>
        <w:tc>
          <w:tcPr>
            <w:tcW w:w="1453" w:type="pct"/>
            <w:tcBorders>
              <w:top w:val="single" w:sz="4" w:space="0" w:color="auto"/>
              <w:left w:val="nil"/>
              <w:bottom w:val="single" w:sz="4" w:space="0" w:color="auto"/>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b/>
                <w:bCs/>
                <w:sz w:val="14"/>
                <w:szCs w:val="14"/>
              </w:rPr>
            </w:pPr>
            <w:r w:rsidRPr="00EE76B1">
              <w:rPr>
                <w:rFonts w:ascii="Times New Roman" w:hAnsi="Times New Roman" w:cs="Times New Roman"/>
                <w:b/>
                <w:bCs/>
                <w:sz w:val="14"/>
                <w:szCs w:val="14"/>
              </w:rPr>
              <w:t>(% HDP, stav k 31.</w:t>
            </w:r>
            <w:r>
              <w:rPr>
                <w:rFonts w:ascii="Times New Roman" w:hAnsi="Times New Roman" w:cs="Times New Roman"/>
                <w:b/>
                <w:bCs/>
                <w:sz w:val="14"/>
                <w:szCs w:val="14"/>
              </w:rPr>
              <w:t xml:space="preserve"> </w:t>
            </w:r>
            <w:r w:rsidRPr="00EE76B1">
              <w:rPr>
                <w:rFonts w:ascii="Times New Roman" w:hAnsi="Times New Roman" w:cs="Times New Roman"/>
                <w:b/>
                <w:bCs/>
                <w:sz w:val="14"/>
                <w:szCs w:val="14"/>
              </w:rPr>
              <w:t>12.) </w:t>
            </w:r>
          </w:p>
        </w:tc>
        <w:tc>
          <w:tcPr>
            <w:tcW w:w="506" w:type="pct"/>
            <w:tcBorders>
              <w:top w:val="single" w:sz="4" w:space="0" w:color="auto"/>
              <w:left w:val="nil"/>
              <w:bottom w:val="single" w:sz="4" w:space="0" w:color="auto"/>
              <w:right w:val="nil"/>
            </w:tcBorders>
            <w:shd w:val="clear" w:color="auto" w:fill="auto"/>
            <w:noWrap/>
            <w:vAlign w:val="center"/>
            <w:hideMark/>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2018</w:t>
            </w:r>
          </w:p>
        </w:tc>
        <w:tc>
          <w:tcPr>
            <w:tcW w:w="506" w:type="pct"/>
            <w:tcBorders>
              <w:top w:val="single" w:sz="4" w:space="0" w:color="auto"/>
              <w:left w:val="nil"/>
              <w:bottom w:val="single" w:sz="4" w:space="0" w:color="auto"/>
              <w:right w:val="nil"/>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2019</w:t>
            </w:r>
          </w:p>
        </w:tc>
        <w:tc>
          <w:tcPr>
            <w:tcW w:w="506" w:type="pct"/>
            <w:tcBorders>
              <w:top w:val="single" w:sz="4" w:space="0" w:color="auto"/>
              <w:left w:val="nil"/>
              <w:bottom w:val="single" w:sz="4" w:space="0" w:color="auto"/>
              <w:right w:val="nil"/>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2020</w:t>
            </w:r>
          </w:p>
        </w:tc>
        <w:tc>
          <w:tcPr>
            <w:tcW w:w="506" w:type="pct"/>
            <w:tcBorders>
              <w:top w:val="single" w:sz="4" w:space="0" w:color="auto"/>
              <w:left w:val="nil"/>
              <w:bottom w:val="single" w:sz="4" w:space="0" w:color="auto"/>
              <w:right w:val="nil"/>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2021 OS</w:t>
            </w:r>
          </w:p>
        </w:tc>
        <w:tc>
          <w:tcPr>
            <w:tcW w:w="506" w:type="pct"/>
            <w:tcBorders>
              <w:top w:val="single" w:sz="4" w:space="0" w:color="auto"/>
              <w:left w:val="nil"/>
              <w:bottom w:val="single" w:sz="4" w:space="0" w:color="auto"/>
              <w:right w:val="nil"/>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2022 N</w:t>
            </w:r>
          </w:p>
        </w:tc>
        <w:tc>
          <w:tcPr>
            <w:tcW w:w="506" w:type="pct"/>
            <w:tcBorders>
              <w:top w:val="single" w:sz="4" w:space="0" w:color="auto"/>
              <w:left w:val="nil"/>
              <w:bottom w:val="single" w:sz="4" w:space="0" w:color="auto"/>
              <w:right w:val="nil"/>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2023 N</w:t>
            </w:r>
          </w:p>
        </w:tc>
        <w:tc>
          <w:tcPr>
            <w:tcW w:w="504" w:type="pct"/>
            <w:tcBorders>
              <w:top w:val="single" w:sz="4" w:space="0" w:color="auto"/>
              <w:left w:val="nil"/>
              <w:bottom w:val="single" w:sz="4" w:space="0" w:color="auto"/>
              <w:right w:val="nil"/>
            </w:tcBorders>
            <w:shd w:val="clear" w:color="auto" w:fill="auto"/>
            <w:vAlign w:val="center"/>
          </w:tcPr>
          <w:p w:rsidR="00EE76B1" w:rsidRPr="00EE76B1" w:rsidRDefault="00EE76B1" w:rsidP="00EE76B1">
            <w:pPr>
              <w:spacing w:after="0" w:line="240" w:lineRule="auto"/>
              <w:jc w:val="right"/>
              <w:rPr>
                <w:rFonts w:ascii="Times New Roman" w:hAnsi="Times New Roman" w:cs="Times New Roman"/>
                <w:b/>
                <w:bCs/>
                <w:sz w:val="14"/>
                <w:szCs w:val="14"/>
              </w:rPr>
            </w:pPr>
            <w:r w:rsidRPr="00EE76B1">
              <w:rPr>
                <w:rFonts w:ascii="Times New Roman" w:hAnsi="Times New Roman" w:cs="Times New Roman"/>
                <w:b/>
                <w:bCs/>
                <w:sz w:val="14"/>
                <w:szCs w:val="14"/>
              </w:rPr>
              <w:t>2024 N</w:t>
            </w:r>
          </w:p>
        </w:tc>
      </w:tr>
      <w:tr w:rsidR="00EE76B1" w:rsidRPr="00EE76B1" w:rsidTr="00EE76B1">
        <w:trPr>
          <w:gridAfter w:val="1"/>
          <w:wAfter w:w="7" w:type="pct"/>
          <w:trHeight w:val="210"/>
          <w:jc w:val="center"/>
        </w:trPr>
        <w:tc>
          <w:tcPr>
            <w:tcW w:w="1453" w:type="pct"/>
            <w:tcBorders>
              <w:top w:val="single" w:sz="4" w:space="0" w:color="auto"/>
              <w:left w:val="nil"/>
              <w:bottom w:val="nil"/>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b/>
                <w:bCs/>
                <w:sz w:val="14"/>
                <w:szCs w:val="14"/>
              </w:rPr>
            </w:pPr>
            <w:r w:rsidRPr="00EE76B1">
              <w:rPr>
                <w:rFonts w:ascii="Times New Roman" w:hAnsi="Times New Roman" w:cs="Times New Roman"/>
                <w:b/>
                <w:bCs/>
                <w:sz w:val="14"/>
                <w:szCs w:val="14"/>
              </w:rPr>
              <w:t>Hrubý dlh verejnej správy</w:t>
            </w:r>
          </w:p>
        </w:tc>
        <w:tc>
          <w:tcPr>
            <w:tcW w:w="506" w:type="pct"/>
            <w:tcBorders>
              <w:top w:val="single" w:sz="4" w:space="0" w:color="auto"/>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49,6</w:t>
            </w:r>
          </w:p>
        </w:tc>
        <w:tc>
          <w:tcPr>
            <w:tcW w:w="506" w:type="pct"/>
            <w:tcBorders>
              <w:top w:val="single" w:sz="4" w:space="0" w:color="auto"/>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48,1</w:t>
            </w:r>
          </w:p>
        </w:tc>
        <w:tc>
          <w:tcPr>
            <w:tcW w:w="506" w:type="pct"/>
            <w:tcBorders>
              <w:top w:val="single" w:sz="4" w:space="0" w:color="auto"/>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59,7</w:t>
            </w:r>
          </w:p>
        </w:tc>
        <w:tc>
          <w:tcPr>
            <w:tcW w:w="506" w:type="pct"/>
            <w:tcBorders>
              <w:top w:val="single" w:sz="4" w:space="0" w:color="auto"/>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61,5</w:t>
            </w:r>
          </w:p>
        </w:tc>
        <w:tc>
          <w:tcPr>
            <w:tcW w:w="506" w:type="pct"/>
            <w:tcBorders>
              <w:top w:val="single" w:sz="4" w:space="0" w:color="auto"/>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61,5</w:t>
            </w:r>
          </w:p>
        </w:tc>
        <w:tc>
          <w:tcPr>
            <w:tcW w:w="506" w:type="pct"/>
            <w:tcBorders>
              <w:top w:val="single" w:sz="4" w:space="0" w:color="auto"/>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58,6</w:t>
            </w:r>
          </w:p>
        </w:tc>
        <w:tc>
          <w:tcPr>
            <w:tcW w:w="504" w:type="pct"/>
            <w:tcBorders>
              <w:top w:val="single" w:sz="4" w:space="0" w:color="auto"/>
              <w:left w:val="nil"/>
              <w:bottom w:val="nil"/>
              <w:right w:val="nil"/>
            </w:tcBorders>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58,7</w:t>
            </w:r>
          </w:p>
        </w:tc>
      </w:tr>
      <w:tr w:rsidR="00EE76B1" w:rsidRPr="00EE76B1" w:rsidTr="00EE76B1">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sz w:val="14"/>
                <w:szCs w:val="14"/>
              </w:rPr>
            </w:pPr>
            <w:r w:rsidRPr="00EE76B1">
              <w:rPr>
                <w:rFonts w:ascii="Times New Roman" w:hAnsi="Times New Roman" w:cs="Times New Roman"/>
                <w:sz w:val="14"/>
                <w:szCs w:val="14"/>
              </w:rPr>
              <w:t xml:space="preserve">  - štátny dlh (bez vplyvu medzinár. záväzkov)</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45,1</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43,6</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54,9</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57,1</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57,3</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54,7</w:t>
            </w:r>
          </w:p>
        </w:tc>
        <w:tc>
          <w:tcPr>
            <w:tcW w:w="504" w:type="pct"/>
            <w:tcBorders>
              <w:top w:val="nil"/>
              <w:left w:val="nil"/>
              <w:bottom w:val="nil"/>
              <w:right w:val="nil"/>
            </w:tcBorders>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54,9</w:t>
            </w:r>
          </w:p>
        </w:tc>
      </w:tr>
      <w:tr w:rsidR="00EE76B1" w:rsidRPr="00EE76B1" w:rsidTr="00EE76B1">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sz w:val="14"/>
                <w:szCs w:val="14"/>
              </w:rPr>
            </w:pPr>
            <w:r w:rsidRPr="00EE76B1">
              <w:rPr>
                <w:rFonts w:ascii="Times New Roman" w:hAnsi="Times New Roman" w:cs="Times New Roman"/>
                <w:sz w:val="14"/>
                <w:szCs w:val="14"/>
              </w:rPr>
              <w:t xml:space="preserve">  - podiel SR na dlhu EFSF</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2,1</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2,0</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2,0</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1,9</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1,8</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1,6</w:t>
            </w:r>
          </w:p>
        </w:tc>
        <w:tc>
          <w:tcPr>
            <w:tcW w:w="504" w:type="pct"/>
            <w:tcBorders>
              <w:top w:val="nil"/>
              <w:left w:val="nil"/>
              <w:bottom w:val="nil"/>
              <w:right w:val="nil"/>
            </w:tcBorders>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1,6</w:t>
            </w:r>
          </w:p>
        </w:tc>
      </w:tr>
      <w:tr w:rsidR="00EE76B1" w:rsidRPr="00EE76B1" w:rsidTr="00EE76B1">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sz w:val="14"/>
                <w:szCs w:val="14"/>
              </w:rPr>
            </w:pPr>
            <w:r w:rsidRPr="00EE76B1">
              <w:rPr>
                <w:rFonts w:ascii="Times New Roman" w:hAnsi="Times New Roman" w:cs="Times New Roman"/>
                <w:sz w:val="14"/>
                <w:szCs w:val="14"/>
              </w:rPr>
              <w:t xml:space="preserve">  - vklad v ESM</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0,7</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0,7</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0,9</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0,8</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0,8</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0,7</w:t>
            </w:r>
          </w:p>
        </w:tc>
        <w:tc>
          <w:tcPr>
            <w:tcW w:w="504" w:type="pct"/>
            <w:tcBorders>
              <w:top w:val="nil"/>
              <w:left w:val="nil"/>
              <w:bottom w:val="nil"/>
              <w:right w:val="nil"/>
            </w:tcBorders>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0,7</w:t>
            </w:r>
          </w:p>
        </w:tc>
      </w:tr>
      <w:tr w:rsidR="00EE76B1" w:rsidRPr="00EE76B1" w:rsidTr="00EE76B1">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sz w:val="14"/>
                <w:szCs w:val="14"/>
              </w:rPr>
            </w:pPr>
            <w:r w:rsidRPr="00EE76B1">
              <w:rPr>
                <w:rFonts w:ascii="Times New Roman" w:hAnsi="Times New Roman" w:cs="Times New Roman"/>
                <w:sz w:val="14"/>
                <w:szCs w:val="14"/>
              </w:rPr>
              <w:t xml:space="preserve">  - dlh ostatných subjektov verejnej správy</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1,6</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1,8</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2,0</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1,7</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1,6</w:t>
            </w:r>
          </w:p>
        </w:tc>
        <w:tc>
          <w:tcPr>
            <w:tcW w:w="506" w:type="pct"/>
            <w:tcBorders>
              <w:top w:val="nil"/>
              <w:left w:val="nil"/>
              <w:bottom w:val="nil"/>
              <w:right w:val="nil"/>
            </w:tcBorders>
            <w:shd w:val="clear" w:color="auto" w:fill="auto"/>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1,6</w:t>
            </w:r>
          </w:p>
        </w:tc>
        <w:tc>
          <w:tcPr>
            <w:tcW w:w="504" w:type="pct"/>
            <w:tcBorders>
              <w:top w:val="nil"/>
              <w:left w:val="nil"/>
              <w:bottom w:val="nil"/>
              <w:right w:val="nil"/>
            </w:tcBorders>
          </w:tcPr>
          <w:p w:rsidR="00EE76B1" w:rsidRPr="00EE76B1" w:rsidRDefault="00EE76B1" w:rsidP="00EE76B1">
            <w:pPr>
              <w:spacing w:after="0" w:line="240" w:lineRule="auto"/>
              <w:jc w:val="right"/>
              <w:rPr>
                <w:rFonts w:ascii="Times New Roman" w:hAnsi="Times New Roman" w:cs="Times New Roman"/>
                <w:sz w:val="14"/>
              </w:rPr>
            </w:pPr>
            <w:r w:rsidRPr="00EE76B1">
              <w:rPr>
                <w:rFonts w:ascii="Times New Roman" w:hAnsi="Times New Roman" w:cs="Times New Roman"/>
                <w:sz w:val="14"/>
              </w:rPr>
              <w:t>1,5</w:t>
            </w:r>
          </w:p>
        </w:tc>
      </w:tr>
      <w:tr w:rsidR="00EE76B1" w:rsidRPr="00EE76B1" w:rsidTr="00955E1D">
        <w:trPr>
          <w:gridAfter w:val="1"/>
          <w:wAfter w:w="7" w:type="pct"/>
          <w:trHeight w:val="210"/>
          <w:jc w:val="center"/>
        </w:trPr>
        <w:tc>
          <w:tcPr>
            <w:tcW w:w="1453" w:type="pct"/>
            <w:tcBorders>
              <w:top w:val="nil"/>
              <w:left w:val="nil"/>
              <w:bottom w:val="single" w:sz="4" w:space="0" w:color="auto"/>
              <w:right w:val="nil"/>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b/>
                <w:sz w:val="14"/>
                <w:szCs w:val="14"/>
              </w:rPr>
            </w:pPr>
            <w:r w:rsidRPr="00EE76B1">
              <w:rPr>
                <w:rFonts w:ascii="Times New Roman" w:hAnsi="Times New Roman" w:cs="Times New Roman"/>
                <w:b/>
                <w:sz w:val="14"/>
                <w:szCs w:val="14"/>
              </w:rPr>
              <w:t>Medziročná zmena hrubého dlhu</w:t>
            </w:r>
          </w:p>
        </w:tc>
        <w:tc>
          <w:tcPr>
            <w:tcW w:w="506" w:type="pct"/>
            <w:tcBorders>
              <w:top w:val="nil"/>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-2,0</w:t>
            </w:r>
          </w:p>
        </w:tc>
        <w:tc>
          <w:tcPr>
            <w:tcW w:w="506" w:type="pct"/>
            <w:tcBorders>
              <w:top w:val="nil"/>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-1,5</w:t>
            </w:r>
          </w:p>
        </w:tc>
        <w:tc>
          <w:tcPr>
            <w:tcW w:w="506" w:type="pct"/>
            <w:tcBorders>
              <w:top w:val="nil"/>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11,6</w:t>
            </w:r>
          </w:p>
        </w:tc>
        <w:tc>
          <w:tcPr>
            <w:tcW w:w="506" w:type="pct"/>
            <w:tcBorders>
              <w:top w:val="nil"/>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1,8</w:t>
            </w:r>
          </w:p>
        </w:tc>
        <w:tc>
          <w:tcPr>
            <w:tcW w:w="506" w:type="pct"/>
            <w:tcBorders>
              <w:top w:val="nil"/>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-0,1</w:t>
            </w:r>
          </w:p>
        </w:tc>
        <w:tc>
          <w:tcPr>
            <w:tcW w:w="506" w:type="pct"/>
            <w:tcBorders>
              <w:top w:val="nil"/>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-2,9</w:t>
            </w:r>
          </w:p>
        </w:tc>
        <w:tc>
          <w:tcPr>
            <w:tcW w:w="504" w:type="pct"/>
            <w:tcBorders>
              <w:top w:val="nil"/>
              <w:left w:val="nil"/>
              <w:bottom w:val="single" w:sz="4" w:space="0" w:color="auto"/>
              <w:right w:val="nil"/>
            </w:tcBorders>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0,1</w:t>
            </w:r>
          </w:p>
        </w:tc>
      </w:tr>
      <w:tr w:rsidR="00EE76B1" w:rsidRPr="00EE76B1" w:rsidTr="00955E1D">
        <w:trPr>
          <w:gridAfter w:val="1"/>
          <w:wAfter w:w="7" w:type="pct"/>
          <w:trHeight w:val="210"/>
          <w:jc w:val="center"/>
        </w:trPr>
        <w:tc>
          <w:tcPr>
            <w:tcW w:w="1453" w:type="pct"/>
            <w:tcBorders>
              <w:top w:val="single" w:sz="4" w:space="0" w:color="auto"/>
              <w:left w:val="nil"/>
              <w:bottom w:val="single" w:sz="4" w:space="0" w:color="auto"/>
              <w:right w:val="nil"/>
            </w:tcBorders>
            <w:shd w:val="clear" w:color="auto" w:fill="auto"/>
            <w:noWrap/>
            <w:vAlign w:val="center"/>
          </w:tcPr>
          <w:p w:rsidR="00EE76B1" w:rsidRPr="00EE76B1" w:rsidRDefault="00EE76B1" w:rsidP="00EE76B1">
            <w:pPr>
              <w:spacing w:after="0" w:line="240" w:lineRule="auto"/>
              <w:rPr>
                <w:rFonts w:ascii="Times New Roman" w:hAnsi="Times New Roman" w:cs="Times New Roman"/>
                <w:b/>
                <w:sz w:val="14"/>
                <w:szCs w:val="14"/>
              </w:rPr>
            </w:pPr>
            <w:r w:rsidRPr="00EE76B1">
              <w:rPr>
                <w:rFonts w:ascii="Times New Roman" w:hAnsi="Times New Roman" w:cs="Times New Roman"/>
                <w:b/>
                <w:sz w:val="14"/>
                <w:szCs w:val="14"/>
              </w:rPr>
              <w:t>Čistý dlh verejnej správy</w:t>
            </w:r>
          </w:p>
        </w:tc>
        <w:tc>
          <w:tcPr>
            <w:tcW w:w="506" w:type="pct"/>
            <w:tcBorders>
              <w:top w:val="single" w:sz="4" w:space="0" w:color="auto"/>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43,6</w:t>
            </w:r>
          </w:p>
        </w:tc>
        <w:tc>
          <w:tcPr>
            <w:tcW w:w="506" w:type="pct"/>
            <w:tcBorders>
              <w:top w:val="single" w:sz="4" w:space="0" w:color="auto"/>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43,3</w:t>
            </w:r>
          </w:p>
        </w:tc>
        <w:tc>
          <w:tcPr>
            <w:tcW w:w="506" w:type="pct"/>
            <w:tcBorders>
              <w:top w:val="single" w:sz="4" w:space="0" w:color="auto"/>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49,7</w:t>
            </w:r>
          </w:p>
        </w:tc>
        <w:tc>
          <w:tcPr>
            <w:tcW w:w="506" w:type="pct"/>
            <w:tcBorders>
              <w:top w:val="single" w:sz="4" w:space="0" w:color="auto"/>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55,5</w:t>
            </w:r>
          </w:p>
        </w:tc>
        <w:tc>
          <w:tcPr>
            <w:tcW w:w="506" w:type="pct"/>
            <w:tcBorders>
              <w:top w:val="single" w:sz="4" w:space="0" w:color="auto"/>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56,3</w:t>
            </w:r>
          </w:p>
        </w:tc>
        <w:tc>
          <w:tcPr>
            <w:tcW w:w="506" w:type="pct"/>
            <w:tcBorders>
              <w:top w:val="single" w:sz="4" w:space="0" w:color="auto"/>
              <w:left w:val="nil"/>
              <w:bottom w:val="single" w:sz="4" w:space="0" w:color="auto"/>
              <w:right w:val="nil"/>
            </w:tcBorders>
            <w:shd w:val="clear" w:color="auto" w:fill="auto"/>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54,9</w:t>
            </w:r>
          </w:p>
        </w:tc>
        <w:tc>
          <w:tcPr>
            <w:tcW w:w="504" w:type="pct"/>
            <w:tcBorders>
              <w:top w:val="single" w:sz="4" w:space="0" w:color="auto"/>
              <w:left w:val="nil"/>
              <w:bottom w:val="single" w:sz="4" w:space="0" w:color="auto"/>
              <w:right w:val="nil"/>
            </w:tcBorders>
          </w:tcPr>
          <w:p w:rsidR="00EE76B1" w:rsidRPr="00EE76B1" w:rsidRDefault="00EE76B1" w:rsidP="00EE76B1">
            <w:pPr>
              <w:spacing w:after="0" w:line="240" w:lineRule="auto"/>
              <w:jc w:val="right"/>
              <w:rPr>
                <w:rFonts w:ascii="Times New Roman" w:hAnsi="Times New Roman" w:cs="Times New Roman"/>
                <w:b/>
                <w:sz w:val="14"/>
              </w:rPr>
            </w:pPr>
            <w:r w:rsidRPr="00EE76B1">
              <w:rPr>
                <w:rFonts w:ascii="Times New Roman" w:hAnsi="Times New Roman" w:cs="Times New Roman"/>
                <w:b/>
                <w:sz w:val="14"/>
              </w:rPr>
              <w:t>55,8</w:t>
            </w:r>
          </w:p>
        </w:tc>
      </w:tr>
      <w:tr w:rsidR="00EE76B1" w:rsidRPr="00EE76B1" w:rsidTr="00EE76B1">
        <w:trPr>
          <w:trHeight w:val="667"/>
          <w:jc w:val="center"/>
        </w:trPr>
        <w:tc>
          <w:tcPr>
            <w:tcW w:w="5000" w:type="pct"/>
            <w:gridSpan w:val="9"/>
            <w:tcBorders>
              <w:top w:val="nil"/>
              <w:left w:val="nil"/>
              <w:bottom w:val="nil"/>
              <w:right w:val="nil"/>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4"/>
                <w:szCs w:val="14"/>
              </w:rPr>
            </w:pPr>
            <w:r w:rsidRPr="00EE76B1">
              <w:rPr>
                <w:rFonts w:ascii="Times New Roman" w:hAnsi="Times New Roman" w:cs="Times New Roman"/>
                <w:i/>
                <w:sz w:val="14"/>
                <w:szCs w:val="14"/>
              </w:rPr>
              <w:t>Zdroj: MF SR</w:t>
            </w:r>
          </w:p>
          <w:p w:rsidR="00EE76B1" w:rsidRPr="00EE76B1" w:rsidRDefault="00EE76B1" w:rsidP="00EE76B1">
            <w:pPr>
              <w:spacing w:after="0" w:line="240" w:lineRule="auto"/>
              <w:jc w:val="both"/>
              <w:rPr>
                <w:rFonts w:ascii="Times New Roman" w:hAnsi="Times New Roman" w:cs="Times New Roman"/>
                <w:i/>
                <w:sz w:val="14"/>
                <w:szCs w:val="14"/>
              </w:rPr>
            </w:pPr>
            <w:r w:rsidRPr="00EE76B1">
              <w:rPr>
                <w:rFonts w:ascii="Times New Roman" w:hAnsi="Times New Roman" w:cs="Times New Roman"/>
                <w:sz w:val="14"/>
                <w:szCs w:val="14"/>
              </w:rPr>
              <w:t>Pozn.: Prezentovaná prognóza hrubého dlhu počíta v prípade odhadov budúcich úrovní HDP aj so spätnou revíziu HDP do roku 2020 (podľa jesennej notifikácie Eurostatu). Reťazením nominálnych medziročných rastov HDP na roky 2021 až 2024 z poslednej prognózy Výboru pre makroekonomické prognózy je zostavený revidovaný časový rad očakávaných úrovní HDP. OS – očakávaná skutočnosť ku koncu roka; N – návrh rozpočtu.</w:t>
            </w:r>
          </w:p>
        </w:tc>
      </w:tr>
    </w:tbl>
    <w:p w:rsidR="00F54D87" w:rsidRDefault="00F54D87" w:rsidP="00F54D87">
      <w:pPr>
        <w:spacing w:after="0"/>
        <w:jc w:val="both"/>
        <w:rPr>
          <w:rFonts w:ascii="Times New Roman" w:hAnsi="Times New Roman" w:cs="Times New Roman"/>
          <w:b/>
          <w:sz w:val="24"/>
          <w:szCs w:val="24"/>
        </w:rPr>
      </w:pPr>
    </w:p>
    <w:p w:rsidR="00EE76B1" w:rsidRDefault="00EE76B1" w:rsidP="00F54D87">
      <w:pPr>
        <w:spacing w:after="0"/>
        <w:jc w:val="both"/>
        <w:rPr>
          <w:rFonts w:ascii="Times New Roman" w:hAnsi="Times New Roman" w:cs="Times New Roman"/>
        </w:rPr>
      </w:pPr>
      <w:r w:rsidRPr="004A1C37">
        <w:rPr>
          <w:rFonts w:ascii="Times New Roman" w:hAnsi="Times New Roman" w:cs="Times New Roman"/>
          <w:sz w:val="24"/>
          <w:szCs w:val="24"/>
        </w:rPr>
        <w:t>Z pohľadu hotovostných faktorov, ktoré prispievajú k zmene nominálnej výšky dlhu, bude na horizonte rozpočtu prevládať krytie hotovostného schodku štátneho rozpočtu.</w:t>
      </w:r>
      <w:r w:rsidRPr="00EE76B1">
        <w:rPr>
          <w:rFonts w:ascii="Times New Roman" w:hAnsi="Times New Roman" w:cs="Times New Roman"/>
          <w:sz w:val="24"/>
          <w:szCs w:val="24"/>
        </w:rPr>
        <w:t xml:space="preserve"> V rokoch 2022 až 2024 predpokladáme postupný pokles deficitu. Emisie štátnych dlhopisov zvyšujúce úroveň dlhu zároveň v tomto období nebudú plne postačovať na splácanie istiny dlhu a zároveň krytie novovytvorených hotovostných schodkov ŠR. Vo vyššej miere sa preto na celom horizonte očakáva uvoľňovanie finančných prostriedkov naakumulovaných v Štátnej pokladnici (ŠP). Úverová aktivita ostatných subjektov verejnej správy bude prispievať k celkovému zadlženiu negatívne vďaka previsu nových úverov nad objemom splácania istín. Metodické úpravy (napr. diskont pri emisii a splatení dlhopisov) ovplyvnia dlh negatívne, pričom negatívny vplyv vychádza najmä z emitovaných štátnych dlhopisov s dlhšou splatnosťou.</w:t>
      </w:r>
      <w:r w:rsidRPr="00EE76B1">
        <w:rPr>
          <w:rFonts w:ascii="Times New Roman" w:hAnsi="Times New Roman" w:cs="Times New Roman"/>
        </w:rPr>
        <w:t xml:space="preserve"> </w:t>
      </w:r>
    </w:p>
    <w:p w:rsidR="00F54D87" w:rsidRPr="00EE76B1" w:rsidRDefault="00F54D87" w:rsidP="00F54D87">
      <w:pPr>
        <w:spacing w:after="0"/>
        <w:jc w:val="both"/>
        <w:rPr>
          <w:rFonts w:ascii="Times New Roman" w:hAnsi="Times New Roman" w:cs="Times New Roman"/>
        </w:rPr>
      </w:pPr>
    </w:p>
    <w:p w:rsidR="00EE76B1" w:rsidRPr="00EE76B1" w:rsidRDefault="00EE76B1" w:rsidP="00F54D87">
      <w:pPr>
        <w:spacing w:after="0"/>
        <w:rPr>
          <w:rFonts w:ascii="Times New Roman" w:hAnsi="Times New Roman" w:cs="Times New Roman"/>
          <w:b/>
          <w:color w:val="5B9BD5" w:themeColor="accent1"/>
          <w:sz w:val="20"/>
          <w:szCs w:val="20"/>
        </w:rPr>
      </w:pPr>
      <w:bookmarkStart w:id="53" w:name="_Toc53080956"/>
      <w:bookmarkStart w:id="54" w:name="_Toc53086343"/>
      <w:bookmarkStart w:id="55" w:name="_Toc84845238"/>
      <w:r w:rsidRPr="00EE76B1">
        <w:rPr>
          <w:rFonts w:ascii="Times New Roman" w:hAnsi="Times New Roman" w:cs="Times New Roman"/>
          <w:b/>
          <w:color w:val="5B9BD5" w:themeColor="accent1"/>
          <w:sz w:val="20"/>
          <w:szCs w:val="20"/>
        </w:rPr>
        <w:t xml:space="preserve">Tabuľka </w:t>
      </w:r>
      <w:r w:rsidRPr="00EE76B1">
        <w:rPr>
          <w:rFonts w:ascii="Times New Roman" w:hAnsi="Times New Roman" w:cs="Times New Roman"/>
          <w:b/>
          <w:color w:val="5B9BD5" w:themeColor="accent1"/>
          <w:sz w:val="20"/>
          <w:szCs w:val="20"/>
        </w:rPr>
        <w:fldChar w:fldCharType="begin"/>
      </w:r>
      <w:r w:rsidRPr="00EE76B1">
        <w:rPr>
          <w:rFonts w:ascii="Times New Roman" w:hAnsi="Times New Roman" w:cs="Times New Roman"/>
          <w:b/>
          <w:color w:val="5B9BD5" w:themeColor="accent1"/>
          <w:sz w:val="20"/>
          <w:szCs w:val="20"/>
        </w:rPr>
        <w:instrText xml:space="preserve"> SEQ Tabuľka \* ARABIC </w:instrText>
      </w:r>
      <w:r w:rsidRPr="00EE76B1">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14</w:t>
      </w:r>
      <w:r w:rsidRPr="00EE76B1">
        <w:rPr>
          <w:rFonts w:ascii="Times New Roman" w:hAnsi="Times New Roman" w:cs="Times New Roman"/>
          <w:b/>
          <w:color w:val="5B9BD5" w:themeColor="accent1"/>
          <w:sz w:val="20"/>
          <w:szCs w:val="20"/>
        </w:rPr>
        <w:fldChar w:fldCharType="end"/>
      </w:r>
      <w:r w:rsidRPr="00EE76B1">
        <w:rPr>
          <w:rFonts w:ascii="Times New Roman" w:hAnsi="Times New Roman" w:cs="Times New Roman"/>
          <w:b/>
          <w:color w:val="5B9BD5" w:themeColor="accent1"/>
          <w:sz w:val="20"/>
          <w:szCs w:val="20"/>
        </w:rPr>
        <w:t xml:space="preserve"> - Vplyv na zmenu hrubého dlhu verejnej správy</w:t>
      </w:r>
      <w:bookmarkEnd w:id="53"/>
      <w:bookmarkEnd w:id="54"/>
      <w:r w:rsidRPr="00EE76B1">
        <w:rPr>
          <w:rFonts w:ascii="Times New Roman" w:hAnsi="Times New Roman" w:cs="Times New Roman"/>
          <w:b/>
          <w:color w:val="5B9BD5" w:themeColor="accent1"/>
          <w:sz w:val="20"/>
          <w:szCs w:val="20"/>
        </w:rPr>
        <w:t xml:space="preserve"> (mil. eur)</w:t>
      </w:r>
      <w:bookmarkEnd w:id="55"/>
    </w:p>
    <w:tbl>
      <w:tblPr>
        <w:tblW w:w="0" w:type="auto"/>
        <w:jc w:val="center"/>
        <w:tblCellMar>
          <w:left w:w="70" w:type="dxa"/>
          <w:right w:w="70" w:type="dxa"/>
        </w:tblCellMar>
        <w:tblLook w:val="04A0" w:firstRow="1" w:lastRow="0" w:firstColumn="1" w:lastColumn="0" w:noHBand="0" w:noVBand="1"/>
      </w:tblPr>
      <w:tblGrid>
        <w:gridCol w:w="4206"/>
        <w:gridCol w:w="671"/>
        <w:gridCol w:w="671"/>
        <w:gridCol w:w="671"/>
        <w:gridCol w:w="810"/>
        <w:gridCol w:w="708"/>
        <w:gridCol w:w="708"/>
        <w:gridCol w:w="627"/>
      </w:tblGrid>
      <w:tr w:rsidR="00EE76B1" w:rsidRPr="00EE76B1" w:rsidTr="00EE76B1">
        <w:trPr>
          <w:trHeight w:val="225"/>
          <w:jc w:val="center"/>
        </w:trPr>
        <w:tc>
          <w:tcPr>
            <w:tcW w:w="0" w:type="auto"/>
            <w:tcBorders>
              <w:top w:val="single" w:sz="4" w:space="0" w:color="auto"/>
              <w:bottom w:val="single" w:sz="4" w:space="0" w:color="auto"/>
            </w:tcBorders>
            <w:shd w:val="clear" w:color="auto" w:fill="auto"/>
            <w:noWrap/>
            <w:vAlign w:val="center"/>
            <w:hideMark/>
          </w:tcPr>
          <w:p w:rsidR="00EE76B1" w:rsidRPr="00EE76B1" w:rsidRDefault="00EE76B1" w:rsidP="00EE76B1">
            <w:pPr>
              <w:spacing w:after="0" w:line="240" w:lineRule="auto"/>
              <w:rPr>
                <w:rFonts w:ascii="Times New Roman" w:hAnsi="Times New Roman" w:cs="Times New Roman"/>
                <w:b/>
                <w:bCs/>
                <w:sz w:val="16"/>
                <w:szCs w:val="16"/>
              </w:rPr>
            </w:pPr>
            <w:r w:rsidRPr="00EE76B1">
              <w:rPr>
                <w:rFonts w:ascii="Times New Roman" w:hAnsi="Times New Roman" w:cs="Times New Roman"/>
                <w:b/>
                <w:bCs/>
                <w:sz w:val="16"/>
                <w:szCs w:val="16"/>
              </w:rPr>
              <w:t>(v mil. eur)  </w:t>
            </w:r>
          </w:p>
        </w:tc>
        <w:tc>
          <w:tcPr>
            <w:tcW w:w="0" w:type="auto"/>
            <w:tcBorders>
              <w:top w:val="single" w:sz="4" w:space="0" w:color="auto"/>
              <w:bottom w:val="single" w:sz="4" w:space="0" w:color="auto"/>
            </w:tcBorders>
            <w:shd w:val="clear" w:color="auto" w:fill="auto"/>
            <w:noWrap/>
            <w:hideMark/>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2018</w:t>
            </w:r>
          </w:p>
        </w:tc>
        <w:tc>
          <w:tcPr>
            <w:tcW w:w="0" w:type="auto"/>
            <w:tcBorders>
              <w:top w:val="single" w:sz="4" w:space="0" w:color="auto"/>
              <w:bottom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2019</w:t>
            </w:r>
          </w:p>
        </w:tc>
        <w:tc>
          <w:tcPr>
            <w:tcW w:w="0" w:type="auto"/>
            <w:tcBorders>
              <w:top w:val="single" w:sz="4" w:space="0" w:color="auto"/>
              <w:bottom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2020</w:t>
            </w:r>
          </w:p>
        </w:tc>
        <w:tc>
          <w:tcPr>
            <w:tcW w:w="0" w:type="auto"/>
            <w:tcBorders>
              <w:top w:val="single" w:sz="4" w:space="0" w:color="auto"/>
              <w:bottom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2021 OS</w:t>
            </w:r>
          </w:p>
        </w:tc>
        <w:tc>
          <w:tcPr>
            <w:tcW w:w="0" w:type="auto"/>
            <w:tcBorders>
              <w:top w:val="single" w:sz="4" w:space="0" w:color="auto"/>
              <w:bottom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2022 N</w:t>
            </w:r>
          </w:p>
        </w:tc>
        <w:tc>
          <w:tcPr>
            <w:tcW w:w="0" w:type="auto"/>
            <w:tcBorders>
              <w:top w:val="single" w:sz="4" w:space="0" w:color="auto"/>
              <w:bottom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2023 N</w:t>
            </w:r>
          </w:p>
        </w:tc>
        <w:tc>
          <w:tcPr>
            <w:tcW w:w="0" w:type="auto"/>
            <w:tcBorders>
              <w:top w:val="single" w:sz="4" w:space="0" w:color="auto"/>
              <w:bottom w:val="single" w:sz="4" w:space="0" w:color="auto"/>
            </w:tcBorders>
            <w:shd w:val="clear" w:color="auto" w:fill="auto"/>
          </w:tcPr>
          <w:p w:rsidR="00EE76B1" w:rsidRPr="00EE76B1" w:rsidRDefault="00EE76B1" w:rsidP="00EE76B1">
            <w:pPr>
              <w:spacing w:after="0" w:line="240" w:lineRule="auto"/>
              <w:jc w:val="right"/>
              <w:rPr>
                <w:rFonts w:ascii="Times New Roman" w:hAnsi="Times New Roman" w:cs="Times New Roman"/>
                <w:b/>
                <w:bCs/>
                <w:sz w:val="16"/>
                <w:szCs w:val="16"/>
              </w:rPr>
            </w:pPr>
            <w:r w:rsidRPr="00EE76B1">
              <w:rPr>
                <w:rFonts w:ascii="Times New Roman" w:hAnsi="Times New Roman" w:cs="Times New Roman"/>
                <w:b/>
                <w:sz w:val="16"/>
                <w:szCs w:val="16"/>
              </w:rPr>
              <w:t>2024 N</w:t>
            </w:r>
          </w:p>
        </w:tc>
      </w:tr>
      <w:tr w:rsidR="00EE76B1" w:rsidRPr="00EE76B1" w:rsidTr="00EE76B1">
        <w:trPr>
          <w:trHeight w:val="225"/>
          <w:jc w:val="center"/>
        </w:trPr>
        <w:tc>
          <w:tcPr>
            <w:tcW w:w="0" w:type="auto"/>
            <w:tcBorders>
              <w:top w:val="single" w:sz="4" w:space="0" w:color="auto"/>
            </w:tcBorders>
            <w:shd w:val="clear" w:color="auto" w:fill="auto"/>
            <w:noWrap/>
          </w:tcPr>
          <w:p w:rsidR="00EE76B1" w:rsidRPr="00EE76B1" w:rsidRDefault="00EE76B1" w:rsidP="00EE76B1">
            <w:pPr>
              <w:spacing w:after="0" w:line="240" w:lineRule="auto"/>
              <w:rPr>
                <w:rFonts w:ascii="Times New Roman" w:hAnsi="Times New Roman" w:cs="Times New Roman"/>
                <w:b/>
                <w:bCs/>
                <w:sz w:val="16"/>
                <w:szCs w:val="16"/>
                <w:lang w:eastAsia="sk-SK"/>
              </w:rPr>
            </w:pPr>
            <w:r w:rsidRPr="00EE76B1">
              <w:rPr>
                <w:rFonts w:ascii="Times New Roman" w:hAnsi="Times New Roman" w:cs="Times New Roman"/>
                <w:b/>
                <w:sz w:val="16"/>
                <w:szCs w:val="16"/>
              </w:rPr>
              <w:t>A. Hrubý dlh verejnej správy (k 1. 1.)</w:t>
            </w:r>
          </w:p>
        </w:tc>
        <w:tc>
          <w:tcPr>
            <w:tcW w:w="0" w:type="auto"/>
            <w:tcBorders>
              <w:top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43 572</w:t>
            </w:r>
          </w:p>
        </w:tc>
        <w:tc>
          <w:tcPr>
            <w:tcW w:w="0" w:type="auto"/>
            <w:tcBorders>
              <w:top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44 384</w:t>
            </w:r>
          </w:p>
        </w:tc>
        <w:tc>
          <w:tcPr>
            <w:tcW w:w="0" w:type="auto"/>
            <w:tcBorders>
              <w:top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45 277</w:t>
            </w:r>
          </w:p>
        </w:tc>
        <w:tc>
          <w:tcPr>
            <w:tcW w:w="0" w:type="auto"/>
            <w:tcBorders>
              <w:top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55 010</w:t>
            </w:r>
          </w:p>
        </w:tc>
        <w:tc>
          <w:tcPr>
            <w:tcW w:w="0" w:type="auto"/>
            <w:tcBorders>
              <w:top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59 963</w:t>
            </w:r>
          </w:p>
        </w:tc>
        <w:tc>
          <w:tcPr>
            <w:tcW w:w="0" w:type="auto"/>
            <w:tcBorders>
              <w:top w:val="single" w:sz="4" w:space="0" w:color="auto"/>
            </w:tcBorders>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64 884</w:t>
            </w:r>
          </w:p>
        </w:tc>
        <w:tc>
          <w:tcPr>
            <w:tcW w:w="0" w:type="auto"/>
            <w:tcBorders>
              <w:top w:val="single" w:sz="4" w:space="0" w:color="auto"/>
            </w:tcBorders>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66 746</w:t>
            </w:r>
          </w:p>
        </w:tc>
      </w:tr>
      <w:tr w:rsidR="00EE76B1" w:rsidRPr="00EE76B1" w:rsidTr="00EE76B1">
        <w:trPr>
          <w:trHeight w:val="225"/>
          <w:jc w:val="center"/>
        </w:trPr>
        <w:tc>
          <w:tcPr>
            <w:tcW w:w="0" w:type="auto"/>
            <w:shd w:val="clear" w:color="000000" w:fill="FFFFFF"/>
            <w:noWrap/>
          </w:tcPr>
          <w:p w:rsidR="00EE76B1" w:rsidRPr="00EE76B1" w:rsidRDefault="00EE76B1" w:rsidP="00EE76B1">
            <w:pPr>
              <w:spacing w:after="0" w:line="240" w:lineRule="auto"/>
              <w:rPr>
                <w:rFonts w:ascii="Times New Roman" w:hAnsi="Times New Roman" w:cs="Times New Roman"/>
                <w:b/>
                <w:bCs/>
                <w:sz w:val="16"/>
                <w:szCs w:val="16"/>
              </w:rPr>
            </w:pPr>
            <w:r w:rsidRPr="00EE76B1">
              <w:rPr>
                <w:rFonts w:ascii="Times New Roman" w:hAnsi="Times New Roman" w:cs="Times New Roman"/>
                <w:b/>
                <w:sz w:val="16"/>
                <w:szCs w:val="16"/>
              </w:rPr>
              <w:t>B. Celková medziročná zmena hrubého dlhu VS</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811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893</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9 733</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4 953</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4 921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1 862</w:t>
            </w:r>
          </w:p>
        </w:tc>
        <w:tc>
          <w:tcPr>
            <w:tcW w:w="0" w:type="auto"/>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2 031</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hotovostný deficit ŠR</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1 182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2 201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7 758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8 742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5 474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3 399</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3 180</w:t>
            </w:r>
          </w:p>
        </w:tc>
      </w:tr>
      <w:tr w:rsidR="00EE76B1" w:rsidRPr="00EE76B1" w:rsidTr="00EE76B1">
        <w:trPr>
          <w:trHeight w:val="216"/>
          <w:jc w:val="center"/>
        </w:trPr>
        <w:tc>
          <w:tcPr>
            <w:tcW w:w="0" w:type="auto"/>
            <w:shd w:val="clear" w:color="auto" w:fill="auto"/>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prostriedky ŠP využité na financovanie hotovostného deficitu ŠR</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-498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-1 586</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1 767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-4 235</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-711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-1 684</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-1 473</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zadlženie ostatných subjektov VS</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111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248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85</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-100</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41</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22</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250" w:firstLine="400"/>
              <w:rPr>
                <w:rFonts w:ascii="Times New Roman" w:hAnsi="Times New Roman" w:cs="Times New Roman"/>
                <w:sz w:val="16"/>
                <w:szCs w:val="16"/>
              </w:rPr>
            </w:pPr>
            <w:r w:rsidRPr="00EE76B1">
              <w:rPr>
                <w:rFonts w:ascii="Times New Roman" w:hAnsi="Times New Roman" w:cs="Times New Roman"/>
                <w:sz w:val="16"/>
                <w:szCs w:val="16"/>
              </w:rPr>
              <w:t>z toho: ŽSR + ZSSK</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-144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-5</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-9</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250" w:firstLine="400"/>
              <w:rPr>
                <w:rFonts w:ascii="Times New Roman" w:hAnsi="Times New Roman" w:cs="Times New Roman"/>
                <w:sz w:val="16"/>
                <w:szCs w:val="16"/>
              </w:rPr>
            </w:pPr>
            <w:r w:rsidRPr="00EE76B1">
              <w:rPr>
                <w:rFonts w:ascii="Times New Roman" w:hAnsi="Times New Roman" w:cs="Times New Roman"/>
                <w:sz w:val="16"/>
                <w:szCs w:val="16"/>
              </w:rPr>
              <w:t>z toho: NDS</w:t>
            </w:r>
          </w:p>
        </w:tc>
        <w:tc>
          <w:tcPr>
            <w:tcW w:w="0" w:type="auto"/>
            <w:shd w:val="clear" w:color="auto" w:fill="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-37</w:t>
            </w:r>
          </w:p>
        </w:tc>
        <w:tc>
          <w:tcPr>
            <w:tcW w:w="0" w:type="auto"/>
            <w:shd w:val="clear" w:color="auto" w:fill="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-42</w:t>
            </w:r>
          </w:p>
        </w:tc>
        <w:tc>
          <w:tcPr>
            <w:tcW w:w="0" w:type="auto"/>
            <w:shd w:val="clear" w:color="auto" w:fill="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-30</w:t>
            </w:r>
          </w:p>
        </w:tc>
        <w:tc>
          <w:tcPr>
            <w:tcW w:w="0" w:type="auto"/>
            <w:shd w:val="clear" w:color="auto" w:fill="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-37</w:t>
            </w:r>
          </w:p>
        </w:tc>
        <w:tc>
          <w:tcPr>
            <w:tcW w:w="0" w:type="auto"/>
            <w:shd w:val="clear" w:color="auto" w:fill="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-37</w:t>
            </w:r>
          </w:p>
        </w:tc>
        <w:tc>
          <w:tcPr>
            <w:tcW w:w="0" w:type="auto"/>
            <w:shd w:val="clear" w:color="auto" w:fill="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250" w:firstLine="400"/>
              <w:rPr>
                <w:rFonts w:ascii="Times New Roman" w:hAnsi="Times New Roman" w:cs="Times New Roman"/>
                <w:sz w:val="16"/>
                <w:szCs w:val="16"/>
              </w:rPr>
            </w:pPr>
            <w:r w:rsidRPr="00EE76B1">
              <w:rPr>
                <w:rFonts w:ascii="Times New Roman" w:hAnsi="Times New Roman" w:cs="Times New Roman"/>
                <w:sz w:val="16"/>
                <w:szCs w:val="16"/>
              </w:rPr>
              <w:t>z toho: Dopravné podniky obcí</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-15</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9</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15</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39</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33</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31</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250" w:firstLine="400"/>
              <w:rPr>
                <w:rFonts w:ascii="Times New Roman" w:hAnsi="Times New Roman" w:cs="Times New Roman"/>
                <w:sz w:val="16"/>
                <w:szCs w:val="16"/>
              </w:rPr>
            </w:pPr>
            <w:r w:rsidRPr="00EE76B1">
              <w:rPr>
                <w:rFonts w:ascii="Times New Roman" w:hAnsi="Times New Roman" w:cs="Times New Roman"/>
                <w:sz w:val="16"/>
                <w:szCs w:val="16"/>
              </w:rPr>
              <w:t>z toho: Samosprávy (obce + VÚC)</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16</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-8</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-17</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zmena záruk SR v EFSF</w:t>
            </w:r>
          </w:p>
        </w:tc>
        <w:tc>
          <w:tcPr>
            <w:tcW w:w="0" w:type="auto"/>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c>
          <w:tcPr>
            <w:tcW w:w="0" w:type="auto"/>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-21</w:t>
            </w:r>
          </w:p>
        </w:tc>
        <w:tc>
          <w:tcPr>
            <w:tcW w:w="0" w:type="auto"/>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c>
          <w:tcPr>
            <w:tcW w:w="0" w:type="auto"/>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c>
          <w:tcPr>
            <w:tcW w:w="0" w:type="auto"/>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c>
          <w:tcPr>
            <w:tcW w:w="0" w:type="auto"/>
            <w:shd w:val="clear" w:color="auto" w:fill="auto"/>
            <w:noWrap/>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c>
          <w:tcPr>
            <w:tcW w:w="0" w:type="auto"/>
            <w:vAlign w:val="center"/>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0</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emisný diskont</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28</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134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156</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305</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diskont pri splatnosti</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-16</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-49</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-6</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47" w:firstLine="75"/>
              <w:rPr>
                <w:rFonts w:ascii="Times New Roman" w:hAnsi="Times New Roman" w:cs="Times New Roman"/>
                <w:sz w:val="16"/>
                <w:szCs w:val="16"/>
              </w:rPr>
            </w:pPr>
            <w:r w:rsidRPr="00EE76B1">
              <w:rPr>
                <w:rFonts w:ascii="Times New Roman" w:hAnsi="Times New Roman" w:cs="Times New Roman"/>
                <w:sz w:val="16"/>
                <w:szCs w:val="16"/>
              </w:rPr>
              <w:t xml:space="preserve"> - ostatné</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16</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110</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526*</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-1</w:t>
            </w:r>
          </w:p>
        </w:tc>
        <w:tc>
          <w:tcPr>
            <w:tcW w:w="0" w:type="auto"/>
          </w:tcPr>
          <w:p w:rsidR="00EE76B1" w:rsidRPr="00EE76B1" w:rsidRDefault="00EE76B1" w:rsidP="00EE76B1">
            <w:pPr>
              <w:spacing w:after="0" w:line="240" w:lineRule="auto"/>
              <w:jc w:val="right"/>
              <w:rPr>
                <w:rFonts w:ascii="Times New Roman" w:hAnsi="Times New Roman" w:cs="Times New Roman"/>
                <w:sz w:val="16"/>
                <w:szCs w:val="16"/>
              </w:rPr>
            </w:pPr>
            <w:r w:rsidRPr="00EE76B1">
              <w:rPr>
                <w:rFonts w:ascii="Times New Roman" w:hAnsi="Times New Roman" w:cs="Times New Roman"/>
                <w:sz w:val="16"/>
                <w:szCs w:val="16"/>
              </w:rPr>
              <w:t>3</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rPr>
                <w:rFonts w:ascii="Times New Roman" w:hAnsi="Times New Roman" w:cs="Times New Roman"/>
                <w:b/>
                <w:bCs/>
                <w:sz w:val="16"/>
                <w:szCs w:val="16"/>
              </w:rPr>
            </w:pPr>
            <w:r w:rsidRPr="00EE76B1">
              <w:rPr>
                <w:rFonts w:ascii="Times New Roman" w:hAnsi="Times New Roman" w:cs="Times New Roman"/>
                <w:b/>
                <w:sz w:val="16"/>
                <w:szCs w:val="16"/>
              </w:rPr>
              <w:t>C. Hrubý dlh verejnej správy (k 31. 12.)</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44 384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45 277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55 010</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59 963</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64 884</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66 746</w:t>
            </w:r>
          </w:p>
        </w:tc>
        <w:tc>
          <w:tcPr>
            <w:tcW w:w="0" w:type="auto"/>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68 778</w:t>
            </w:r>
          </w:p>
        </w:tc>
      </w:tr>
      <w:tr w:rsidR="00EE76B1" w:rsidRPr="00EE76B1" w:rsidTr="00EE76B1">
        <w:trPr>
          <w:trHeight w:val="225"/>
          <w:jc w:val="center"/>
        </w:trPr>
        <w:tc>
          <w:tcPr>
            <w:tcW w:w="0" w:type="auto"/>
            <w:shd w:val="clear" w:color="auto" w:fill="auto"/>
            <w:noWrap/>
          </w:tcPr>
          <w:p w:rsidR="00EE76B1" w:rsidRPr="00EE76B1" w:rsidRDefault="00EE76B1" w:rsidP="00EE76B1">
            <w:pPr>
              <w:spacing w:after="0" w:line="240" w:lineRule="auto"/>
              <w:ind w:firstLineChars="100" w:firstLine="161"/>
              <w:rPr>
                <w:rFonts w:ascii="Times New Roman" w:hAnsi="Times New Roman" w:cs="Times New Roman"/>
                <w:b/>
                <w:bCs/>
                <w:sz w:val="16"/>
                <w:szCs w:val="16"/>
              </w:rPr>
            </w:pPr>
            <w:r w:rsidRPr="00EE76B1">
              <w:rPr>
                <w:rFonts w:ascii="Times New Roman" w:hAnsi="Times New Roman" w:cs="Times New Roman"/>
                <w:b/>
                <w:sz w:val="16"/>
                <w:szCs w:val="16"/>
              </w:rPr>
              <w:t>v % HDP</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49,6</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48,1</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59,7</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61,5</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61,5</w:t>
            </w:r>
          </w:p>
        </w:tc>
        <w:tc>
          <w:tcPr>
            <w:tcW w:w="0" w:type="auto"/>
            <w:shd w:val="clear" w:color="auto" w:fill="auto"/>
            <w:noWrap/>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58,6</w:t>
            </w:r>
          </w:p>
        </w:tc>
        <w:tc>
          <w:tcPr>
            <w:tcW w:w="0" w:type="auto"/>
          </w:tcPr>
          <w:p w:rsidR="00EE76B1" w:rsidRPr="00EE76B1" w:rsidRDefault="00EE76B1" w:rsidP="00EE76B1">
            <w:pPr>
              <w:spacing w:after="0" w:line="240" w:lineRule="auto"/>
              <w:jc w:val="right"/>
              <w:rPr>
                <w:rFonts w:ascii="Times New Roman" w:hAnsi="Times New Roman" w:cs="Times New Roman"/>
                <w:b/>
                <w:sz w:val="16"/>
                <w:szCs w:val="16"/>
              </w:rPr>
            </w:pPr>
            <w:r w:rsidRPr="00EE76B1">
              <w:rPr>
                <w:rFonts w:ascii="Times New Roman" w:hAnsi="Times New Roman" w:cs="Times New Roman"/>
                <w:b/>
                <w:sz w:val="16"/>
                <w:szCs w:val="16"/>
              </w:rPr>
              <w:t>58,7</w:t>
            </w:r>
          </w:p>
        </w:tc>
      </w:tr>
      <w:tr w:rsidR="00EE76B1" w:rsidRPr="00EE76B1" w:rsidTr="00EE76B1">
        <w:trPr>
          <w:trHeight w:val="225"/>
          <w:jc w:val="center"/>
        </w:trPr>
        <w:tc>
          <w:tcPr>
            <w:tcW w:w="0" w:type="auto"/>
            <w:tcBorders>
              <w:bottom w:val="single" w:sz="4" w:space="0" w:color="auto"/>
            </w:tcBorders>
            <w:shd w:val="clear" w:color="auto" w:fill="auto"/>
            <w:noWrap/>
          </w:tcPr>
          <w:p w:rsidR="00EE76B1" w:rsidRPr="00EE76B1" w:rsidRDefault="00EE76B1" w:rsidP="00EE76B1">
            <w:pPr>
              <w:spacing w:after="0" w:line="240" w:lineRule="auto"/>
              <w:rPr>
                <w:rFonts w:ascii="Times New Roman" w:hAnsi="Times New Roman" w:cs="Times New Roman"/>
                <w:i/>
                <w:sz w:val="16"/>
                <w:szCs w:val="16"/>
              </w:rPr>
            </w:pPr>
            <w:r w:rsidRPr="00EE76B1">
              <w:rPr>
                <w:rFonts w:ascii="Times New Roman" w:hAnsi="Times New Roman" w:cs="Times New Roman"/>
                <w:i/>
                <w:sz w:val="16"/>
                <w:szCs w:val="16"/>
              </w:rPr>
              <w:t>p.</w:t>
            </w:r>
            <w:r>
              <w:rPr>
                <w:rFonts w:ascii="Times New Roman" w:hAnsi="Times New Roman" w:cs="Times New Roman"/>
                <w:i/>
                <w:sz w:val="16"/>
                <w:szCs w:val="16"/>
              </w:rPr>
              <w:t xml:space="preserve"> </w:t>
            </w:r>
            <w:r w:rsidRPr="00EE76B1">
              <w:rPr>
                <w:rFonts w:ascii="Times New Roman" w:hAnsi="Times New Roman" w:cs="Times New Roman"/>
                <w:i/>
                <w:sz w:val="16"/>
                <w:szCs w:val="16"/>
              </w:rPr>
              <w:t>m. príspevok SR do ESM</w:t>
            </w:r>
          </w:p>
        </w:tc>
        <w:tc>
          <w:tcPr>
            <w:tcW w:w="0" w:type="auto"/>
            <w:tcBorders>
              <w:bottom w:val="single" w:sz="4" w:space="0" w:color="auto"/>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0</w:t>
            </w:r>
          </w:p>
        </w:tc>
        <w:tc>
          <w:tcPr>
            <w:tcW w:w="0" w:type="auto"/>
            <w:tcBorders>
              <w:bottom w:val="single" w:sz="4" w:space="0" w:color="auto"/>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0</w:t>
            </w:r>
          </w:p>
        </w:tc>
        <w:tc>
          <w:tcPr>
            <w:tcW w:w="0" w:type="auto"/>
            <w:tcBorders>
              <w:bottom w:val="single" w:sz="4" w:space="0" w:color="auto"/>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134</w:t>
            </w:r>
          </w:p>
        </w:tc>
        <w:tc>
          <w:tcPr>
            <w:tcW w:w="0" w:type="auto"/>
            <w:tcBorders>
              <w:bottom w:val="single" w:sz="4" w:space="0" w:color="auto"/>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0</w:t>
            </w:r>
          </w:p>
        </w:tc>
        <w:tc>
          <w:tcPr>
            <w:tcW w:w="0" w:type="auto"/>
            <w:tcBorders>
              <w:bottom w:val="single" w:sz="4" w:space="0" w:color="auto"/>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0</w:t>
            </w:r>
          </w:p>
        </w:tc>
        <w:tc>
          <w:tcPr>
            <w:tcW w:w="0" w:type="auto"/>
            <w:tcBorders>
              <w:bottom w:val="single" w:sz="4" w:space="0" w:color="auto"/>
            </w:tcBorders>
            <w:shd w:val="clear" w:color="auto" w:fill="auto"/>
            <w:noWrap/>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0</w:t>
            </w:r>
          </w:p>
        </w:tc>
        <w:tc>
          <w:tcPr>
            <w:tcW w:w="0" w:type="auto"/>
            <w:tcBorders>
              <w:bottom w:val="single" w:sz="4" w:space="0" w:color="auto"/>
            </w:tcBorders>
            <w:vAlign w:val="center"/>
          </w:tcPr>
          <w:p w:rsidR="00EE76B1" w:rsidRPr="00EE76B1" w:rsidRDefault="00EE76B1" w:rsidP="00EE76B1">
            <w:pPr>
              <w:spacing w:after="0" w:line="240" w:lineRule="auto"/>
              <w:jc w:val="right"/>
              <w:rPr>
                <w:rFonts w:ascii="Times New Roman" w:hAnsi="Times New Roman" w:cs="Times New Roman"/>
                <w:i/>
                <w:sz w:val="16"/>
                <w:szCs w:val="16"/>
              </w:rPr>
            </w:pPr>
            <w:r w:rsidRPr="00EE76B1">
              <w:rPr>
                <w:rFonts w:ascii="Times New Roman" w:hAnsi="Times New Roman" w:cs="Times New Roman"/>
                <w:i/>
                <w:sz w:val="16"/>
                <w:szCs w:val="16"/>
              </w:rPr>
              <w:t>0</w:t>
            </w:r>
          </w:p>
        </w:tc>
      </w:tr>
      <w:tr w:rsidR="00EE76B1" w:rsidRPr="00EE76B1" w:rsidTr="00EE76B1">
        <w:trPr>
          <w:trHeight w:val="573"/>
          <w:jc w:val="center"/>
        </w:trPr>
        <w:tc>
          <w:tcPr>
            <w:tcW w:w="0" w:type="auto"/>
            <w:gridSpan w:val="8"/>
            <w:tcBorders>
              <w:top w:val="single" w:sz="4" w:space="0" w:color="auto"/>
            </w:tcBorders>
            <w:shd w:val="clear" w:color="auto" w:fill="auto"/>
            <w:noWrap/>
            <w:vAlign w:val="center"/>
            <w:hideMark/>
          </w:tcPr>
          <w:p w:rsidR="00EE76B1" w:rsidRPr="00EE76B1" w:rsidRDefault="00EE76B1" w:rsidP="00EE76B1">
            <w:pPr>
              <w:spacing w:after="0" w:line="240" w:lineRule="auto"/>
              <w:jc w:val="right"/>
              <w:rPr>
                <w:rFonts w:ascii="Times New Roman" w:hAnsi="Times New Roman" w:cs="Times New Roman"/>
                <w:i/>
                <w:iCs/>
                <w:sz w:val="14"/>
                <w:szCs w:val="14"/>
              </w:rPr>
            </w:pPr>
            <w:r w:rsidRPr="00EE76B1">
              <w:rPr>
                <w:rFonts w:ascii="Times New Roman" w:hAnsi="Times New Roman" w:cs="Times New Roman"/>
                <w:i/>
                <w:iCs/>
                <w:sz w:val="14"/>
                <w:szCs w:val="14"/>
              </w:rPr>
              <w:t>Zdroj: MF SR</w:t>
            </w:r>
          </w:p>
          <w:p w:rsidR="00EE76B1" w:rsidRPr="00EE76B1" w:rsidRDefault="00EE76B1" w:rsidP="00EE76B1">
            <w:pPr>
              <w:spacing w:after="0" w:line="240" w:lineRule="auto"/>
              <w:jc w:val="both"/>
              <w:rPr>
                <w:rFonts w:ascii="Times New Roman" w:hAnsi="Times New Roman" w:cs="Times New Roman"/>
                <w:i/>
                <w:iCs/>
                <w:sz w:val="14"/>
                <w:szCs w:val="14"/>
              </w:rPr>
            </w:pPr>
            <w:r w:rsidRPr="00EE76B1">
              <w:rPr>
                <w:rFonts w:ascii="Times New Roman" w:hAnsi="Times New Roman" w:cs="Times New Roman"/>
                <w:i/>
                <w:iCs/>
                <w:sz w:val="14"/>
                <w:szCs w:val="14"/>
              </w:rPr>
              <w:t xml:space="preserve">Pozn.: Prognóza predpokladá hotovostné deficity ŠR pri splnení nominálnych cieľov deficitov VS, ktoré sa odlišujú od cieľov vo fiškálnom rámci rozpočtu. Na ich dosiahnutie sa predpokladá prijať dodatočné opatrenia podielom 50 % v štátnom rozpočte a 50 % pri ostatných subjektoch VS. </w:t>
            </w:r>
          </w:p>
          <w:p w:rsidR="00EE76B1" w:rsidRPr="00EE76B1" w:rsidRDefault="00EE76B1" w:rsidP="00EE76B1">
            <w:pPr>
              <w:spacing w:after="0" w:line="240" w:lineRule="auto"/>
              <w:jc w:val="both"/>
              <w:rPr>
                <w:rFonts w:ascii="Times New Roman" w:hAnsi="Times New Roman" w:cs="Times New Roman"/>
                <w:i/>
                <w:iCs/>
                <w:sz w:val="14"/>
                <w:szCs w:val="14"/>
              </w:rPr>
            </w:pPr>
            <w:r w:rsidRPr="00EE76B1">
              <w:rPr>
                <w:rFonts w:ascii="Times New Roman" w:hAnsi="Times New Roman" w:cs="Times New Roman"/>
                <w:i/>
                <w:iCs/>
                <w:sz w:val="14"/>
                <w:szCs w:val="14"/>
              </w:rPr>
              <w:t>Plusové položky zvyšujú dlh verejnej správy k 31.</w:t>
            </w:r>
            <w:r w:rsidR="00772873">
              <w:rPr>
                <w:rFonts w:ascii="Times New Roman" w:hAnsi="Times New Roman" w:cs="Times New Roman"/>
                <w:i/>
                <w:iCs/>
                <w:sz w:val="14"/>
                <w:szCs w:val="14"/>
              </w:rPr>
              <w:t xml:space="preserve"> </w:t>
            </w:r>
            <w:r w:rsidRPr="00EE76B1">
              <w:rPr>
                <w:rFonts w:ascii="Times New Roman" w:hAnsi="Times New Roman" w:cs="Times New Roman"/>
                <w:i/>
                <w:iCs/>
                <w:sz w:val="14"/>
                <w:szCs w:val="14"/>
              </w:rPr>
              <w:t>12. príslušného roku,</w:t>
            </w:r>
            <w:r w:rsidR="00772873">
              <w:rPr>
                <w:rFonts w:ascii="Times New Roman" w:hAnsi="Times New Roman" w:cs="Times New Roman"/>
                <w:i/>
                <w:iCs/>
                <w:sz w:val="14"/>
                <w:szCs w:val="14"/>
              </w:rPr>
              <w:t xml:space="preserve"> mínusové položky dlh znižujú</w:t>
            </w:r>
            <w:r w:rsidR="00772873" w:rsidRPr="009A796A">
              <w:rPr>
                <w:rFonts w:ascii="Times New Roman" w:hAnsi="Times New Roman" w:cs="Times New Roman"/>
                <w:i/>
                <w:iCs/>
                <w:sz w:val="14"/>
                <w:szCs w:val="14"/>
              </w:rPr>
              <w:t>.</w:t>
            </w:r>
            <w:r w:rsidRPr="009A796A">
              <w:rPr>
                <w:rFonts w:ascii="Times New Roman" w:hAnsi="Times New Roman" w:cs="Times New Roman"/>
                <w:i/>
                <w:iCs/>
                <w:sz w:val="14"/>
                <w:szCs w:val="14"/>
              </w:rPr>
              <w:t xml:space="preserve"> </w:t>
            </w:r>
            <w:r w:rsidR="00772873" w:rsidRPr="009A796A">
              <w:rPr>
                <w:rFonts w:ascii="Times New Roman" w:hAnsi="Times New Roman" w:cs="Times New Roman"/>
                <w:i/>
                <w:iCs/>
                <w:sz w:val="14"/>
                <w:szCs w:val="14"/>
              </w:rPr>
              <w:t>*</w:t>
            </w:r>
            <w:r w:rsidRPr="009A796A">
              <w:rPr>
                <w:rFonts w:ascii="Times New Roman" w:hAnsi="Times New Roman" w:cs="Times New Roman"/>
                <w:i/>
                <w:iCs/>
                <w:sz w:val="14"/>
                <w:szCs w:val="14"/>
              </w:rPr>
              <w:t>vrátane</w:t>
            </w:r>
            <w:r w:rsidRPr="00EE76B1">
              <w:rPr>
                <w:rFonts w:ascii="Times New Roman" w:hAnsi="Times New Roman" w:cs="Times New Roman"/>
                <w:i/>
                <w:iCs/>
                <w:sz w:val="14"/>
                <w:szCs w:val="14"/>
              </w:rPr>
              <w:t xml:space="preserve"> zdrojov subjektov mimo sektora VS</w:t>
            </w:r>
          </w:p>
          <w:p w:rsidR="00EE76B1" w:rsidRPr="00EE76B1" w:rsidRDefault="00EE76B1" w:rsidP="00EE76B1">
            <w:pPr>
              <w:rPr>
                <w:rFonts w:ascii="Times New Roman" w:hAnsi="Times New Roman"/>
                <w:sz w:val="16"/>
                <w:szCs w:val="16"/>
              </w:rPr>
            </w:pPr>
          </w:p>
        </w:tc>
      </w:tr>
    </w:tbl>
    <w:p w:rsidR="007F202B" w:rsidRDefault="007F202B" w:rsidP="007F202B">
      <w:pPr>
        <w:spacing w:after="0" w:line="240" w:lineRule="auto"/>
        <w:jc w:val="both"/>
        <w:rPr>
          <w:rFonts w:ascii="Times New Roman" w:hAnsi="Times New Roman" w:cs="Times New Roman"/>
          <w:sz w:val="24"/>
          <w:szCs w:val="24"/>
          <w:highlight w:val="yellow"/>
        </w:rPr>
      </w:pPr>
    </w:p>
    <w:p w:rsidR="00647A25" w:rsidRDefault="00647A25" w:rsidP="000C265D">
      <w:pPr>
        <w:spacing w:after="0" w:line="240" w:lineRule="auto"/>
        <w:jc w:val="both"/>
        <w:rPr>
          <w:rFonts w:ascii="Times New Roman" w:hAnsi="Times New Roman" w:cs="Times New Roman"/>
          <w:sz w:val="24"/>
          <w:szCs w:val="24"/>
        </w:rPr>
      </w:pPr>
    </w:p>
    <w:p w:rsidR="00214A4A" w:rsidRDefault="00214A4A" w:rsidP="000C265D">
      <w:pPr>
        <w:spacing w:after="0" w:line="240" w:lineRule="auto"/>
        <w:jc w:val="both"/>
        <w:rPr>
          <w:rFonts w:ascii="Times New Roman" w:hAnsi="Times New Roman" w:cs="Times New Roman"/>
          <w:sz w:val="24"/>
          <w:szCs w:val="24"/>
        </w:rPr>
      </w:pPr>
    </w:p>
    <w:p w:rsidR="00214A4A" w:rsidRDefault="00214A4A" w:rsidP="000C265D">
      <w:pPr>
        <w:spacing w:after="0" w:line="240" w:lineRule="auto"/>
        <w:jc w:val="both"/>
        <w:rPr>
          <w:rFonts w:ascii="Times New Roman" w:hAnsi="Times New Roman" w:cs="Times New Roman"/>
          <w:sz w:val="24"/>
          <w:szCs w:val="24"/>
        </w:rPr>
      </w:pPr>
    </w:p>
    <w:p w:rsidR="00214A4A" w:rsidRDefault="00214A4A" w:rsidP="000C265D">
      <w:pPr>
        <w:spacing w:after="0" w:line="240" w:lineRule="auto"/>
        <w:jc w:val="both"/>
        <w:rPr>
          <w:rFonts w:ascii="Times New Roman" w:hAnsi="Times New Roman" w:cs="Times New Roman"/>
          <w:sz w:val="24"/>
          <w:szCs w:val="24"/>
        </w:rPr>
      </w:pPr>
    </w:p>
    <w:p w:rsidR="00214A4A" w:rsidRDefault="00214A4A"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955E1D" w:rsidRDefault="00955E1D" w:rsidP="000C265D">
      <w:pPr>
        <w:spacing w:after="0" w:line="240" w:lineRule="auto"/>
        <w:jc w:val="both"/>
        <w:rPr>
          <w:rFonts w:ascii="Times New Roman" w:hAnsi="Times New Roman" w:cs="Times New Roman"/>
          <w:sz w:val="24"/>
          <w:szCs w:val="24"/>
        </w:rPr>
      </w:pPr>
    </w:p>
    <w:p w:rsidR="00B932F5" w:rsidRDefault="00B932F5" w:rsidP="000C265D">
      <w:pPr>
        <w:spacing w:after="0" w:line="240" w:lineRule="auto"/>
        <w:jc w:val="both"/>
        <w:rPr>
          <w:rFonts w:ascii="Times New Roman" w:hAnsi="Times New Roman" w:cs="Times New Roman"/>
          <w:sz w:val="24"/>
          <w:szCs w:val="24"/>
        </w:rPr>
      </w:pPr>
    </w:p>
    <w:p w:rsidR="000C265D" w:rsidRPr="00CE077C" w:rsidRDefault="000C265D" w:rsidP="00CE077C">
      <w:pPr>
        <w:pStyle w:val="Nadpis2"/>
        <w:spacing w:before="0" w:after="0"/>
        <w:jc w:val="both"/>
        <w:rPr>
          <w:rFonts w:ascii="Times New Roman" w:hAnsi="Times New Roman"/>
          <w:b w:val="0"/>
          <w:i w:val="0"/>
          <w:color w:val="5B9BD5" w:themeColor="accent1"/>
          <w:sz w:val="24"/>
        </w:rPr>
      </w:pPr>
      <w:bookmarkStart w:id="56" w:name="_Toc53040759"/>
      <w:bookmarkStart w:id="57" w:name="_Toc84684747"/>
      <w:r w:rsidRPr="00CE077C">
        <w:rPr>
          <w:rFonts w:ascii="Times New Roman" w:hAnsi="Times New Roman"/>
          <w:i w:val="0"/>
          <w:color w:val="5B9BD5" w:themeColor="accent1"/>
          <w:sz w:val="24"/>
        </w:rPr>
        <w:t>2.</w:t>
      </w:r>
      <w:r w:rsidR="001E1863">
        <w:rPr>
          <w:rFonts w:ascii="Times New Roman" w:hAnsi="Times New Roman"/>
          <w:i w:val="0"/>
          <w:color w:val="5B9BD5" w:themeColor="accent1"/>
          <w:sz w:val="24"/>
        </w:rPr>
        <w:t>4</w:t>
      </w:r>
      <w:r w:rsidRPr="00CE077C">
        <w:rPr>
          <w:rFonts w:ascii="Times New Roman" w:hAnsi="Times New Roman"/>
          <w:i w:val="0"/>
          <w:color w:val="5B9BD5" w:themeColor="accent1"/>
          <w:sz w:val="24"/>
        </w:rPr>
        <w:t>. Bilancia príjmov a výdavkov rozpo</w:t>
      </w:r>
      <w:r w:rsidR="007F202B">
        <w:rPr>
          <w:rFonts w:ascii="Times New Roman" w:hAnsi="Times New Roman"/>
          <w:i w:val="0"/>
          <w:color w:val="5B9BD5" w:themeColor="accent1"/>
          <w:sz w:val="24"/>
        </w:rPr>
        <w:t xml:space="preserve">čtu verejnej správy na roky 2022 až 2024 </w:t>
      </w:r>
      <w:r w:rsidR="007F202B">
        <w:rPr>
          <w:rFonts w:ascii="Times New Roman" w:hAnsi="Times New Roman"/>
          <w:i w:val="0"/>
          <w:color w:val="5B9BD5" w:themeColor="accent1"/>
          <w:sz w:val="24"/>
        </w:rPr>
        <w:br/>
        <w:t xml:space="preserve">        </w:t>
      </w:r>
      <w:r w:rsidRPr="00CE077C">
        <w:rPr>
          <w:rFonts w:ascii="Times New Roman" w:hAnsi="Times New Roman"/>
          <w:i w:val="0"/>
          <w:color w:val="5B9BD5" w:themeColor="accent1"/>
          <w:sz w:val="24"/>
        </w:rPr>
        <w:t>v metodike ESA 2010</w:t>
      </w:r>
      <w:bookmarkEnd w:id="56"/>
      <w:bookmarkEnd w:id="57"/>
    </w:p>
    <w:p w:rsidR="000C265D" w:rsidRDefault="000C265D" w:rsidP="000C265D">
      <w:pPr>
        <w:spacing w:after="0" w:line="240" w:lineRule="auto"/>
        <w:rPr>
          <w:lang w:eastAsia="cs-CZ"/>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Bilancia príjmov a výdavkov verejnej správy v metodike ESA 2010 poskytuje prehľad</w:t>
      </w:r>
      <w:r w:rsidRPr="008F5310">
        <w:rPr>
          <w:rFonts w:ascii="Times New Roman" w:hAnsi="Times New Roman" w:cs="Times New Roman"/>
          <w:sz w:val="24"/>
          <w:szCs w:val="24"/>
        </w:rPr>
        <w:t xml:space="preserve"> hlavných agregátnych položiek </w:t>
      </w:r>
      <w:r>
        <w:rPr>
          <w:rFonts w:ascii="Times New Roman" w:hAnsi="Times New Roman" w:cs="Times New Roman"/>
          <w:sz w:val="24"/>
          <w:szCs w:val="24"/>
        </w:rPr>
        <w:t>podľa</w:t>
      </w:r>
      <w:r w:rsidRPr="008F5310">
        <w:rPr>
          <w:rFonts w:ascii="Times New Roman" w:hAnsi="Times New Roman" w:cs="Times New Roman"/>
          <w:sz w:val="24"/>
          <w:szCs w:val="24"/>
        </w:rPr>
        <w:t> klasifikáci</w:t>
      </w:r>
      <w:r>
        <w:rPr>
          <w:rFonts w:ascii="Times New Roman" w:hAnsi="Times New Roman" w:cs="Times New Roman"/>
          <w:sz w:val="24"/>
          <w:szCs w:val="24"/>
        </w:rPr>
        <w:t>e</w:t>
      </w:r>
      <w:r w:rsidRPr="008F5310">
        <w:rPr>
          <w:rFonts w:ascii="Times New Roman" w:hAnsi="Times New Roman" w:cs="Times New Roman"/>
          <w:sz w:val="24"/>
          <w:szCs w:val="24"/>
        </w:rPr>
        <w:t xml:space="preserve"> ESA 2010</w:t>
      </w:r>
      <w:r>
        <w:rPr>
          <w:rFonts w:ascii="Times New Roman" w:hAnsi="Times New Roman" w:cs="Times New Roman"/>
          <w:sz w:val="24"/>
          <w:szCs w:val="24"/>
        </w:rPr>
        <w:t>, čím je dosiahnutá</w:t>
      </w:r>
      <w:r w:rsidRPr="008F5310">
        <w:rPr>
          <w:rFonts w:ascii="Times New Roman" w:hAnsi="Times New Roman" w:cs="Times New Roman"/>
          <w:sz w:val="24"/>
          <w:szCs w:val="24"/>
        </w:rPr>
        <w:t xml:space="preserve"> porovnateľn</w:t>
      </w:r>
      <w:r>
        <w:rPr>
          <w:rFonts w:ascii="Times New Roman" w:hAnsi="Times New Roman" w:cs="Times New Roman"/>
          <w:sz w:val="24"/>
          <w:szCs w:val="24"/>
        </w:rPr>
        <w:t xml:space="preserve">osť údajov rozpočtu verejnej správy </w:t>
      </w:r>
      <w:r w:rsidRPr="008F5310">
        <w:rPr>
          <w:rFonts w:ascii="Times New Roman" w:hAnsi="Times New Roman" w:cs="Times New Roman"/>
          <w:sz w:val="24"/>
          <w:szCs w:val="24"/>
        </w:rPr>
        <w:t xml:space="preserve">s Eurostatom notifikovanou dosiahnutou skutočnosťou </w:t>
      </w:r>
      <w:r>
        <w:rPr>
          <w:rFonts w:ascii="Times New Roman" w:hAnsi="Times New Roman" w:cs="Times New Roman"/>
          <w:sz w:val="24"/>
          <w:szCs w:val="24"/>
        </w:rPr>
        <w:t>za príslušný rok</w:t>
      </w:r>
      <w:r w:rsidRPr="008F5310">
        <w:rPr>
          <w:rFonts w:ascii="Times New Roman" w:hAnsi="Times New Roman" w:cs="Times New Roman"/>
          <w:sz w:val="24"/>
          <w:szCs w:val="24"/>
        </w:rPr>
        <w:t xml:space="preserve">. </w:t>
      </w:r>
    </w:p>
    <w:p w:rsidR="007E79C2" w:rsidRDefault="007E79C2" w:rsidP="007E79C2">
      <w:pPr>
        <w:spacing w:after="0" w:line="240" w:lineRule="auto"/>
        <w:jc w:val="both"/>
        <w:rPr>
          <w:rFonts w:ascii="Times New Roman" w:hAnsi="Times New Roman" w:cs="Times New Roman"/>
          <w:sz w:val="24"/>
          <w:szCs w:val="24"/>
        </w:rPr>
      </w:pPr>
    </w:p>
    <w:p w:rsidR="007E79C2" w:rsidRPr="000C41B0" w:rsidRDefault="007E79C2" w:rsidP="007E79C2">
      <w:pPr>
        <w:spacing w:after="0"/>
        <w:rPr>
          <w:rFonts w:ascii="Times New Roman" w:hAnsi="Times New Roman" w:cs="Times New Roman"/>
          <w:b/>
          <w:color w:val="5B9BD5" w:themeColor="accent1"/>
          <w:sz w:val="20"/>
          <w:szCs w:val="20"/>
        </w:rPr>
      </w:pPr>
      <w:bookmarkStart w:id="58" w:name="_Toc53040820"/>
      <w:bookmarkStart w:id="59" w:name="_Toc53086344"/>
      <w:bookmarkStart w:id="60" w:name="_Toc84845239"/>
      <w:r w:rsidRPr="000C41B0">
        <w:rPr>
          <w:rFonts w:ascii="Times New Roman" w:hAnsi="Times New Roman" w:cs="Times New Roman"/>
          <w:b/>
          <w:color w:val="5B9BD5" w:themeColor="accent1"/>
          <w:sz w:val="20"/>
          <w:szCs w:val="20"/>
        </w:rPr>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15</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Bilancia rozpo</w:t>
      </w:r>
      <w:r>
        <w:rPr>
          <w:rFonts w:ascii="Times New Roman" w:hAnsi="Times New Roman" w:cs="Times New Roman"/>
          <w:b/>
          <w:color w:val="5B9BD5" w:themeColor="accent1"/>
          <w:sz w:val="20"/>
          <w:szCs w:val="20"/>
        </w:rPr>
        <w:t>čtu verejnej správy na roky 2022 až 2024</w:t>
      </w:r>
      <w:r w:rsidRPr="000C41B0">
        <w:rPr>
          <w:rFonts w:ascii="Times New Roman" w:hAnsi="Times New Roman" w:cs="Times New Roman"/>
          <w:b/>
          <w:color w:val="5B9BD5" w:themeColor="accent1"/>
          <w:sz w:val="20"/>
          <w:szCs w:val="20"/>
        </w:rPr>
        <w:t xml:space="preserve"> v metodike ESA 2010</w:t>
      </w:r>
      <w:bookmarkEnd w:id="58"/>
      <w:bookmarkEnd w:id="59"/>
      <w:bookmarkEnd w:id="60"/>
    </w:p>
    <w:tbl>
      <w:tblPr>
        <w:tblW w:w="5000" w:type="pct"/>
        <w:tblCellMar>
          <w:left w:w="70" w:type="dxa"/>
          <w:right w:w="70" w:type="dxa"/>
        </w:tblCellMar>
        <w:tblLook w:val="04A0" w:firstRow="1" w:lastRow="0" w:firstColumn="1" w:lastColumn="0" w:noHBand="0" w:noVBand="1"/>
      </w:tblPr>
      <w:tblGrid>
        <w:gridCol w:w="3030"/>
        <w:gridCol w:w="1065"/>
        <w:gridCol w:w="711"/>
        <w:gridCol w:w="711"/>
        <w:gridCol w:w="711"/>
        <w:gridCol w:w="711"/>
        <w:gridCol w:w="711"/>
        <w:gridCol w:w="711"/>
        <w:gridCol w:w="711"/>
      </w:tblGrid>
      <w:tr w:rsidR="007E79C2" w:rsidRPr="009C2613" w:rsidTr="007C2BDC">
        <w:trPr>
          <w:trHeight w:val="289"/>
        </w:trPr>
        <w:tc>
          <w:tcPr>
            <w:tcW w:w="2977" w:type="dxa"/>
            <w:tcBorders>
              <w:top w:val="single" w:sz="4" w:space="0" w:color="auto"/>
              <w:left w:val="nil"/>
              <w:bottom w:val="single" w:sz="4" w:space="0" w:color="auto"/>
              <w:right w:val="nil"/>
            </w:tcBorders>
            <w:shd w:val="clear" w:color="auto" w:fill="auto"/>
            <w:vAlign w:val="center"/>
            <w:hideMark/>
          </w:tcPr>
          <w:p w:rsidR="007E79C2" w:rsidRPr="009C2613" w:rsidRDefault="007E79C2" w:rsidP="007C2BDC">
            <w:pPr>
              <w:spacing w:after="0" w:line="240" w:lineRule="auto"/>
              <w:jc w:val="center"/>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(v mil. eur)</w:t>
            </w:r>
          </w:p>
        </w:tc>
        <w:tc>
          <w:tcPr>
            <w:tcW w:w="1046"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ESA kód</w:t>
            </w:r>
          </w:p>
        </w:tc>
        <w:tc>
          <w:tcPr>
            <w:tcW w:w="699"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2019 S</w:t>
            </w:r>
          </w:p>
        </w:tc>
        <w:tc>
          <w:tcPr>
            <w:tcW w:w="699"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2020 S</w:t>
            </w:r>
          </w:p>
        </w:tc>
        <w:tc>
          <w:tcPr>
            <w:tcW w:w="699" w:type="dxa"/>
            <w:tcBorders>
              <w:top w:val="single" w:sz="4" w:space="0" w:color="auto"/>
              <w:left w:val="nil"/>
              <w:bottom w:val="single" w:sz="4" w:space="0" w:color="auto"/>
              <w:right w:val="nil"/>
            </w:tcBorders>
            <w:shd w:val="clear" w:color="auto" w:fill="auto"/>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2021 R</w:t>
            </w:r>
          </w:p>
        </w:tc>
        <w:tc>
          <w:tcPr>
            <w:tcW w:w="699"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2021 OS</w:t>
            </w:r>
          </w:p>
        </w:tc>
        <w:tc>
          <w:tcPr>
            <w:tcW w:w="699"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2022 N</w:t>
            </w:r>
          </w:p>
        </w:tc>
        <w:tc>
          <w:tcPr>
            <w:tcW w:w="699"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2023 N</w:t>
            </w:r>
          </w:p>
        </w:tc>
        <w:tc>
          <w:tcPr>
            <w:tcW w:w="699" w:type="dxa"/>
            <w:tcBorders>
              <w:top w:val="single" w:sz="4" w:space="0" w:color="auto"/>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2024 N</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Príjmy spolu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TR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38 817,5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38 109,8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39 644,1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40 812,6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44 173,9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47 690,5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47 675,6</w:t>
            </w:r>
          </w:p>
        </w:tc>
      </w:tr>
      <w:tr w:rsidR="007E79C2" w:rsidRPr="009C2613" w:rsidTr="007C2BDC">
        <w:trPr>
          <w:trHeight w:val="289"/>
        </w:trPr>
        <w:tc>
          <w:tcPr>
            <w:tcW w:w="2977"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v % HDP</w:t>
            </w:r>
          </w:p>
        </w:tc>
        <w:tc>
          <w:tcPr>
            <w:tcW w:w="1046"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 </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41,35</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41,83</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41,44</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41,88</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41,86</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41,87</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40,68</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Daňové príjmy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D.2R+D.5R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18 057,8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17 282,7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17 760,0</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18 906,2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20 289,3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21 854,2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22 340,9</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Dane z produkcie a dovozu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D.2R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11 264,5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11 129,6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11 465,6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11 740,0</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12 474,2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13 371,2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13 587,7</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Bežné dane z dôchodkov, majetku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D.5R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6 793,3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6 153,1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6 294,4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7 166,2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7 815,1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8 483,1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8 753,2</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Príspevky na sociálne zabezpečenie</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D.61R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14 314,8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14 472,8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15 257,3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15 275,7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15 845,8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16 705,8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17 405,7</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 xml:space="preserve">Nedaňové príjmy </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4 825,4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4 724,7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5 002,7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4 865,6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5 059,9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5 271,2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5 358,3</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Tržby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P.11+P.12+P.131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4 265,3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4 210,6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4 388,4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4 251,2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4 569,8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4 728,8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4 822,1</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Dôchodky z majetku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D.4R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560,2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514,1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614,3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614,3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490,1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542,3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536,2</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Granty a transfery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D.39+D.7R+D.9R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1 619,5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1 629,6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1 624,1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1 765,2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2 979,0</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3 859,3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2 570,7</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200" w:firstLine="281"/>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z toho: z EÚ</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200" w:firstLine="281"/>
              <w:rPr>
                <w:rFonts w:ascii="Times New Roman" w:eastAsia="Times New Roman" w:hAnsi="Times New Roman" w:cs="Times New Roman"/>
                <w:b/>
                <w:bCs/>
                <w:color w:val="000000"/>
                <w:sz w:val="14"/>
                <w:szCs w:val="14"/>
                <w:lang w:eastAsia="sk-SK"/>
              </w:rPr>
            </w:pP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944,8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1 027,8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1 175,1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1 204,5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2 336,8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3 394,7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2 089,6</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Ostatné bežné transfery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D.7R</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1 027,6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1 027,6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1 573,7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1 690,9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2 771,3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3 813,1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2 516,2</w:t>
            </w:r>
          </w:p>
        </w:tc>
      </w:tr>
      <w:tr w:rsidR="007E79C2" w:rsidRPr="009C2613" w:rsidTr="007C2BDC">
        <w:trPr>
          <w:trHeight w:val="289"/>
        </w:trPr>
        <w:tc>
          <w:tcPr>
            <w:tcW w:w="2977"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Kapitálové transfery</w:t>
            </w:r>
          </w:p>
        </w:tc>
        <w:tc>
          <w:tcPr>
            <w:tcW w:w="1046"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D.9R</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591,9</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602,0</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50,4</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74,3</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207,6</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46,2</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54,4</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Výdavky spolu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TE</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40 066,2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43 718,6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46 734,6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48 530,7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49 387,4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51 554,8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51 490,8</w:t>
            </w:r>
          </w:p>
        </w:tc>
      </w:tr>
      <w:tr w:rsidR="007E79C2" w:rsidRPr="009C2613" w:rsidTr="007C2BDC">
        <w:trPr>
          <w:trHeight w:val="289"/>
        </w:trPr>
        <w:tc>
          <w:tcPr>
            <w:tcW w:w="2977"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v % HDP</w:t>
            </w:r>
          </w:p>
        </w:tc>
        <w:tc>
          <w:tcPr>
            <w:tcW w:w="1046"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 </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42,68</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47,99</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48,85</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49,81</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46,80</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45,27</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43,94</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Bežné výdavky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 </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36 271,3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39 658,9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43 241,7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43 935,8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44 215,2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46 038,9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46 389,8</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Kompenzácie zamestnancov</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D.1P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9 609,4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10 463,8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10 340,6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10 634,4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10 597,1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10 832,9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11 126,4</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Medzispotreba</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P.2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5 258,0</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5 514,1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7 466,5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6 807,5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7 828,9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8</w:t>
            </w:r>
            <w:r>
              <w:rPr>
                <w:rFonts w:ascii="Times New Roman" w:eastAsia="Times New Roman" w:hAnsi="Times New Roman" w:cs="Times New Roman"/>
                <w:color w:val="000000"/>
                <w:sz w:val="14"/>
                <w:szCs w:val="14"/>
                <w:lang w:eastAsia="sk-SK"/>
              </w:rPr>
              <w:t> 564,9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8 216,1</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Dane</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D.2P+D.5P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158,4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161,5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118,1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118,1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112,9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118,5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126,1</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Subvencie</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 xml:space="preserve">D.3P </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928,1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1 236,6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1 393,1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1 688,7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1 118,1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1 248,6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1 071,6</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Dôchodky z majetku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D.4P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1 163,2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1 134,5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948,8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924,8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918,3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893,7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994,5</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Celkové sociálne transfery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D.6P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17 441,8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19 371,6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20 265,0</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21 538,7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20 305,6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21 230,6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22 145,4</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left="209" w:firstLineChars="50" w:firstLine="7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Sociálne dávky okrem naturálnych soc. transferov</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D.62P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12 599,6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14 454,6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14 836,7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16 242,5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14 883,4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15 544,5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16 216,0</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200" w:firstLine="280"/>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Naturálne sociálne transfery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D.632P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4 842,2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4 917,0</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5 428,3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5 296,2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5 422,2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5 686,1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5 929,4</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Ostatné bežné transfery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D.7P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1 712,4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1 776,9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2 709,6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2 223,7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3 334,4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3 149,8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2 709,6</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Kapitálové výdavky</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3 794,8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4 059,6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3 492,9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4 594,9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5 172,2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5 515,9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5 101,0</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Kapitálové investície</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P.5L</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3 429,8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3 329,4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3 274,5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4 133,2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4 828,9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5 227,2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4 874,5</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firstLineChars="200" w:firstLine="28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Tvorba hrubého fixného kapitálu</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P.51G</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3 354,1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3 192,6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3 286,3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4 069,3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4 788,6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5 147,8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4 665,6</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left="209" w:firstLineChars="50" w:firstLine="7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Z</w:t>
            </w:r>
            <w:r>
              <w:rPr>
                <w:rFonts w:ascii="Times New Roman" w:eastAsia="Times New Roman" w:hAnsi="Times New Roman" w:cs="Times New Roman"/>
                <w:color w:val="000000"/>
                <w:sz w:val="14"/>
                <w:szCs w:val="14"/>
                <w:lang w:eastAsia="sk-SK"/>
              </w:rPr>
              <w:t xml:space="preserve">mena stavu zásob a nadob. mínus </w:t>
            </w:r>
            <w:r w:rsidRPr="009C2613">
              <w:rPr>
                <w:rFonts w:ascii="Times New Roman" w:eastAsia="Times New Roman" w:hAnsi="Times New Roman" w:cs="Times New Roman"/>
                <w:color w:val="000000"/>
                <w:sz w:val="14"/>
                <w:szCs w:val="14"/>
                <w:lang w:eastAsia="sk-SK"/>
              </w:rPr>
              <w:t>úbytok cenností</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P.5M</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5,3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137,2</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34,7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88,7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64,6</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150,5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231,8</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ind w:left="209" w:firstLineChars="50" w:firstLine="7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Nadob. mínus úbytok nefinan. neprodukovaných aktív</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NP</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70,5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-0,4</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-46,5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-24,7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-24,3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-71,1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-22,9</w:t>
            </w:r>
          </w:p>
        </w:tc>
      </w:tr>
      <w:tr w:rsidR="007E79C2" w:rsidRPr="009C2613" w:rsidTr="007C2BDC">
        <w:trPr>
          <w:trHeight w:val="289"/>
        </w:trPr>
        <w:tc>
          <w:tcPr>
            <w:tcW w:w="2977"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Kapitálové transfery</w:t>
            </w:r>
          </w:p>
        </w:tc>
        <w:tc>
          <w:tcPr>
            <w:tcW w:w="1046"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2"/>
                <w:szCs w:val="12"/>
                <w:lang w:eastAsia="sk-SK"/>
              </w:rPr>
            </w:pPr>
            <w:r w:rsidRPr="009C2613">
              <w:rPr>
                <w:rFonts w:ascii="Times New Roman" w:eastAsia="Times New Roman" w:hAnsi="Times New Roman" w:cs="Times New Roman"/>
                <w:color w:val="000000"/>
                <w:sz w:val="12"/>
                <w:szCs w:val="12"/>
                <w:lang w:eastAsia="sk-SK"/>
              </w:rPr>
              <w:t>D.9P</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365,0</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730,2</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218,4</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461,6</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343,3</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288,7</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226,5</w:t>
            </w:r>
          </w:p>
        </w:tc>
      </w:tr>
      <w:tr w:rsidR="007E79C2" w:rsidRPr="009C2613" w:rsidTr="007C2BDC">
        <w:trPr>
          <w:trHeight w:val="289"/>
        </w:trPr>
        <w:tc>
          <w:tcPr>
            <w:tcW w:w="2977"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Čisté pôžičky poskytnuté (+) / prijaté (-)</w:t>
            </w:r>
          </w:p>
        </w:tc>
        <w:tc>
          <w:tcPr>
            <w:tcW w:w="1046"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color w:val="000000"/>
                <w:sz w:val="12"/>
                <w:szCs w:val="12"/>
                <w:lang w:eastAsia="sk-SK"/>
              </w:rPr>
            </w:pPr>
            <w:r w:rsidRPr="009C2613">
              <w:rPr>
                <w:rFonts w:ascii="Times New Roman" w:eastAsia="Times New Roman" w:hAnsi="Times New Roman" w:cs="Times New Roman"/>
                <w:b/>
                <w:bCs/>
                <w:color w:val="000000"/>
                <w:sz w:val="12"/>
                <w:szCs w:val="12"/>
                <w:lang w:eastAsia="sk-SK"/>
              </w:rPr>
              <w:t>B.9</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-1 248,7</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-5 608,8</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-7 090,5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-7 718,1</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-5 213,5</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w:t>
            </w:r>
            <w:r>
              <w:rPr>
                <w:rFonts w:ascii="Times New Roman" w:eastAsia="Times New Roman" w:hAnsi="Times New Roman" w:cs="Times New Roman"/>
                <w:b/>
                <w:bCs/>
                <w:color w:val="000000"/>
                <w:sz w:val="14"/>
                <w:szCs w:val="14"/>
                <w:lang w:eastAsia="sk-SK"/>
              </w:rPr>
              <w:t> 864,3</w:t>
            </w:r>
          </w:p>
        </w:tc>
        <w:tc>
          <w:tcPr>
            <w:tcW w:w="699" w:type="dxa"/>
            <w:tcBorders>
              <w:top w:val="nil"/>
              <w:left w:val="nil"/>
              <w:bottom w:val="nil"/>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-3</w:t>
            </w:r>
            <w:r>
              <w:rPr>
                <w:rFonts w:ascii="Times New Roman" w:eastAsia="Times New Roman" w:hAnsi="Times New Roman" w:cs="Times New Roman"/>
                <w:b/>
                <w:bCs/>
                <w:color w:val="000000"/>
                <w:sz w:val="14"/>
                <w:szCs w:val="14"/>
                <w:lang w:eastAsia="sk-SK"/>
              </w:rPr>
              <w:t> 815,2</w:t>
            </w:r>
          </w:p>
        </w:tc>
      </w:tr>
      <w:tr w:rsidR="007E79C2" w:rsidRPr="009C2613" w:rsidTr="007C2BDC">
        <w:trPr>
          <w:trHeight w:val="289"/>
        </w:trPr>
        <w:tc>
          <w:tcPr>
            <w:tcW w:w="2977"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v % HDP</w:t>
            </w:r>
          </w:p>
        </w:tc>
        <w:tc>
          <w:tcPr>
            <w:tcW w:w="1046"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color w:val="000000"/>
                <w:sz w:val="14"/>
                <w:szCs w:val="14"/>
                <w:lang w:eastAsia="sk-SK"/>
              </w:rPr>
            </w:pPr>
            <w:r w:rsidRPr="009C2613">
              <w:rPr>
                <w:rFonts w:ascii="Times New Roman" w:eastAsia="Times New Roman" w:hAnsi="Times New Roman" w:cs="Times New Roman"/>
                <w:color w:val="000000"/>
                <w:sz w:val="14"/>
                <w:szCs w:val="14"/>
                <w:lang w:eastAsia="sk-SK"/>
              </w:rPr>
              <w:t> </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-1,33</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-6,16</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-7,41</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-7,92</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-4,94</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w:t>
            </w:r>
            <w:r>
              <w:rPr>
                <w:rFonts w:ascii="Times New Roman" w:eastAsia="Times New Roman" w:hAnsi="Times New Roman" w:cs="Times New Roman"/>
                <w:sz w:val="14"/>
                <w:szCs w:val="14"/>
                <w:lang w:eastAsia="sk-SK"/>
              </w:rPr>
              <w:t>3,39</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sz w:val="14"/>
                <w:szCs w:val="14"/>
                <w:lang w:eastAsia="sk-SK"/>
              </w:rPr>
            </w:pPr>
            <w:r w:rsidRPr="009C2613">
              <w:rPr>
                <w:rFonts w:ascii="Times New Roman" w:eastAsia="Times New Roman" w:hAnsi="Times New Roman" w:cs="Times New Roman"/>
                <w:sz w:val="14"/>
                <w:szCs w:val="14"/>
                <w:lang w:eastAsia="sk-SK"/>
              </w:rPr>
              <w:t>-</w:t>
            </w:r>
            <w:r>
              <w:rPr>
                <w:rFonts w:ascii="Times New Roman" w:eastAsia="Times New Roman" w:hAnsi="Times New Roman" w:cs="Times New Roman"/>
                <w:sz w:val="14"/>
                <w:szCs w:val="14"/>
                <w:lang w:eastAsia="sk-SK"/>
              </w:rPr>
              <w:t>3,26</w:t>
            </w:r>
          </w:p>
        </w:tc>
      </w:tr>
      <w:tr w:rsidR="007E79C2" w:rsidRPr="009C2613" w:rsidTr="007C2BDC">
        <w:trPr>
          <w:trHeight w:val="289"/>
        </w:trPr>
        <w:tc>
          <w:tcPr>
            <w:tcW w:w="2977"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HDP</w:t>
            </w:r>
          </w:p>
        </w:tc>
        <w:tc>
          <w:tcPr>
            <w:tcW w:w="1046"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center"/>
              <w:rPr>
                <w:rFonts w:ascii="Times New Roman" w:eastAsia="Times New Roman" w:hAnsi="Times New Roman" w:cs="Times New Roman"/>
                <w:b/>
                <w:bCs/>
                <w:sz w:val="14"/>
                <w:szCs w:val="14"/>
                <w:lang w:eastAsia="sk-SK"/>
              </w:rPr>
            </w:pPr>
            <w:r w:rsidRPr="009C2613">
              <w:rPr>
                <w:rFonts w:ascii="Times New Roman" w:eastAsia="Times New Roman" w:hAnsi="Times New Roman" w:cs="Times New Roman"/>
                <w:b/>
                <w:bCs/>
                <w:sz w:val="14"/>
                <w:szCs w:val="14"/>
                <w:lang w:eastAsia="sk-SK"/>
              </w:rPr>
              <w:t> </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93 865,2</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91 104,8</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95 661,7</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97 439,6</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105 535,5</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113 889,5</w:t>
            </w:r>
          </w:p>
        </w:tc>
        <w:tc>
          <w:tcPr>
            <w:tcW w:w="699" w:type="dxa"/>
            <w:tcBorders>
              <w:top w:val="nil"/>
              <w:left w:val="nil"/>
              <w:bottom w:val="single" w:sz="4" w:space="0" w:color="auto"/>
              <w:right w:val="nil"/>
            </w:tcBorders>
            <w:shd w:val="clear" w:color="auto" w:fill="auto"/>
            <w:noWrap/>
            <w:vAlign w:val="center"/>
            <w:hideMark/>
          </w:tcPr>
          <w:p w:rsidR="007E79C2" w:rsidRPr="009C2613" w:rsidRDefault="007E79C2" w:rsidP="007C2BDC">
            <w:pPr>
              <w:spacing w:after="0" w:line="240" w:lineRule="auto"/>
              <w:jc w:val="right"/>
              <w:rPr>
                <w:rFonts w:ascii="Times New Roman" w:eastAsia="Times New Roman" w:hAnsi="Times New Roman" w:cs="Times New Roman"/>
                <w:b/>
                <w:bCs/>
                <w:color w:val="000000"/>
                <w:sz w:val="14"/>
                <w:szCs w:val="14"/>
                <w:lang w:eastAsia="sk-SK"/>
              </w:rPr>
            </w:pPr>
            <w:r w:rsidRPr="009C2613">
              <w:rPr>
                <w:rFonts w:ascii="Times New Roman" w:eastAsia="Times New Roman" w:hAnsi="Times New Roman" w:cs="Times New Roman"/>
                <w:b/>
                <w:bCs/>
                <w:color w:val="000000"/>
                <w:sz w:val="14"/>
                <w:szCs w:val="14"/>
                <w:lang w:eastAsia="sk-SK"/>
              </w:rPr>
              <w:t>117 190,9</w:t>
            </w:r>
          </w:p>
        </w:tc>
      </w:tr>
    </w:tbl>
    <w:p w:rsidR="007E79C2" w:rsidRPr="000650EC" w:rsidRDefault="007E79C2" w:rsidP="007E79C2">
      <w:pPr>
        <w:spacing w:after="0" w:line="240" w:lineRule="auto"/>
        <w:contextualSpacing/>
        <w:jc w:val="right"/>
        <w:rPr>
          <w:rFonts w:ascii="Times New Roman" w:hAnsi="Times New Roman" w:cs="Times New Roman"/>
          <w:i/>
          <w:sz w:val="14"/>
          <w:szCs w:val="14"/>
        </w:rPr>
      </w:pPr>
      <w:r w:rsidRPr="000650EC">
        <w:rPr>
          <w:rFonts w:ascii="Times New Roman" w:hAnsi="Times New Roman" w:cs="Times New Roman"/>
          <w:i/>
          <w:sz w:val="14"/>
          <w:szCs w:val="14"/>
        </w:rPr>
        <w:t>Zdroj: MF SR</w:t>
      </w:r>
    </w:p>
    <w:p w:rsidR="00517772" w:rsidRPr="00A3112B" w:rsidRDefault="00517772" w:rsidP="00517772">
      <w:pPr>
        <w:autoSpaceDE w:val="0"/>
        <w:autoSpaceDN w:val="0"/>
        <w:spacing w:after="0" w:line="240" w:lineRule="auto"/>
        <w:jc w:val="both"/>
        <w:rPr>
          <w:rFonts w:ascii="Times New Roman" w:hAnsi="Times New Roman" w:cs="Times New Roman"/>
          <w:sz w:val="24"/>
          <w:lang w:eastAsia="cs-CZ"/>
        </w:rPr>
      </w:pPr>
    </w:p>
    <w:p w:rsidR="00517772" w:rsidRDefault="00517772" w:rsidP="00517772">
      <w:pPr>
        <w:autoSpaceDE w:val="0"/>
        <w:autoSpaceDN w:val="0"/>
        <w:spacing w:after="0" w:line="240" w:lineRule="auto"/>
        <w:jc w:val="both"/>
        <w:rPr>
          <w:rFonts w:ascii="Times New Roman" w:hAnsi="Times New Roman" w:cs="Times New Roman"/>
          <w:sz w:val="24"/>
          <w:szCs w:val="24"/>
        </w:rPr>
      </w:pPr>
    </w:p>
    <w:p w:rsidR="00214A4A" w:rsidRPr="00A3112B" w:rsidRDefault="00214A4A" w:rsidP="00517772">
      <w:pPr>
        <w:autoSpaceDE w:val="0"/>
        <w:autoSpaceDN w:val="0"/>
        <w:spacing w:after="0" w:line="240" w:lineRule="auto"/>
        <w:jc w:val="both"/>
        <w:rPr>
          <w:rFonts w:ascii="Times New Roman" w:hAnsi="Times New Roman" w:cs="Times New Roman"/>
          <w:sz w:val="24"/>
          <w:szCs w:val="24"/>
        </w:rPr>
      </w:pPr>
    </w:p>
    <w:p w:rsidR="00517772" w:rsidRPr="00DB66AD" w:rsidRDefault="00517772" w:rsidP="00517772">
      <w:pPr>
        <w:spacing w:after="0" w:line="240" w:lineRule="auto"/>
        <w:rPr>
          <w:rFonts w:ascii="Times New Roman" w:eastAsia="Times New Roman" w:hAnsi="Times New Roman" w:cs="Times New Roman"/>
          <w:b/>
          <w:bCs/>
          <w:color w:val="5B9BD5" w:themeColor="accent1"/>
          <w:kern w:val="32"/>
          <w:sz w:val="24"/>
          <w:szCs w:val="24"/>
          <w:lang w:eastAsia="cs-CZ"/>
        </w:rPr>
      </w:pPr>
      <w:r w:rsidRPr="00DB66AD">
        <w:rPr>
          <w:rFonts w:ascii="Times New Roman" w:eastAsia="Times New Roman" w:hAnsi="Times New Roman" w:cs="Times New Roman"/>
          <w:b/>
          <w:bCs/>
          <w:color w:val="5B9BD5" w:themeColor="accent1"/>
          <w:kern w:val="32"/>
          <w:sz w:val="24"/>
          <w:szCs w:val="24"/>
          <w:lang w:eastAsia="cs-CZ"/>
        </w:rPr>
        <w:t>Celkové príjmy rozp</w:t>
      </w:r>
      <w:r>
        <w:rPr>
          <w:rFonts w:ascii="Times New Roman" w:eastAsia="Times New Roman" w:hAnsi="Times New Roman" w:cs="Times New Roman"/>
          <w:b/>
          <w:bCs/>
          <w:color w:val="5B9BD5" w:themeColor="accent1"/>
          <w:kern w:val="32"/>
          <w:sz w:val="24"/>
          <w:szCs w:val="24"/>
          <w:lang w:eastAsia="cs-CZ"/>
        </w:rPr>
        <w:t>očtu verejnej správy na rok 2022</w:t>
      </w:r>
    </w:p>
    <w:p w:rsidR="00517772" w:rsidRDefault="00517772" w:rsidP="00517772">
      <w:pPr>
        <w:spacing w:after="0" w:line="240" w:lineRule="auto"/>
        <w:jc w:val="both"/>
        <w:rPr>
          <w:rFonts w:ascii="Times New Roman" w:hAnsi="Times New Roman" w:cs="Times New Roman"/>
          <w:sz w:val="24"/>
          <w:szCs w:val="24"/>
        </w:rPr>
      </w:pPr>
    </w:p>
    <w:p w:rsidR="007E79C2" w:rsidRPr="008F5310" w:rsidRDefault="007E79C2" w:rsidP="007E79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Celkové príjmy rozpočtu verejnej správy na rok 2022 sa rozpočtujú v objeme 44,2 mld. eur, čo predstavuje 41,9 % HDP. </w:t>
      </w:r>
      <w:r w:rsidRPr="008F5310">
        <w:rPr>
          <w:rFonts w:ascii="Times New Roman" w:hAnsi="Times New Roman" w:cs="Times New Roman"/>
          <w:sz w:val="24"/>
          <w:szCs w:val="24"/>
        </w:rPr>
        <w:t xml:space="preserve">Príjmová strana </w:t>
      </w:r>
      <w:r>
        <w:rPr>
          <w:rFonts w:ascii="Times New Roman" w:hAnsi="Times New Roman" w:cs="Times New Roman"/>
          <w:sz w:val="24"/>
          <w:szCs w:val="24"/>
        </w:rPr>
        <w:t>rozpočtu</w:t>
      </w:r>
      <w:r w:rsidRPr="008F5310">
        <w:rPr>
          <w:rFonts w:ascii="Times New Roman" w:hAnsi="Times New Roman" w:cs="Times New Roman"/>
          <w:sz w:val="24"/>
          <w:szCs w:val="24"/>
        </w:rPr>
        <w:t xml:space="preserve"> verejnej správy pozostáva z daňových príjmov, príspevkov na sociálne zabezpečenie, nedaňových príjmov a grantov a transferov. </w:t>
      </w:r>
    </w:p>
    <w:p w:rsidR="007E79C2" w:rsidRDefault="007E79C2" w:rsidP="007E79C2">
      <w:pPr>
        <w:spacing w:after="0" w:line="240" w:lineRule="auto"/>
        <w:jc w:val="both"/>
        <w:rPr>
          <w:rFonts w:ascii="Times New Roman" w:hAnsi="Times New Roman" w:cs="Times New Roman"/>
          <w:b/>
          <w:sz w:val="24"/>
          <w:szCs w:val="24"/>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Daňové príjmy s</w:t>
      </w:r>
      <w:r>
        <w:rPr>
          <w:rFonts w:ascii="Times New Roman" w:hAnsi="Times New Roman" w:cs="Times New Roman"/>
          <w:sz w:val="24"/>
          <w:szCs w:val="24"/>
        </w:rPr>
        <w:t>vojím rozpočtovaným objemom 20,3 mld. eur na rok 2022</w:t>
      </w:r>
      <w:r w:rsidRPr="00DB66AD">
        <w:rPr>
          <w:rFonts w:ascii="Times New Roman" w:hAnsi="Times New Roman" w:cs="Times New Roman"/>
          <w:sz w:val="24"/>
          <w:szCs w:val="24"/>
        </w:rPr>
        <w:t xml:space="preserve"> predstavujú</w:t>
      </w:r>
      <w:r>
        <w:rPr>
          <w:rFonts w:ascii="Times New Roman" w:hAnsi="Times New Roman" w:cs="Times New Roman"/>
          <w:sz w:val="24"/>
          <w:szCs w:val="24"/>
        </w:rPr>
        <w:t xml:space="preserve"> hlavný zdroj príjmov rozpočtu.</w:t>
      </w:r>
    </w:p>
    <w:p w:rsidR="007E79C2" w:rsidRDefault="007E79C2" w:rsidP="007E79C2">
      <w:pPr>
        <w:spacing w:after="0" w:line="240" w:lineRule="auto"/>
        <w:jc w:val="both"/>
        <w:rPr>
          <w:rFonts w:ascii="Times New Roman" w:hAnsi="Times New Roman" w:cs="Times New Roman"/>
          <w:sz w:val="24"/>
          <w:szCs w:val="24"/>
        </w:rPr>
      </w:pPr>
    </w:p>
    <w:p w:rsidR="007E79C2" w:rsidRPr="008F5310" w:rsidRDefault="007E79C2" w:rsidP="007E79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Najväčšiu časť tvoria d</w:t>
      </w:r>
      <w:r w:rsidRPr="009915AC">
        <w:rPr>
          <w:rFonts w:ascii="Times New Roman" w:hAnsi="Times New Roman" w:cs="Times New Roman"/>
          <w:sz w:val="24"/>
          <w:szCs w:val="24"/>
        </w:rPr>
        <w:t>ane z produkcie a</w:t>
      </w:r>
      <w:r>
        <w:rPr>
          <w:rFonts w:ascii="Times New Roman" w:hAnsi="Times New Roman" w:cs="Times New Roman"/>
          <w:sz w:val="24"/>
          <w:szCs w:val="24"/>
        </w:rPr>
        <w:t> </w:t>
      </w:r>
      <w:r w:rsidRPr="009915AC">
        <w:rPr>
          <w:rFonts w:ascii="Times New Roman" w:hAnsi="Times New Roman" w:cs="Times New Roman"/>
          <w:sz w:val="24"/>
          <w:szCs w:val="24"/>
        </w:rPr>
        <w:t>dovozu</w:t>
      </w:r>
      <w:r>
        <w:rPr>
          <w:rFonts w:ascii="Times New Roman" w:hAnsi="Times New Roman" w:cs="Times New Roman"/>
          <w:sz w:val="24"/>
          <w:szCs w:val="24"/>
        </w:rPr>
        <w:t>, a to v objeme 12</w:t>
      </w:r>
      <w:r w:rsidRPr="008F5310">
        <w:rPr>
          <w:rFonts w:ascii="Times New Roman" w:hAnsi="Times New Roman" w:cs="Times New Roman"/>
          <w:sz w:val="24"/>
          <w:szCs w:val="24"/>
        </w:rPr>
        <w:t>,5 mld. eur</w:t>
      </w:r>
      <w:r>
        <w:rPr>
          <w:rFonts w:ascii="Times New Roman" w:hAnsi="Times New Roman" w:cs="Times New Roman"/>
          <w:sz w:val="24"/>
          <w:szCs w:val="24"/>
        </w:rPr>
        <w:t>, z toho</w:t>
      </w:r>
      <w:r w:rsidRPr="008F5310">
        <w:rPr>
          <w:rFonts w:ascii="Times New Roman" w:hAnsi="Times New Roman" w:cs="Times New Roman"/>
          <w:sz w:val="24"/>
          <w:szCs w:val="24"/>
        </w:rPr>
        <w:t xml:space="preserve"> daň z pridanej hodnoty </w:t>
      </w:r>
      <w:r>
        <w:rPr>
          <w:rFonts w:ascii="Times New Roman" w:hAnsi="Times New Roman" w:cs="Times New Roman"/>
          <w:sz w:val="24"/>
          <w:szCs w:val="24"/>
        </w:rPr>
        <w:t xml:space="preserve">7,99 mld. eur </w:t>
      </w:r>
      <w:r w:rsidRPr="008F5310">
        <w:rPr>
          <w:rFonts w:ascii="Times New Roman" w:hAnsi="Times New Roman" w:cs="Times New Roman"/>
          <w:sz w:val="24"/>
          <w:szCs w:val="24"/>
        </w:rPr>
        <w:t xml:space="preserve">a spotrebné dane </w:t>
      </w:r>
      <w:r>
        <w:rPr>
          <w:rFonts w:ascii="Times New Roman" w:hAnsi="Times New Roman" w:cs="Times New Roman"/>
          <w:sz w:val="24"/>
          <w:szCs w:val="24"/>
        </w:rPr>
        <w:t>2,89 mld. eur</w:t>
      </w:r>
      <w:r w:rsidRPr="008F5310">
        <w:rPr>
          <w:rFonts w:ascii="Times New Roman" w:hAnsi="Times New Roman" w:cs="Times New Roman"/>
          <w:sz w:val="24"/>
          <w:szCs w:val="24"/>
        </w:rPr>
        <w:t>. Zvyšok predstavujú daň z motorových vozidiel, odvod z hazardných hier a daň z</w:t>
      </w:r>
      <w:r>
        <w:rPr>
          <w:rFonts w:ascii="Times New Roman" w:hAnsi="Times New Roman" w:cs="Times New Roman"/>
          <w:sz w:val="24"/>
          <w:szCs w:val="24"/>
        </w:rPr>
        <w:t> </w:t>
      </w:r>
      <w:r w:rsidRPr="008F5310">
        <w:rPr>
          <w:rFonts w:ascii="Times New Roman" w:hAnsi="Times New Roman" w:cs="Times New Roman"/>
          <w:sz w:val="24"/>
          <w:szCs w:val="24"/>
        </w:rPr>
        <w:t>nehnuteľností, ktorá je príjmom samosprávy.</w:t>
      </w:r>
    </w:p>
    <w:p w:rsidR="007E79C2" w:rsidRDefault="007E79C2" w:rsidP="007E79C2">
      <w:pPr>
        <w:spacing w:after="0" w:line="240" w:lineRule="auto"/>
        <w:jc w:val="both"/>
        <w:rPr>
          <w:rFonts w:ascii="Times New Roman" w:hAnsi="Times New Roman" w:cs="Times New Roman"/>
          <w:b/>
          <w:sz w:val="24"/>
          <w:szCs w:val="24"/>
        </w:rPr>
      </w:pPr>
    </w:p>
    <w:p w:rsidR="007E79C2" w:rsidRPr="008F5310" w:rsidRDefault="007E79C2" w:rsidP="007E79C2">
      <w:pPr>
        <w:spacing w:after="0" w:line="240" w:lineRule="auto"/>
        <w:jc w:val="both"/>
        <w:rPr>
          <w:rFonts w:ascii="Times New Roman" w:hAnsi="Times New Roman" w:cs="Times New Roman"/>
          <w:sz w:val="24"/>
          <w:szCs w:val="24"/>
        </w:rPr>
      </w:pPr>
      <w:r w:rsidRPr="008837F4">
        <w:rPr>
          <w:rFonts w:ascii="Times New Roman" w:hAnsi="Times New Roman" w:cs="Times New Roman"/>
          <w:sz w:val="24"/>
          <w:szCs w:val="24"/>
        </w:rPr>
        <w:t>Bežné dane z dôchodkov sa na rok 202</w:t>
      </w:r>
      <w:r>
        <w:rPr>
          <w:rFonts w:ascii="Times New Roman" w:hAnsi="Times New Roman" w:cs="Times New Roman"/>
          <w:sz w:val="24"/>
          <w:szCs w:val="24"/>
        </w:rPr>
        <w:t>2</w:t>
      </w:r>
      <w:r w:rsidRPr="008837F4">
        <w:rPr>
          <w:rFonts w:ascii="Times New Roman" w:hAnsi="Times New Roman" w:cs="Times New Roman"/>
          <w:sz w:val="24"/>
          <w:szCs w:val="24"/>
        </w:rPr>
        <w:t xml:space="preserve"> rozpočtujú v objeme </w:t>
      </w:r>
      <w:r>
        <w:rPr>
          <w:rFonts w:ascii="Times New Roman" w:hAnsi="Times New Roman" w:cs="Times New Roman"/>
          <w:sz w:val="24"/>
          <w:szCs w:val="24"/>
        </w:rPr>
        <w:t>7,82</w:t>
      </w:r>
      <w:r w:rsidRPr="008837F4">
        <w:rPr>
          <w:rFonts w:ascii="Times New Roman" w:hAnsi="Times New Roman" w:cs="Times New Roman"/>
          <w:sz w:val="24"/>
          <w:szCs w:val="24"/>
        </w:rPr>
        <w:t xml:space="preserve"> mld. eur a zahŕňajú všetky dane z príjmov fyzických osôb v objeme </w:t>
      </w:r>
      <w:r>
        <w:rPr>
          <w:rFonts w:ascii="Times New Roman" w:hAnsi="Times New Roman" w:cs="Times New Roman"/>
          <w:sz w:val="24"/>
          <w:szCs w:val="24"/>
        </w:rPr>
        <w:t>4,01</w:t>
      </w:r>
      <w:r w:rsidRPr="008837F4">
        <w:rPr>
          <w:rFonts w:ascii="Times New Roman" w:hAnsi="Times New Roman" w:cs="Times New Roman"/>
          <w:sz w:val="24"/>
          <w:szCs w:val="24"/>
        </w:rPr>
        <w:t xml:space="preserve"> mld. eur a právnických osôb v objeme </w:t>
      </w:r>
      <w:r w:rsidRPr="008837F4">
        <w:rPr>
          <w:rFonts w:ascii="Times New Roman" w:hAnsi="Times New Roman" w:cs="Times New Roman"/>
          <w:sz w:val="24"/>
          <w:szCs w:val="24"/>
        </w:rPr>
        <w:br/>
      </w:r>
      <w:r>
        <w:rPr>
          <w:rFonts w:ascii="Times New Roman" w:hAnsi="Times New Roman" w:cs="Times New Roman"/>
          <w:sz w:val="24"/>
          <w:szCs w:val="24"/>
        </w:rPr>
        <w:t>3,31</w:t>
      </w:r>
      <w:r w:rsidRPr="008837F4">
        <w:rPr>
          <w:rFonts w:ascii="Times New Roman" w:hAnsi="Times New Roman" w:cs="Times New Roman"/>
          <w:sz w:val="24"/>
          <w:szCs w:val="24"/>
        </w:rPr>
        <w:t xml:space="preserve"> mld. eur. Ďalej sem patrí aj </w:t>
      </w:r>
      <w:r>
        <w:rPr>
          <w:rFonts w:ascii="Times New Roman" w:hAnsi="Times New Roman" w:cs="Times New Roman"/>
          <w:sz w:val="24"/>
          <w:szCs w:val="24"/>
        </w:rPr>
        <w:t>daň z príjmov vyberaná zrážkou,</w:t>
      </w:r>
      <w:r w:rsidRPr="008837F4">
        <w:rPr>
          <w:rFonts w:ascii="Times New Roman" w:hAnsi="Times New Roman" w:cs="Times New Roman"/>
          <w:sz w:val="24"/>
          <w:szCs w:val="24"/>
        </w:rPr>
        <w:t> dane z majetku a iné, ako napr. daň z nehnuteľností, za psa a pod.</w:t>
      </w:r>
    </w:p>
    <w:p w:rsidR="007E79C2" w:rsidRDefault="007E79C2" w:rsidP="007E79C2">
      <w:pPr>
        <w:spacing w:after="0" w:line="240" w:lineRule="auto"/>
        <w:jc w:val="both"/>
        <w:rPr>
          <w:rFonts w:ascii="Times New Roman" w:hAnsi="Times New Roman" w:cs="Times New Roman"/>
          <w:b/>
          <w:sz w:val="24"/>
          <w:szCs w:val="24"/>
        </w:rPr>
      </w:pPr>
    </w:p>
    <w:p w:rsidR="007E79C2" w:rsidRPr="008F5310"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Príspevky na sociálne zabezpečenie predstavujú druhú najvýznamnejšiu časť príjmov</w:t>
      </w:r>
      <w:r w:rsidRPr="008F5310">
        <w:rPr>
          <w:rFonts w:ascii="Times New Roman" w:hAnsi="Times New Roman" w:cs="Times New Roman"/>
          <w:sz w:val="24"/>
          <w:szCs w:val="24"/>
        </w:rPr>
        <w:t xml:space="preserve"> </w:t>
      </w:r>
      <w:r>
        <w:rPr>
          <w:rFonts w:ascii="Times New Roman" w:hAnsi="Times New Roman" w:cs="Times New Roman"/>
          <w:sz w:val="24"/>
          <w:szCs w:val="24"/>
        </w:rPr>
        <w:t xml:space="preserve">rozpočtu </w:t>
      </w:r>
      <w:r w:rsidRPr="008F5310">
        <w:rPr>
          <w:rFonts w:ascii="Times New Roman" w:hAnsi="Times New Roman" w:cs="Times New Roman"/>
          <w:sz w:val="24"/>
          <w:szCs w:val="24"/>
        </w:rPr>
        <w:t xml:space="preserve">verejnej správy. Na rok </w:t>
      </w:r>
      <w:r>
        <w:rPr>
          <w:rFonts w:ascii="Times New Roman" w:hAnsi="Times New Roman" w:cs="Times New Roman"/>
          <w:sz w:val="24"/>
          <w:szCs w:val="24"/>
        </w:rPr>
        <w:t>2022 sa rozpočtujú vo výške 15,8</w:t>
      </w:r>
      <w:r w:rsidRPr="008F5310">
        <w:rPr>
          <w:rFonts w:ascii="Times New Roman" w:hAnsi="Times New Roman" w:cs="Times New Roman"/>
          <w:sz w:val="24"/>
          <w:szCs w:val="24"/>
        </w:rPr>
        <w:t xml:space="preserve"> mld. eur. Rozdeľujú sa podľa toho</w:t>
      </w:r>
      <w:r>
        <w:rPr>
          <w:rFonts w:ascii="Times New Roman" w:hAnsi="Times New Roman" w:cs="Times New Roman"/>
          <w:sz w:val="24"/>
          <w:szCs w:val="24"/>
        </w:rPr>
        <w:t>,</w:t>
      </w:r>
      <w:r w:rsidRPr="008F5310">
        <w:rPr>
          <w:rFonts w:ascii="Times New Roman" w:hAnsi="Times New Roman" w:cs="Times New Roman"/>
          <w:sz w:val="24"/>
          <w:szCs w:val="24"/>
        </w:rPr>
        <w:t xml:space="preserve"> či platcom príspevku je zamestnávateľ </w:t>
      </w:r>
      <w:r>
        <w:rPr>
          <w:rFonts w:ascii="Times New Roman" w:hAnsi="Times New Roman" w:cs="Times New Roman"/>
          <w:sz w:val="24"/>
          <w:szCs w:val="24"/>
        </w:rPr>
        <w:t xml:space="preserve">(9,04 mld. eur) </w:t>
      </w:r>
      <w:r w:rsidRPr="008F5310">
        <w:rPr>
          <w:rFonts w:ascii="Times New Roman" w:hAnsi="Times New Roman" w:cs="Times New Roman"/>
          <w:sz w:val="24"/>
          <w:szCs w:val="24"/>
        </w:rPr>
        <w:t>alebo domácnosti</w:t>
      </w:r>
      <w:r>
        <w:rPr>
          <w:rFonts w:ascii="Times New Roman" w:hAnsi="Times New Roman" w:cs="Times New Roman"/>
          <w:sz w:val="24"/>
          <w:szCs w:val="24"/>
        </w:rPr>
        <w:t xml:space="preserve"> (6,55 mld. eur)</w:t>
      </w:r>
      <w:r w:rsidRPr="008F5310">
        <w:rPr>
          <w:rFonts w:ascii="Times New Roman" w:hAnsi="Times New Roman" w:cs="Times New Roman"/>
          <w:sz w:val="24"/>
          <w:szCs w:val="24"/>
        </w:rPr>
        <w:t>. Príspevky na sociálne za</w:t>
      </w:r>
      <w:r>
        <w:rPr>
          <w:rFonts w:ascii="Times New Roman" w:hAnsi="Times New Roman" w:cs="Times New Roman"/>
          <w:sz w:val="24"/>
          <w:szCs w:val="24"/>
        </w:rPr>
        <w:t xml:space="preserve">bezpečenie zahŕňajú aj štátom </w:t>
      </w:r>
      <w:r w:rsidRPr="008F5310">
        <w:rPr>
          <w:rFonts w:ascii="Times New Roman" w:hAnsi="Times New Roman" w:cs="Times New Roman"/>
          <w:sz w:val="24"/>
          <w:szCs w:val="24"/>
        </w:rPr>
        <w:t>platené poistné za skupiny osôb ustanovené zákonom</w:t>
      </w:r>
      <w:r>
        <w:rPr>
          <w:rFonts w:ascii="Times New Roman" w:hAnsi="Times New Roman" w:cs="Times New Roman"/>
          <w:sz w:val="24"/>
          <w:szCs w:val="24"/>
        </w:rPr>
        <w:t>.</w:t>
      </w:r>
    </w:p>
    <w:p w:rsidR="007E79C2" w:rsidRDefault="007E79C2" w:rsidP="007E79C2">
      <w:pPr>
        <w:spacing w:after="0" w:line="240" w:lineRule="auto"/>
        <w:jc w:val="both"/>
        <w:rPr>
          <w:rFonts w:ascii="Times New Roman" w:hAnsi="Times New Roman" w:cs="Times New Roman"/>
          <w:b/>
          <w:sz w:val="24"/>
          <w:szCs w:val="24"/>
        </w:rPr>
      </w:pPr>
    </w:p>
    <w:p w:rsidR="007E79C2" w:rsidRPr="008F5310" w:rsidRDefault="007E79C2" w:rsidP="007E79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Nedaňové príjmy sa na rok 2022 rozpočtujú v objeme 5,06</w:t>
      </w:r>
      <w:r w:rsidRPr="00DB66AD">
        <w:rPr>
          <w:rFonts w:ascii="Times New Roman" w:hAnsi="Times New Roman" w:cs="Times New Roman"/>
          <w:sz w:val="24"/>
          <w:szCs w:val="24"/>
        </w:rPr>
        <w:t xml:space="preserve"> mld. eur a sú rozdelené podľa</w:t>
      </w:r>
      <w:r w:rsidRPr="008F5310">
        <w:rPr>
          <w:rFonts w:ascii="Times New Roman" w:hAnsi="Times New Roman" w:cs="Times New Roman"/>
          <w:sz w:val="24"/>
          <w:szCs w:val="24"/>
        </w:rPr>
        <w:t xml:space="preserve"> spôsobu a zdroja ich nadobudnutia na príjmy z trhovej a netrhovej produkcie a dôchodky z majetku. Medzi príjmy z trhovej a netrhovej produkcie s rozpočtovaným objemom </w:t>
      </w:r>
      <w:r>
        <w:rPr>
          <w:rFonts w:ascii="Times New Roman" w:hAnsi="Times New Roman" w:cs="Times New Roman"/>
          <w:sz w:val="24"/>
          <w:szCs w:val="24"/>
        </w:rPr>
        <w:br/>
      </w:r>
      <w:r w:rsidRPr="008F5310">
        <w:rPr>
          <w:rFonts w:ascii="Times New Roman" w:hAnsi="Times New Roman" w:cs="Times New Roman"/>
          <w:sz w:val="24"/>
          <w:szCs w:val="24"/>
        </w:rPr>
        <w:t>4,</w:t>
      </w:r>
      <w:r>
        <w:rPr>
          <w:rFonts w:ascii="Times New Roman" w:hAnsi="Times New Roman" w:cs="Times New Roman"/>
          <w:sz w:val="24"/>
          <w:szCs w:val="24"/>
        </w:rPr>
        <w:t>57</w:t>
      </w:r>
      <w:r w:rsidRPr="008F5310">
        <w:rPr>
          <w:rFonts w:ascii="Times New Roman" w:hAnsi="Times New Roman" w:cs="Times New Roman"/>
          <w:sz w:val="24"/>
          <w:szCs w:val="24"/>
        </w:rPr>
        <w:t xml:space="preserve"> mld. eur sú zatriedené tržby, poplatky a platby za služby. Dôchodky z majetku pochádzajú z aktív verejnej správy, ide o príjmy ako dividendy, prijaté úroky alebo príjmy z prenájmu.</w:t>
      </w:r>
    </w:p>
    <w:p w:rsidR="007E79C2" w:rsidRDefault="007E79C2" w:rsidP="007E79C2">
      <w:pPr>
        <w:spacing w:after="0" w:line="240" w:lineRule="auto"/>
        <w:jc w:val="both"/>
        <w:rPr>
          <w:rFonts w:ascii="Times New Roman" w:hAnsi="Times New Roman" w:cs="Times New Roman"/>
          <w:b/>
          <w:sz w:val="24"/>
          <w:szCs w:val="24"/>
        </w:rPr>
      </w:pPr>
    </w:p>
    <w:p w:rsidR="007E79C2" w:rsidRPr="008F5310"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G</w:t>
      </w:r>
      <w:r>
        <w:rPr>
          <w:rFonts w:ascii="Times New Roman" w:hAnsi="Times New Roman" w:cs="Times New Roman"/>
          <w:sz w:val="24"/>
          <w:szCs w:val="24"/>
        </w:rPr>
        <w:t>ranty a transfery sú na rok 2022</w:t>
      </w:r>
      <w:r w:rsidRPr="00DB66AD">
        <w:rPr>
          <w:rFonts w:ascii="Times New Roman" w:hAnsi="Times New Roman" w:cs="Times New Roman"/>
          <w:sz w:val="24"/>
          <w:szCs w:val="24"/>
        </w:rPr>
        <w:t xml:space="preserve"> rozpočtované vo výške </w:t>
      </w:r>
      <w:r>
        <w:rPr>
          <w:rFonts w:ascii="Times New Roman" w:hAnsi="Times New Roman" w:cs="Times New Roman"/>
          <w:sz w:val="24"/>
          <w:szCs w:val="24"/>
        </w:rPr>
        <w:t>2,98</w:t>
      </w:r>
      <w:r w:rsidRPr="00DB66AD">
        <w:rPr>
          <w:rFonts w:ascii="Times New Roman" w:hAnsi="Times New Roman" w:cs="Times New Roman"/>
          <w:sz w:val="24"/>
          <w:szCs w:val="24"/>
        </w:rPr>
        <w:t xml:space="preserve"> mld. eur a najvýznamnejšiu</w:t>
      </w:r>
      <w:r w:rsidRPr="008F5310">
        <w:rPr>
          <w:rFonts w:ascii="Times New Roman" w:hAnsi="Times New Roman" w:cs="Times New Roman"/>
          <w:sz w:val="24"/>
          <w:szCs w:val="24"/>
        </w:rPr>
        <w:t xml:space="preserve"> časť predstavuje príjem </w:t>
      </w:r>
      <w:r w:rsidRPr="008A7409">
        <w:rPr>
          <w:rFonts w:ascii="Times New Roman" w:hAnsi="Times New Roman" w:cs="Times New Roman"/>
          <w:sz w:val="24"/>
          <w:szCs w:val="24"/>
        </w:rPr>
        <w:t xml:space="preserve">zo všeobecného rozpočtu Európskej únie a prostriedky z Plánu obnovy a odolnosti </w:t>
      </w:r>
      <w:r w:rsidRPr="008F5310">
        <w:rPr>
          <w:rFonts w:ascii="Times New Roman" w:hAnsi="Times New Roman" w:cs="Times New Roman"/>
          <w:sz w:val="24"/>
          <w:szCs w:val="24"/>
        </w:rPr>
        <w:t xml:space="preserve">v objeme </w:t>
      </w:r>
      <w:r>
        <w:rPr>
          <w:rFonts w:ascii="Times New Roman" w:hAnsi="Times New Roman" w:cs="Times New Roman"/>
          <w:sz w:val="24"/>
          <w:szCs w:val="24"/>
        </w:rPr>
        <w:t>2,34</w:t>
      </w:r>
      <w:r w:rsidRPr="008F5310">
        <w:rPr>
          <w:rFonts w:ascii="Times New Roman" w:hAnsi="Times New Roman" w:cs="Times New Roman"/>
          <w:sz w:val="24"/>
          <w:szCs w:val="24"/>
        </w:rPr>
        <w:t xml:space="preserve"> mld. eur. V zmysle metodiky ESA 2010 je v rámci verejnej správy zaznamenaná tá časť prostriedkov, ktorá je </w:t>
      </w:r>
      <w:r>
        <w:rPr>
          <w:rFonts w:ascii="Times New Roman" w:hAnsi="Times New Roman" w:cs="Times New Roman"/>
          <w:sz w:val="24"/>
          <w:szCs w:val="24"/>
        </w:rPr>
        <w:t>spotrebovaná</w:t>
      </w:r>
      <w:r w:rsidRPr="008F5310">
        <w:rPr>
          <w:rFonts w:ascii="Times New Roman" w:hAnsi="Times New Roman" w:cs="Times New Roman"/>
          <w:sz w:val="24"/>
          <w:szCs w:val="24"/>
        </w:rPr>
        <w:t xml:space="preserve"> samotnými subjektmi sektora verejnej správy. Tradične vyšší objem prostriedkov určený pre prijímateľov mimo sektora verejnej správy je vylúčený z príjmov aj výdavkov</w:t>
      </w:r>
      <w:r>
        <w:rPr>
          <w:rFonts w:ascii="Times New Roman" w:hAnsi="Times New Roman" w:cs="Times New Roman"/>
          <w:sz w:val="24"/>
          <w:szCs w:val="24"/>
        </w:rPr>
        <w:t xml:space="preserve"> rozpočtu verejnej správy</w:t>
      </w:r>
      <w:r w:rsidRPr="008F5310">
        <w:rPr>
          <w:rFonts w:ascii="Times New Roman" w:hAnsi="Times New Roman" w:cs="Times New Roman"/>
          <w:sz w:val="24"/>
          <w:szCs w:val="24"/>
        </w:rPr>
        <w:t xml:space="preserve">. </w:t>
      </w:r>
    </w:p>
    <w:p w:rsidR="00517772" w:rsidRDefault="00517772" w:rsidP="00517772">
      <w:pPr>
        <w:spacing w:after="0" w:line="240" w:lineRule="auto"/>
        <w:jc w:val="both"/>
        <w:rPr>
          <w:rFonts w:ascii="Times New Roman" w:hAnsi="Times New Roman" w:cs="Times New Roman"/>
          <w:sz w:val="24"/>
          <w:szCs w:val="24"/>
        </w:rPr>
      </w:pPr>
    </w:p>
    <w:p w:rsidR="00517772" w:rsidRPr="00DB66AD" w:rsidRDefault="00517772" w:rsidP="00517772">
      <w:pPr>
        <w:spacing w:after="0" w:line="240" w:lineRule="auto"/>
        <w:rPr>
          <w:rFonts w:ascii="Times New Roman" w:eastAsia="Times New Roman" w:hAnsi="Times New Roman" w:cs="Times New Roman"/>
          <w:b/>
          <w:bCs/>
          <w:color w:val="5B9BD5" w:themeColor="accent1"/>
          <w:kern w:val="32"/>
          <w:sz w:val="24"/>
          <w:szCs w:val="24"/>
          <w:lang w:eastAsia="cs-CZ"/>
        </w:rPr>
      </w:pPr>
      <w:r w:rsidRPr="00DB66AD">
        <w:rPr>
          <w:rFonts w:ascii="Times New Roman" w:eastAsia="Times New Roman" w:hAnsi="Times New Roman" w:cs="Times New Roman"/>
          <w:b/>
          <w:bCs/>
          <w:color w:val="5B9BD5" w:themeColor="accent1"/>
          <w:kern w:val="32"/>
          <w:sz w:val="24"/>
          <w:szCs w:val="24"/>
          <w:lang w:eastAsia="cs-CZ"/>
        </w:rPr>
        <w:t xml:space="preserve">Celkové </w:t>
      </w:r>
      <w:r>
        <w:rPr>
          <w:rFonts w:ascii="Times New Roman" w:eastAsia="Times New Roman" w:hAnsi="Times New Roman" w:cs="Times New Roman"/>
          <w:b/>
          <w:bCs/>
          <w:color w:val="5B9BD5" w:themeColor="accent1"/>
          <w:kern w:val="32"/>
          <w:sz w:val="24"/>
          <w:szCs w:val="24"/>
          <w:lang w:eastAsia="cs-CZ"/>
        </w:rPr>
        <w:t>výdavky</w:t>
      </w:r>
      <w:r w:rsidRPr="00DB66AD">
        <w:rPr>
          <w:rFonts w:ascii="Times New Roman" w:eastAsia="Times New Roman" w:hAnsi="Times New Roman" w:cs="Times New Roman"/>
          <w:b/>
          <w:bCs/>
          <w:color w:val="5B9BD5" w:themeColor="accent1"/>
          <w:kern w:val="32"/>
          <w:sz w:val="24"/>
          <w:szCs w:val="24"/>
          <w:lang w:eastAsia="cs-CZ"/>
        </w:rPr>
        <w:t xml:space="preserve"> rozpočtu verejnej správy na rok 202</w:t>
      </w:r>
      <w:r>
        <w:rPr>
          <w:rFonts w:ascii="Times New Roman" w:eastAsia="Times New Roman" w:hAnsi="Times New Roman" w:cs="Times New Roman"/>
          <w:b/>
          <w:bCs/>
          <w:color w:val="5B9BD5" w:themeColor="accent1"/>
          <w:kern w:val="32"/>
          <w:sz w:val="24"/>
          <w:szCs w:val="24"/>
          <w:lang w:eastAsia="cs-CZ"/>
        </w:rPr>
        <w:t>2</w:t>
      </w:r>
    </w:p>
    <w:p w:rsidR="00517772" w:rsidRPr="008F5310" w:rsidRDefault="00517772" w:rsidP="00517772">
      <w:pPr>
        <w:spacing w:after="0" w:line="240" w:lineRule="auto"/>
        <w:jc w:val="both"/>
        <w:rPr>
          <w:rFonts w:ascii="Times New Roman" w:hAnsi="Times New Roman" w:cs="Times New Roman"/>
          <w:sz w:val="24"/>
          <w:szCs w:val="24"/>
        </w:rPr>
      </w:pPr>
    </w:p>
    <w:p w:rsidR="007E79C2" w:rsidRDefault="007E79C2" w:rsidP="007E79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Celkové výdavky rozpočtu verejnej správy na rok 2022 sa rozpočtujú v objeme 49,4 mld. eur, čo predstavuje 46,8 % HDP. </w:t>
      </w:r>
      <w:r w:rsidRPr="008F5310">
        <w:rPr>
          <w:rFonts w:ascii="Times New Roman" w:hAnsi="Times New Roman" w:cs="Times New Roman"/>
          <w:sz w:val="24"/>
          <w:szCs w:val="24"/>
        </w:rPr>
        <w:t xml:space="preserve">Výdavkovú stranu </w:t>
      </w:r>
      <w:r>
        <w:rPr>
          <w:rFonts w:ascii="Times New Roman" w:hAnsi="Times New Roman" w:cs="Times New Roman"/>
          <w:sz w:val="24"/>
          <w:szCs w:val="24"/>
        </w:rPr>
        <w:t>rozpočtu</w:t>
      </w:r>
      <w:r w:rsidRPr="008F5310">
        <w:rPr>
          <w:rFonts w:ascii="Times New Roman" w:hAnsi="Times New Roman" w:cs="Times New Roman"/>
          <w:sz w:val="24"/>
          <w:szCs w:val="24"/>
        </w:rPr>
        <w:t xml:space="preserve"> verejnej správy v základnom delení tvoria bežné </w:t>
      </w:r>
      <w:r>
        <w:rPr>
          <w:rFonts w:ascii="Times New Roman" w:hAnsi="Times New Roman" w:cs="Times New Roman"/>
          <w:sz w:val="24"/>
          <w:szCs w:val="24"/>
        </w:rPr>
        <w:t xml:space="preserve">výdavky v objeme 44,2 mld. eur </w:t>
      </w:r>
      <w:r w:rsidRPr="008F5310">
        <w:rPr>
          <w:rFonts w:ascii="Times New Roman" w:hAnsi="Times New Roman" w:cs="Times New Roman"/>
          <w:sz w:val="24"/>
          <w:szCs w:val="24"/>
        </w:rPr>
        <w:t>a kapitálové výdavky</w:t>
      </w:r>
      <w:r>
        <w:rPr>
          <w:rFonts w:ascii="Times New Roman" w:hAnsi="Times New Roman" w:cs="Times New Roman"/>
          <w:sz w:val="24"/>
          <w:szCs w:val="24"/>
        </w:rPr>
        <w:t xml:space="preserve"> v objeme 5,17 mld. eur.</w:t>
      </w:r>
      <w:r w:rsidRPr="008F5310">
        <w:rPr>
          <w:rFonts w:ascii="Times New Roman" w:hAnsi="Times New Roman" w:cs="Times New Roman"/>
          <w:sz w:val="24"/>
          <w:szCs w:val="24"/>
        </w:rPr>
        <w:t xml:space="preserve"> </w:t>
      </w:r>
    </w:p>
    <w:p w:rsidR="007E79C2" w:rsidRPr="008F5310" w:rsidRDefault="007E79C2" w:rsidP="007E79C2">
      <w:pPr>
        <w:spacing w:after="0" w:line="240" w:lineRule="auto"/>
        <w:jc w:val="both"/>
        <w:rPr>
          <w:rFonts w:ascii="Times New Roman" w:hAnsi="Times New Roman" w:cs="Times New Roman"/>
          <w:sz w:val="24"/>
          <w:szCs w:val="24"/>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Kompenzácie zamestnancov tvoria výdavky subjektov verejnej správy na mzdy, poistné a ich</w:t>
      </w:r>
      <w:r w:rsidRPr="008F5310">
        <w:rPr>
          <w:rFonts w:ascii="Times New Roman" w:hAnsi="Times New Roman" w:cs="Times New Roman"/>
          <w:sz w:val="24"/>
          <w:szCs w:val="24"/>
        </w:rPr>
        <w:t xml:space="preserve"> významnou časťou sú aj prostriedky v</w:t>
      </w:r>
      <w:r>
        <w:rPr>
          <w:rFonts w:ascii="Times New Roman" w:hAnsi="Times New Roman" w:cs="Times New Roman"/>
          <w:sz w:val="24"/>
          <w:szCs w:val="24"/>
        </w:rPr>
        <w:t>yplatené pracovníkom pracujúcim</w:t>
      </w:r>
      <w:r w:rsidRPr="008F5310">
        <w:rPr>
          <w:rFonts w:ascii="Times New Roman" w:hAnsi="Times New Roman" w:cs="Times New Roman"/>
          <w:sz w:val="24"/>
          <w:szCs w:val="24"/>
        </w:rPr>
        <w:t xml:space="preserve"> na dohodu, odchodné, odstupné a naturálne mzdy. </w:t>
      </w:r>
      <w:r>
        <w:rPr>
          <w:rFonts w:ascii="Times New Roman" w:hAnsi="Times New Roman" w:cs="Times New Roman"/>
          <w:sz w:val="24"/>
          <w:szCs w:val="24"/>
        </w:rPr>
        <w:t>Na rok 2022 sa rozpočtujú v objeme 10,6</w:t>
      </w:r>
      <w:r w:rsidRPr="008F5310">
        <w:rPr>
          <w:rFonts w:ascii="Times New Roman" w:hAnsi="Times New Roman" w:cs="Times New Roman"/>
          <w:sz w:val="24"/>
          <w:szCs w:val="24"/>
        </w:rPr>
        <w:t xml:space="preserve"> mld. eur. Rozpočtované kompenzácie zamestnancov oproti skutočnosti neobsahujú prostriedky EÚ a spolufinancovanie kapitol štát</w:t>
      </w:r>
      <w:r>
        <w:rPr>
          <w:rFonts w:ascii="Times New Roman" w:hAnsi="Times New Roman" w:cs="Times New Roman"/>
          <w:sz w:val="24"/>
          <w:szCs w:val="24"/>
        </w:rPr>
        <w:t xml:space="preserve">neho rozpočtu a grantové zdroje. </w:t>
      </w:r>
    </w:p>
    <w:p w:rsidR="007E79C2" w:rsidRDefault="007E79C2" w:rsidP="007E79C2">
      <w:pPr>
        <w:spacing w:after="0" w:line="240" w:lineRule="auto"/>
        <w:jc w:val="both"/>
        <w:rPr>
          <w:rFonts w:ascii="Times New Roman" w:hAnsi="Times New Roman" w:cs="Times New Roman"/>
          <w:b/>
          <w:sz w:val="24"/>
          <w:szCs w:val="24"/>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Medzispotreba pozostáva najmä z výdavkov na zaobstaranie tovarov a služieb potrebných pre</w:t>
      </w:r>
      <w:r w:rsidRPr="008F5310">
        <w:rPr>
          <w:rFonts w:ascii="Times New Roman" w:hAnsi="Times New Roman" w:cs="Times New Roman"/>
          <w:sz w:val="24"/>
          <w:szCs w:val="24"/>
        </w:rPr>
        <w:t xml:space="preserve"> činnosť subjektov verejnej správy. Vývoj medzispotreby závisí od aktuálnych potrieb sektora</w:t>
      </w:r>
      <w:r>
        <w:rPr>
          <w:rFonts w:ascii="Times New Roman" w:hAnsi="Times New Roman" w:cs="Times New Roman"/>
          <w:sz w:val="24"/>
          <w:szCs w:val="24"/>
        </w:rPr>
        <w:t>.</w:t>
      </w:r>
      <w:r w:rsidRPr="008F5310">
        <w:rPr>
          <w:rFonts w:ascii="Times New Roman" w:hAnsi="Times New Roman" w:cs="Times New Roman"/>
          <w:sz w:val="24"/>
          <w:szCs w:val="24"/>
        </w:rPr>
        <w:t xml:space="preserve"> </w:t>
      </w:r>
      <w:r>
        <w:rPr>
          <w:rFonts w:ascii="Times New Roman" w:hAnsi="Times New Roman" w:cs="Times New Roman"/>
          <w:sz w:val="24"/>
          <w:szCs w:val="24"/>
        </w:rPr>
        <w:t>Na rok 2022</w:t>
      </w:r>
      <w:r w:rsidRPr="008F5310">
        <w:rPr>
          <w:rFonts w:ascii="Times New Roman" w:hAnsi="Times New Roman" w:cs="Times New Roman"/>
          <w:sz w:val="24"/>
          <w:szCs w:val="24"/>
        </w:rPr>
        <w:t xml:space="preserve"> </w:t>
      </w:r>
      <w:r>
        <w:rPr>
          <w:rFonts w:ascii="Times New Roman" w:hAnsi="Times New Roman" w:cs="Times New Roman"/>
          <w:sz w:val="24"/>
          <w:szCs w:val="24"/>
        </w:rPr>
        <w:t>sa rozpočtuje</w:t>
      </w:r>
      <w:r w:rsidRPr="008F5310">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8F5310">
        <w:rPr>
          <w:rFonts w:ascii="Times New Roman" w:hAnsi="Times New Roman" w:cs="Times New Roman"/>
          <w:sz w:val="24"/>
          <w:szCs w:val="24"/>
        </w:rPr>
        <w:t>o</w:t>
      </w:r>
      <w:r>
        <w:rPr>
          <w:rFonts w:ascii="Times New Roman" w:hAnsi="Times New Roman" w:cs="Times New Roman"/>
          <w:sz w:val="24"/>
          <w:szCs w:val="24"/>
        </w:rPr>
        <w:t>bjeme</w:t>
      </w:r>
      <w:r w:rsidRPr="008F5310">
        <w:rPr>
          <w:rFonts w:ascii="Times New Roman" w:hAnsi="Times New Roman" w:cs="Times New Roman"/>
          <w:sz w:val="24"/>
          <w:szCs w:val="24"/>
        </w:rPr>
        <w:t xml:space="preserve"> 7,</w:t>
      </w:r>
      <w:r>
        <w:rPr>
          <w:rFonts w:ascii="Times New Roman" w:hAnsi="Times New Roman" w:cs="Times New Roman"/>
          <w:sz w:val="24"/>
          <w:szCs w:val="24"/>
        </w:rPr>
        <w:t>83</w:t>
      </w:r>
      <w:r w:rsidRPr="008F5310">
        <w:rPr>
          <w:rFonts w:ascii="Times New Roman" w:hAnsi="Times New Roman" w:cs="Times New Roman"/>
          <w:sz w:val="24"/>
          <w:szCs w:val="24"/>
        </w:rPr>
        <w:t xml:space="preserve"> mld. eur</w:t>
      </w:r>
      <w:r>
        <w:rPr>
          <w:rFonts w:ascii="Times New Roman" w:hAnsi="Times New Roman" w:cs="Times New Roman"/>
          <w:sz w:val="24"/>
          <w:szCs w:val="24"/>
        </w:rPr>
        <w:t>. Súčasťou medzispotreby je aj rezerva</w:t>
      </w:r>
      <w:r w:rsidRPr="008F5310">
        <w:rPr>
          <w:rFonts w:ascii="Times New Roman" w:hAnsi="Times New Roman" w:cs="Times New Roman"/>
          <w:sz w:val="24"/>
          <w:szCs w:val="24"/>
        </w:rPr>
        <w:t xml:space="preserve"> na boj s</w:t>
      </w:r>
      <w:r>
        <w:rPr>
          <w:rFonts w:ascii="Times New Roman" w:hAnsi="Times New Roman" w:cs="Times New Roman"/>
          <w:sz w:val="24"/>
          <w:szCs w:val="24"/>
        </w:rPr>
        <w:t> ochorením COVID-19</w:t>
      </w:r>
      <w:r w:rsidRPr="008F5310">
        <w:rPr>
          <w:rFonts w:ascii="Times New Roman" w:hAnsi="Times New Roman" w:cs="Times New Roman"/>
          <w:sz w:val="24"/>
          <w:szCs w:val="24"/>
        </w:rPr>
        <w:t xml:space="preserve"> v objeme </w:t>
      </w:r>
      <w:r>
        <w:rPr>
          <w:rFonts w:ascii="Times New Roman" w:hAnsi="Times New Roman" w:cs="Times New Roman"/>
          <w:sz w:val="24"/>
          <w:szCs w:val="24"/>
        </w:rPr>
        <w:t>717</w:t>
      </w:r>
      <w:r w:rsidRPr="008F5310">
        <w:rPr>
          <w:rFonts w:ascii="Times New Roman" w:hAnsi="Times New Roman" w:cs="Times New Roman"/>
          <w:sz w:val="24"/>
          <w:szCs w:val="24"/>
        </w:rPr>
        <w:t xml:space="preserve"> m</w:t>
      </w:r>
      <w:r>
        <w:rPr>
          <w:rFonts w:ascii="Times New Roman" w:hAnsi="Times New Roman" w:cs="Times New Roman"/>
          <w:sz w:val="24"/>
          <w:szCs w:val="24"/>
        </w:rPr>
        <w:t>il</w:t>
      </w:r>
      <w:r w:rsidRPr="008F5310">
        <w:rPr>
          <w:rFonts w:ascii="Times New Roman" w:hAnsi="Times New Roman" w:cs="Times New Roman"/>
          <w:sz w:val="24"/>
          <w:szCs w:val="24"/>
        </w:rPr>
        <w:t>. eur.</w:t>
      </w:r>
    </w:p>
    <w:p w:rsidR="007E79C2" w:rsidRDefault="007E79C2" w:rsidP="007E79C2">
      <w:pPr>
        <w:spacing w:after="0" w:line="240" w:lineRule="auto"/>
        <w:jc w:val="both"/>
        <w:rPr>
          <w:rFonts w:ascii="Times New Roman" w:hAnsi="Times New Roman" w:cs="Times New Roman"/>
          <w:sz w:val="24"/>
          <w:szCs w:val="24"/>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Subvencie predstavujú dotácie právnickým osobám, ktorých produkciu je potrebné podporiť.</w:t>
      </w:r>
      <w:r>
        <w:rPr>
          <w:rFonts w:ascii="Times New Roman" w:hAnsi="Times New Roman" w:cs="Times New Roman"/>
          <w:sz w:val="24"/>
          <w:szCs w:val="24"/>
        </w:rPr>
        <w:t xml:space="preserve"> Na rok 2022</w:t>
      </w:r>
      <w:r w:rsidRPr="008F5310">
        <w:rPr>
          <w:rFonts w:ascii="Times New Roman" w:hAnsi="Times New Roman" w:cs="Times New Roman"/>
          <w:sz w:val="24"/>
          <w:szCs w:val="24"/>
        </w:rPr>
        <w:t xml:space="preserve"> sa sub</w:t>
      </w:r>
      <w:r>
        <w:rPr>
          <w:rFonts w:ascii="Times New Roman" w:hAnsi="Times New Roman" w:cs="Times New Roman"/>
          <w:sz w:val="24"/>
          <w:szCs w:val="24"/>
        </w:rPr>
        <w:t>vencie rozpočtujú na úrovni 1,12 mld. eur, z čoho najväčšiu</w:t>
      </w:r>
      <w:r w:rsidRPr="008F5310">
        <w:rPr>
          <w:rFonts w:ascii="Times New Roman" w:hAnsi="Times New Roman" w:cs="Times New Roman"/>
          <w:sz w:val="24"/>
          <w:szCs w:val="24"/>
        </w:rPr>
        <w:t xml:space="preserve"> časť </w:t>
      </w:r>
      <w:r>
        <w:rPr>
          <w:rFonts w:ascii="Times New Roman" w:hAnsi="Times New Roman" w:cs="Times New Roman"/>
          <w:sz w:val="24"/>
          <w:szCs w:val="24"/>
        </w:rPr>
        <w:t xml:space="preserve">predstavuje input zelenej energie </w:t>
      </w:r>
      <w:r w:rsidRPr="008F5310">
        <w:rPr>
          <w:rFonts w:ascii="Times New Roman" w:hAnsi="Times New Roman" w:cs="Times New Roman"/>
          <w:sz w:val="24"/>
          <w:szCs w:val="24"/>
        </w:rPr>
        <w:t xml:space="preserve">v objeme </w:t>
      </w:r>
      <w:r>
        <w:rPr>
          <w:rFonts w:ascii="Times New Roman" w:hAnsi="Times New Roman" w:cs="Times New Roman"/>
          <w:sz w:val="24"/>
          <w:szCs w:val="24"/>
        </w:rPr>
        <w:t>404</w:t>
      </w:r>
      <w:r w:rsidRPr="008F5310">
        <w:rPr>
          <w:rFonts w:ascii="Times New Roman" w:hAnsi="Times New Roman" w:cs="Times New Roman"/>
          <w:sz w:val="24"/>
          <w:szCs w:val="24"/>
        </w:rPr>
        <w:t xml:space="preserve"> m</w:t>
      </w:r>
      <w:r>
        <w:rPr>
          <w:rFonts w:ascii="Times New Roman" w:hAnsi="Times New Roman" w:cs="Times New Roman"/>
          <w:sz w:val="24"/>
          <w:szCs w:val="24"/>
        </w:rPr>
        <w:t>i</w:t>
      </w:r>
      <w:r w:rsidRPr="008F5310">
        <w:rPr>
          <w:rFonts w:ascii="Times New Roman" w:hAnsi="Times New Roman" w:cs="Times New Roman"/>
          <w:sz w:val="24"/>
          <w:szCs w:val="24"/>
        </w:rPr>
        <w:t>l. eur</w:t>
      </w:r>
      <w:r>
        <w:rPr>
          <w:rFonts w:ascii="Times New Roman" w:hAnsi="Times New Roman" w:cs="Times New Roman"/>
          <w:sz w:val="24"/>
          <w:szCs w:val="24"/>
        </w:rPr>
        <w:t>.</w:t>
      </w:r>
    </w:p>
    <w:p w:rsidR="007E79C2" w:rsidRDefault="007E79C2" w:rsidP="007E79C2">
      <w:pPr>
        <w:spacing w:after="0" w:line="240" w:lineRule="auto"/>
        <w:jc w:val="both"/>
        <w:rPr>
          <w:rFonts w:ascii="Times New Roman" w:hAnsi="Times New Roman" w:cs="Times New Roman"/>
          <w:sz w:val="24"/>
          <w:szCs w:val="24"/>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Dôchodky z majetku na výdavkovej strane rozpočtu verejnej správy predstavujú úrokové</w:t>
      </w:r>
      <w:r w:rsidRPr="008F5310">
        <w:rPr>
          <w:rFonts w:ascii="Times New Roman" w:hAnsi="Times New Roman" w:cs="Times New Roman"/>
          <w:sz w:val="24"/>
          <w:szCs w:val="24"/>
        </w:rPr>
        <w:t xml:space="preserve"> </w:t>
      </w:r>
      <w:r>
        <w:rPr>
          <w:rFonts w:ascii="Times New Roman" w:hAnsi="Times New Roman" w:cs="Times New Roman"/>
          <w:sz w:val="24"/>
          <w:szCs w:val="24"/>
        </w:rPr>
        <w:t>náklady rozpočtované na rok 2022</w:t>
      </w:r>
      <w:r w:rsidRPr="008F5310">
        <w:rPr>
          <w:rFonts w:ascii="Times New Roman" w:hAnsi="Times New Roman" w:cs="Times New Roman"/>
          <w:sz w:val="24"/>
          <w:szCs w:val="24"/>
        </w:rPr>
        <w:t xml:space="preserve"> v objeme </w:t>
      </w:r>
      <w:r>
        <w:rPr>
          <w:rFonts w:ascii="Times New Roman" w:hAnsi="Times New Roman" w:cs="Times New Roman"/>
          <w:sz w:val="24"/>
          <w:szCs w:val="24"/>
        </w:rPr>
        <w:t>918</w:t>
      </w:r>
      <w:r w:rsidRPr="008F5310">
        <w:rPr>
          <w:rFonts w:ascii="Times New Roman" w:hAnsi="Times New Roman" w:cs="Times New Roman"/>
          <w:sz w:val="24"/>
          <w:szCs w:val="24"/>
        </w:rPr>
        <w:t xml:space="preserve"> m</w:t>
      </w:r>
      <w:r>
        <w:rPr>
          <w:rFonts w:ascii="Times New Roman" w:hAnsi="Times New Roman" w:cs="Times New Roman"/>
          <w:sz w:val="24"/>
          <w:szCs w:val="24"/>
        </w:rPr>
        <w:t>i</w:t>
      </w:r>
      <w:r w:rsidRPr="008F5310">
        <w:rPr>
          <w:rFonts w:ascii="Times New Roman" w:hAnsi="Times New Roman" w:cs="Times New Roman"/>
          <w:sz w:val="24"/>
          <w:szCs w:val="24"/>
        </w:rPr>
        <w:t xml:space="preserve">l. eur. Vývoj úrokových nákladov záleží </w:t>
      </w:r>
      <w:r>
        <w:rPr>
          <w:rFonts w:ascii="Times New Roman" w:hAnsi="Times New Roman" w:cs="Times New Roman"/>
          <w:sz w:val="24"/>
          <w:szCs w:val="24"/>
        </w:rPr>
        <w:t xml:space="preserve">najmä </w:t>
      </w:r>
      <w:r w:rsidRPr="008F5310">
        <w:rPr>
          <w:rFonts w:ascii="Times New Roman" w:hAnsi="Times New Roman" w:cs="Times New Roman"/>
          <w:sz w:val="24"/>
          <w:szCs w:val="24"/>
        </w:rPr>
        <w:t xml:space="preserve">od </w:t>
      </w:r>
      <w:r>
        <w:rPr>
          <w:rFonts w:ascii="Times New Roman" w:hAnsi="Times New Roman" w:cs="Times New Roman"/>
          <w:sz w:val="24"/>
          <w:szCs w:val="24"/>
        </w:rPr>
        <w:t xml:space="preserve">vývoja </w:t>
      </w:r>
      <w:r w:rsidRPr="008F5310">
        <w:rPr>
          <w:rFonts w:ascii="Times New Roman" w:hAnsi="Times New Roman" w:cs="Times New Roman"/>
          <w:sz w:val="24"/>
          <w:szCs w:val="24"/>
        </w:rPr>
        <w:t>úrokových sadzieb</w:t>
      </w:r>
      <w:r>
        <w:rPr>
          <w:rFonts w:ascii="Times New Roman" w:hAnsi="Times New Roman" w:cs="Times New Roman"/>
          <w:sz w:val="24"/>
          <w:szCs w:val="24"/>
        </w:rPr>
        <w:t xml:space="preserve"> a objemu potrebnej likvidity štátu, resp. ostatných subjektov verejnej správy.</w:t>
      </w:r>
    </w:p>
    <w:p w:rsidR="007E79C2" w:rsidRPr="008F5310" w:rsidRDefault="007E79C2" w:rsidP="007E79C2">
      <w:pPr>
        <w:spacing w:after="0" w:line="240" w:lineRule="auto"/>
        <w:jc w:val="both"/>
        <w:rPr>
          <w:rFonts w:ascii="Times New Roman" w:hAnsi="Times New Roman" w:cs="Times New Roman"/>
          <w:sz w:val="24"/>
          <w:szCs w:val="24"/>
        </w:rPr>
      </w:pPr>
    </w:p>
    <w:p w:rsidR="007E79C2" w:rsidRDefault="007E79C2" w:rsidP="007E79C2">
      <w:pPr>
        <w:spacing w:after="0" w:line="240" w:lineRule="auto"/>
        <w:jc w:val="both"/>
        <w:rPr>
          <w:rFonts w:ascii="Times New Roman" w:hAnsi="Times New Roman" w:cs="Times New Roman"/>
          <w:sz w:val="24"/>
          <w:szCs w:val="24"/>
        </w:rPr>
      </w:pPr>
      <w:r w:rsidRPr="005A5D00">
        <w:rPr>
          <w:rFonts w:ascii="Times New Roman" w:hAnsi="Times New Roman" w:cs="Times New Roman"/>
          <w:sz w:val="24"/>
          <w:szCs w:val="24"/>
        </w:rPr>
        <w:t>Celkové sociálne transfery tvoria najväčšiu časť výdavkov rozpočtu verejnej správy na rok 202</w:t>
      </w:r>
      <w:r>
        <w:rPr>
          <w:rFonts w:ascii="Times New Roman" w:hAnsi="Times New Roman" w:cs="Times New Roman"/>
          <w:sz w:val="24"/>
          <w:szCs w:val="24"/>
        </w:rPr>
        <w:t>2 a sú rozpočtované v objeme 20,3</w:t>
      </w:r>
      <w:r w:rsidRPr="005A5D00">
        <w:rPr>
          <w:rFonts w:ascii="Times New Roman" w:hAnsi="Times New Roman" w:cs="Times New Roman"/>
          <w:sz w:val="24"/>
          <w:szCs w:val="24"/>
        </w:rPr>
        <w:t xml:space="preserve"> mld. eur. Sociálne transfery sa rozdeľujú podľa spôsobu ich čerpania na sociálne dávky okrem naturálnych sociálnych transferov a naturálne sociálne transfery. Sociálne dávky okrem naturálnych sociálnych transferov zahŕňajú všetky dávky vyplácané príjemco</w:t>
      </w:r>
      <w:r>
        <w:rPr>
          <w:rFonts w:ascii="Times New Roman" w:hAnsi="Times New Roman" w:cs="Times New Roman"/>
          <w:sz w:val="24"/>
          <w:szCs w:val="24"/>
        </w:rPr>
        <w:t>m v peňažnej forme a na rok 2022 sa rozpočtujú v objeme 14,9</w:t>
      </w:r>
      <w:r w:rsidRPr="005A5D00">
        <w:rPr>
          <w:rFonts w:ascii="Times New Roman" w:hAnsi="Times New Roman" w:cs="Times New Roman"/>
          <w:sz w:val="24"/>
          <w:szCs w:val="24"/>
        </w:rPr>
        <w:t xml:space="preserve"> mld. eur a   najväčšiu časť tvoria dôchodkové dávky zo starobného a invalidného poistenia v objeme </w:t>
      </w:r>
      <w:r w:rsidRPr="008837F4">
        <w:rPr>
          <w:rFonts w:ascii="Times New Roman" w:hAnsi="Times New Roman" w:cs="Times New Roman"/>
          <w:sz w:val="24"/>
          <w:szCs w:val="24"/>
        </w:rPr>
        <w:t>8,</w:t>
      </w:r>
      <w:r>
        <w:rPr>
          <w:rFonts w:ascii="Times New Roman" w:hAnsi="Times New Roman" w:cs="Times New Roman"/>
          <w:sz w:val="24"/>
          <w:szCs w:val="24"/>
        </w:rPr>
        <w:t>73</w:t>
      </w:r>
      <w:r w:rsidRPr="005A5D00">
        <w:rPr>
          <w:rFonts w:ascii="Times New Roman" w:hAnsi="Times New Roman" w:cs="Times New Roman"/>
          <w:sz w:val="24"/>
          <w:szCs w:val="24"/>
        </w:rPr>
        <w:t xml:space="preserve"> mld. eur. V rámci naturálnych sociálnych transferov sú klasifikované výdavky poistenia v rámci verejného zdravotného poist</w:t>
      </w:r>
      <w:r>
        <w:rPr>
          <w:rFonts w:ascii="Times New Roman" w:hAnsi="Times New Roman" w:cs="Times New Roman"/>
          <w:sz w:val="24"/>
          <w:szCs w:val="24"/>
        </w:rPr>
        <w:t>enia v rozpočtovanom objeme 5,42</w:t>
      </w:r>
      <w:r w:rsidRPr="005A5D00">
        <w:rPr>
          <w:rFonts w:ascii="Times New Roman" w:hAnsi="Times New Roman" w:cs="Times New Roman"/>
          <w:sz w:val="24"/>
          <w:szCs w:val="24"/>
        </w:rPr>
        <w:t xml:space="preserve"> mld. eur.</w:t>
      </w:r>
      <w:r>
        <w:rPr>
          <w:rFonts w:ascii="Times New Roman" w:hAnsi="Times New Roman" w:cs="Times New Roman"/>
          <w:sz w:val="24"/>
          <w:szCs w:val="24"/>
        </w:rPr>
        <w:t xml:space="preserve"> </w:t>
      </w:r>
    </w:p>
    <w:p w:rsidR="007E79C2" w:rsidRDefault="007E79C2" w:rsidP="007E79C2">
      <w:pPr>
        <w:spacing w:after="0" w:line="240" w:lineRule="auto"/>
        <w:jc w:val="both"/>
        <w:rPr>
          <w:rFonts w:ascii="Times New Roman" w:hAnsi="Times New Roman" w:cs="Times New Roman"/>
          <w:sz w:val="24"/>
          <w:szCs w:val="24"/>
        </w:rPr>
      </w:pP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Ostatné bežné transfery zahŕňajú bežné výdavky, ktoré svojou povahou nepatria medzi</w:t>
      </w:r>
      <w:r w:rsidRPr="008F5310">
        <w:rPr>
          <w:rFonts w:ascii="Times New Roman" w:hAnsi="Times New Roman" w:cs="Times New Roman"/>
          <w:sz w:val="24"/>
          <w:szCs w:val="24"/>
        </w:rPr>
        <w:t xml:space="preserve"> subvencie, resp.</w:t>
      </w:r>
      <w:r>
        <w:rPr>
          <w:rFonts w:ascii="Times New Roman" w:hAnsi="Times New Roman" w:cs="Times New Roman"/>
          <w:sz w:val="24"/>
          <w:szCs w:val="24"/>
        </w:rPr>
        <w:t xml:space="preserve"> </w:t>
      </w:r>
      <w:r w:rsidRPr="008F5310">
        <w:rPr>
          <w:rFonts w:ascii="Times New Roman" w:hAnsi="Times New Roman" w:cs="Times New Roman"/>
          <w:sz w:val="24"/>
          <w:szCs w:val="24"/>
        </w:rPr>
        <w:t>sociálne transfery. Z ich rozpo</w:t>
      </w:r>
      <w:r>
        <w:rPr>
          <w:rFonts w:ascii="Times New Roman" w:hAnsi="Times New Roman" w:cs="Times New Roman"/>
          <w:sz w:val="24"/>
          <w:szCs w:val="24"/>
        </w:rPr>
        <w:t>čtovanej hodnoty na rok 2022 v sume 3,33</w:t>
      </w:r>
      <w:r w:rsidRPr="008F5310">
        <w:rPr>
          <w:rFonts w:ascii="Times New Roman" w:hAnsi="Times New Roman" w:cs="Times New Roman"/>
          <w:sz w:val="24"/>
          <w:szCs w:val="24"/>
        </w:rPr>
        <w:t xml:space="preserve"> mld. eur tvorí najväčšiu časť odvod do rozpočtu EÚ</w:t>
      </w:r>
      <w:r>
        <w:rPr>
          <w:rFonts w:ascii="Times New Roman" w:hAnsi="Times New Roman" w:cs="Times New Roman"/>
          <w:sz w:val="24"/>
          <w:szCs w:val="24"/>
        </w:rPr>
        <w:t>, a to</w:t>
      </w:r>
      <w:r w:rsidRPr="008F5310">
        <w:rPr>
          <w:rFonts w:ascii="Times New Roman" w:hAnsi="Times New Roman" w:cs="Times New Roman"/>
          <w:sz w:val="24"/>
          <w:szCs w:val="24"/>
        </w:rPr>
        <w:t xml:space="preserve"> v </w:t>
      </w:r>
      <w:r>
        <w:rPr>
          <w:rFonts w:ascii="Times New Roman" w:hAnsi="Times New Roman" w:cs="Times New Roman"/>
          <w:sz w:val="24"/>
          <w:szCs w:val="24"/>
        </w:rPr>
        <w:t>objeme 1,03</w:t>
      </w:r>
      <w:r w:rsidRPr="008F5310">
        <w:rPr>
          <w:rFonts w:ascii="Times New Roman" w:hAnsi="Times New Roman" w:cs="Times New Roman"/>
          <w:sz w:val="24"/>
          <w:szCs w:val="24"/>
        </w:rPr>
        <w:t xml:space="preserve"> mld. eur.</w:t>
      </w:r>
    </w:p>
    <w:p w:rsidR="007E79C2" w:rsidRPr="008F5310" w:rsidRDefault="007E79C2" w:rsidP="007E79C2">
      <w:pPr>
        <w:spacing w:after="0" w:line="240" w:lineRule="auto"/>
        <w:jc w:val="both"/>
        <w:rPr>
          <w:rFonts w:ascii="Times New Roman" w:hAnsi="Times New Roman" w:cs="Times New Roman"/>
          <w:sz w:val="24"/>
          <w:szCs w:val="24"/>
        </w:rPr>
      </w:pPr>
      <w:r w:rsidRPr="008F5310">
        <w:rPr>
          <w:rFonts w:ascii="Times New Roman" w:hAnsi="Times New Roman" w:cs="Times New Roman"/>
          <w:sz w:val="24"/>
          <w:szCs w:val="24"/>
        </w:rPr>
        <w:t xml:space="preserve"> </w:t>
      </w:r>
    </w:p>
    <w:p w:rsidR="007E79C2" w:rsidRDefault="007E79C2" w:rsidP="007E79C2">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Kapitálové v</w:t>
      </w:r>
      <w:r>
        <w:rPr>
          <w:rFonts w:ascii="Times New Roman" w:hAnsi="Times New Roman" w:cs="Times New Roman"/>
          <w:sz w:val="24"/>
          <w:szCs w:val="24"/>
        </w:rPr>
        <w:t>ýdavky sa rozpočtujú v roku 2022</w:t>
      </w:r>
      <w:r w:rsidRPr="00DB66AD">
        <w:rPr>
          <w:rFonts w:ascii="Times New Roman" w:hAnsi="Times New Roman" w:cs="Times New Roman"/>
          <w:sz w:val="24"/>
          <w:szCs w:val="24"/>
        </w:rPr>
        <w:t xml:space="preserve"> v objeme </w:t>
      </w:r>
      <w:r>
        <w:rPr>
          <w:rFonts w:ascii="Times New Roman" w:hAnsi="Times New Roman" w:cs="Times New Roman"/>
          <w:sz w:val="24"/>
          <w:szCs w:val="24"/>
        </w:rPr>
        <w:t>5,17</w:t>
      </w:r>
      <w:r w:rsidRPr="00DB66AD">
        <w:rPr>
          <w:rFonts w:ascii="Times New Roman" w:hAnsi="Times New Roman" w:cs="Times New Roman"/>
          <w:sz w:val="24"/>
          <w:szCs w:val="24"/>
        </w:rPr>
        <w:t xml:space="preserve"> mld. eur, z čoho najväčšiu časť</w:t>
      </w:r>
      <w:r>
        <w:rPr>
          <w:rFonts w:ascii="Times New Roman" w:hAnsi="Times New Roman" w:cs="Times New Roman"/>
          <w:sz w:val="24"/>
          <w:szCs w:val="24"/>
        </w:rPr>
        <w:t xml:space="preserve"> predstavujú kapitálové </w:t>
      </w:r>
      <w:r w:rsidRPr="008F5310">
        <w:rPr>
          <w:rFonts w:ascii="Times New Roman" w:hAnsi="Times New Roman" w:cs="Times New Roman"/>
          <w:sz w:val="24"/>
          <w:szCs w:val="24"/>
        </w:rPr>
        <w:t xml:space="preserve">investície, </w:t>
      </w:r>
      <w:r>
        <w:rPr>
          <w:rFonts w:ascii="Times New Roman" w:hAnsi="Times New Roman" w:cs="Times New Roman"/>
          <w:sz w:val="24"/>
          <w:szCs w:val="24"/>
        </w:rPr>
        <w:t>a to v objeme 4,83</w:t>
      </w:r>
      <w:r w:rsidRPr="008F5310">
        <w:rPr>
          <w:rFonts w:ascii="Times New Roman" w:hAnsi="Times New Roman" w:cs="Times New Roman"/>
          <w:sz w:val="24"/>
          <w:szCs w:val="24"/>
        </w:rPr>
        <w:t xml:space="preserve"> mld. eur</w:t>
      </w:r>
      <w:r>
        <w:rPr>
          <w:rFonts w:ascii="Times New Roman" w:hAnsi="Times New Roman" w:cs="Times New Roman"/>
          <w:sz w:val="24"/>
          <w:szCs w:val="24"/>
        </w:rPr>
        <w:t>.</w:t>
      </w:r>
      <w:r w:rsidRPr="008F5310">
        <w:rPr>
          <w:rFonts w:ascii="Times New Roman" w:hAnsi="Times New Roman" w:cs="Times New Roman"/>
          <w:sz w:val="24"/>
          <w:szCs w:val="24"/>
        </w:rPr>
        <w:t xml:space="preserve"> </w:t>
      </w:r>
      <w:r>
        <w:rPr>
          <w:rFonts w:ascii="Times New Roman" w:hAnsi="Times New Roman" w:cs="Times New Roman"/>
          <w:sz w:val="24"/>
          <w:szCs w:val="24"/>
        </w:rPr>
        <w:t>Zvyšnú časť predstavujú k</w:t>
      </w:r>
      <w:r w:rsidRPr="008F5310">
        <w:rPr>
          <w:rFonts w:ascii="Times New Roman" w:hAnsi="Times New Roman" w:cs="Times New Roman"/>
          <w:sz w:val="24"/>
          <w:szCs w:val="24"/>
        </w:rPr>
        <w:t>apitálov</w:t>
      </w:r>
      <w:r>
        <w:rPr>
          <w:rFonts w:ascii="Times New Roman" w:hAnsi="Times New Roman" w:cs="Times New Roman"/>
          <w:sz w:val="24"/>
          <w:szCs w:val="24"/>
        </w:rPr>
        <w:t>é</w:t>
      </w:r>
      <w:r w:rsidRPr="008F5310">
        <w:rPr>
          <w:rFonts w:ascii="Times New Roman" w:hAnsi="Times New Roman" w:cs="Times New Roman"/>
          <w:sz w:val="24"/>
          <w:szCs w:val="24"/>
        </w:rPr>
        <w:t xml:space="preserve"> transfer</w:t>
      </w:r>
      <w:r>
        <w:rPr>
          <w:rFonts w:ascii="Times New Roman" w:hAnsi="Times New Roman" w:cs="Times New Roman"/>
          <w:sz w:val="24"/>
          <w:szCs w:val="24"/>
        </w:rPr>
        <w:t>y v objeme 343 mil. eur. Tieto</w:t>
      </w:r>
      <w:r w:rsidRPr="008F5310">
        <w:rPr>
          <w:rFonts w:ascii="Times New Roman" w:hAnsi="Times New Roman" w:cs="Times New Roman"/>
          <w:sz w:val="24"/>
          <w:szCs w:val="24"/>
        </w:rPr>
        <w:t xml:space="preserve"> sú určené na kapitálové investície iným subjektom</w:t>
      </w:r>
      <w:r>
        <w:rPr>
          <w:rFonts w:ascii="Times New Roman" w:hAnsi="Times New Roman" w:cs="Times New Roman"/>
          <w:sz w:val="24"/>
          <w:szCs w:val="24"/>
        </w:rPr>
        <w:t xml:space="preserve"> mimo sektora verejnej správy</w:t>
      </w:r>
      <w:r w:rsidRPr="008F5310">
        <w:rPr>
          <w:rFonts w:ascii="Times New Roman" w:hAnsi="Times New Roman" w:cs="Times New Roman"/>
          <w:sz w:val="24"/>
          <w:szCs w:val="24"/>
        </w:rPr>
        <w:t>.</w:t>
      </w:r>
    </w:p>
    <w:p w:rsidR="00CE077C" w:rsidRPr="008F5310" w:rsidRDefault="00CE077C" w:rsidP="000C265D">
      <w:pPr>
        <w:spacing w:after="0" w:line="240" w:lineRule="auto"/>
        <w:jc w:val="both"/>
        <w:rPr>
          <w:rFonts w:ascii="Times New Roman" w:hAnsi="Times New Roman" w:cs="Times New Roman"/>
          <w:sz w:val="24"/>
          <w:szCs w:val="24"/>
        </w:rPr>
      </w:pPr>
    </w:p>
    <w:p w:rsidR="000C265D" w:rsidRDefault="000C265D" w:rsidP="00F54D87">
      <w:pPr>
        <w:pStyle w:val="Nadpis2"/>
        <w:tabs>
          <w:tab w:val="left" w:pos="426"/>
        </w:tabs>
        <w:spacing w:before="0" w:after="0"/>
        <w:ind w:left="426" w:hanging="426"/>
        <w:jc w:val="both"/>
        <w:rPr>
          <w:rFonts w:ascii="Times New Roman" w:hAnsi="Times New Roman"/>
          <w:i w:val="0"/>
          <w:color w:val="5B9BD5" w:themeColor="accent1"/>
          <w:sz w:val="24"/>
        </w:rPr>
      </w:pPr>
      <w:bookmarkStart w:id="61" w:name="_Toc53040760"/>
      <w:bookmarkStart w:id="62" w:name="_Toc84684748"/>
      <w:r w:rsidRPr="00CE077C">
        <w:rPr>
          <w:rFonts w:ascii="Times New Roman" w:hAnsi="Times New Roman"/>
          <w:i w:val="0"/>
          <w:color w:val="5B9BD5" w:themeColor="accent1"/>
          <w:sz w:val="24"/>
        </w:rPr>
        <w:t>2.</w:t>
      </w:r>
      <w:r w:rsidR="001E1863">
        <w:rPr>
          <w:rFonts w:ascii="Times New Roman" w:hAnsi="Times New Roman"/>
          <w:i w:val="0"/>
          <w:color w:val="5B9BD5" w:themeColor="accent1"/>
          <w:sz w:val="24"/>
        </w:rPr>
        <w:t>5</w:t>
      </w:r>
      <w:r w:rsidR="00CE077C">
        <w:rPr>
          <w:rFonts w:ascii="Times New Roman" w:hAnsi="Times New Roman"/>
          <w:i w:val="0"/>
          <w:color w:val="5B9BD5" w:themeColor="accent1"/>
          <w:sz w:val="24"/>
        </w:rPr>
        <w:t xml:space="preserve">. </w:t>
      </w:r>
      <w:r w:rsidRPr="00CE077C">
        <w:rPr>
          <w:rFonts w:ascii="Times New Roman" w:hAnsi="Times New Roman"/>
          <w:i w:val="0"/>
          <w:color w:val="5B9BD5" w:themeColor="accent1"/>
          <w:sz w:val="24"/>
        </w:rPr>
        <w:t xml:space="preserve">Informácia o zapracovaných úpravách niektorých príjmov a výdavkov rozpočtu </w:t>
      </w:r>
      <w:r w:rsidR="00544F70">
        <w:rPr>
          <w:rFonts w:ascii="Times New Roman" w:hAnsi="Times New Roman"/>
          <w:i w:val="0"/>
          <w:color w:val="5B9BD5" w:themeColor="accent1"/>
          <w:sz w:val="24"/>
        </w:rPr>
        <w:t xml:space="preserve">  </w:t>
      </w:r>
      <w:r w:rsidRPr="00CE077C">
        <w:rPr>
          <w:rFonts w:ascii="Times New Roman" w:hAnsi="Times New Roman"/>
          <w:i w:val="0"/>
          <w:color w:val="5B9BD5" w:themeColor="accent1"/>
          <w:sz w:val="24"/>
        </w:rPr>
        <w:t>verejnej správy v metodike ESA 2010</w:t>
      </w:r>
      <w:bookmarkEnd w:id="61"/>
      <w:bookmarkEnd w:id="62"/>
    </w:p>
    <w:p w:rsidR="005C5A0D" w:rsidRDefault="005C5A0D" w:rsidP="00F54D87">
      <w:pPr>
        <w:spacing w:after="0"/>
        <w:rPr>
          <w:lang w:eastAsia="cs-CZ"/>
        </w:rPr>
      </w:pPr>
    </w:p>
    <w:p w:rsidR="00EB7370" w:rsidRDefault="00EB7370" w:rsidP="00F54D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EC3CE0">
        <w:rPr>
          <w:rFonts w:ascii="Times New Roman" w:hAnsi="Times New Roman" w:cs="Times New Roman"/>
          <w:sz w:val="24"/>
          <w:szCs w:val="24"/>
        </w:rPr>
        <w:t>ozpoč</w:t>
      </w:r>
      <w:r>
        <w:rPr>
          <w:rFonts w:ascii="Times New Roman" w:hAnsi="Times New Roman" w:cs="Times New Roman"/>
          <w:sz w:val="24"/>
          <w:szCs w:val="24"/>
        </w:rPr>
        <w:t>e</w:t>
      </w:r>
      <w:r w:rsidRPr="00EC3CE0">
        <w:rPr>
          <w:rFonts w:ascii="Times New Roman" w:hAnsi="Times New Roman" w:cs="Times New Roman"/>
          <w:sz w:val="24"/>
          <w:szCs w:val="24"/>
        </w:rPr>
        <w:t>t verejnej správy na roky 202</w:t>
      </w:r>
      <w:r>
        <w:rPr>
          <w:rFonts w:ascii="Times New Roman" w:hAnsi="Times New Roman" w:cs="Times New Roman"/>
          <w:sz w:val="24"/>
          <w:szCs w:val="24"/>
        </w:rPr>
        <w:t>2</w:t>
      </w:r>
      <w:r w:rsidRPr="00EC3CE0">
        <w:rPr>
          <w:rFonts w:ascii="Times New Roman" w:hAnsi="Times New Roman" w:cs="Times New Roman"/>
          <w:sz w:val="24"/>
          <w:szCs w:val="24"/>
        </w:rPr>
        <w:t xml:space="preserve"> až 202</w:t>
      </w:r>
      <w:r>
        <w:rPr>
          <w:rFonts w:ascii="Times New Roman" w:hAnsi="Times New Roman" w:cs="Times New Roman"/>
          <w:sz w:val="24"/>
          <w:szCs w:val="24"/>
        </w:rPr>
        <w:t>4</w:t>
      </w:r>
      <w:r w:rsidRPr="00EC3CE0">
        <w:rPr>
          <w:rFonts w:ascii="Times New Roman" w:hAnsi="Times New Roman" w:cs="Times New Roman"/>
          <w:sz w:val="24"/>
          <w:szCs w:val="24"/>
        </w:rPr>
        <w:t xml:space="preserve"> bol vo viacerých aspektoch pripravovaný s ohľadom na Programové vyhlásenie vlády SR na roky 2020 až 2024, ktorým sa vláda okrem iného zaviazala k zníženiu podielu časti príjmov a výdavkov, ktoré neboli v minulých rokoch zahrnuté v rozpočte. </w:t>
      </w:r>
      <w:r>
        <w:rPr>
          <w:rFonts w:ascii="Times New Roman" w:hAnsi="Times New Roman" w:cs="Times New Roman"/>
          <w:sz w:val="24"/>
          <w:szCs w:val="24"/>
        </w:rPr>
        <w:t>R</w:t>
      </w:r>
      <w:r w:rsidRPr="00EC3CE0">
        <w:rPr>
          <w:rFonts w:ascii="Times New Roman" w:hAnsi="Times New Roman" w:cs="Times New Roman"/>
          <w:sz w:val="24"/>
          <w:szCs w:val="24"/>
        </w:rPr>
        <w:t>ozpoč</w:t>
      </w:r>
      <w:r>
        <w:rPr>
          <w:rFonts w:ascii="Times New Roman" w:hAnsi="Times New Roman" w:cs="Times New Roman"/>
          <w:sz w:val="24"/>
          <w:szCs w:val="24"/>
        </w:rPr>
        <w:t>e</w:t>
      </w:r>
      <w:r w:rsidRPr="00EC3CE0">
        <w:rPr>
          <w:rFonts w:ascii="Times New Roman" w:hAnsi="Times New Roman" w:cs="Times New Roman"/>
          <w:sz w:val="24"/>
          <w:szCs w:val="24"/>
        </w:rPr>
        <w:t>t verejnej správy na roky 202</w:t>
      </w:r>
      <w:r>
        <w:rPr>
          <w:rFonts w:ascii="Times New Roman" w:hAnsi="Times New Roman" w:cs="Times New Roman"/>
          <w:sz w:val="24"/>
          <w:szCs w:val="24"/>
        </w:rPr>
        <w:t>2</w:t>
      </w:r>
      <w:r w:rsidRPr="00EC3CE0">
        <w:rPr>
          <w:rFonts w:ascii="Times New Roman" w:hAnsi="Times New Roman" w:cs="Times New Roman"/>
          <w:sz w:val="24"/>
          <w:szCs w:val="24"/>
        </w:rPr>
        <w:t xml:space="preserve"> až 202</w:t>
      </w:r>
      <w:r>
        <w:rPr>
          <w:rFonts w:ascii="Times New Roman" w:hAnsi="Times New Roman" w:cs="Times New Roman"/>
          <w:sz w:val="24"/>
          <w:szCs w:val="24"/>
        </w:rPr>
        <w:t>4</w:t>
      </w:r>
      <w:r w:rsidRPr="00EC3CE0">
        <w:rPr>
          <w:rFonts w:ascii="Times New Roman" w:hAnsi="Times New Roman" w:cs="Times New Roman"/>
          <w:sz w:val="24"/>
          <w:szCs w:val="24"/>
        </w:rPr>
        <w:t xml:space="preserve"> </w:t>
      </w:r>
      <w:r>
        <w:rPr>
          <w:rFonts w:ascii="Times New Roman" w:hAnsi="Times New Roman" w:cs="Times New Roman"/>
          <w:sz w:val="24"/>
          <w:szCs w:val="24"/>
        </w:rPr>
        <w:t>oproti</w:t>
      </w:r>
      <w:r w:rsidRPr="00EC3CE0">
        <w:rPr>
          <w:rFonts w:ascii="Times New Roman" w:hAnsi="Times New Roman" w:cs="Times New Roman"/>
          <w:sz w:val="24"/>
          <w:szCs w:val="24"/>
        </w:rPr>
        <w:t xml:space="preserve"> rozpočtu verejnej správy na roky 2021 až 2023</w:t>
      </w:r>
      <w:r>
        <w:rPr>
          <w:rFonts w:ascii="Times New Roman" w:hAnsi="Times New Roman" w:cs="Times New Roman"/>
          <w:sz w:val="24"/>
          <w:szCs w:val="24"/>
        </w:rPr>
        <w:t>, do ktorého</w:t>
      </w:r>
      <w:r w:rsidRPr="00EC3CE0">
        <w:rPr>
          <w:rFonts w:ascii="Times New Roman" w:hAnsi="Times New Roman" w:cs="Times New Roman"/>
          <w:sz w:val="24"/>
          <w:szCs w:val="24"/>
        </w:rPr>
        <w:t xml:space="preserve"> bola zahrnu</w:t>
      </w:r>
      <w:r>
        <w:rPr>
          <w:rFonts w:ascii="Times New Roman" w:hAnsi="Times New Roman" w:cs="Times New Roman"/>
          <w:sz w:val="24"/>
          <w:szCs w:val="24"/>
        </w:rPr>
        <w:t>tá významná časť týchto titulov ako FISIM</w:t>
      </w:r>
      <w:r w:rsidR="00D27BBC">
        <w:rPr>
          <w:rFonts w:ascii="Times New Roman" w:hAnsi="Times New Roman" w:cs="Times New Roman"/>
          <w:sz w:val="24"/>
          <w:szCs w:val="24"/>
        </w:rPr>
        <w:t xml:space="preserve"> (</w:t>
      </w:r>
      <w:r w:rsidR="00D27BBC" w:rsidRPr="00D27BBC">
        <w:rPr>
          <w:rFonts w:ascii="Times New Roman" w:hAnsi="Times New Roman" w:cs="Times New Roman"/>
          <w:sz w:val="24"/>
          <w:szCs w:val="24"/>
        </w:rPr>
        <w:t>Financial Intermediation Services Indirectly Measured</w:t>
      </w:r>
      <w:r w:rsidR="00D27BBC">
        <w:rPr>
          <w:rFonts w:ascii="Times New Roman" w:hAnsi="Times New Roman" w:cs="Times New Roman"/>
          <w:sz w:val="24"/>
          <w:szCs w:val="24"/>
        </w:rPr>
        <w:t>)</w:t>
      </w:r>
      <w:r>
        <w:rPr>
          <w:rFonts w:ascii="Times New Roman" w:hAnsi="Times New Roman" w:cs="Times New Roman"/>
          <w:sz w:val="24"/>
          <w:szCs w:val="24"/>
        </w:rPr>
        <w:t>, naturálne mzdy, umelecká produkcia na vlastné použitie a výroba softvéru na vlastné použitie, obsahuje aj príjmy a výdavky spoločnosti Slovak Investment Holding, a. s. (SIH)</w:t>
      </w:r>
      <w:r>
        <w:rPr>
          <w:rStyle w:val="Odkaznapoznmkupodiarou"/>
          <w:rFonts w:ascii="Times New Roman" w:hAnsi="Times New Roman"/>
          <w:sz w:val="24"/>
          <w:szCs w:val="24"/>
        </w:rPr>
        <w:footnoteReference w:id="19"/>
      </w:r>
      <w:r>
        <w:rPr>
          <w:rFonts w:ascii="Times New Roman" w:hAnsi="Times New Roman" w:cs="Times New Roman"/>
          <w:sz w:val="24"/>
          <w:szCs w:val="24"/>
        </w:rPr>
        <w:t>. V rámci rozpočtu verejnej správy na roky 2022 až 2024 sa uvažuje s hodnotami na úrovni jarnej notifikácie skutočnosti za rok 2020, čo prezentuje nasledujúca tabuľka.</w:t>
      </w:r>
      <w:r w:rsidRPr="00367414">
        <w:rPr>
          <w:rFonts w:ascii="Times New Roman" w:hAnsi="Times New Roman" w:cs="Times New Roman"/>
          <w:sz w:val="24"/>
          <w:szCs w:val="24"/>
        </w:rPr>
        <w:t xml:space="preserve"> </w:t>
      </w:r>
    </w:p>
    <w:p w:rsidR="00B932F5" w:rsidRDefault="00B932F5" w:rsidP="00F54D87">
      <w:pPr>
        <w:spacing w:after="0" w:line="240" w:lineRule="auto"/>
        <w:jc w:val="both"/>
        <w:rPr>
          <w:rFonts w:ascii="Times New Roman" w:hAnsi="Times New Roman" w:cs="Times New Roman"/>
          <w:sz w:val="24"/>
          <w:szCs w:val="24"/>
        </w:rPr>
      </w:pPr>
    </w:p>
    <w:p w:rsidR="00B932F5" w:rsidRDefault="00B932F5" w:rsidP="00F54D87">
      <w:pPr>
        <w:spacing w:after="0" w:line="240" w:lineRule="auto"/>
        <w:jc w:val="both"/>
        <w:rPr>
          <w:rFonts w:ascii="Times New Roman" w:hAnsi="Times New Roman" w:cs="Times New Roman"/>
          <w:sz w:val="24"/>
          <w:szCs w:val="24"/>
        </w:rPr>
      </w:pPr>
    </w:p>
    <w:p w:rsidR="00EB7370" w:rsidRDefault="00EB7370" w:rsidP="00EB7370">
      <w:pPr>
        <w:spacing w:after="0" w:line="240" w:lineRule="auto"/>
        <w:jc w:val="both"/>
        <w:rPr>
          <w:rFonts w:ascii="Times New Roman" w:hAnsi="Times New Roman" w:cs="Times New Roman"/>
          <w:sz w:val="24"/>
          <w:szCs w:val="24"/>
        </w:rPr>
      </w:pPr>
    </w:p>
    <w:p w:rsidR="00EB7370" w:rsidRPr="000C41B0" w:rsidRDefault="00EB7370" w:rsidP="00EB7370">
      <w:pPr>
        <w:spacing w:after="0"/>
        <w:rPr>
          <w:rFonts w:ascii="Times New Roman" w:hAnsi="Times New Roman" w:cs="Times New Roman"/>
          <w:b/>
          <w:color w:val="5B9BD5" w:themeColor="accent1"/>
          <w:sz w:val="20"/>
          <w:szCs w:val="20"/>
        </w:rPr>
      </w:pPr>
      <w:bookmarkStart w:id="63" w:name="_Toc84845240"/>
      <w:r w:rsidRPr="000C41B0">
        <w:rPr>
          <w:rFonts w:ascii="Times New Roman" w:hAnsi="Times New Roman" w:cs="Times New Roman"/>
          <w:b/>
          <w:color w:val="5B9BD5" w:themeColor="accent1"/>
          <w:sz w:val="20"/>
          <w:szCs w:val="20"/>
        </w:rPr>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16</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ESA 2010 tituly</w:t>
      </w:r>
      <w:bookmarkEnd w:id="63"/>
    </w:p>
    <w:tbl>
      <w:tblPr>
        <w:tblW w:w="5000" w:type="pct"/>
        <w:tblCellMar>
          <w:left w:w="70" w:type="dxa"/>
          <w:right w:w="70" w:type="dxa"/>
        </w:tblCellMar>
        <w:tblLook w:val="04A0" w:firstRow="1" w:lastRow="0" w:firstColumn="1" w:lastColumn="0" w:noHBand="0" w:noVBand="1"/>
      </w:tblPr>
      <w:tblGrid>
        <w:gridCol w:w="3321"/>
        <w:gridCol w:w="1127"/>
        <w:gridCol w:w="769"/>
        <w:gridCol w:w="769"/>
        <w:gridCol w:w="771"/>
        <w:gridCol w:w="771"/>
        <w:gridCol w:w="775"/>
        <w:gridCol w:w="769"/>
      </w:tblGrid>
      <w:tr w:rsidR="00EB7370" w:rsidRPr="001911BE" w:rsidTr="007C2BDC">
        <w:trPr>
          <w:trHeight w:val="255"/>
        </w:trPr>
        <w:tc>
          <w:tcPr>
            <w:tcW w:w="1830" w:type="pct"/>
            <w:tcBorders>
              <w:top w:val="single" w:sz="4" w:space="0" w:color="auto"/>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ESA 2010 input, v mil. eur</w:t>
            </w:r>
          </w:p>
        </w:tc>
        <w:tc>
          <w:tcPr>
            <w:tcW w:w="621"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ESA 2010 kód</w:t>
            </w:r>
          </w:p>
        </w:tc>
        <w:tc>
          <w:tcPr>
            <w:tcW w:w="424"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Spolu</w:t>
            </w:r>
          </w:p>
        </w:tc>
        <w:tc>
          <w:tcPr>
            <w:tcW w:w="424"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FISIM</w:t>
            </w:r>
          </w:p>
        </w:tc>
        <w:tc>
          <w:tcPr>
            <w:tcW w:w="425"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Naturálne mzdy</w:t>
            </w:r>
          </w:p>
        </w:tc>
        <w:tc>
          <w:tcPr>
            <w:tcW w:w="425"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Umelecká produkcia</w:t>
            </w:r>
          </w:p>
        </w:tc>
        <w:tc>
          <w:tcPr>
            <w:tcW w:w="427"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Softvér</w:t>
            </w:r>
          </w:p>
        </w:tc>
        <w:tc>
          <w:tcPr>
            <w:tcW w:w="424" w:type="pct"/>
            <w:tcBorders>
              <w:top w:val="single" w:sz="4" w:space="0" w:color="auto"/>
              <w:left w:val="nil"/>
              <w:bottom w:val="single" w:sz="4" w:space="0" w:color="auto"/>
              <w:right w:val="nil"/>
            </w:tcBorders>
            <w:shd w:val="clear" w:color="auto" w:fill="auto"/>
            <w:vAlign w:val="center"/>
            <w:hideMark/>
          </w:tcPr>
          <w:p w:rsidR="00EB7370" w:rsidRPr="001911BE" w:rsidRDefault="00EB7370" w:rsidP="00EB7370">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SIH</w:t>
            </w:r>
          </w:p>
        </w:tc>
      </w:tr>
      <w:tr w:rsidR="00EB7370" w:rsidRPr="001911BE" w:rsidTr="007C2BDC">
        <w:trPr>
          <w:trHeight w:val="255"/>
        </w:trPr>
        <w:tc>
          <w:tcPr>
            <w:tcW w:w="1830"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Saldo</w:t>
            </w:r>
          </w:p>
        </w:tc>
        <w:tc>
          <w:tcPr>
            <w:tcW w:w="621"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B.9</w:t>
            </w:r>
          </w:p>
        </w:tc>
        <w:tc>
          <w:tcPr>
            <w:tcW w:w="424"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-6,1</w:t>
            </w:r>
          </w:p>
        </w:tc>
        <w:tc>
          <w:tcPr>
            <w:tcW w:w="424"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0,0</w:t>
            </w:r>
          </w:p>
        </w:tc>
        <w:tc>
          <w:tcPr>
            <w:tcW w:w="425"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0</w:t>
            </w:r>
          </w:p>
        </w:tc>
        <w:tc>
          <w:tcPr>
            <w:tcW w:w="425"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0</w:t>
            </w:r>
          </w:p>
        </w:tc>
        <w:tc>
          <w:tcPr>
            <w:tcW w:w="427"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0</w:t>
            </w:r>
          </w:p>
        </w:tc>
        <w:tc>
          <w:tcPr>
            <w:tcW w:w="424"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b/>
                <w:bCs/>
                <w:color w:val="000000"/>
                <w:sz w:val="14"/>
                <w:szCs w:val="14"/>
                <w:lang w:eastAsia="sk-SK"/>
              </w:rPr>
            </w:pPr>
            <w:r w:rsidRPr="001911BE">
              <w:rPr>
                <w:rFonts w:ascii="Times New Roman" w:eastAsia="Times New Roman" w:hAnsi="Times New Roman" w:cs="Times New Roman"/>
                <w:b/>
                <w:bCs/>
                <w:color w:val="000000"/>
                <w:sz w:val="14"/>
                <w:szCs w:val="14"/>
                <w:lang w:eastAsia="sk-SK"/>
              </w:rPr>
              <w:t>-6,1</w:t>
            </w:r>
          </w:p>
        </w:tc>
      </w:tr>
      <w:tr w:rsidR="00EB7370" w:rsidRPr="001911BE" w:rsidTr="007C2BDC">
        <w:trPr>
          <w:trHeight w:val="255"/>
        </w:trPr>
        <w:tc>
          <w:tcPr>
            <w:tcW w:w="1830"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Príjmy</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TR</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152,1</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24,4</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84,3</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32,2</w:t>
            </w: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4,1</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7,0</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Tržby</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P.11+P.12+P.131</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126,9</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84,3</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32,2</w:t>
            </w: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4,1</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6,2</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Dôchodky z majetku, z toho</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D.4r</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24,6</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24,4</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0,2</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200" w:firstLine="280"/>
              <w:rPr>
                <w:rFonts w:ascii="Times New Roman" w:eastAsia="Times New Roman" w:hAnsi="Times New Roman" w:cs="Times New Roman"/>
                <w:i/>
                <w:iCs/>
                <w:color w:val="000000"/>
                <w:sz w:val="14"/>
                <w:szCs w:val="14"/>
                <w:lang w:eastAsia="sk-SK"/>
              </w:rPr>
            </w:pPr>
            <w:r w:rsidRPr="001911BE">
              <w:rPr>
                <w:rFonts w:ascii="Times New Roman" w:eastAsia="Times New Roman" w:hAnsi="Times New Roman" w:cs="Times New Roman"/>
                <w:i/>
                <w:iCs/>
                <w:color w:val="000000"/>
                <w:sz w:val="14"/>
                <w:szCs w:val="14"/>
                <w:lang w:eastAsia="sk-SK"/>
              </w:rPr>
              <w:t>Úroky</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D.41r</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24,6</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24,4</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0,2</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Transfery</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D.7r</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0,6</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0,6</w:t>
            </w:r>
          </w:p>
        </w:tc>
      </w:tr>
      <w:tr w:rsidR="00EB7370" w:rsidRPr="001911BE" w:rsidTr="007C2BDC">
        <w:trPr>
          <w:trHeight w:val="255"/>
        </w:trPr>
        <w:tc>
          <w:tcPr>
            <w:tcW w:w="1830"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Výdavky</w:t>
            </w:r>
          </w:p>
        </w:tc>
        <w:tc>
          <w:tcPr>
            <w:tcW w:w="621"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TE</w:t>
            </w:r>
          </w:p>
        </w:tc>
        <w:tc>
          <w:tcPr>
            <w:tcW w:w="424"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-158,3</w:t>
            </w:r>
          </w:p>
        </w:tc>
        <w:tc>
          <w:tcPr>
            <w:tcW w:w="424"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-24,4</w:t>
            </w:r>
          </w:p>
        </w:tc>
        <w:tc>
          <w:tcPr>
            <w:tcW w:w="425"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-84,3</w:t>
            </w:r>
          </w:p>
        </w:tc>
        <w:tc>
          <w:tcPr>
            <w:tcW w:w="425"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-32,2</w:t>
            </w:r>
          </w:p>
        </w:tc>
        <w:tc>
          <w:tcPr>
            <w:tcW w:w="427"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-4,1</w:t>
            </w:r>
          </w:p>
        </w:tc>
        <w:tc>
          <w:tcPr>
            <w:tcW w:w="424" w:type="pct"/>
            <w:tcBorders>
              <w:top w:val="single" w:sz="4" w:space="0" w:color="auto"/>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-13,2</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Kompenzácie zamestnancov</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D.1p</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-87,1</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-84,3</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-2,8</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Medzispotreba</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P.2</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-108,4</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-97,8</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-10,6</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Ostatné dane</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D.29p</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0,0</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0,0</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Úrokové náklady</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D.41p</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73,4</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73,4</w:t>
            </w: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0,0</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Transfery</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D.7p</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0,2</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0,2</w:t>
            </w:r>
          </w:p>
        </w:tc>
      </w:tr>
      <w:tr w:rsidR="00EB7370" w:rsidRPr="001911BE" w:rsidTr="007C2BDC">
        <w:trPr>
          <w:trHeight w:val="255"/>
        </w:trPr>
        <w:tc>
          <w:tcPr>
            <w:tcW w:w="1830"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ind w:firstLineChars="100" w:firstLine="140"/>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Kapitálové investície</w:t>
            </w:r>
          </w:p>
        </w:tc>
        <w:tc>
          <w:tcPr>
            <w:tcW w:w="621"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center"/>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P.51L</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-36,4</w:t>
            </w:r>
          </w:p>
        </w:tc>
        <w:tc>
          <w:tcPr>
            <w:tcW w:w="424"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sz w:val="20"/>
                <w:szCs w:val="20"/>
                <w:lang w:eastAsia="sk-SK"/>
              </w:rPr>
            </w:pPr>
          </w:p>
        </w:tc>
        <w:tc>
          <w:tcPr>
            <w:tcW w:w="425"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-32,2</w:t>
            </w:r>
          </w:p>
        </w:tc>
        <w:tc>
          <w:tcPr>
            <w:tcW w:w="427" w:type="pct"/>
            <w:tcBorders>
              <w:top w:val="nil"/>
              <w:left w:val="nil"/>
              <w:bottom w:val="nil"/>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-4,1</w:t>
            </w:r>
          </w:p>
        </w:tc>
        <w:tc>
          <w:tcPr>
            <w:tcW w:w="424" w:type="pct"/>
            <w:tcBorders>
              <w:top w:val="nil"/>
              <w:left w:val="nil"/>
              <w:bottom w:val="single" w:sz="4" w:space="0" w:color="auto"/>
              <w:right w:val="nil"/>
            </w:tcBorders>
            <w:shd w:val="clear" w:color="auto" w:fill="auto"/>
            <w:noWrap/>
            <w:vAlign w:val="center"/>
            <w:hideMark/>
          </w:tcPr>
          <w:p w:rsidR="00EB7370" w:rsidRPr="001911BE" w:rsidRDefault="00EB7370" w:rsidP="007C2BDC">
            <w:pPr>
              <w:spacing w:after="0" w:line="240" w:lineRule="auto"/>
              <w:jc w:val="right"/>
              <w:rPr>
                <w:rFonts w:ascii="Times New Roman" w:eastAsia="Times New Roman" w:hAnsi="Times New Roman" w:cs="Times New Roman"/>
                <w:color w:val="000000"/>
                <w:sz w:val="14"/>
                <w:szCs w:val="14"/>
                <w:lang w:eastAsia="sk-SK"/>
              </w:rPr>
            </w:pPr>
            <w:r w:rsidRPr="001911BE">
              <w:rPr>
                <w:rFonts w:ascii="Times New Roman" w:eastAsia="Times New Roman" w:hAnsi="Times New Roman" w:cs="Times New Roman"/>
                <w:color w:val="000000"/>
                <w:sz w:val="14"/>
                <w:szCs w:val="14"/>
                <w:lang w:eastAsia="sk-SK"/>
              </w:rPr>
              <w:t>0,0</w:t>
            </w:r>
          </w:p>
        </w:tc>
      </w:tr>
      <w:tr w:rsidR="00EB7370" w:rsidRPr="001911BE" w:rsidTr="007C2BDC">
        <w:trPr>
          <w:trHeight w:val="255"/>
        </w:trPr>
        <w:tc>
          <w:tcPr>
            <w:tcW w:w="4576" w:type="pct"/>
            <w:gridSpan w:val="7"/>
            <w:tcBorders>
              <w:top w:val="single" w:sz="4" w:space="0" w:color="auto"/>
              <w:left w:val="nil"/>
              <w:bottom w:val="nil"/>
              <w:right w:val="nil"/>
            </w:tcBorders>
            <w:shd w:val="clear" w:color="auto" w:fill="auto"/>
            <w:vAlign w:val="center"/>
            <w:hideMark/>
          </w:tcPr>
          <w:p w:rsidR="00EB7370" w:rsidRPr="001911BE" w:rsidRDefault="00EB7370" w:rsidP="007C2BDC">
            <w:pPr>
              <w:spacing w:after="0" w:line="240" w:lineRule="auto"/>
              <w:rPr>
                <w:rFonts w:ascii="Times New Roman" w:eastAsia="Times New Roman" w:hAnsi="Times New Roman" w:cs="Times New Roman"/>
                <w:i/>
                <w:iCs/>
                <w:color w:val="000000"/>
                <w:sz w:val="14"/>
                <w:szCs w:val="14"/>
                <w:lang w:eastAsia="sk-SK"/>
              </w:rPr>
            </w:pPr>
            <w:r w:rsidRPr="001911BE">
              <w:rPr>
                <w:rFonts w:ascii="Times New Roman" w:eastAsia="Times New Roman" w:hAnsi="Times New Roman" w:cs="Times New Roman"/>
                <w:i/>
                <w:iCs/>
                <w:color w:val="000000"/>
                <w:sz w:val="14"/>
                <w:szCs w:val="14"/>
                <w:lang w:eastAsia="sk-SK"/>
              </w:rPr>
              <w:t>Pozn. znamienko (+) znamená zníženie, resp. znamienko (-) zvýšenie schodku rozpočtu verejnej správy</w:t>
            </w:r>
          </w:p>
        </w:tc>
        <w:tc>
          <w:tcPr>
            <w:tcW w:w="424" w:type="pct"/>
            <w:tcBorders>
              <w:top w:val="nil"/>
              <w:left w:val="nil"/>
              <w:bottom w:val="nil"/>
              <w:right w:val="nil"/>
            </w:tcBorders>
            <w:shd w:val="clear" w:color="auto" w:fill="auto"/>
            <w:noWrap/>
            <w:vAlign w:val="bottom"/>
            <w:hideMark/>
          </w:tcPr>
          <w:p w:rsidR="00EB7370" w:rsidRPr="001911BE" w:rsidRDefault="00EB7370" w:rsidP="007C2BDC">
            <w:pPr>
              <w:spacing w:after="0" w:line="240" w:lineRule="auto"/>
              <w:rPr>
                <w:rFonts w:ascii="Times New Roman" w:eastAsia="Times New Roman" w:hAnsi="Times New Roman" w:cs="Times New Roman"/>
                <w:i/>
                <w:iCs/>
                <w:color w:val="000000"/>
                <w:sz w:val="14"/>
                <w:szCs w:val="14"/>
                <w:lang w:eastAsia="sk-SK"/>
              </w:rPr>
            </w:pPr>
          </w:p>
        </w:tc>
      </w:tr>
    </w:tbl>
    <w:p w:rsidR="00EB7370" w:rsidRPr="00667D6F" w:rsidRDefault="00EB7370" w:rsidP="00EB7370">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EB7370" w:rsidRDefault="00EB7370" w:rsidP="00EB7370">
      <w:pPr>
        <w:spacing w:after="0" w:line="240" w:lineRule="auto"/>
        <w:jc w:val="both"/>
        <w:rPr>
          <w:rFonts w:ascii="Times New Roman" w:hAnsi="Times New Roman" w:cs="Times New Roman"/>
          <w:sz w:val="24"/>
          <w:szCs w:val="24"/>
        </w:rPr>
      </w:pPr>
    </w:p>
    <w:p w:rsidR="00EB7370" w:rsidRDefault="00EB7370" w:rsidP="00EB73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rámci návrhu rozpočtu verejnej správy sa rozpočtuje nulová medziročná zmena stavu pohľadávok a záväzkov. V rámci tzv. modifikujúcich faktorov štátneho rozpočtu sa na akruálnom princípe, v súlade s metodikou ESA 2010, upravujú špecifické známe tituly, ako napr. akrualizácia nákupu vojenskej techniky. V návrhu rozpočtu verejnej správy na roky 2022 až 2024 sa z dôvodu zvýšenia transparentnosti verejných financií prvýkrát zavádza rozpočtovanie superdividend.</w:t>
      </w:r>
    </w:p>
    <w:p w:rsidR="00EB7370" w:rsidRDefault="00EB7370" w:rsidP="00EB7370">
      <w:pPr>
        <w:spacing w:after="0" w:line="240" w:lineRule="auto"/>
        <w:jc w:val="both"/>
        <w:rPr>
          <w:rFonts w:ascii="Times New Roman" w:hAnsi="Times New Roman" w:cs="Times New Roman"/>
          <w:sz w:val="24"/>
          <w:szCs w:val="24"/>
        </w:rPr>
      </w:pPr>
    </w:p>
    <w:p w:rsidR="00EB7370" w:rsidRDefault="00EB7370" w:rsidP="00EB73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návrhu rozpočtu sa uvažuje s rovnakým objemom príjmov a výdavkov prostriedkov z rozpočtu EÚ, dochádza tak k rozpočtovaniu nulovej zmeny stavu pohľadávok voči EÚ. Rovnaký postup je použitý aj pri rozpočtovaní príjmov a výdavkov prostriedkov Plánu obnovy a odolnosti. Pri rozpočtovaní odvodu do rozpočtu EÚ v prípade dostupných informácií sa zaznamenáva aj časové rozlíšenie tohto odvodu. </w:t>
      </w:r>
    </w:p>
    <w:p w:rsidR="00EB7370" w:rsidRDefault="00EB7370" w:rsidP="00EB7370">
      <w:pPr>
        <w:spacing w:after="0" w:line="240" w:lineRule="auto"/>
        <w:jc w:val="both"/>
        <w:rPr>
          <w:rFonts w:ascii="Times New Roman" w:eastAsia="Times New Roman" w:hAnsi="Times New Roman" w:cs="Times New Roman"/>
          <w:sz w:val="24"/>
          <w:szCs w:val="24"/>
          <w:lang w:eastAsia="sk-SK"/>
        </w:rPr>
      </w:pPr>
    </w:p>
    <w:p w:rsidR="00EB7370" w:rsidRDefault="00EB7370" w:rsidP="00EB7370">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Rozpočet verejnej správy na roky 2022 až 2024 obsahuje tak na strane príjmov ako aj na strane výdavkov údaje za zelenú energiu</w:t>
      </w:r>
      <w:r>
        <w:rPr>
          <w:rStyle w:val="Odkaznapoznmkupodiarou"/>
          <w:rFonts w:ascii="Times New Roman" w:eastAsia="Times New Roman" w:hAnsi="Times New Roman"/>
          <w:sz w:val="24"/>
          <w:szCs w:val="24"/>
          <w:lang w:eastAsia="sk-SK"/>
        </w:rPr>
        <w:footnoteReference w:id="20"/>
      </w:r>
      <w:r>
        <w:rPr>
          <w:rFonts w:ascii="Times New Roman" w:eastAsia="Times New Roman" w:hAnsi="Times New Roman" w:cs="Times New Roman"/>
          <w:sz w:val="24"/>
          <w:szCs w:val="24"/>
          <w:lang w:eastAsia="sk-SK"/>
        </w:rPr>
        <w:t>.</w:t>
      </w:r>
    </w:p>
    <w:p w:rsidR="00EB7370" w:rsidRDefault="00EB7370" w:rsidP="000C265D">
      <w:pPr>
        <w:spacing w:after="0" w:line="240" w:lineRule="auto"/>
        <w:jc w:val="both"/>
        <w:rPr>
          <w:rFonts w:ascii="Times New Roman" w:eastAsia="Times New Roman" w:hAnsi="Times New Roman" w:cs="Times New Roman"/>
          <w:sz w:val="24"/>
          <w:szCs w:val="24"/>
          <w:lang w:eastAsia="sk-SK"/>
        </w:rPr>
      </w:pPr>
    </w:p>
    <w:p w:rsidR="000C265D" w:rsidRDefault="000C265D" w:rsidP="0076304F">
      <w:pPr>
        <w:pStyle w:val="Nadpis2"/>
        <w:spacing w:before="0" w:after="0"/>
        <w:rPr>
          <w:rFonts w:ascii="Times New Roman" w:hAnsi="Times New Roman"/>
          <w:i w:val="0"/>
          <w:color w:val="5B9BD5" w:themeColor="accent1"/>
          <w:sz w:val="24"/>
        </w:rPr>
      </w:pPr>
      <w:bookmarkStart w:id="64" w:name="_Toc53040761"/>
      <w:bookmarkStart w:id="65" w:name="_Toc84684749"/>
      <w:r w:rsidRPr="00CE077C">
        <w:rPr>
          <w:rFonts w:ascii="Times New Roman" w:hAnsi="Times New Roman"/>
          <w:i w:val="0"/>
          <w:color w:val="5B9BD5" w:themeColor="accent1"/>
          <w:sz w:val="24"/>
        </w:rPr>
        <w:t>2.</w:t>
      </w:r>
      <w:r w:rsidR="001E1863">
        <w:rPr>
          <w:rFonts w:ascii="Times New Roman" w:hAnsi="Times New Roman"/>
          <w:i w:val="0"/>
          <w:color w:val="5B9BD5" w:themeColor="accent1"/>
          <w:sz w:val="24"/>
        </w:rPr>
        <w:t>6</w:t>
      </w:r>
      <w:r w:rsidR="00CE077C" w:rsidRPr="00CE077C">
        <w:rPr>
          <w:rFonts w:ascii="Times New Roman" w:hAnsi="Times New Roman"/>
          <w:i w:val="0"/>
          <w:color w:val="5B9BD5" w:themeColor="accent1"/>
          <w:sz w:val="24"/>
        </w:rPr>
        <w:t xml:space="preserve">. </w:t>
      </w:r>
      <w:r w:rsidRPr="00CE077C">
        <w:rPr>
          <w:rFonts w:ascii="Times New Roman" w:hAnsi="Times New Roman"/>
          <w:i w:val="0"/>
          <w:color w:val="5B9BD5" w:themeColor="accent1"/>
          <w:sz w:val="24"/>
        </w:rPr>
        <w:t>Informácia o nerozpočtovaných tituloch</w:t>
      </w:r>
      <w:bookmarkEnd w:id="64"/>
      <w:bookmarkEnd w:id="65"/>
    </w:p>
    <w:p w:rsidR="00F54D87" w:rsidRDefault="00F54D87" w:rsidP="00EB7370">
      <w:pPr>
        <w:autoSpaceDE w:val="0"/>
        <w:autoSpaceDN w:val="0"/>
        <w:spacing w:after="0" w:line="240" w:lineRule="auto"/>
        <w:jc w:val="both"/>
        <w:rPr>
          <w:lang w:eastAsia="cs-CZ"/>
        </w:rPr>
      </w:pPr>
    </w:p>
    <w:p w:rsidR="00EB7370" w:rsidRPr="00EC3CE0" w:rsidRDefault="00EB7370" w:rsidP="00EB7370">
      <w:pPr>
        <w:autoSpaceDE w:val="0"/>
        <w:autoSpaceDN w:val="0"/>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Do návrhu rozpo</w:t>
      </w:r>
      <w:r>
        <w:rPr>
          <w:rFonts w:ascii="Times New Roman" w:hAnsi="Times New Roman" w:cs="Times New Roman"/>
          <w:sz w:val="24"/>
          <w:szCs w:val="24"/>
        </w:rPr>
        <w:t>čtu verejnej správy na roky 2022 až 2024</w:t>
      </w:r>
      <w:r w:rsidRPr="00EC3CE0">
        <w:rPr>
          <w:rFonts w:ascii="Times New Roman" w:hAnsi="Times New Roman" w:cs="Times New Roman"/>
          <w:sz w:val="24"/>
          <w:szCs w:val="24"/>
        </w:rPr>
        <w:t xml:space="preserve"> bola zahrnutá významná časť titulov, ktoré dosiaľ neboli zahrnuté v návrhu rozpočtu, avšak naďalej existujú také tituly, ktoré ovplyvňujú dosiahnutú </w:t>
      </w:r>
      <w:r>
        <w:rPr>
          <w:rFonts w:ascii="Times New Roman" w:hAnsi="Times New Roman" w:cs="Times New Roman"/>
          <w:sz w:val="24"/>
          <w:szCs w:val="24"/>
        </w:rPr>
        <w:t xml:space="preserve">notifikovanú </w:t>
      </w:r>
      <w:r w:rsidRPr="00EC3CE0">
        <w:rPr>
          <w:rFonts w:ascii="Times New Roman" w:hAnsi="Times New Roman" w:cs="Times New Roman"/>
          <w:sz w:val="24"/>
          <w:szCs w:val="24"/>
        </w:rPr>
        <w:t>skutočnosť za daný rok a nie sú</w:t>
      </w:r>
      <w:r>
        <w:rPr>
          <w:rFonts w:ascii="Times New Roman" w:hAnsi="Times New Roman" w:cs="Times New Roman"/>
          <w:sz w:val="24"/>
          <w:szCs w:val="24"/>
        </w:rPr>
        <w:t xml:space="preserve"> z objektívnych dôvodov</w:t>
      </w:r>
      <w:r w:rsidRPr="00EC3CE0">
        <w:rPr>
          <w:rFonts w:ascii="Times New Roman" w:hAnsi="Times New Roman" w:cs="Times New Roman"/>
          <w:sz w:val="24"/>
          <w:szCs w:val="24"/>
        </w:rPr>
        <w:t xml:space="preserve"> obsiahnuté v návrhu rozpočtu. </w:t>
      </w:r>
      <w:bookmarkStart w:id="66" w:name="_Toc43724322"/>
      <w:bookmarkStart w:id="67" w:name="_Toc43804984"/>
    </w:p>
    <w:p w:rsidR="00EB7370" w:rsidRPr="00EC3CE0" w:rsidRDefault="00EB7370" w:rsidP="00EB7370">
      <w:pPr>
        <w:spacing w:after="0" w:line="240" w:lineRule="auto"/>
        <w:contextualSpacing/>
        <w:jc w:val="both"/>
        <w:rPr>
          <w:rFonts w:ascii="Times New Roman" w:hAnsi="Times New Roman" w:cs="Times New Roman"/>
          <w:sz w:val="24"/>
          <w:szCs w:val="24"/>
        </w:rPr>
      </w:pPr>
    </w:p>
    <w:p w:rsidR="00EB7370" w:rsidRPr="00EC3CE0" w:rsidRDefault="00EB7370" w:rsidP="00EB7370">
      <w:pPr>
        <w:autoSpaceDE w:val="0"/>
        <w:autoSpaceDN w:val="0"/>
        <w:spacing w:after="0" w:line="240" w:lineRule="auto"/>
        <w:jc w:val="both"/>
        <w:rPr>
          <w:rFonts w:ascii="Times New Roman" w:hAnsi="Times New Roman" w:cs="Times New Roman"/>
          <w:sz w:val="24"/>
          <w:szCs w:val="24"/>
        </w:rPr>
      </w:pPr>
      <w:r w:rsidRPr="00B70FBF">
        <w:rPr>
          <w:rFonts w:ascii="Times New Roman" w:hAnsi="Times New Roman" w:cs="Times New Roman"/>
          <w:sz w:val="24"/>
          <w:szCs w:val="24"/>
        </w:rPr>
        <w:t>Ide najmä o subjekty, ktoré sú zaradené v sektore verejnej správ</w:t>
      </w:r>
      <w:bookmarkEnd w:id="66"/>
      <w:bookmarkEnd w:id="67"/>
      <w:r w:rsidRPr="00B70FBF">
        <w:rPr>
          <w:rFonts w:ascii="Times New Roman" w:hAnsi="Times New Roman" w:cs="Times New Roman"/>
          <w:sz w:val="24"/>
          <w:szCs w:val="24"/>
        </w:rPr>
        <w:t>y a nie sú zahrnuté v návrhu rozpočtu. Sektor verejnej správy (S.13) vykazuje za august 2021 v registri organizácií vedenom ŠÚ SR celkovo 8 124 subjektov, z toho v ústrednej správe (S.1311) vykazuje 1 059 subjektov, v územnej samospráve (S.1313) vykazuje 7 063 subjektov a vo fondoch sociálneho poistenia a fondoch zdravotného poistenia (S.1314) vykazuje 2 subjekty, a to Sociálnu poisťovňu a Všeobecnú zdravotnú poisťovňu</w:t>
      </w:r>
      <w:r w:rsidRPr="000A2872">
        <w:rPr>
          <w:rFonts w:ascii="Times New Roman" w:hAnsi="Times New Roman" w:cs="Times New Roman"/>
          <w:sz w:val="24"/>
          <w:szCs w:val="24"/>
          <w:vertAlign w:val="superscript"/>
        </w:rPr>
        <w:footnoteReference w:id="21"/>
      </w:r>
      <w:r w:rsidRPr="000A2872">
        <w:rPr>
          <w:rFonts w:ascii="Times New Roman" w:hAnsi="Times New Roman" w:cs="Times New Roman"/>
          <w:sz w:val="24"/>
          <w:szCs w:val="24"/>
        </w:rPr>
        <w:t>. Z celkového počtu subjektov sektora verejnej správy (S.13)</w:t>
      </w:r>
      <w:r>
        <w:rPr>
          <w:rFonts w:ascii="Times New Roman" w:hAnsi="Times New Roman" w:cs="Times New Roman"/>
          <w:sz w:val="24"/>
          <w:szCs w:val="24"/>
        </w:rPr>
        <w:t xml:space="preserve"> je v likvidácii, resp. v konkurze 178 subjektov.</w:t>
      </w:r>
      <w:r w:rsidRPr="000A2872">
        <w:rPr>
          <w:rFonts w:ascii="Times New Roman" w:hAnsi="Times New Roman" w:cs="Times New Roman"/>
          <w:sz w:val="24"/>
          <w:szCs w:val="24"/>
        </w:rPr>
        <w:t xml:space="preserve"> </w:t>
      </w:r>
      <w:r>
        <w:rPr>
          <w:rFonts w:ascii="Times New Roman" w:hAnsi="Times New Roman" w:cs="Times New Roman"/>
          <w:sz w:val="24"/>
          <w:szCs w:val="24"/>
        </w:rPr>
        <w:t>R</w:t>
      </w:r>
      <w:r w:rsidRPr="000A2872">
        <w:rPr>
          <w:rFonts w:ascii="Times New Roman" w:hAnsi="Times New Roman" w:cs="Times New Roman"/>
          <w:sz w:val="24"/>
          <w:szCs w:val="24"/>
        </w:rPr>
        <w:t>ozpočet</w:t>
      </w:r>
      <w:r>
        <w:rPr>
          <w:rFonts w:ascii="Times New Roman" w:hAnsi="Times New Roman" w:cs="Times New Roman"/>
          <w:sz w:val="24"/>
          <w:szCs w:val="24"/>
        </w:rPr>
        <w:t xml:space="preserve"> verejnej správy</w:t>
      </w:r>
      <w:r w:rsidRPr="000A2872">
        <w:rPr>
          <w:rFonts w:ascii="Times New Roman" w:hAnsi="Times New Roman" w:cs="Times New Roman"/>
          <w:sz w:val="24"/>
          <w:szCs w:val="24"/>
        </w:rPr>
        <w:t xml:space="preserve"> neobsahuje príjmy a výdavky za </w:t>
      </w:r>
      <w:r>
        <w:rPr>
          <w:rFonts w:ascii="Times New Roman" w:hAnsi="Times New Roman" w:cs="Times New Roman"/>
          <w:sz w:val="24"/>
          <w:szCs w:val="24"/>
        </w:rPr>
        <w:t xml:space="preserve">769 </w:t>
      </w:r>
      <w:r w:rsidRPr="000A2872">
        <w:rPr>
          <w:rFonts w:ascii="Times New Roman" w:hAnsi="Times New Roman" w:cs="Times New Roman"/>
          <w:sz w:val="24"/>
          <w:szCs w:val="24"/>
        </w:rPr>
        <w:t xml:space="preserve">subjektov, z toho </w:t>
      </w:r>
      <w:r>
        <w:rPr>
          <w:rFonts w:ascii="Times New Roman" w:hAnsi="Times New Roman" w:cs="Times New Roman"/>
          <w:sz w:val="24"/>
          <w:szCs w:val="24"/>
        </w:rPr>
        <w:t>66</w:t>
      </w:r>
      <w:r w:rsidRPr="000A2872">
        <w:rPr>
          <w:rFonts w:ascii="Times New Roman" w:hAnsi="Times New Roman" w:cs="Times New Roman"/>
          <w:sz w:val="24"/>
          <w:szCs w:val="24"/>
        </w:rPr>
        <w:t xml:space="preserve"> organizácií v rámci ústrednej správy (S.1311) a </w:t>
      </w:r>
      <w:r>
        <w:rPr>
          <w:rFonts w:ascii="Times New Roman" w:hAnsi="Times New Roman" w:cs="Times New Roman"/>
          <w:sz w:val="24"/>
          <w:szCs w:val="24"/>
        </w:rPr>
        <w:t>703</w:t>
      </w:r>
      <w:r w:rsidRPr="000A2872">
        <w:rPr>
          <w:rFonts w:ascii="Times New Roman" w:hAnsi="Times New Roman" w:cs="Times New Roman"/>
          <w:sz w:val="24"/>
          <w:szCs w:val="24"/>
        </w:rPr>
        <w:t xml:space="preserve"> organizácií v rámci územnej samosprávy (S.1313).</w:t>
      </w:r>
      <w:bookmarkStart w:id="68" w:name="_Toc43724323"/>
      <w:bookmarkStart w:id="69" w:name="_Toc43804985"/>
      <w:r w:rsidRPr="00EC3CE0">
        <w:rPr>
          <w:rFonts w:ascii="Times New Roman" w:hAnsi="Times New Roman" w:cs="Times New Roman"/>
          <w:sz w:val="24"/>
          <w:szCs w:val="24"/>
        </w:rPr>
        <w:t xml:space="preserve"> </w:t>
      </w:r>
      <w:bookmarkEnd w:id="68"/>
      <w:bookmarkEnd w:id="69"/>
    </w:p>
    <w:p w:rsidR="00EB7370" w:rsidRPr="00EC3CE0" w:rsidRDefault="00EB7370" w:rsidP="00EB7370">
      <w:pPr>
        <w:autoSpaceDE w:val="0"/>
        <w:autoSpaceDN w:val="0"/>
        <w:spacing w:after="0" w:line="240" w:lineRule="auto"/>
        <w:jc w:val="both"/>
        <w:rPr>
          <w:rFonts w:ascii="Times New Roman" w:hAnsi="Times New Roman" w:cs="Times New Roman"/>
          <w:sz w:val="24"/>
          <w:szCs w:val="24"/>
        </w:rPr>
      </w:pPr>
    </w:p>
    <w:p w:rsidR="00EB7370" w:rsidRPr="00EC3CE0" w:rsidRDefault="00EB7370" w:rsidP="00EB7370">
      <w:pPr>
        <w:autoSpaceDE w:val="0"/>
        <w:autoSpaceDN w:val="0"/>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 xml:space="preserve">V prípade ústrednej správy ide o malé neziskové organizácie štátu, štátne podniky, akciové spoločnosti a pod. V územnej samospráve ide najmä </w:t>
      </w:r>
      <w:r>
        <w:rPr>
          <w:rFonts w:ascii="Times New Roman" w:hAnsi="Times New Roman" w:cs="Times New Roman"/>
          <w:sz w:val="24"/>
          <w:szCs w:val="24"/>
        </w:rPr>
        <w:t xml:space="preserve">o </w:t>
      </w:r>
      <w:r w:rsidRPr="00EC3CE0">
        <w:rPr>
          <w:rFonts w:ascii="Times New Roman" w:hAnsi="Times New Roman" w:cs="Times New Roman"/>
          <w:sz w:val="24"/>
          <w:szCs w:val="24"/>
        </w:rPr>
        <w:t xml:space="preserve">neziskové účtovné jednotky (záujmové združenia právnických osôb a iné právne formy, ako napr. neziskové organizácie). </w:t>
      </w:r>
      <w:r>
        <w:rPr>
          <w:rFonts w:ascii="Times New Roman" w:hAnsi="Times New Roman" w:cs="Times New Roman"/>
          <w:sz w:val="24"/>
          <w:szCs w:val="24"/>
        </w:rPr>
        <w:t>Zvyšok</w:t>
      </w:r>
      <w:r w:rsidRPr="00EC3CE0">
        <w:rPr>
          <w:rFonts w:ascii="Times New Roman" w:hAnsi="Times New Roman" w:cs="Times New Roman"/>
          <w:sz w:val="24"/>
          <w:szCs w:val="24"/>
        </w:rPr>
        <w:t xml:space="preserve"> tvoria spoločnosti s ručením obmedzeným, akciové spoločnosti a iné. Získavanie údajov od týchto subjektov je problematické. Údaje za skutočnosť sa získavajú nie z finančných výkazov, ale z účtovných výkazov jednotlivých organizácií, pričom mnohé z nich napriek zákonnej povinnosti nepredkladajú účtovné výkazy. Zároveň ich celkový vplyv na bilanciu verejných financií bol</w:t>
      </w:r>
      <w:r>
        <w:rPr>
          <w:rFonts w:ascii="Times New Roman" w:hAnsi="Times New Roman" w:cs="Times New Roman"/>
          <w:sz w:val="24"/>
          <w:szCs w:val="24"/>
        </w:rPr>
        <w:t xml:space="preserve"> za posledné roky zanedbateľný. Z pozitívneho vplyvu za rok 2020 na úrovni 24,0 mil. eur predstavuje podstatnú časť hospodárenie ostatných malých miestnych subjektov. </w:t>
      </w:r>
      <w:r w:rsidRPr="00EC3CE0">
        <w:rPr>
          <w:rFonts w:ascii="Times New Roman" w:hAnsi="Times New Roman" w:cs="Times New Roman"/>
          <w:sz w:val="24"/>
          <w:szCs w:val="24"/>
        </w:rPr>
        <w:t>Vplyv nerozpočtovaných subjektov na dosiahnutú skutočnosť za posledné tri roky prezentuje nasledujúca tabuľka</w:t>
      </w:r>
      <w:r>
        <w:rPr>
          <w:rFonts w:ascii="Times New Roman" w:hAnsi="Times New Roman" w:cs="Times New Roman"/>
          <w:sz w:val="24"/>
          <w:szCs w:val="24"/>
        </w:rPr>
        <w:t>.</w:t>
      </w:r>
      <w:r w:rsidRPr="00EC3CE0">
        <w:rPr>
          <w:rFonts w:ascii="Times New Roman" w:hAnsi="Times New Roman" w:cs="Times New Roman"/>
          <w:sz w:val="24"/>
          <w:szCs w:val="24"/>
        </w:rPr>
        <w:t xml:space="preserve"> </w:t>
      </w:r>
    </w:p>
    <w:p w:rsidR="00EB7370" w:rsidRDefault="00EB7370" w:rsidP="00EB7370">
      <w:pPr>
        <w:spacing w:after="0" w:line="240" w:lineRule="auto"/>
        <w:contextualSpacing/>
        <w:jc w:val="both"/>
        <w:rPr>
          <w:rFonts w:ascii="Times New Roman" w:hAnsi="Times New Roman" w:cs="Times New Roman"/>
          <w:sz w:val="24"/>
          <w:szCs w:val="24"/>
        </w:rPr>
      </w:pPr>
    </w:p>
    <w:p w:rsidR="00EB7370" w:rsidRPr="00EB7370" w:rsidRDefault="00EB7370" w:rsidP="00EB7370">
      <w:pPr>
        <w:pStyle w:val="Popis"/>
        <w:keepNext/>
        <w:spacing w:after="0"/>
        <w:rPr>
          <w:rFonts w:ascii="Times New Roman" w:hAnsi="Times New Roman" w:cs="Times New Roman"/>
          <w:b/>
          <w:i w:val="0"/>
          <w:color w:val="5B9BD5" w:themeColor="accent1"/>
          <w:sz w:val="20"/>
          <w:szCs w:val="20"/>
        </w:rPr>
      </w:pPr>
      <w:bookmarkStart w:id="70" w:name="_Toc84845241"/>
      <w:r w:rsidRPr="00EB7370">
        <w:rPr>
          <w:rFonts w:ascii="Times New Roman" w:hAnsi="Times New Roman" w:cs="Times New Roman"/>
          <w:b/>
          <w:i w:val="0"/>
          <w:color w:val="5B9BD5" w:themeColor="accent1"/>
          <w:sz w:val="20"/>
          <w:szCs w:val="20"/>
        </w:rPr>
        <w:t xml:space="preserve">Tabuľka </w:t>
      </w:r>
      <w:r w:rsidRPr="00EB7370">
        <w:rPr>
          <w:rFonts w:ascii="Times New Roman" w:hAnsi="Times New Roman" w:cs="Times New Roman"/>
          <w:b/>
          <w:i w:val="0"/>
          <w:color w:val="5B9BD5" w:themeColor="accent1"/>
          <w:sz w:val="20"/>
          <w:szCs w:val="20"/>
        </w:rPr>
        <w:fldChar w:fldCharType="begin"/>
      </w:r>
      <w:r w:rsidRPr="00EB7370">
        <w:rPr>
          <w:rFonts w:ascii="Times New Roman" w:hAnsi="Times New Roman" w:cs="Times New Roman"/>
          <w:b/>
          <w:i w:val="0"/>
          <w:color w:val="5B9BD5" w:themeColor="accent1"/>
          <w:sz w:val="20"/>
          <w:szCs w:val="20"/>
        </w:rPr>
        <w:instrText xml:space="preserve"> SEQ Tabuľka \* ARABIC </w:instrText>
      </w:r>
      <w:r w:rsidRPr="00EB7370">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17</w:t>
      </w:r>
      <w:r w:rsidRPr="00EB7370">
        <w:rPr>
          <w:rFonts w:ascii="Times New Roman" w:hAnsi="Times New Roman" w:cs="Times New Roman"/>
          <w:b/>
          <w:i w:val="0"/>
          <w:color w:val="5B9BD5" w:themeColor="accent1"/>
          <w:sz w:val="20"/>
          <w:szCs w:val="20"/>
        </w:rPr>
        <w:fldChar w:fldCharType="end"/>
      </w:r>
      <w:r w:rsidRPr="00EB7370">
        <w:rPr>
          <w:rFonts w:ascii="Times New Roman" w:hAnsi="Times New Roman" w:cs="Times New Roman"/>
          <w:b/>
          <w:i w:val="0"/>
          <w:color w:val="5B9BD5" w:themeColor="accent1"/>
          <w:sz w:val="20"/>
          <w:szCs w:val="20"/>
        </w:rPr>
        <w:t xml:space="preserve"> - Príjmy a výdavky nerozpočtovaných subjektov</w:t>
      </w:r>
      <w:bookmarkEnd w:id="70"/>
    </w:p>
    <w:tbl>
      <w:tblPr>
        <w:tblW w:w="5000" w:type="pct"/>
        <w:tblCellMar>
          <w:left w:w="70" w:type="dxa"/>
          <w:right w:w="70" w:type="dxa"/>
        </w:tblCellMar>
        <w:tblLook w:val="04A0" w:firstRow="1" w:lastRow="0" w:firstColumn="1" w:lastColumn="0" w:noHBand="0" w:noVBand="1"/>
      </w:tblPr>
      <w:tblGrid>
        <w:gridCol w:w="5160"/>
        <w:gridCol w:w="978"/>
        <w:gridCol w:w="978"/>
        <w:gridCol w:w="978"/>
        <w:gridCol w:w="978"/>
      </w:tblGrid>
      <w:tr w:rsidR="00EB7370" w:rsidRPr="00FF6481" w:rsidTr="007C2BDC">
        <w:trPr>
          <w:trHeight w:val="255"/>
        </w:trPr>
        <w:tc>
          <w:tcPr>
            <w:tcW w:w="2844"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 v tis. eur)</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center"/>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2018</w:t>
            </w:r>
            <w:r w:rsidRPr="00FF6481">
              <w:rPr>
                <w:rFonts w:ascii="Times New Roman" w:hAnsi="Times New Roman" w:cs="Times New Roman"/>
                <w:b/>
                <w:bCs/>
                <w:color w:val="000000"/>
                <w:sz w:val="16"/>
                <w:szCs w:val="16"/>
              </w:rPr>
              <w:t xml:space="preserve"> S</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2019</w:t>
            </w:r>
            <w:r w:rsidRPr="00FF6481">
              <w:rPr>
                <w:rFonts w:ascii="Times New Roman" w:hAnsi="Times New Roman" w:cs="Times New Roman"/>
                <w:b/>
                <w:bCs/>
                <w:color w:val="000000"/>
                <w:sz w:val="16"/>
                <w:szCs w:val="16"/>
              </w:rPr>
              <w:t xml:space="preserve"> S</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2020</w:t>
            </w:r>
            <w:r w:rsidRPr="00FF6481">
              <w:rPr>
                <w:rFonts w:ascii="Times New Roman" w:hAnsi="Times New Roman" w:cs="Times New Roman"/>
                <w:b/>
                <w:bCs/>
                <w:color w:val="000000"/>
                <w:sz w:val="16"/>
                <w:szCs w:val="16"/>
              </w:rPr>
              <w:t xml:space="preserve"> S</w:t>
            </w:r>
          </w:p>
        </w:tc>
      </w:tr>
      <w:tr w:rsidR="00EB7370" w:rsidRPr="00FF6481" w:rsidTr="007C2BDC">
        <w:trPr>
          <w:trHeight w:val="255"/>
        </w:trPr>
        <w:tc>
          <w:tcPr>
            <w:tcW w:w="2844"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Saldo</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center"/>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B.9</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-980</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1 704</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24 035</w:t>
            </w:r>
          </w:p>
        </w:tc>
      </w:tr>
      <w:tr w:rsidR="00EB7370" w:rsidRPr="00FF6481" w:rsidTr="007C2BDC">
        <w:trPr>
          <w:trHeight w:val="255"/>
        </w:trPr>
        <w:tc>
          <w:tcPr>
            <w:tcW w:w="2844" w:type="pct"/>
            <w:tcBorders>
              <w:top w:val="nil"/>
              <w:left w:val="nil"/>
              <w:bottom w:val="nil"/>
              <w:right w:val="nil"/>
            </w:tcBorders>
            <w:shd w:val="clear" w:color="auto" w:fill="FFFFFF" w:themeFill="background1"/>
            <w:noWrap/>
            <w:vAlign w:val="center"/>
            <w:hideMark/>
          </w:tcPr>
          <w:p w:rsidR="00EB7370" w:rsidRPr="00FF6481" w:rsidRDefault="00EB7370" w:rsidP="007C2BDC">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Príjmy</w:t>
            </w:r>
          </w:p>
        </w:tc>
        <w:tc>
          <w:tcPr>
            <w:tcW w:w="539" w:type="pct"/>
            <w:tcBorders>
              <w:top w:val="nil"/>
              <w:left w:val="nil"/>
              <w:bottom w:val="nil"/>
              <w:right w:val="nil"/>
            </w:tcBorders>
            <w:shd w:val="clear" w:color="auto" w:fill="FFFFFF" w:themeFill="background1"/>
            <w:noWrap/>
            <w:vAlign w:val="center"/>
            <w:hideMark/>
          </w:tcPr>
          <w:p w:rsidR="00EB7370" w:rsidRPr="00FF6481" w:rsidRDefault="00EB7370" w:rsidP="007C2BDC">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TR</w:t>
            </w:r>
          </w:p>
        </w:tc>
        <w:tc>
          <w:tcPr>
            <w:tcW w:w="539" w:type="pct"/>
            <w:tcBorders>
              <w:top w:val="nil"/>
              <w:left w:val="nil"/>
              <w:bottom w:val="nil"/>
              <w:right w:val="nil"/>
            </w:tcBorders>
            <w:shd w:val="clear" w:color="auto" w:fill="FFFFFF" w:themeFill="background1"/>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50 091</w:t>
            </w:r>
          </w:p>
        </w:tc>
        <w:tc>
          <w:tcPr>
            <w:tcW w:w="539" w:type="pct"/>
            <w:tcBorders>
              <w:top w:val="nil"/>
              <w:left w:val="nil"/>
              <w:bottom w:val="nil"/>
              <w:right w:val="nil"/>
            </w:tcBorders>
            <w:shd w:val="clear" w:color="auto" w:fill="FFFFFF" w:themeFill="background1"/>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77 022</w:t>
            </w:r>
          </w:p>
        </w:tc>
        <w:tc>
          <w:tcPr>
            <w:tcW w:w="539" w:type="pct"/>
            <w:tcBorders>
              <w:top w:val="nil"/>
              <w:left w:val="nil"/>
              <w:bottom w:val="nil"/>
              <w:right w:val="nil"/>
            </w:tcBorders>
            <w:shd w:val="clear" w:color="auto" w:fill="FFFFFF" w:themeFill="background1"/>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93 420</w:t>
            </w:r>
          </w:p>
        </w:tc>
      </w:tr>
      <w:tr w:rsidR="00EB7370" w:rsidRPr="00FF6481" w:rsidTr="007C2BDC">
        <w:trPr>
          <w:trHeight w:val="255"/>
        </w:trPr>
        <w:tc>
          <w:tcPr>
            <w:tcW w:w="2844" w:type="pct"/>
            <w:tcBorders>
              <w:top w:val="nil"/>
              <w:left w:val="nil"/>
              <w:bottom w:val="single" w:sz="4" w:space="0" w:color="auto"/>
              <w:right w:val="nil"/>
            </w:tcBorders>
            <w:shd w:val="clear" w:color="auto" w:fill="FFFFFF" w:themeFill="background1"/>
            <w:noWrap/>
            <w:vAlign w:val="center"/>
            <w:hideMark/>
          </w:tcPr>
          <w:p w:rsidR="00EB7370" w:rsidRPr="00FF6481" w:rsidRDefault="00EB7370" w:rsidP="007C2BDC">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Výdavky</w:t>
            </w:r>
          </w:p>
        </w:tc>
        <w:tc>
          <w:tcPr>
            <w:tcW w:w="539" w:type="pct"/>
            <w:tcBorders>
              <w:top w:val="nil"/>
              <w:left w:val="nil"/>
              <w:bottom w:val="single" w:sz="4" w:space="0" w:color="auto"/>
              <w:right w:val="nil"/>
            </w:tcBorders>
            <w:shd w:val="clear" w:color="auto" w:fill="FFFFFF" w:themeFill="background1"/>
            <w:noWrap/>
            <w:vAlign w:val="center"/>
            <w:hideMark/>
          </w:tcPr>
          <w:p w:rsidR="00EB7370" w:rsidRPr="00FF6481" w:rsidRDefault="00EB7370" w:rsidP="007C2BDC">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TE</w:t>
            </w:r>
          </w:p>
        </w:tc>
        <w:tc>
          <w:tcPr>
            <w:tcW w:w="539" w:type="pct"/>
            <w:tcBorders>
              <w:top w:val="nil"/>
              <w:left w:val="nil"/>
              <w:bottom w:val="single" w:sz="4" w:space="0" w:color="auto"/>
              <w:right w:val="nil"/>
            </w:tcBorders>
            <w:shd w:val="clear" w:color="auto" w:fill="FFFFFF" w:themeFill="background1"/>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51 071</w:t>
            </w:r>
          </w:p>
        </w:tc>
        <w:tc>
          <w:tcPr>
            <w:tcW w:w="539" w:type="pct"/>
            <w:tcBorders>
              <w:top w:val="nil"/>
              <w:left w:val="nil"/>
              <w:bottom w:val="single" w:sz="4" w:space="0" w:color="auto"/>
              <w:right w:val="nil"/>
            </w:tcBorders>
            <w:shd w:val="clear" w:color="auto" w:fill="FFFFFF" w:themeFill="background1"/>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75 318</w:t>
            </w:r>
          </w:p>
        </w:tc>
        <w:tc>
          <w:tcPr>
            <w:tcW w:w="539" w:type="pct"/>
            <w:tcBorders>
              <w:top w:val="nil"/>
              <w:left w:val="nil"/>
              <w:bottom w:val="single" w:sz="4" w:space="0" w:color="auto"/>
              <w:right w:val="nil"/>
            </w:tcBorders>
            <w:shd w:val="clear" w:color="auto" w:fill="FFFFFF" w:themeFill="background1"/>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69 385</w:t>
            </w:r>
          </w:p>
        </w:tc>
      </w:tr>
    </w:tbl>
    <w:p w:rsidR="00EB7370" w:rsidRPr="00667D6F" w:rsidRDefault="00EB7370" w:rsidP="00EB7370">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EB7370" w:rsidRDefault="00EB7370" w:rsidP="00EB7370">
      <w:pPr>
        <w:spacing w:after="0" w:line="240" w:lineRule="auto"/>
        <w:contextualSpacing/>
        <w:jc w:val="both"/>
        <w:rPr>
          <w:rFonts w:ascii="Times New Roman" w:hAnsi="Times New Roman" w:cs="Times New Roman"/>
          <w:sz w:val="24"/>
          <w:szCs w:val="24"/>
        </w:rPr>
      </w:pPr>
    </w:p>
    <w:p w:rsidR="00EB7370" w:rsidRPr="00EC3CE0" w:rsidRDefault="00EB7370" w:rsidP="00EB7370">
      <w:pPr>
        <w:autoSpaceDE w:val="0"/>
        <w:autoSpaceDN w:val="0"/>
        <w:spacing w:after="0" w:line="240" w:lineRule="auto"/>
        <w:jc w:val="both"/>
        <w:rPr>
          <w:rFonts w:ascii="Times New Roman" w:hAnsi="Times New Roman" w:cs="Times New Roman"/>
          <w:sz w:val="24"/>
          <w:szCs w:val="24"/>
        </w:rPr>
      </w:pPr>
      <w:r w:rsidRPr="00EC0017">
        <w:rPr>
          <w:rFonts w:ascii="Times New Roman" w:hAnsi="Times New Roman" w:cs="Times New Roman"/>
          <w:sz w:val="24"/>
          <w:szCs w:val="24"/>
        </w:rPr>
        <w:t>Objemovo významným titulom je podnikateľská činnosť verejných vysokých škôl, v rámci</w:t>
      </w:r>
      <w:r w:rsidRPr="00EC3CE0">
        <w:rPr>
          <w:rFonts w:ascii="Times New Roman" w:hAnsi="Times New Roman" w:cs="Times New Roman"/>
          <w:sz w:val="24"/>
          <w:szCs w:val="24"/>
        </w:rPr>
        <w:t xml:space="preserve"> ktorej verejná vysoká škola vykonáva za úhradu činnosť nadväzujúcu na jej vzdelávaciu, výskumnú, vývojovú, liečebno-preventívnu, umeleckú alebo ďalšiu tvorivú činnosť alebo činnosť slúžiacu na účinnejšie využitie ľudských zdrojov a majetku. Prostriedky získané touto činnosťou používa verejná vysoká škola na plnenie tých úloh, na ktoré bola zriadená. Prekážkou pre rozpočtovanie príjmov a výdavkov podnikateľskej činnosti verejných vysokých škôl je </w:t>
      </w:r>
      <w:r>
        <w:rPr>
          <w:rFonts w:ascii="Times New Roman" w:hAnsi="Times New Roman" w:cs="Times New Roman"/>
          <w:sz w:val="24"/>
          <w:szCs w:val="24"/>
        </w:rPr>
        <w:t xml:space="preserve">         </w:t>
      </w:r>
      <w:r w:rsidRPr="00EC3CE0">
        <w:rPr>
          <w:rFonts w:ascii="Times New Roman" w:hAnsi="Times New Roman" w:cs="Times New Roman"/>
          <w:sz w:val="24"/>
          <w:szCs w:val="24"/>
        </w:rPr>
        <w:t>§ 18 ods. 3 zákona č. 131/2002 Z. z. o vysokých školách a o zmene a doplnení niektorých zákonov, podľa ktorého nie sú výnosy a náklady z podnikateľskej činnosti súčasťou rozpočtu verejnej vysokej školy</w:t>
      </w:r>
      <w:r>
        <w:rPr>
          <w:rFonts w:ascii="Times New Roman" w:hAnsi="Times New Roman" w:cs="Times New Roman"/>
          <w:sz w:val="24"/>
          <w:szCs w:val="24"/>
        </w:rPr>
        <w:t>.</w:t>
      </w:r>
    </w:p>
    <w:p w:rsidR="00EB7370" w:rsidRDefault="00EB7370" w:rsidP="00EB7370">
      <w:pPr>
        <w:autoSpaceDE w:val="0"/>
        <w:autoSpaceDN w:val="0"/>
        <w:spacing w:after="0" w:line="240" w:lineRule="auto"/>
        <w:jc w:val="both"/>
        <w:rPr>
          <w:rFonts w:ascii="Times New Roman" w:hAnsi="Times New Roman" w:cs="Times New Roman"/>
          <w:sz w:val="24"/>
          <w:szCs w:val="24"/>
        </w:rPr>
      </w:pPr>
    </w:p>
    <w:p w:rsidR="00EB7370" w:rsidRDefault="00EB7370" w:rsidP="00EB7370">
      <w:pPr>
        <w:autoSpaceDE w:val="0"/>
        <w:autoSpaceDN w:val="0"/>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Prehľad o výške príjmov a výdavkov verejných vysokých škôl z podnikateľskej činnosti za skutočnosť predchádzajúcich rokov poskytuje nasledovná tabuľka.</w:t>
      </w:r>
    </w:p>
    <w:p w:rsidR="00EB7370" w:rsidRPr="00EC3CE0" w:rsidRDefault="00EB7370" w:rsidP="00EB7370">
      <w:pPr>
        <w:autoSpaceDE w:val="0"/>
        <w:autoSpaceDN w:val="0"/>
        <w:spacing w:after="0" w:line="240" w:lineRule="auto"/>
        <w:jc w:val="both"/>
        <w:rPr>
          <w:rFonts w:ascii="Times New Roman" w:hAnsi="Times New Roman" w:cs="Times New Roman"/>
          <w:sz w:val="24"/>
          <w:szCs w:val="24"/>
        </w:rPr>
      </w:pPr>
    </w:p>
    <w:p w:rsidR="00EB7370" w:rsidRPr="00EB7370" w:rsidRDefault="00EB7370" w:rsidP="00EB7370">
      <w:pPr>
        <w:pStyle w:val="Popis"/>
        <w:keepNext/>
        <w:spacing w:after="0"/>
        <w:rPr>
          <w:rFonts w:ascii="Times New Roman" w:hAnsi="Times New Roman" w:cs="Times New Roman"/>
          <w:b/>
          <w:i w:val="0"/>
          <w:color w:val="5B9BD5" w:themeColor="accent1"/>
          <w:sz w:val="20"/>
          <w:szCs w:val="20"/>
        </w:rPr>
      </w:pPr>
      <w:bookmarkStart w:id="71" w:name="_Toc84845242"/>
      <w:r w:rsidRPr="00EB7370">
        <w:rPr>
          <w:rFonts w:ascii="Times New Roman" w:hAnsi="Times New Roman" w:cs="Times New Roman"/>
          <w:b/>
          <w:i w:val="0"/>
          <w:color w:val="5B9BD5" w:themeColor="accent1"/>
          <w:sz w:val="20"/>
          <w:szCs w:val="20"/>
        </w:rPr>
        <w:t xml:space="preserve">Tabuľka </w:t>
      </w:r>
      <w:r w:rsidRPr="00EB7370">
        <w:rPr>
          <w:rFonts w:ascii="Times New Roman" w:hAnsi="Times New Roman" w:cs="Times New Roman"/>
          <w:b/>
          <w:i w:val="0"/>
          <w:color w:val="5B9BD5" w:themeColor="accent1"/>
          <w:sz w:val="20"/>
          <w:szCs w:val="20"/>
        </w:rPr>
        <w:fldChar w:fldCharType="begin"/>
      </w:r>
      <w:r w:rsidRPr="00EB7370">
        <w:rPr>
          <w:rFonts w:ascii="Times New Roman" w:hAnsi="Times New Roman" w:cs="Times New Roman"/>
          <w:b/>
          <w:i w:val="0"/>
          <w:color w:val="5B9BD5" w:themeColor="accent1"/>
          <w:sz w:val="20"/>
          <w:szCs w:val="20"/>
        </w:rPr>
        <w:instrText xml:space="preserve"> SEQ Tabuľka \* ARABIC </w:instrText>
      </w:r>
      <w:r w:rsidRPr="00EB7370">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18</w:t>
      </w:r>
      <w:r w:rsidRPr="00EB7370">
        <w:rPr>
          <w:rFonts w:ascii="Times New Roman" w:hAnsi="Times New Roman" w:cs="Times New Roman"/>
          <w:b/>
          <w:i w:val="0"/>
          <w:color w:val="5B9BD5" w:themeColor="accent1"/>
          <w:sz w:val="20"/>
          <w:szCs w:val="20"/>
        </w:rPr>
        <w:fldChar w:fldCharType="end"/>
      </w:r>
      <w:r w:rsidRPr="00EB7370">
        <w:rPr>
          <w:rFonts w:ascii="Times New Roman" w:hAnsi="Times New Roman" w:cs="Times New Roman"/>
          <w:b/>
          <w:i w:val="0"/>
          <w:color w:val="5B9BD5" w:themeColor="accent1"/>
          <w:sz w:val="20"/>
          <w:szCs w:val="20"/>
        </w:rPr>
        <w:t xml:space="preserve"> - Príjmy a výdavky podnikateľskej činnosti verejných vysokých škôl</w:t>
      </w:r>
      <w:bookmarkEnd w:id="71"/>
    </w:p>
    <w:tbl>
      <w:tblPr>
        <w:tblW w:w="5000" w:type="pct"/>
        <w:jc w:val="center"/>
        <w:tblCellMar>
          <w:left w:w="70" w:type="dxa"/>
          <w:right w:w="70" w:type="dxa"/>
        </w:tblCellMar>
        <w:tblLook w:val="04A0" w:firstRow="1" w:lastRow="0" w:firstColumn="1" w:lastColumn="0" w:noHBand="0" w:noVBand="1"/>
      </w:tblPr>
      <w:tblGrid>
        <w:gridCol w:w="5160"/>
        <w:gridCol w:w="978"/>
        <w:gridCol w:w="978"/>
        <w:gridCol w:w="978"/>
        <w:gridCol w:w="978"/>
      </w:tblGrid>
      <w:tr w:rsidR="00EB7370" w:rsidRPr="00FF6481" w:rsidTr="007C2BDC">
        <w:trPr>
          <w:trHeight w:val="255"/>
          <w:jc w:val="center"/>
        </w:trPr>
        <w:tc>
          <w:tcPr>
            <w:tcW w:w="2844"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 v tis. eur)</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2018 S</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2019 S</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w:t>
            </w:r>
            <w:r>
              <w:rPr>
                <w:rFonts w:ascii="Times New Roman" w:hAnsi="Times New Roman" w:cs="Times New Roman"/>
                <w:b/>
                <w:bCs/>
                <w:color w:val="000000"/>
                <w:sz w:val="16"/>
                <w:szCs w:val="16"/>
              </w:rPr>
              <w:t>20</w:t>
            </w:r>
            <w:r w:rsidRPr="00FF6481">
              <w:rPr>
                <w:rFonts w:ascii="Times New Roman" w:hAnsi="Times New Roman" w:cs="Times New Roman"/>
                <w:b/>
                <w:bCs/>
                <w:color w:val="000000"/>
                <w:sz w:val="16"/>
                <w:szCs w:val="16"/>
              </w:rPr>
              <w:t xml:space="preserve"> S</w:t>
            </w:r>
          </w:p>
        </w:tc>
      </w:tr>
      <w:tr w:rsidR="00EB7370" w:rsidRPr="00FF6481" w:rsidTr="007C2BDC">
        <w:trPr>
          <w:trHeight w:val="255"/>
          <w:jc w:val="center"/>
        </w:trPr>
        <w:tc>
          <w:tcPr>
            <w:tcW w:w="2844"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Saldo</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center"/>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B.9</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1 585</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1 615</w:t>
            </w:r>
          </w:p>
        </w:tc>
        <w:tc>
          <w:tcPr>
            <w:tcW w:w="539" w:type="pct"/>
            <w:tcBorders>
              <w:top w:val="single" w:sz="4" w:space="0" w:color="auto"/>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792</w:t>
            </w:r>
          </w:p>
        </w:tc>
      </w:tr>
      <w:tr w:rsidR="00EB7370" w:rsidRPr="00FF6481" w:rsidTr="007C2BDC">
        <w:trPr>
          <w:trHeight w:val="255"/>
          <w:jc w:val="center"/>
        </w:trPr>
        <w:tc>
          <w:tcPr>
            <w:tcW w:w="2844" w:type="pct"/>
            <w:tcBorders>
              <w:top w:val="nil"/>
              <w:left w:val="nil"/>
              <w:bottom w:val="nil"/>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Príjmy</w:t>
            </w:r>
          </w:p>
        </w:tc>
        <w:tc>
          <w:tcPr>
            <w:tcW w:w="539" w:type="pct"/>
            <w:tcBorders>
              <w:top w:val="nil"/>
              <w:left w:val="nil"/>
              <w:bottom w:val="nil"/>
              <w:right w:val="nil"/>
            </w:tcBorders>
            <w:shd w:val="clear" w:color="auto" w:fill="auto"/>
            <w:noWrap/>
            <w:vAlign w:val="center"/>
            <w:hideMark/>
          </w:tcPr>
          <w:p w:rsidR="00EB7370" w:rsidRPr="00FF6481" w:rsidRDefault="00EB7370" w:rsidP="007C2BDC">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TR</w:t>
            </w:r>
          </w:p>
        </w:tc>
        <w:tc>
          <w:tcPr>
            <w:tcW w:w="539" w:type="pct"/>
            <w:tcBorders>
              <w:top w:val="nil"/>
              <w:left w:val="nil"/>
              <w:bottom w:val="nil"/>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39 392</w:t>
            </w:r>
          </w:p>
        </w:tc>
        <w:tc>
          <w:tcPr>
            <w:tcW w:w="539" w:type="pct"/>
            <w:tcBorders>
              <w:top w:val="nil"/>
              <w:left w:val="nil"/>
              <w:bottom w:val="nil"/>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41 982</w:t>
            </w:r>
          </w:p>
        </w:tc>
        <w:tc>
          <w:tcPr>
            <w:tcW w:w="539" w:type="pct"/>
            <w:tcBorders>
              <w:top w:val="nil"/>
              <w:left w:val="nil"/>
              <w:bottom w:val="nil"/>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30 408</w:t>
            </w:r>
          </w:p>
        </w:tc>
      </w:tr>
      <w:tr w:rsidR="00EB7370" w:rsidRPr="00FF6481" w:rsidTr="007C2BDC">
        <w:trPr>
          <w:trHeight w:val="255"/>
          <w:jc w:val="center"/>
        </w:trPr>
        <w:tc>
          <w:tcPr>
            <w:tcW w:w="2844" w:type="pct"/>
            <w:tcBorders>
              <w:top w:val="nil"/>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Výdavky</w:t>
            </w:r>
          </w:p>
        </w:tc>
        <w:tc>
          <w:tcPr>
            <w:tcW w:w="539" w:type="pct"/>
            <w:tcBorders>
              <w:top w:val="nil"/>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TE</w:t>
            </w:r>
          </w:p>
        </w:tc>
        <w:tc>
          <w:tcPr>
            <w:tcW w:w="539" w:type="pct"/>
            <w:tcBorders>
              <w:top w:val="nil"/>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37 807</w:t>
            </w:r>
          </w:p>
        </w:tc>
        <w:tc>
          <w:tcPr>
            <w:tcW w:w="539" w:type="pct"/>
            <w:tcBorders>
              <w:top w:val="nil"/>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40 367</w:t>
            </w:r>
          </w:p>
        </w:tc>
        <w:tc>
          <w:tcPr>
            <w:tcW w:w="539" w:type="pct"/>
            <w:tcBorders>
              <w:top w:val="nil"/>
              <w:left w:val="nil"/>
              <w:bottom w:val="single" w:sz="4" w:space="0" w:color="auto"/>
              <w:right w:val="nil"/>
            </w:tcBorders>
            <w:shd w:val="clear" w:color="auto" w:fill="auto"/>
            <w:noWrap/>
            <w:vAlign w:val="center"/>
            <w:hideMark/>
          </w:tcPr>
          <w:p w:rsidR="00EB7370" w:rsidRPr="00FF6481" w:rsidRDefault="00EB7370" w:rsidP="007C2BDC">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29 616</w:t>
            </w:r>
          </w:p>
        </w:tc>
      </w:tr>
    </w:tbl>
    <w:p w:rsidR="00EB7370" w:rsidRPr="00667D6F" w:rsidRDefault="00EB7370" w:rsidP="00EB7370">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EB7370" w:rsidRPr="00EC3CE0" w:rsidRDefault="00EB7370" w:rsidP="00EB7370">
      <w:pPr>
        <w:spacing w:after="0" w:line="240" w:lineRule="auto"/>
        <w:contextualSpacing/>
        <w:jc w:val="both"/>
        <w:rPr>
          <w:rFonts w:ascii="Times New Roman" w:hAnsi="Times New Roman" w:cs="Times New Roman"/>
          <w:sz w:val="24"/>
          <w:szCs w:val="24"/>
          <w:u w:val="single"/>
        </w:rPr>
      </w:pPr>
    </w:p>
    <w:p w:rsidR="00EB7370" w:rsidRPr="00EC3CE0" w:rsidRDefault="00EB7370" w:rsidP="00EB7370">
      <w:pPr>
        <w:spacing w:after="0" w:line="240" w:lineRule="auto"/>
        <w:jc w:val="both"/>
        <w:rPr>
          <w:lang w:eastAsia="cs-CZ"/>
        </w:rPr>
      </w:pPr>
      <w:r w:rsidRPr="00EC0017">
        <w:rPr>
          <w:rFonts w:ascii="Times New Roman" w:hAnsi="Times New Roman" w:cs="Times New Roman"/>
          <w:sz w:val="24"/>
          <w:szCs w:val="24"/>
        </w:rPr>
        <w:t>Európsky nástroj finančnej stability (EFSF), tzv. euroval 1 je medzinárodná akciová</w:t>
      </w:r>
      <w:r w:rsidRPr="00EC3CE0">
        <w:rPr>
          <w:rFonts w:ascii="Times New Roman" w:hAnsi="Times New Roman" w:cs="Times New Roman"/>
          <w:sz w:val="24"/>
          <w:szCs w:val="24"/>
        </w:rPr>
        <w:t xml:space="preserve"> spoločnosť, ktorú založili členské štáty eurozóny s cieľom zabezpečiť finančnú stabilitu v Európe poskytovaním finančnej pomoci krajinám eurozóny, ktoré stratili prístup k finančným trhom. EFSF si požičiava na finančných trhoch za zvýhodnených podmienok, nakoľko jej finančné záväzky sú priamo garantované jej akcionármi, t. j. členskými štátmi. Tieto finančné zdroje EFSF následne prepožičiava členskému štátu</w:t>
      </w:r>
      <w:r>
        <w:rPr>
          <w:rFonts w:ascii="Times New Roman" w:hAnsi="Times New Roman" w:cs="Times New Roman"/>
          <w:sz w:val="24"/>
          <w:szCs w:val="24"/>
        </w:rPr>
        <w:t xml:space="preserve">, ktorému bola pomoc schválená. </w:t>
      </w:r>
      <w:r w:rsidRPr="00EC3CE0">
        <w:rPr>
          <w:rFonts w:ascii="Times New Roman" w:hAnsi="Times New Roman" w:cs="Times New Roman"/>
          <w:sz w:val="24"/>
          <w:szCs w:val="24"/>
        </w:rPr>
        <w:t>Údaje za skutočnosť získava Š</w:t>
      </w:r>
      <w:r>
        <w:rPr>
          <w:rFonts w:ascii="Times New Roman" w:hAnsi="Times New Roman" w:cs="Times New Roman"/>
          <w:sz w:val="24"/>
          <w:szCs w:val="24"/>
        </w:rPr>
        <w:t>tatistický úrad</w:t>
      </w:r>
      <w:r w:rsidRPr="00EC3CE0">
        <w:rPr>
          <w:rFonts w:ascii="Times New Roman" w:hAnsi="Times New Roman" w:cs="Times New Roman"/>
          <w:sz w:val="24"/>
          <w:szCs w:val="24"/>
        </w:rPr>
        <w:t xml:space="preserve"> SR z Eurostatu, a to až po skončení príslušného kalendárneho roka. Hodnoty príjmov a výdavkov pre danú krajinu sa každoročne prepočítavajú a menia v závislosti od objemu prijatých a uhradených úrokov za daný rok. Vplyv na bilanciu verejných financií v jednotlivých rokoch je minimálny. </w:t>
      </w:r>
      <w:r>
        <w:rPr>
          <w:rFonts w:ascii="Times New Roman" w:hAnsi="Times New Roman" w:cs="Times New Roman"/>
          <w:sz w:val="24"/>
          <w:szCs w:val="24"/>
        </w:rPr>
        <w:t>Ministerstvo financií SR</w:t>
      </w:r>
      <w:r w:rsidRPr="00EC3CE0">
        <w:rPr>
          <w:rFonts w:ascii="Times New Roman" w:hAnsi="Times New Roman" w:cs="Times New Roman"/>
          <w:sz w:val="24"/>
          <w:szCs w:val="24"/>
        </w:rPr>
        <w:t xml:space="preserve"> pri tvorbe rozpočtu verejnej správy nedisponuje potrebnými údajmi, a preto príjmy a výdavky EFSF </w:t>
      </w:r>
      <w:r>
        <w:rPr>
          <w:rFonts w:ascii="Times New Roman" w:hAnsi="Times New Roman" w:cs="Times New Roman"/>
          <w:sz w:val="24"/>
          <w:szCs w:val="24"/>
        </w:rPr>
        <w:t>nie sú obsiahnuté v návrhu rozpočtu verejnej správy</w:t>
      </w:r>
      <w:r w:rsidRPr="00EC3CE0">
        <w:rPr>
          <w:rFonts w:ascii="Times New Roman" w:hAnsi="Times New Roman" w:cs="Times New Roman"/>
          <w:sz w:val="24"/>
          <w:szCs w:val="24"/>
        </w:rPr>
        <w:t>.</w:t>
      </w:r>
    </w:p>
    <w:p w:rsidR="00EB7370" w:rsidRDefault="00EB7370" w:rsidP="00EB7370">
      <w:pPr>
        <w:spacing w:after="0" w:line="240" w:lineRule="auto"/>
        <w:jc w:val="both"/>
        <w:rPr>
          <w:lang w:eastAsia="cs-CZ"/>
        </w:rPr>
      </w:pPr>
    </w:p>
    <w:p w:rsidR="00EB7370" w:rsidRPr="00EB7370" w:rsidRDefault="00EB7370" w:rsidP="00EB7370">
      <w:pPr>
        <w:pStyle w:val="Popis"/>
        <w:keepNext/>
        <w:spacing w:after="0"/>
        <w:rPr>
          <w:rFonts w:ascii="Times New Roman" w:hAnsi="Times New Roman" w:cs="Times New Roman"/>
          <w:b/>
          <w:i w:val="0"/>
          <w:color w:val="5B9BD5" w:themeColor="accent1"/>
          <w:sz w:val="20"/>
          <w:szCs w:val="20"/>
        </w:rPr>
      </w:pPr>
      <w:bookmarkStart w:id="72" w:name="_Toc84845243"/>
      <w:r w:rsidRPr="00EB7370">
        <w:rPr>
          <w:rFonts w:ascii="Times New Roman" w:hAnsi="Times New Roman" w:cs="Times New Roman"/>
          <w:b/>
          <w:i w:val="0"/>
          <w:color w:val="5B9BD5" w:themeColor="accent1"/>
          <w:sz w:val="20"/>
          <w:szCs w:val="20"/>
        </w:rPr>
        <w:t xml:space="preserve">Tabuľka </w:t>
      </w:r>
      <w:r w:rsidRPr="00EB7370">
        <w:rPr>
          <w:rFonts w:ascii="Times New Roman" w:hAnsi="Times New Roman" w:cs="Times New Roman"/>
          <w:b/>
          <w:i w:val="0"/>
          <w:color w:val="5B9BD5" w:themeColor="accent1"/>
          <w:sz w:val="20"/>
          <w:szCs w:val="20"/>
        </w:rPr>
        <w:fldChar w:fldCharType="begin"/>
      </w:r>
      <w:r w:rsidRPr="00EB7370">
        <w:rPr>
          <w:rFonts w:ascii="Times New Roman" w:hAnsi="Times New Roman" w:cs="Times New Roman"/>
          <w:b/>
          <w:i w:val="0"/>
          <w:color w:val="5B9BD5" w:themeColor="accent1"/>
          <w:sz w:val="20"/>
          <w:szCs w:val="20"/>
        </w:rPr>
        <w:instrText xml:space="preserve"> SEQ Tabuľka \* ARABIC </w:instrText>
      </w:r>
      <w:r w:rsidRPr="00EB7370">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19</w:t>
      </w:r>
      <w:r w:rsidRPr="00EB7370">
        <w:rPr>
          <w:rFonts w:ascii="Times New Roman" w:hAnsi="Times New Roman" w:cs="Times New Roman"/>
          <w:b/>
          <w:i w:val="0"/>
          <w:color w:val="5B9BD5" w:themeColor="accent1"/>
          <w:sz w:val="20"/>
          <w:szCs w:val="20"/>
        </w:rPr>
        <w:fldChar w:fldCharType="end"/>
      </w:r>
      <w:r w:rsidRPr="00EB7370">
        <w:rPr>
          <w:rFonts w:ascii="Times New Roman" w:hAnsi="Times New Roman" w:cs="Times New Roman"/>
          <w:b/>
          <w:i w:val="0"/>
          <w:color w:val="5B9BD5" w:themeColor="accent1"/>
          <w:sz w:val="20"/>
          <w:szCs w:val="20"/>
        </w:rPr>
        <w:t xml:space="preserve"> - Príjmy a výdavky EFSF - European Financial Stability Facility</w:t>
      </w:r>
      <w:bookmarkEnd w:id="72"/>
    </w:p>
    <w:tbl>
      <w:tblPr>
        <w:tblW w:w="9129" w:type="dxa"/>
        <w:tblCellMar>
          <w:left w:w="70" w:type="dxa"/>
          <w:right w:w="70" w:type="dxa"/>
        </w:tblCellMar>
        <w:tblLook w:val="04A0" w:firstRow="1" w:lastRow="0" w:firstColumn="1" w:lastColumn="0" w:noHBand="0" w:noVBand="1"/>
      </w:tblPr>
      <w:tblGrid>
        <w:gridCol w:w="5169"/>
        <w:gridCol w:w="990"/>
        <w:gridCol w:w="990"/>
        <w:gridCol w:w="990"/>
        <w:gridCol w:w="990"/>
      </w:tblGrid>
      <w:tr w:rsidR="00EB7370" w:rsidRPr="00EC0017" w:rsidTr="007C2BDC">
        <w:trPr>
          <w:trHeight w:val="266"/>
        </w:trPr>
        <w:tc>
          <w:tcPr>
            <w:tcW w:w="5169"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(ESA 2010, v tis. eur)</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ESA 2010</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2018 S</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2019 S</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2020</w:t>
            </w:r>
            <w:r w:rsidRPr="00EC0017">
              <w:rPr>
                <w:rFonts w:ascii="Times New Roman" w:hAnsi="Times New Roman" w:cs="Times New Roman"/>
                <w:b/>
                <w:bCs/>
                <w:color w:val="000000"/>
                <w:sz w:val="16"/>
                <w:szCs w:val="16"/>
              </w:rPr>
              <w:t xml:space="preserve"> S</w:t>
            </w:r>
          </w:p>
        </w:tc>
      </w:tr>
      <w:tr w:rsidR="00EB7370" w:rsidRPr="00EC0017" w:rsidTr="007C2BDC">
        <w:trPr>
          <w:trHeight w:val="266"/>
        </w:trPr>
        <w:tc>
          <w:tcPr>
            <w:tcW w:w="5169"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Saldo</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B.9</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-783</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-130</w:t>
            </w:r>
          </w:p>
        </w:tc>
        <w:tc>
          <w:tcPr>
            <w:tcW w:w="990" w:type="dxa"/>
            <w:tcBorders>
              <w:top w:val="single" w:sz="4" w:space="0" w:color="auto"/>
              <w:left w:val="nil"/>
              <w:bottom w:val="single" w:sz="4" w:space="0" w:color="auto"/>
              <w:right w:val="nil"/>
            </w:tcBorders>
            <w:shd w:val="clear" w:color="000000"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14</w:t>
            </w:r>
          </w:p>
        </w:tc>
      </w:tr>
      <w:tr w:rsidR="00EB7370" w:rsidRPr="00EC0017" w:rsidTr="007C2BDC">
        <w:trPr>
          <w:trHeight w:val="266"/>
        </w:trPr>
        <w:tc>
          <w:tcPr>
            <w:tcW w:w="5169"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Príjmy</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TR</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24 450</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24 353</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23 216</w:t>
            </w:r>
          </w:p>
        </w:tc>
      </w:tr>
      <w:tr w:rsidR="00EB7370" w:rsidRPr="00EC0017" w:rsidTr="007C2BDC">
        <w:trPr>
          <w:trHeight w:val="266"/>
        </w:trPr>
        <w:tc>
          <w:tcPr>
            <w:tcW w:w="5169" w:type="dxa"/>
            <w:tcBorders>
              <w:top w:val="nil"/>
              <w:left w:val="nil"/>
              <w:right w:val="nil"/>
            </w:tcBorders>
            <w:shd w:val="clear" w:color="auto" w:fill="auto"/>
            <w:noWrap/>
            <w:vAlign w:val="center"/>
            <w:hideMark/>
          </w:tcPr>
          <w:p w:rsidR="00EB7370" w:rsidRPr="00EC0017" w:rsidRDefault="00EB7370" w:rsidP="007C2BDC">
            <w:pPr>
              <w:spacing w:after="120" w:line="336" w:lineRule="auto"/>
              <w:ind w:firstLineChars="100" w:firstLine="160"/>
              <w:contextualSpacing/>
              <w:rPr>
                <w:rFonts w:ascii="Times New Roman" w:hAnsi="Times New Roman" w:cs="Times New Roman"/>
                <w:color w:val="000000"/>
                <w:sz w:val="16"/>
                <w:szCs w:val="16"/>
              </w:rPr>
            </w:pPr>
            <w:r w:rsidRPr="00EC0017">
              <w:rPr>
                <w:rFonts w:ascii="Times New Roman" w:hAnsi="Times New Roman" w:cs="Times New Roman"/>
                <w:color w:val="000000"/>
                <w:sz w:val="16"/>
                <w:szCs w:val="16"/>
              </w:rPr>
              <w:t>Imputovaný výnosový úrok EFSF</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color w:val="000000"/>
                <w:sz w:val="16"/>
                <w:szCs w:val="16"/>
              </w:rPr>
            </w:pPr>
            <w:r w:rsidRPr="00EC0017">
              <w:rPr>
                <w:rFonts w:ascii="Times New Roman" w:hAnsi="Times New Roman" w:cs="Times New Roman"/>
                <w:color w:val="000000"/>
                <w:sz w:val="16"/>
                <w:szCs w:val="16"/>
              </w:rPr>
              <w:t>D.41r</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24 450</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24 353</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Pr>
                <w:rFonts w:ascii="Times New Roman" w:hAnsi="Times New Roman" w:cs="Times New Roman"/>
                <w:color w:val="000000"/>
                <w:sz w:val="16"/>
                <w:szCs w:val="16"/>
              </w:rPr>
              <w:t>23 216</w:t>
            </w:r>
          </w:p>
        </w:tc>
      </w:tr>
      <w:tr w:rsidR="00EB7370" w:rsidRPr="00EC0017" w:rsidTr="007C2BDC">
        <w:trPr>
          <w:trHeight w:val="266"/>
        </w:trPr>
        <w:tc>
          <w:tcPr>
            <w:tcW w:w="5169" w:type="dxa"/>
            <w:tcBorders>
              <w:left w:val="nil"/>
              <w:bottom w:val="nil"/>
              <w:right w:val="nil"/>
            </w:tcBorders>
            <w:shd w:val="clear" w:color="auto" w:fill="auto"/>
            <w:noWrap/>
            <w:vAlign w:val="center"/>
            <w:hideMark/>
          </w:tcPr>
          <w:p w:rsidR="00EB7370" w:rsidRPr="00EC0017" w:rsidRDefault="00EB7370" w:rsidP="007C2BDC">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Výdavky</w:t>
            </w:r>
          </w:p>
        </w:tc>
        <w:tc>
          <w:tcPr>
            <w:tcW w:w="990" w:type="dxa"/>
            <w:tcBorders>
              <w:left w:val="nil"/>
              <w:bottom w:val="nil"/>
              <w:right w:val="nil"/>
            </w:tcBorders>
            <w:shd w:val="clear" w:color="auto"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TE</w:t>
            </w:r>
          </w:p>
        </w:tc>
        <w:tc>
          <w:tcPr>
            <w:tcW w:w="990" w:type="dxa"/>
            <w:tcBorders>
              <w:left w:val="nil"/>
              <w:bottom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25 233</w:t>
            </w:r>
          </w:p>
        </w:tc>
        <w:tc>
          <w:tcPr>
            <w:tcW w:w="990" w:type="dxa"/>
            <w:tcBorders>
              <w:left w:val="nil"/>
              <w:bottom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24 483</w:t>
            </w:r>
          </w:p>
        </w:tc>
        <w:tc>
          <w:tcPr>
            <w:tcW w:w="990" w:type="dxa"/>
            <w:tcBorders>
              <w:left w:val="nil"/>
              <w:bottom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23 202</w:t>
            </w:r>
          </w:p>
        </w:tc>
      </w:tr>
      <w:tr w:rsidR="00EB7370" w:rsidRPr="00EC0017" w:rsidTr="007C2BDC">
        <w:trPr>
          <w:trHeight w:val="266"/>
        </w:trPr>
        <w:tc>
          <w:tcPr>
            <w:tcW w:w="5169" w:type="dxa"/>
            <w:tcBorders>
              <w:top w:val="nil"/>
              <w:left w:val="nil"/>
              <w:right w:val="nil"/>
            </w:tcBorders>
            <w:shd w:val="clear" w:color="auto" w:fill="auto"/>
            <w:noWrap/>
            <w:vAlign w:val="center"/>
            <w:hideMark/>
          </w:tcPr>
          <w:p w:rsidR="00EB7370" w:rsidRPr="00EC0017" w:rsidRDefault="00EB7370" w:rsidP="007C2BDC">
            <w:pPr>
              <w:spacing w:after="120" w:line="336" w:lineRule="auto"/>
              <w:ind w:firstLineChars="100" w:firstLine="160"/>
              <w:contextualSpacing/>
              <w:rPr>
                <w:rFonts w:ascii="Times New Roman" w:hAnsi="Times New Roman" w:cs="Times New Roman"/>
                <w:color w:val="000000"/>
                <w:sz w:val="16"/>
                <w:szCs w:val="16"/>
              </w:rPr>
            </w:pPr>
            <w:r w:rsidRPr="00EC0017">
              <w:rPr>
                <w:rFonts w:ascii="Times New Roman" w:hAnsi="Times New Roman" w:cs="Times New Roman"/>
                <w:color w:val="000000"/>
                <w:sz w:val="16"/>
                <w:szCs w:val="16"/>
              </w:rPr>
              <w:t>Imputovaný poplatok EFSF - prevádzkové náklady</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color w:val="000000"/>
                <w:sz w:val="16"/>
                <w:szCs w:val="16"/>
              </w:rPr>
            </w:pPr>
            <w:r w:rsidRPr="00EC0017">
              <w:rPr>
                <w:rFonts w:ascii="Times New Roman" w:hAnsi="Times New Roman" w:cs="Times New Roman"/>
                <w:color w:val="000000"/>
                <w:sz w:val="16"/>
                <w:szCs w:val="16"/>
              </w:rPr>
              <w:t>P.2</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324</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337</w:t>
            </w:r>
          </w:p>
        </w:tc>
        <w:tc>
          <w:tcPr>
            <w:tcW w:w="990" w:type="dxa"/>
            <w:tcBorders>
              <w:top w:val="nil"/>
              <w:left w:val="nil"/>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Pr>
                <w:rFonts w:ascii="Times New Roman" w:hAnsi="Times New Roman" w:cs="Times New Roman"/>
                <w:color w:val="000000"/>
                <w:sz w:val="16"/>
                <w:szCs w:val="16"/>
              </w:rPr>
              <w:t>341</w:t>
            </w:r>
          </w:p>
        </w:tc>
      </w:tr>
      <w:tr w:rsidR="00EB7370" w:rsidRPr="00EC0017" w:rsidTr="007C2BDC">
        <w:trPr>
          <w:trHeight w:val="266"/>
        </w:trPr>
        <w:tc>
          <w:tcPr>
            <w:tcW w:w="5169" w:type="dxa"/>
            <w:tcBorders>
              <w:top w:val="nil"/>
              <w:left w:val="nil"/>
              <w:bottom w:val="single" w:sz="4" w:space="0" w:color="auto"/>
              <w:right w:val="nil"/>
            </w:tcBorders>
            <w:shd w:val="clear" w:color="auto" w:fill="auto"/>
            <w:noWrap/>
            <w:vAlign w:val="center"/>
            <w:hideMark/>
          </w:tcPr>
          <w:p w:rsidR="00EB7370" w:rsidRPr="00EC0017" w:rsidRDefault="00EB7370" w:rsidP="007C2BDC">
            <w:pPr>
              <w:spacing w:after="120" w:line="336" w:lineRule="auto"/>
              <w:ind w:firstLineChars="100" w:firstLine="160"/>
              <w:contextualSpacing/>
              <w:rPr>
                <w:rFonts w:ascii="Times New Roman" w:hAnsi="Times New Roman" w:cs="Times New Roman"/>
                <w:color w:val="000000"/>
                <w:sz w:val="16"/>
                <w:szCs w:val="16"/>
              </w:rPr>
            </w:pPr>
            <w:r w:rsidRPr="00EC0017">
              <w:rPr>
                <w:rFonts w:ascii="Times New Roman" w:hAnsi="Times New Roman" w:cs="Times New Roman"/>
                <w:color w:val="000000"/>
                <w:sz w:val="16"/>
                <w:szCs w:val="16"/>
              </w:rPr>
              <w:t>Imputovaný nákladový úrok EFSF</w:t>
            </w:r>
          </w:p>
        </w:tc>
        <w:tc>
          <w:tcPr>
            <w:tcW w:w="990" w:type="dxa"/>
            <w:tcBorders>
              <w:top w:val="nil"/>
              <w:left w:val="nil"/>
              <w:bottom w:val="single" w:sz="4" w:space="0" w:color="auto"/>
              <w:right w:val="nil"/>
            </w:tcBorders>
            <w:shd w:val="clear" w:color="auto" w:fill="auto"/>
            <w:noWrap/>
            <w:vAlign w:val="center"/>
            <w:hideMark/>
          </w:tcPr>
          <w:p w:rsidR="00EB7370" w:rsidRPr="00EC0017" w:rsidRDefault="00EB7370" w:rsidP="007C2BDC">
            <w:pPr>
              <w:spacing w:after="120" w:line="336" w:lineRule="auto"/>
              <w:contextualSpacing/>
              <w:jc w:val="center"/>
              <w:rPr>
                <w:rFonts w:ascii="Times New Roman" w:hAnsi="Times New Roman" w:cs="Times New Roman"/>
                <w:color w:val="000000"/>
                <w:sz w:val="16"/>
                <w:szCs w:val="16"/>
              </w:rPr>
            </w:pPr>
            <w:r w:rsidRPr="00EC0017">
              <w:rPr>
                <w:rFonts w:ascii="Times New Roman" w:hAnsi="Times New Roman" w:cs="Times New Roman"/>
                <w:color w:val="000000"/>
                <w:sz w:val="16"/>
                <w:szCs w:val="16"/>
              </w:rPr>
              <w:t>D.41p</w:t>
            </w:r>
          </w:p>
        </w:tc>
        <w:tc>
          <w:tcPr>
            <w:tcW w:w="990" w:type="dxa"/>
            <w:tcBorders>
              <w:top w:val="nil"/>
              <w:left w:val="nil"/>
              <w:bottom w:val="single" w:sz="4" w:space="0" w:color="auto"/>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24 909</w:t>
            </w:r>
          </w:p>
        </w:tc>
        <w:tc>
          <w:tcPr>
            <w:tcW w:w="990" w:type="dxa"/>
            <w:tcBorders>
              <w:top w:val="nil"/>
              <w:left w:val="nil"/>
              <w:bottom w:val="single" w:sz="4" w:space="0" w:color="auto"/>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24 146</w:t>
            </w:r>
          </w:p>
        </w:tc>
        <w:tc>
          <w:tcPr>
            <w:tcW w:w="990" w:type="dxa"/>
            <w:tcBorders>
              <w:top w:val="nil"/>
              <w:left w:val="nil"/>
              <w:bottom w:val="single" w:sz="4" w:space="0" w:color="auto"/>
              <w:right w:val="nil"/>
            </w:tcBorders>
            <w:shd w:val="clear" w:color="auto" w:fill="auto"/>
            <w:noWrap/>
            <w:vAlign w:val="center"/>
            <w:hideMark/>
          </w:tcPr>
          <w:p w:rsidR="00EB7370" w:rsidRPr="00EC0017" w:rsidRDefault="00EB7370" w:rsidP="007C2BDC">
            <w:pPr>
              <w:spacing w:after="120" w:line="336" w:lineRule="auto"/>
              <w:contextualSpacing/>
              <w:jc w:val="right"/>
              <w:rPr>
                <w:rFonts w:ascii="Times New Roman" w:hAnsi="Times New Roman" w:cs="Times New Roman"/>
                <w:color w:val="000000"/>
                <w:sz w:val="16"/>
                <w:szCs w:val="16"/>
              </w:rPr>
            </w:pPr>
            <w:r>
              <w:rPr>
                <w:rFonts w:ascii="Times New Roman" w:hAnsi="Times New Roman" w:cs="Times New Roman"/>
                <w:color w:val="000000"/>
                <w:sz w:val="16"/>
                <w:szCs w:val="16"/>
              </w:rPr>
              <w:t>22 861</w:t>
            </w:r>
          </w:p>
        </w:tc>
      </w:tr>
    </w:tbl>
    <w:p w:rsidR="00EB7370" w:rsidRDefault="00EB7370" w:rsidP="00B932F5">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0C265D" w:rsidRDefault="000C265D"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8D2AF5" w:rsidRDefault="008D2A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B932F5" w:rsidRDefault="00B932F5" w:rsidP="00B932F5">
      <w:pPr>
        <w:autoSpaceDE w:val="0"/>
        <w:autoSpaceDN w:val="0"/>
        <w:spacing w:after="0" w:line="240" w:lineRule="auto"/>
        <w:jc w:val="both"/>
        <w:rPr>
          <w:rFonts w:ascii="Times New Roman" w:hAnsi="Times New Roman" w:cs="Times New Roman"/>
          <w:sz w:val="24"/>
          <w:szCs w:val="24"/>
        </w:rPr>
      </w:pPr>
    </w:p>
    <w:p w:rsidR="00CE077C" w:rsidRPr="00667D6F" w:rsidRDefault="00CE077C" w:rsidP="00B932F5">
      <w:pPr>
        <w:spacing w:after="0" w:line="240" w:lineRule="auto"/>
        <w:contextualSpacing/>
        <w:jc w:val="right"/>
        <w:rPr>
          <w:rFonts w:ascii="Times New Roman" w:hAnsi="Times New Roman" w:cs="Times New Roman"/>
          <w:i/>
          <w:sz w:val="16"/>
          <w:szCs w:val="16"/>
        </w:rPr>
      </w:pPr>
    </w:p>
    <w:p w:rsidR="000C265D" w:rsidRPr="00835E4E" w:rsidRDefault="000C265D" w:rsidP="00B932F5">
      <w:pPr>
        <w:pStyle w:val="Nadpis2"/>
        <w:spacing w:before="0" w:after="0"/>
        <w:rPr>
          <w:rFonts w:ascii="Times New Roman" w:hAnsi="Times New Roman"/>
          <w:i w:val="0"/>
          <w:color w:val="5B9BD5" w:themeColor="accent1"/>
          <w:sz w:val="24"/>
        </w:rPr>
      </w:pPr>
      <w:bookmarkStart w:id="73" w:name="_Toc53040762"/>
      <w:bookmarkStart w:id="74" w:name="_Toc84684750"/>
      <w:r w:rsidRPr="00835E4E">
        <w:rPr>
          <w:rFonts w:ascii="Times New Roman" w:hAnsi="Times New Roman"/>
          <w:i w:val="0"/>
          <w:color w:val="5B9BD5" w:themeColor="accent1"/>
          <w:sz w:val="24"/>
        </w:rPr>
        <w:t>2.</w:t>
      </w:r>
      <w:r w:rsidR="001E1863">
        <w:rPr>
          <w:rFonts w:ascii="Times New Roman" w:hAnsi="Times New Roman"/>
          <w:i w:val="0"/>
          <w:color w:val="5B9BD5" w:themeColor="accent1"/>
          <w:sz w:val="24"/>
        </w:rPr>
        <w:t>7</w:t>
      </w:r>
      <w:r w:rsidR="00CE077C" w:rsidRPr="00835E4E">
        <w:rPr>
          <w:rFonts w:ascii="Times New Roman" w:hAnsi="Times New Roman"/>
          <w:i w:val="0"/>
          <w:color w:val="5B9BD5" w:themeColor="accent1"/>
          <w:sz w:val="24"/>
        </w:rPr>
        <w:t xml:space="preserve">. </w:t>
      </w:r>
      <w:r w:rsidRPr="00835E4E">
        <w:rPr>
          <w:rFonts w:ascii="Times New Roman" w:hAnsi="Times New Roman"/>
          <w:i w:val="0"/>
          <w:color w:val="5B9BD5" w:themeColor="accent1"/>
          <w:sz w:val="24"/>
        </w:rPr>
        <w:t>Jednorazové a dočasné opatrenia</w:t>
      </w:r>
      <w:bookmarkEnd w:id="73"/>
      <w:bookmarkEnd w:id="74"/>
      <w:r w:rsidRPr="00835E4E">
        <w:rPr>
          <w:rFonts w:ascii="Times New Roman" w:hAnsi="Times New Roman"/>
          <w:i w:val="0"/>
          <w:color w:val="5B9BD5" w:themeColor="accent1"/>
          <w:sz w:val="24"/>
        </w:rPr>
        <w:t xml:space="preserve"> </w:t>
      </w:r>
    </w:p>
    <w:p w:rsidR="000C265D" w:rsidRPr="005F6E4D" w:rsidRDefault="000C265D" w:rsidP="000C265D">
      <w:pPr>
        <w:spacing w:after="0" w:line="240" w:lineRule="auto"/>
        <w:contextualSpacing/>
        <w:jc w:val="both"/>
        <w:rPr>
          <w:rFonts w:ascii="Times New Roman" w:hAnsi="Times New Roman" w:cs="Times New Roman"/>
          <w:sz w:val="24"/>
          <w:szCs w:val="24"/>
        </w:rPr>
      </w:pPr>
    </w:p>
    <w:p w:rsidR="00EE76B1" w:rsidRPr="00EE76B1" w:rsidRDefault="00EE76B1" w:rsidP="00EE76B1">
      <w:pPr>
        <w:spacing w:after="0" w:line="240" w:lineRule="auto"/>
        <w:contextualSpacing/>
        <w:jc w:val="both"/>
        <w:rPr>
          <w:rFonts w:ascii="Times New Roman" w:hAnsi="Times New Roman" w:cs="Times New Roman"/>
          <w:sz w:val="24"/>
          <w:szCs w:val="24"/>
        </w:rPr>
      </w:pPr>
      <w:r w:rsidRPr="00EE76B1">
        <w:rPr>
          <w:rFonts w:ascii="Times New Roman" w:hAnsi="Times New Roman" w:cs="Times New Roman"/>
          <w:sz w:val="24"/>
          <w:szCs w:val="24"/>
        </w:rPr>
        <w:t>Na základe zákona o rozpočtových pravidlách verejnej správy sa jednorazovým vplyvom rozumie príjem alebo výdavok, ktorý nemá trvalý alebo opakujúci sa charakter a má časovo obmedzený vplyv na saldo rozpočtu verejnej správy</w:t>
      </w:r>
      <w:r w:rsidR="00955E1D">
        <w:rPr>
          <w:rFonts w:ascii="Times New Roman" w:hAnsi="Times New Roman" w:cs="Times New Roman"/>
          <w:sz w:val="24"/>
          <w:szCs w:val="24"/>
        </w:rPr>
        <w:t>. Ministerstvo financií</w:t>
      </w:r>
      <w:r w:rsidRPr="00EE76B1">
        <w:rPr>
          <w:rFonts w:ascii="Times New Roman" w:hAnsi="Times New Roman" w:cs="Times New Roman"/>
          <w:sz w:val="24"/>
          <w:szCs w:val="24"/>
        </w:rPr>
        <w:t xml:space="preserve"> SR vychádza z metodiky Paktu stability a rastu</w:t>
      </w:r>
      <w:r w:rsidRPr="00EE76B1">
        <w:rPr>
          <w:rFonts w:ascii="Times New Roman" w:hAnsi="Times New Roman" w:cs="Times New Roman"/>
          <w:sz w:val="24"/>
          <w:szCs w:val="24"/>
          <w:vertAlign w:val="superscript"/>
        </w:rPr>
        <w:footnoteReference w:id="22"/>
      </w:r>
      <w:r w:rsidRPr="00EE76B1">
        <w:rPr>
          <w:rFonts w:ascii="Times New Roman" w:hAnsi="Times New Roman" w:cs="Times New Roman"/>
          <w:sz w:val="24"/>
          <w:szCs w:val="24"/>
        </w:rPr>
        <w:t xml:space="preserve"> upravujúcej jednorazové opatrenia. </w:t>
      </w:r>
    </w:p>
    <w:p w:rsidR="00EE76B1" w:rsidRPr="00EE76B1" w:rsidRDefault="00EE76B1" w:rsidP="00EE76B1">
      <w:pPr>
        <w:spacing w:after="0" w:line="240" w:lineRule="auto"/>
        <w:contextualSpacing/>
        <w:jc w:val="both"/>
        <w:rPr>
          <w:rFonts w:ascii="Times New Roman" w:hAnsi="Times New Roman" w:cs="Times New Roman"/>
          <w:sz w:val="24"/>
          <w:szCs w:val="24"/>
        </w:rPr>
      </w:pPr>
    </w:p>
    <w:p w:rsidR="00EE76B1" w:rsidRPr="00EE76B1" w:rsidRDefault="00EE76B1" w:rsidP="00EE76B1">
      <w:pPr>
        <w:spacing w:after="0"/>
        <w:rPr>
          <w:rFonts w:ascii="Times New Roman" w:hAnsi="Times New Roman" w:cs="Times New Roman"/>
          <w:b/>
          <w:color w:val="5B9BD5" w:themeColor="accent1"/>
          <w:sz w:val="20"/>
          <w:szCs w:val="20"/>
        </w:rPr>
      </w:pPr>
      <w:bookmarkStart w:id="75" w:name="_Toc53086348"/>
      <w:bookmarkStart w:id="76" w:name="_Toc84845244"/>
      <w:r w:rsidRPr="00EE76B1">
        <w:rPr>
          <w:rFonts w:ascii="Times New Roman" w:hAnsi="Times New Roman" w:cs="Times New Roman"/>
          <w:b/>
          <w:color w:val="5B9BD5" w:themeColor="accent1"/>
          <w:sz w:val="20"/>
          <w:szCs w:val="20"/>
        </w:rPr>
        <w:t xml:space="preserve">Tabuľka </w:t>
      </w:r>
      <w:r w:rsidRPr="00834877">
        <w:rPr>
          <w:rFonts w:ascii="Times New Roman" w:hAnsi="Times New Roman" w:cs="Times New Roman"/>
          <w:b/>
          <w:color w:val="5B9BD5" w:themeColor="accent1"/>
          <w:sz w:val="20"/>
          <w:szCs w:val="20"/>
        </w:rPr>
        <w:fldChar w:fldCharType="begin"/>
      </w:r>
      <w:r w:rsidRPr="00834877">
        <w:rPr>
          <w:rFonts w:ascii="Times New Roman" w:hAnsi="Times New Roman" w:cs="Times New Roman"/>
          <w:b/>
          <w:color w:val="5B9BD5" w:themeColor="accent1"/>
          <w:sz w:val="20"/>
          <w:szCs w:val="20"/>
        </w:rPr>
        <w:instrText xml:space="preserve"> SEQ Tabuľka \* ARABIC </w:instrText>
      </w:r>
      <w:r w:rsidRPr="00834877">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20</w:t>
      </w:r>
      <w:r w:rsidRPr="00834877">
        <w:rPr>
          <w:rFonts w:ascii="Times New Roman" w:hAnsi="Times New Roman" w:cs="Times New Roman"/>
          <w:b/>
          <w:color w:val="5B9BD5" w:themeColor="accent1"/>
          <w:sz w:val="20"/>
          <w:szCs w:val="20"/>
        </w:rPr>
        <w:fldChar w:fldCharType="end"/>
      </w:r>
      <w:r w:rsidRPr="00EE76B1">
        <w:rPr>
          <w:rFonts w:ascii="Times New Roman" w:hAnsi="Times New Roman" w:cs="Times New Roman"/>
          <w:b/>
          <w:color w:val="5B9BD5" w:themeColor="accent1"/>
          <w:sz w:val="20"/>
          <w:szCs w:val="20"/>
        </w:rPr>
        <w:t xml:space="preserve"> - Jednorazové a dočasné opatrenia</w:t>
      </w:r>
      <w:bookmarkEnd w:id="75"/>
      <w:bookmarkEnd w:id="76"/>
    </w:p>
    <w:tbl>
      <w:tblPr>
        <w:tblW w:w="9102" w:type="dxa"/>
        <w:tblCellMar>
          <w:left w:w="70" w:type="dxa"/>
          <w:right w:w="70" w:type="dxa"/>
        </w:tblCellMar>
        <w:tblLook w:val="04A0" w:firstRow="1" w:lastRow="0" w:firstColumn="1" w:lastColumn="0" w:noHBand="0" w:noVBand="1"/>
      </w:tblPr>
      <w:tblGrid>
        <w:gridCol w:w="4473"/>
        <w:gridCol w:w="1029"/>
        <w:gridCol w:w="900"/>
        <w:gridCol w:w="900"/>
        <w:gridCol w:w="900"/>
        <w:gridCol w:w="900"/>
      </w:tblGrid>
      <w:tr w:rsidR="00EE76B1" w:rsidRPr="00834877" w:rsidTr="00B932F5">
        <w:trPr>
          <w:trHeight w:val="301"/>
        </w:trPr>
        <w:tc>
          <w:tcPr>
            <w:tcW w:w="4473" w:type="dxa"/>
            <w:tcBorders>
              <w:top w:val="single" w:sz="4" w:space="0" w:color="000000" w:themeColor="text1"/>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 (ESA 2010, v mil. eur)</w:t>
            </w:r>
          </w:p>
        </w:tc>
        <w:tc>
          <w:tcPr>
            <w:tcW w:w="1029" w:type="dxa"/>
            <w:tcBorders>
              <w:top w:val="single" w:sz="4" w:space="0" w:color="000000" w:themeColor="text1"/>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2020</w:t>
            </w:r>
          </w:p>
        </w:tc>
        <w:tc>
          <w:tcPr>
            <w:tcW w:w="900" w:type="dxa"/>
            <w:tcBorders>
              <w:top w:val="single" w:sz="4" w:space="0" w:color="000000" w:themeColor="text1"/>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2021</w:t>
            </w:r>
          </w:p>
        </w:tc>
        <w:tc>
          <w:tcPr>
            <w:tcW w:w="900" w:type="dxa"/>
            <w:tcBorders>
              <w:top w:val="single" w:sz="4" w:space="0" w:color="000000" w:themeColor="text1"/>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2022</w:t>
            </w:r>
          </w:p>
        </w:tc>
        <w:tc>
          <w:tcPr>
            <w:tcW w:w="900" w:type="dxa"/>
            <w:tcBorders>
              <w:top w:val="single" w:sz="4" w:space="0" w:color="000000" w:themeColor="text1"/>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2023</w:t>
            </w:r>
          </w:p>
        </w:tc>
        <w:tc>
          <w:tcPr>
            <w:tcW w:w="900" w:type="dxa"/>
            <w:tcBorders>
              <w:top w:val="single" w:sz="4" w:space="0" w:color="000000" w:themeColor="text1"/>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2024</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Spolu opatrenia 1 až 4B (Kurzarbeit)</w:t>
            </w:r>
          </w:p>
        </w:tc>
        <w:tc>
          <w:tcPr>
            <w:tcW w:w="1029" w:type="dxa"/>
            <w:tcBorders>
              <w:top w:val="single" w:sz="8" w:space="0" w:color="auto"/>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-773</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-14</w:t>
            </w:r>
            <w:r w:rsidR="00C23EDD">
              <w:rPr>
                <w:rFonts w:ascii="Times New Roman" w:eastAsia="Times New Roman" w:hAnsi="Times New Roman" w:cs="Times New Roman"/>
                <w:color w:val="000000"/>
                <w:sz w:val="16"/>
                <w:szCs w:val="16"/>
                <w:lang w:eastAsia="sk-SK"/>
              </w:rPr>
              <w:t>64</w:t>
            </w:r>
          </w:p>
        </w:tc>
        <w:tc>
          <w:tcPr>
            <w:tcW w:w="900" w:type="dxa"/>
            <w:tcBorders>
              <w:top w:val="single" w:sz="8" w:space="0" w:color="auto"/>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-330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 xml:space="preserve">Kurzarbeit pre materské školy </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-59</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r w:rsidR="00C23EDD">
              <w:rPr>
                <w:rFonts w:ascii="Times New Roman" w:eastAsia="Times New Roman" w:hAnsi="Times New Roman" w:cs="Times New Roman"/>
                <w:color w:val="000000"/>
                <w:sz w:val="16"/>
                <w:szCs w:val="16"/>
                <w:lang w:eastAsia="sk-SK"/>
              </w:rPr>
              <w:t>24</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Podpora podnikania v cestovnom ruchu a gastro</w:t>
            </w:r>
          </w:p>
        </w:tc>
        <w:tc>
          <w:tcPr>
            <w:tcW w:w="1029"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-6</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-228</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Podpora podnikania v oblasti kultúry a kreatívneho priemyslu</w:t>
            </w:r>
          </w:p>
        </w:tc>
        <w:tc>
          <w:tcPr>
            <w:tcW w:w="1029"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-35</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Preplácanie nájmu</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-40</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-95</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 xml:space="preserve">Podpora uchádzačov o zamestnanie </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-49</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 xml:space="preserve">SOS príspevok </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-15</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-78</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-45</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Rodičovský príspevok (predĺženie počas obdobia mimoriadneho stavu)</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-13</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-56</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-50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Dávka v nezamestnanosti (predĺženie obdobia poberania)</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-32</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Jednorazový príspevok na dieťa</w:t>
            </w:r>
          </w:p>
        </w:tc>
        <w:tc>
          <w:tcPr>
            <w:tcW w:w="1029"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-75</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Nemocenské (PN) - dávky vyplatené nad úrovňou roka 2019 (indexované)</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-106</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-191</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-27</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Ošetrovné (OČR) - dávky vyplatené nad úrovňou roka 2019 (indexované)</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-133</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-68</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-23</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Odpustenie sociálnych odvodov za apríl</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-57</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 xml:space="preserve">Odpočet firemných strát z rokov 2015-18 </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-28</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Nesplatenie časti odložených odvodov</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-3,6</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-6</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 xml:space="preserve">Nulová daň z pridanej hodnoty na respirátory FFP2/3 </w:t>
            </w:r>
          </w:p>
        </w:tc>
        <w:tc>
          <w:tcPr>
            <w:tcW w:w="1029"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Odmeny pracovníkom v zdravotníctve</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-13</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-49</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Platba doktorom špecialistom</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-138</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Zvýšené výdavky - ventilátory a iné</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-39</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Výdavky na testovanie</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-124</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-437</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Náklady</w:t>
            </w:r>
            <w:r w:rsidR="00B46D8C">
              <w:rPr>
                <w:rFonts w:ascii="Times New Roman" w:eastAsia="Times New Roman" w:hAnsi="Times New Roman" w:cs="Times New Roman"/>
                <w:color w:val="000000"/>
                <w:sz w:val="16"/>
                <w:szCs w:val="16"/>
                <w:lang w:eastAsia="sk-SK"/>
              </w:rPr>
              <w:t xml:space="preserve"> na lieky a vakci</w:t>
            </w:r>
            <w:r w:rsidRPr="00B932F5">
              <w:rPr>
                <w:rFonts w:ascii="Times New Roman" w:eastAsia="Times New Roman" w:hAnsi="Times New Roman" w:cs="Times New Roman"/>
                <w:color w:val="000000"/>
                <w:sz w:val="16"/>
                <w:szCs w:val="16"/>
                <w:lang w:eastAsia="sk-SK"/>
              </w:rPr>
              <w:t>náciu</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0</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-155</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-153</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Zariadenie a iné výdavky ZZ</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-63</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Tvorba pohotovostných zásob (mimo testov)</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-33</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Odmeny pracovníkom v prvej línii (mimo MZ)</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-64</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Tovary a služby súvisiace s COVID-19 (dezinfekcia, iné)</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-22</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sz w:val="16"/>
                <w:szCs w:val="16"/>
                <w:lang w:eastAsia="sk-SK"/>
              </w:rPr>
            </w:pPr>
            <w:r w:rsidRPr="00B932F5">
              <w:rPr>
                <w:rFonts w:ascii="Times New Roman" w:eastAsia="Times New Roman" w:hAnsi="Times New Roman" w:cs="Times New Roman"/>
                <w:sz w:val="16"/>
                <w:szCs w:val="16"/>
                <w:lang w:eastAsia="sk-SK"/>
              </w:rPr>
              <w:t>Dotačné schémy rôznym sektorom / subjektom</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-16</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-33</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Opatrenia hospodárskej mobilizácie</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-24</w:t>
            </w:r>
          </w:p>
        </w:tc>
        <w:tc>
          <w:tcPr>
            <w:tcW w:w="900"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-109</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-90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Vklad do základného imania Slovenskej záručnej a rozvojovej banky</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-50</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Vklad do základného imania Letových prevádzkových služieb</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-13</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Očkovacia prémia a sprostredkovateľský bonus</w:t>
            </w:r>
          </w:p>
        </w:tc>
        <w:tc>
          <w:tcPr>
            <w:tcW w:w="1029"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-42</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Vyvolané COVID záruky</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-25</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 xml:space="preserve">Ostatné </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-18</w:t>
            </w:r>
          </w:p>
        </w:tc>
        <w:tc>
          <w:tcPr>
            <w:tcW w:w="900" w:type="dxa"/>
            <w:tcBorders>
              <w:top w:val="nil"/>
              <w:left w:val="nil"/>
              <w:bottom w:val="nil"/>
              <w:right w:val="nil"/>
            </w:tcBorders>
            <w:shd w:val="clear" w:color="auto" w:fill="auto"/>
            <w:noWrap/>
            <w:vAlign w:val="center"/>
            <w:hideMark/>
          </w:tcPr>
          <w:p w:rsidR="00EE76B1" w:rsidRPr="00B932F5" w:rsidRDefault="00C23EDD" w:rsidP="00EE76B1">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-2</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-9</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nil"/>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Financovanie z EU zdrojov</w:t>
            </w:r>
          </w:p>
        </w:tc>
        <w:tc>
          <w:tcPr>
            <w:tcW w:w="1029" w:type="dxa"/>
            <w:tcBorders>
              <w:top w:val="nil"/>
              <w:left w:val="nil"/>
              <w:bottom w:val="nil"/>
              <w:right w:val="nil"/>
            </w:tcBorders>
            <w:shd w:val="clear" w:color="auto" w:fill="auto"/>
            <w:noWrap/>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343</w:t>
            </w:r>
          </w:p>
        </w:tc>
        <w:tc>
          <w:tcPr>
            <w:tcW w:w="900" w:type="dxa"/>
            <w:tcBorders>
              <w:top w:val="nil"/>
              <w:left w:val="nil"/>
              <w:bottom w:val="nil"/>
              <w:right w:val="nil"/>
            </w:tcBorders>
            <w:shd w:val="clear" w:color="auto" w:fill="auto"/>
            <w:vAlign w:val="center"/>
            <w:hideMark/>
          </w:tcPr>
          <w:p w:rsidR="00EE76B1" w:rsidRPr="00B932F5" w:rsidRDefault="00C23EDD" w:rsidP="00EE76B1">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14</w:t>
            </w:r>
            <w:r w:rsidR="00EE76B1" w:rsidRPr="00B932F5">
              <w:rPr>
                <w:rFonts w:ascii="Times New Roman" w:eastAsia="Times New Roman" w:hAnsi="Times New Roman" w:cs="Times New Roman"/>
                <w:color w:val="000000"/>
                <w:sz w:val="16"/>
                <w:szCs w:val="16"/>
                <w:lang w:eastAsia="sk-SK"/>
              </w:rPr>
              <w:t>8</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nil"/>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289"/>
        </w:trPr>
        <w:tc>
          <w:tcPr>
            <w:tcW w:w="4473" w:type="dxa"/>
            <w:tcBorders>
              <w:top w:val="nil"/>
              <w:left w:val="nil"/>
              <w:bottom w:val="single" w:sz="4" w:space="0" w:color="auto"/>
              <w:right w:val="nil"/>
            </w:tcBorders>
            <w:shd w:val="clear" w:color="auto" w:fill="auto"/>
            <w:vAlign w:val="center"/>
            <w:hideMark/>
          </w:tcPr>
          <w:p w:rsidR="00EE76B1" w:rsidRPr="00B932F5" w:rsidRDefault="00EE76B1" w:rsidP="00EE76B1">
            <w:pPr>
              <w:spacing w:after="0" w:line="240" w:lineRule="auto"/>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Platba DPH koncesionára stavby D4/R7</w:t>
            </w:r>
          </w:p>
        </w:tc>
        <w:tc>
          <w:tcPr>
            <w:tcW w:w="1029" w:type="dxa"/>
            <w:tcBorders>
              <w:top w:val="nil"/>
              <w:left w:val="nil"/>
              <w:bottom w:val="single" w:sz="4" w:space="0" w:color="auto"/>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71</w:t>
            </w:r>
          </w:p>
        </w:tc>
        <w:tc>
          <w:tcPr>
            <w:tcW w:w="900" w:type="dxa"/>
            <w:tcBorders>
              <w:top w:val="nil"/>
              <w:left w:val="nil"/>
              <w:bottom w:val="single" w:sz="4" w:space="0" w:color="auto"/>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130</w:t>
            </w:r>
          </w:p>
        </w:tc>
        <w:tc>
          <w:tcPr>
            <w:tcW w:w="900" w:type="dxa"/>
            <w:tcBorders>
              <w:top w:val="nil"/>
              <w:left w:val="nil"/>
              <w:bottom w:val="single" w:sz="4" w:space="0" w:color="auto"/>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single" w:sz="4" w:space="0" w:color="auto"/>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c>
          <w:tcPr>
            <w:tcW w:w="900" w:type="dxa"/>
            <w:tcBorders>
              <w:top w:val="nil"/>
              <w:left w:val="nil"/>
              <w:bottom w:val="single" w:sz="4" w:space="0" w:color="auto"/>
              <w:right w:val="nil"/>
            </w:tcBorders>
            <w:shd w:val="clear" w:color="auto" w:fill="auto"/>
            <w:vAlign w:val="center"/>
            <w:hideMark/>
          </w:tcPr>
          <w:p w:rsidR="00EE76B1" w:rsidRPr="00B932F5" w:rsidRDefault="00EE76B1" w:rsidP="00EE76B1">
            <w:pPr>
              <w:spacing w:after="0" w:line="240" w:lineRule="auto"/>
              <w:jc w:val="center"/>
              <w:rPr>
                <w:rFonts w:ascii="Times New Roman" w:eastAsia="Times New Roman" w:hAnsi="Times New Roman" w:cs="Times New Roman"/>
                <w:color w:val="000000"/>
                <w:sz w:val="16"/>
                <w:szCs w:val="16"/>
                <w:lang w:eastAsia="sk-SK"/>
              </w:rPr>
            </w:pPr>
            <w:r w:rsidRPr="00B932F5">
              <w:rPr>
                <w:rFonts w:ascii="Times New Roman" w:eastAsia="Times New Roman" w:hAnsi="Times New Roman" w:cs="Times New Roman"/>
                <w:color w:val="000000"/>
                <w:sz w:val="16"/>
                <w:szCs w:val="16"/>
                <w:lang w:eastAsia="sk-SK"/>
              </w:rPr>
              <w:t>-</w:t>
            </w:r>
          </w:p>
        </w:tc>
      </w:tr>
      <w:tr w:rsidR="00EE76B1" w:rsidRPr="00834877" w:rsidTr="00EE76B1">
        <w:trPr>
          <w:trHeight w:val="301"/>
        </w:trPr>
        <w:tc>
          <w:tcPr>
            <w:tcW w:w="4473" w:type="dxa"/>
            <w:tcBorders>
              <w:top w:val="nil"/>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 xml:space="preserve">Spolu  </w:t>
            </w:r>
          </w:p>
        </w:tc>
        <w:tc>
          <w:tcPr>
            <w:tcW w:w="1029" w:type="dxa"/>
            <w:tcBorders>
              <w:top w:val="nil"/>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-1543</w:t>
            </w:r>
          </w:p>
        </w:tc>
        <w:tc>
          <w:tcPr>
            <w:tcW w:w="900" w:type="dxa"/>
            <w:tcBorders>
              <w:top w:val="nil"/>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-2913</w:t>
            </w:r>
          </w:p>
        </w:tc>
        <w:tc>
          <w:tcPr>
            <w:tcW w:w="900" w:type="dxa"/>
            <w:tcBorders>
              <w:top w:val="nil"/>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-767</w:t>
            </w:r>
          </w:p>
        </w:tc>
        <w:tc>
          <w:tcPr>
            <w:tcW w:w="900" w:type="dxa"/>
            <w:tcBorders>
              <w:top w:val="nil"/>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0</w:t>
            </w:r>
          </w:p>
        </w:tc>
        <w:tc>
          <w:tcPr>
            <w:tcW w:w="900" w:type="dxa"/>
            <w:tcBorders>
              <w:top w:val="nil"/>
              <w:left w:val="nil"/>
              <w:bottom w:val="single" w:sz="8" w:space="0" w:color="auto"/>
              <w:right w:val="nil"/>
            </w:tcBorders>
            <w:shd w:val="clear" w:color="auto" w:fill="auto"/>
            <w:noWrap/>
            <w:vAlign w:val="bottom"/>
            <w:hideMark/>
          </w:tcPr>
          <w:p w:rsidR="00EE76B1" w:rsidRPr="00B932F5" w:rsidRDefault="00EE76B1" w:rsidP="00EE76B1">
            <w:pPr>
              <w:spacing w:after="0" w:line="240" w:lineRule="auto"/>
              <w:jc w:val="center"/>
              <w:rPr>
                <w:rFonts w:ascii="Times New Roman" w:eastAsia="Times New Roman" w:hAnsi="Times New Roman" w:cs="Times New Roman"/>
                <w:b/>
                <w:bCs/>
                <w:color w:val="000000"/>
                <w:sz w:val="16"/>
                <w:szCs w:val="16"/>
                <w:lang w:eastAsia="sk-SK"/>
              </w:rPr>
            </w:pPr>
            <w:r w:rsidRPr="00B932F5">
              <w:rPr>
                <w:rFonts w:ascii="Times New Roman" w:eastAsia="Times New Roman" w:hAnsi="Times New Roman" w:cs="Times New Roman"/>
                <w:b/>
                <w:bCs/>
                <w:color w:val="000000"/>
                <w:sz w:val="16"/>
                <w:szCs w:val="16"/>
                <w:lang w:eastAsia="sk-SK"/>
              </w:rPr>
              <w:t>0</w:t>
            </w:r>
          </w:p>
        </w:tc>
      </w:tr>
    </w:tbl>
    <w:p w:rsidR="00EE76B1" w:rsidRPr="00834877" w:rsidRDefault="00EE76B1" w:rsidP="00EE76B1">
      <w:pPr>
        <w:spacing w:after="0" w:line="240" w:lineRule="auto"/>
        <w:jc w:val="center"/>
        <w:rPr>
          <w:rFonts w:ascii="Times New Roman" w:hAnsi="Times New Roman" w:cs="Times New Roman"/>
          <w:i/>
          <w:sz w:val="16"/>
          <w:szCs w:val="16"/>
        </w:rPr>
      </w:pPr>
      <w:r w:rsidRPr="00834877">
        <w:rPr>
          <w:rFonts w:ascii="Times New Roman" w:hAnsi="Times New Roman" w:cs="Times New Roman"/>
          <w:i/>
          <w:sz w:val="16"/>
          <w:szCs w:val="16"/>
        </w:rPr>
        <w:t xml:space="preserve"> (+) zlepšenie salda, (-) zhoršenie salda</w:t>
      </w:r>
      <w:r w:rsidRPr="00834877">
        <w:rPr>
          <w:rFonts w:ascii="Times New Roman" w:hAnsi="Times New Roman" w:cs="Times New Roman"/>
          <w:i/>
          <w:sz w:val="16"/>
          <w:szCs w:val="16"/>
        </w:rPr>
        <w:tab/>
      </w:r>
      <w:r w:rsidRPr="00834877">
        <w:rPr>
          <w:rFonts w:ascii="Times New Roman" w:hAnsi="Times New Roman" w:cs="Times New Roman"/>
          <w:i/>
          <w:sz w:val="16"/>
          <w:szCs w:val="16"/>
        </w:rPr>
        <w:tab/>
      </w:r>
      <w:r w:rsidRPr="00834877">
        <w:rPr>
          <w:rFonts w:ascii="Times New Roman" w:hAnsi="Times New Roman" w:cs="Times New Roman"/>
          <w:i/>
          <w:sz w:val="16"/>
          <w:szCs w:val="16"/>
        </w:rPr>
        <w:tab/>
      </w:r>
      <w:r w:rsidRPr="00834877">
        <w:rPr>
          <w:rFonts w:ascii="Times New Roman" w:hAnsi="Times New Roman" w:cs="Times New Roman"/>
          <w:i/>
          <w:sz w:val="16"/>
          <w:szCs w:val="16"/>
        </w:rPr>
        <w:tab/>
      </w:r>
      <w:r w:rsidRPr="00834877">
        <w:rPr>
          <w:rFonts w:ascii="Times New Roman" w:hAnsi="Times New Roman" w:cs="Times New Roman"/>
          <w:i/>
          <w:sz w:val="16"/>
          <w:szCs w:val="16"/>
        </w:rPr>
        <w:tab/>
      </w:r>
      <w:r w:rsidRPr="00834877">
        <w:rPr>
          <w:rFonts w:ascii="Times New Roman" w:hAnsi="Times New Roman" w:cs="Times New Roman"/>
          <w:i/>
          <w:sz w:val="16"/>
          <w:szCs w:val="16"/>
        </w:rPr>
        <w:tab/>
      </w:r>
      <w:r w:rsidRPr="00834877">
        <w:rPr>
          <w:rFonts w:ascii="Times New Roman" w:hAnsi="Times New Roman" w:cs="Times New Roman"/>
          <w:i/>
          <w:sz w:val="16"/>
          <w:szCs w:val="16"/>
        </w:rPr>
        <w:tab/>
        <w:t xml:space="preserve">                           Zdroj: MF SR</w:t>
      </w:r>
    </w:p>
    <w:p w:rsidR="00EE76B1" w:rsidRPr="00EE76B1" w:rsidRDefault="00EE76B1" w:rsidP="00EE76B1">
      <w:pPr>
        <w:spacing w:after="0" w:line="240" w:lineRule="auto"/>
        <w:rPr>
          <w:rFonts w:ascii="Times New Roman" w:hAnsi="Times New Roman" w:cs="Times New Roman"/>
          <w:sz w:val="24"/>
          <w:szCs w:val="24"/>
        </w:rPr>
      </w:pPr>
    </w:p>
    <w:p w:rsidR="00EE76B1" w:rsidRPr="00EE76B1" w:rsidRDefault="00EE76B1" w:rsidP="00EE76B1">
      <w:pPr>
        <w:spacing w:after="0" w:line="240" w:lineRule="auto"/>
        <w:rPr>
          <w:rFonts w:ascii="Times New Roman" w:eastAsia="Times New Roman" w:hAnsi="Times New Roman" w:cs="Times New Roman"/>
          <w:b/>
          <w:bCs/>
          <w:color w:val="5B9BD5" w:themeColor="accent1"/>
          <w:kern w:val="32"/>
          <w:sz w:val="24"/>
          <w:szCs w:val="24"/>
          <w:lang w:eastAsia="cs-CZ"/>
        </w:rPr>
      </w:pPr>
      <w:r w:rsidRPr="00EE76B1">
        <w:rPr>
          <w:rFonts w:ascii="Times New Roman" w:eastAsia="Times New Roman" w:hAnsi="Times New Roman" w:cs="Times New Roman"/>
          <w:b/>
          <w:bCs/>
          <w:color w:val="5B9BD5" w:themeColor="accent1"/>
          <w:kern w:val="32"/>
          <w:sz w:val="24"/>
          <w:szCs w:val="24"/>
          <w:lang w:eastAsia="cs-CZ"/>
        </w:rPr>
        <w:t xml:space="preserve">Jednorazové opatrenia spôsobené pandémiou </w:t>
      </w:r>
    </w:p>
    <w:p w:rsidR="00EE76B1" w:rsidRPr="00EE76B1" w:rsidRDefault="00EE76B1" w:rsidP="00EE76B1">
      <w:pPr>
        <w:spacing w:after="0" w:line="240" w:lineRule="auto"/>
        <w:contextualSpacing/>
        <w:jc w:val="both"/>
        <w:rPr>
          <w:rFonts w:ascii="Times New Roman" w:hAnsi="Times New Roman" w:cs="Times New Roman"/>
          <w:sz w:val="24"/>
          <w:szCs w:val="24"/>
        </w:rPr>
      </w:pPr>
    </w:p>
    <w:p w:rsidR="00EE76B1" w:rsidRPr="00EE76B1" w:rsidRDefault="00EE76B1" w:rsidP="00EE76B1">
      <w:pPr>
        <w:spacing w:after="0" w:line="240" w:lineRule="auto"/>
        <w:contextualSpacing/>
        <w:jc w:val="both"/>
        <w:rPr>
          <w:rFonts w:ascii="Times New Roman" w:hAnsi="Times New Roman" w:cs="Times New Roman"/>
          <w:sz w:val="24"/>
          <w:szCs w:val="24"/>
        </w:rPr>
      </w:pPr>
      <w:r w:rsidRPr="00EE76B1">
        <w:rPr>
          <w:rFonts w:ascii="Times New Roman" w:hAnsi="Times New Roman" w:cs="Times New Roman"/>
          <w:sz w:val="24"/>
          <w:szCs w:val="24"/>
        </w:rPr>
        <w:t xml:space="preserve">V roku 2020 a 2021 boli identifikované nasledujúce opatrenia v oblasti príjmov a výdavkov súvisiacich s pandémiou ochorenia COVID-19. Vzhľadom na to, že opatrenia tvoria spolu jednu kategóriu vládnej pomoci, do jednorazových opatrení sa kvalifikujú aj jednotlivé opatrenia s vplyvom na saldo pod 0,05 % HDP. </w:t>
      </w:r>
    </w:p>
    <w:p w:rsidR="00EE76B1" w:rsidRPr="00EE76B1" w:rsidRDefault="00EE76B1" w:rsidP="00EE76B1">
      <w:pPr>
        <w:spacing w:after="0" w:line="240" w:lineRule="auto"/>
        <w:contextualSpacing/>
        <w:jc w:val="both"/>
        <w:rPr>
          <w:rFonts w:ascii="Times New Roman" w:hAnsi="Times New Roman" w:cs="Times New Roman"/>
          <w:sz w:val="24"/>
          <w:szCs w:val="24"/>
        </w:rPr>
      </w:pP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Úhrada práceneschopným zamestnancom v karanténe alebo domácej izolácii, resp. zamestnancom starajúcich sa o člena domácnosti vo výške 55 % ich hrubej mzdy. Pre nemocenské sa zaviedla možnosť čerpania kvôli karanténe alebo domácej izolácii. Štát dočasne prepláca nemocenské od prvého dňa  vo výške 55 % predošlého príjmu. Pracujúci rodič s dieťaťom vo veku do 11 rokov môže čerpať ošetrovné počas celého obdobia zavretých škôl a škôlok. Na ošetrovné majú nárok aj rodičia chorých detí či detí v karanténe. Pri poberaní dávok zároveň poklesnú príjmy verejných financií z dane z príjmov fyzických osôb a odvodov. Počas apríla a mája 2021 došlo k navýšeniu miery náhrady na 75 % hrubej mzdy pri oboch dávkach.</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Ostatné opatrenia sociálnej pomoci: 1. Predlžovanie vyplácania dávky v nezamestnanosti aj po uplynutí maximálnej doby poberania. Prvé kolo prebehlo medzi marcom a augustom 2020, druhé prebehlo medzi marcom a májom 2021. 2. Predlžovanie nároku na rodičovský príspevok aj po dovŕšení 3 rokov dieťaťa. 3. SOS príspevok ako pomoc pre všetkých tých, ktorí sa nedostali k inej finančnej pomoci. Cieľová skupina sú napríklad zamestnanci pracujúci na dohodu. 4. Jednorazové zvýšenie prídavku na dieťa vo výške 333 eur pre rodiny s deťmi v hmotnej núdzi. Rodičia ostatných nezaopatrených detí dostanú jednorazové zvýšenie prídavku vo výške 100 eur.</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Príspevok na udržanie zamestnanosti pre podniky zasiahnuté krízou.  Zamestnávateľom, ktorí udržia pracovné miesta počas núdzového stavu sa preplácal časť hrubej mzdy zamestnanca.</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Príspevok na udržanie zamestnanosti pre zatvorené prevádzky. Kompenzácie sa uzatvorené prevádzky z  epidemiologického dôvodu.</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Podpora pre jednoosobové spoločnosti a nízkopríjmové samostatne zárobkové osoby, ktoré nemajú príjem z podnikania,  dosiahne výšku 210 eur.  </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Ostatné opatrenia na podporu udržania zamestnanosti: 1. Sektorové schémy sa zamerali na udržanie zamestnanosti v materských a základných umeleckých školách. Pomoc bola pre nich určená ak počas núdzového stavu udržali pracovné miesta. 2. Podpora podnikania bola poskytnutá v cestovnom ruchu, podnikateľom v gastronómii, v oblasti kultúry a kreatívneho priemyslu. Pomoc v cestovnom ruchu je určená na kompenzáciu škôd žiadateľov, ktoré sú dôsledkom opatrení prijatých na zmiernenie negatívnych následkov pandémie. Cieľom podpory kultúry a kreatívneho priemyslu bolo poskytnúť dotáciu na nepokryté fixné náklady 3. Schéma preplácania nájmov podnikom bola určená pre podniky, ktoré uhrádzali nájomné za prevádzku počas obdobia sťaženého užívania.</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 xml:space="preserve">Úplné odpustenie sociálnych odvodov zamestnávateľov a živnostníkov pre zatvorené prevádzky za mesiac apríl. Opatrenie sa dá uplatniť v prípade, ak bola prevádzka zavretá najmenej 15 dní. Vláda má možnosť opatrenie predĺžiť nariadením aj na ďalšie mesiace. </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 xml:space="preserve">Nulová sadzba dane z pridanej hodnoty na respirátory FFP2/3 sa uplatňuje v období od 12. februára do 30. júna 2021. </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 xml:space="preserve">Ostatné opatrenia: 1. Započítanie doteraz neuplatnenej daňovej straty za roky 2015 až 2018 v daňovom priznaní za rok 2019, 2. Prerušenie daňových kontrol a daňových konaní na žiadosť daňového subjektu, 3. Posun lehoty na podanie daňového priznania dani z motorových vozidiel (za hospodársky rok 2019). 4. Predĺženie poberania dávky v nezamestnanosti. </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hAnsi="Times New Roman" w:cs="Times New Roman"/>
          <w:sz w:val="24"/>
          <w:szCs w:val="24"/>
        </w:rPr>
        <w:t>Zvýšené výdavky zdravotníctva a iných sektorov na boj proti ochoreniu COVID-19. Ide o nákupy zdravotníckych pomôcok a materiálu, či extra výdavky na ľudský kapitál súvisiacich so zdravotníckymi zariadeniami ako aj ostatnými inštitúciami verejnej správy. Patria tu najmä náklady na testovanie, vakcináciu, platby doktorom špecialistom a iné.</w:t>
      </w:r>
    </w:p>
    <w:p w:rsidR="00EE76B1" w:rsidRPr="00955E1D" w:rsidRDefault="00EE76B1" w:rsidP="00A44B10">
      <w:pPr>
        <w:numPr>
          <w:ilvl w:val="0"/>
          <w:numId w:val="15"/>
        </w:numPr>
        <w:spacing w:after="0" w:line="240" w:lineRule="auto"/>
        <w:contextualSpacing/>
        <w:jc w:val="both"/>
        <w:rPr>
          <w:rFonts w:ascii="Times New Roman" w:eastAsia="Times New Roman" w:hAnsi="Times New Roman" w:cs="Times New Roman"/>
          <w:sz w:val="24"/>
          <w:szCs w:val="24"/>
          <w:lang w:eastAsia="cs-CZ"/>
        </w:rPr>
      </w:pPr>
      <w:r w:rsidRPr="00955E1D">
        <w:rPr>
          <w:rFonts w:ascii="Times New Roman" w:eastAsia="Times New Roman" w:hAnsi="Times New Roman" w:cs="Times New Roman"/>
          <w:sz w:val="24"/>
          <w:szCs w:val="24"/>
          <w:lang w:eastAsia="cs-CZ"/>
        </w:rPr>
        <w:t>Vyvolané COVID záruky. Ide o náklady zo zlyhaných úverov poskytovaných zo zárukou štátu.</w:t>
      </w:r>
    </w:p>
    <w:p w:rsidR="00EE76B1" w:rsidRPr="00577D3F" w:rsidRDefault="00EE76B1" w:rsidP="00EE76B1">
      <w:pPr>
        <w:spacing w:after="0" w:line="240" w:lineRule="auto"/>
        <w:ind w:right="74"/>
        <w:jc w:val="both"/>
        <w:rPr>
          <w:rFonts w:ascii="Times New Roman" w:hAnsi="Times New Roman" w:cs="Times New Roman"/>
          <w:sz w:val="24"/>
        </w:rPr>
      </w:pPr>
    </w:p>
    <w:p w:rsidR="00EE76B1" w:rsidRPr="00EE76B1" w:rsidRDefault="00EE76B1" w:rsidP="00EE76B1">
      <w:pPr>
        <w:spacing w:after="0" w:line="240" w:lineRule="auto"/>
        <w:rPr>
          <w:rFonts w:ascii="Times New Roman" w:eastAsia="Times New Roman" w:hAnsi="Times New Roman" w:cs="Times New Roman"/>
          <w:b/>
          <w:bCs/>
          <w:color w:val="5B9BD5" w:themeColor="accent1"/>
          <w:kern w:val="32"/>
          <w:sz w:val="24"/>
          <w:szCs w:val="24"/>
          <w:lang w:eastAsia="cs-CZ"/>
        </w:rPr>
      </w:pPr>
      <w:r w:rsidRPr="00EE76B1">
        <w:rPr>
          <w:rFonts w:ascii="Times New Roman" w:eastAsia="Times New Roman" w:hAnsi="Times New Roman" w:cs="Times New Roman"/>
          <w:b/>
          <w:bCs/>
          <w:color w:val="5B9BD5" w:themeColor="accent1"/>
          <w:kern w:val="32"/>
          <w:sz w:val="24"/>
          <w:szCs w:val="24"/>
          <w:lang w:eastAsia="cs-CZ"/>
        </w:rPr>
        <w:t xml:space="preserve">Jednorazové opatrenia nesúvisiace s pandémiou </w:t>
      </w:r>
    </w:p>
    <w:p w:rsidR="00EE76B1" w:rsidRPr="00EE76B1" w:rsidRDefault="00EE76B1" w:rsidP="00EE76B1">
      <w:pPr>
        <w:spacing w:after="0" w:line="240" w:lineRule="auto"/>
        <w:rPr>
          <w:rFonts w:ascii="Times New Roman" w:eastAsia="Times New Roman" w:hAnsi="Times New Roman" w:cs="Times New Roman"/>
          <w:b/>
          <w:bCs/>
          <w:color w:val="5B9BD5" w:themeColor="accent1"/>
          <w:kern w:val="32"/>
          <w:sz w:val="24"/>
          <w:szCs w:val="24"/>
          <w:lang w:eastAsia="cs-CZ"/>
        </w:rPr>
      </w:pPr>
    </w:p>
    <w:p w:rsidR="00EE76B1" w:rsidRPr="00EE76B1" w:rsidRDefault="00EE76B1" w:rsidP="00A44B10">
      <w:pPr>
        <w:numPr>
          <w:ilvl w:val="0"/>
          <w:numId w:val="14"/>
        </w:numPr>
        <w:spacing w:after="0" w:line="240" w:lineRule="auto"/>
        <w:ind w:right="74"/>
        <w:contextualSpacing/>
        <w:jc w:val="both"/>
        <w:rPr>
          <w:rFonts w:ascii="Times New Roman" w:hAnsi="Times New Roman" w:cs="Times New Roman"/>
          <w:sz w:val="24"/>
          <w:szCs w:val="24"/>
        </w:rPr>
      </w:pPr>
      <w:r w:rsidRPr="00955E1D">
        <w:rPr>
          <w:rFonts w:ascii="Times New Roman" w:hAnsi="Times New Roman" w:cs="Times New Roman"/>
          <w:sz w:val="24"/>
          <w:szCs w:val="24"/>
        </w:rPr>
        <w:t>Platba DPH štátu koncesionárom stavby D4/R7 za rok 2020 a 2021.</w:t>
      </w:r>
      <w:r w:rsidRPr="00EE76B1">
        <w:rPr>
          <w:rFonts w:ascii="Times New Roman" w:hAnsi="Times New Roman" w:cs="Times New Roman"/>
          <w:sz w:val="24"/>
          <w:szCs w:val="24"/>
        </w:rPr>
        <w:t xml:space="preserve"> Táto operácia nemá vplyv na hotovostný štátny rozpočet. Z hľadiska metodiky ESA 2010 je transakcia imputovaná ako pohľadávka</w:t>
      </w:r>
      <w:r w:rsidR="00B46D8C">
        <w:rPr>
          <w:rFonts w:ascii="Times New Roman" w:hAnsi="Times New Roman" w:cs="Times New Roman"/>
          <w:sz w:val="24"/>
          <w:szCs w:val="24"/>
        </w:rPr>
        <w:t xml:space="preserve"> v roku 2020 a zároveň sú alikvotné</w:t>
      </w:r>
      <w:r w:rsidRPr="00EE76B1">
        <w:rPr>
          <w:rFonts w:ascii="Times New Roman" w:hAnsi="Times New Roman" w:cs="Times New Roman"/>
          <w:sz w:val="24"/>
          <w:szCs w:val="24"/>
        </w:rPr>
        <w:t xml:space="preserve"> časti úhrady s negatívnym vplyvom rozrátané do budúcich rokov. Toto opatrenie má vplyv aj na rok 2021, nakoľko časť úseku sa odovzdá aj budúci rok.</w:t>
      </w:r>
    </w:p>
    <w:p w:rsidR="00EE76B1" w:rsidRPr="00EE76B1" w:rsidRDefault="00EE76B1" w:rsidP="00EE76B1"/>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BB06EC" w:rsidRDefault="00BB06EC" w:rsidP="000C41B0">
      <w:pPr>
        <w:spacing w:after="0" w:line="240" w:lineRule="auto"/>
        <w:jc w:val="both"/>
        <w:rPr>
          <w:rFonts w:ascii="Times New Roman" w:hAnsi="Times New Roman" w:cs="Times New Roman"/>
          <w:sz w:val="24"/>
          <w:szCs w:val="24"/>
          <w:lang w:eastAsia="cs-CZ"/>
        </w:rPr>
      </w:pPr>
    </w:p>
    <w:p w:rsidR="00214A4A" w:rsidRDefault="00214A4A" w:rsidP="000C41B0">
      <w:pPr>
        <w:spacing w:after="0" w:line="240" w:lineRule="auto"/>
        <w:jc w:val="both"/>
        <w:rPr>
          <w:rFonts w:ascii="Times New Roman" w:hAnsi="Times New Roman" w:cs="Times New Roman"/>
          <w:sz w:val="24"/>
          <w:szCs w:val="24"/>
          <w:lang w:eastAsia="cs-CZ"/>
        </w:rPr>
      </w:pPr>
    </w:p>
    <w:p w:rsidR="00214A4A" w:rsidRDefault="00214A4A" w:rsidP="000C41B0">
      <w:pPr>
        <w:spacing w:after="0" w:line="240" w:lineRule="auto"/>
        <w:jc w:val="both"/>
        <w:rPr>
          <w:rFonts w:ascii="Times New Roman" w:hAnsi="Times New Roman" w:cs="Times New Roman"/>
          <w:sz w:val="24"/>
          <w:szCs w:val="24"/>
          <w:lang w:eastAsia="cs-CZ"/>
        </w:rPr>
      </w:pPr>
    </w:p>
    <w:p w:rsidR="00214A4A" w:rsidRDefault="00214A4A"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B932F5" w:rsidRDefault="00B932F5" w:rsidP="000C41B0">
      <w:pPr>
        <w:spacing w:after="0" w:line="240" w:lineRule="auto"/>
        <w:jc w:val="both"/>
        <w:rPr>
          <w:rFonts w:ascii="Times New Roman" w:hAnsi="Times New Roman" w:cs="Times New Roman"/>
          <w:sz w:val="24"/>
          <w:szCs w:val="24"/>
          <w:lang w:eastAsia="cs-CZ"/>
        </w:rPr>
      </w:pPr>
    </w:p>
    <w:p w:rsidR="00F54D87" w:rsidRDefault="00F54D87" w:rsidP="000C41B0">
      <w:pPr>
        <w:spacing w:after="0" w:line="240" w:lineRule="auto"/>
        <w:jc w:val="both"/>
        <w:rPr>
          <w:rFonts w:ascii="Times New Roman" w:hAnsi="Times New Roman" w:cs="Times New Roman"/>
          <w:sz w:val="24"/>
          <w:szCs w:val="24"/>
          <w:lang w:eastAsia="cs-CZ"/>
        </w:rPr>
      </w:pPr>
    </w:p>
    <w:p w:rsidR="00F54D87" w:rsidRDefault="00F54D87" w:rsidP="000C41B0">
      <w:pPr>
        <w:spacing w:after="0" w:line="240" w:lineRule="auto"/>
        <w:jc w:val="both"/>
        <w:rPr>
          <w:rFonts w:ascii="Times New Roman" w:hAnsi="Times New Roman" w:cs="Times New Roman"/>
          <w:sz w:val="24"/>
          <w:szCs w:val="24"/>
          <w:lang w:eastAsia="cs-CZ"/>
        </w:rPr>
      </w:pPr>
    </w:p>
    <w:p w:rsidR="00955E1D" w:rsidRDefault="00955E1D" w:rsidP="000C41B0">
      <w:pPr>
        <w:spacing w:after="0" w:line="240" w:lineRule="auto"/>
        <w:jc w:val="both"/>
        <w:rPr>
          <w:rFonts w:ascii="Times New Roman" w:hAnsi="Times New Roman" w:cs="Times New Roman"/>
          <w:sz w:val="24"/>
          <w:szCs w:val="24"/>
          <w:lang w:eastAsia="cs-CZ"/>
        </w:rPr>
      </w:pPr>
    </w:p>
    <w:p w:rsidR="00577D3F" w:rsidRDefault="00577D3F" w:rsidP="000C41B0">
      <w:pPr>
        <w:spacing w:after="0" w:line="240" w:lineRule="auto"/>
        <w:jc w:val="both"/>
        <w:rPr>
          <w:rFonts w:ascii="Times New Roman" w:hAnsi="Times New Roman" w:cs="Times New Roman"/>
          <w:sz w:val="24"/>
          <w:szCs w:val="24"/>
          <w:lang w:eastAsia="cs-CZ"/>
        </w:rPr>
      </w:pPr>
    </w:p>
    <w:p w:rsidR="00577D3F" w:rsidRDefault="00577D3F" w:rsidP="000C41B0">
      <w:pPr>
        <w:spacing w:after="0" w:line="240" w:lineRule="auto"/>
        <w:jc w:val="both"/>
        <w:rPr>
          <w:rFonts w:ascii="Times New Roman" w:hAnsi="Times New Roman" w:cs="Times New Roman"/>
          <w:sz w:val="24"/>
          <w:szCs w:val="24"/>
          <w:lang w:eastAsia="cs-CZ"/>
        </w:rPr>
      </w:pPr>
    </w:p>
    <w:p w:rsidR="00577D3F" w:rsidRDefault="00577D3F" w:rsidP="000C41B0">
      <w:pPr>
        <w:spacing w:after="0" w:line="240" w:lineRule="auto"/>
        <w:jc w:val="both"/>
        <w:rPr>
          <w:rFonts w:ascii="Times New Roman" w:hAnsi="Times New Roman" w:cs="Times New Roman"/>
          <w:sz w:val="24"/>
          <w:szCs w:val="24"/>
          <w:lang w:eastAsia="cs-CZ"/>
        </w:rPr>
      </w:pPr>
    </w:p>
    <w:p w:rsidR="002F16B8" w:rsidRDefault="001E2730" w:rsidP="00577D3F">
      <w:pPr>
        <w:pStyle w:val="Nadpis1"/>
        <w:spacing w:before="0"/>
        <w:rPr>
          <w:rFonts w:ascii="Times New Roman" w:hAnsi="Times New Roman" w:cs="Times New Roman"/>
          <w:b/>
          <w:color w:val="5B9BD5" w:themeColor="accent1"/>
          <w:sz w:val="28"/>
        </w:rPr>
      </w:pPr>
      <w:bookmarkStart w:id="77" w:name="_Toc84684751"/>
      <w:r>
        <w:rPr>
          <w:rFonts w:ascii="Times New Roman" w:hAnsi="Times New Roman" w:cs="Times New Roman"/>
          <w:b/>
          <w:color w:val="5B9BD5" w:themeColor="accent1"/>
          <w:sz w:val="28"/>
        </w:rPr>
        <w:t xml:space="preserve">3. </w:t>
      </w:r>
      <w:r w:rsidR="00A809E7" w:rsidRPr="00A809E7">
        <w:rPr>
          <w:rFonts w:ascii="Times New Roman" w:hAnsi="Times New Roman" w:cs="Times New Roman"/>
          <w:b/>
          <w:color w:val="5B9BD5" w:themeColor="accent1"/>
          <w:sz w:val="28"/>
        </w:rPr>
        <w:t>Rozpočtovanie príjmov verejnej správy</w:t>
      </w:r>
      <w:bookmarkEnd w:id="77"/>
    </w:p>
    <w:p w:rsidR="00577D3F" w:rsidRPr="00577D3F" w:rsidRDefault="00577D3F" w:rsidP="00577D3F">
      <w:pPr>
        <w:spacing w:after="0"/>
      </w:pPr>
    </w:p>
    <w:p w:rsidR="00A809E7" w:rsidRPr="00202F66" w:rsidRDefault="00A809E7" w:rsidP="00577D3F">
      <w:pPr>
        <w:pStyle w:val="Nadpis2"/>
        <w:spacing w:before="0" w:after="0"/>
        <w:ind w:left="567" w:hanging="567"/>
        <w:jc w:val="both"/>
        <w:rPr>
          <w:rFonts w:ascii="Times New Roman" w:hAnsi="Times New Roman"/>
          <w:i w:val="0"/>
          <w:iCs w:val="0"/>
          <w:color w:val="5B9BD5" w:themeColor="accent1"/>
          <w:sz w:val="24"/>
          <w:szCs w:val="24"/>
        </w:rPr>
      </w:pPr>
      <w:bookmarkStart w:id="78" w:name="_Toc525822944"/>
      <w:bookmarkStart w:id="79" w:name="_Toc84684752"/>
      <w:r w:rsidRPr="00202F66">
        <w:rPr>
          <w:rFonts w:ascii="Times New Roman" w:hAnsi="Times New Roman"/>
          <w:i w:val="0"/>
          <w:iCs w:val="0"/>
          <w:color w:val="5B9BD5" w:themeColor="accent1"/>
          <w:sz w:val="24"/>
          <w:szCs w:val="24"/>
        </w:rPr>
        <w:t>3.1. Rozpočtovanie daňových a odvodových príjmov verejnej správy</w:t>
      </w:r>
      <w:bookmarkEnd w:id="78"/>
      <w:bookmarkEnd w:id="79"/>
      <w:r w:rsidRPr="00202F66">
        <w:rPr>
          <w:rFonts w:ascii="Times New Roman" w:hAnsi="Times New Roman"/>
          <w:i w:val="0"/>
          <w:iCs w:val="0"/>
          <w:color w:val="5B9BD5" w:themeColor="accent1"/>
          <w:sz w:val="24"/>
          <w:szCs w:val="24"/>
        </w:rPr>
        <w:t xml:space="preserve"> </w:t>
      </w:r>
    </w:p>
    <w:p w:rsidR="00A809E7" w:rsidRPr="00832298" w:rsidRDefault="00A809E7" w:rsidP="00A809E7">
      <w:pPr>
        <w:spacing w:after="0"/>
        <w:ind w:firstLine="708"/>
        <w:jc w:val="both"/>
        <w:rPr>
          <w:rFonts w:ascii="Times New Roman" w:hAnsi="Times New Roman" w:cs="Times New Roman"/>
          <w:sz w:val="24"/>
        </w:rPr>
      </w:pPr>
    </w:p>
    <w:p w:rsidR="00BA211E" w:rsidRP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Makroekonomické predpoklady uvedené v predchádzajúcej časti tohto dokumentu boli základom pre vypracovanie aktuálnych prognóz daňových príjmov verejnej správy na roky 2022 až 2024. Aktuálna prognóza bola podrobená nezávislému hodnoteniu v rámci Výboru pre daňové prognózy dňa 23.</w:t>
      </w:r>
      <w:r w:rsidR="003C6A95">
        <w:rPr>
          <w:rFonts w:ascii="Times New Roman" w:eastAsia="Calibri" w:hAnsi="Times New Roman" w:cs="Times New Roman"/>
          <w:sz w:val="24"/>
        </w:rPr>
        <w:t xml:space="preserve"> </w:t>
      </w:r>
      <w:r w:rsidRPr="00BA211E">
        <w:rPr>
          <w:rFonts w:ascii="Times New Roman" w:eastAsia="Calibri" w:hAnsi="Times New Roman" w:cs="Times New Roman"/>
          <w:sz w:val="24"/>
        </w:rPr>
        <w:t>9.</w:t>
      </w:r>
      <w:r w:rsidR="003C6A95">
        <w:rPr>
          <w:rFonts w:ascii="Times New Roman" w:eastAsia="Calibri" w:hAnsi="Times New Roman" w:cs="Times New Roman"/>
          <w:sz w:val="24"/>
        </w:rPr>
        <w:t xml:space="preserve"> </w:t>
      </w:r>
      <w:r w:rsidRPr="00BA211E">
        <w:rPr>
          <w:rFonts w:ascii="Times New Roman" w:eastAsia="Calibri" w:hAnsi="Times New Roman" w:cs="Times New Roman"/>
          <w:sz w:val="24"/>
        </w:rPr>
        <w:t>2021. Výsledkom je celkové hodnotenie charakteru prognózy MF SR na základe stanoveného kritéria</w:t>
      </w:r>
      <w:r w:rsidRPr="008D2AF5">
        <w:rPr>
          <w:rFonts w:ascii="Times New Roman" w:eastAsia="Calibri" w:hAnsi="Times New Roman" w:cs="Times New Roman"/>
          <w:sz w:val="24"/>
          <w:vertAlign w:val="superscript"/>
        </w:rPr>
        <w:footnoteReference w:id="23"/>
      </w:r>
      <w:r w:rsidRPr="00BA211E">
        <w:rPr>
          <w:rFonts w:ascii="Times New Roman" w:eastAsia="Calibri" w:hAnsi="Times New Roman" w:cs="Times New Roman"/>
          <w:sz w:val="24"/>
        </w:rPr>
        <w:t xml:space="preserve">. Strednodobá prognóza daňových príjmov a sociálnych odvodov MF SR bola všetkými členmi Výboru označená ako </w:t>
      </w:r>
      <w:r w:rsidRPr="00BA211E">
        <w:rPr>
          <w:rFonts w:ascii="Times New Roman" w:eastAsia="Calibri" w:hAnsi="Times New Roman" w:cs="Times New Roman"/>
          <w:b/>
          <w:bCs/>
          <w:sz w:val="24"/>
        </w:rPr>
        <w:t>realistická</w:t>
      </w:r>
      <w:r w:rsidRPr="00BA211E">
        <w:rPr>
          <w:rFonts w:ascii="Times New Roman" w:eastAsia="Calibri" w:hAnsi="Times New Roman" w:cs="Times New Roman"/>
          <w:sz w:val="24"/>
        </w:rPr>
        <w:t xml:space="preserve">. </w:t>
      </w:r>
    </w:p>
    <w:p w:rsidR="00BA211E" w:rsidRPr="00BA211E" w:rsidRDefault="00BA211E" w:rsidP="00BA211E">
      <w:pPr>
        <w:spacing w:after="0" w:line="240" w:lineRule="auto"/>
        <w:jc w:val="both"/>
        <w:rPr>
          <w:rFonts w:ascii="Times New Roman" w:eastAsia="Calibri" w:hAnsi="Times New Roman" w:cs="Times New Roman"/>
          <w:sz w:val="24"/>
        </w:rPr>
      </w:pPr>
    </w:p>
    <w:p w:rsidR="00BA211E" w:rsidRP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Aktuálna prognóza zohľadňuje okrem makroekonomického rámca a platnej legislatívy aj skutočné výnosy daní za rok 2020 podľa metodiky ESA 2010  (okrem DPFO z podnikania, DPPO a osobitného odvodu z regulovaných odvetví, ktoré sú odhadmi) a aktuálne hotovostné plnenie daní za január až august 2021.</w:t>
      </w:r>
    </w:p>
    <w:p w:rsidR="00BA211E" w:rsidRPr="00BA211E" w:rsidRDefault="00BA211E" w:rsidP="00BA211E">
      <w:pPr>
        <w:spacing w:after="0" w:line="240" w:lineRule="auto"/>
        <w:jc w:val="both"/>
        <w:rPr>
          <w:rFonts w:ascii="Times New Roman" w:eastAsia="Calibri" w:hAnsi="Times New Roman" w:cs="Times New Roman"/>
          <w:sz w:val="24"/>
        </w:rPr>
      </w:pPr>
    </w:p>
    <w:p w:rsidR="00BA211E" w:rsidRPr="00BA211E" w:rsidRDefault="00BA211E" w:rsidP="00BA211E">
      <w:pPr>
        <w:spacing w:after="0" w:line="240" w:lineRule="auto"/>
        <w:jc w:val="both"/>
        <w:rPr>
          <w:rFonts w:ascii="Times New Roman" w:eastAsia="Calibri" w:hAnsi="Times New Roman" w:cs="Times New Roman"/>
          <w:b/>
          <w:color w:val="5B9BD5"/>
          <w:sz w:val="24"/>
        </w:rPr>
      </w:pPr>
      <w:r w:rsidRPr="00BA211E">
        <w:rPr>
          <w:rFonts w:ascii="Times New Roman" w:eastAsia="Calibri" w:hAnsi="Times New Roman" w:cs="Times New Roman"/>
          <w:b/>
          <w:color w:val="5B9BD5"/>
          <w:sz w:val="24"/>
        </w:rPr>
        <w:t>Medziročný vývoj daňových a odvodových príjmov</w:t>
      </w:r>
    </w:p>
    <w:p w:rsidR="00BA211E" w:rsidRPr="00BA211E" w:rsidRDefault="00BA211E" w:rsidP="00BA211E">
      <w:pPr>
        <w:spacing w:after="0" w:line="240" w:lineRule="auto"/>
        <w:jc w:val="both"/>
        <w:rPr>
          <w:rFonts w:ascii="Times New Roman" w:eastAsia="Calibri" w:hAnsi="Times New Roman" w:cs="Times New Roman"/>
          <w:sz w:val="24"/>
        </w:rPr>
      </w:pPr>
    </w:p>
    <w:p w:rsidR="00BA211E" w:rsidRP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 xml:space="preserve">Prognóza daňových príjmov pre účely rozpočtu verejnej správy je postavená na predpoklade rastu ekonomiky v roku 2021 na úrovni 3,7 % a rastu v roku 2022 na úrovni 4,2 % (viď časť o makroekonomických predpokladoch rozpočtu). </w:t>
      </w:r>
    </w:p>
    <w:p w:rsidR="00BA211E" w:rsidRPr="00BA211E" w:rsidRDefault="00BA211E" w:rsidP="00BA211E">
      <w:pPr>
        <w:spacing w:after="0" w:line="240" w:lineRule="auto"/>
        <w:jc w:val="both"/>
        <w:rPr>
          <w:rFonts w:ascii="Times New Roman" w:eastAsia="Calibri" w:hAnsi="Times New Roman" w:cs="Times New Roman"/>
          <w:sz w:val="24"/>
        </w:rPr>
      </w:pPr>
    </w:p>
    <w:p w:rsidR="00BA211E" w:rsidRPr="00BA211E" w:rsidRDefault="00BA211E" w:rsidP="00BA211E">
      <w:pPr>
        <w:spacing w:after="0" w:line="240" w:lineRule="auto"/>
        <w:jc w:val="both"/>
        <w:rPr>
          <w:rFonts w:ascii="Times New Roman" w:eastAsia="Calibri" w:hAnsi="Times New Roman" w:cs="Times New Roman"/>
          <w:color w:val="FF0000"/>
          <w:sz w:val="24"/>
        </w:rPr>
      </w:pPr>
      <w:r w:rsidRPr="00BA211E">
        <w:rPr>
          <w:rFonts w:ascii="Times New Roman" w:eastAsia="Calibri" w:hAnsi="Times New Roman" w:cs="Times New Roman"/>
          <w:sz w:val="24"/>
        </w:rPr>
        <w:t>Pri pohľade na medziročné zmeny v príjmoch verejnej správy z daní a odvodov je po stagnácii príjmov v roku 2020 viditeľný rast príjmov v roku 2021 (1,5 mld. eur, 5,3 %). Očakáva sa rast príjmov v roku 2021 aj napriek pribrzdeniu ekonomiku v dôsledku tretej vlny pandémie. Spomalenie hospodárstva zmierni rast daní z trhu práce, kde sa spomalí tvorba pracovných miest. Pokles spotreby domácností počas tretej vlny však plne vykompenzuje postupný rast vládnych investícií a spotreby. V sektoroch platiacich gro korporátnej dane nevznikli  počas roka 2020 významné objemy strát, ktoré by si firmy v 2021 umorovali voči daňovej povinnosti.</w:t>
      </w:r>
    </w:p>
    <w:p w:rsidR="00BA211E" w:rsidRPr="00BA211E" w:rsidRDefault="00BA211E" w:rsidP="00BA211E">
      <w:pPr>
        <w:spacing w:after="0" w:line="240" w:lineRule="auto"/>
        <w:jc w:val="both"/>
        <w:rPr>
          <w:rFonts w:ascii="Times New Roman" w:eastAsia="Calibri" w:hAnsi="Times New Roman" w:cs="Times New Roman"/>
          <w:color w:val="FF0000"/>
          <w:sz w:val="24"/>
        </w:rPr>
      </w:pPr>
    </w:p>
    <w:p w:rsidR="00BA211E" w:rsidRP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V roku 2022 sa vplyvom pokračujúceho oživenia, Plánu obnovy</w:t>
      </w:r>
      <w:r w:rsidR="008C1C85">
        <w:rPr>
          <w:rFonts w:ascii="Times New Roman" w:eastAsia="Calibri" w:hAnsi="Times New Roman" w:cs="Times New Roman"/>
          <w:sz w:val="24"/>
        </w:rPr>
        <w:t xml:space="preserve"> a odolnosti</w:t>
      </w:r>
      <w:r w:rsidRPr="00BA211E">
        <w:rPr>
          <w:rFonts w:ascii="Times New Roman" w:eastAsia="Calibri" w:hAnsi="Times New Roman" w:cs="Times New Roman"/>
          <w:sz w:val="24"/>
        </w:rPr>
        <w:t xml:space="preserve"> a čerpania prostriedkov z EÚ fondov zrýchli medziročný rast príjmov na 7,3 % (v roku 2023 bude rast 7,0 %).</w:t>
      </w:r>
      <w:r w:rsidRPr="00BA211E">
        <w:rPr>
          <w:rFonts w:ascii="Calibri" w:eastAsia="Calibri" w:hAnsi="Calibri" w:cs="Times New Roman"/>
        </w:rPr>
        <w:t xml:space="preserve"> </w:t>
      </w:r>
      <w:r w:rsidRPr="00BA211E">
        <w:rPr>
          <w:rFonts w:ascii="Times New Roman" w:eastAsia="Calibri" w:hAnsi="Times New Roman" w:cs="Times New Roman"/>
          <w:sz w:val="24"/>
        </w:rPr>
        <w:t xml:space="preserve">Vyššie príjmy budú plynúť k všetkým hlavným subjektom verejnej správy. V roku 2024 rast príjmov spomalí najmä z titulu menšieho objemu EÚ zdrojov. Na horizonte rozpočtu vstupuje do prognózy nová legislatíva len minimálne, nakoľko nebol legislatívny proces dostatočne pokročený (legislatíva schválená vládou </w:t>
      </w:r>
      <w:r w:rsidR="003C6A95">
        <w:rPr>
          <w:rFonts w:ascii="Times New Roman" w:eastAsia="Calibri" w:hAnsi="Times New Roman" w:cs="Times New Roman"/>
          <w:sz w:val="24"/>
        </w:rPr>
        <w:t xml:space="preserve">SR </w:t>
      </w:r>
      <w:r w:rsidRPr="00BA211E">
        <w:rPr>
          <w:rFonts w:ascii="Times New Roman" w:eastAsia="Calibri" w:hAnsi="Times New Roman" w:cs="Times New Roman"/>
          <w:sz w:val="24"/>
        </w:rPr>
        <w:t>alebo v 2. čítaní NR</w:t>
      </w:r>
      <w:r w:rsidR="003C6A95">
        <w:rPr>
          <w:rFonts w:ascii="Times New Roman" w:eastAsia="Calibri" w:hAnsi="Times New Roman" w:cs="Times New Roman"/>
          <w:sz w:val="24"/>
        </w:rPr>
        <w:t xml:space="preserve"> </w:t>
      </w:r>
      <w:r w:rsidRPr="00BA211E">
        <w:rPr>
          <w:rFonts w:ascii="Times New Roman" w:eastAsia="Calibri" w:hAnsi="Times New Roman" w:cs="Times New Roman"/>
          <w:sz w:val="24"/>
        </w:rPr>
        <w:t>SR).</w:t>
      </w:r>
    </w:p>
    <w:p w:rsidR="00BA211E" w:rsidRPr="00BA211E" w:rsidRDefault="00BA211E" w:rsidP="00BA211E">
      <w:pPr>
        <w:spacing w:after="0" w:line="240" w:lineRule="auto"/>
        <w:jc w:val="both"/>
        <w:rPr>
          <w:rFonts w:ascii="Times New Roman" w:eastAsia="Calibri" w:hAnsi="Times New Roman" w:cs="Times New Roman"/>
          <w:sz w:val="24"/>
        </w:rPr>
      </w:pPr>
    </w:p>
    <w:p w:rsidR="00BA211E" w:rsidRP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 xml:space="preserve">Medzi hlavné riziká prognózy patrí opätovne makroekonomický vývoj a neistota spojená so šírením ochorenia COVID-19. Prípadné obmedzenie hospodárskej aktivity v domácej alebo v európskych ekonomikách v závere roka by znížilo očakávané rasty aj v ďalších rokoch. </w:t>
      </w:r>
    </w:p>
    <w:p w:rsidR="00BA211E" w:rsidRPr="00BA211E" w:rsidRDefault="00BA211E" w:rsidP="00BA211E">
      <w:pPr>
        <w:spacing w:after="0"/>
        <w:jc w:val="both"/>
        <w:rPr>
          <w:rFonts w:ascii="Times New Roman" w:eastAsia="Calibri" w:hAnsi="Times New Roman" w:cs="Times New Roman"/>
          <w:sz w:val="24"/>
        </w:rPr>
      </w:pPr>
    </w:p>
    <w:p w:rsidR="00BA211E" w:rsidRDefault="00BA211E" w:rsidP="00BA211E">
      <w:pPr>
        <w:spacing w:after="0"/>
        <w:jc w:val="both"/>
        <w:rPr>
          <w:rFonts w:ascii="Times New Roman" w:eastAsia="Calibri" w:hAnsi="Times New Roman" w:cs="Times New Roman"/>
          <w:sz w:val="24"/>
        </w:rPr>
      </w:pPr>
    </w:p>
    <w:p w:rsidR="00214A4A" w:rsidRDefault="00214A4A" w:rsidP="00BA211E">
      <w:pPr>
        <w:spacing w:after="0"/>
        <w:jc w:val="both"/>
        <w:rPr>
          <w:rFonts w:ascii="Times New Roman" w:eastAsia="Calibri" w:hAnsi="Times New Roman" w:cs="Times New Roman"/>
          <w:sz w:val="24"/>
        </w:rPr>
      </w:pPr>
    </w:p>
    <w:p w:rsidR="00214A4A" w:rsidRPr="00BA211E" w:rsidRDefault="00214A4A" w:rsidP="00BA211E">
      <w:pPr>
        <w:spacing w:after="0"/>
        <w:jc w:val="both"/>
        <w:rPr>
          <w:rFonts w:ascii="Times New Roman" w:eastAsia="Calibri" w:hAnsi="Times New Roman" w:cs="Times New Roman"/>
          <w:sz w:val="24"/>
        </w:rPr>
      </w:pPr>
    </w:p>
    <w:p w:rsidR="00BA211E" w:rsidRPr="00BA211E" w:rsidRDefault="003C6A95" w:rsidP="00BA211E">
      <w:pPr>
        <w:keepNext/>
        <w:spacing w:after="200" w:line="240" w:lineRule="auto"/>
        <w:rPr>
          <w:rFonts w:ascii="Times New Roman" w:eastAsia="Calibri" w:hAnsi="Times New Roman" w:cs="Times New Roman"/>
          <w:b/>
          <w:iCs/>
          <w:color w:val="5B9BD5"/>
          <w:sz w:val="20"/>
          <w:szCs w:val="18"/>
        </w:rPr>
      </w:pPr>
      <w:bookmarkStart w:id="80" w:name="_Toc53086271"/>
      <w:r>
        <w:rPr>
          <w:rFonts w:ascii="Times New Roman" w:eastAsia="Calibri" w:hAnsi="Times New Roman" w:cs="Times New Roman"/>
          <w:b/>
          <w:iCs/>
          <w:color w:val="5B9BD5"/>
          <w:sz w:val="20"/>
          <w:szCs w:val="18"/>
        </w:rPr>
        <w:t xml:space="preserve"> </w:t>
      </w:r>
      <w:bookmarkStart w:id="81" w:name="_Toc84848000"/>
      <w:r w:rsidR="00BA211E" w:rsidRPr="00BA211E">
        <w:rPr>
          <w:rFonts w:ascii="Times New Roman" w:eastAsia="Calibri" w:hAnsi="Times New Roman" w:cs="Times New Roman"/>
          <w:b/>
          <w:iCs/>
          <w:color w:val="5B9BD5"/>
          <w:sz w:val="20"/>
          <w:szCs w:val="18"/>
        </w:rPr>
        <w:t xml:space="preserve">Graf </w:t>
      </w:r>
      <w:r w:rsidR="00BA211E" w:rsidRPr="00BA211E">
        <w:rPr>
          <w:rFonts w:ascii="Times New Roman" w:eastAsia="Calibri" w:hAnsi="Times New Roman" w:cs="Times New Roman"/>
          <w:b/>
          <w:iCs/>
          <w:color w:val="5B9BD5"/>
          <w:sz w:val="20"/>
          <w:szCs w:val="18"/>
        </w:rPr>
        <w:fldChar w:fldCharType="begin"/>
      </w:r>
      <w:r w:rsidR="00BA211E" w:rsidRPr="00BA211E">
        <w:rPr>
          <w:rFonts w:ascii="Times New Roman" w:eastAsia="Calibri" w:hAnsi="Times New Roman" w:cs="Times New Roman"/>
          <w:b/>
          <w:iCs/>
          <w:color w:val="5B9BD5"/>
          <w:sz w:val="20"/>
          <w:szCs w:val="18"/>
        </w:rPr>
        <w:instrText xml:space="preserve"> SEQ Obrázok \* ARABIC </w:instrText>
      </w:r>
      <w:r w:rsidR="00BA211E"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9</w:t>
      </w:r>
      <w:r w:rsidR="00BA211E" w:rsidRPr="00BA211E">
        <w:rPr>
          <w:rFonts w:ascii="Times New Roman" w:eastAsia="Calibri" w:hAnsi="Times New Roman" w:cs="Times New Roman"/>
          <w:b/>
          <w:iCs/>
          <w:color w:val="5B9BD5"/>
          <w:sz w:val="20"/>
          <w:szCs w:val="18"/>
        </w:rPr>
        <w:fldChar w:fldCharType="end"/>
      </w:r>
      <w:r w:rsidR="00503FEF">
        <w:rPr>
          <w:rFonts w:ascii="Times New Roman" w:eastAsia="Calibri" w:hAnsi="Times New Roman" w:cs="Times New Roman"/>
          <w:b/>
          <w:iCs/>
          <w:color w:val="5B9BD5"/>
          <w:sz w:val="20"/>
          <w:szCs w:val="18"/>
        </w:rPr>
        <w:t xml:space="preserve"> -</w:t>
      </w:r>
      <w:r w:rsidR="00BA211E" w:rsidRPr="00BA211E">
        <w:rPr>
          <w:rFonts w:ascii="Times New Roman" w:eastAsia="Calibri" w:hAnsi="Times New Roman" w:cs="Times New Roman"/>
          <w:b/>
          <w:iCs/>
          <w:color w:val="5B9BD5"/>
          <w:sz w:val="20"/>
          <w:szCs w:val="18"/>
        </w:rPr>
        <w:t xml:space="preserve"> Medziročný vývoj daňových a odvodových príjmov verejnej správy</w:t>
      </w:r>
      <w:bookmarkEnd w:id="80"/>
      <w:bookmarkEnd w:id="81"/>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589"/>
      </w:tblGrid>
      <w:tr w:rsidR="00BA211E" w:rsidRPr="00BA211E" w:rsidTr="0086666E">
        <w:tc>
          <w:tcPr>
            <w:tcW w:w="4550" w:type="dxa"/>
            <w:tcBorders>
              <w:bottom w:val="single" w:sz="4" w:space="0" w:color="auto"/>
            </w:tcBorders>
          </w:tcPr>
          <w:p w:rsidR="00BA211E" w:rsidRPr="00BA211E" w:rsidRDefault="00BA211E" w:rsidP="00BA211E">
            <w:pPr>
              <w:jc w:val="both"/>
              <w:rPr>
                <w:rFonts w:ascii="Times New Roman" w:hAnsi="Times New Roman"/>
                <w:b/>
                <w:color w:val="FF0000"/>
                <w:sz w:val="16"/>
                <w:szCs w:val="16"/>
              </w:rPr>
            </w:pPr>
            <w:r w:rsidRPr="00BA211E">
              <w:rPr>
                <w:rFonts w:ascii="Times New Roman" w:eastAsia="Calibri" w:hAnsi="Times New Roman"/>
                <w:b/>
                <w:iCs/>
                <w:color w:val="5B9BD5"/>
                <w:sz w:val="18"/>
                <w:szCs w:val="18"/>
              </w:rPr>
              <w:t>Medziročný vývoj daňových a odvodových príjmov VS podľa jednotlivých faktorov (ESA 2010, v mil. eur)</w:t>
            </w:r>
          </w:p>
        </w:tc>
        <w:tc>
          <w:tcPr>
            <w:tcW w:w="4522" w:type="dxa"/>
            <w:tcBorders>
              <w:bottom w:val="single" w:sz="4" w:space="0" w:color="auto"/>
            </w:tcBorders>
          </w:tcPr>
          <w:p w:rsidR="00BA211E" w:rsidRPr="00BA211E" w:rsidRDefault="00BA211E" w:rsidP="00BA211E">
            <w:pPr>
              <w:jc w:val="both"/>
              <w:rPr>
                <w:rFonts w:ascii="Times New Roman" w:hAnsi="Times New Roman"/>
                <w:color w:val="FF0000"/>
              </w:rPr>
            </w:pPr>
            <w:r w:rsidRPr="00BA211E">
              <w:rPr>
                <w:rFonts w:ascii="Times New Roman" w:eastAsia="Calibri" w:hAnsi="Times New Roman"/>
                <w:b/>
                <w:iCs/>
                <w:color w:val="5B9BD5"/>
                <w:sz w:val="18"/>
                <w:szCs w:val="18"/>
              </w:rPr>
              <w:t>Medziročný vývoj daňových a odvodových príjmov VS podľa jednotlivých daní a odvodov (ESA 2010, v mil. eur)</w:t>
            </w:r>
          </w:p>
        </w:tc>
      </w:tr>
      <w:tr w:rsidR="00BA211E" w:rsidRPr="00BA211E" w:rsidTr="0086666E">
        <w:tblPrEx>
          <w:tblCellMar>
            <w:left w:w="70" w:type="dxa"/>
            <w:right w:w="70" w:type="dxa"/>
          </w:tblCellMar>
        </w:tblPrEx>
        <w:tc>
          <w:tcPr>
            <w:tcW w:w="4550" w:type="dxa"/>
            <w:tcBorders>
              <w:top w:val="single" w:sz="4" w:space="0" w:color="auto"/>
              <w:bottom w:val="single" w:sz="4" w:space="0" w:color="auto"/>
            </w:tcBorders>
          </w:tcPr>
          <w:p w:rsidR="00BA211E" w:rsidRPr="00BA211E" w:rsidRDefault="00BA211E" w:rsidP="00BA211E">
            <w:pPr>
              <w:jc w:val="both"/>
              <w:rPr>
                <w:rFonts w:ascii="Times New Roman" w:hAnsi="Times New Roman"/>
              </w:rPr>
            </w:pPr>
            <w:r w:rsidRPr="00BA211E">
              <w:rPr>
                <w:rFonts w:ascii="Times New Roman" w:hAnsi="Times New Roman"/>
                <w:noProof/>
                <w:lang w:eastAsia="sk-SK"/>
              </w:rPr>
              <w:drawing>
                <wp:inline distT="0" distB="0" distL="0" distR="0" wp14:anchorId="0CF95FBB" wp14:editId="55DA37FD">
                  <wp:extent cx="2748766" cy="1784792"/>
                  <wp:effectExtent l="0" t="0" r="0" b="635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868" cy="1809532"/>
                          </a:xfrm>
                          <a:prstGeom prst="rect">
                            <a:avLst/>
                          </a:prstGeom>
                          <a:noFill/>
                        </pic:spPr>
                      </pic:pic>
                    </a:graphicData>
                  </a:graphic>
                </wp:inline>
              </w:drawing>
            </w:r>
          </w:p>
        </w:tc>
        <w:tc>
          <w:tcPr>
            <w:tcW w:w="4522" w:type="dxa"/>
            <w:tcBorders>
              <w:top w:val="single" w:sz="4" w:space="0" w:color="auto"/>
              <w:bottom w:val="single" w:sz="4" w:space="0" w:color="auto"/>
            </w:tcBorders>
          </w:tcPr>
          <w:p w:rsidR="00BA211E" w:rsidRPr="00BA211E" w:rsidRDefault="00BA211E" w:rsidP="00BA211E">
            <w:pPr>
              <w:jc w:val="both"/>
              <w:rPr>
                <w:rFonts w:ascii="Times New Roman" w:hAnsi="Times New Roman"/>
              </w:rPr>
            </w:pPr>
            <w:r w:rsidRPr="00BA211E">
              <w:rPr>
                <w:noProof/>
                <w:lang w:eastAsia="sk-SK"/>
              </w:rPr>
              <w:drawing>
                <wp:inline distT="0" distB="0" distL="0" distR="0" wp14:anchorId="2FA2C173" wp14:editId="11E418C5">
                  <wp:extent cx="2825731" cy="1702323"/>
                  <wp:effectExtent l="0" t="0" r="0" b="0"/>
                  <wp:docPr id="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8"/>
                          <pic:cNvPicPr>
                            <a:picLocks noChangeAspect="1"/>
                          </pic:cNvPicPr>
                        </pic:nvPicPr>
                        <pic:blipFill>
                          <a:blip r:embed="rId17"/>
                          <a:stretch>
                            <a:fillRect/>
                          </a:stretch>
                        </pic:blipFill>
                        <pic:spPr>
                          <a:xfrm>
                            <a:off x="0" y="0"/>
                            <a:ext cx="2858740" cy="1722209"/>
                          </a:xfrm>
                          <a:prstGeom prst="rect">
                            <a:avLst/>
                          </a:prstGeom>
                        </pic:spPr>
                      </pic:pic>
                    </a:graphicData>
                  </a:graphic>
                </wp:inline>
              </w:drawing>
            </w:r>
          </w:p>
        </w:tc>
      </w:tr>
    </w:tbl>
    <w:p w:rsidR="00BA211E" w:rsidRPr="00BA211E" w:rsidRDefault="00BA211E" w:rsidP="00BA211E">
      <w:pPr>
        <w:spacing w:after="0" w:line="240" w:lineRule="auto"/>
        <w:jc w:val="both"/>
        <w:rPr>
          <w:rFonts w:ascii="Times New Roman" w:eastAsia="Calibri" w:hAnsi="Times New Roman" w:cs="Times New Roman"/>
          <w:i/>
          <w:sz w:val="16"/>
        </w:rPr>
      </w:pP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t xml:space="preserve">      </w:t>
      </w:r>
      <w:r w:rsidRPr="00BA211E">
        <w:rPr>
          <w:rFonts w:ascii="Times New Roman" w:eastAsia="Calibri" w:hAnsi="Times New Roman" w:cs="Times New Roman"/>
          <w:i/>
          <w:sz w:val="16"/>
        </w:rPr>
        <w:t>Zdroj: MF SR</w:t>
      </w:r>
    </w:p>
    <w:p w:rsidR="00BA211E" w:rsidRPr="00BA211E" w:rsidRDefault="00BA211E" w:rsidP="00BA211E">
      <w:pPr>
        <w:spacing w:after="0" w:line="240" w:lineRule="auto"/>
        <w:jc w:val="both"/>
        <w:rPr>
          <w:rFonts w:ascii="Times New Roman" w:eastAsia="Calibri" w:hAnsi="Times New Roman" w:cs="Times New Roman"/>
          <w:sz w:val="24"/>
        </w:rPr>
      </w:pPr>
    </w:p>
    <w:p w:rsid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 xml:space="preserve">Výnos daňových a odvodových príjmov verejnej správy na rok 2022 sa rozpočtuje vo výške 32 831 mil. eur. Celkové daňovo-odvodové príjmy verejnej správy je možné rozčleniť podľa toho, komu prislúchajú príjmy. Najväčšiu časť tvoria príjmy štátneho rozpočtu, nasledované príjmami Sociálnej poisťovne. </w:t>
      </w:r>
    </w:p>
    <w:p w:rsidR="00BA211E" w:rsidRPr="00BA211E" w:rsidRDefault="00BA211E" w:rsidP="00BA211E">
      <w:pPr>
        <w:spacing w:after="0" w:line="240" w:lineRule="auto"/>
        <w:jc w:val="both"/>
        <w:rPr>
          <w:rFonts w:ascii="Times New Roman" w:eastAsia="Calibri" w:hAnsi="Times New Roman" w:cs="Times New Roman"/>
          <w:color w:val="FF0000"/>
          <w:sz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A211E" w:rsidRPr="00BA211E" w:rsidTr="0086666E">
        <w:tc>
          <w:tcPr>
            <w:tcW w:w="9062" w:type="dxa"/>
            <w:tcBorders>
              <w:bottom w:val="single" w:sz="4" w:space="0" w:color="auto"/>
            </w:tcBorders>
          </w:tcPr>
          <w:p w:rsidR="00BA211E" w:rsidRPr="00363D18" w:rsidRDefault="00363D18" w:rsidP="00363D18">
            <w:pPr>
              <w:jc w:val="both"/>
              <w:rPr>
                <w:rFonts w:ascii="Times New Roman" w:hAnsi="Times New Roman"/>
                <w:sz w:val="24"/>
                <w:szCs w:val="24"/>
              </w:rPr>
            </w:pPr>
            <w:bookmarkStart w:id="82" w:name="_Toc84848001"/>
            <w:r w:rsidRPr="00BA211E">
              <w:rPr>
                <w:rFonts w:ascii="Times New Roman" w:eastAsia="Calibri" w:hAnsi="Times New Roman"/>
                <w:b/>
                <w:iCs/>
                <w:color w:val="5B9BD5"/>
                <w:sz w:val="20"/>
                <w:szCs w:val="18"/>
              </w:rPr>
              <w:t xml:space="preserve">Graf </w:t>
            </w:r>
            <w:r w:rsidRPr="00BA211E">
              <w:rPr>
                <w:rFonts w:ascii="Times New Roman" w:eastAsia="Calibri" w:hAnsi="Times New Roman"/>
                <w:b/>
                <w:iCs/>
                <w:color w:val="5B9BD5"/>
                <w:sz w:val="20"/>
                <w:szCs w:val="18"/>
              </w:rPr>
              <w:fldChar w:fldCharType="begin"/>
            </w:r>
            <w:r w:rsidRPr="00BA211E">
              <w:rPr>
                <w:rFonts w:ascii="Times New Roman" w:eastAsia="Calibri" w:hAnsi="Times New Roman"/>
                <w:b/>
                <w:iCs/>
                <w:color w:val="5B9BD5"/>
                <w:sz w:val="20"/>
                <w:szCs w:val="18"/>
              </w:rPr>
              <w:instrText xml:space="preserve"> SEQ Obrázok \* ARABIC </w:instrText>
            </w:r>
            <w:r w:rsidRPr="00BA211E">
              <w:rPr>
                <w:rFonts w:ascii="Times New Roman" w:eastAsia="Calibri" w:hAnsi="Times New Roman"/>
                <w:b/>
                <w:iCs/>
                <w:color w:val="5B9BD5"/>
                <w:sz w:val="20"/>
                <w:szCs w:val="18"/>
              </w:rPr>
              <w:fldChar w:fldCharType="separate"/>
            </w:r>
            <w:r w:rsidR="006E67C6">
              <w:rPr>
                <w:rFonts w:ascii="Times New Roman" w:eastAsia="Calibri" w:hAnsi="Times New Roman"/>
                <w:b/>
                <w:iCs/>
                <w:noProof/>
                <w:color w:val="5B9BD5"/>
                <w:sz w:val="20"/>
                <w:szCs w:val="18"/>
              </w:rPr>
              <w:t>10</w:t>
            </w:r>
            <w:r w:rsidRPr="00BA211E">
              <w:rPr>
                <w:rFonts w:ascii="Times New Roman" w:eastAsia="Calibri" w:hAnsi="Times New Roman"/>
                <w:b/>
                <w:iCs/>
                <w:color w:val="5B9BD5"/>
                <w:sz w:val="20"/>
                <w:szCs w:val="18"/>
              </w:rPr>
              <w:fldChar w:fldCharType="end"/>
            </w:r>
            <w:r w:rsidR="00503FEF">
              <w:rPr>
                <w:rFonts w:ascii="Times New Roman" w:eastAsia="Calibri" w:hAnsi="Times New Roman"/>
                <w:b/>
                <w:iCs/>
                <w:color w:val="5B9BD5"/>
                <w:sz w:val="20"/>
                <w:szCs w:val="18"/>
              </w:rPr>
              <w:t xml:space="preserve"> -</w:t>
            </w:r>
            <w:r>
              <w:rPr>
                <w:rFonts w:ascii="Times New Roman" w:eastAsia="Calibri" w:hAnsi="Times New Roman"/>
                <w:b/>
                <w:iCs/>
                <w:color w:val="5B9BD5"/>
                <w:sz w:val="20"/>
                <w:szCs w:val="18"/>
              </w:rPr>
              <w:t xml:space="preserve"> Prognóza daňových príjmov verejnej správy na rok 2022 podľa sektorov (ESA 2010, v mil. eur)</w:t>
            </w:r>
            <w:bookmarkEnd w:id="82"/>
          </w:p>
        </w:tc>
      </w:tr>
      <w:tr w:rsidR="00BA211E" w:rsidRPr="00BA211E" w:rsidTr="0086666E">
        <w:tc>
          <w:tcPr>
            <w:tcW w:w="9062" w:type="dxa"/>
            <w:tcBorders>
              <w:top w:val="single" w:sz="4" w:space="0" w:color="auto"/>
              <w:bottom w:val="single" w:sz="4" w:space="0" w:color="auto"/>
            </w:tcBorders>
          </w:tcPr>
          <w:p w:rsidR="00BA211E" w:rsidRPr="00BA211E" w:rsidRDefault="00BA211E" w:rsidP="00BA211E">
            <w:pPr>
              <w:jc w:val="center"/>
              <w:rPr>
                <w:rFonts w:ascii="Times New Roman" w:hAnsi="Times New Roman"/>
                <w:color w:val="FF0000"/>
                <w:sz w:val="24"/>
              </w:rPr>
            </w:pPr>
            <w:r w:rsidRPr="00BA211E">
              <w:rPr>
                <w:rFonts w:ascii="Times New Roman" w:hAnsi="Times New Roman"/>
                <w:noProof/>
                <w:lang w:eastAsia="sk-SK"/>
              </w:rPr>
              <w:drawing>
                <wp:inline distT="0" distB="0" distL="0" distR="0" wp14:anchorId="7696F5AF" wp14:editId="185C3CA7">
                  <wp:extent cx="3712076" cy="2142072"/>
                  <wp:effectExtent l="0" t="0" r="317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9360" cy="2146275"/>
                          </a:xfrm>
                          <a:prstGeom prst="rect">
                            <a:avLst/>
                          </a:prstGeom>
                          <a:noFill/>
                        </pic:spPr>
                      </pic:pic>
                    </a:graphicData>
                  </a:graphic>
                </wp:inline>
              </w:drawing>
            </w:r>
          </w:p>
        </w:tc>
      </w:tr>
      <w:tr w:rsidR="00BA211E" w:rsidRPr="00BA211E" w:rsidTr="0086666E">
        <w:tc>
          <w:tcPr>
            <w:tcW w:w="9062" w:type="dxa"/>
            <w:tcBorders>
              <w:top w:val="single" w:sz="4" w:space="0" w:color="auto"/>
            </w:tcBorders>
          </w:tcPr>
          <w:p w:rsidR="00BA211E" w:rsidRPr="00BA211E" w:rsidRDefault="00BA211E" w:rsidP="00BA211E">
            <w:pPr>
              <w:jc w:val="both"/>
              <w:rPr>
                <w:rFonts w:ascii="Times New Roman" w:hAnsi="Times New Roman"/>
                <w:color w:val="FF0000"/>
                <w:sz w:val="24"/>
              </w:rPr>
            </w:pPr>
          </w:p>
        </w:tc>
      </w:tr>
    </w:tbl>
    <w:p w:rsidR="00BA211E" w:rsidRPr="00BA211E" w:rsidRDefault="00BA211E" w:rsidP="00BA211E">
      <w:pPr>
        <w:spacing w:after="0" w:line="240" w:lineRule="auto"/>
        <w:jc w:val="both"/>
        <w:rPr>
          <w:rFonts w:ascii="Times New Roman" w:eastAsia="Calibri" w:hAnsi="Times New Roman" w:cs="Times New Roman"/>
          <w:b/>
          <w:color w:val="5B9BD5"/>
          <w:sz w:val="24"/>
        </w:rPr>
      </w:pPr>
      <w:r w:rsidRPr="00BA211E">
        <w:rPr>
          <w:rFonts w:ascii="Times New Roman" w:eastAsia="Calibri" w:hAnsi="Times New Roman" w:cs="Times New Roman"/>
          <w:b/>
          <w:color w:val="5B9BD5"/>
          <w:sz w:val="24"/>
        </w:rPr>
        <w:t>Porovnanie aktuálnej prognózy daňových a odvodových príjmov verejnej správy so schváleným rozpočtom verejnej správy na roky 2021 až 2023</w:t>
      </w:r>
    </w:p>
    <w:p w:rsidR="00BA211E" w:rsidRPr="00BA211E" w:rsidRDefault="00BA211E" w:rsidP="00BA211E">
      <w:pPr>
        <w:spacing w:after="0" w:line="240" w:lineRule="auto"/>
        <w:jc w:val="both"/>
        <w:rPr>
          <w:rFonts w:ascii="Times New Roman" w:eastAsia="Calibri" w:hAnsi="Times New Roman" w:cs="Times New Roman"/>
          <w:color w:val="5B9BD5"/>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 xml:space="preserve">Nižšie uvedená tabuľka prezentuje rozdiely aktuálnej prognózy daní a odvodov v metodike ESA 2010 oproti rozpočtu verejnej správy na roky 2021 až 2023.  </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Prognóza daňových príjmov verejnej správy je v porovnaní so schváleným rozpočtom na roky 2021 až 2023 vyššia o 1 až 3 mld. eur. Za zlepšením sú najmä príjmy z</w:t>
      </w:r>
      <w:r w:rsidR="0086666E">
        <w:rPr>
          <w:rFonts w:ascii="Times New Roman" w:eastAsia="Calibri" w:hAnsi="Times New Roman" w:cs="Times New Roman"/>
          <w:sz w:val="24"/>
        </w:rPr>
        <w:t> DPPO po zapracovaní lepších ako</w:t>
      </w:r>
      <w:r w:rsidRPr="00BA211E">
        <w:rPr>
          <w:rFonts w:ascii="Times New Roman" w:eastAsia="Calibri" w:hAnsi="Times New Roman" w:cs="Times New Roman"/>
          <w:sz w:val="24"/>
        </w:rPr>
        <w:t xml:space="preserve"> očakávaných príjmov za rok 2020, ktoré zlepšujú výber korporátnej dane na celom horizonte. Od 2021 sa pripája aj DPH na základe silného plnenia počas roka, ktoré reflektuje rast domácej spotreby a rast úspešnosti výberu. Od roku 2022 ďalšie príjmy prináša  pokračujúci hospodársky rast dodatočne podporený prostriedkami z EÚ. Časť z týchto príjmov v podobe DPH vo výške okolo 200 až 230 mil. eur ročne nezlepší bilanciu rozpočtu verejnej správy. Dôvodom je, že DPH pri projektoch z Plánu obnovy</w:t>
      </w:r>
      <w:r w:rsidR="005A0EEA">
        <w:rPr>
          <w:rFonts w:ascii="Times New Roman" w:eastAsia="Calibri" w:hAnsi="Times New Roman" w:cs="Times New Roman"/>
          <w:sz w:val="24"/>
        </w:rPr>
        <w:t xml:space="preserve"> a odolnosti</w:t>
      </w:r>
      <w:r w:rsidR="00CF5E5E">
        <w:rPr>
          <w:rFonts w:ascii="Times New Roman" w:eastAsia="Calibri" w:hAnsi="Times New Roman" w:cs="Times New Roman"/>
          <w:sz w:val="24"/>
        </w:rPr>
        <w:t xml:space="preserve"> bude financovaná z výdavkov ŠR</w:t>
      </w:r>
      <w:r w:rsidRPr="00BA211E">
        <w:rPr>
          <w:rFonts w:ascii="Times New Roman" w:eastAsia="Calibri" w:hAnsi="Times New Roman" w:cs="Times New Roman"/>
          <w:sz w:val="24"/>
        </w:rPr>
        <w:t xml:space="preserve">, navýši teda príjmy aj výdavky. Nová legislatíva vplýva na prognózu len minimálne. </w:t>
      </w:r>
    </w:p>
    <w:p w:rsidR="00BA211E" w:rsidRPr="00BA211E" w:rsidRDefault="00BA211E" w:rsidP="00BA211E">
      <w:pPr>
        <w:spacing w:after="0"/>
        <w:jc w:val="both"/>
        <w:rPr>
          <w:rFonts w:ascii="Times New Roman" w:eastAsia="Calibri" w:hAnsi="Times New Roman" w:cs="Times New Roman"/>
          <w:color w:val="FF0000"/>
          <w:sz w:val="24"/>
        </w:rPr>
      </w:pPr>
    </w:p>
    <w:p w:rsidR="00BA211E" w:rsidRPr="00BA211E" w:rsidRDefault="00BA211E" w:rsidP="00BA211E">
      <w:pPr>
        <w:keepNext/>
        <w:spacing w:after="0" w:line="240" w:lineRule="auto"/>
        <w:rPr>
          <w:rFonts w:ascii="Times New Roman" w:eastAsia="Calibri" w:hAnsi="Times New Roman" w:cs="Times New Roman"/>
          <w:b/>
          <w:iCs/>
          <w:color w:val="5B9BD5"/>
          <w:sz w:val="20"/>
          <w:szCs w:val="18"/>
        </w:rPr>
      </w:pPr>
      <w:bookmarkStart w:id="83" w:name="_Toc53086349"/>
      <w:bookmarkStart w:id="84" w:name="_Toc84845245"/>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21</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Rozdiely aktuálneho odhadu</w:t>
      </w:r>
      <w:r w:rsidRPr="00BA211E">
        <w:rPr>
          <w:rFonts w:ascii="Times New Roman" w:eastAsia="Calibri" w:hAnsi="Times New Roman" w:cs="Times New Roman"/>
          <w:b/>
          <w:iCs/>
          <w:color w:val="FF0000"/>
          <w:sz w:val="20"/>
          <w:szCs w:val="18"/>
        </w:rPr>
        <w:t xml:space="preserve"> </w:t>
      </w:r>
      <w:r w:rsidRPr="00BA211E">
        <w:rPr>
          <w:rFonts w:ascii="Times New Roman" w:eastAsia="Calibri" w:hAnsi="Times New Roman" w:cs="Times New Roman"/>
          <w:b/>
          <w:iCs/>
          <w:color w:val="5B9BD5"/>
          <w:sz w:val="20"/>
          <w:szCs w:val="18"/>
        </w:rPr>
        <w:t>daní s rozpočtom verejnej správy na roky 2021 až 202</w:t>
      </w:r>
      <w:bookmarkEnd w:id="83"/>
      <w:r w:rsidRPr="00BA211E">
        <w:rPr>
          <w:rFonts w:ascii="Times New Roman" w:eastAsia="Calibri" w:hAnsi="Times New Roman" w:cs="Times New Roman"/>
          <w:b/>
          <w:iCs/>
          <w:color w:val="5B9BD5"/>
          <w:sz w:val="20"/>
          <w:szCs w:val="18"/>
        </w:rPr>
        <w:t>3</w:t>
      </w:r>
      <w:bookmarkEnd w:id="84"/>
    </w:p>
    <w:tbl>
      <w:tblPr>
        <w:tblW w:w="5000" w:type="pct"/>
        <w:tblCellMar>
          <w:left w:w="70" w:type="dxa"/>
          <w:right w:w="70" w:type="dxa"/>
        </w:tblCellMar>
        <w:tblLook w:val="04A0" w:firstRow="1" w:lastRow="0" w:firstColumn="1" w:lastColumn="0" w:noHBand="0" w:noVBand="1"/>
      </w:tblPr>
      <w:tblGrid>
        <w:gridCol w:w="5595"/>
        <w:gridCol w:w="1157"/>
        <w:gridCol w:w="1160"/>
        <w:gridCol w:w="1160"/>
      </w:tblGrid>
      <w:tr w:rsidR="00BA211E" w:rsidRPr="00BA211E" w:rsidTr="0086666E">
        <w:trPr>
          <w:trHeight w:val="198"/>
        </w:trPr>
        <w:tc>
          <w:tcPr>
            <w:tcW w:w="9072" w:type="dxa"/>
            <w:gridSpan w:val="4"/>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Rozdiely aktuálneho odhadu daní s rozpočtom VS na roky 2020 až 2022 (ESA 2010, v tis. eur)</w:t>
            </w:r>
          </w:p>
        </w:tc>
      </w:tr>
      <w:tr w:rsidR="00BA211E" w:rsidRPr="00BA211E" w:rsidTr="0086666E">
        <w:trPr>
          <w:trHeight w:val="264"/>
        </w:trPr>
        <w:tc>
          <w:tcPr>
            <w:tcW w:w="5595" w:type="dxa"/>
            <w:tcBorders>
              <w:top w:val="nil"/>
              <w:left w:val="nil"/>
              <w:bottom w:val="single" w:sz="4" w:space="0" w:color="auto"/>
              <w:right w:val="nil"/>
            </w:tcBorders>
            <w:shd w:val="clear" w:color="auto" w:fill="auto"/>
            <w:noWrap/>
            <w:vAlign w:val="bottom"/>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 </w:t>
            </w:r>
          </w:p>
        </w:tc>
        <w:tc>
          <w:tcPr>
            <w:tcW w:w="1157" w:type="dxa"/>
            <w:tcBorders>
              <w:top w:val="nil"/>
              <w:left w:val="nil"/>
              <w:bottom w:val="single" w:sz="4" w:space="0" w:color="auto"/>
              <w:right w:val="nil"/>
            </w:tcBorders>
            <w:shd w:val="clear" w:color="auto" w:fill="auto"/>
            <w:noWrap/>
            <w:vAlign w:val="bottom"/>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2021 OS</w:t>
            </w:r>
          </w:p>
        </w:tc>
        <w:tc>
          <w:tcPr>
            <w:tcW w:w="1160" w:type="dxa"/>
            <w:tcBorders>
              <w:top w:val="nil"/>
              <w:left w:val="nil"/>
              <w:bottom w:val="single" w:sz="4" w:space="0" w:color="auto"/>
              <w:right w:val="nil"/>
            </w:tcBorders>
            <w:shd w:val="clear" w:color="auto" w:fill="auto"/>
            <w:noWrap/>
            <w:vAlign w:val="bottom"/>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2022 N</w:t>
            </w:r>
          </w:p>
        </w:tc>
        <w:tc>
          <w:tcPr>
            <w:tcW w:w="1160"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2023 N</w:t>
            </w:r>
          </w:p>
        </w:tc>
      </w:tr>
      <w:tr w:rsidR="00BA211E" w:rsidRPr="00BA211E" w:rsidTr="0086666E">
        <w:trPr>
          <w:trHeight w:val="198"/>
        </w:trPr>
        <w:tc>
          <w:tcPr>
            <w:tcW w:w="5595" w:type="dxa"/>
            <w:tcBorders>
              <w:top w:val="single" w:sz="4" w:space="0" w:color="auto"/>
              <w:left w:val="nil"/>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Daňové príjmy VS spolu</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1 170 250</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2 066 847</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2 605 086</w:t>
            </w:r>
          </w:p>
        </w:tc>
      </w:tr>
      <w:tr w:rsidR="00BA211E" w:rsidRPr="00BA211E" w:rsidTr="0086666E">
        <w:trPr>
          <w:trHeight w:val="198"/>
        </w:trPr>
        <w:tc>
          <w:tcPr>
            <w:tcW w:w="5595" w:type="dxa"/>
            <w:tcBorders>
              <w:top w:val="nil"/>
              <w:left w:val="nil"/>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b/>
                <w:bCs/>
                <w:i/>
                <w:iCs/>
                <w:sz w:val="16"/>
                <w:szCs w:val="16"/>
                <w:lang w:eastAsia="sk-SK"/>
              </w:rPr>
            </w:pPr>
            <w:r w:rsidRPr="00BA211E">
              <w:rPr>
                <w:rFonts w:ascii="Times New Roman" w:eastAsia="Calibri" w:hAnsi="Times New Roman" w:cs="Times New Roman"/>
                <w:b/>
                <w:bCs/>
                <w:i/>
                <w:iCs/>
                <w:sz w:val="16"/>
                <w:szCs w:val="16"/>
                <w:lang w:eastAsia="sk-SK"/>
              </w:rPr>
              <w:t>v % HDP</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i/>
                <w:iCs/>
                <w:sz w:val="16"/>
                <w:szCs w:val="16"/>
                <w:lang w:eastAsia="sk-SK"/>
              </w:rPr>
            </w:pPr>
            <w:r w:rsidRPr="00BA211E">
              <w:rPr>
                <w:rFonts w:ascii="Times New Roman" w:eastAsia="Calibri" w:hAnsi="Times New Roman" w:cs="Times New Roman"/>
                <w:b/>
                <w:bCs/>
                <w:i/>
                <w:iCs/>
                <w:sz w:val="16"/>
                <w:szCs w:val="16"/>
              </w:rPr>
              <w:t>1,21</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i/>
                <w:iCs/>
                <w:sz w:val="16"/>
                <w:szCs w:val="16"/>
                <w:lang w:eastAsia="sk-SK"/>
              </w:rPr>
            </w:pPr>
            <w:r w:rsidRPr="00BA211E">
              <w:rPr>
                <w:rFonts w:ascii="Times New Roman" w:eastAsia="Calibri" w:hAnsi="Times New Roman" w:cs="Times New Roman"/>
                <w:b/>
                <w:bCs/>
                <w:i/>
                <w:iCs/>
                <w:sz w:val="16"/>
                <w:szCs w:val="16"/>
              </w:rPr>
              <w:t>1,97</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i/>
                <w:iCs/>
                <w:sz w:val="16"/>
                <w:szCs w:val="16"/>
                <w:lang w:eastAsia="sk-SK"/>
              </w:rPr>
            </w:pPr>
            <w:r w:rsidRPr="00BA211E">
              <w:rPr>
                <w:rFonts w:ascii="Times New Roman" w:eastAsia="Calibri" w:hAnsi="Times New Roman" w:cs="Times New Roman"/>
                <w:b/>
                <w:bCs/>
                <w:i/>
                <w:iCs/>
                <w:sz w:val="16"/>
                <w:szCs w:val="16"/>
              </w:rPr>
              <w:t>2,30</w:t>
            </w:r>
          </w:p>
        </w:tc>
      </w:tr>
      <w:tr w:rsidR="00BA211E" w:rsidRPr="00BA211E" w:rsidTr="0086666E">
        <w:trPr>
          <w:trHeight w:val="198"/>
        </w:trPr>
        <w:tc>
          <w:tcPr>
            <w:tcW w:w="5595" w:type="dxa"/>
            <w:tcBorders>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Dane z príjmov, ziskov a kapitálového majetku</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855 861</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1 193 048</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1 434 618</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fyzických osôb</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76 752</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165 952</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180 555</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právnických osôb</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748 197</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990 045</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1 199 565</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vyberaná zrážkou</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30 912</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37 051</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54 498</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pridanej hodnoty</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346 857</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881 049</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1 126 814</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Spotrebné dane</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-78 087</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-52 462</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-15 639</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Dane z medzinárodného obchodu a transakcií</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3 250</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4 195</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5 337</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Miestne dane</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8 294</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11 195</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17 544</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Ostatné dane</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34 075</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29 822</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36 412</w:t>
            </w:r>
          </w:p>
        </w:tc>
      </w:tr>
      <w:tr w:rsidR="00BA211E" w:rsidRPr="00BA211E" w:rsidTr="0086666E">
        <w:trPr>
          <w:trHeight w:val="198"/>
        </w:trPr>
        <w:tc>
          <w:tcPr>
            <w:tcW w:w="5595" w:type="dxa"/>
            <w:tcBorders>
              <w:top w:val="nil"/>
              <w:left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Sociálna poisťovňa (EAO + dlžné)</w:t>
            </w:r>
          </w:p>
        </w:tc>
        <w:tc>
          <w:tcPr>
            <w:tcW w:w="1157" w:type="dxa"/>
            <w:tcBorders>
              <w:top w:val="nil"/>
              <w:left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103 096</w:t>
            </w:r>
          </w:p>
        </w:tc>
        <w:tc>
          <w:tcPr>
            <w:tcW w:w="1160" w:type="dxa"/>
            <w:tcBorders>
              <w:top w:val="nil"/>
              <w:left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279 401</w:t>
            </w:r>
          </w:p>
        </w:tc>
        <w:tc>
          <w:tcPr>
            <w:tcW w:w="1160" w:type="dxa"/>
            <w:tcBorders>
              <w:top w:val="nil"/>
              <w:left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388 410</w:t>
            </w:r>
          </w:p>
        </w:tc>
      </w:tr>
      <w:tr w:rsidR="00BA211E" w:rsidRPr="00BA211E" w:rsidTr="0086666E">
        <w:trPr>
          <w:trHeight w:val="198"/>
        </w:trPr>
        <w:tc>
          <w:tcPr>
            <w:tcW w:w="5595" w:type="dxa"/>
            <w:tcBorders>
              <w:top w:val="nil"/>
              <w:left w:val="nil"/>
              <w:bottom w:val="single" w:sz="4" w:space="0" w:color="auto"/>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Zdravotné poisťovne (EAO + dlžné)</w:t>
            </w:r>
          </w:p>
        </w:tc>
        <w:tc>
          <w:tcPr>
            <w:tcW w:w="1157"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69 885</w:t>
            </w:r>
          </w:p>
        </w:tc>
        <w:tc>
          <w:tcPr>
            <w:tcW w:w="1160"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145 011</w:t>
            </w:r>
          </w:p>
        </w:tc>
        <w:tc>
          <w:tcPr>
            <w:tcW w:w="1160"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205 345</w:t>
            </w:r>
          </w:p>
        </w:tc>
      </w:tr>
      <w:tr w:rsidR="00BA211E" w:rsidRPr="00BA211E" w:rsidTr="0086666E">
        <w:trPr>
          <w:trHeight w:val="198"/>
        </w:trPr>
        <w:tc>
          <w:tcPr>
            <w:tcW w:w="5595"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Daňové príjmy a príjmy FSZP spolu</w:t>
            </w:r>
          </w:p>
        </w:tc>
        <w:tc>
          <w:tcPr>
            <w:tcW w:w="1157"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1 343 231</w:t>
            </w:r>
          </w:p>
        </w:tc>
        <w:tc>
          <w:tcPr>
            <w:tcW w:w="1160"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2 491 259</w:t>
            </w:r>
          </w:p>
        </w:tc>
        <w:tc>
          <w:tcPr>
            <w:tcW w:w="1160"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3 198 841</w:t>
            </w:r>
          </w:p>
        </w:tc>
      </w:tr>
      <w:tr w:rsidR="00BA211E" w:rsidRPr="00BA211E" w:rsidTr="0086666E">
        <w:trPr>
          <w:trHeight w:val="198"/>
        </w:trPr>
        <w:tc>
          <w:tcPr>
            <w:tcW w:w="5595"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Sankcie</w:t>
            </w:r>
          </w:p>
        </w:tc>
        <w:tc>
          <w:tcPr>
            <w:tcW w:w="1157"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-6 146</w:t>
            </w:r>
          </w:p>
        </w:tc>
        <w:tc>
          <w:tcPr>
            <w:tcW w:w="1160"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-3 712</w:t>
            </w:r>
          </w:p>
        </w:tc>
        <w:tc>
          <w:tcPr>
            <w:tcW w:w="1160"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-3 712</w:t>
            </w:r>
          </w:p>
        </w:tc>
      </w:tr>
      <w:tr w:rsidR="00BA211E" w:rsidRPr="00BA211E" w:rsidTr="0086666E">
        <w:trPr>
          <w:trHeight w:val="198"/>
        </w:trPr>
        <w:tc>
          <w:tcPr>
            <w:tcW w:w="5595"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Daňové príjmy a príjmy FSZP vrátane sankcií</w:t>
            </w:r>
          </w:p>
        </w:tc>
        <w:tc>
          <w:tcPr>
            <w:tcW w:w="1157"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1 337 085</w:t>
            </w:r>
          </w:p>
        </w:tc>
        <w:tc>
          <w:tcPr>
            <w:tcW w:w="1160"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2 487 547</w:t>
            </w:r>
          </w:p>
        </w:tc>
        <w:tc>
          <w:tcPr>
            <w:tcW w:w="1160"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3 195 129</w:t>
            </w:r>
          </w:p>
        </w:tc>
      </w:tr>
      <w:tr w:rsidR="00BA211E" w:rsidRPr="00BA211E" w:rsidTr="0086666E">
        <w:trPr>
          <w:trHeight w:val="198"/>
        </w:trPr>
        <w:tc>
          <w:tcPr>
            <w:tcW w:w="5595" w:type="dxa"/>
            <w:tcBorders>
              <w:top w:val="single" w:sz="4" w:space="0" w:color="auto"/>
              <w:left w:val="nil"/>
              <w:bottom w:val="nil"/>
              <w:right w:val="nil"/>
            </w:tcBorders>
            <w:shd w:val="clear" w:color="auto" w:fill="auto"/>
            <w:noWrap/>
            <w:vAlign w:val="bottom"/>
            <w:hideMark/>
          </w:tcPr>
          <w:p w:rsidR="00BA211E" w:rsidRPr="00BA211E" w:rsidRDefault="00BA211E" w:rsidP="00BA211E">
            <w:pPr>
              <w:spacing w:line="240" w:lineRule="auto"/>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Výdavky na VPÚ</w:t>
            </w:r>
          </w:p>
        </w:tc>
        <w:tc>
          <w:tcPr>
            <w:tcW w:w="1157" w:type="dxa"/>
            <w:tcBorders>
              <w:top w:val="single" w:sz="4" w:space="0" w:color="auto"/>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11 192</w:t>
            </w:r>
          </w:p>
        </w:tc>
        <w:tc>
          <w:tcPr>
            <w:tcW w:w="1160" w:type="dxa"/>
            <w:tcBorders>
              <w:top w:val="single" w:sz="4" w:space="0" w:color="auto"/>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8 039</w:t>
            </w:r>
          </w:p>
        </w:tc>
        <w:tc>
          <w:tcPr>
            <w:tcW w:w="1160" w:type="dxa"/>
            <w:tcBorders>
              <w:top w:val="single" w:sz="4" w:space="0" w:color="auto"/>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rPr>
              <w:t>12 153</w:t>
            </w:r>
          </w:p>
        </w:tc>
      </w:tr>
      <w:tr w:rsidR="00BA211E" w:rsidRPr="00BA211E" w:rsidTr="0086666E">
        <w:trPr>
          <w:trHeight w:val="198"/>
        </w:trPr>
        <w:tc>
          <w:tcPr>
            <w:tcW w:w="5595" w:type="dxa"/>
            <w:tcBorders>
              <w:top w:val="nil"/>
              <w:left w:val="nil"/>
              <w:bottom w:val="nil"/>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fyzických osôb</w:t>
            </w:r>
          </w:p>
        </w:tc>
        <w:tc>
          <w:tcPr>
            <w:tcW w:w="1157"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839</w:t>
            </w:r>
          </w:p>
        </w:tc>
        <w:tc>
          <w:tcPr>
            <w:tcW w:w="1160"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-2 182</w:t>
            </w:r>
          </w:p>
        </w:tc>
        <w:tc>
          <w:tcPr>
            <w:tcW w:w="1160" w:type="dxa"/>
            <w:tcBorders>
              <w:top w:val="nil"/>
              <w:left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-1 245</w:t>
            </w:r>
          </w:p>
        </w:tc>
      </w:tr>
      <w:tr w:rsidR="00BA211E" w:rsidRPr="00BA211E" w:rsidTr="0086666E">
        <w:trPr>
          <w:trHeight w:val="198"/>
        </w:trPr>
        <w:tc>
          <w:tcPr>
            <w:tcW w:w="5595" w:type="dxa"/>
            <w:tcBorders>
              <w:top w:val="nil"/>
              <w:left w:val="nil"/>
              <w:bottom w:val="single" w:sz="4" w:space="0" w:color="auto"/>
              <w:right w:val="nil"/>
            </w:tcBorders>
            <w:shd w:val="clear" w:color="auto" w:fill="auto"/>
            <w:noWrap/>
            <w:vAlign w:val="bottom"/>
            <w:hideMark/>
          </w:tcPr>
          <w:p w:rsidR="00BA211E" w:rsidRPr="00BA211E" w:rsidRDefault="00BA211E" w:rsidP="00BA211E">
            <w:pPr>
              <w:spacing w:line="240" w:lineRule="auto"/>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právnických osôb</w:t>
            </w:r>
          </w:p>
        </w:tc>
        <w:tc>
          <w:tcPr>
            <w:tcW w:w="1157"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10 353</w:t>
            </w:r>
          </w:p>
        </w:tc>
        <w:tc>
          <w:tcPr>
            <w:tcW w:w="1160"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10 221</w:t>
            </w:r>
          </w:p>
        </w:tc>
        <w:tc>
          <w:tcPr>
            <w:tcW w:w="1160"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rPr>
              <w:t>13 398</w:t>
            </w:r>
          </w:p>
        </w:tc>
      </w:tr>
      <w:tr w:rsidR="00BA211E" w:rsidRPr="00BA211E" w:rsidTr="0086666E">
        <w:trPr>
          <w:trHeight w:val="198"/>
        </w:trPr>
        <w:tc>
          <w:tcPr>
            <w:tcW w:w="9072" w:type="dxa"/>
            <w:gridSpan w:val="4"/>
            <w:tcBorders>
              <w:top w:val="nil"/>
              <w:left w:val="nil"/>
              <w:bottom w:val="nil"/>
              <w:right w:val="nil"/>
            </w:tcBorders>
            <w:shd w:val="clear" w:color="auto" w:fill="auto"/>
            <w:noWrap/>
            <w:vAlign w:val="bottom"/>
            <w:hideMark/>
          </w:tcPr>
          <w:p w:rsidR="00BA211E" w:rsidRPr="00BA211E" w:rsidRDefault="00BA211E" w:rsidP="00F54D87">
            <w:pPr>
              <w:spacing w:after="0" w:line="240" w:lineRule="auto"/>
              <w:rPr>
                <w:rFonts w:ascii="Times New Roman" w:eastAsia="Calibri" w:hAnsi="Times New Roman" w:cs="Times New Roman"/>
                <w:i/>
                <w:iCs/>
                <w:sz w:val="16"/>
                <w:szCs w:val="16"/>
                <w:lang w:eastAsia="sk-SK"/>
              </w:rPr>
            </w:pPr>
            <w:r w:rsidRPr="00BA211E">
              <w:rPr>
                <w:rFonts w:ascii="Times New Roman" w:eastAsia="Calibri" w:hAnsi="Times New Roman" w:cs="Times New Roman"/>
                <w:i/>
                <w:iCs/>
                <w:sz w:val="16"/>
                <w:szCs w:val="16"/>
                <w:lang w:eastAsia="sk-SK"/>
              </w:rPr>
              <w:t>* (+) indikuje aktuálny odhad vyšší ako rozpočet, (-) indikuje aktuálny odhad nižší ako rozpočet</w:t>
            </w:r>
          </w:p>
        </w:tc>
      </w:tr>
    </w:tbl>
    <w:p w:rsidR="005A0EEA" w:rsidRPr="00BA211E" w:rsidRDefault="005A0EEA" w:rsidP="00F54D87">
      <w:pPr>
        <w:spacing w:after="0"/>
        <w:rPr>
          <w:rFonts w:ascii="Times New Roman" w:eastAsia="Calibri" w:hAnsi="Times New Roman" w:cs="Times New Roman"/>
          <w:color w:val="FF0000"/>
        </w:rPr>
      </w:pPr>
    </w:p>
    <w:p w:rsidR="00BA211E" w:rsidRPr="00BA211E" w:rsidRDefault="00BA211E" w:rsidP="00F54D87">
      <w:pPr>
        <w:spacing w:after="0"/>
        <w:jc w:val="both"/>
        <w:rPr>
          <w:rFonts w:ascii="Times New Roman" w:eastAsia="Calibri" w:hAnsi="Times New Roman" w:cs="Times New Roman"/>
          <w:b/>
          <w:color w:val="5B9BD5"/>
          <w:sz w:val="24"/>
        </w:rPr>
      </w:pPr>
      <w:r w:rsidRPr="00BA211E">
        <w:rPr>
          <w:rFonts w:ascii="Times New Roman" w:eastAsia="Calibri" w:hAnsi="Times New Roman" w:cs="Times New Roman"/>
          <w:b/>
          <w:color w:val="5B9BD5"/>
          <w:sz w:val="24"/>
        </w:rPr>
        <w:t>Prehľad legislatívnych zmien</w:t>
      </w:r>
    </w:p>
    <w:p w:rsidR="00BA211E" w:rsidRPr="00BA211E" w:rsidRDefault="00BA211E" w:rsidP="00BA211E">
      <w:pPr>
        <w:spacing w:after="0" w:line="240" w:lineRule="auto"/>
        <w:ind w:firstLine="720"/>
        <w:jc w:val="both"/>
        <w:rPr>
          <w:rFonts w:ascii="Times New Roman" w:eastAsia="Calibri" w:hAnsi="Times New Roman" w:cs="Times New Roman"/>
          <w:color w:val="FF0000"/>
          <w:sz w:val="24"/>
        </w:rPr>
      </w:pPr>
    </w:p>
    <w:p w:rsidR="00BA211E" w:rsidRPr="00BA211E" w:rsidRDefault="00BA211E" w:rsidP="00BA211E">
      <w:pPr>
        <w:spacing w:after="0" w:line="240" w:lineRule="auto"/>
        <w:jc w:val="both"/>
        <w:rPr>
          <w:rFonts w:ascii="Times New Roman" w:eastAsia="Calibri" w:hAnsi="Times New Roman" w:cs="Times New Roman"/>
          <w:sz w:val="24"/>
        </w:rPr>
      </w:pPr>
      <w:r w:rsidRPr="00BA211E">
        <w:rPr>
          <w:rFonts w:ascii="Times New Roman" w:eastAsia="Calibri" w:hAnsi="Times New Roman" w:cs="Times New Roman"/>
          <w:sz w:val="24"/>
        </w:rPr>
        <w:t>V priebehu roka 2021 sa prijalo niekoľko legislatívnych úprav, ktoré vplývajú na výnos daní a odvodov v nasledujúcich rokoch. V nasledujúcej tabuľke je súhrnný prehľad všetkých opatrení.</w:t>
      </w:r>
    </w:p>
    <w:p w:rsidR="00F54D87" w:rsidRPr="00BA211E" w:rsidRDefault="00F54D87" w:rsidP="00BA211E">
      <w:pPr>
        <w:spacing w:after="0" w:line="240" w:lineRule="auto"/>
        <w:jc w:val="both"/>
        <w:rPr>
          <w:rFonts w:ascii="Times New Roman" w:eastAsia="Calibri" w:hAnsi="Times New Roman" w:cs="Times New Roman"/>
          <w:sz w:val="24"/>
        </w:rPr>
      </w:pPr>
    </w:p>
    <w:p w:rsidR="00BA211E" w:rsidRPr="00BA211E" w:rsidRDefault="00BA211E" w:rsidP="00BA211E">
      <w:pPr>
        <w:keepNext/>
        <w:spacing w:after="0" w:line="240" w:lineRule="auto"/>
        <w:jc w:val="both"/>
        <w:rPr>
          <w:rFonts w:ascii="Times New Roman" w:eastAsia="Calibri" w:hAnsi="Times New Roman" w:cs="Times New Roman"/>
          <w:b/>
          <w:iCs/>
          <w:color w:val="5B9BD5"/>
          <w:sz w:val="20"/>
          <w:szCs w:val="18"/>
        </w:rPr>
      </w:pPr>
      <w:bookmarkStart w:id="85" w:name="_Toc53086350"/>
      <w:bookmarkStart w:id="86" w:name="_Toc84845246"/>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22</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Vplyv legislatívnych opatrení zahrnutých v prognóze daňových a odvodových príjmov verejnej správy na roky 2022 až 2024 (v tis.</w:t>
      </w:r>
      <w:r w:rsidRPr="00BA211E">
        <w:rPr>
          <w:rFonts w:ascii="Times New Roman" w:eastAsia="Calibri" w:hAnsi="Times New Roman" w:cs="Times New Roman"/>
          <w:b/>
          <w:iCs/>
          <w:color w:val="FF0000"/>
          <w:sz w:val="20"/>
          <w:szCs w:val="18"/>
        </w:rPr>
        <w:t xml:space="preserve"> </w:t>
      </w:r>
      <w:r w:rsidRPr="00BA211E">
        <w:rPr>
          <w:rFonts w:ascii="Times New Roman" w:eastAsia="Calibri" w:hAnsi="Times New Roman" w:cs="Times New Roman"/>
          <w:b/>
          <w:iCs/>
          <w:color w:val="5B9BD5"/>
          <w:sz w:val="20"/>
          <w:szCs w:val="18"/>
        </w:rPr>
        <w:t>eur, ESA 2010)</w:t>
      </w:r>
      <w:bookmarkEnd w:id="85"/>
      <w:bookmarkEnd w:id="86"/>
    </w:p>
    <w:tbl>
      <w:tblPr>
        <w:tblW w:w="5001" w:type="pct"/>
        <w:tblLayout w:type="fixed"/>
        <w:tblCellMar>
          <w:left w:w="70" w:type="dxa"/>
          <w:right w:w="70" w:type="dxa"/>
        </w:tblCellMar>
        <w:tblLook w:val="04A0" w:firstRow="1" w:lastRow="0" w:firstColumn="1" w:lastColumn="0" w:noHBand="0" w:noVBand="1"/>
      </w:tblPr>
      <w:tblGrid>
        <w:gridCol w:w="5103"/>
        <w:gridCol w:w="794"/>
        <w:gridCol w:w="794"/>
        <w:gridCol w:w="794"/>
        <w:gridCol w:w="794"/>
        <w:gridCol w:w="795"/>
      </w:tblGrid>
      <w:tr w:rsidR="00BA211E" w:rsidRPr="00BA211E" w:rsidTr="0086666E">
        <w:trPr>
          <w:trHeight w:val="198"/>
        </w:trPr>
        <w:tc>
          <w:tcPr>
            <w:tcW w:w="5103"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line="240" w:lineRule="auto"/>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color w:val="FF0000"/>
                <w:sz w:val="16"/>
                <w:szCs w:val="16"/>
                <w:lang w:eastAsia="sk-SK"/>
              </w:rPr>
              <w:t> </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2020</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2021</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2022</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2023</w:t>
            </w:r>
          </w:p>
        </w:tc>
        <w:tc>
          <w:tcPr>
            <w:tcW w:w="795"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line="240" w:lineRule="auto"/>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2024</w:t>
            </w:r>
          </w:p>
        </w:tc>
      </w:tr>
      <w:tr w:rsidR="00BA211E" w:rsidRPr="00BA211E" w:rsidTr="0086666E">
        <w:trPr>
          <w:trHeight w:val="198"/>
        </w:trPr>
        <w:tc>
          <w:tcPr>
            <w:tcW w:w="5103" w:type="dxa"/>
            <w:tcBorders>
              <w:top w:val="nil"/>
              <w:left w:val="nil"/>
              <w:bottom w:val="nil"/>
              <w:right w:val="nil"/>
            </w:tcBorders>
            <w:shd w:val="clear" w:color="auto" w:fill="auto"/>
            <w:vAlign w:val="center"/>
          </w:tcPr>
          <w:p w:rsidR="00BA211E" w:rsidRPr="00BA211E" w:rsidRDefault="00BA211E" w:rsidP="00BA211E">
            <w:pPr>
              <w:spacing w:after="120" w:line="240" w:lineRule="auto"/>
              <w:rPr>
                <w:rFonts w:ascii="Times New Roman" w:eastAsia="Calibri" w:hAnsi="Times New Roman" w:cs="Times New Roman"/>
                <w:sz w:val="16"/>
                <w:szCs w:val="16"/>
              </w:rPr>
            </w:pPr>
            <w:r w:rsidRPr="00BA211E">
              <w:rPr>
                <w:rFonts w:ascii="Times New Roman" w:eastAsia="Calibri" w:hAnsi="Times New Roman" w:cs="Times New Roman"/>
                <w:sz w:val="16"/>
                <w:szCs w:val="16"/>
              </w:rPr>
              <w:t>Presun termínu splatenia sociálnych odvodov za rok 2020</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-32 891</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20 236</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9 633</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0</w:t>
            </w:r>
          </w:p>
        </w:tc>
        <w:tc>
          <w:tcPr>
            <w:tcW w:w="795"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0</w:t>
            </w:r>
          </w:p>
        </w:tc>
      </w:tr>
      <w:tr w:rsidR="00BA211E" w:rsidRPr="00BA211E" w:rsidTr="0086666E">
        <w:trPr>
          <w:trHeight w:val="198"/>
        </w:trPr>
        <w:tc>
          <w:tcPr>
            <w:tcW w:w="5103" w:type="dxa"/>
            <w:tcBorders>
              <w:top w:val="nil"/>
              <w:left w:val="nil"/>
              <w:bottom w:val="nil"/>
              <w:right w:val="nil"/>
            </w:tcBorders>
            <w:shd w:val="clear" w:color="auto" w:fill="auto"/>
            <w:noWrap/>
            <w:vAlign w:val="center"/>
          </w:tcPr>
          <w:p w:rsidR="00BA211E" w:rsidRPr="00BA211E" w:rsidRDefault="00BA211E" w:rsidP="00BA211E">
            <w:pPr>
              <w:spacing w:after="120" w:line="240" w:lineRule="auto"/>
              <w:rPr>
                <w:rFonts w:ascii="Times New Roman" w:eastAsia="Calibri" w:hAnsi="Times New Roman" w:cs="Times New Roman"/>
                <w:sz w:val="16"/>
                <w:szCs w:val="16"/>
              </w:rPr>
            </w:pPr>
            <w:r w:rsidRPr="00BA211E">
              <w:rPr>
                <w:rFonts w:ascii="Times New Roman" w:eastAsia="Calibri" w:hAnsi="Times New Roman" w:cs="Times New Roman"/>
                <w:sz w:val="16"/>
                <w:szCs w:val="16"/>
              </w:rPr>
              <w:t>Odklad sociálnych odvodov v roku 2021</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0</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-20 977</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3 536</w:t>
            </w:r>
          </w:p>
        </w:tc>
        <w:tc>
          <w:tcPr>
            <w:tcW w:w="794"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12 897</w:t>
            </w:r>
          </w:p>
        </w:tc>
        <w:tc>
          <w:tcPr>
            <w:tcW w:w="795" w:type="dxa"/>
            <w:tcBorders>
              <w:top w:val="nil"/>
              <w:left w:val="nil"/>
              <w:bottom w:val="nil"/>
              <w:right w:val="nil"/>
            </w:tcBorders>
            <w:shd w:val="clear" w:color="auto" w:fill="auto"/>
            <w:noWrap/>
            <w:vAlign w:val="center"/>
          </w:tcPr>
          <w:p w:rsidR="00BA211E" w:rsidRPr="00BA211E" w:rsidRDefault="00BA211E" w:rsidP="00BA211E">
            <w:pPr>
              <w:spacing w:after="0" w:line="240" w:lineRule="auto"/>
              <w:jc w:val="right"/>
              <w:rPr>
                <w:rFonts w:ascii="Times New Roman" w:eastAsia="Calibri" w:hAnsi="Times New Roman" w:cs="Times New Roman"/>
                <w:sz w:val="16"/>
                <w:szCs w:val="16"/>
              </w:rPr>
            </w:pPr>
            <w:r w:rsidRPr="00BA211E">
              <w:rPr>
                <w:rFonts w:ascii="Times New Roman" w:eastAsia="Calibri" w:hAnsi="Times New Roman" w:cs="Times New Roman"/>
                <w:sz w:val="16"/>
                <w:szCs w:val="16"/>
              </w:rPr>
              <w:t>0</w:t>
            </w:r>
          </w:p>
        </w:tc>
      </w:tr>
      <w:tr w:rsidR="00BA211E" w:rsidRPr="00BA211E" w:rsidTr="0086666E">
        <w:trPr>
          <w:trHeight w:val="198"/>
        </w:trPr>
        <w:tc>
          <w:tcPr>
            <w:tcW w:w="5103" w:type="dxa"/>
            <w:tcBorders>
              <w:top w:val="nil"/>
              <w:left w:val="nil"/>
              <w:bottom w:val="nil"/>
              <w:right w:val="nil"/>
            </w:tcBorders>
            <w:shd w:val="clear" w:color="auto" w:fill="auto"/>
            <w:noWrap/>
            <w:vAlign w:val="center"/>
            <w:hideMark/>
          </w:tcPr>
          <w:p w:rsidR="00BA211E" w:rsidRPr="00BA211E" w:rsidRDefault="00BA211E" w:rsidP="00BA211E">
            <w:pPr>
              <w:spacing w:after="120" w:line="240" w:lineRule="auto"/>
              <w:rPr>
                <w:rFonts w:ascii="Times New Roman" w:eastAsia="Calibri" w:hAnsi="Times New Roman" w:cs="Times New Roman"/>
                <w:bCs/>
                <w:color w:val="FF0000"/>
                <w:sz w:val="16"/>
                <w:szCs w:val="16"/>
                <w:lang w:eastAsia="sk-SK"/>
              </w:rPr>
            </w:pPr>
            <w:r w:rsidRPr="00BA211E">
              <w:rPr>
                <w:rFonts w:ascii="Times New Roman" w:eastAsia="Calibri" w:hAnsi="Times New Roman" w:cs="Times New Roman"/>
                <w:sz w:val="16"/>
                <w:szCs w:val="16"/>
              </w:rPr>
              <w:t xml:space="preserve">Zavedenie nulovej sadzby DPH na respirátory </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Cs/>
                <w:color w:val="FF0000"/>
                <w:sz w:val="16"/>
                <w:szCs w:val="16"/>
                <w:lang w:eastAsia="sk-SK"/>
              </w:rPr>
            </w:pPr>
            <w:r w:rsidRPr="00BA211E">
              <w:rPr>
                <w:rFonts w:ascii="Times New Roman" w:eastAsia="Calibri" w:hAnsi="Times New Roman" w:cs="Times New Roman"/>
                <w:sz w:val="16"/>
                <w:szCs w:val="16"/>
              </w:rPr>
              <w:t>0</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Cs/>
                <w:color w:val="FF0000"/>
                <w:sz w:val="16"/>
                <w:szCs w:val="16"/>
                <w:lang w:eastAsia="sk-SK"/>
              </w:rPr>
            </w:pPr>
            <w:r w:rsidRPr="00BA211E">
              <w:rPr>
                <w:rFonts w:ascii="Times New Roman" w:eastAsia="Calibri" w:hAnsi="Times New Roman" w:cs="Times New Roman"/>
                <w:sz w:val="16"/>
                <w:szCs w:val="16"/>
              </w:rPr>
              <w:t>-10 277</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Cs/>
                <w:color w:val="FF0000"/>
                <w:sz w:val="16"/>
                <w:szCs w:val="16"/>
                <w:lang w:eastAsia="sk-SK"/>
              </w:rPr>
            </w:pPr>
            <w:r w:rsidRPr="00BA211E">
              <w:rPr>
                <w:rFonts w:ascii="Times New Roman" w:eastAsia="Calibri" w:hAnsi="Times New Roman" w:cs="Times New Roman"/>
                <w:sz w:val="16"/>
                <w:szCs w:val="16"/>
              </w:rPr>
              <w:t>0</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Cs/>
                <w:color w:val="FF0000"/>
                <w:sz w:val="16"/>
                <w:szCs w:val="16"/>
                <w:lang w:eastAsia="sk-SK"/>
              </w:rPr>
            </w:pPr>
            <w:r w:rsidRPr="00BA211E">
              <w:rPr>
                <w:rFonts w:ascii="Times New Roman" w:eastAsia="Calibri" w:hAnsi="Times New Roman" w:cs="Times New Roman"/>
                <w:sz w:val="16"/>
                <w:szCs w:val="16"/>
              </w:rPr>
              <w:t>0</w:t>
            </w:r>
          </w:p>
        </w:tc>
        <w:tc>
          <w:tcPr>
            <w:tcW w:w="795"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Cs/>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198"/>
        </w:trPr>
        <w:tc>
          <w:tcPr>
            <w:tcW w:w="5103" w:type="dxa"/>
            <w:tcBorders>
              <w:top w:val="nil"/>
              <w:left w:val="nil"/>
              <w:bottom w:val="nil"/>
              <w:right w:val="nil"/>
            </w:tcBorders>
            <w:shd w:val="clear" w:color="auto" w:fill="auto"/>
            <w:vAlign w:val="center"/>
            <w:hideMark/>
          </w:tcPr>
          <w:p w:rsidR="00BA211E" w:rsidRPr="00BA211E" w:rsidRDefault="00BA211E" w:rsidP="00BA211E">
            <w:pPr>
              <w:spacing w:after="120" w:line="240" w:lineRule="auto"/>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Zmena sadzieb daní z nehnuteľností podľa VZN od 2021</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2 176</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2 176</w:t>
            </w:r>
          </w:p>
        </w:tc>
        <w:tc>
          <w:tcPr>
            <w:tcW w:w="794"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2 176</w:t>
            </w:r>
          </w:p>
        </w:tc>
        <w:tc>
          <w:tcPr>
            <w:tcW w:w="795" w:type="dxa"/>
            <w:tcBorders>
              <w:top w:val="nil"/>
              <w:left w:val="nil"/>
              <w:bottom w:val="nil"/>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2 176</w:t>
            </w:r>
          </w:p>
        </w:tc>
      </w:tr>
      <w:tr w:rsidR="00BA211E" w:rsidRPr="00BA211E" w:rsidTr="0086666E">
        <w:trPr>
          <w:trHeight w:val="198"/>
        </w:trPr>
        <w:tc>
          <w:tcPr>
            <w:tcW w:w="5103" w:type="dxa"/>
            <w:tcBorders>
              <w:top w:val="single" w:sz="4" w:space="0" w:color="auto"/>
              <w:left w:val="nil"/>
              <w:bottom w:val="single" w:sz="4" w:space="0" w:color="auto"/>
              <w:right w:val="nil"/>
            </w:tcBorders>
            <w:shd w:val="clear" w:color="auto" w:fill="auto"/>
            <w:vAlign w:val="center"/>
            <w:hideMark/>
          </w:tcPr>
          <w:p w:rsidR="00BA211E" w:rsidRPr="00BA211E" w:rsidRDefault="00BA211E" w:rsidP="00BA211E">
            <w:pPr>
              <w:spacing w:after="120" w:line="240" w:lineRule="auto"/>
              <w:ind w:hanging="69"/>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 xml:space="preserve">Celkový vplyv legislatívnych zmien </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color w:val="000000"/>
                <w:sz w:val="16"/>
                <w:szCs w:val="16"/>
              </w:rPr>
              <w:t>-32 891</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color w:val="000000"/>
                <w:sz w:val="16"/>
                <w:szCs w:val="16"/>
              </w:rPr>
              <w:t>-8 841</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color w:val="000000"/>
                <w:sz w:val="16"/>
                <w:szCs w:val="16"/>
              </w:rPr>
              <w:t>15 345</w:t>
            </w:r>
          </w:p>
        </w:tc>
        <w:tc>
          <w:tcPr>
            <w:tcW w:w="794"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color w:val="000000"/>
                <w:sz w:val="16"/>
                <w:szCs w:val="16"/>
              </w:rPr>
              <w:t>15 073</w:t>
            </w:r>
          </w:p>
        </w:tc>
        <w:tc>
          <w:tcPr>
            <w:tcW w:w="795" w:type="dxa"/>
            <w:tcBorders>
              <w:top w:val="single" w:sz="4" w:space="0" w:color="auto"/>
              <w:left w:val="nil"/>
              <w:bottom w:val="single" w:sz="4" w:space="0" w:color="auto"/>
              <w:right w:val="nil"/>
            </w:tcBorders>
            <w:shd w:val="clear" w:color="auto" w:fill="auto"/>
            <w:noWrap/>
            <w:vAlign w:val="center"/>
            <w:hideMark/>
          </w:tcPr>
          <w:p w:rsidR="00BA211E" w:rsidRPr="00BA211E" w:rsidRDefault="00BA211E" w:rsidP="00BA211E">
            <w:pPr>
              <w:spacing w:after="0" w:line="240" w:lineRule="auto"/>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color w:val="000000"/>
                <w:sz w:val="16"/>
                <w:szCs w:val="16"/>
              </w:rPr>
              <w:t>2 176</w:t>
            </w:r>
          </w:p>
        </w:tc>
      </w:tr>
    </w:tbl>
    <w:p w:rsidR="00BA211E" w:rsidRPr="00BA211E" w:rsidRDefault="00BA211E" w:rsidP="00BA211E">
      <w:pPr>
        <w:spacing w:after="0" w:line="240" w:lineRule="auto"/>
        <w:jc w:val="both"/>
        <w:rPr>
          <w:rFonts w:ascii="Times New Roman" w:eastAsia="Calibri" w:hAnsi="Times New Roman" w:cs="Times New Roman"/>
          <w:i/>
          <w:sz w:val="16"/>
          <w:szCs w:val="24"/>
        </w:rPr>
      </w:pP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r>
      <w:r w:rsidRPr="00BA211E">
        <w:rPr>
          <w:rFonts w:ascii="Times New Roman" w:eastAsia="Calibri" w:hAnsi="Times New Roman" w:cs="Times New Roman"/>
          <w:sz w:val="24"/>
          <w:szCs w:val="24"/>
        </w:rPr>
        <w:tab/>
        <w:t xml:space="preserve">      </w:t>
      </w:r>
      <w:r w:rsidRPr="00BA211E">
        <w:rPr>
          <w:rFonts w:ascii="Times New Roman" w:eastAsia="Calibri" w:hAnsi="Times New Roman" w:cs="Times New Roman"/>
          <w:i/>
          <w:sz w:val="16"/>
          <w:szCs w:val="24"/>
        </w:rPr>
        <w:t>Zdroj: MF SR</w:t>
      </w:r>
    </w:p>
    <w:p w:rsidR="00BA211E" w:rsidRDefault="00BA211E" w:rsidP="00BA211E">
      <w:pPr>
        <w:spacing w:after="0" w:line="240" w:lineRule="auto"/>
        <w:jc w:val="both"/>
        <w:rPr>
          <w:rFonts w:ascii="Times New Roman" w:eastAsia="Calibri" w:hAnsi="Times New Roman" w:cs="Times New Roman"/>
          <w:b/>
          <w:i/>
          <w:sz w:val="24"/>
          <w:szCs w:val="24"/>
        </w:rPr>
      </w:pPr>
    </w:p>
    <w:p w:rsidR="00B932F5" w:rsidRPr="00BA211E" w:rsidRDefault="00B932F5" w:rsidP="00BA211E">
      <w:pPr>
        <w:spacing w:after="0" w:line="240" w:lineRule="auto"/>
        <w:jc w:val="both"/>
        <w:rPr>
          <w:rFonts w:ascii="Times New Roman" w:eastAsia="Calibri" w:hAnsi="Times New Roman" w:cs="Times New Roman"/>
          <w:b/>
          <w:i/>
          <w:sz w:val="24"/>
          <w:szCs w:val="24"/>
        </w:rPr>
      </w:pPr>
    </w:p>
    <w:p w:rsidR="00BA211E" w:rsidRPr="00BA211E" w:rsidRDefault="00BA211E" w:rsidP="00BA211E">
      <w:pPr>
        <w:spacing w:after="0" w:line="240" w:lineRule="auto"/>
        <w:jc w:val="both"/>
        <w:rPr>
          <w:rFonts w:ascii="Times New Roman" w:eastAsia="Calibri" w:hAnsi="Times New Roman" w:cs="Times New Roman"/>
          <w:b/>
          <w:i/>
          <w:sz w:val="24"/>
          <w:szCs w:val="24"/>
        </w:rPr>
      </w:pPr>
      <w:r w:rsidRPr="00BA211E">
        <w:rPr>
          <w:rFonts w:ascii="Times New Roman" w:eastAsia="Calibri" w:hAnsi="Times New Roman" w:cs="Times New Roman"/>
          <w:b/>
          <w:i/>
          <w:sz w:val="24"/>
          <w:szCs w:val="24"/>
        </w:rPr>
        <w:t>Nariadenia vlády</w:t>
      </w:r>
    </w:p>
    <w:p w:rsidR="00BA211E" w:rsidRPr="00BA211E" w:rsidRDefault="00BA211E" w:rsidP="00BA211E">
      <w:pPr>
        <w:spacing w:after="0" w:line="240" w:lineRule="auto"/>
        <w:jc w:val="both"/>
        <w:rPr>
          <w:rFonts w:ascii="Times New Roman" w:eastAsia="Calibri" w:hAnsi="Times New Roman" w:cs="Times New Roman"/>
          <w:b/>
          <w:i/>
          <w:sz w:val="24"/>
          <w:szCs w:val="24"/>
        </w:rPr>
      </w:pPr>
    </w:p>
    <w:p w:rsidR="00BA211E" w:rsidRPr="00BA211E" w:rsidRDefault="00BA211E" w:rsidP="00BA211E">
      <w:pPr>
        <w:spacing w:after="0" w:line="240" w:lineRule="auto"/>
        <w:jc w:val="both"/>
        <w:rPr>
          <w:rFonts w:ascii="Times New Roman" w:eastAsia="Calibri" w:hAnsi="Times New Roman" w:cs="Times New Roman"/>
          <w:sz w:val="24"/>
          <w:szCs w:val="24"/>
        </w:rPr>
      </w:pPr>
      <w:r w:rsidRPr="00BA211E">
        <w:rPr>
          <w:rFonts w:ascii="Times New Roman" w:eastAsia="Calibri" w:hAnsi="Times New Roman" w:cs="Times New Roman"/>
          <w:sz w:val="24"/>
          <w:szCs w:val="24"/>
        </w:rPr>
        <w:t xml:space="preserve">Vláda </w:t>
      </w:r>
      <w:r w:rsidR="00DF3845">
        <w:rPr>
          <w:rFonts w:ascii="Times New Roman" w:eastAsia="Calibri" w:hAnsi="Times New Roman" w:cs="Times New Roman"/>
          <w:sz w:val="24"/>
          <w:szCs w:val="24"/>
        </w:rPr>
        <w:t xml:space="preserve">SR </w:t>
      </w:r>
      <w:r w:rsidRPr="00BA211E">
        <w:rPr>
          <w:rFonts w:ascii="Times New Roman" w:eastAsia="Calibri" w:hAnsi="Times New Roman" w:cs="Times New Roman"/>
          <w:sz w:val="24"/>
          <w:szCs w:val="24"/>
        </w:rPr>
        <w:t>na zmiernenie finančných dopadov pandémie na firmy a samostatne zárobkovo činné osoby svojim nariadením schválila odklad termínu splatnosti sociálnych odvodov za viacero mesiacov roka 2020 aj 2021 v prípade poklesu tržieb o viac ako 40 %. Na základe posledného nariadenia vlády</w:t>
      </w:r>
      <w:r w:rsidR="00DF3845">
        <w:rPr>
          <w:rFonts w:ascii="Times New Roman" w:eastAsia="Calibri" w:hAnsi="Times New Roman" w:cs="Times New Roman"/>
          <w:sz w:val="24"/>
          <w:szCs w:val="24"/>
        </w:rPr>
        <w:t xml:space="preserve"> SR</w:t>
      </w:r>
      <w:r w:rsidRPr="00BA211E">
        <w:rPr>
          <w:rFonts w:ascii="Times New Roman" w:eastAsia="Calibri" w:hAnsi="Times New Roman" w:cs="Times New Roman"/>
          <w:sz w:val="24"/>
          <w:szCs w:val="24"/>
        </w:rPr>
        <w:t xml:space="preserve"> sa termín splatnosti za jednotlivé mesiace odložil v trojmesačných intervaloch až do 31. decembra 2023. Presun hotovostného plnenia sociálnych odvodov medzi rokmi tak spôsobí výpadok príjmov v roku 2020 a 2021 a naopak zvyšuje príjmy v rokoch 2022 a 2023. Z dôvodu pretrvávajúcich finančných problémov či potenciálneho zániku niektorých firiem sa však neočakáva úplné splatenie odloženého poistného v riadnom termíne. Na základe usmernenia EUROSTAT-u sa však hotovostné splácanie odloženého poistného akruálne priraďuje spätne do rokov, za ktoré boli odložené.</w:t>
      </w:r>
      <w:r w:rsidRPr="00BA211E">
        <w:rPr>
          <w:rFonts w:ascii="Times New Roman" w:eastAsia="Calibri" w:hAnsi="Times New Roman" w:cs="Times New Roman"/>
          <w:sz w:val="24"/>
          <w:szCs w:val="24"/>
          <w:vertAlign w:val="superscript"/>
        </w:rPr>
        <w:footnoteReference w:id="24"/>
      </w:r>
    </w:p>
    <w:p w:rsidR="00BA211E" w:rsidRPr="00BA211E" w:rsidRDefault="00BA211E" w:rsidP="00BA211E">
      <w:pPr>
        <w:spacing w:after="0" w:line="240" w:lineRule="auto"/>
        <w:jc w:val="both"/>
        <w:rPr>
          <w:rFonts w:ascii="Times New Roman" w:eastAsia="Calibri" w:hAnsi="Times New Roman" w:cs="Times New Roman"/>
          <w:color w:val="FF0000"/>
          <w:sz w:val="24"/>
          <w:szCs w:val="24"/>
        </w:rPr>
      </w:pPr>
    </w:p>
    <w:p w:rsidR="00BA211E" w:rsidRPr="00BA211E" w:rsidRDefault="00BA211E" w:rsidP="00BA211E">
      <w:pPr>
        <w:spacing w:after="240" w:line="240" w:lineRule="auto"/>
        <w:jc w:val="both"/>
        <w:rPr>
          <w:rFonts w:ascii="Times New Roman" w:eastAsia="Calibri" w:hAnsi="Times New Roman" w:cs="Times New Roman"/>
          <w:b/>
          <w:i/>
          <w:sz w:val="24"/>
          <w:szCs w:val="24"/>
        </w:rPr>
      </w:pPr>
      <w:r w:rsidRPr="00BA211E">
        <w:rPr>
          <w:rFonts w:ascii="Times New Roman" w:eastAsia="Calibri" w:hAnsi="Times New Roman" w:cs="Times New Roman"/>
          <w:b/>
          <w:i/>
          <w:sz w:val="24"/>
          <w:szCs w:val="24"/>
        </w:rPr>
        <w:t>Zavedenie nulovej sadzby DPH na respirátory</w:t>
      </w:r>
    </w:p>
    <w:p w:rsidR="00BA211E" w:rsidRPr="00BA211E" w:rsidRDefault="00BA211E" w:rsidP="00BA211E">
      <w:pPr>
        <w:spacing w:after="0" w:line="240" w:lineRule="auto"/>
        <w:jc w:val="both"/>
        <w:rPr>
          <w:rFonts w:ascii="Times New Roman" w:eastAsia="Calibri" w:hAnsi="Times New Roman" w:cs="Times New Roman"/>
          <w:sz w:val="24"/>
          <w:szCs w:val="24"/>
        </w:rPr>
      </w:pPr>
      <w:r w:rsidRPr="00BA211E">
        <w:rPr>
          <w:rFonts w:ascii="Times New Roman" w:eastAsia="Calibri" w:hAnsi="Times New Roman" w:cs="Times New Roman"/>
          <w:sz w:val="24"/>
          <w:szCs w:val="24"/>
        </w:rPr>
        <w:t>V roku 2021 bola na časť roka legislatívne znížená sadzba DPH na respirátory FFP2 a FFP3, čo znížilo príjmy z DPH v roku 2021 o približne 10 mil. eur.</w:t>
      </w:r>
    </w:p>
    <w:p w:rsidR="00BA211E" w:rsidRPr="00BA211E" w:rsidRDefault="00BA211E" w:rsidP="00BA211E">
      <w:pPr>
        <w:spacing w:after="0" w:line="240" w:lineRule="auto"/>
        <w:jc w:val="both"/>
        <w:rPr>
          <w:rFonts w:ascii="Times New Roman" w:eastAsia="Calibri" w:hAnsi="Times New Roman" w:cs="Times New Roman"/>
          <w:color w:val="FF0000"/>
          <w:sz w:val="24"/>
          <w:szCs w:val="24"/>
        </w:rPr>
      </w:pPr>
    </w:p>
    <w:p w:rsidR="00BA211E" w:rsidRPr="00BA211E" w:rsidRDefault="00BA211E" w:rsidP="00BA211E">
      <w:pPr>
        <w:spacing w:after="0" w:line="240" w:lineRule="auto"/>
        <w:jc w:val="both"/>
        <w:rPr>
          <w:rFonts w:ascii="Times New Roman" w:eastAsia="Calibri" w:hAnsi="Times New Roman" w:cs="Times New Roman"/>
          <w:b/>
          <w:i/>
          <w:sz w:val="24"/>
          <w:szCs w:val="24"/>
        </w:rPr>
      </w:pPr>
      <w:r w:rsidRPr="00BA211E">
        <w:rPr>
          <w:rFonts w:ascii="Times New Roman" w:eastAsia="Calibri" w:hAnsi="Times New Roman" w:cs="Times New Roman"/>
          <w:b/>
          <w:i/>
          <w:sz w:val="24"/>
          <w:szCs w:val="24"/>
        </w:rPr>
        <w:t>Úprava miestn</w:t>
      </w:r>
      <w:r w:rsidR="00DF3845">
        <w:rPr>
          <w:rFonts w:ascii="Times New Roman" w:eastAsia="Calibri" w:hAnsi="Times New Roman" w:cs="Times New Roman"/>
          <w:b/>
          <w:i/>
          <w:sz w:val="24"/>
          <w:szCs w:val="24"/>
        </w:rPr>
        <w:t xml:space="preserve">ych všeobecne </w:t>
      </w:r>
      <w:r w:rsidRPr="00BA211E">
        <w:rPr>
          <w:rFonts w:ascii="Times New Roman" w:eastAsia="Calibri" w:hAnsi="Times New Roman" w:cs="Times New Roman"/>
          <w:b/>
          <w:i/>
          <w:sz w:val="24"/>
          <w:szCs w:val="24"/>
        </w:rPr>
        <w:t>záväzných nariadení</w:t>
      </w:r>
    </w:p>
    <w:p w:rsidR="00BA211E" w:rsidRPr="00BA211E" w:rsidRDefault="00BA211E" w:rsidP="00BA211E">
      <w:pPr>
        <w:spacing w:after="0" w:line="240" w:lineRule="auto"/>
        <w:jc w:val="both"/>
        <w:rPr>
          <w:rFonts w:ascii="Times New Roman" w:eastAsia="Calibri" w:hAnsi="Times New Roman" w:cs="Times New Roman"/>
          <w:sz w:val="24"/>
          <w:szCs w:val="24"/>
        </w:rPr>
      </w:pPr>
    </w:p>
    <w:p w:rsidR="00BA211E" w:rsidRPr="00BA211E" w:rsidRDefault="00BA211E" w:rsidP="00BA211E">
      <w:pPr>
        <w:spacing w:after="0" w:line="240" w:lineRule="auto"/>
        <w:jc w:val="both"/>
        <w:rPr>
          <w:rFonts w:ascii="Times New Roman" w:eastAsia="Calibri" w:hAnsi="Times New Roman" w:cs="Times New Roman"/>
          <w:sz w:val="24"/>
          <w:szCs w:val="24"/>
        </w:rPr>
      </w:pPr>
      <w:r w:rsidRPr="00BA211E">
        <w:rPr>
          <w:rFonts w:ascii="Times New Roman" w:eastAsia="Calibri" w:hAnsi="Times New Roman" w:cs="Times New Roman"/>
          <w:sz w:val="24"/>
          <w:szCs w:val="24"/>
        </w:rPr>
        <w:t>Koncom roka 2020 niektoré mestá a obce upravili sadzby dane z nehnuteľností s účinnosťou od roka 2021. Celkový vplyv tejto zmeny odhadujeme vo výške 2,2 mil. eur.</w:t>
      </w:r>
    </w:p>
    <w:p w:rsidR="00BA211E" w:rsidRPr="00BA211E" w:rsidRDefault="00BA211E" w:rsidP="00BA211E">
      <w:pPr>
        <w:spacing w:after="0" w:line="240" w:lineRule="auto"/>
        <w:jc w:val="both"/>
        <w:rPr>
          <w:rFonts w:ascii="Times New Roman" w:eastAsia="Calibri" w:hAnsi="Times New Roman" w:cs="Times New Roman"/>
          <w:color w:val="000000"/>
          <w:sz w:val="24"/>
          <w:szCs w:val="24"/>
        </w:rPr>
      </w:pPr>
    </w:p>
    <w:p w:rsidR="00BA211E" w:rsidRPr="00BA211E" w:rsidRDefault="00BA211E" w:rsidP="00BA211E">
      <w:pPr>
        <w:spacing w:after="0" w:line="240" w:lineRule="auto"/>
        <w:jc w:val="both"/>
        <w:rPr>
          <w:rFonts w:ascii="Times New Roman" w:eastAsia="Calibri" w:hAnsi="Times New Roman" w:cs="Times New Roman"/>
          <w:b/>
          <w:color w:val="5B9BD5"/>
          <w:sz w:val="24"/>
          <w:szCs w:val="24"/>
        </w:rPr>
      </w:pPr>
      <w:r w:rsidRPr="00BA211E">
        <w:rPr>
          <w:rFonts w:ascii="Times New Roman" w:eastAsia="Calibri" w:hAnsi="Times New Roman" w:cs="Times New Roman"/>
          <w:b/>
          <w:color w:val="5B9BD5"/>
          <w:sz w:val="24"/>
          <w:szCs w:val="24"/>
        </w:rPr>
        <w:t>Prognóza daňových a odvodových príjmov</w:t>
      </w:r>
    </w:p>
    <w:p w:rsidR="00BA211E" w:rsidRPr="00BA211E" w:rsidRDefault="00BA211E" w:rsidP="00BA211E">
      <w:pPr>
        <w:spacing w:after="0" w:line="240" w:lineRule="auto"/>
        <w:jc w:val="both"/>
        <w:rPr>
          <w:rFonts w:ascii="Times New Roman" w:eastAsia="Calibri" w:hAnsi="Times New Roman" w:cs="Times New Roman"/>
          <w:b/>
          <w:bCs/>
          <w:sz w:val="24"/>
          <w:szCs w:val="24"/>
        </w:rPr>
      </w:pPr>
    </w:p>
    <w:p w:rsidR="00BA211E" w:rsidRDefault="00BA211E" w:rsidP="00B932F5">
      <w:pPr>
        <w:spacing w:after="0" w:line="240" w:lineRule="auto"/>
        <w:jc w:val="both"/>
        <w:rPr>
          <w:rFonts w:ascii="Times New Roman" w:eastAsia="Calibri" w:hAnsi="Times New Roman" w:cs="Times New Roman"/>
          <w:sz w:val="24"/>
          <w:szCs w:val="24"/>
        </w:rPr>
      </w:pPr>
      <w:r w:rsidRPr="00BA211E">
        <w:rPr>
          <w:rFonts w:ascii="Times New Roman" w:eastAsia="Calibri" w:hAnsi="Times New Roman" w:cs="Times New Roman"/>
          <w:b/>
          <w:bCs/>
          <w:sz w:val="24"/>
          <w:szCs w:val="24"/>
        </w:rPr>
        <w:t xml:space="preserve">Akruálne daňové príjmy </w:t>
      </w:r>
      <w:r w:rsidRPr="00BA211E">
        <w:rPr>
          <w:rFonts w:ascii="Times New Roman" w:eastAsia="Calibri" w:hAnsi="Times New Roman" w:cs="Times New Roman"/>
          <w:sz w:val="24"/>
          <w:szCs w:val="24"/>
        </w:rPr>
        <w:t xml:space="preserve">sú podľa jednotlivých položiek uvedené v nasledovnej tabuľke. Detailný vývoj daní a odvodov, vrátane analytických faktorov, publikuje Inštitút finančnej politiky v rámci MF SR na nasledovnej </w:t>
      </w:r>
      <w:r w:rsidRPr="00BA211E">
        <w:rPr>
          <w:rFonts w:ascii="Times New Roman" w:eastAsia="Calibri" w:hAnsi="Times New Roman" w:cs="Times New Roman"/>
          <w:color w:val="0563C1"/>
          <w:sz w:val="24"/>
          <w:szCs w:val="24"/>
          <w:u w:val="single"/>
        </w:rPr>
        <w:t>webstránke</w:t>
      </w:r>
      <w:r w:rsidRPr="00955E1D">
        <w:rPr>
          <w:rFonts w:ascii="Times New Roman" w:eastAsia="Calibri" w:hAnsi="Times New Roman" w:cs="Times New Roman"/>
          <w:sz w:val="24"/>
          <w:szCs w:val="24"/>
          <w:vertAlign w:val="superscript"/>
        </w:rPr>
        <w:footnoteReference w:id="25"/>
      </w:r>
      <w:r w:rsidRPr="00955E1D">
        <w:rPr>
          <w:rFonts w:ascii="Times New Roman" w:eastAsia="Calibri" w:hAnsi="Times New Roman" w:cs="Times New Roman"/>
          <w:sz w:val="24"/>
          <w:szCs w:val="24"/>
        </w:rPr>
        <w:t>.</w:t>
      </w:r>
    </w:p>
    <w:p w:rsidR="00BA211E" w:rsidRDefault="00BA211E"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7A73F1" w:rsidRDefault="007A73F1" w:rsidP="00B932F5">
      <w:pPr>
        <w:spacing w:after="0"/>
        <w:rPr>
          <w:rFonts w:ascii="Times New Roman" w:eastAsia="Calibri" w:hAnsi="Times New Roman" w:cs="Times New Roman"/>
          <w:b/>
          <w:bCs/>
          <w:color w:val="FF0000"/>
        </w:rPr>
      </w:pPr>
    </w:p>
    <w:p w:rsidR="00BA211E" w:rsidRPr="00BA211E" w:rsidRDefault="00BA211E" w:rsidP="00B932F5">
      <w:pPr>
        <w:keepNext/>
        <w:spacing w:after="0" w:line="240" w:lineRule="auto"/>
        <w:rPr>
          <w:rFonts w:ascii="Times New Roman" w:eastAsia="Calibri" w:hAnsi="Times New Roman" w:cs="Times New Roman"/>
          <w:b/>
          <w:iCs/>
          <w:color w:val="5B9BD5"/>
          <w:sz w:val="20"/>
          <w:szCs w:val="18"/>
        </w:rPr>
      </w:pPr>
      <w:bookmarkStart w:id="87" w:name="_Toc53086351"/>
      <w:bookmarkStart w:id="88" w:name="_Toc84845247"/>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23</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Daňové a odvodové príjmy (ESA 2010, v tis. eur)</w:t>
      </w:r>
      <w:bookmarkEnd w:id="87"/>
      <w:bookmarkEnd w:id="88"/>
    </w:p>
    <w:tbl>
      <w:tblPr>
        <w:tblW w:w="5000" w:type="pct"/>
        <w:tblCellMar>
          <w:left w:w="70" w:type="dxa"/>
          <w:right w:w="70" w:type="dxa"/>
        </w:tblCellMar>
        <w:tblLook w:val="04A0" w:firstRow="1" w:lastRow="0" w:firstColumn="1" w:lastColumn="0" w:noHBand="0" w:noVBand="1"/>
      </w:tblPr>
      <w:tblGrid>
        <w:gridCol w:w="3709"/>
        <w:gridCol w:w="860"/>
        <w:gridCol w:w="860"/>
        <w:gridCol w:w="860"/>
        <w:gridCol w:w="860"/>
        <w:gridCol w:w="943"/>
        <w:gridCol w:w="980"/>
      </w:tblGrid>
      <w:tr w:rsidR="00BA211E" w:rsidRPr="007A73F1" w:rsidTr="0086666E">
        <w:trPr>
          <w:trHeight w:val="170"/>
        </w:trPr>
        <w:tc>
          <w:tcPr>
            <w:tcW w:w="2044" w:type="pct"/>
            <w:tcBorders>
              <w:top w:val="single" w:sz="4" w:space="0" w:color="auto"/>
              <w:left w:val="nil"/>
              <w:bottom w:val="single" w:sz="4" w:space="0" w:color="auto"/>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color w:val="FF0000"/>
                <w:sz w:val="14"/>
                <w:szCs w:val="16"/>
                <w:lang w:eastAsia="sk-SK"/>
              </w:rPr>
              <w:t> </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2019</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S</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2020</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S</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2021</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OS</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2022</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N</w:t>
            </w:r>
          </w:p>
        </w:tc>
        <w:tc>
          <w:tcPr>
            <w:tcW w:w="520"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2023</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N</w:t>
            </w:r>
          </w:p>
        </w:tc>
        <w:tc>
          <w:tcPr>
            <w:tcW w:w="540"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2024</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N</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Dane z príjmov, ziskov a kapitálového majetku</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6 523 216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6 379 484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6 857 957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7 513 928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8 167 424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8 434 881</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príjmov fyzických osôb</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3 533 478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3 491 532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3 707 622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4 012 380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4 283 192</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4 541 166</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DPFO zo závislej činnosti</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3 409 857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3 405 452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3 616 872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3 906 859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4 167 381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4 425 000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DPFO z podnikania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123 622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86 080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90 750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105 521</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115 811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116 166</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štátneho rozpočtu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370 574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348 381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466 380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570 068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597 488</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602 727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obcí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2 214 033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2 200 206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2 268 869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2 409 618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2 579 993</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2 756 907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VÚC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948 871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942 945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972 373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1 032 694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1 105 711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1 181 532</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príjmov právnických osôb</w:t>
            </w:r>
            <w:r w:rsidRPr="007A73F1">
              <w:rPr>
                <w:rFonts w:ascii="Calibri" w:eastAsia="Calibri" w:hAnsi="Calibri" w:cs="Times New Roman"/>
                <w:sz w:val="14"/>
                <w:szCs w:val="16"/>
                <w:vertAlign w:val="superscript"/>
                <w:lang w:eastAsia="sk-SK"/>
              </w:rPr>
              <w:footnoteReference w:id="26"/>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2 744 122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2 652 871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2 879 934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3 211 098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3 570 560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3 597 368</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príjmov vyberaná zrážkou</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245 615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235 081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270 401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290 450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313 672</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296 347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Dane na tovary a služby</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9 203 416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9 053 759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9 682 300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10 486 181</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11 251 949</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11 440 779</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pridanej hodnoty</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6 830 155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6 820 217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7 311 404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7 988 815</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8 615 525</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8 773 807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Spotrebné dane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2 373 261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2 233 542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2 370 896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2 497 366</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2 636 424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2 666 972</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minerálnych olejov</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1 288 894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1 196 254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1 226 675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1 293 984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1 355 893</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1 362 797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liehu</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217 898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207 836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207 757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210 958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216 554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223 027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piva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59 350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57 066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55 348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56 142</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57 571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59 230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vína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4 754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4 622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4 751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4 807</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4 916</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5 045</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tabaku a tabakových výrobkov</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766 577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732 026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841 738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896 088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964 926</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978 963</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elektrickej energie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12 334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11 885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10 616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10 841</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11 191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11 591</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Zo zemného plynu</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23 072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23 567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23 748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24 316</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25 170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26 139</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uhlia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263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203</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180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Dane z medzinárodného obchodu a transakcií</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21 079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19 904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27 210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25 967</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25 924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25 511</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Dovozné clo</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Dovozná prirážka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Podiel na vybratých finančných prostriedkoch</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21 064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19 888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27 210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25 967</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25 924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25 511</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Ostatné colné príjmy</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Miestne dane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574 517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653 349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688 995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708 806</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737 965</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755 031</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nehnuteľností</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364 823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427 774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448 144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453 331</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462 987</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474 734</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Dane za špecifické služby</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209 694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225 575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240 851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255 475</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274 978</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280 297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Ostatné dane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632 448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615 827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452 725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456 056</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476 064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478 797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emisných kvót</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-908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-1 318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motorových vozidiel</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153 651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130 157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129 592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132 239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138 700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137 990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Osobitný odvod vybraných finančných inštitúcií</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143 411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148 950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Osobitný odvod z podnikania v regul. odvetviach</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127 558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135 301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93 588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98 294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102 752</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103 395</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Úhrada za služby verejnosti poskytované RTVS</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83 220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75 289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76 939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74 748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75 304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75 866</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úhrad za dobývací priestor</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588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štátneho rozpočtu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obcí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490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296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úhrad za uskladňovanie plynov al. kvapalín</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1 719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626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Poplatok za uloženie odpadov (príjem EF)</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20 834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25 627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31 561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31 145</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32 701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32 934</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Majetkové dane (do ŠR)</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Iné dane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102 362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100 809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119 522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118 113</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125 090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127 095</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štátneho rozpočtu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72 337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69 540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86 332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82 534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86 659</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87 277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obcí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VÚC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na samostatný účet</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30 018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31 120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33 190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35 579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38 431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39 818</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cestná daň - dobeh</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odvod z poistenia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7 142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poistenia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65 190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69 298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86 304</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82 534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86 659</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87 277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odvod z PZP</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30 018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31 120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33 190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35 579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38 431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39 818</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Fondy sociálneho a zdravotného poistenia (FSZP)</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12 165 485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12 355 886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12 895 852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13 640 197</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14 470 671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15 140 677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1"/>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Sociálna poisťovňa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8 163 479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8 285 011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8 597 737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9 083 009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9 633 787</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10 051 634</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Ekonomicky aktívne obyvateľstvo + dlžné</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8 163 479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8 285 011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8 597 737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9 083 009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9 633 787</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10 051 634</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 - EAO</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7 951 867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8 003 710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8 410 205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8 869 122</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9 419 015</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9 837 057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 - dlžné</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211 612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281 300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187 532</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213 887</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214 772</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214 577</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1"/>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Zdravotné poisťovne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4 002 007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4 070 876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4 298 115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4 557 188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4 836 884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5 089 043</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Ekonomicky aktívne obyvateľstvo + dlžné</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4 002 007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4 070 876</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4 298 115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4 557 188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4 836 884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5 089 043</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toho: ročné zúčtovanie</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3 453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16 343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18 288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13 662</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13 573</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13 967</w:t>
            </w:r>
          </w:p>
        </w:tc>
      </w:tr>
      <w:tr w:rsidR="00BA211E" w:rsidRPr="007A73F1" w:rsidTr="0086666E">
        <w:trPr>
          <w:trHeight w:val="170"/>
        </w:trPr>
        <w:tc>
          <w:tcPr>
            <w:tcW w:w="2044" w:type="pct"/>
            <w:tcBorders>
              <w:top w:val="single" w:sz="4" w:space="0" w:color="auto"/>
              <w:left w:val="nil"/>
              <w:bottom w:val="single" w:sz="4" w:space="0" w:color="auto"/>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Daňové príjmy VS spolu</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16 954 675</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16 722 324</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17 709 187</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19 190 938</w:t>
            </w:r>
          </w:p>
        </w:tc>
        <w:tc>
          <w:tcPr>
            <w:tcW w:w="520"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20 659 326</w:t>
            </w:r>
          </w:p>
        </w:tc>
        <w:tc>
          <w:tcPr>
            <w:tcW w:w="540"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21 134 999</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Daňové príjmy ŠR</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12 809 997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12 508 465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13 542 258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14 798 640</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15 985 055</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16 188 102</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Samostatné účty</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30 018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31 120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33 190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35 579</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38 431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39 818</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Štátne finančné aktíva</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270 969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284 251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93 588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98 294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102 752</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103 395</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Daňové príjmy obcí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2 789 047</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2 854 001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2 958 278</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3 118 838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3 318 372</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3 512 352</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Daňové príjmy VÚC</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948 871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942 945</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972 373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1 032 694</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1 105 711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1 181 532</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Daňové príjmy Rozhlasu a televízie Slovenska </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83 220</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75 289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76 939</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74 748</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75 304</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75 866</w:t>
            </w:r>
          </w:p>
        </w:tc>
      </w:tr>
      <w:tr w:rsidR="00BA211E" w:rsidRPr="007A73F1" w:rsidTr="0086666E">
        <w:trPr>
          <w:trHeight w:val="170"/>
        </w:trPr>
        <w:tc>
          <w:tcPr>
            <w:tcW w:w="2044" w:type="pct"/>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Environmentálny fond</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22 553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26 253</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32 561</w:t>
            </w:r>
          </w:p>
        </w:tc>
        <w:tc>
          <w:tcPr>
            <w:tcW w:w="474"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32 145</w:t>
            </w:r>
          </w:p>
        </w:tc>
        <w:tc>
          <w:tcPr>
            <w:tcW w:w="52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33 701</w:t>
            </w:r>
          </w:p>
        </w:tc>
        <w:tc>
          <w:tcPr>
            <w:tcW w:w="540" w:type="pct"/>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33 934</w:t>
            </w:r>
          </w:p>
        </w:tc>
      </w:tr>
      <w:tr w:rsidR="00BA211E" w:rsidRPr="007A73F1" w:rsidTr="0086666E">
        <w:trPr>
          <w:trHeight w:val="170"/>
        </w:trPr>
        <w:tc>
          <w:tcPr>
            <w:tcW w:w="2044" w:type="pct"/>
            <w:tcBorders>
              <w:top w:val="single" w:sz="4" w:space="0" w:color="auto"/>
              <w:left w:val="nil"/>
              <w:bottom w:val="single" w:sz="4" w:space="0" w:color="auto"/>
              <w:right w:val="nil"/>
            </w:tcBorders>
            <w:shd w:val="clear" w:color="auto" w:fill="auto"/>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FSZP spolu</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12 165 485</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12 355 886</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12 895 852</w:t>
            </w:r>
          </w:p>
        </w:tc>
        <w:tc>
          <w:tcPr>
            <w:tcW w:w="474"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13 640 197</w:t>
            </w:r>
          </w:p>
        </w:tc>
        <w:tc>
          <w:tcPr>
            <w:tcW w:w="520"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14 470 671</w:t>
            </w:r>
          </w:p>
        </w:tc>
        <w:tc>
          <w:tcPr>
            <w:tcW w:w="540" w:type="pct"/>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15 140 677</w:t>
            </w:r>
          </w:p>
        </w:tc>
      </w:tr>
      <w:tr w:rsidR="00BA211E" w:rsidRPr="007A73F1" w:rsidTr="0086666E">
        <w:trPr>
          <w:trHeight w:val="170"/>
        </w:trPr>
        <w:tc>
          <w:tcPr>
            <w:tcW w:w="2044" w:type="pct"/>
            <w:tcBorders>
              <w:top w:val="nil"/>
              <w:left w:val="nil"/>
              <w:bottom w:val="single" w:sz="4" w:space="0" w:color="auto"/>
              <w:right w:val="nil"/>
            </w:tcBorders>
            <w:shd w:val="clear" w:color="auto" w:fill="auto"/>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Daňové príjmy a príjmy FSZP spolu</w:t>
            </w:r>
          </w:p>
        </w:tc>
        <w:tc>
          <w:tcPr>
            <w:tcW w:w="474" w:type="pct"/>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29 120 160</w:t>
            </w:r>
          </w:p>
        </w:tc>
        <w:tc>
          <w:tcPr>
            <w:tcW w:w="474" w:type="pct"/>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29 078 210</w:t>
            </w:r>
          </w:p>
        </w:tc>
        <w:tc>
          <w:tcPr>
            <w:tcW w:w="474" w:type="pct"/>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30 605 039</w:t>
            </w:r>
          </w:p>
        </w:tc>
        <w:tc>
          <w:tcPr>
            <w:tcW w:w="474" w:type="pct"/>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32 831 135</w:t>
            </w:r>
          </w:p>
        </w:tc>
        <w:tc>
          <w:tcPr>
            <w:tcW w:w="520" w:type="pct"/>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35 129 997</w:t>
            </w:r>
          </w:p>
        </w:tc>
        <w:tc>
          <w:tcPr>
            <w:tcW w:w="540" w:type="pct"/>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36 275 676</w:t>
            </w:r>
          </w:p>
        </w:tc>
      </w:tr>
    </w:tbl>
    <w:p w:rsidR="00BA211E" w:rsidRPr="00BA211E" w:rsidRDefault="00BA211E" w:rsidP="00BA211E">
      <w:pPr>
        <w:rPr>
          <w:rFonts w:ascii="Times New Roman" w:eastAsia="Calibri" w:hAnsi="Times New Roman" w:cs="Times New Roman"/>
          <w:bCs/>
          <w:i/>
        </w:rPr>
      </w:pP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r>
      <w:r w:rsidRPr="00BA211E">
        <w:rPr>
          <w:rFonts w:ascii="Times New Roman" w:eastAsia="Calibri" w:hAnsi="Times New Roman" w:cs="Times New Roman"/>
          <w:bCs/>
        </w:rPr>
        <w:tab/>
        <w:t xml:space="preserve">      </w:t>
      </w:r>
      <w:r w:rsidRPr="00BA211E">
        <w:rPr>
          <w:rFonts w:ascii="Times New Roman" w:eastAsia="Calibri" w:hAnsi="Times New Roman" w:cs="Times New Roman"/>
          <w:bCs/>
          <w:i/>
          <w:sz w:val="16"/>
        </w:rPr>
        <w:t>Zdroj: MF SR</w:t>
      </w:r>
    </w:p>
    <w:p w:rsidR="004F568C" w:rsidRDefault="004F568C" w:rsidP="00E35831">
      <w:pPr>
        <w:spacing w:after="0"/>
        <w:jc w:val="both"/>
        <w:rPr>
          <w:rFonts w:ascii="Times New Roman" w:eastAsia="Calibri" w:hAnsi="Times New Roman" w:cs="Times New Roman"/>
          <w:b/>
          <w:bCs/>
          <w:sz w:val="24"/>
        </w:rPr>
      </w:pPr>
    </w:p>
    <w:p w:rsidR="00BA211E" w:rsidRPr="00BA211E" w:rsidRDefault="00BA211E" w:rsidP="00E35831">
      <w:pPr>
        <w:spacing w:after="0"/>
        <w:jc w:val="both"/>
        <w:rPr>
          <w:rFonts w:ascii="Times New Roman" w:eastAsia="Calibri" w:hAnsi="Times New Roman" w:cs="Times New Roman"/>
          <w:sz w:val="24"/>
        </w:rPr>
      </w:pPr>
      <w:r w:rsidRPr="00BA211E">
        <w:rPr>
          <w:rFonts w:ascii="Times New Roman" w:eastAsia="Calibri" w:hAnsi="Times New Roman" w:cs="Times New Roman"/>
          <w:b/>
          <w:bCs/>
          <w:sz w:val="24"/>
        </w:rPr>
        <w:t>Daňové príjmy na hotovostnej báze</w:t>
      </w:r>
      <w:r w:rsidRPr="00BA211E">
        <w:rPr>
          <w:rFonts w:ascii="Times New Roman" w:eastAsia="Calibri" w:hAnsi="Times New Roman" w:cs="Times New Roman"/>
          <w:sz w:val="24"/>
        </w:rPr>
        <w:t xml:space="preserve"> sú prezentované v nasledovnej tabuľke. Podľa rozpočtovej klasifikácie sa sankčné úroky (ďalej len „sankcie“) uložené v daňovom konaní k jednotlivým daniam rozpočtujú v rámci samostatnej kategórie. </w:t>
      </w:r>
    </w:p>
    <w:p w:rsidR="004F568C" w:rsidRPr="00BA211E" w:rsidRDefault="004F568C" w:rsidP="00E35831">
      <w:pPr>
        <w:spacing w:after="0"/>
        <w:jc w:val="both"/>
        <w:rPr>
          <w:rFonts w:ascii="Times New Roman" w:eastAsia="Calibri" w:hAnsi="Times New Roman" w:cs="Times New Roman"/>
        </w:rPr>
      </w:pPr>
    </w:p>
    <w:p w:rsidR="00BA211E" w:rsidRPr="00BA211E" w:rsidRDefault="00BA211E" w:rsidP="00E35831">
      <w:pPr>
        <w:keepNext/>
        <w:spacing w:after="0" w:line="240" w:lineRule="auto"/>
        <w:rPr>
          <w:rFonts w:ascii="Times New Roman" w:eastAsia="Calibri" w:hAnsi="Times New Roman" w:cs="Times New Roman"/>
          <w:b/>
          <w:iCs/>
          <w:color w:val="5B9BD5"/>
          <w:sz w:val="20"/>
          <w:szCs w:val="18"/>
        </w:rPr>
      </w:pPr>
      <w:bookmarkStart w:id="89" w:name="_Toc53086352"/>
      <w:bookmarkStart w:id="90" w:name="_Toc84845248"/>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24</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Daňové a odvodové príjmy (hotovostný princíp, v tis. eur)</w:t>
      </w:r>
      <w:bookmarkEnd w:id="89"/>
      <w:bookmarkEnd w:id="90"/>
    </w:p>
    <w:tbl>
      <w:tblPr>
        <w:tblW w:w="5000" w:type="pct"/>
        <w:tblLayout w:type="fixed"/>
        <w:tblCellMar>
          <w:left w:w="70" w:type="dxa"/>
          <w:right w:w="70" w:type="dxa"/>
        </w:tblCellMar>
        <w:tblLook w:val="04A0" w:firstRow="1" w:lastRow="0" w:firstColumn="1" w:lastColumn="0" w:noHBand="0" w:noVBand="1"/>
      </w:tblPr>
      <w:tblGrid>
        <w:gridCol w:w="3828"/>
        <w:gridCol w:w="874"/>
        <w:gridCol w:w="874"/>
        <w:gridCol w:w="874"/>
        <w:gridCol w:w="874"/>
        <w:gridCol w:w="874"/>
        <w:gridCol w:w="874"/>
      </w:tblGrid>
      <w:tr w:rsidR="00BA211E" w:rsidRPr="007A73F1" w:rsidTr="0086666E">
        <w:trPr>
          <w:trHeight w:val="113"/>
        </w:trPr>
        <w:tc>
          <w:tcPr>
            <w:tcW w:w="3828" w:type="dxa"/>
            <w:tcBorders>
              <w:top w:val="single" w:sz="4" w:space="0" w:color="auto"/>
              <w:left w:val="nil"/>
              <w:bottom w:val="single" w:sz="4" w:space="0" w:color="auto"/>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 </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2019</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S</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2020</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S</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2021</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OS</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2022</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N</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2023</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N</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4"/>
              </w:rPr>
              <w:t>2024</w:t>
            </w:r>
            <w:r w:rsidR="00DF3845" w:rsidRPr="007A73F1">
              <w:rPr>
                <w:rFonts w:ascii="Times New Roman" w:eastAsia="Calibri" w:hAnsi="Times New Roman" w:cs="Times New Roman"/>
                <w:b/>
                <w:bCs/>
                <w:sz w:val="14"/>
                <w:szCs w:val="14"/>
              </w:rPr>
              <w:t xml:space="preserve"> </w:t>
            </w:r>
            <w:r w:rsidRPr="007A73F1">
              <w:rPr>
                <w:rFonts w:ascii="Times New Roman" w:eastAsia="Calibri" w:hAnsi="Times New Roman" w:cs="Times New Roman"/>
                <w:b/>
                <w:bCs/>
                <w:sz w:val="14"/>
                <w:szCs w:val="14"/>
              </w:rPr>
              <w:t>N</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Dane z príjmov, ziskov a kapitálového majetku</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6 152 090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5 704 795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6 174 881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6 920 326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7 573 355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7 987 946</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príjmov fyzických osôb</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3 155 500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3 120 154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3 245 954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3 463 192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3 706 096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3 951 294</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DPFO zo závislej činnosti</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3 072 044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3 067 524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3 215 763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3 432 301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3 671 849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3 910 873</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DPFO z podnikania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83 456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52 631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30 191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30 891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34 247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40 421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štátneho rozpočtu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-7 404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-22 997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4 712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20 880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20 392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12 855</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obcí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2 214 033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2 200 206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2 268 869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2 409 618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2 579 993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2 756 907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VÚC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948 871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942 945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972 373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1 032 694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1 105 711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1 181 532</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príjmov právnických osôb</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2 750 974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2 349 560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2 658 526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3 166 684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3 553 587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3 740 305</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príjmov vyberaná zrážkou</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245 615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235 081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270 401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290 450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313 672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296 347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Dane na tovary a služby</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9 085 628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9 049 495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9 680 625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10 610 713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11 314 723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11 468 436</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pridanej hodnoty</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6 727 881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6 791 757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7 329 261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8 129 729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8 688 933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8 803 767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Spotrebné dane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2 357 747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2 257 738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2 351 364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2 480 984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2 625 790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2 664 669</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minerálnych olejov</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1 286 550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1 199 259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1 224 818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1 289 940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1 351 798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1 362 679</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liehu</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219 459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206 554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210 343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209 481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215 981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222 313</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piva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59 336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56 929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55 581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56 063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57 482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59 118</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vína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4 734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4 814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4 683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4 726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4 892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5 017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tabaku a tabakových výrobkov</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751 381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754 285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821 344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885 639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959 199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977 784</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elektrickej energie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12 202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11 876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10 616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10 884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11 163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11 556</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Zo zemného plynu</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23 688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23 746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23 703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24 019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25 068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26 019</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uhlia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396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232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183</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Dane z medzinárodného obchodu a transakcií</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21 079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19 904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27 210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25 967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25 924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25 511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Dovozné clo</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Dovozná prirážka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Podiel na vybratých finančných prostriedkoch</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21 064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19 888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27 210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25 967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25 924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25 511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Ostatné colné príjmy</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Miestne dane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574 517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653 349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688 995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708 806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737 965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755 031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nehnuteľností</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364 823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427 774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448 144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453 331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462 987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474 734</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Dane za špecifické služby</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209 694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225 575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240 851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255 475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274 978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280 297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Ostatné dane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607 028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617 997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442 697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457 861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471 175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481 460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emisných kvót</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-908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-1 318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motorových vozidiel</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157 893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141 146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113 419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138 369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139 632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141 483</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Osobitný odvod vybraných finančných inštitúcií</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143 411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148 950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Osobitný odvod z podnikania v regul. odvetviach</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112 597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119 598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109 629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97 902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102 380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103 342</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Úhrada za služby verejnosti poskytované RTVS</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83 220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75 289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76 939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74 748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75 304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75 866</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úhrad za dobývací priestor</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588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517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štátneho rozpočtu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obcí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296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414</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úhrad za uskladňovanie plynov alebo kvapalín</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1 719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626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1 000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Poplatok za uloženie odpadov (príjem EF)</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20 834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25 627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31 561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31 145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32 701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32 934</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Majetkové dane (do ŠR)</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Iné dane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87 661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107 692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109 626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114 180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119 641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126 318</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štátneho rozpočtu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59 189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77 525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78 506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80 990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84 062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87 887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obcí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do VÚC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na samostatný účet</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28 464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30 018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31 120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33 190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35 579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38 431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cestná daň - dobeh</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odvod z poistenia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9 026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1 328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139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0</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 z poistenia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50 158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76 196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78 367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80 990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84 062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87 887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odvod z PZP</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28 464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30 018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31 120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33 190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35 579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38 431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Fondy sociálneho a zdravotného poistenia (FSZP)</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12 118 180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12 285 981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12 865 325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13 593 491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14 420 065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15 083 676</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1"/>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Sociálna poisťovňa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8 136 268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8 217 492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8 581 804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9 058 315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9 606 558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10 015 668</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Ekonomicky aktívne obyvateľstvo + dlžné</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8 136 268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8 217 492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8 581 804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9 058 315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9 606 558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10 015 668</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 - EAO</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7 924 656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7 936 192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8 394 272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8 844 428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9 391 786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9 801 091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 - dlžné</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211 612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281 300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187 532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213 887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214 772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214 577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1"/>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Zdravotné poisťovne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3 981 912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4 068 489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4 283 521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4 535 176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4 813 507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5 068 008</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400" w:firstLine="56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Ekonomicky aktívne obyvateľstvo + dlžné</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3 981 912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4 068 489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4 283 521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4 535 176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4 813 507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5 068 008</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600" w:firstLine="84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z toho: ročné zúčtovanie</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3 981 912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4 068 489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4 283 521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4 535 176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4 813 507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5 068 008</w:t>
            </w:r>
          </w:p>
        </w:tc>
      </w:tr>
      <w:tr w:rsidR="00BA211E" w:rsidRPr="007A73F1" w:rsidTr="0086666E">
        <w:trPr>
          <w:trHeight w:val="113"/>
        </w:trPr>
        <w:tc>
          <w:tcPr>
            <w:tcW w:w="3828" w:type="dxa"/>
            <w:tcBorders>
              <w:top w:val="single" w:sz="4" w:space="0" w:color="auto"/>
              <w:left w:val="nil"/>
              <w:bottom w:val="single" w:sz="4" w:space="0" w:color="auto"/>
              <w:right w:val="nil"/>
            </w:tcBorders>
            <w:shd w:val="clear" w:color="auto" w:fill="auto"/>
            <w:noWrap/>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Daňové príjmy VS spolu</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16 440 341</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16 045 540</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17 014 408</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18 723 673</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20 123 142</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20 718 384</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Daňové príjmy ŠR</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12 312 177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11 848 487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12 833 508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14 334 156</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15 452 095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15 772 927</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Samostatné účty</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28 464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30 018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31 120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33 190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35 579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38 431</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Štátne finančné aktíva</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256 009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268 548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109 629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97 902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102 380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103 342</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Daňové príjmy obcí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2 789 047</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2 854 001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2 958 278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3 118 838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3 318 372</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3 512 352</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Daňové príjmy VÚC</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948 871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942 945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972 373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1 032 694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1 105 711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1 181 532</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 xml:space="preserve">Daňové príjmy Rozhlasu a televízie Slovenska </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83 220</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75 289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76 939</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74 748</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75 304</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75 866</w:t>
            </w:r>
          </w:p>
        </w:tc>
      </w:tr>
      <w:tr w:rsidR="00BA211E" w:rsidRPr="007A73F1" w:rsidTr="0086666E">
        <w:trPr>
          <w:trHeight w:val="113"/>
        </w:trPr>
        <w:tc>
          <w:tcPr>
            <w:tcW w:w="3828" w:type="dxa"/>
            <w:tcBorders>
              <w:top w:val="nil"/>
              <w:left w:val="nil"/>
              <w:bottom w:val="nil"/>
              <w:right w:val="nil"/>
            </w:tcBorders>
            <w:shd w:val="clear" w:color="auto" w:fill="auto"/>
            <w:noWrap/>
            <w:vAlign w:val="bottom"/>
            <w:hideMark/>
          </w:tcPr>
          <w:p w:rsidR="00BA211E" w:rsidRPr="007A73F1" w:rsidRDefault="00BA211E" w:rsidP="00BA211E">
            <w:pPr>
              <w:spacing w:after="0" w:line="240" w:lineRule="auto"/>
              <w:ind w:firstLineChars="200" w:firstLine="280"/>
              <w:rPr>
                <w:rFonts w:ascii="Times New Roman" w:eastAsia="Calibri" w:hAnsi="Times New Roman" w:cs="Times New Roman"/>
                <w:sz w:val="14"/>
                <w:szCs w:val="16"/>
                <w:lang w:eastAsia="sk-SK"/>
              </w:rPr>
            </w:pPr>
            <w:r w:rsidRPr="007A73F1">
              <w:rPr>
                <w:rFonts w:ascii="Times New Roman" w:eastAsia="Calibri" w:hAnsi="Times New Roman" w:cs="Times New Roman"/>
                <w:sz w:val="14"/>
                <w:szCs w:val="16"/>
                <w:lang w:eastAsia="sk-SK"/>
              </w:rPr>
              <w:t>Environmentálny fond</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22 553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26 253</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32 561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32 145</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33 701</w:t>
            </w:r>
          </w:p>
        </w:tc>
        <w:tc>
          <w:tcPr>
            <w:tcW w:w="874" w:type="dxa"/>
            <w:tcBorders>
              <w:top w:val="nil"/>
              <w:left w:val="nil"/>
              <w:bottom w:val="nil"/>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color w:val="FF0000"/>
                <w:sz w:val="14"/>
                <w:szCs w:val="16"/>
                <w:lang w:eastAsia="sk-SK"/>
              </w:rPr>
            </w:pPr>
            <w:r w:rsidRPr="007A73F1">
              <w:rPr>
                <w:rFonts w:ascii="Times New Roman" w:eastAsia="Calibri" w:hAnsi="Times New Roman" w:cs="Times New Roman"/>
                <w:sz w:val="14"/>
                <w:szCs w:val="16"/>
              </w:rPr>
              <w:t>33 934</w:t>
            </w:r>
          </w:p>
        </w:tc>
      </w:tr>
      <w:tr w:rsidR="00BA211E" w:rsidRPr="007A73F1" w:rsidTr="0086666E">
        <w:trPr>
          <w:trHeight w:val="113"/>
        </w:trPr>
        <w:tc>
          <w:tcPr>
            <w:tcW w:w="3828" w:type="dxa"/>
            <w:tcBorders>
              <w:top w:val="single" w:sz="4" w:space="0" w:color="auto"/>
              <w:left w:val="nil"/>
              <w:bottom w:val="single" w:sz="4" w:space="0" w:color="auto"/>
              <w:right w:val="nil"/>
            </w:tcBorders>
            <w:shd w:val="clear" w:color="auto" w:fill="auto"/>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FSZP spolu</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12 118 180</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12 285 981</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12 865 325</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13 593 491</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14 420 065</w:t>
            </w:r>
          </w:p>
        </w:tc>
        <w:tc>
          <w:tcPr>
            <w:tcW w:w="874" w:type="dxa"/>
            <w:tcBorders>
              <w:top w:val="single" w:sz="4" w:space="0" w:color="auto"/>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15 083 676</w:t>
            </w:r>
          </w:p>
        </w:tc>
      </w:tr>
      <w:tr w:rsidR="00BA211E" w:rsidRPr="007A73F1" w:rsidTr="0086666E">
        <w:trPr>
          <w:trHeight w:val="113"/>
        </w:trPr>
        <w:tc>
          <w:tcPr>
            <w:tcW w:w="3828" w:type="dxa"/>
            <w:tcBorders>
              <w:top w:val="nil"/>
              <w:left w:val="nil"/>
              <w:bottom w:val="single" w:sz="4" w:space="0" w:color="auto"/>
              <w:right w:val="nil"/>
            </w:tcBorders>
            <w:shd w:val="clear" w:color="auto" w:fill="auto"/>
            <w:vAlign w:val="bottom"/>
            <w:hideMark/>
          </w:tcPr>
          <w:p w:rsidR="00BA211E" w:rsidRPr="007A73F1" w:rsidRDefault="00BA211E" w:rsidP="00BA211E">
            <w:pPr>
              <w:spacing w:after="0" w:line="240" w:lineRule="auto"/>
              <w:rPr>
                <w:rFonts w:ascii="Times New Roman" w:eastAsia="Calibri" w:hAnsi="Times New Roman" w:cs="Times New Roman"/>
                <w:b/>
                <w:bCs/>
                <w:sz w:val="14"/>
                <w:szCs w:val="16"/>
                <w:lang w:eastAsia="sk-SK"/>
              </w:rPr>
            </w:pPr>
            <w:r w:rsidRPr="007A73F1">
              <w:rPr>
                <w:rFonts w:ascii="Times New Roman" w:eastAsia="Calibri" w:hAnsi="Times New Roman" w:cs="Times New Roman"/>
                <w:b/>
                <w:bCs/>
                <w:sz w:val="14"/>
                <w:szCs w:val="16"/>
                <w:lang w:eastAsia="sk-SK"/>
              </w:rPr>
              <w:t>Daňové príjmy a príjmy FSZP spolu</w:t>
            </w:r>
          </w:p>
        </w:tc>
        <w:tc>
          <w:tcPr>
            <w:tcW w:w="874" w:type="dxa"/>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28 558 520</w:t>
            </w:r>
          </w:p>
        </w:tc>
        <w:tc>
          <w:tcPr>
            <w:tcW w:w="874" w:type="dxa"/>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28 331 522</w:t>
            </w:r>
          </w:p>
        </w:tc>
        <w:tc>
          <w:tcPr>
            <w:tcW w:w="874" w:type="dxa"/>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29 879 733</w:t>
            </w:r>
          </w:p>
        </w:tc>
        <w:tc>
          <w:tcPr>
            <w:tcW w:w="874" w:type="dxa"/>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32 317 164</w:t>
            </w:r>
          </w:p>
        </w:tc>
        <w:tc>
          <w:tcPr>
            <w:tcW w:w="874" w:type="dxa"/>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34 543 207</w:t>
            </w:r>
          </w:p>
        </w:tc>
        <w:tc>
          <w:tcPr>
            <w:tcW w:w="874" w:type="dxa"/>
            <w:tcBorders>
              <w:top w:val="nil"/>
              <w:left w:val="nil"/>
              <w:bottom w:val="single" w:sz="4" w:space="0" w:color="auto"/>
              <w:right w:val="nil"/>
            </w:tcBorders>
            <w:shd w:val="clear" w:color="auto" w:fill="auto"/>
            <w:noWrap/>
            <w:vAlign w:val="center"/>
            <w:hideMark/>
          </w:tcPr>
          <w:p w:rsidR="00BA211E" w:rsidRPr="007A73F1" w:rsidRDefault="00BA211E" w:rsidP="00BA211E">
            <w:pPr>
              <w:spacing w:after="0" w:line="240" w:lineRule="auto"/>
              <w:jc w:val="right"/>
              <w:rPr>
                <w:rFonts w:ascii="Times New Roman" w:eastAsia="Calibri" w:hAnsi="Times New Roman" w:cs="Times New Roman"/>
                <w:b/>
                <w:bCs/>
                <w:color w:val="FF0000"/>
                <w:sz w:val="14"/>
                <w:szCs w:val="16"/>
                <w:lang w:eastAsia="sk-SK"/>
              </w:rPr>
            </w:pPr>
            <w:r w:rsidRPr="007A73F1">
              <w:rPr>
                <w:rFonts w:ascii="Times New Roman" w:eastAsia="Calibri" w:hAnsi="Times New Roman" w:cs="Times New Roman"/>
                <w:b/>
                <w:bCs/>
                <w:sz w:val="14"/>
                <w:szCs w:val="16"/>
              </w:rPr>
              <w:t>35 802 060</w:t>
            </w:r>
          </w:p>
        </w:tc>
      </w:tr>
    </w:tbl>
    <w:p w:rsidR="00BA211E" w:rsidRPr="00BA211E" w:rsidRDefault="00BA211E" w:rsidP="00BA211E">
      <w:pPr>
        <w:jc w:val="both"/>
        <w:rPr>
          <w:rFonts w:ascii="Times New Roman" w:eastAsia="Calibri" w:hAnsi="Times New Roman" w:cs="Times New Roman"/>
        </w:rPr>
      </w:pP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r>
      <w:r w:rsidRPr="00BA211E">
        <w:rPr>
          <w:rFonts w:ascii="Times New Roman" w:eastAsia="Calibri" w:hAnsi="Times New Roman" w:cs="Times New Roman"/>
        </w:rPr>
        <w:tab/>
        <w:t xml:space="preserve">      </w:t>
      </w:r>
      <w:r w:rsidRPr="00BA211E">
        <w:rPr>
          <w:rFonts w:ascii="Times New Roman" w:eastAsia="Calibri" w:hAnsi="Times New Roman" w:cs="Times New Roman"/>
          <w:bCs/>
          <w:i/>
          <w:sz w:val="16"/>
        </w:rPr>
        <w:t>Zdroj: MF SR</w:t>
      </w:r>
    </w:p>
    <w:p w:rsidR="00214A4A" w:rsidRDefault="00214A4A" w:rsidP="00BA211E">
      <w:pPr>
        <w:spacing w:after="0"/>
        <w:jc w:val="both"/>
        <w:rPr>
          <w:rFonts w:ascii="Times New Roman" w:eastAsia="Calibri" w:hAnsi="Times New Roman" w:cs="Times New Roman"/>
          <w:sz w:val="24"/>
        </w:rPr>
      </w:pPr>
    </w:p>
    <w:p w:rsidR="00214A4A" w:rsidRDefault="00214A4A" w:rsidP="00BA211E">
      <w:pPr>
        <w:spacing w:after="0"/>
        <w:jc w:val="both"/>
        <w:rPr>
          <w:rFonts w:ascii="Times New Roman" w:eastAsia="Calibri" w:hAnsi="Times New Roman" w:cs="Times New Roman"/>
          <w:sz w:val="24"/>
        </w:rPr>
      </w:pPr>
    </w:p>
    <w:p w:rsidR="007A73F1" w:rsidRDefault="007A73F1" w:rsidP="00BA211E">
      <w:pPr>
        <w:spacing w:after="0"/>
        <w:jc w:val="both"/>
        <w:rPr>
          <w:rFonts w:ascii="Times New Roman" w:eastAsia="Calibri" w:hAnsi="Times New Roman" w:cs="Times New Roman"/>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V súlade s klasifikáciou je predpokladaná výška sankcií k jednotlivým daniam uvedená v osobitnej tabuľke.</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keepNext/>
        <w:spacing w:after="0" w:line="240" w:lineRule="auto"/>
        <w:rPr>
          <w:rFonts w:ascii="Times New Roman" w:eastAsia="Calibri" w:hAnsi="Times New Roman" w:cs="Times New Roman"/>
          <w:b/>
          <w:iCs/>
          <w:color w:val="5B9BD5"/>
          <w:sz w:val="20"/>
          <w:szCs w:val="18"/>
          <w:vertAlign w:val="superscript"/>
        </w:rPr>
      </w:pPr>
      <w:bookmarkStart w:id="91" w:name="_Toc53086353"/>
      <w:bookmarkStart w:id="92" w:name="_Toc84845249"/>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25</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Predpokladaný vývoj sankcií (v tis. eur)</w:t>
      </w:r>
      <w:r w:rsidRPr="00BA211E">
        <w:rPr>
          <w:rFonts w:ascii="Times New Roman" w:eastAsia="Calibri" w:hAnsi="Times New Roman" w:cs="Times New Roman"/>
          <w:b/>
          <w:iCs/>
          <w:color w:val="5B9BD5"/>
          <w:sz w:val="20"/>
          <w:szCs w:val="18"/>
          <w:vertAlign w:val="superscript"/>
        </w:rPr>
        <w:t>*</w:t>
      </w:r>
      <w:bookmarkEnd w:id="91"/>
      <w:bookmarkEnd w:id="92"/>
    </w:p>
    <w:tbl>
      <w:tblPr>
        <w:tblW w:w="5000" w:type="pct"/>
        <w:tblLayout w:type="fixed"/>
        <w:tblCellMar>
          <w:left w:w="70" w:type="dxa"/>
          <w:right w:w="70" w:type="dxa"/>
        </w:tblCellMar>
        <w:tblLook w:val="04A0" w:firstRow="1" w:lastRow="0" w:firstColumn="1" w:lastColumn="0" w:noHBand="0" w:noVBand="1"/>
      </w:tblPr>
      <w:tblGrid>
        <w:gridCol w:w="4329"/>
        <w:gridCol w:w="786"/>
        <w:gridCol w:w="788"/>
        <w:gridCol w:w="51"/>
        <w:gridCol w:w="741"/>
        <w:gridCol w:w="37"/>
        <w:gridCol w:w="585"/>
        <w:gridCol w:w="168"/>
        <w:gridCol w:w="797"/>
        <w:gridCol w:w="790"/>
      </w:tblGrid>
      <w:tr w:rsidR="00BA211E" w:rsidRPr="00BA211E" w:rsidTr="0086666E">
        <w:trPr>
          <w:trHeight w:val="148"/>
        </w:trPr>
        <w:tc>
          <w:tcPr>
            <w:tcW w:w="4329"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 </w:t>
            </w:r>
          </w:p>
        </w:tc>
        <w:tc>
          <w:tcPr>
            <w:tcW w:w="786"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2019 S</w:t>
            </w:r>
          </w:p>
        </w:tc>
        <w:tc>
          <w:tcPr>
            <w:tcW w:w="788"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2020 S</w:t>
            </w:r>
          </w:p>
        </w:tc>
        <w:tc>
          <w:tcPr>
            <w:tcW w:w="792" w:type="dxa"/>
            <w:gridSpan w:val="2"/>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2021 OS</w:t>
            </w:r>
          </w:p>
        </w:tc>
        <w:tc>
          <w:tcPr>
            <w:tcW w:w="790" w:type="dxa"/>
            <w:gridSpan w:val="3"/>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2022 N</w:t>
            </w:r>
          </w:p>
        </w:tc>
        <w:tc>
          <w:tcPr>
            <w:tcW w:w="797"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2023 N</w:t>
            </w:r>
          </w:p>
        </w:tc>
        <w:tc>
          <w:tcPr>
            <w:tcW w:w="790"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2024 N</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rPr>
                <w:rFonts w:ascii="Times New Roman" w:eastAsia="Calibri" w:hAnsi="Times New Roman" w:cs="Times New Roman"/>
                <w:b/>
                <w:bCs/>
                <w:sz w:val="16"/>
                <w:szCs w:val="16"/>
                <w:vertAlign w:val="superscript"/>
                <w:lang w:eastAsia="sk-SK"/>
              </w:rPr>
            </w:pPr>
            <w:r w:rsidRPr="00BA211E">
              <w:rPr>
                <w:rFonts w:ascii="Times New Roman" w:eastAsia="Calibri" w:hAnsi="Times New Roman" w:cs="Times New Roman"/>
                <w:b/>
                <w:bCs/>
                <w:sz w:val="16"/>
                <w:szCs w:val="16"/>
                <w:lang w:eastAsia="sk-SK"/>
              </w:rPr>
              <w:t>SANKCIE spolu</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42 808</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30 364</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27 964</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30 398</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30 398</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30 398</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fyzických osôb</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4 590</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3 050</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3 012</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4 590</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4 590</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4 590</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právnických osôb</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6 187</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5 860</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5 509</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5 509</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5 509</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5 509</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príjmov vyberaná zrážkou</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272</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179</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179</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179</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179</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179</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 z pridanej hodnoty</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14 720</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9 147</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6 115</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6 115</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6 115</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6 115</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Spotrebné dane</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54</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Miestne dane</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Ostatné dane + dane z medzinárodného obchodu a transakcií</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1 459</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927</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564</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1 420</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1 420</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1 420</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Sankcie uložené v daňovom konaní</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1 796</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1 039</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1 039</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1 039</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1 039</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1 039</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Sociálna poisťovňa</w:t>
            </w:r>
          </w:p>
        </w:tc>
        <w:tc>
          <w:tcPr>
            <w:tcW w:w="786"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12 983</w:t>
            </w:r>
          </w:p>
        </w:tc>
        <w:tc>
          <w:tcPr>
            <w:tcW w:w="788"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9 503</w:t>
            </w:r>
          </w:p>
        </w:tc>
        <w:tc>
          <w:tcPr>
            <w:tcW w:w="792" w:type="dxa"/>
            <w:gridSpan w:val="2"/>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10 887</w:t>
            </w:r>
          </w:p>
        </w:tc>
        <w:tc>
          <w:tcPr>
            <w:tcW w:w="790" w:type="dxa"/>
            <w:gridSpan w:val="3"/>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10 887</w:t>
            </w:r>
          </w:p>
        </w:tc>
        <w:tc>
          <w:tcPr>
            <w:tcW w:w="797"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10 887</w:t>
            </w:r>
          </w:p>
        </w:tc>
        <w:tc>
          <w:tcPr>
            <w:tcW w:w="790"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10 887</w:t>
            </w:r>
          </w:p>
        </w:tc>
      </w:tr>
      <w:tr w:rsidR="00BA211E" w:rsidRPr="00BA211E" w:rsidTr="0086666E">
        <w:trPr>
          <w:trHeight w:val="284"/>
        </w:trPr>
        <w:tc>
          <w:tcPr>
            <w:tcW w:w="4329"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ind w:firstLineChars="100" w:firstLine="16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Zdravotné poisťovne</w:t>
            </w:r>
          </w:p>
        </w:tc>
        <w:tc>
          <w:tcPr>
            <w:tcW w:w="786"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746</w:t>
            </w:r>
          </w:p>
        </w:tc>
        <w:tc>
          <w:tcPr>
            <w:tcW w:w="788"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659</w:t>
            </w:r>
          </w:p>
        </w:tc>
        <w:tc>
          <w:tcPr>
            <w:tcW w:w="792" w:type="dxa"/>
            <w:gridSpan w:val="2"/>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659</w:t>
            </w:r>
          </w:p>
        </w:tc>
        <w:tc>
          <w:tcPr>
            <w:tcW w:w="790" w:type="dxa"/>
            <w:gridSpan w:val="3"/>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659</w:t>
            </w:r>
          </w:p>
        </w:tc>
        <w:tc>
          <w:tcPr>
            <w:tcW w:w="797"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659</w:t>
            </w:r>
          </w:p>
        </w:tc>
        <w:tc>
          <w:tcPr>
            <w:tcW w:w="790" w:type="dxa"/>
            <w:tcBorders>
              <w:top w:val="nil"/>
              <w:left w:val="nil"/>
              <w:bottom w:val="single" w:sz="4" w:space="0" w:color="auto"/>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659</w:t>
            </w:r>
          </w:p>
        </w:tc>
      </w:tr>
      <w:tr w:rsidR="00BA211E" w:rsidRPr="00BA211E" w:rsidTr="0086666E">
        <w:trPr>
          <w:trHeight w:val="284"/>
        </w:trPr>
        <w:tc>
          <w:tcPr>
            <w:tcW w:w="4329" w:type="dxa"/>
            <w:tcBorders>
              <w:top w:val="nil"/>
              <w:left w:val="nil"/>
              <w:bottom w:val="nil"/>
              <w:right w:val="nil"/>
            </w:tcBorders>
            <w:shd w:val="clear" w:color="auto" w:fill="auto"/>
            <w:noWrap/>
            <w:vAlign w:val="center"/>
            <w:hideMark/>
          </w:tcPr>
          <w:p w:rsidR="00BA211E" w:rsidRPr="00BA211E" w:rsidRDefault="00BA211E" w:rsidP="00577D3F">
            <w:pPr>
              <w:spacing w:after="0"/>
              <w:rPr>
                <w:rFonts w:ascii="Times New Roman" w:eastAsia="Calibri" w:hAnsi="Times New Roman" w:cs="Times New Roman"/>
                <w:i/>
                <w:sz w:val="16"/>
                <w:szCs w:val="16"/>
                <w:lang w:eastAsia="sk-SK"/>
              </w:rPr>
            </w:pPr>
            <w:r w:rsidRPr="00BA211E">
              <w:rPr>
                <w:rFonts w:ascii="Times New Roman" w:eastAsia="Calibri" w:hAnsi="Times New Roman" w:cs="Times New Roman"/>
                <w:i/>
                <w:sz w:val="16"/>
                <w:szCs w:val="16"/>
                <w:lang w:eastAsia="sk-SK"/>
              </w:rPr>
              <w:t xml:space="preserve">* Sankcie sú identické podľa hotovostnej a akruálnej metodiky. </w:t>
            </w:r>
          </w:p>
        </w:tc>
        <w:tc>
          <w:tcPr>
            <w:tcW w:w="1625" w:type="dxa"/>
            <w:gridSpan w:val="3"/>
            <w:tcBorders>
              <w:top w:val="nil"/>
              <w:left w:val="nil"/>
              <w:bottom w:val="nil"/>
              <w:right w:val="nil"/>
            </w:tcBorders>
            <w:shd w:val="clear" w:color="auto" w:fill="auto"/>
            <w:noWrap/>
            <w:vAlign w:val="center"/>
            <w:hideMark/>
          </w:tcPr>
          <w:p w:rsidR="00BA211E" w:rsidRPr="00BA211E" w:rsidRDefault="00BA211E" w:rsidP="00577D3F">
            <w:pPr>
              <w:spacing w:after="0"/>
              <w:rPr>
                <w:rFonts w:ascii="Times New Roman" w:eastAsia="Calibri" w:hAnsi="Times New Roman" w:cs="Times New Roman"/>
                <w:sz w:val="16"/>
                <w:szCs w:val="16"/>
                <w:lang w:eastAsia="sk-SK"/>
              </w:rPr>
            </w:pPr>
          </w:p>
        </w:tc>
        <w:tc>
          <w:tcPr>
            <w:tcW w:w="778" w:type="dxa"/>
            <w:gridSpan w:val="2"/>
            <w:tcBorders>
              <w:top w:val="nil"/>
              <w:left w:val="nil"/>
              <w:bottom w:val="nil"/>
              <w:right w:val="nil"/>
            </w:tcBorders>
            <w:shd w:val="clear" w:color="auto" w:fill="auto"/>
            <w:noWrap/>
            <w:vAlign w:val="center"/>
            <w:hideMark/>
          </w:tcPr>
          <w:p w:rsidR="00BA211E" w:rsidRPr="00BA211E" w:rsidRDefault="00BA211E" w:rsidP="00577D3F">
            <w:pPr>
              <w:spacing w:after="0"/>
              <w:rPr>
                <w:rFonts w:ascii="Times New Roman" w:eastAsia="Calibri" w:hAnsi="Times New Roman" w:cs="Times New Roman"/>
                <w:sz w:val="16"/>
                <w:szCs w:val="16"/>
                <w:lang w:eastAsia="sk-SK"/>
              </w:rPr>
            </w:pPr>
          </w:p>
        </w:tc>
        <w:tc>
          <w:tcPr>
            <w:tcW w:w="585" w:type="dxa"/>
            <w:tcBorders>
              <w:top w:val="nil"/>
              <w:left w:val="nil"/>
              <w:bottom w:val="nil"/>
              <w:right w:val="nil"/>
            </w:tcBorders>
            <w:shd w:val="clear" w:color="auto" w:fill="auto"/>
            <w:noWrap/>
            <w:vAlign w:val="center"/>
            <w:hideMark/>
          </w:tcPr>
          <w:p w:rsidR="00BA211E" w:rsidRPr="00BA211E" w:rsidRDefault="00BA211E" w:rsidP="00577D3F">
            <w:pPr>
              <w:spacing w:after="0"/>
              <w:rPr>
                <w:rFonts w:ascii="Times New Roman" w:eastAsia="Calibri" w:hAnsi="Times New Roman" w:cs="Times New Roman"/>
                <w:sz w:val="16"/>
                <w:szCs w:val="16"/>
                <w:lang w:eastAsia="sk-SK"/>
              </w:rPr>
            </w:pPr>
          </w:p>
        </w:tc>
        <w:tc>
          <w:tcPr>
            <w:tcW w:w="1755" w:type="dxa"/>
            <w:gridSpan w:val="3"/>
            <w:tcBorders>
              <w:top w:val="nil"/>
              <w:left w:val="nil"/>
              <w:bottom w:val="nil"/>
              <w:right w:val="nil"/>
            </w:tcBorders>
            <w:shd w:val="clear" w:color="auto" w:fill="auto"/>
            <w:noWrap/>
            <w:vAlign w:val="center"/>
            <w:hideMark/>
          </w:tcPr>
          <w:p w:rsidR="00BA211E" w:rsidRPr="00BA211E" w:rsidRDefault="00BA211E" w:rsidP="00577D3F">
            <w:pPr>
              <w:spacing w:after="0"/>
              <w:jc w:val="right"/>
              <w:rPr>
                <w:rFonts w:ascii="Times New Roman" w:eastAsia="Calibri" w:hAnsi="Times New Roman" w:cs="Times New Roman"/>
                <w:sz w:val="16"/>
                <w:szCs w:val="16"/>
                <w:lang w:eastAsia="sk-SK"/>
              </w:rPr>
            </w:pPr>
            <w:r w:rsidRPr="00BA211E">
              <w:rPr>
                <w:rFonts w:ascii="Times New Roman" w:eastAsia="Calibri" w:hAnsi="Times New Roman" w:cs="Times New Roman"/>
                <w:bCs/>
                <w:i/>
                <w:sz w:val="16"/>
              </w:rPr>
              <w:t>Zdroj: MF SR</w:t>
            </w:r>
          </w:p>
        </w:tc>
      </w:tr>
    </w:tbl>
    <w:p w:rsidR="00BA211E" w:rsidRPr="00BA211E" w:rsidRDefault="00BA211E" w:rsidP="00577D3F">
      <w:pPr>
        <w:spacing w:after="0"/>
        <w:jc w:val="both"/>
        <w:rPr>
          <w:rFonts w:ascii="Times New Roman" w:eastAsia="Calibri" w:hAnsi="Times New Roman" w:cs="Times New Roman"/>
          <w:color w:val="FF0000"/>
          <w:sz w:val="24"/>
          <w:highlight w:val="yellow"/>
        </w:rPr>
      </w:pPr>
    </w:p>
    <w:p w:rsidR="00BA211E" w:rsidRPr="00BA211E" w:rsidRDefault="00BA211E" w:rsidP="00577D3F">
      <w:pPr>
        <w:spacing w:after="0"/>
        <w:jc w:val="both"/>
        <w:rPr>
          <w:rFonts w:ascii="Times New Roman" w:eastAsia="Calibri" w:hAnsi="Times New Roman" w:cs="Times New Roman"/>
          <w:b/>
          <w:color w:val="5B9BD5"/>
          <w:sz w:val="24"/>
        </w:rPr>
      </w:pPr>
      <w:r w:rsidRPr="00BA211E">
        <w:rPr>
          <w:rFonts w:ascii="Times New Roman" w:eastAsia="Calibri" w:hAnsi="Times New Roman" w:cs="Times New Roman"/>
          <w:b/>
          <w:color w:val="5B9BD5"/>
          <w:sz w:val="24"/>
        </w:rPr>
        <w:t>Akrualizácia daňových a odvodových príjmov</w:t>
      </w:r>
    </w:p>
    <w:p w:rsidR="00BA211E" w:rsidRPr="00BA211E" w:rsidRDefault="00BA211E" w:rsidP="00BA211E">
      <w:pPr>
        <w:spacing w:after="0"/>
        <w:jc w:val="both"/>
        <w:rPr>
          <w:rFonts w:ascii="Times New Roman" w:eastAsia="Calibri" w:hAnsi="Times New Roman" w:cs="Times New Roman"/>
          <w:b/>
          <w:color w:val="2C9ADC"/>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 xml:space="preserve">Rozdiel medzi akruálnym a hotovostným výnosom daní je spôsobený viacerými faktormi, medzi tie hlavné patria zaznamenávanie daňových kreditov, poukazovanie 2 % na osobitné účely a samotný spôsob výberu daní. </w:t>
      </w:r>
    </w:p>
    <w:p w:rsidR="00BA211E" w:rsidRPr="00BA211E" w:rsidRDefault="00BA211E" w:rsidP="00BA211E">
      <w:pPr>
        <w:spacing w:after="0"/>
        <w:jc w:val="both"/>
        <w:rPr>
          <w:rFonts w:ascii="Times New Roman" w:eastAsia="Calibri" w:hAnsi="Times New Roman" w:cs="Times New Roman"/>
          <w:b/>
          <w:color w:val="2C9ADC"/>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 xml:space="preserve">V nasledujúcej tabuľke sú uvedené rozdiely medzi akruálnymi a hotovostnými odhadmi daní podľa subjektov verejnej správy. </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keepNext/>
        <w:spacing w:after="0" w:line="240" w:lineRule="auto"/>
        <w:rPr>
          <w:rFonts w:ascii="Times New Roman" w:eastAsia="Calibri" w:hAnsi="Times New Roman" w:cs="Times New Roman"/>
          <w:b/>
          <w:iCs/>
          <w:color w:val="5B9BD5"/>
          <w:sz w:val="20"/>
          <w:szCs w:val="18"/>
        </w:rPr>
      </w:pPr>
      <w:bookmarkStart w:id="93" w:name="_Toc53086354"/>
      <w:bookmarkStart w:id="94" w:name="_Toc84845250"/>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26</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Odhad rozdielu medzi akruálnymi a hotovostnými prognózami v rokoch 2019 až 2024 </w:t>
      </w:r>
      <w:r w:rsidRPr="00BA211E">
        <w:rPr>
          <w:rFonts w:ascii="Times New Roman" w:eastAsia="Calibri" w:hAnsi="Times New Roman" w:cs="Times New Roman"/>
          <w:b/>
          <w:iCs/>
          <w:color w:val="5B9BD5"/>
          <w:sz w:val="20"/>
          <w:szCs w:val="18"/>
        </w:rPr>
        <w:br/>
        <w:t>(v tis. eur)</w:t>
      </w:r>
      <w:bookmarkEnd w:id="93"/>
      <w:bookmarkEnd w:id="94"/>
    </w:p>
    <w:tbl>
      <w:tblPr>
        <w:tblW w:w="5000" w:type="pct"/>
        <w:tblCellMar>
          <w:left w:w="70" w:type="dxa"/>
          <w:right w:w="70" w:type="dxa"/>
        </w:tblCellMar>
        <w:tblLook w:val="04A0" w:firstRow="1" w:lastRow="0" w:firstColumn="1" w:lastColumn="0" w:noHBand="0" w:noVBand="1"/>
      </w:tblPr>
      <w:tblGrid>
        <w:gridCol w:w="4131"/>
        <w:gridCol w:w="889"/>
        <w:gridCol w:w="904"/>
        <w:gridCol w:w="787"/>
        <w:gridCol w:w="787"/>
        <w:gridCol w:w="787"/>
        <w:gridCol w:w="787"/>
      </w:tblGrid>
      <w:tr w:rsidR="00BA211E" w:rsidRPr="00BA211E" w:rsidTr="0086666E">
        <w:trPr>
          <w:trHeight w:val="255"/>
        </w:trPr>
        <w:tc>
          <w:tcPr>
            <w:tcW w:w="4131"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 </w:t>
            </w:r>
          </w:p>
        </w:tc>
        <w:tc>
          <w:tcPr>
            <w:tcW w:w="889"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2019 S</w:t>
            </w:r>
          </w:p>
        </w:tc>
        <w:tc>
          <w:tcPr>
            <w:tcW w:w="904"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2020 S</w:t>
            </w:r>
          </w:p>
        </w:tc>
        <w:tc>
          <w:tcPr>
            <w:tcW w:w="787"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2021 OS</w:t>
            </w:r>
          </w:p>
        </w:tc>
        <w:tc>
          <w:tcPr>
            <w:tcW w:w="787"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2022 N</w:t>
            </w:r>
          </w:p>
        </w:tc>
        <w:tc>
          <w:tcPr>
            <w:tcW w:w="787"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2023 N</w:t>
            </w:r>
          </w:p>
        </w:tc>
        <w:tc>
          <w:tcPr>
            <w:tcW w:w="787"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2024 N</w:t>
            </w:r>
          </w:p>
        </w:tc>
      </w:tr>
      <w:tr w:rsidR="00BA211E" w:rsidRPr="00BA211E" w:rsidTr="0086666E">
        <w:trPr>
          <w:trHeight w:val="255"/>
        </w:trPr>
        <w:tc>
          <w:tcPr>
            <w:tcW w:w="4131" w:type="dxa"/>
            <w:tcBorders>
              <w:top w:val="nil"/>
              <w:left w:val="nil"/>
              <w:bottom w:val="nil"/>
              <w:right w:val="nil"/>
            </w:tcBorders>
            <w:shd w:val="clear" w:color="auto" w:fill="auto"/>
            <w:vAlign w:val="bottom"/>
            <w:hideMark/>
          </w:tcPr>
          <w:p w:rsidR="00BA211E" w:rsidRPr="00BA211E" w:rsidRDefault="00BA211E" w:rsidP="00BA211E">
            <w:pPr>
              <w:spacing w:after="0"/>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Daňové príjmy VS</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561 640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746 688</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725 306</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513 971</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586 790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473 616</w:t>
            </w:r>
          </w:p>
        </w:tc>
      </w:tr>
      <w:tr w:rsidR="00BA211E" w:rsidRPr="00BA211E" w:rsidTr="0086666E">
        <w:trPr>
          <w:trHeight w:val="255"/>
        </w:trPr>
        <w:tc>
          <w:tcPr>
            <w:tcW w:w="4131" w:type="dxa"/>
            <w:tcBorders>
              <w:top w:val="nil"/>
              <w:left w:val="nil"/>
              <w:bottom w:val="nil"/>
              <w:right w:val="nil"/>
            </w:tcBorders>
            <w:shd w:val="clear" w:color="auto" w:fill="auto"/>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Štátny rozpočet</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497 820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659 978</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708 750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464 484</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532 960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415 175</w:t>
            </w:r>
          </w:p>
        </w:tc>
      </w:tr>
      <w:tr w:rsidR="00BA211E" w:rsidRPr="00BA211E" w:rsidTr="0086666E">
        <w:trPr>
          <w:trHeight w:val="255"/>
        </w:trPr>
        <w:tc>
          <w:tcPr>
            <w:tcW w:w="4131"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Samostatné účty</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1 553</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1 102</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2 070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2 389</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2 852</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1 387</w:t>
            </w:r>
          </w:p>
        </w:tc>
      </w:tr>
      <w:tr w:rsidR="00BA211E" w:rsidRPr="00BA211E" w:rsidTr="0086666E">
        <w:trPr>
          <w:trHeight w:val="255"/>
        </w:trPr>
        <w:tc>
          <w:tcPr>
            <w:tcW w:w="4131" w:type="dxa"/>
            <w:tcBorders>
              <w:top w:val="nil"/>
              <w:left w:val="nil"/>
              <w:bottom w:val="nil"/>
              <w:right w:val="nil"/>
            </w:tcBorders>
            <w:shd w:val="clear" w:color="auto" w:fill="auto"/>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Štátne finančné aktíva</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14 960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15 703</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-16 041</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392</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372</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53</w:t>
            </w:r>
          </w:p>
        </w:tc>
      </w:tr>
      <w:tr w:rsidR="00BA211E" w:rsidRPr="00BA211E" w:rsidTr="0086666E">
        <w:trPr>
          <w:trHeight w:val="255"/>
        </w:trPr>
        <w:tc>
          <w:tcPr>
            <w:tcW w:w="4131" w:type="dxa"/>
            <w:tcBorders>
              <w:top w:val="nil"/>
              <w:left w:val="nil"/>
              <w:bottom w:val="nil"/>
              <w:right w:val="nil"/>
            </w:tcBorders>
            <w:shd w:val="clear" w:color="auto" w:fill="auto"/>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Obce</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131" w:type="dxa"/>
            <w:tcBorders>
              <w:top w:val="nil"/>
              <w:left w:val="nil"/>
              <w:bottom w:val="nil"/>
              <w:right w:val="nil"/>
            </w:tcBorders>
            <w:shd w:val="clear" w:color="auto" w:fill="auto"/>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VÚC</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131"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Rozhlas a televízia Slovenska (RTVS)</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131"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Environmentálny fond</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131" w:type="dxa"/>
            <w:tcBorders>
              <w:top w:val="nil"/>
              <w:left w:val="nil"/>
              <w:bottom w:val="nil"/>
              <w:right w:val="nil"/>
            </w:tcBorders>
            <w:shd w:val="clear" w:color="auto" w:fill="auto"/>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Sociálna poisťovňa</w:t>
            </w:r>
          </w:p>
        </w:tc>
        <w:tc>
          <w:tcPr>
            <w:tcW w:w="88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27 211</w:t>
            </w:r>
          </w:p>
        </w:tc>
        <w:tc>
          <w:tcPr>
            <w:tcW w:w="9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67 519</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15 933</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24 694</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27 229</w:t>
            </w:r>
          </w:p>
        </w:tc>
        <w:tc>
          <w:tcPr>
            <w:tcW w:w="787"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35 966</w:t>
            </w:r>
          </w:p>
        </w:tc>
      </w:tr>
      <w:tr w:rsidR="00BA211E" w:rsidRPr="00BA211E" w:rsidTr="0086666E">
        <w:trPr>
          <w:trHeight w:val="255"/>
        </w:trPr>
        <w:tc>
          <w:tcPr>
            <w:tcW w:w="4131" w:type="dxa"/>
            <w:tcBorders>
              <w:top w:val="nil"/>
              <w:left w:val="nil"/>
              <w:bottom w:val="single" w:sz="4" w:space="0" w:color="auto"/>
              <w:right w:val="nil"/>
            </w:tcBorders>
            <w:shd w:val="clear" w:color="auto" w:fill="auto"/>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Zdravotné poisťovne</w:t>
            </w:r>
          </w:p>
        </w:tc>
        <w:tc>
          <w:tcPr>
            <w:tcW w:w="889"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20 095</w:t>
            </w:r>
          </w:p>
        </w:tc>
        <w:tc>
          <w:tcPr>
            <w:tcW w:w="904"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2 387</w:t>
            </w:r>
          </w:p>
        </w:tc>
        <w:tc>
          <w:tcPr>
            <w:tcW w:w="787"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14 594</w:t>
            </w:r>
          </w:p>
        </w:tc>
        <w:tc>
          <w:tcPr>
            <w:tcW w:w="787"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22 012</w:t>
            </w:r>
          </w:p>
        </w:tc>
        <w:tc>
          <w:tcPr>
            <w:tcW w:w="787"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23 377</w:t>
            </w:r>
          </w:p>
        </w:tc>
        <w:tc>
          <w:tcPr>
            <w:tcW w:w="787"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21 035</w:t>
            </w:r>
          </w:p>
        </w:tc>
      </w:tr>
      <w:tr w:rsidR="00BA211E" w:rsidRPr="00BA211E" w:rsidTr="0086666E">
        <w:trPr>
          <w:trHeight w:val="255"/>
        </w:trPr>
        <w:tc>
          <w:tcPr>
            <w:tcW w:w="9072" w:type="dxa"/>
            <w:gridSpan w:val="7"/>
            <w:tcBorders>
              <w:top w:val="nil"/>
              <w:left w:val="nil"/>
              <w:bottom w:val="nil"/>
              <w:right w:val="nil"/>
            </w:tcBorders>
            <w:shd w:val="clear" w:color="auto" w:fill="auto"/>
            <w:vAlign w:val="center"/>
            <w:hideMark/>
          </w:tcPr>
          <w:p w:rsidR="00BA211E" w:rsidRPr="00BA211E" w:rsidRDefault="00BA211E" w:rsidP="00577D3F">
            <w:pPr>
              <w:spacing w:after="0"/>
              <w:rPr>
                <w:rFonts w:ascii="Times New Roman" w:eastAsia="Calibri" w:hAnsi="Times New Roman" w:cs="Times New Roman"/>
                <w:i/>
                <w:sz w:val="16"/>
                <w:szCs w:val="16"/>
                <w:lang w:eastAsia="sk-SK"/>
              </w:rPr>
            </w:pPr>
            <w:r w:rsidRPr="00BA211E">
              <w:rPr>
                <w:rFonts w:ascii="Times New Roman" w:eastAsia="Calibri" w:hAnsi="Times New Roman" w:cs="Times New Roman"/>
                <w:i/>
                <w:sz w:val="16"/>
                <w:szCs w:val="16"/>
                <w:lang w:eastAsia="sk-SK"/>
              </w:rPr>
              <w:t xml:space="preserve">(+) znamená, že výnos daní v metodike ESA 2010 je vyšší ako na hotovostnej báze; (-) že je nižší ako na hotovostnej báze      </w:t>
            </w:r>
            <w:r w:rsidRPr="00BA211E">
              <w:rPr>
                <w:rFonts w:ascii="Times New Roman" w:eastAsia="Calibri" w:hAnsi="Times New Roman" w:cs="Times New Roman"/>
                <w:bCs/>
                <w:i/>
                <w:sz w:val="16"/>
              </w:rPr>
              <w:t>Zdroj: MF SR</w:t>
            </w:r>
          </w:p>
        </w:tc>
      </w:tr>
    </w:tbl>
    <w:p w:rsidR="00577D3F" w:rsidRDefault="00577D3F" w:rsidP="00577D3F">
      <w:pPr>
        <w:spacing w:after="0"/>
        <w:jc w:val="both"/>
        <w:rPr>
          <w:rFonts w:ascii="Times New Roman" w:eastAsia="Calibri" w:hAnsi="Times New Roman" w:cs="Times New Roman"/>
          <w:bCs/>
          <w:sz w:val="24"/>
        </w:rPr>
      </w:pPr>
    </w:p>
    <w:p w:rsidR="00BA211E" w:rsidRPr="00BA211E" w:rsidRDefault="00BA211E" w:rsidP="00577D3F">
      <w:pPr>
        <w:spacing w:after="0"/>
        <w:jc w:val="both"/>
        <w:rPr>
          <w:rFonts w:ascii="Times New Roman" w:eastAsia="Calibri" w:hAnsi="Times New Roman" w:cs="Times New Roman"/>
          <w:bCs/>
          <w:sz w:val="24"/>
        </w:rPr>
      </w:pPr>
      <w:r w:rsidRPr="00BA211E">
        <w:rPr>
          <w:rFonts w:ascii="Times New Roman" w:eastAsia="Calibri" w:hAnsi="Times New Roman" w:cs="Times New Roman"/>
          <w:bCs/>
          <w:sz w:val="24"/>
        </w:rPr>
        <w:t xml:space="preserve">Najväčší vplyv majú dlhodobo daňové kredity. Zmena ich výšky nemá vplyv na akruálny výnos dane z príjmu fyzických osôb (metodika ESA 2010), avšak hotovostný výnos DPFO je o túto sumu znížený. Celá akrualizácia daňových kreditov sa pripisuje na účet štátneho rozpočtu. </w:t>
      </w:r>
    </w:p>
    <w:p w:rsidR="00BA211E" w:rsidRPr="00BA211E" w:rsidRDefault="00BA211E" w:rsidP="00BA211E">
      <w:pPr>
        <w:spacing w:after="0"/>
        <w:ind w:firstLine="709"/>
        <w:jc w:val="both"/>
        <w:rPr>
          <w:rFonts w:ascii="Times New Roman" w:eastAsia="Calibri" w:hAnsi="Times New Roman" w:cs="Times New Roman"/>
          <w:bCs/>
          <w:sz w:val="24"/>
        </w:rPr>
      </w:pPr>
    </w:p>
    <w:p w:rsidR="00BA211E" w:rsidRPr="00BA211E" w:rsidRDefault="00BA211E" w:rsidP="00BA211E">
      <w:pPr>
        <w:spacing w:after="0"/>
        <w:jc w:val="both"/>
        <w:rPr>
          <w:rFonts w:ascii="Times New Roman" w:eastAsia="Calibri" w:hAnsi="Times New Roman" w:cs="Times New Roman"/>
          <w:bCs/>
          <w:sz w:val="24"/>
        </w:rPr>
      </w:pPr>
      <w:r w:rsidRPr="00BA211E">
        <w:rPr>
          <w:rFonts w:ascii="Times New Roman" w:eastAsia="Calibri" w:hAnsi="Times New Roman" w:cs="Times New Roman"/>
          <w:bCs/>
          <w:sz w:val="24"/>
        </w:rPr>
        <w:t>V porovnaní s rozpočtom verejnej správy na roky 2021 až 2023 prišlo k miernemu poklesu daňových kreditov.</w:t>
      </w:r>
    </w:p>
    <w:p w:rsidR="00BA211E" w:rsidRPr="00BA211E" w:rsidRDefault="00BA211E" w:rsidP="00BA211E">
      <w:pPr>
        <w:spacing w:after="0"/>
        <w:jc w:val="both"/>
        <w:rPr>
          <w:rFonts w:ascii="Times New Roman" w:eastAsia="Calibri" w:hAnsi="Times New Roman" w:cs="Times New Roman"/>
          <w:bCs/>
          <w:sz w:val="24"/>
        </w:rPr>
      </w:pPr>
    </w:p>
    <w:p w:rsidR="00BA211E" w:rsidRPr="00BA211E" w:rsidRDefault="00BA211E" w:rsidP="00BA211E">
      <w:pPr>
        <w:keepNext/>
        <w:spacing w:after="0" w:line="240" w:lineRule="auto"/>
        <w:rPr>
          <w:rFonts w:ascii="Times New Roman" w:eastAsia="Calibri" w:hAnsi="Times New Roman" w:cs="Times New Roman"/>
          <w:b/>
          <w:iCs/>
          <w:color w:val="5B9BD5"/>
          <w:sz w:val="20"/>
          <w:szCs w:val="18"/>
        </w:rPr>
      </w:pPr>
      <w:bookmarkStart w:id="95" w:name="_Toc53086355"/>
      <w:bookmarkStart w:id="96" w:name="_Toc84845251"/>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27</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Vplyv daňových kreditov na rozpočet (ESA 2010, v tis. eur)</w:t>
      </w:r>
      <w:bookmarkEnd w:id="95"/>
      <w:bookmarkEnd w:id="96"/>
    </w:p>
    <w:tbl>
      <w:tblPr>
        <w:tblW w:w="5000" w:type="pct"/>
        <w:tblLayout w:type="fixed"/>
        <w:tblCellMar>
          <w:left w:w="70" w:type="dxa"/>
          <w:right w:w="70" w:type="dxa"/>
        </w:tblCellMar>
        <w:tblLook w:val="04A0" w:firstRow="1" w:lastRow="0" w:firstColumn="1" w:lastColumn="0" w:noHBand="0" w:noVBand="1"/>
      </w:tblPr>
      <w:tblGrid>
        <w:gridCol w:w="4253"/>
        <w:gridCol w:w="803"/>
        <w:gridCol w:w="803"/>
        <w:gridCol w:w="803"/>
        <w:gridCol w:w="803"/>
        <w:gridCol w:w="803"/>
        <w:gridCol w:w="804"/>
      </w:tblGrid>
      <w:tr w:rsidR="00BA211E" w:rsidRPr="00BA211E" w:rsidTr="0086666E">
        <w:trPr>
          <w:trHeight w:val="255"/>
        </w:trPr>
        <w:tc>
          <w:tcPr>
            <w:tcW w:w="4253"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ind w:firstLineChars="600" w:firstLine="964"/>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 </w:t>
            </w:r>
          </w:p>
        </w:tc>
        <w:tc>
          <w:tcPr>
            <w:tcW w:w="803"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2019 S</w:t>
            </w:r>
          </w:p>
        </w:tc>
        <w:tc>
          <w:tcPr>
            <w:tcW w:w="803"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2020 S</w:t>
            </w:r>
          </w:p>
        </w:tc>
        <w:tc>
          <w:tcPr>
            <w:tcW w:w="803"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2021 OS</w:t>
            </w:r>
          </w:p>
        </w:tc>
        <w:tc>
          <w:tcPr>
            <w:tcW w:w="803"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2022 N</w:t>
            </w:r>
          </w:p>
        </w:tc>
        <w:tc>
          <w:tcPr>
            <w:tcW w:w="803"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2023 N</w:t>
            </w:r>
          </w:p>
        </w:tc>
        <w:tc>
          <w:tcPr>
            <w:tcW w:w="804" w:type="dxa"/>
            <w:tcBorders>
              <w:top w:val="single" w:sz="4" w:space="0" w:color="auto"/>
              <w:left w:val="nil"/>
              <w:bottom w:val="single" w:sz="4" w:space="0" w:color="auto"/>
              <w:right w:val="nil"/>
            </w:tcBorders>
            <w:shd w:val="clear" w:color="auto" w:fill="auto"/>
            <w:noWrap/>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2024 N</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Daňové kredity spolu</w:t>
            </w:r>
          </w:p>
        </w:tc>
        <w:tc>
          <w:tcPr>
            <w:tcW w:w="803"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337 860</w:t>
            </w:r>
          </w:p>
        </w:tc>
        <w:tc>
          <w:tcPr>
            <w:tcW w:w="803"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367 901</w:t>
            </w:r>
          </w:p>
        </w:tc>
        <w:tc>
          <w:tcPr>
            <w:tcW w:w="803"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410 147</w:t>
            </w:r>
          </w:p>
        </w:tc>
        <w:tc>
          <w:tcPr>
            <w:tcW w:w="803"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484 873</w:t>
            </w:r>
          </w:p>
        </w:tc>
        <w:tc>
          <w:tcPr>
            <w:tcW w:w="803"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509 560</w:t>
            </w:r>
          </w:p>
        </w:tc>
        <w:tc>
          <w:tcPr>
            <w:tcW w:w="804" w:type="dxa"/>
            <w:tcBorders>
              <w:top w:val="nil"/>
              <w:left w:val="nil"/>
              <w:bottom w:val="nil"/>
              <w:right w:val="nil"/>
            </w:tcBorders>
            <w:shd w:val="clear" w:color="auto" w:fill="auto"/>
            <w:noWrap/>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526 284</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Zamestnanecká prémia spolu</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400" w:firstLine="64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DPFO zo závislej činnosti</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400" w:firstLine="64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DPFO z podnikania</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0</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Daňový bonus spolu</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332 596</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355 702</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403 695</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476 236</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498 781</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513 408</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400" w:firstLine="64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DPFO zo závislej činnosti</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282 658</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302 347</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343 141</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404 801</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423 964</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436 397</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400" w:firstLine="64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DPFO z podnikania</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49 938</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53 355</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60 554</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71 435</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74 817</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77 011</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Daňový bonus na hypotéky</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5 263</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12 198</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6 452</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8 637</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10 779</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12 876</w:t>
            </w:r>
          </w:p>
        </w:tc>
      </w:tr>
      <w:tr w:rsidR="00BA211E" w:rsidRPr="00BA211E" w:rsidTr="0086666E">
        <w:trPr>
          <w:trHeight w:val="255"/>
        </w:trPr>
        <w:tc>
          <w:tcPr>
            <w:tcW w:w="4253" w:type="dxa"/>
            <w:tcBorders>
              <w:top w:val="nil"/>
              <w:left w:val="nil"/>
              <w:bottom w:val="nil"/>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 xml:space="preserve">      DPFO zo závislej činnosti</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2 640</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7 868</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3 731</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5 173</w:t>
            </w:r>
          </w:p>
        </w:tc>
        <w:tc>
          <w:tcPr>
            <w:tcW w:w="803"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6 586</w:t>
            </w:r>
          </w:p>
        </w:tc>
        <w:tc>
          <w:tcPr>
            <w:tcW w:w="804"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7 970</w:t>
            </w:r>
          </w:p>
        </w:tc>
      </w:tr>
      <w:tr w:rsidR="00BA211E" w:rsidRPr="00BA211E" w:rsidTr="0086666E">
        <w:trPr>
          <w:trHeight w:val="255"/>
        </w:trPr>
        <w:tc>
          <w:tcPr>
            <w:tcW w:w="4253" w:type="dxa"/>
            <w:tcBorders>
              <w:top w:val="nil"/>
              <w:left w:val="nil"/>
              <w:bottom w:val="single" w:sz="4" w:space="0" w:color="auto"/>
              <w:right w:val="nil"/>
            </w:tcBorders>
            <w:shd w:val="clear" w:color="auto" w:fill="auto"/>
            <w:noWrap/>
            <w:vAlign w:val="bottom"/>
            <w:hideMark/>
          </w:tcPr>
          <w:p w:rsidR="00BA211E" w:rsidRPr="00BA211E" w:rsidRDefault="00BA211E" w:rsidP="00BA211E">
            <w:pPr>
              <w:spacing w:after="0"/>
              <w:ind w:firstLineChars="200" w:firstLine="32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 xml:space="preserve">     DPFO z podnikania</w:t>
            </w:r>
          </w:p>
        </w:tc>
        <w:tc>
          <w:tcPr>
            <w:tcW w:w="803"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2 623</w:t>
            </w:r>
          </w:p>
        </w:tc>
        <w:tc>
          <w:tcPr>
            <w:tcW w:w="803"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4 330</w:t>
            </w:r>
          </w:p>
        </w:tc>
        <w:tc>
          <w:tcPr>
            <w:tcW w:w="803"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2 721</w:t>
            </w:r>
          </w:p>
        </w:tc>
        <w:tc>
          <w:tcPr>
            <w:tcW w:w="803"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3 464</w:t>
            </w:r>
          </w:p>
        </w:tc>
        <w:tc>
          <w:tcPr>
            <w:tcW w:w="803"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4 193</w:t>
            </w:r>
          </w:p>
        </w:tc>
        <w:tc>
          <w:tcPr>
            <w:tcW w:w="804"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4 906</w:t>
            </w:r>
          </w:p>
        </w:tc>
      </w:tr>
    </w:tbl>
    <w:p w:rsidR="00BA211E" w:rsidRPr="00BA211E" w:rsidRDefault="00BA211E" w:rsidP="00BA211E">
      <w:pPr>
        <w:spacing w:after="0"/>
        <w:ind w:left="7788"/>
        <w:jc w:val="both"/>
        <w:rPr>
          <w:rFonts w:ascii="Times New Roman" w:eastAsia="Calibri" w:hAnsi="Times New Roman" w:cs="Times New Roman"/>
          <w:bCs/>
          <w:sz w:val="24"/>
        </w:rPr>
      </w:pPr>
      <w:r w:rsidRPr="00BA211E">
        <w:rPr>
          <w:rFonts w:ascii="Times New Roman" w:eastAsia="Calibri" w:hAnsi="Times New Roman" w:cs="Times New Roman"/>
          <w:bCs/>
          <w:i/>
          <w:sz w:val="16"/>
        </w:rPr>
        <w:t xml:space="preserve">        Zdroj: MF SR</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Zároveň na rozdiel medzi akruálnym a hotovostným výnosom pozitívne vplýva odlišné zaznamenávanie sumy 2 % poukazovaných na osobitný účel z daní z príjmov fyzických a právnických osôb. Kým pri hotovostnom princípe suma poukázaná na osobitný účel znižuje výšku výnosu dane, a tým znižuje príjmy verejnej správy, akruálne dane nie sú týmto prevodom ovplyvnené. Vyplýva to z ekonomickej podstaty transakcie, ktorá neznižuje výšku daňovej povinnosti voči verejným financiám (akruálnu daň), ale na základe zákona schváleného NR SR sa časť peňazí použije na financovanie tretieho sektora. Uvedená suma teda neznižuje príjmy, ale zvyšuje verejné výdavky a týmto spôsobom negatívne ovplyvňuje hospodárenie v metodike ESA 2010.</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Aktuálne očakávania ohľadom výšky prevodu prostriedkov na osobitný účel sú v nasledujúcej tabuľke. Očakávania za DPPO sú v porovnaní s rozpočtom na roky 2021 až 2023 vyššie z dôvodu vyššej zaplatenej dane. Pri prevode 2</w:t>
      </w:r>
      <w:r w:rsidR="00DF3845">
        <w:rPr>
          <w:rFonts w:ascii="Times New Roman" w:eastAsia="Calibri" w:hAnsi="Times New Roman" w:cs="Times New Roman"/>
          <w:sz w:val="24"/>
        </w:rPr>
        <w:t xml:space="preserve"> </w:t>
      </w:r>
      <w:r w:rsidRPr="00BA211E">
        <w:rPr>
          <w:rFonts w:ascii="Times New Roman" w:eastAsia="Calibri" w:hAnsi="Times New Roman" w:cs="Times New Roman"/>
          <w:sz w:val="24"/>
        </w:rPr>
        <w:t xml:space="preserve">% z DPFO sú očakávania mierne nižšie ako v minulom rozpočte. </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keepNext/>
        <w:spacing w:after="0" w:line="240" w:lineRule="auto"/>
        <w:rPr>
          <w:rFonts w:ascii="Times New Roman" w:eastAsia="Calibri" w:hAnsi="Times New Roman" w:cs="Times New Roman"/>
          <w:b/>
          <w:iCs/>
          <w:color w:val="5B9BD5"/>
          <w:sz w:val="20"/>
          <w:szCs w:val="18"/>
        </w:rPr>
      </w:pPr>
      <w:bookmarkStart w:id="97" w:name="_Toc53086356"/>
      <w:bookmarkStart w:id="98" w:name="_Toc84845252"/>
      <w:r w:rsidRPr="00BA211E">
        <w:rPr>
          <w:rFonts w:ascii="Times New Roman" w:eastAsia="Calibri" w:hAnsi="Times New Roman" w:cs="Times New Roman"/>
          <w:b/>
          <w:iCs/>
          <w:color w:val="5B9BD5"/>
          <w:sz w:val="20"/>
          <w:szCs w:val="18"/>
        </w:rPr>
        <w:t xml:space="preserve">Tabuľka </w:t>
      </w:r>
      <w:r w:rsidRPr="00BA211E">
        <w:rPr>
          <w:rFonts w:ascii="Times New Roman" w:eastAsia="Calibri" w:hAnsi="Times New Roman" w:cs="Times New Roman"/>
          <w:b/>
          <w:iCs/>
          <w:color w:val="5B9BD5"/>
          <w:sz w:val="20"/>
          <w:szCs w:val="18"/>
        </w:rPr>
        <w:fldChar w:fldCharType="begin"/>
      </w:r>
      <w:r w:rsidRPr="00BA211E">
        <w:rPr>
          <w:rFonts w:ascii="Times New Roman" w:eastAsia="Calibri" w:hAnsi="Times New Roman" w:cs="Times New Roman"/>
          <w:b/>
          <w:iCs/>
          <w:color w:val="5B9BD5"/>
          <w:sz w:val="20"/>
          <w:szCs w:val="18"/>
        </w:rPr>
        <w:instrText xml:space="preserve"> SEQ Tabuľka \* ARABIC </w:instrText>
      </w:r>
      <w:r w:rsidRPr="00BA211E">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28</w:t>
      </w:r>
      <w:r w:rsidRPr="00BA211E">
        <w:rPr>
          <w:rFonts w:ascii="Times New Roman" w:eastAsia="Calibri" w:hAnsi="Times New Roman" w:cs="Times New Roman"/>
          <w:b/>
          <w:iCs/>
          <w:color w:val="5B9BD5"/>
          <w:sz w:val="20"/>
          <w:szCs w:val="18"/>
        </w:rPr>
        <w:fldChar w:fldCharType="end"/>
      </w:r>
      <w:r w:rsidRPr="00BA211E">
        <w:rPr>
          <w:rFonts w:ascii="Times New Roman" w:eastAsia="Calibri" w:hAnsi="Times New Roman" w:cs="Times New Roman"/>
          <w:b/>
          <w:iCs/>
          <w:color w:val="5B9BD5"/>
          <w:sz w:val="20"/>
          <w:szCs w:val="18"/>
        </w:rPr>
        <w:t xml:space="preserve"> - Vplyv prevodu prostriedkov na verejnoprospešný účel (VPÚ) na rozpočet (ESA 2010, v tis. eur)</w:t>
      </w:r>
      <w:bookmarkEnd w:id="97"/>
      <w:bookmarkEnd w:id="98"/>
    </w:p>
    <w:tbl>
      <w:tblPr>
        <w:tblW w:w="5000" w:type="pct"/>
        <w:tblCellMar>
          <w:left w:w="70" w:type="dxa"/>
          <w:right w:w="70" w:type="dxa"/>
        </w:tblCellMar>
        <w:tblLook w:val="04A0" w:firstRow="1" w:lastRow="0" w:firstColumn="1" w:lastColumn="0" w:noHBand="0" w:noVBand="1"/>
      </w:tblPr>
      <w:tblGrid>
        <w:gridCol w:w="3475"/>
        <w:gridCol w:w="1052"/>
        <w:gridCol w:w="909"/>
        <w:gridCol w:w="909"/>
        <w:gridCol w:w="909"/>
        <w:gridCol w:w="909"/>
        <w:gridCol w:w="909"/>
      </w:tblGrid>
      <w:tr w:rsidR="00BA211E" w:rsidRPr="00BA211E" w:rsidTr="0086666E">
        <w:trPr>
          <w:trHeight w:val="255"/>
        </w:trPr>
        <w:tc>
          <w:tcPr>
            <w:tcW w:w="3475"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 </w:t>
            </w:r>
          </w:p>
        </w:tc>
        <w:tc>
          <w:tcPr>
            <w:tcW w:w="1052"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2019 S</w:t>
            </w:r>
          </w:p>
        </w:tc>
        <w:tc>
          <w:tcPr>
            <w:tcW w:w="909"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2020 S</w:t>
            </w:r>
          </w:p>
        </w:tc>
        <w:tc>
          <w:tcPr>
            <w:tcW w:w="909"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2021 OS</w:t>
            </w:r>
          </w:p>
        </w:tc>
        <w:tc>
          <w:tcPr>
            <w:tcW w:w="909"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2022 N</w:t>
            </w:r>
          </w:p>
        </w:tc>
        <w:tc>
          <w:tcPr>
            <w:tcW w:w="909"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2023 N</w:t>
            </w:r>
          </w:p>
        </w:tc>
        <w:tc>
          <w:tcPr>
            <w:tcW w:w="909" w:type="dxa"/>
            <w:tcBorders>
              <w:top w:val="single" w:sz="4" w:space="0" w:color="auto"/>
              <w:left w:val="nil"/>
              <w:bottom w:val="single" w:sz="4" w:space="0" w:color="auto"/>
              <w:right w:val="nil"/>
            </w:tcBorders>
            <w:shd w:val="clear" w:color="auto" w:fill="auto"/>
            <w:vAlign w:val="bottom"/>
            <w:hideMark/>
          </w:tcPr>
          <w:p w:rsidR="00BA211E" w:rsidRPr="00BA211E" w:rsidRDefault="00BA211E" w:rsidP="00BA211E">
            <w:pPr>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lang w:eastAsia="sk-SK"/>
              </w:rPr>
              <w:t>2024 N</w:t>
            </w:r>
          </w:p>
        </w:tc>
      </w:tr>
      <w:tr w:rsidR="00BA211E" w:rsidRPr="00BA211E" w:rsidTr="0086666E">
        <w:trPr>
          <w:trHeight w:val="255"/>
        </w:trPr>
        <w:tc>
          <w:tcPr>
            <w:tcW w:w="3475" w:type="dxa"/>
            <w:tcBorders>
              <w:top w:val="nil"/>
              <w:left w:val="nil"/>
              <w:bottom w:val="nil"/>
              <w:right w:val="nil"/>
            </w:tcBorders>
            <w:shd w:val="clear" w:color="auto" w:fill="auto"/>
            <w:vAlign w:val="center"/>
            <w:hideMark/>
          </w:tcPr>
          <w:p w:rsidR="00BA211E" w:rsidRPr="00BA211E" w:rsidRDefault="00BA211E" w:rsidP="00BA211E">
            <w:pPr>
              <w:spacing w:after="0"/>
              <w:rPr>
                <w:rFonts w:ascii="Times New Roman" w:eastAsia="Calibri" w:hAnsi="Times New Roman" w:cs="Times New Roman"/>
                <w:b/>
                <w:bCs/>
                <w:sz w:val="16"/>
                <w:szCs w:val="16"/>
                <w:lang w:eastAsia="sk-SK"/>
              </w:rPr>
            </w:pPr>
            <w:r w:rsidRPr="00BA211E">
              <w:rPr>
                <w:rFonts w:ascii="Times New Roman" w:eastAsia="Calibri" w:hAnsi="Times New Roman" w:cs="Times New Roman"/>
                <w:b/>
                <w:bCs/>
                <w:sz w:val="16"/>
                <w:szCs w:val="16"/>
                <w:lang w:eastAsia="sk-SK"/>
              </w:rPr>
              <w:t xml:space="preserve">PREVOD NA VPÚ spolu </w:t>
            </w:r>
          </w:p>
        </w:tc>
        <w:tc>
          <w:tcPr>
            <w:tcW w:w="1052"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73 071</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53 391</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86 280</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77 680</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85 527</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b/>
                <w:bCs/>
                <w:color w:val="FF0000"/>
                <w:sz w:val="16"/>
                <w:szCs w:val="16"/>
                <w:lang w:eastAsia="sk-SK"/>
              </w:rPr>
            </w:pPr>
            <w:r w:rsidRPr="00BA211E">
              <w:rPr>
                <w:rFonts w:ascii="Times New Roman" w:eastAsia="Calibri" w:hAnsi="Times New Roman" w:cs="Times New Roman"/>
                <w:b/>
                <w:bCs/>
                <w:sz w:val="16"/>
                <w:szCs w:val="16"/>
              </w:rPr>
              <w:t>95 389</w:t>
            </w:r>
          </w:p>
        </w:tc>
      </w:tr>
      <w:tr w:rsidR="00BA211E" w:rsidRPr="00BA211E" w:rsidTr="0086666E">
        <w:trPr>
          <w:trHeight w:val="255"/>
        </w:trPr>
        <w:tc>
          <w:tcPr>
            <w:tcW w:w="3475" w:type="dxa"/>
            <w:tcBorders>
              <w:top w:val="nil"/>
              <w:left w:val="nil"/>
              <w:bottom w:val="nil"/>
              <w:right w:val="nil"/>
            </w:tcBorders>
            <w:shd w:val="clear" w:color="auto" w:fill="auto"/>
            <w:vAlign w:val="center"/>
            <w:hideMark/>
          </w:tcPr>
          <w:p w:rsidR="00BA211E" w:rsidRPr="00BA211E" w:rsidRDefault="00BA211E" w:rsidP="00BA211E">
            <w:pPr>
              <w:spacing w:after="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 xml:space="preserve">     Prevod na VPÚ z DPFO</w:t>
            </w:r>
          </w:p>
        </w:tc>
        <w:tc>
          <w:tcPr>
            <w:tcW w:w="1052"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36 902</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22 544</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49 260</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40 050</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43 570</w:t>
            </w:r>
          </w:p>
        </w:tc>
        <w:tc>
          <w:tcPr>
            <w:tcW w:w="909" w:type="dxa"/>
            <w:tcBorders>
              <w:top w:val="nil"/>
              <w:left w:val="nil"/>
              <w:bottom w:val="nil"/>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48 735</w:t>
            </w:r>
          </w:p>
        </w:tc>
      </w:tr>
      <w:tr w:rsidR="00BA211E" w:rsidRPr="00BA211E" w:rsidTr="0086666E">
        <w:trPr>
          <w:trHeight w:val="255"/>
        </w:trPr>
        <w:tc>
          <w:tcPr>
            <w:tcW w:w="3475"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rPr>
                <w:rFonts w:ascii="Times New Roman" w:eastAsia="Calibri" w:hAnsi="Times New Roman" w:cs="Times New Roman"/>
                <w:sz w:val="16"/>
                <w:szCs w:val="16"/>
                <w:lang w:eastAsia="sk-SK"/>
              </w:rPr>
            </w:pPr>
            <w:r w:rsidRPr="00BA211E">
              <w:rPr>
                <w:rFonts w:ascii="Times New Roman" w:eastAsia="Calibri" w:hAnsi="Times New Roman" w:cs="Times New Roman"/>
                <w:sz w:val="16"/>
                <w:szCs w:val="16"/>
                <w:lang w:eastAsia="sk-SK"/>
              </w:rPr>
              <w:t xml:space="preserve">     Prevod na VPÚ z DPPO</w:t>
            </w:r>
          </w:p>
        </w:tc>
        <w:tc>
          <w:tcPr>
            <w:tcW w:w="1052"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36 170</w:t>
            </w:r>
          </w:p>
        </w:tc>
        <w:tc>
          <w:tcPr>
            <w:tcW w:w="909"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30 847</w:t>
            </w:r>
          </w:p>
        </w:tc>
        <w:tc>
          <w:tcPr>
            <w:tcW w:w="909"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37 020</w:t>
            </w:r>
          </w:p>
        </w:tc>
        <w:tc>
          <w:tcPr>
            <w:tcW w:w="909"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37 630</w:t>
            </w:r>
          </w:p>
        </w:tc>
        <w:tc>
          <w:tcPr>
            <w:tcW w:w="909"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41 957</w:t>
            </w:r>
          </w:p>
        </w:tc>
        <w:tc>
          <w:tcPr>
            <w:tcW w:w="909" w:type="dxa"/>
            <w:tcBorders>
              <w:top w:val="nil"/>
              <w:left w:val="nil"/>
              <w:bottom w:val="single" w:sz="4" w:space="0" w:color="auto"/>
              <w:right w:val="nil"/>
            </w:tcBorders>
            <w:shd w:val="clear" w:color="auto" w:fill="auto"/>
            <w:vAlign w:val="center"/>
            <w:hideMark/>
          </w:tcPr>
          <w:p w:rsidR="00BA211E" w:rsidRPr="00BA211E" w:rsidRDefault="00BA211E" w:rsidP="00BA211E">
            <w:pPr>
              <w:spacing w:after="0"/>
              <w:jc w:val="right"/>
              <w:rPr>
                <w:rFonts w:ascii="Times New Roman" w:eastAsia="Calibri" w:hAnsi="Times New Roman" w:cs="Times New Roman"/>
                <w:color w:val="FF0000"/>
                <w:sz w:val="16"/>
                <w:szCs w:val="16"/>
                <w:lang w:eastAsia="sk-SK"/>
              </w:rPr>
            </w:pPr>
            <w:r w:rsidRPr="00BA211E">
              <w:rPr>
                <w:rFonts w:ascii="Times New Roman" w:eastAsia="Calibri" w:hAnsi="Times New Roman" w:cs="Times New Roman"/>
                <w:sz w:val="16"/>
                <w:szCs w:val="16"/>
              </w:rPr>
              <w:t>46 654</w:t>
            </w:r>
          </w:p>
        </w:tc>
      </w:tr>
    </w:tbl>
    <w:p w:rsidR="00BA211E" w:rsidRPr="00BA211E" w:rsidRDefault="00BA211E" w:rsidP="00BA211E">
      <w:pPr>
        <w:spacing w:after="0"/>
        <w:ind w:left="7787" w:firstLine="1"/>
        <w:jc w:val="both"/>
        <w:rPr>
          <w:rFonts w:ascii="Times New Roman" w:eastAsia="Calibri" w:hAnsi="Times New Roman" w:cs="Times New Roman"/>
          <w:sz w:val="24"/>
        </w:rPr>
      </w:pPr>
      <w:r w:rsidRPr="00BA211E">
        <w:rPr>
          <w:rFonts w:ascii="Times New Roman" w:eastAsia="Calibri" w:hAnsi="Times New Roman" w:cs="Times New Roman"/>
          <w:bCs/>
          <w:i/>
          <w:sz w:val="16"/>
        </w:rPr>
        <w:t xml:space="preserve">        Zdroj: MF SR</w:t>
      </w:r>
    </w:p>
    <w:p w:rsidR="00BA211E" w:rsidRPr="00BA211E" w:rsidRDefault="00BA211E" w:rsidP="00BA211E">
      <w:pPr>
        <w:spacing w:after="0"/>
        <w:jc w:val="both"/>
        <w:rPr>
          <w:rFonts w:ascii="Times New Roman" w:eastAsia="Calibri" w:hAnsi="Times New Roman" w:cs="Times New Roman"/>
          <w:sz w:val="24"/>
        </w:rPr>
      </w:pPr>
    </w:p>
    <w:p w:rsidR="00BA211E" w:rsidRPr="00BA211E" w:rsidRDefault="00BA211E" w:rsidP="00BA211E">
      <w:pPr>
        <w:spacing w:after="0"/>
        <w:jc w:val="both"/>
        <w:rPr>
          <w:rFonts w:ascii="Times New Roman" w:eastAsia="Calibri" w:hAnsi="Times New Roman" w:cs="Times New Roman"/>
          <w:sz w:val="24"/>
        </w:rPr>
      </w:pPr>
      <w:r w:rsidRPr="00BA211E">
        <w:rPr>
          <w:rFonts w:ascii="Times New Roman" w:eastAsia="Calibri" w:hAnsi="Times New Roman" w:cs="Times New Roman"/>
          <w:sz w:val="24"/>
        </w:rPr>
        <w:t xml:space="preserve">Nezanedbateľným faktorom vplývajúcim na akrualizáciu je aj samotný spôsob výberu daní. Väčšina daňových príjmov sa platí až po ukončení obdobia, napr. daň z príjmov fyzických osôb a odvody sa platia až v nasledujúcom mesiaci. Daňové priznanie pri DPH a spotrebných daniach sa podáva a daň platí až v nasledujúcom mesiaci alebo kvartáli. V prípade DPPO a DPFO z podnikania je rozdiel medzi akruálnym a hotovostným plnením ešte výraznejší. Daňové priznania sa podávajú až po skončení hospodárskeho roku, čiže dochádza až k ročnému posunu medzi hotovostným a akruálnym výnosom. </w:t>
      </w:r>
    </w:p>
    <w:p w:rsidR="00EB7F40" w:rsidRDefault="00EB7F40" w:rsidP="006F6B6A">
      <w:pPr>
        <w:spacing w:after="0" w:line="240" w:lineRule="auto"/>
        <w:rPr>
          <w:rFonts w:ascii="Times New Roman" w:hAnsi="Times New Roman" w:cs="Times New Roman"/>
          <w:b/>
          <w:i/>
          <w:sz w:val="24"/>
          <w:szCs w:val="24"/>
        </w:rPr>
      </w:pPr>
    </w:p>
    <w:p w:rsidR="00214A4A" w:rsidRDefault="00214A4A" w:rsidP="006F6B6A">
      <w:pPr>
        <w:spacing w:after="0" w:line="240" w:lineRule="auto"/>
        <w:rPr>
          <w:rFonts w:ascii="Times New Roman" w:hAnsi="Times New Roman" w:cs="Times New Roman"/>
          <w:b/>
          <w:i/>
          <w:sz w:val="24"/>
          <w:szCs w:val="24"/>
        </w:rPr>
      </w:pPr>
    </w:p>
    <w:p w:rsidR="00214A4A" w:rsidRDefault="00214A4A" w:rsidP="006F6B6A">
      <w:pPr>
        <w:spacing w:after="0" w:line="240" w:lineRule="auto"/>
        <w:rPr>
          <w:rFonts w:ascii="Times New Roman" w:hAnsi="Times New Roman" w:cs="Times New Roman"/>
          <w:b/>
          <w:i/>
          <w:sz w:val="24"/>
          <w:szCs w:val="24"/>
        </w:rPr>
      </w:pPr>
    </w:p>
    <w:p w:rsidR="00FC4AE9" w:rsidRDefault="00FC4AE9" w:rsidP="001076A7">
      <w:pPr>
        <w:spacing w:after="0"/>
        <w:jc w:val="both"/>
        <w:rPr>
          <w:rFonts w:ascii="Times New Roman" w:hAnsi="Times New Roman" w:cs="Times New Roman"/>
          <w:sz w:val="24"/>
        </w:rPr>
      </w:pPr>
    </w:p>
    <w:p w:rsidR="00577D3F" w:rsidRDefault="00084ECE" w:rsidP="00577D3F">
      <w:pPr>
        <w:pStyle w:val="Nadpis2"/>
        <w:spacing w:before="0" w:after="0"/>
        <w:rPr>
          <w:rFonts w:ascii="Times New Roman" w:hAnsi="Times New Roman"/>
          <w:i w:val="0"/>
          <w:color w:val="5B9BD5" w:themeColor="accent1"/>
          <w:sz w:val="24"/>
          <w:szCs w:val="24"/>
          <w:lang w:eastAsia="sk-SK"/>
        </w:rPr>
      </w:pPr>
      <w:bookmarkStart w:id="99" w:name="_Toc52972871"/>
      <w:bookmarkStart w:id="100" w:name="_Toc463861241"/>
      <w:bookmarkStart w:id="101" w:name="_Toc463861697"/>
      <w:bookmarkStart w:id="102" w:name="_Toc495423356"/>
      <w:bookmarkStart w:id="103" w:name="_Toc84684753"/>
      <w:r w:rsidRPr="00EE27CE">
        <w:rPr>
          <w:rFonts w:ascii="Times New Roman" w:hAnsi="Times New Roman"/>
          <w:i w:val="0"/>
          <w:color w:val="5B9BD5" w:themeColor="accent1"/>
          <w:sz w:val="24"/>
          <w:szCs w:val="24"/>
          <w:lang w:eastAsia="sk-SK"/>
        </w:rPr>
        <w:t>3.</w:t>
      </w:r>
      <w:r>
        <w:rPr>
          <w:rFonts w:ascii="Times New Roman" w:hAnsi="Times New Roman"/>
          <w:i w:val="0"/>
          <w:color w:val="5B9BD5" w:themeColor="accent1"/>
          <w:sz w:val="24"/>
          <w:szCs w:val="24"/>
          <w:lang w:eastAsia="sk-SK"/>
        </w:rPr>
        <w:t>2</w:t>
      </w:r>
      <w:r w:rsidRPr="00EE27CE">
        <w:rPr>
          <w:rFonts w:ascii="Times New Roman" w:hAnsi="Times New Roman"/>
          <w:i w:val="0"/>
          <w:color w:val="5B9BD5" w:themeColor="accent1"/>
          <w:sz w:val="24"/>
          <w:szCs w:val="24"/>
          <w:lang w:eastAsia="sk-SK"/>
        </w:rPr>
        <w:t>. Iné ako daňové príjmy</w:t>
      </w:r>
      <w:bookmarkEnd w:id="99"/>
      <w:r w:rsidRPr="00EE27CE">
        <w:rPr>
          <w:rFonts w:ascii="Times New Roman" w:hAnsi="Times New Roman"/>
          <w:i w:val="0"/>
          <w:color w:val="5B9BD5" w:themeColor="accent1"/>
          <w:sz w:val="24"/>
          <w:szCs w:val="24"/>
          <w:lang w:eastAsia="sk-SK"/>
        </w:rPr>
        <w:t xml:space="preserve"> </w:t>
      </w:r>
      <w:r w:rsidR="007C2BDC">
        <w:rPr>
          <w:rFonts w:ascii="Times New Roman" w:hAnsi="Times New Roman"/>
          <w:i w:val="0"/>
          <w:color w:val="5B9BD5" w:themeColor="accent1"/>
          <w:sz w:val="24"/>
          <w:szCs w:val="24"/>
          <w:lang w:eastAsia="sk-SK"/>
        </w:rPr>
        <w:t>verejnej správy</w:t>
      </w:r>
      <w:bookmarkStart w:id="104" w:name="_Toc52972873"/>
      <w:bookmarkEnd w:id="100"/>
      <w:bookmarkEnd w:id="101"/>
      <w:bookmarkEnd w:id="102"/>
      <w:bookmarkEnd w:id="103"/>
    </w:p>
    <w:p w:rsidR="007020FE" w:rsidRPr="00577D3F" w:rsidRDefault="007771EE" w:rsidP="00577D3F">
      <w:pPr>
        <w:pStyle w:val="Nadpis2"/>
        <w:spacing w:before="0" w:after="0"/>
        <w:rPr>
          <w:rFonts w:ascii="Times New Roman" w:hAnsi="Times New Roman"/>
          <w:b w:val="0"/>
          <w:bCs w:val="0"/>
          <w:i w:val="0"/>
          <w:color w:val="5B9BD5" w:themeColor="accent1"/>
          <w:sz w:val="24"/>
          <w:szCs w:val="24"/>
          <w:lang w:eastAsia="sk-SK"/>
        </w:rPr>
      </w:pPr>
      <w:r w:rsidRPr="00446DDA">
        <w:rPr>
          <w:rFonts w:ascii="Times New Roman" w:eastAsia="Calibri" w:hAnsi="Times New Roman"/>
          <w:sz w:val="16"/>
          <w:szCs w:val="16"/>
        </w:rPr>
        <w:tab/>
      </w:r>
      <w:r w:rsidRPr="00446DDA">
        <w:rPr>
          <w:rFonts w:ascii="Times New Roman" w:eastAsia="Calibri" w:hAnsi="Times New Roman"/>
          <w:sz w:val="16"/>
          <w:szCs w:val="16"/>
        </w:rPr>
        <w:tab/>
      </w:r>
      <w:r w:rsidRPr="00446DDA">
        <w:rPr>
          <w:rFonts w:ascii="Times New Roman" w:eastAsia="Calibri" w:hAnsi="Times New Roman"/>
          <w:sz w:val="16"/>
          <w:szCs w:val="16"/>
        </w:rPr>
        <w:tab/>
      </w:r>
      <w:r w:rsidRPr="00446DDA">
        <w:rPr>
          <w:rFonts w:ascii="Times New Roman" w:eastAsia="Calibri" w:hAnsi="Times New Roman"/>
          <w:sz w:val="16"/>
          <w:szCs w:val="16"/>
        </w:rPr>
        <w:tab/>
      </w:r>
      <w:r w:rsidRPr="00446DDA">
        <w:rPr>
          <w:rFonts w:ascii="Times New Roman" w:eastAsia="Calibri" w:hAnsi="Times New Roman"/>
          <w:sz w:val="16"/>
          <w:szCs w:val="16"/>
        </w:rPr>
        <w:tab/>
        <w:t xml:space="preserve">     </w:t>
      </w:r>
    </w:p>
    <w:p w:rsidR="00AC031F" w:rsidRDefault="00AC031F" w:rsidP="00AC031F">
      <w:pPr>
        <w:spacing w:after="0"/>
        <w:rPr>
          <w:rFonts w:ascii="Times New Roman" w:eastAsia="Times New Roman" w:hAnsi="Times New Roman" w:cs="Times New Roman"/>
          <w:b/>
          <w:bCs/>
          <w:color w:val="5B9BD5" w:themeColor="accent1"/>
          <w:sz w:val="24"/>
          <w:szCs w:val="24"/>
        </w:rPr>
      </w:pPr>
      <w:r w:rsidRPr="00084ECE">
        <w:rPr>
          <w:rFonts w:ascii="Times New Roman" w:eastAsia="Times New Roman" w:hAnsi="Times New Roman" w:cs="Times New Roman"/>
          <w:b/>
          <w:bCs/>
          <w:color w:val="5B9BD5" w:themeColor="accent1"/>
          <w:sz w:val="24"/>
          <w:szCs w:val="24"/>
        </w:rPr>
        <w:t>3.</w:t>
      </w:r>
      <w:r>
        <w:rPr>
          <w:rFonts w:ascii="Times New Roman" w:eastAsia="Times New Roman" w:hAnsi="Times New Roman" w:cs="Times New Roman"/>
          <w:b/>
          <w:bCs/>
          <w:color w:val="5B9BD5" w:themeColor="accent1"/>
          <w:sz w:val="24"/>
          <w:szCs w:val="24"/>
        </w:rPr>
        <w:t>2</w:t>
      </w:r>
      <w:r w:rsidRPr="00084ECE">
        <w:rPr>
          <w:rFonts w:ascii="Times New Roman" w:eastAsia="Times New Roman" w:hAnsi="Times New Roman" w:cs="Times New Roman"/>
          <w:b/>
          <w:bCs/>
          <w:color w:val="5B9BD5" w:themeColor="accent1"/>
          <w:sz w:val="24"/>
          <w:szCs w:val="24"/>
        </w:rPr>
        <w:t xml:space="preserve">.1. </w:t>
      </w:r>
      <w:bookmarkEnd w:id="104"/>
      <w:r w:rsidR="007C2BDC" w:rsidRPr="007C2BDC">
        <w:rPr>
          <w:rFonts w:ascii="Times New Roman" w:hAnsi="Times New Roman"/>
          <w:b/>
          <w:color w:val="5B9BD5" w:themeColor="accent1"/>
          <w:sz w:val="24"/>
          <w:szCs w:val="24"/>
          <w:lang w:eastAsia="sk-SK"/>
        </w:rPr>
        <w:t>Prognózovanie vybraných nedaňových príjmov verejnej správy</w:t>
      </w:r>
    </w:p>
    <w:p w:rsidR="007020FE" w:rsidRDefault="007020FE" w:rsidP="00AC031F">
      <w:pPr>
        <w:spacing w:after="0"/>
        <w:rPr>
          <w:rFonts w:ascii="Times New Roman" w:eastAsia="Times New Roman" w:hAnsi="Times New Roman" w:cs="Times New Roman"/>
          <w:b/>
          <w:bCs/>
          <w:color w:val="5B9BD5" w:themeColor="accent1"/>
          <w:sz w:val="24"/>
          <w:szCs w:val="24"/>
        </w:rPr>
      </w:pPr>
    </w:p>
    <w:p w:rsidR="007C2BDC" w:rsidRPr="009869D3" w:rsidRDefault="007C2BDC" w:rsidP="007C2BDC">
      <w:pPr>
        <w:spacing w:after="0"/>
        <w:jc w:val="both"/>
        <w:rPr>
          <w:rFonts w:ascii="Times New Roman" w:eastAsia="Calibri" w:hAnsi="Times New Roman" w:cs="Times New Roman"/>
          <w:sz w:val="24"/>
          <w:szCs w:val="24"/>
        </w:rPr>
      </w:pPr>
      <w:r w:rsidRPr="009869D3">
        <w:rPr>
          <w:rFonts w:ascii="Times New Roman" w:eastAsia="Calibri" w:hAnsi="Times New Roman" w:cs="Times New Roman"/>
          <w:sz w:val="24"/>
          <w:szCs w:val="24"/>
        </w:rPr>
        <w:t>Podobne ako príjmy z daní a odvodov, aj vybrané nedaňové príjmy sú transparentne konzultované a schvaľované Výborom pre daňové prognózy (viď. kapitola 3.1. Rozpočtovanie daňových a odvodových príjmov verejnej správy). Pre návrh rozpočtu verejnej správy na roky 202</w:t>
      </w:r>
      <w:r>
        <w:rPr>
          <w:rFonts w:ascii="Times New Roman" w:eastAsia="Calibri" w:hAnsi="Times New Roman" w:cs="Times New Roman"/>
          <w:sz w:val="24"/>
          <w:szCs w:val="24"/>
        </w:rPr>
        <w:t>2</w:t>
      </w:r>
      <w:r w:rsidRPr="009869D3">
        <w:rPr>
          <w:rFonts w:ascii="Times New Roman" w:eastAsia="Calibri" w:hAnsi="Times New Roman" w:cs="Times New Roman"/>
          <w:sz w:val="24"/>
          <w:szCs w:val="24"/>
        </w:rPr>
        <w:t xml:space="preserve"> až 2024 boli Výborom pre daňové prognózy schv</w:t>
      </w:r>
      <w:r>
        <w:rPr>
          <w:rFonts w:ascii="Times New Roman" w:eastAsia="Calibri" w:hAnsi="Times New Roman" w:cs="Times New Roman"/>
          <w:sz w:val="24"/>
          <w:szCs w:val="24"/>
        </w:rPr>
        <w:t>álené</w:t>
      </w:r>
      <w:r w:rsidRPr="009869D3">
        <w:rPr>
          <w:rFonts w:ascii="Times New Roman" w:eastAsia="Calibri" w:hAnsi="Times New Roman" w:cs="Times New Roman"/>
          <w:sz w:val="24"/>
          <w:szCs w:val="24"/>
        </w:rPr>
        <w:t xml:space="preserve"> príjmy z dividend, príjmy z odvodu z hazardných hier, príjmy z emisných kvót a administratívne poplatky </w:t>
      </w:r>
      <w:r w:rsidR="00980467">
        <w:rPr>
          <w:rFonts w:ascii="Times New Roman" w:eastAsia="Calibri" w:hAnsi="Times New Roman" w:cs="Times New Roman"/>
          <w:sz w:val="24"/>
          <w:szCs w:val="24"/>
        </w:rPr>
        <w:t>Národnej diaľničnej spoločnosti</w:t>
      </w:r>
      <w:r>
        <w:rPr>
          <w:rFonts w:ascii="Times New Roman" w:eastAsia="Calibri" w:hAnsi="Times New Roman" w:cs="Times New Roman"/>
          <w:sz w:val="24"/>
          <w:szCs w:val="24"/>
        </w:rPr>
        <w:t xml:space="preserve">. Prognózované vybrané nedaňové príjmy na akruálnej báze v metodike ESA 2010 prezentuje nasledujúca tabuľka. </w:t>
      </w:r>
    </w:p>
    <w:p w:rsidR="007C2BDC" w:rsidRPr="00577D3F" w:rsidRDefault="007C2BDC" w:rsidP="007C2BDC">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4"/>
          <w:szCs w:val="24"/>
          <w:bdr w:val="nil"/>
          <w:lang w:eastAsia="sk-SK"/>
        </w:rPr>
      </w:pPr>
    </w:p>
    <w:p w:rsidR="007C2BDC" w:rsidRPr="00084ECE" w:rsidRDefault="007C2BDC" w:rsidP="007C2BDC">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105" w:name="_Toc84845253"/>
      <w:r w:rsidRPr="00084ECE">
        <w:rPr>
          <w:rFonts w:ascii="Times New Roman" w:eastAsia="Arial Narrow" w:hAnsi="Times New Roman" w:cs="Times New Roman"/>
          <w:b/>
          <w:bCs/>
          <w:noProof/>
          <w:color w:val="5B9BD5" w:themeColor="accent1"/>
          <w:sz w:val="20"/>
          <w:szCs w:val="24"/>
          <w:bdr w:val="nil"/>
          <w:lang w:eastAsia="sk-SK"/>
        </w:rPr>
        <w:t xml:space="preserve">Tabuľka </w:t>
      </w:r>
      <w:r>
        <w:rPr>
          <w:rFonts w:ascii="Times New Roman" w:eastAsia="Arial Narrow" w:hAnsi="Times New Roman" w:cs="Times New Roman"/>
          <w:b/>
          <w:bCs/>
          <w:noProof/>
          <w:color w:val="5B9BD5" w:themeColor="accent1"/>
          <w:sz w:val="20"/>
          <w:szCs w:val="24"/>
          <w:bdr w:val="nil"/>
          <w:lang w:eastAsia="sk-SK"/>
        </w:rPr>
        <w:fldChar w:fldCharType="begin"/>
      </w:r>
      <w:r>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Pr>
          <w:rFonts w:ascii="Times New Roman" w:eastAsia="Arial Narrow" w:hAnsi="Times New Roman" w:cs="Times New Roman"/>
          <w:b/>
          <w:bCs/>
          <w:noProof/>
          <w:color w:val="5B9BD5" w:themeColor="accent1"/>
          <w:sz w:val="20"/>
          <w:szCs w:val="24"/>
          <w:bdr w:val="nil"/>
          <w:lang w:eastAsia="sk-SK"/>
        </w:rPr>
        <w:fldChar w:fldCharType="separate"/>
      </w:r>
      <w:r w:rsidR="006E67C6">
        <w:rPr>
          <w:rFonts w:ascii="Times New Roman" w:eastAsia="Arial Narrow" w:hAnsi="Times New Roman" w:cs="Times New Roman"/>
          <w:b/>
          <w:bCs/>
          <w:noProof/>
          <w:color w:val="5B9BD5" w:themeColor="accent1"/>
          <w:sz w:val="20"/>
          <w:szCs w:val="24"/>
          <w:bdr w:val="nil"/>
          <w:lang w:eastAsia="sk-SK"/>
        </w:rPr>
        <w:t>29</w:t>
      </w:r>
      <w:r>
        <w:rPr>
          <w:rFonts w:ascii="Times New Roman" w:eastAsia="Arial Narrow" w:hAnsi="Times New Roman" w:cs="Times New Roman"/>
          <w:b/>
          <w:bCs/>
          <w:noProof/>
          <w:color w:val="5B9BD5" w:themeColor="accent1"/>
          <w:sz w:val="20"/>
          <w:szCs w:val="24"/>
          <w:bdr w:val="nil"/>
          <w:lang w:eastAsia="sk-SK"/>
        </w:rPr>
        <w:fldChar w:fldCharType="end"/>
      </w:r>
      <w:r w:rsidRPr="00084ECE">
        <w:rPr>
          <w:rFonts w:ascii="Times New Roman" w:eastAsia="Arial Narrow" w:hAnsi="Times New Roman" w:cs="Times New Roman"/>
          <w:b/>
          <w:bCs/>
          <w:noProof/>
          <w:color w:val="5B9BD5" w:themeColor="accent1"/>
          <w:sz w:val="20"/>
          <w:szCs w:val="24"/>
          <w:bdr w:val="nil"/>
          <w:lang w:eastAsia="sk-SK"/>
        </w:rPr>
        <w:t xml:space="preserve"> </w:t>
      </w:r>
      <w:r>
        <w:rPr>
          <w:rFonts w:ascii="Times New Roman" w:eastAsia="Arial Narrow" w:hAnsi="Times New Roman" w:cs="Times New Roman"/>
          <w:b/>
          <w:bCs/>
          <w:noProof/>
          <w:color w:val="5B9BD5" w:themeColor="accent1"/>
          <w:sz w:val="20"/>
          <w:szCs w:val="24"/>
          <w:bdr w:val="nil"/>
          <w:lang w:eastAsia="sk-SK"/>
        </w:rPr>
        <w:t>–</w:t>
      </w:r>
      <w:r w:rsidRPr="00084ECE">
        <w:rPr>
          <w:rFonts w:ascii="Times New Roman" w:eastAsia="Arial Narrow" w:hAnsi="Times New Roman" w:cs="Times New Roman"/>
          <w:b/>
          <w:bCs/>
          <w:noProof/>
          <w:color w:val="5B9BD5" w:themeColor="accent1"/>
          <w:sz w:val="20"/>
          <w:szCs w:val="24"/>
          <w:bdr w:val="nil"/>
          <w:lang w:eastAsia="sk-SK"/>
        </w:rPr>
        <w:t xml:space="preserve"> </w:t>
      </w:r>
      <w:r>
        <w:rPr>
          <w:rFonts w:ascii="Times New Roman" w:eastAsia="Arial Narrow" w:hAnsi="Times New Roman" w:cs="Times New Roman"/>
          <w:b/>
          <w:bCs/>
          <w:noProof/>
          <w:color w:val="5B9BD5" w:themeColor="accent1"/>
          <w:sz w:val="20"/>
          <w:szCs w:val="24"/>
          <w:bdr w:val="nil"/>
          <w:lang w:eastAsia="sk-SK"/>
        </w:rPr>
        <w:t xml:space="preserve">Prognóza vybraných nedaňových </w:t>
      </w:r>
      <w:r w:rsidRPr="00084ECE">
        <w:rPr>
          <w:rFonts w:ascii="Times New Roman" w:eastAsia="Arial Narrow" w:hAnsi="Times New Roman" w:cs="Times New Roman"/>
          <w:b/>
          <w:bCs/>
          <w:noProof/>
          <w:color w:val="5B9BD5" w:themeColor="accent1"/>
          <w:sz w:val="20"/>
          <w:szCs w:val="24"/>
          <w:bdr w:val="nil"/>
          <w:lang w:eastAsia="sk-SK"/>
        </w:rPr>
        <w:t>príjm</w:t>
      </w:r>
      <w:r>
        <w:rPr>
          <w:rFonts w:ascii="Times New Roman" w:eastAsia="Arial Narrow" w:hAnsi="Times New Roman" w:cs="Times New Roman"/>
          <w:b/>
          <w:bCs/>
          <w:noProof/>
          <w:color w:val="5B9BD5" w:themeColor="accent1"/>
          <w:sz w:val="20"/>
          <w:szCs w:val="24"/>
          <w:bdr w:val="nil"/>
          <w:lang w:eastAsia="sk-SK"/>
        </w:rPr>
        <w:t xml:space="preserve">ov </w:t>
      </w:r>
      <w:r w:rsidRPr="00084ECE">
        <w:rPr>
          <w:rFonts w:ascii="Times New Roman" w:eastAsia="Arial Narrow" w:hAnsi="Times New Roman" w:cs="Times New Roman"/>
          <w:b/>
          <w:bCs/>
          <w:noProof/>
          <w:color w:val="5B9BD5" w:themeColor="accent1"/>
          <w:sz w:val="20"/>
          <w:szCs w:val="24"/>
          <w:bdr w:val="nil"/>
          <w:lang w:eastAsia="sk-SK"/>
        </w:rPr>
        <w:t>verejnej správy</w:t>
      </w:r>
      <w:bookmarkEnd w:id="105"/>
    </w:p>
    <w:tbl>
      <w:tblPr>
        <w:tblW w:w="5000" w:type="pct"/>
        <w:tblInd w:w="-5" w:type="dxa"/>
        <w:tblLayout w:type="fixed"/>
        <w:tblCellMar>
          <w:left w:w="70" w:type="dxa"/>
          <w:right w:w="70" w:type="dxa"/>
        </w:tblCellMar>
        <w:tblLook w:val="04A0" w:firstRow="1" w:lastRow="0" w:firstColumn="1" w:lastColumn="0" w:noHBand="0" w:noVBand="1"/>
      </w:tblPr>
      <w:tblGrid>
        <w:gridCol w:w="3383"/>
        <w:gridCol w:w="776"/>
        <w:gridCol w:w="775"/>
        <w:gridCol w:w="827"/>
        <w:gridCol w:w="827"/>
        <w:gridCol w:w="828"/>
        <w:gridCol w:w="828"/>
        <w:gridCol w:w="828"/>
      </w:tblGrid>
      <w:tr w:rsidR="007C2BDC" w:rsidRPr="009869D3" w:rsidTr="007C2BDC">
        <w:trPr>
          <w:trHeight w:val="289"/>
        </w:trPr>
        <w:tc>
          <w:tcPr>
            <w:tcW w:w="3549" w:type="dxa"/>
            <w:tcBorders>
              <w:top w:val="single" w:sz="4" w:space="0" w:color="auto"/>
              <w:bottom w:val="single" w:sz="4" w:space="0" w:color="auto"/>
            </w:tcBorders>
            <w:shd w:val="clear" w:color="auto" w:fill="auto"/>
            <w:vAlign w:val="center"/>
            <w:hideMark/>
          </w:tcPr>
          <w:p w:rsidR="007C2BDC" w:rsidRPr="00710130" w:rsidRDefault="007C2BDC" w:rsidP="007C2BDC">
            <w:pPr>
              <w:spacing w:after="0" w:line="240" w:lineRule="auto"/>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 xml:space="preserve"> </w:t>
            </w:r>
            <w:r w:rsidRPr="00710130">
              <w:rPr>
                <w:rFonts w:ascii="Times New Roman" w:eastAsia="Times New Roman" w:hAnsi="Times New Roman" w:cs="Times New Roman"/>
                <w:b/>
                <w:bCs/>
                <w:color w:val="000000"/>
                <w:sz w:val="16"/>
                <w:szCs w:val="16"/>
                <w:lang w:eastAsia="sk-SK"/>
              </w:rPr>
              <w:t>v metodike ESA</w:t>
            </w:r>
            <w:r>
              <w:rPr>
                <w:rFonts w:ascii="Times New Roman" w:eastAsia="Times New Roman" w:hAnsi="Times New Roman" w:cs="Times New Roman"/>
                <w:b/>
                <w:bCs/>
                <w:color w:val="000000"/>
                <w:sz w:val="16"/>
                <w:szCs w:val="16"/>
                <w:lang w:eastAsia="sk-SK"/>
              </w:rPr>
              <w:t xml:space="preserve"> 2010, v tis. eur</w:t>
            </w:r>
          </w:p>
        </w:tc>
        <w:tc>
          <w:tcPr>
            <w:tcW w:w="808" w:type="dxa"/>
            <w:tcBorders>
              <w:top w:val="single" w:sz="4" w:space="0" w:color="auto"/>
              <w:bottom w:val="single" w:sz="4" w:space="0" w:color="auto"/>
            </w:tcBorders>
            <w:shd w:val="clear" w:color="auto" w:fill="auto"/>
            <w:noWrap/>
            <w:vAlign w:val="center"/>
            <w:hideMark/>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0130">
              <w:rPr>
                <w:rFonts w:ascii="Times New Roman" w:eastAsia="Times New Roman" w:hAnsi="Times New Roman" w:cs="Times New Roman"/>
                <w:b/>
                <w:bCs/>
                <w:color w:val="000000"/>
                <w:sz w:val="16"/>
                <w:szCs w:val="16"/>
                <w:lang w:eastAsia="sk-SK"/>
              </w:rPr>
              <w:t>2019 S</w:t>
            </w:r>
          </w:p>
        </w:tc>
        <w:tc>
          <w:tcPr>
            <w:tcW w:w="807" w:type="dxa"/>
            <w:tcBorders>
              <w:top w:val="single" w:sz="4" w:space="0" w:color="auto"/>
              <w:bottom w:val="single" w:sz="4" w:space="0" w:color="auto"/>
            </w:tcBorders>
            <w:shd w:val="clear" w:color="auto" w:fill="auto"/>
            <w:noWrap/>
            <w:vAlign w:val="center"/>
            <w:hideMark/>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0130">
              <w:rPr>
                <w:rFonts w:ascii="Times New Roman" w:eastAsia="Times New Roman" w:hAnsi="Times New Roman" w:cs="Times New Roman"/>
                <w:b/>
                <w:bCs/>
                <w:color w:val="000000"/>
                <w:sz w:val="16"/>
                <w:szCs w:val="16"/>
                <w:lang w:eastAsia="sk-SK"/>
              </w:rPr>
              <w:t>2020 S</w:t>
            </w:r>
          </w:p>
        </w:tc>
        <w:tc>
          <w:tcPr>
            <w:tcW w:w="861" w:type="dxa"/>
            <w:tcBorders>
              <w:top w:val="single" w:sz="4" w:space="0" w:color="auto"/>
              <w:bottom w:val="single" w:sz="4" w:space="0" w:color="auto"/>
            </w:tcBorders>
            <w:vAlign w:val="center"/>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2021 R</w:t>
            </w:r>
          </w:p>
        </w:tc>
        <w:tc>
          <w:tcPr>
            <w:tcW w:w="861" w:type="dxa"/>
            <w:tcBorders>
              <w:top w:val="single" w:sz="4" w:space="0" w:color="auto"/>
              <w:bottom w:val="single" w:sz="4" w:space="0" w:color="auto"/>
            </w:tcBorders>
            <w:shd w:val="clear" w:color="auto" w:fill="auto"/>
            <w:noWrap/>
            <w:vAlign w:val="center"/>
            <w:hideMark/>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0130">
              <w:rPr>
                <w:rFonts w:ascii="Times New Roman" w:eastAsia="Times New Roman" w:hAnsi="Times New Roman" w:cs="Times New Roman"/>
                <w:b/>
                <w:bCs/>
                <w:color w:val="000000"/>
                <w:sz w:val="16"/>
                <w:szCs w:val="16"/>
                <w:lang w:eastAsia="sk-SK"/>
              </w:rPr>
              <w:t>2021 OS</w:t>
            </w:r>
          </w:p>
        </w:tc>
        <w:tc>
          <w:tcPr>
            <w:tcW w:w="862" w:type="dxa"/>
            <w:tcBorders>
              <w:top w:val="single" w:sz="4" w:space="0" w:color="auto"/>
              <w:bottom w:val="single" w:sz="4" w:space="0" w:color="auto"/>
            </w:tcBorders>
            <w:shd w:val="clear" w:color="auto" w:fill="auto"/>
            <w:noWrap/>
            <w:vAlign w:val="center"/>
            <w:hideMark/>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0130">
              <w:rPr>
                <w:rFonts w:ascii="Times New Roman" w:eastAsia="Times New Roman" w:hAnsi="Times New Roman" w:cs="Times New Roman"/>
                <w:b/>
                <w:bCs/>
                <w:color w:val="000000"/>
                <w:sz w:val="16"/>
                <w:szCs w:val="16"/>
                <w:lang w:eastAsia="sk-SK"/>
              </w:rPr>
              <w:t>2022 N</w:t>
            </w:r>
          </w:p>
        </w:tc>
        <w:tc>
          <w:tcPr>
            <w:tcW w:w="862" w:type="dxa"/>
            <w:tcBorders>
              <w:top w:val="single" w:sz="4" w:space="0" w:color="auto"/>
              <w:bottom w:val="single" w:sz="4" w:space="0" w:color="auto"/>
            </w:tcBorders>
            <w:shd w:val="clear" w:color="auto" w:fill="auto"/>
            <w:noWrap/>
            <w:vAlign w:val="center"/>
            <w:hideMark/>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0130">
              <w:rPr>
                <w:rFonts w:ascii="Times New Roman" w:eastAsia="Times New Roman" w:hAnsi="Times New Roman" w:cs="Times New Roman"/>
                <w:b/>
                <w:bCs/>
                <w:color w:val="000000"/>
                <w:sz w:val="16"/>
                <w:szCs w:val="16"/>
                <w:lang w:eastAsia="sk-SK"/>
              </w:rPr>
              <w:t>2023 N</w:t>
            </w:r>
          </w:p>
        </w:tc>
        <w:tc>
          <w:tcPr>
            <w:tcW w:w="862" w:type="dxa"/>
            <w:tcBorders>
              <w:top w:val="single" w:sz="4" w:space="0" w:color="auto"/>
              <w:bottom w:val="single" w:sz="4" w:space="0" w:color="auto"/>
            </w:tcBorders>
            <w:shd w:val="clear" w:color="auto" w:fill="auto"/>
            <w:noWrap/>
            <w:vAlign w:val="center"/>
            <w:hideMark/>
          </w:tcPr>
          <w:p w:rsidR="007C2BDC" w:rsidRPr="00710130"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0130">
              <w:rPr>
                <w:rFonts w:ascii="Times New Roman" w:eastAsia="Times New Roman" w:hAnsi="Times New Roman" w:cs="Times New Roman"/>
                <w:b/>
                <w:bCs/>
                <w:color w:val="000000"/>
                <w:sz w:val="16"/>
                <w:szCs w:val="16"/>
                <w:lang w:eastAsia="sk-SK"/>
              </w:rPr>
              <w:t>2024 N</w:t>
            </w:r>
          </w:p>
        </w:tc>
      </w:tr>
      <w:tr w:rsidR="007C2BDC" w:rsidRPr="009869D3" w:rsidTr="007C2BDC">
        <w:trPr>
          <w:trHeight w:val="289"/>
        </w:trPr>
        <w:tc>
          <w:tcPr>
            <w:tcW w:w="3549" w:type="dxa"/>
            <w:shd w:val="clear" w:color="auto" w:fill="auto"/>
            <w:noWrap/>
            <w:vAlign w:val="center"/>
            <w:hideMark/>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Dividendy*</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302 684</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259 565</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430 301</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425 965</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330 396</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345 414</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340 085</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príjem štátneho rozpočtu</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292 638</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254 432</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423 515</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417 907</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322 338</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337 356</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332 027</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 xml:space="preserve">     </w:t>
            </w: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príjem obcí</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8 052</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3 851</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6 776</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8 058</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8 058</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8 058</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8 058</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 xml:space="preserve">    </w:t>
            </w: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 xml:space="preserve"> príjem ostatných subjektov VS**</w:t>
            </w:r>
            <w:r>
              <w:rPr>
                <w:rFonts w:ascii="Times New Roman" w:eastAsia="Times New Roman" w:hAnsi="Times New Roman" w:cs="Times New Roman"/>
                <w:bCs/>
                <w:color w:val="000000"/>
                <w:sz w:val="16"/>
                <w:szCs w:val="16"/>
                <w:lang w:eastAsia="sk-SK"/>
              </w:rPr>
              <w:t xml:space="preserve">     </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1 994</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1 282</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10</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Administratívne poplatky a iné poplatky NDS***</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308 867</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293 530</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354 494</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309 480</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344 074</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371 242</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380 877</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Emisné kvóty</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114 139</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142 173</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165 183</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167 181</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212 253</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226 048</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232 012</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Odvod z hazardných hier</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273 918</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231 196</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264 675</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223 004</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252 687</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308 206</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352 982</w:t>
            </w:r>
          </w:p>
        </w:tc>
      </w:tr>
      <w:tr w:rsidR="007C2BDC" w:rsidRPr="009869D3" w:rsidTr="007C2BDC">
        <w:trPr>
          <w:trHeight w:val="289"/>
        </w:trPr>
        <w:tc>
          <w:tcPr>
            <w:tcW w:w="3549" w:type="dxa"/>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príjem štátneho rozpočtu</w:t>
            </w:r>
          </w:p>
        </w:tc>
        <w:tc>
          <w:tcPr>
            <w:tcW w:w="808"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248 923</w:t>
            </w:r>
          </w:p>
        </w:tc>
        <w:tc>
          <w:tcPr>
            <w:tcW w:w="807"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212 590</w:t>
            </w:r>
          </w:p>
        </w:tc>
        <w:tc>
          <w:tcPr>
            <w:tcW w:w="861" w:type="dxa"/>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250 000</w:t>
            </w:r>
          </w:p>
        </w:tc>
        <w:tc>
          <w:tcPr>
            <w:tcW w:w="861"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208 515</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236 140</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287 423</w:t>
            </w:r>
          </w:p>
        </w:tc>
        <w:tc>
          <w:tcPr>
            <w:tcW w:w="862" w:type="dxa"/>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sidRPr="009869D3">
              <w:rPr>
                <w:rFonts w:ascii="Times New Roman" w:eastAsia="Times New Roman" w:hAnsi="Times New Roman" w:cs="Times New Roman"/>
                <w:bCs/>
                <w:color w:val="000000"/>
                <w:sz w:val="16"/>
                <w:szCs w:val="16"/>
                <w:lang w:eastAsia="sk-SK"/>
              </w:rPr>
              <w:t>331 597</w:t>
            </w:r>
          </w:p>
        </w:tc>
      </w:tr>
      <w:tr w:rsidR="007C2BDC" w:rsidRPr="009869D3" w:rsidTr="007C2BDC">
        <w:trPr>
          <w:trHeight w:val="289"/>
        </w:trPr>
        <w:tc>
          <w:tcPr>
            <w:tcW w:w="3549" w:type="dxa"/>
            <w:tcBorders>
              <w:bottom w:val="single" w:sz="4" w:space="0" w:color="auto"/>
            </w:tcBorders>
            <w:shd w:val="clear" w:color="auto" w:fill="auto"/>
            <w:noWrap/>
            <w:vAlign w:val="center"/>
          </w:tcPr>
          <w:p w:rsidR="007C2BDC" w:rsidRPr="009869D3" w:rsidRDefault="007C2BDC" w:rsidP="007C2BDC">
            <w:pPr>
              <w:spacing w:after="0" w:line="240" w:lineRule="auto"/>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 xml:space="preserve"> príjem obcí</w:t>
            </w:r>
          </w:p>
        </w:tc>
        <w:tc>
          <w:tcPr>
            <w:tcW w:w="808" w:type="dxa"/>
            <w:tcBorders>
              <w:bottom w:val="single" w:sz="4" w:space="0" w:color="auto"/>
            </w:tcBorders>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24 995</w:t>
            </w:r>
          </w:p>
        </w:tc>
        <w:tc>
          <w:tcPr>
            <w:tcW w:w="807" w:type="dxa"/>
            <w:tcBorders>
              <w:bottom w:val="single" w:sz="4" w:space="0" w:color="auto"/>
            </w:tcBorders>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18 606</w:t>
            </w:r>
          </w:p>
        </w:tc>
        <w:tc>
          <w:tcPr>
            <w:tcW w:w="861" w:type="dxa"/>
            <w:tcBorders>
              <w:bottom w:val="single" w:sz="4" w:space="0" w:color="auto"/>
            </w:tcBorders>
            <w:vAlign w:val="center"/>
          </w:tcPr>
          <w:p w:rsidR="007C2BDC"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14 675</w:t>
            </w:r>
          </w:p>
        </w:tc>
        <w:tc>
          <w:tcPr>
            <w:tcW w:w="861" w:type="dxa"/>
            <w:tcBorders>
              <w:bottom w:val="single" w:sz="4" w:space="0" w:color="auto"/>
            </w:tcBorders>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14 489</w:t>
            </w:r>
          </w:p>
        </w:tc>
        <w:tc>
          <w:tcPr>
            <w:tcW w:w="862" w:type="dxa"/>
            <w:tcBorders>
              <w:bottom w:val="single" w:sz="4" w:space="0" w:color="auto"/>
            </w:tcBorders>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16 547</w:t>
            </w:r>
          </w:p>
        </w:tc>
        <w:tc>
          <w:tcPr>
            <w:tcW w:w="862" w:type="dxa"/>
            <w:tcBorders>
              <w:bottom w:val="single" w:sz="4" w:space="0" w:color="auto"/>
            </w:tcBorders>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20 783</w:t>
            </w:r>
          </w:p>
        </w:tc>
        <w:tc>
          <w:tcPr>
            <w:tcW w:w="862" w:type="dxa"/>
            <w:tcBorders>
              <w:bottom w:val="single" w:sz="4" w:space="0" w:color="auto"/>
            </w:tcBorders>
            <w:shd w:val="clear" w:color="auto" w:fill="auto"/>
            <w:noWrap/>
            <w:vAlign w:val="center"/>
          </w:tcPr>
          <w:p w:rsidR="007C2BDC" w:rsidRPr="009869D3" w:rsidRDefault="007C2BDC" w:rsidP="007C2BDC">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 xml:space="preserve">  </w:t>
            </w:r>
            <w:r w:rsidRPr="009869D3">
              <w:rPr>
                <w:rFonts w:ascii="Times New Roman" w:eastAsia="Times New Roman" w:hAnsi="Times New Roman" w:cs="Times New Roman"/>
                <w:bCs/>
                <w:color w:val="000000"/>
                <w:sz w:val="16"/>
                <w:szCs w:val="16"/>
                <w:lang w:eastAsia="sk-SK"/>
              </w:rPr>
              <w:t>21 385</w:t>
            </w:r>
          </w:p>
        </w:tc>
      </w:tr>
    </w:tbl>
    <w:p w:rsidR="007C2BDC" w:rsidRPr="009869D3" w:rsidRDefault="007C2BDC" w:rsidP="007C2BDC">
      <w:pPr>
        <w:spacing w:after="0" w:line="240" w:lineRule="auto"/>
        <w:rPr>
          <w:rFonts w:ascii="Times New Roman" w:eastAsia="Times New Roman" w:hAnsi="Times New Roman" w:cs="Times New Roman"/>
          <w:bCs/>
          <w:i/>
          <w:sz w:val="16"/>
          <w:szCs w:val="16"/>
        </w:rPr>
      </w:pPr>
      <w:r w:rsidRPr="009869D3">
        <w:rPr>
          <w:rFonts w:ascii="Times New Roman" w:eastAsia="Times New Roman" w:hAnsi="Times New Roman" w:cs="Times New Roman"/>
          <w:bCs/>
          <w:color w:val="000000"/>
          <w:sz w:val="16"/>
          <w:szCs w:val="16"/>
          <w:lang w:eastAsia="sk-SK"/>
        </w:rPr>
        <w:t>*</w:t>
      </w:r>
      <w:r w:rsidRPr="009869D3">
        <w:rPr>
          <w:rFonts w:ascii="Times New Roman" w:eastAsia="Times New Roman" w:hAnsi="Times New Roman" w:cs="Times New Roman"/>
          <w:bCs/>
          <w:i/>
          <w:sz w:val="16"/>
          <w:szCs w:val="16"/>
        </w:rPr>
        <w:t xml:space="preserve">Dividendy len </w:t>
      </w:r>
      <w:r>
        <w:rPr>
          <w:rFonts w:ascii="Times New Roman" w:eastAsia="Times New Roman" w:hAnsi="Times New Roman" w:cs="Times New Roman"/>
          <w:bCs/>
          <w:i/>
          <w:sz w:val="16"/>
          <w:szCs w:val="16"/>
        </w:rPr>
        <w:t xml:space="preserve">pod položka ekonomickej klasifikácie </w:t>
      </w:r>
      <w:r w:rsidRPr="009869D3">
        <w:rPr>
          <w:rFonts w:ascii="Times New Roman" w:eastAsia="Times New Roman" w:hAnsi="Times New Roman" w:cs="Times New Roman"/>
          <w:bCs/>
          <w:i/>
          <w:sz w:val="16"/>
          <w:szCs w:val="16"/>
        </w:rPr>
        <w:t>211003</w:t>
      </w:r>
    </w:p>
    <w:p w:rsidR="007C2BDC" w:rsidRPr="009869D3" w:rsidRDefault="007C2BDC" w:rsidP="007C2BDC">
      <w:pPr>
        <w:spacing w:after="0" w:line="240" w:lineRule="auto"/>
        <w:rPr>
          <w:rFonts w:ascii="Times New Roman" w:eastAsia="Times New Roman" w:hAnsi="Times New Roman" w:cs="Times New Roman"/>
          <w:bCs/>
          <w:i/>
          <w:sz w:val="16"/>
          <w:szCs w:val="16"/>
        </w:rPr>
      </w:pPr>
      <w:r w:rsidRPr="009869D3">
        <w:rPr>
          <w:rFonts w:ascii="Times New Roman" w:eastAsia="Times New Roman" w:hAnsi="Times New Roman" w:cs="Times New Roman"/>
          <w:bCs/>
          <w:i/>
          <w:sz w:val="16"/>
          <w:szCs w:val="16"/>
        </w:rPr>
        <w:t>** V ostatných subjektoch sú zahrnu</w:t>
      </w:r>
      <w:r>
        <w:rPr>
          <w:rFonts w:ascii="Times New Roman" w:eastAsia="Times New Roman" w:hAnsi="Times New Roman" w:cs="Times New Roman"/>
          <w:bCs/>
          <w:i/>
          <w:sz w:val="16"/>
          <w:szCs w:val="16"/>
        </w:rPr>
        <w:t>té VÚC,</w:t>
      </w:r>
      <w:r w:rsidRPr="009869D3">
        <w:rPr>
          <w:rFonts w:ascii="Times New Roman" w:eastAsia="Times New Roman" w:hAnsi="Times New Roman" w:cs="Times New Roman"/>
          <w:bCs/>
          <w:i/>
          <w:sz w:val="16"/>
          <w:szCs w:val="16"/>
        </w:rPr>
        <w:t xml:space="preserve"> MH </w:t>
      </w:r>
      <w:r>
        <w:rPr>
          <w:rFonts w:ascii="Times New Roman" w:eastAsia="Times New Roman" w:hAnsi="Times New Roman" w:cs="Times New Roman"/>
          <w:bCs/>
          <w:i/>
          <w:sz w:val="16"/>
          <w:szCs w:val="16"/>
        </w:rPr>
        <w:t>M</w:t>
      </w:r>
      <w:r w:rsidRPr="009869D3">
        <w:rPr>
          <w:rFonts w:ascii="Times New Roman" w:eastAsia="Times New Roman" w:hAnsi="Times New Roman" w:cs="Times New Roman"/>
          <w:bCs/>
          <w:i/>
          <w:sz w:val="16"/>
          <w:szCs w:val="16"/>
        </w:rPr>
        <w:t>anažment</w:t>
      </w:r>
      <w:r>
        <w:rPr>
          <w:rFonts w:ascii="Times New Roman" w:eastAsia="Times New Roman" w:hAnsi="Times New Roman" w:cs="Times New Roman"/>
          <w:bCs/>
          <w:i/>
          <w:sz w:val="16"/>
          <w:szCs w:val="16"/>
        </w:rPr>
        <w:t xml:space="preserve"> a. s., DMD a iné</w:t>
      </w:r>
    </w:p>
    <w:p w:rsidR="007C2BDC" w:rsidRPr="009869D3" w:rsidRDefault="007C2BDC" w:rsidP="007C2BDC">
      <w:pPr>
        <w:spacing w:after="0" w:line="240" w:lineRule="auto"/>
        <w:rPr>
          <w:rFonts w:ascii="Times New Roman" w:eastAsia="Times New Roman" w:hAnsi="Times New Roman" w:cs="Times New Roman"/>
          <w:bCs/>
          <w:i/>
          <w:sz w:val="16"/>
          <w:szCs w:val="16"/>
        </w:rPr>
      </w:pPr>
      <w:r w:rsidRPr="009869D3">
        <w:rPr>
          <w:rFonts w:ascii="Times New Roman" w:eastAsia="Times New Roman" w:hAnsi="Times New Roman" w:cs="Times New Roman"/>
          <w:bCs/>
          <w:i/>
          <w:sz w:val="16"/>
          <w:szCs w:val="16"/>
        </w:rPr>
        <w:t xml:space="preserve">*** Príjmy </w:t>
      </w:r>
      <w:r>
        <w:rPr>
          <w:rFonts w:ascii="Times New Roman" w:eastAsia="Times New Roman" w:hAnsi="Times New Roman" w:cs="Times New Roman"/>
          <w:bCs/>
          <w:i/>
          <w:sz w:val="16"/>
          <w:szCs w:val="16"/>
        </w:rPr>
        <w:t>na kategórii 220 ekonomickej klasifikácie</w:t>
      </w:r>
    </w:p>
    <w:p w:rsidR="007C2BDC" w:rsidRPr="009869D3" w:rsidRDefault="007C2BDC" w:rsidP="007C2BDC">
      <w:pPr>
        <w:spacing w:after="0"/>
        <w:rPr>
          <w:rFonts w:ascii="Times New Roman" w:eastAsia="Times New Roman" w:hAnsi="Times New Roman" w:cs="Times New Roman"/>
          <w:b/>
          <w:bCs/>
          <w:color w:val="5B9BD5" w:themeColor="accent1"/>
          <w:sz w:val="24"/>
          <w:szCs w:val="24"/>
        </w:rPr>
      </w:pPr>
    </w:p>
    <w:p w:rsidR="007C2BDC" w:rsidRPr="009869D3" w:rsidRDefault="007C2BDC" w:rsidP="007C2BDC">
      <w:pPr>
        <w:spacing w:after="0"/>
        <w:jc w:val="both"/>
        <w:rPr>
          <w:rFonts w:ascii="Times New Roman" w:eastAsia="Calibri" w:hAnsi="Times New Roman" w:cs="Times New Roman"/>
          <w:sz w:val="24"/>
          <w:szCs w:val="24"/>
        </w:rPr>
      </w:pPr>
      <w:r w:rsidRPr="009869D3">
        <w:rPr>
          <w:rFonts w:ascii="Times New Roman" w:eastAsia="Calibri" w:hAnsi="Times New Roman" w:cs="Times New Roman"/>
          <w:sz w:val="24"/>
          <w:szCs w:val="24"/>
        </w:rPr>
        <w:t xml:space="preserve">Príjmy z dividend štátom (spolu)vlastnených firiem za rok 2021 dosiahnu približne </w:t>
      </w:r>
      <w:r w:rsidR="00980467">
        <w:rPr>
          <w:rFonts w:ascii="Times New Roman" w:eastAsia="Calibri" w:hAnsi="Times New Roman" w:cs="Times New Roman"/>
          <w:sz w:val="24"/>
          <w:szCs w:val="24"/>
        </w:rPr>
        <w:br/>
      </w:r>
      <w:r w:rsidRPr="009869D3">
        <w:rPr>
          <w:rFonts w:ascii="Times New Roman" w:eastAsia="Calibri" w:hAnsi="Times New Roman" w:cs="Times New Roman"/>
          <w:sz w:val="24"/>
          <w:szCs w:val="24"/>
        </w:rPr>
        <w:t>417 mil. eur. Väčšina dividend plynúcich do štátnej kasy v tomto roku je už známa, pretože ide o dividendy zo ziskov dosiahnutých v</w:t>
      </w:r>
      <w:r w:rsidR="00980467">
        <w:rPr>
          <w:rFonts w:ascii="Times New Roman" w:eastAsia="Calibri" w:hAnsi="Times New Roman" w:cs="Times New Roman"/>
          <w:sz w:val="24"/>
          <w:szCs w:val="24"/>
        </w:rPr>
        <w:t xml:space="preserve"> roku </w:t>
      </w:r>
      <w:r w:rsidRPr="009869D3">
        <w:rPr>
          <w:rFonts w:ascii="Times New Roman" w:eastAsia="Calibri" w:hAnsi="Times New Roman" w:cs="Times New Roman"/>
          <w:sz w:val="24"/>
          <w:szCs w:val="24"/>
        </w:rPr>
        <w:t>2020, respektíve pre firmy v skupine SPP za hospodárske roky ukončené v roku 2020. Prognóza dividend v nasledujúcich rokoch plne zohľadňuje interné finančné plány firiem a indikuje výnos na úrovni okolo 330 mil. eur. Pokles dividend od roku 2022 je kombináciou nižších ziskov vybraných firiem a manažérskych rozhodnutí ponechať časť zisku vo firme.</w:t>
      </w:r>
    </w:p>
    <w:p w:rsidR="007C2BDC" w:rsidRPr="009869D3" w:rsidRDefault="007C2BDC" w:rsidP="007C2BDC">
      <w:pPr>
        <w:spacing w:after="0"/>
        <w:jc w:val="both"/>
        <w:rPr>
          <w:rFonts w:ascii="Times New Roman" w:eastAsia="Calibri" w:hAnsi="Times New Roman" w:cs="Times New Roman"/>
          <w:sz w:val="24"/>
          <w:szCs w:val="24"/>
        </w:rPr>
      </w:pPr>
    </w:p>
    <w:p w:rsidR="007C2BDC" w:rsidRPr="009869D3" w:rsidRDefault="007C2BDC" w:rsidP="007C2BDC">
      <w:pPr>
        <w:spacing w:after="0"/>
        <w:jc w:val="both"/>
        <w:rPr>
          <w:rFonts w:ascii="Times New Roman" w:eastAsia="Calibri" w:hAnsi="Times New Roman" w:cs="Times New Roman"/>
          <w:sz w:val="24"/>
          <w:szCs w:val="24"/>
        </w:rPr>
      </w:pPr>
      <w:r w:rsidRPr="009869D3">
        <w:rPr>
          <w:rFonts w:ascii="Times New Roman" w:eastAsia="Calibri" w:hAnsi="Times New Roman" w:cs="Times New Roman"/>
          <w:sz w:val="24"/>
          <w:szCs w:val="24"/>
        </w:rPr>
        <w:t>Administratívne poplatky Národnej diaľničnej spoločnosti sú prevažne tvorené výnosmi z e</w:t>
      </w:r>
      <w:r>
        <w:rPr>
          <w:rFonts w:ascii="Times New Roman" w:eastAsia="Calibri" w:hAnsi="Times New Roman" w:cs="Times New Roman"/>
          <w:sz w:val="24"/>
          <w:szCs w:val="24"/>
        </w:rPr>
        <w:t>lektronického mýta a z predaja</w:t>
      </w:r>
      <w:r w:rsidRPr="009869D3">
        <w:rPr>
          <w:rFonts w:ascii="Times New Roman" w:eastAsia="Calibri" w:hAnsi="Times New Roman" w:cs="Times New Roman"/>
          <w:sz w:val="24"/>
          <w:szCs w:val="24"/>
        </w:rPr>
        <w:t xml:space="preserve"> diaľničných známok. Výnos v roku 2021 sa po prepade v roku 2020 vracia na svoje úrovne spred pandémie. K svižnejšiemu návratu v roku 2021 nedošlo kvôli poklesu príjmov z predaja diaľničných známok. Kombinácia prechodu z ročných známok na 365 dňové v kombinácií s uzatvorením ekonomiky v úvode roka 2021 spôsobili, že vodiči odložili nákup diaľničných známok. </w:t>
      </w:r>
      <w:r>
        <w:rPr>
          <w:rFonts w:ascii="Times New Roman" w:eastAsia="Calibri" w:hAnsi="Times New Roman" w:cs="Times New Roman"/>
          <w:sz w:val="24"/>
          <w:szCs w:val="24"/>
        </w:rPr>
        <w:t>V</w:t>
      </w:r>
      <w:r w:rsidRPr="009869D3">
        <w:rPr>
          <w:rFonts w:ascii="Times New Roman" w:eastAsia="Calibri" w:hAnsi="Times New Roman" w:cs="Times New Roman"/>
          <w:sz w:val="24"/>
          <w:szCs w:val="24"/>
        </w:rPr>
        <w:t xml:space="preserve"> ďalších rokoch očakávame postupný návrat k predkrízovému správaniu. Zároveň očakávame, že zlepšenie ekonomickej situácie a prílev nových investícií cez Plán obnovy</w:t>
      </w:r>
      <w:r>
        <w:rPr>
          <w:rFonts w:ascii="Times New Roman" w:eastAsia="Calibri" w:hAnsi="Times New Roman" w:cs="Times New Roman"/>
          <w:sz w:val="24"/>
          <w:szCs w:val="24"/>
        </w:rPr>
        <w:t xml:space="preserve"> a odolnosti</w:t>
      </w:r>
      <w:r w:rsidRPr="009869D3">
        <w:rPr>
          <w:rFonts w:ascii="Times New Roman" w:eastAsia="Calibri" w:hAnsi="Times New Roman" w:cs="Times New Roman"/>
          <w:sz w:val="24"/>
          <w:szCs w:val="24"/>
        </w:rPr>
        <w:t xml:space="preserve"> bude pôsobiť pozitívne na príjmy NDS do ďalších rokov.</w:t>
      </w:r>
    </w:p>
    <w:p w:rsidR="007C2BDC" w:rsidRPr="009869D3" w:rsidRDefault="007C2BDC" w:rsidP="007C2BDC">
      <w:pPr>
        <w:spacing w:after="0"/>
        <w:jc w:val="both"/>
        <w:rPr>
          <w:rFonts w:ascii="Times New Roman" w:eastAsia="Calibri" w:hAnsi="Times New Roman" w:cs="Times New Roman"/>
          <w:sz w:val="24"/>
          <w:szCs w:val="24"/>
        </w:rPr>
      </w:pPr>
    </w:p>
    <w:p w:rsidR="007C2BDC" w:rsidRPr="009869D3" w:rsidRDefault="007C2BDC" w:rsidP="007C2BDC">
      <w:pPr>
        <w:spacing w:after="0"/>
        <w:jc w:val="both"/>
        <w:rPr>
          <w:rFonts w:ascii="Times New Roman" w:eastAsia="Calibri" w:hAnsi="Times New Roman" w:cs="Times New Roman"/>
          <w:sz w:val="24"/>
          <w:szCs w:val="24"/>
        </w:rPr>
      </w:pPr>
      <w:r w:rsidRPr="009869D3">
        <w:rPr>
          <w:rFonts w:ascii="Times New Roman" w:eastAsia="Calibri" w:hAnsi="Times New Roman" w:cs="Times New Roman"/>
          <w:sz w:val="24"/>
          <w:szCs w:val="24"/>
        </w:rPr>
        <w:t>Príjmy z predaja emisných kvót pokračujú v raste na celom horizonte z dôvodu rastúcich cien emisných povoleniek na burze. Počas roka 2021 nastal skokový rast cien emisných kvót (medziročne okolo 250 %) v súlade s obmedzením ponuky emisných povoleniek</w:t>
      </w:r>
      <w:r>
        <w:rPr>
          <w:rStyle w:val="Odkaznapoznmkupodiarou"/>
          <w:rFonts w:ascii="Times New Roman" w:eastAsia="Calibri" w:hAnsi="Times New Roman"/>
          <w:sz w:val="24"/>
          <w:szCs w:val="24"/>
        </w:rPr>
        <w:footnoteReference w:id="27"/>
      </w:r>
      <w:r w:rsidRPr="009869D3">
        <w:rPr>
          <w:rFonts w:ascii="Times New Roman" w:eastAsia="Calibri" w:hAnsi="Times New Roman" w:cs="Times New Roman"/>
          <w:sz w:val="24"/>
          <w:szCs w:val="24"/>
        </w:rPr>
        <w:t>, čo odráža ambicióznejšie ciele Európskej komisie na zníženie emisií v EÚ. Akruálny výnos za rok 2021 vo výške 167 mil. eur ešte neobsahuje zvýšenie cien emisií v roku 2021, pretože podľa metodiky Štatistického úradu</w:t>
      </w:r>
      <w:r>
        <w:rPr>
          <w:rFonts w:ascii="Times New Roman" w:eastAsia="Calibri" w:hAnsi="Times New Roman" w:cs="Times New Roman"/>
          <w:sz w:val="24"/>
          <w:szCs w:val="24"/>
        </w:rPr>
        <w:t xml:space="preserve"> SR</w:t>
      </w:r>
      <w:r w:rsidRPr="009869D3">
        <w:rPr>
          <w:rFonts w:ascii="Times New Roman" w:eastAsia="Calibri" w:hAnsi="Times New Roman" w:cs="Times New Roman"/>
          <w:sz w:val="24"/>
          <w:szCs w:val="24"/>
        </w:rPr>
        <w:t xml:space="preserve"> je spotreba emisných kvót ocenená priemernou historickou cenou do roku 2020. Až výnos od roku 2022 zohľadňuje rast cien v aktuálnom roku, čo vedie k výnosu 212 až 232 mil. eur na horizonte rozpočtu.</w:t>
      </w:r>
    </w:p>
    <w:p w:rsidR="007C2BDC" w:rsidRPr="009869D3" w:rsidRDefault="007C2BDC" w:rsidP="007C2BDC">
      <w:pPr>
        <w:spacing w:after="0"/>
        <w:jc w:val="both"/>
        <w:rPr>
          <w:rFonts w:ascii="Times New Roman" w:eastAsia="Calibri" w:hAnsi="Times New Roman" w:cs="Times New Roman"/>
          <w:sz w:val="24"/>
          <w:szCs w:val="24"/>
        </w:rPr>
      </w:pPr>
    </w:p>
    <w:p w:rsidR="007C2BDC" w:rsidRPr="009869D3" w:rsidRDefault="007C2BDC" w:rsidP="007C2BDC">
      <w:pPr>
        <w:spacing w:after="0"/>
        <w:jc w:val="both"/>
        <w:rPr>
          <w:rFonts w:ascii="Times New Roman" w:eastAsia="Calibri" w:hAnsi="Times New Roman" w:cs="Times New Roman"/>
          <w:sz w:val="24"/>
          <w:szCs w:val="24"/>
        </w:rPr>
      </w:pPr>
      <w:r w:rsidRPr="009869D3">
        <w:rPr>
          <w:rFonts w:ascii="Times New Roman" w:eastAsia="Calibri" w:hAnsi="Times New Roman" w:cs="Times New Roman"/>
          <w:sz w:val="24"/>
          <w:szCs w:val="24"/>
        </w:rPr>
        <w:t xml:space="preserve">Príjmy z odvodu z hazardných hier sa v roku 2021 udržia na úrovni predchádzajúceho roka napriek pokračujúcemu vplyvu pandémie. Pandemické opatrenia zasiahli najmä kamenné prevádzky, čo spôsobilo pokles počtu terminálov videohier, za ktoré sa platí poplatok za 1 kus bez ohľadu na to, či je terminál v prevádzke. Tento výpadok plne vykompenzoval vývoj online kasín. Pandémia umocnila prechod z tradičných hazardných hier do online priestoru, ktoré sú jednoduchšie dostupné (napr. cez mobilný telefón). Rozmach online kasín a rast príjmov z odvodu predpokladáme na celom horizonte rozpočtu. Ďalšie populárne hazardné hry (číselné lotérie a kurzové stávky) pokračujú v stabilnom raste podobne ako v minulosti.  </w:t>
      </w:r>
    </w:p>
    <w:p w:rsidR="007020FE" w:rsidRDefault="007020FE" w:rsidP="00AC031F">
      <w:pPr>
        <w:widowControl w:val="0"/>
        <w:spacing w:after="0"/>
        <w:jc w:val="both"/>
        <w:rPr>
          <w:rFonts w:ascii="Times New Roman" w:eastAsia="NeueHaasGroteskText W02" w:hAnsi="Times New Roman" w:cs="Times New Roman"/>
          <w:sz w:val="24"/>
          <w:szCs w:val="20"/>
        </w:rPr>
      </w:pPr>
    </w:p>
    <w:p w:rsidR="00AC031F" w:rsidRDefault="00AC031F" w:rsidP="00AC031F">
      <w:pPr>
        <w:spacing w:after="0"/>
        <w:rPr>
          <w:rFonts w:ascii="Times New Roman" w:hAnsi="Times New Roman"/>
          <w:b/>
          <w:color w:val="5B9BD5" w:themeColor="accent1"/>
          <w:sz w:val="24"/>
          <w:szCs w:val="24"/>
          <w:lang w:eastAsia="sk-SK"/>
        </w:rPr>
      </w:pPr>
      <w:bookmarkStart w:id="106" w:name="_Toc52972874"/>
      <w:r w:rsidRPr="00FC43DD">
        <w:rPr>
          <w:rFonts w:ascii="Times New Roman" w:eastAsia="Times New Roman" w:hAnsi="Times New Roman" w:cs="Times New Roman"/>
          <w:b/>
          <w:bCs/>
          <w:color w:val="5B9BD5" w:themeColor="accent1"/>
          <w:sz w:val="24"/>
          <w:szCs w:val="24"/>
        </w:rPr>
        <w:t>3.</w:t>
      </w:r>
      <w:r>
        <w:rPr>
          <w:rFonts w:ascii="Times New Roman" w:eastAsia="Times New Roman" w:hAnsi="Times New Roman" w:cs="Times New Roman"/>
          <w:b/>
          <w:bCs/>
          <w:color w:val="5B9BD5" w:themeColor="accent1"/>
          <w:sz w:val="24"/>
          <w:szCs w:val="24"/>
        </w:rPr>
        <w:t>2</w:t>
      </w:r>
      <w:r w:rsidRPr="00FC43DD">
        <w:rPr>
          <w:rFonts w:ascii="Times New Roman" w:eastAsia="Times New Roman" w:hAnsi="Times New Roman" w:cs="Times New Roman"/>
          <w:b/>
          <w:bCs/>
          <w:color w:val="5B9BD5" w:themeColor="accent1"/>
          <w:sz w:val="24"/>
          <w:szCs w:val="24"/>
        </w:rPr>
        <w:t xml:space="preserve">.2. </w:t>
      </w:r>
      <w:bookmarkEnd w:id="106"/>
      <w:r w:rsidR="007C2BDC" w:rsidRPr="007C2BDC">
        <w:rPr>
          <w:rFonts w:ascii="Times New Roman" w:hAnsi="Times New Roman"/>
          <w:b/>
          <w:color w:val="5B9BD5" w:themeColor="accent1"/>
          <w:sz w:val="24"/>
          <w:szCs w:val="24"/>
          <w:lang w:eastAsia="sk-SK"/>
        </w:rPr>
        <w:t>Rozpočtovanie iných ako daňových príjmov verejnej správy</w:t>
      </w:r>
    </w:p>
    <w:p w:rsidR="007C2BDC" w:rsidRDefault="007C2BDC" w:rsidP="00AC031F">
      <w:pPr>
        <w:spacing w:after="0"/>
        <w:rPr>
          <w:rFonts w:ascii="Times New Roman" w:hAnsi="Times New Roman"/>
          <w:b/>
          <w:color w:val="5B9BD5" w:themeColor="accent1"/>
          <w:sz w:val="24"/>
          <w:szCs w:val="24"/>
          <w:lang w:eastAsia="sk-SK"/>
        </w:rPr>
      </w:pPr>
    </w:p>
    <w:p w:rsidR="007C2BDC" w:rsidRPr="00446DDA" w:rsidRDefault="007C2BDC" w:rsidP="007C2BD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Iné ako nedaňové príjmy verejnej správy obsahujú vybrané ne</w:t>
      </w:r>
      <w:r w:rsidRPr="00446DDA">
        <w:rPr>
          <w:rFonts w:ascii="Times New Roman" w:eastAsia="Calibri" w:hAnsi="Times New Roman" w:cs="Times New Roman"/>
          <w:sz w:val="24"/>
          <w:szCs w:val="24"/>
        </w:rPr>
        <w:t>daňov</w:t>
      </w:r>
      <w:r>
        <w:rPr>
          <w:rFonts w:ascii="Times New Roman" w:eastAsia="Calibri" w:hAnsi="Times New Roman" w:cs="Times New Roman"/>
          <w:sz w:val="24"/>
          <w:szCs w:val="24"/>
        </w:rPr>
        <w:t>é príjmy</w:t>
      </w:r>
      <w:r w:rsidRPr="00446DDA">
        <w:rPr>
          <w:rFonts w:ascii="Times New Roman" w:eastAsia="Calibri" w:hAnsi="Times New Roman" w:cs="Times New Roman"/>
          <w:sz w:val="24"/>
          <w:szCs w:val="24"/>
        </w:rPr>
        <w:t>, ktoré  prognózuje Výbor pre daňové prognózy</w:t>
      </w:r>
      <w:r>
        <w:rPr>
          <w:rFonts w:ascii="Times New Roman" w:eastAsia="Calibri" w:hAnsi="Times New Roman" w:cs="Times New Roman"/>
          <w:sz w:val="24"/>
          <w:szCs w:val="24"/>
        </w:rPr>
        <w:t xml:space="preserve"> a ostatné </w:t>
      </w:r>
      <w:r w:rsidRPr="00446DDA">
        <w:rPr>
          <w:rFonts w:ascii="Times New Roman" w:eastAsia="Calibri" w:hAnsi="Times New Roman" w:cs="Times New Roman"/>
          <w:sz w:val="24"/>
          <w:szCs w:val="24"/>
        </w:rPr>
        <w:t>nedaňové príjmy a granty a transfery štátneho rozpočtu a ďalších subjektov verejnej správy. Objemovo sú najvýznamnejšie príjmy zo zahraničných a tuzemských transferov, v rámci ktorých sú zaznamenáva</w:t>
      </w:r>
      <w:r>
        <w:rPr>
          <w:rFonts w:ascii="Times New Roman" w:eastAsia="Calibri" w:hAnsi="Times New Roman" w:cs="Times New Roman"/>
          <w:sz w:val="24"/>
          <w:szCs w:val="24"/>
        </w:rPr>
        <w:t>né najmä prostriedky z rozpočtu EÚ a prostriedky Plánu obnovy a odolnosti.</w:t>
      </w:r>
      <w:r w:rsidRPr="00446DDA">
        <w:rPr>
          <w:rFonts w:ascii="Times New Roman" w:eastAsia="Calibri" w:hAnsi="Times New Roman" w:cs="Times New Roman"/>
          <w:sz w:val="24"/>
          <w:szCs w:val="24"/>
        </w:rPr>
        <w:t xml:space="preserve"> Ďalej sem patria príjmy pochádzajúce z vlastníctva majetku, t. j. dividendy, resp. príjmy z prenájmov, ako aj z predaja majetku. Do kategórie iných ako daňových príjmov rovnako patria poplatky vyberané subjektmi verejnej správy ako aj ich tržby. Výšku týchto príjmov zobrazuje nasledovná tabuľka.</w:t>
      </w:r>
    </w:p>
    <w:p w:rsidR="007C2BDC" w:rsidRPr="00446DDA" w:rsidRDefault="007C2BDC" w:rsidP="007C2BDC">
      <w:pPr>
        <w:spacing w:after="0"/>
        <w:jc w:val="both"/>
        <w:rPr>
          <w:rFonts w:ascii="Times New Roman" w:eastAsia="Calibri" w:hAnsi="Times New Roman" w:cs="Times New Roman"/>
          <w:sz w:val="24"/>
          <w:szCs w:val="24"/>
        </w:rPr>
      </w:pPr>
    </w:p>
    <w:p w:rsidR="007C2BDC" w:rsidRPr="007C2BDC" w:rsidRDefault="007C2BDC" w:rsidP="007C2BDC">
      <w:pPr>
        <w:pStyle w:val="Popis"/>
        <w:keepNext/>
        <w:spacing w:after="0"/>
        <w:rPr>
          <w:rFonts w:ascii="Times New Roman" w:hAnsi="Times New Roman" w:cs="Times New Roman"/>
          <w:b/>
          <w:i w:val="0"/>
          <w:color w:val="5B9BD5" w:themeColor="accent1"/>
          <w:sz w:val="20"/>
          <w:szCs w:val="20"/>
        </w:rPr>
      </w:pPr>
      <w:bookmarkStart w:id="107" w:name="_Toc84845254"/>
      <w:r w:rsidRPr="007C2BDC">
        <w:rPr>
          <w:rFonts w:ascii="Times New Roman" w:hAnsi="Times New Roman" w:cs="Times New Roman"/>
          <w:b/>
          <w:i w:val="0"/>
          <w:color w:val="5B9BD5" w:themeColor="accent1"/>
          <w:sz w:val="20"/>
          <w:szCs w:val="20"/>
        </w:rPr>
        <w:t xml:space="preserve">Tabuľka </w:t>
      </w:r>
      <w:r w:rsidRPr="007C2BDC">
        <w:rPr>
          <w:rFonts w:ascii="Times New Roman" w:hAnsi="Times New Roman" w:cs="Times New Roman"/>
          <w:b/>
          <w:i w:val="0"/>
          <w:color w:val="5B9BD5" w:themeColor="accent1"/>
          <w:sz w:val="20"/>
          <w:szCs w:val="20"/>
        </w:rPr>
        <w:fldChar w:fldCharType="begin"/>
      </w:r>
      <w:r w:rsidRPr="007C2BDC">
        <w:rPr>
          <w:rFonts w:ascii="Times New Roman" w:hAnsi="Times New Roman" w:cs="Times New Roman"/>
          <w:b/>
          <w:i w:val="0"/>
          <w:color w:val="5B9BD5" w:themeColor="accent1"/>
          <w:sz w:val="20"/>
          <w:szCs w:val="20"/>
        </w:rPr>
        <w:instrText xml:space="preserve"> SEQ Tabuľka \* ARABIC </w:instrText>
      </w:r>
      <w:r w:rsidRPr="007C2BDC">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30</w:t>
      </w:r>
      <w:r w:rsidRPr="007C2BDC">
        <w:rPr>
          <w:rFonts w:ascii="Times New Roman" w:hAnsi="Times New Roman" w:cs="Times New Roman"/>
          <w:b/>
          <w:i w:val="0"/>
          <w:color w:val="5B9BD5" w:themeColor="accent1"/>
          <w:sz w:val="20"/>
          <w:szCs w:val="20"/>
        </w:rPr>
        <w:fldChar w:fldCharType="end"/>
      </w:r>
      <w:r w:rsidR="003B2A3F">
        <w:rPr>
          <w:rFonts w:ascii="Times New Roman" w:hAnsi="Times New Roman" w:cs="Times New Roman"/>
          <w:b/>
          <w:i w:val="0"/>
          <w:color w:val="5B9BD5" w:themeColor="accent1"/>
          <w:sz w:val="20"/>
          <w:szCs w:val="20"/>
        </w:rPr>
        <w:t xml:space="preserve"> </w:t>
      </w:r>
      <w:r w:rsidRPr="007C2BDC">
        <w:rPr>
          <w:rFonts w:ascii="Times New Roman" w:hAnsi="Times New Roman" w:cs="Times New Roman"/>
          <w:b/>
          <w:i w:val="0"/>
          <w:color w:val="5B9BD5" w:themeColor="accent1"/>
          <w:sz w:val="20"/>
          <w:szCs w:val="20"/>
        </w:rPr>
        <w:t>- Iné ako daňové príjmy rozpočtu verejnej správy*</w:t>
      </w:r>
      <w:bookmarkEnd w:id="107"/>
    </w:p>
    <w:tbl>
      <w:tblPr>
        <w:tblW w:w="5000" w:type="pct"/>
        <w:tblCellMar>
          <w:left w:w="70" w:type="dxa"/>
          <w:right w:w="70" w:type="dxa"/>
        </w:tblCellMar>
        <w:tblLook w:val="04A0" w:firstRow="1" w:lastRow="0" w:firstColumn="1" w:lastColumn="0" w:noHBand="0" w:noVBand="1"/>
      </w:tblPr>
      <w:tblGrid>
        <w:gridCol w:w="1808"/>
        <w:gridCol w:w="1038"/>
        <w:gridCol w:w="1038"/>
        <w:gridCol w:w="1038"/>
        <w:gridCol w:w="1038"/>
        <w:gridCol w:w="1038"/>
        <w:gridCol w:w="1038"/>
        <w:gridCol w:w="1036"/>
      </w:tblGrid>
      <w:tr w:rsidR="007C2BDC" w:rsidRPr="00371B67" w:rsidTr="007C2BDC">
        <w:trPr>
          <w:trHeight w:val="289"/>
        </w:trPr>
        <w:tc>
          <w:tcPr>
            <w:tcW w:w="996"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rPr>
                <w:rFonts w:ascii="Times New Roman" w:eastAsia="Times New Roman" w:hAnsi="Times New Roman" w:cs="Times New Roman"/>
                <w:b/>
                <w:bCs/>
                <w:color w:val="000000"/>
                <w:sz w:val="16"/>
                <w:szCs w:val="16"/>
                <w:lang w:eastAsia="sk-SK"/>
              </w:rPr>
            </w:pPr>
            <w:bookmarkStart w:id="108" w:name="_Toc52972872"/>
            <w:r w:rsidRPr="00371B67">
              <w:rPr>
                <w:rFonts w:ascii="Times New Roman" w:eastAsia="Times New Roman" w:hAnsi="Times New Roman" w:cs="Times New Roman"/>
                <w:b/>
                <w:bCs/>
                <w:color w:val="000000"/>
                <w:sz w:val="16"/>
                <w:szCs w:val="16"/>
                <w:lang w:eastAsia="sk-SK"/>
              </w:rPr>
              <w:t> v tis. eur</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2019 S</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2020 S</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 xml:space="preserve"> 2021 R</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2021 OS</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2022 N</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2023 N</w:t>
            </w:r>
          </w:p>
        </w:tc>
        <w:tc>
          <w:tcPr>
            <w:tcW w:w="571" w:type="pct"/>
            <w:tcBorders>
              <w:top w:val="single" w:sz="4" w:space="0" w:color="auto"/>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2024 N</w:t>
            </w:r>
          </w:p>
        </w:tc>
      </w:tr>
      <w:tr w:rsidR="007C2BDC" w:rsidRPr="00371B67" w:rsidTr="007C2BDC">
        <w:trPr>
          <w:trHeight w:val="289"/>
        </w:trPr>
        <w:tc>
          <w:tcPr>
            <w:tcW w:w="996"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Spolu</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14 003 264</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15 646 755</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13 857 944</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15 783 184</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16 257 486</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17 461 919</w:t>
            </w:r>
          </w:p>
        </w:tc>
        <w:tc>
          <w:tcPr>
            <w:tcW w:w="571"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371B67">
              <w:rPr>
                <w:rFonts w:ascii="Times New Roman" w:eastAsia="Times New Roman" w:hAnsi="Times New Roman" w:cs="Times New Roman"/>
                <w:b/>
                <w:bCs/>
                <w:color w:val="000000"/>
                <w:sz w:val="16"/>
                <w:szCs w:val="16"/>
                <w:lang w:eastAsia="sk-SK"/>
              </w:rPr>
              <w:t>15 157 382</w:t>
            </w:r>
          </w:p>
        </w:tc>
      </w:tr>
      <w:tr w:rsidR="007C2BDC" w:rsidRPr="00371B67" w:rsidTr="007C2BDC">
        <w:trPr>
          <w:trHeight w:val="289"/>
        </w:trPr>
        <w:tc>
          <w:tcPr>
            <w:tcW w:w="996"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Nedaňové príjmy</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5 748 788</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5 552 260</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5 658 362</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5 682 280</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5 812 820</w:t>
            </w:r>
          </w:p>
        </w:tc>
        <w:tc>
          <w:tcPr>
            <w:tcW w:w="572"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5 990 163</w:t>
            </w:r>
          </w:p>
        </w:tc>
        <w:tc>
          <w:tcPr>
            <w:tcW w:w="571" w:type="pct"/>
            <w:tcBorders>
              <w:top w:val="nil"/>
              <w:left w:val="nil"/>
              <w:bottom w:val="nil"/>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6 049 818</w:t>
            </w:r>
          </w:p>
        </w:tc>
      </w:tr>
      <w:tr w:rsidR="007C2BDC" w:rsidRPr="00371B67" w:rsidTr="007C2BDC">
        <w:trPr>
          <w:trHeight w:val="289"/>
        </w:trPr>
        <w:tc>
          <w:tcPr>
            <w:tcW w:w="996"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Granty a transfery</w:t>
            </w:r>
          </w:p>
        </w:tc>
        <w:tc>
          <w:tcPr>
            <w:tcW w:w="572"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8 254 476</w:t>
            </w:r>
          </w:p>
        </w:tc>
        <w:tc>
          <w:tcPr>
            <w:tcW w:w="572"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10 094 495</w:t>
            </w:r>
          </w:p>
        </w:tc>
        <w:tc>
          <w:tcPr>
            <w:tcW w:w="572"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8 199 582</w:t>
            </w:r>
          </w:p>
        </w:tc>
        <w:tc>
          <w:tcPr>
            <w:tcW w:w="572"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10 100 904</w:t>
            </w:r>
          </w:p>
        </w:tc>
        <w:tc>
          <w:tcPr>
            <w:tcW w:w="572"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10 444 666</w:t>
            </w:r>
          </w:p>
        </w:tc>
        <w:tc>
          <w:tcPr>
            <w:tcW w:w="572"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11 471 756</w:t>
            </w:r>
          </w:p>
        </w:tc>
        <w:tc>
          <w:tcPr>
            <w:tcW w:w="571" w:type="pct"/>
            <w:tcBorders>
              <w:top w:val="nil"/>
              <w:left w:val="nil"/>
              <w:bottom w:val="single" w:sz="4" w:space="0" w:color="auto"/>
              <w:right w:val="nil"/>
            </w:tcBorders>
            <w:shd w:val="clear" w:color="auto" w:fill="auto"/>
            <w:noWrap/>
            <w:vAlign w:val="center"/>
            <w:hideMark/>
          </w:tcPr>
          <w:p w:rsidR="007C2BDC" w:rsidRPr="00371B67"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371B67">
              <w:rPr>
                <w:rFonts w:ascii="Times New Roman" w:eastAsia="Times New Roman" w:hAnsi="Times New Roman" w:cs="Times New Roman"/>
                <w:color w:val="000000"/>
                <w:sz w:val="16"/>
                <w:szCs w:val="16"/>
                <w:lang w:eastAsia="sk-SK"/>
              </w:rPr>
              <w:t>9 107 564</w:t>
            </w:r>
          </w:p>
        </w:tc>
      </w:tr>
    </w:tbl>
    <w:p w:rsidR="007C2BDC" w:rsidRPr="00A02C7D" w:rsidRDefault="007C2BDC" w:rsidP="007C2BDC">
      <w:pPr>
        <w:spacing w:after="0"/>
        <w:rPr>
          <w:rFonts w:ascii="Times New Roman" w:eastAsia="Times New Roman" w:hAnsi="Times New Roman" w:cs="Times New Roman"/>
          <w:bCs/>
          <w:i/>
          <w:sz w:val="16"/>
          <w:szCs w:val="16"/>
        </w:rPr>
      </w:pPr>
      <w:r w:rsidRPr="00A02C7D">
        <w:rPr>
          <w:rFonts w:ascii="Times New Roman" w:eastAsia="Times New Roman" w:hAnsi="Times New Roman" w:cs="Times New Roman"/>
          <w:i/>
          <w:sz w:val="16"/>
          <w:szCs w:val="16"/>
        </w:rPr>
        <w:t>*</w:t>
      </w:r>
      <w:r w:rsidR="00772873">
        <w:rPr>
          <w:rFonts w:ascii="Times New Roman" w:eastAsia="Times New Roman" w:hAnsi="Times New Roman" w:cs="Times New Roman"/>
          <w:i/>
          <w:sz w:val="16"/>
          <w:szCs w:val="16"/>
        </w:rPr>
        <w:t xml:space="preserve"> </w:t>
      </w:r>
      <w:r w:rsidRPr="00A02C7D">
        <w:rPr>
          <w:rFonts w:ascii="Times New Roman" w:eastAsia="Times New Roman" w:hAnsi="Times New Roman" w:cs="Times New Roman"/>
          <w:bCs/>
          <w:i/>
          <w:sz w:val="16"/>
          <w:szCs w:val="16"/>
        </w:rPr>
        <w:t>Bez príjmov samostatných účtov vstupujúcich do rozpočtu verejnej správy, ktoré sú samostatne uvedené v časti 3.</w:t>
      </w:r>
      <w:r>
        <w:rPr>
          <w:rFonts w:ascii="Times New Roman" w:eastAsia="Times New Roman" w:hAnsi="Times New Roman" w:cs="Times New Roman"/>
          <w:bCs/>
          <w:i/>
          <w:sz w:val="16"/>
          <w:szCs w:val="16"/>
        </w:rPr>
        <w:t>3</w:t>
      </w:r>
      <w:r w:rsidRPr="00A02C7D">
        <w:rPr>
          <w:rFonts w:ascii="Times New Roman" w:eastAsia="Times New Roman" w:hAnsi="Times New Roman" w:cs="Times New Roman"/>
          <w:bCs/>
          <w:i/>
          <w:sz w:val="16"/>
          <w:szCs w:val="16"/>
        </w:rPr>
        <w:t>.</w:t>
      </w:r>
      <w:bookmarkEnd w:id="108"/>
    </w:p>
    <w:p w:rsidR="007C2BDC" w:rsidRPr="00446DDA" w:rsidRDefault="007C2BDC" w:rsidP="007C2BDC">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t xml:space="preserve">     </w:t>
      </w:r>
      <w:r w:rsidRPr="00446DDA">
        <w:rPr>
          <w:rFonts w:ascii="Times New Roman" w:eastAsia="Calibri" w:hAnsi="Times New Roman" w:cs="Times New Roman"/>
          <w:i/>
          <w:sz w:val="16"/>
          <w:szCs w:val="16"/>
        </w:rPr>
        <w:t>Zdroj: MF SR</w:t>
      </w:r>
    </w:p>
    <w:p w:rsidR="004F568C" w:rsidRDefault="004F568C"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Default="008D2AF5" w:rsidP="00AC031F">
      <w:pPr>
        <w:spacing w:after="0"/>
        <w:rPr>
          <w:rFonts w:ascii="Times New Roman" w:eastAsia="Times New Roman" w:hAnsi="Times New Roman" w:cs="Times New Roman"/>
          <w:b/>
          <w:bCs/>
          <w:color w:val="5B9BD5" w:themeColor="accent1"/>
          <w:sz w:val="24"/>
          <w:szCs w:val="24"/>
        </w:rPr>
      </w:pPr>
    </w:p>
    <w:p w:rsidR="008D2AF5" w:rsidRPr="00FC43DD" w:rsidRDefault="008D2AF5" w:rsidP="00AC031F">
      <w:pPr>
        <w:spacing w:after="0"/>
        <w:rPr>
          <w:rFonts w:ascii="Times New Roman" w:eastAsia="Times New Roman" w:hAnsi="Times New Roman" w:cs="Times New Roman"/>
          <w:b/>
          <w:bCs/>
          <w:color w:val="5B9BD5" w:themeColor="accent1"/>
          <w:sz w:val="24"/>
          <w:szCs w:val="24"/>
        </w:rPr>
      </w:pPr>
    </w:p>
    <w:p w:rsidR="00AC031F" w:rsidRDefault="00AC031F" w:rsidP="00AC031F">
      <w:pPr>
        <w:spacing w:after="0"/>
        <w:jc w:val="both"/>
        <w:rPr>
          <w:rFonts w:ascii="Times New Roman" w:eastAsia="Times New Roman" w:hAnsi="Times New Roman" w:cs="Times New Roman"/>
          <w:b/>
          <w:bCs/>
          <w:color w:val="5B9BD5" w:themeColor="accent1"/>
          <w:sz w:val="24"/>
          <w:szCs w:val="24"/>
        </w:rPr>
      </w:pPr>
      <w:bookmarkStart w:id="109" w:name="_Toc52972875"/>
      <w:r w:rsidRPr="00FC43DD">
        <w:rPr>
          <w:rFonts w:ascii="Times New Roman" w:eastAsia="Times New Roman" w:hAnsi="Times New Roman" w:cs="Times New Roman"/>
          <w:b/>
          <w:bCs/>
          <w:color w:val="5B9BD5" w:themeColor="accent1"/>
          <w:sz w:val="24"/>
          <w:szCs w:val="24"/>
        </w:rPr>
        <w:t>3.</w:t>
      </w:r>
      <w:r>
        <w:rPr>
          <w:rFonts w:ascii="Times New Roman" w:eastAsia="Times New Roman" w:hAnsi="Times New Roman" w:cs="Times New Roman"/>
          <w:b/>
          <w:bCs/>
          <w:color w:val="5B9BD5" w:themeColor="accent1"/>
          <w:sz w:val="24"/>
          <w:szCs w:val="24"/>
        </w:rPr>
        <w:t>2</w:t>
      </w:r>
      <w:r w:rsidRPr="00FC43DD">
        <w:rPr>
          <w:rFonts w:ascii="Times New Roman" w:eastAsia="Times New Roman" w:hAnsi="Times New Roman" w:cs="Times New Roman"/>
          <w:b/>
          <w:bCs/>
          <w:color w:val="5B9BD5" w:themeColor="accent1"/>
          <w:sz w:val="24"/>
          <w:szCs w:val="24"/>
        </w:rPr>
        <w:t xml:space="preserve">.3. </w:t>
      </w:r>
      <w:bookmarkEnd w:id="109"/>
      <w:r w:rsidR="007C2BDC" w:rsidRPr="007C2BDC">
        <w:rPr>
          <w:rFonts w:ascii="Times New Roman" w:hAnsi="Times New Roman"/>
          <w:b/>
          <w:color w:val="5B9BD5" w:themeColor="accent1"/>
          <w:sz w:val="24"/>
          <w:szCs w:val="24"/>
          <w:lang w:eastAsia="sk-SK"/>
        </w:rPr>
        <w:t>Rozpočtovanie iných ako daňových príjmov štátneho rozpočtu</w:t>
      </w:r>
    </w:p>
    <w:p w:rsidR="007020FE" w:rsidRDefault="007020FE" w:rsidP="00AC031F">
      <w:pPr>
        <w:spacing w:after="0"/>
        <w:jc w:val="both"/>
        <w:rPr>
          <w:rFonts w:ascii="Times New Roman" w:eastAsia="Times New Roman" w:hAnsi="Times New Roman" w:cs="Times New Roman"/>
          <w:b/>
          <w:bCs/>
          <w:color w:val="5B9BD5" w:themeColor="accent1"/>
          <w:sz w:val="24"/>
          <w:szCs w:val="24"/>
        </w:rPr>
      </w:pPr>
    </w:p>
    <w:p w:rsidR="007C2BDC" w:rsidRDefault="007C2BDC" w:rsidP="007C2BDC">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Výdavkové politiky vlády SR sú financované nielen z daňových príjmov, ale aj z iných príjmov kapitol štátneho rozpočtu, ktoré možno rozdeliť na dve základné kategórie, a to nedaňové príjmy a granty a transfery.</w:t>
      </w:r>
    </w:p>
    <w:p w:rsidR="007C2BDC" w:rsidRPr="00CF001A" w:rsidRDefault="007C2BDC" w:rsidP="007C2BDC">
      <w:pPr>
        <w:spacing w:after="0"/>
        <w:jc w:val="both"/>
        <w:rPr>
          <w:rFonts w:ascii="Times New Roman" w:eastAsia="Calibri" w:hAnsi="Times New Roman" w:cs="Times New Roman"/>
          <w:sz w:val="24"/>
          <w:szCs w:val="24"/>
        </w:rPr>
      </w:pPr>
    </w:p>
    <w:p w:rsidR="007C2BDC" w:rsidRPr="007C2BDC" w:rsidRDefault="007C2BDC" w:rsidP="007C2BDC">
      <w:pPr>
        <w:pStyle w:val="Popis"/>
        <w:keepNext/>
        <w:spacing w:after="0"/>
        <w:rPr>
          <w:rFonts w:ascii="Times New Roman" w:hAnsi="Times New Roman" w:cs="Times New Roman"/>
          <w:b/>
          <w:i w:val="0"/>
          <w:color w:val="5B9BD5" w:themeColor="accent1"/>
          <w:sz w:val="20"/>
          <w:szCs w:val="20"/>
        </w:rPr>
      </w:pPr>
      <w:bookmarkStart w:id="110" w:name="_Toc84845255"/>
      <w:r w:rsidRPr="007C2BDC">
        <w:rPr>
          <w:rFonts w:ascii="Times New Roman" w:hAnsi="Times New Roman" w:cs="Times New Roman"/>
          <w:b/>
          <w:i w:val="0"/>
          <w:color w:val="5B9BD5" w:themeColor="accent1"/>
          <w:sz w:val="20"/>
          <w:szCs w:val="20"/>
        </w:rPr>
        <w:t xml:space="preserve">Tabuľka </w:t>
      </w:r>
      <w:r w:rsidRPr="007C2BDC">
        <w:rPr>
          <w:rFonts w:ascii="Times New Roman" w:hAnsi="Times New Roman" w:cs="Times New Roman"/>
          <w:b/>
          <w:i w:val="0"/>
          <w:color w:val="5B9BD5" w:themeColor="accent1"/>
          <w:sz w:val="20"/>
          <w:szCs w:val="20"/>
        </w:rPr>
        <w:fldChar w:fldCharType="begin"/>
      </w:r>
      <w:r w:rsidRPr="007C2BDC">
        <w:rPr>
          <w:rFonts w:ascii="Times New Roman" w:hAnsi="Times New Roman" w:cs="Times New Roman"/>
          <w:b/>
          <w:i w:val="0"/>
          <w:color w:val="5B9BD5" w:themeColor="accent1"/>
          <w:sz w:val="20"/>
          <w:szCs w:val="20"/>
        </w:rPr>
        <w:instrText xml:space="preserve"> SEQ Tabuľka \* ARABIC </w:instrText>
      </w:r>
      <w:r w:rsidRPr="007C2BDC">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31</w:t>
      </w:r>
      <w:r w:rsidRPr="007C2BDC">
        <w:rPr>
          <w:rFonts w:ascii="Times New Roman" w:hAnsi="Times New Roman" w:cs="Times New Roman"/>
          <w:b/>
          <w:i w:val="0"/>
          <w:color w:val="5B9BD5" w:themeColor="accent1"/>
          <w:sz w:val="20"/>
          <w:szCs w:val="20"/>
        </w:rPr>
        <w:fldChar w:fldCharType="end"/>
      </w:r>
      <w:r w:rsidRPr="007C2BDC">
        <w:rPr>
          <w:rFonts w:ascii="Times New Roman" w:hAnsi="Times New Roman" w:cs="Times New Roman"/>
          <w:b/>
          <w:i w:val="0"/>
          <w:color w:val="5B9BD5" w:themeColor="accent1"/>
          <w:sz w:val="20"/>
          <w:szCs w:val="20"/>
        </w:rPr>
        <w:t xml:space="preserve"> - Iné ako daňové príjmy štátneho rozpočtu</w:t>
      </w:r>
      <w:bookmarkEnd w:id="110"/>
    </w:p>
    <w:tbl>
      <w:tblPr>
        <w:tblW w:w="5000" w:type="pct"/>
        <w:tblCellMar>
          <w:left w:w="70" w:type="dxa"/>
          <w:right w:w="70" w:type="dxa"/>
        </w:tblCellMar>
        <w:tblLook w:val="04A0" w:firstRow="1" w:lastRow="0" w:firstColumn="1" w:lastColumn="0" w:noHBand="0" w:noVBand="1"/>
      </w:tblPr>
      <w:tblGrid>
        <w:gridCol w:w="1808"/>
        <w:gridCol w:w="1038"/>
        <w:gridCol w:w="1038"/>
        <w:gridCol w:w="1038"/>
        <w:gridCol w:w="1038"/>
        <w:gridCol w:w="1038"/>
        <w:gridCol w:w="1038"/>
        <w:gridCol w:w="1036"/>
      </w:tblGrid>
      <w:tr w:rsidR="007C2BDC" w:rsidRPr="00714661" w:rsidTr="007C2BDC">
        <w:trPr>
          <w:trHeight w:val="289"/>
        </w:trPr>
        <w:tc>
          <w:tcPr>
            <w:tcW w:w="996"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v tis. eur</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2019 S</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2020 S</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xml:space="preserve"> 2021 R</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2021 OS</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2022 N</w:t>
            </w:r>
          </w:p>
        </w:tc>
        <w:tc>
          <w:tcPr>
            <w:tcW w:w="572"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2023 N</w:t>
            </w:r>
          </w:p>
        </w:tc>
        <w:tc>
          <w:tcPr>
            <w:tcW w:w="571" w:type="pct"/>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2024 N</w:t>
            </w:r>
          </w:p>
        </w:tc>
      </w:tr>
      <w:tr w:rsidR="007C2BDC" w:rsidRPr="00714661" w:rsidTr="007C2BDC">
        <w:trPr>
          <w:trHeight w:val="289"/>
        </w:trPr>
        <w:tc>
          <w:tcPr>
            <w:tcW w:w="996"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Spolu</w:t>
            </w:r>
          </w:p>
        </w:tc>
        <w:tc>
          <w:tcPr>
            <w:tcW w:w="572" w:type="pct"/>
            <w:tcBorders>
              <w:top w:val="nil"/>
              <w:left w:val="nil"/>
              <w:bottom w:val="nil"/>
              <w:right w:val="nil"/>
            </w:tcBorders>
            <w:shd w:val="clear" w:color="auto" w:fill="auto"/>
            <w:noWrap/>
            <w:vAlign w:val="center"/>
            <w:hideMark/>
          </w:tcPr>
          <w:p w:rsidR="007C2BDC" w:rsidRPr="00714661" w:rsidRDefault="000C2CEE" w:rsidP="007C2BDC">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3 489</w:t>
            </w:r>
            <w:r w:rsidR="007C2BDC" w:rsidRPr="00714661">
              <w:rPr>
                <w:rFonts w:ascii="Times New Roman" w:eastAsia="Times New Roman" w:hAnsi="Times New Roman" w:cs="Times New Roman"/>
                <w:b/>
                <w:bCs/>
                <w:color w:val="000000"/>
                <w:sz w:val="16"/>
                <w:szCs w:val="16"/>
                <w:lang w:eastAsia="sk-SK"/>
              </w:rPr>
              <w:t xml:space="preserve"> 091</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3 885 213</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4 007 302</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4 026 043</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5 626 045</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7 111 000</w:t>
            </w:r>
          </w:p>
        </w:tc>
        <w:tc>
          <w:tcPr>
            <w:tcW w:w="571"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5 004 520</w:t>
            </w:r>
          </w:p>
        </w:tc>
      </w:tr>
      <w:tr w:rsidR="007C2BDC" w:rsidRPr="00714661" w:rsidTr="007C2BDC">
        <w:trPr>
          <w:trHeight w:val="289"/>
        </w:trPr>
        <w:tc>
          <w:tcPr>
            <w:tcW w:w="996"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Nedaňové príjmy</w:t>
            </w:r>
          </w:p>
        </w:tc>
        <w:tc>
          <w:tcPr>
            <w:tcW w:w="572" w:type="pct"/>
            <w:tcBorders>
              <w:top w:val="nil"/>
              <w:left w:val="nil"/>
              <w:bottom w:val="nil"/>
              <w:right w:val="nil"/>
            </w:tcBorders>
            <w:shd w:val="clear" w:color="auto" w:fill="auto"/>
            <w:noWrap/>
            <w:vAlign w:val="center"/>
            <w:hideMark/>
          </w:tcPr>
          <w:p w:rsidR="007C2BDC" w:rsidRPr="004A1F6B" w:rsidRDefault="000C2CEE" w:rsidP="007C2BDC">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bCs/>
                <w:color w:val="000000"/>
                <w:sz w:val="16"/>
                <w:szCs w:val="16"/>
                <w:lang w:eastAsia="sk-SK"/>
              </w:rPr>
              <w:t>1 327</w:t>
            </w:r>
            <w:r w:rsidR="004A1F6B" w:rsidRPr="004A1F6B">
              <w:rPr>
                <w:rFonts w:ascii="Times New Roman" w:eastAsia="Times New Roman" w:hAnsi="Times New Roman" w:cs="Times New Roman"/>
                <w:bCs/>
                <w:color w:val="000000"/>
                <w:sz w:val="16"/>
                <w:szCs w:val="16"/>
                <w:lang w:eastAsia="sk-SK"/>
              </w:rPr>
              <w:t xml:space="preserve"> 516</w:t>
            </w:r>
          </w:p>
        </w:tc>
        <w:tc>
          <w:tcPr>
            <w:tcW w:w="572" w:type="pct"/>
            <w:tcBorders>
              <w:top w:val="nil"/>
              <w:left w:val="nil"/>
              <w:bottom w:val="nil"/>
              <w:right w:val="nil"/>
            </w:tcBorders>
            <w:shd w:val="clear" w:color="auto" w:fill="auto"/>
            <w:noWrap/>
            <w:vAlign w:val="center"/>
            <w:hideMark/>
          </w:tcPr>
          <w:p w:rsidR="007C2BDC" w:rsidRPr="004A1F6B"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4A1F6B">
              <w:rPr>
                <w:rFonts w:ascii="Times New Roman" w:eastAsia="Times New Roman" w:hAnsi="Times New Roman" w:cs="Times New Roman"/>
                <w:color w:val="000000"/>
                <w:sz w:val="16"/>
                <w:szCs w:val="16"/>
                <w:lang w:eastAsia="sk-SK"/>
              </w:rPr>
              <w:t>1 296 627</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1 183 849</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1 262 403</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1 134 818</w:t>
            </w:r>
          </w:p>
        </w:tc>
        <w:tc>
          <w:tcPr>
            <w:tcW w:w="572"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1 158 962</w:t>
            </w:r>
          </w:p>
        </w:tc>
        <w:tc>
          <w:tcPr>
            <w:tcW w:w="571" w:type="pct"/>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1 197 380</w:t>
            </w:r>
          </w:p>
        </w:tc>
      </w:tr>
      <w:tr w:rsidR="007C2BDC" w:rsidRPr="00714661" w:rsidTr="007C2BDC">
        <w:trPr>
          <w:trHeight w:val="289"/>
        </w:trPr>
        <w:tc>
          <w:tcPr>
            <w:tcW w:w="996"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Granty a transfery</w:t>
            </w:r>
          </w:p>
        </w:tc>
        <w:tc>
          <w:tcPr>
            <w:tcW w:w="572"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2 161 575</w:t>
            </w:r>
          </w:p>
        </w:tc>
        <w:tc>
          <w:tcPr>
            <w:tcW w:w="572"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2 588 586</w:t>
            </w:r>
          </w:p>
        </w:tc>
        <w:tc>
          <w:tcPr>
            <w:tcW w:w="572"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2 823 453</w:t>
            </w:r>
          </w:p>
        </w:tc>
        <w:tc>
          <w:tcPr>
            <w:tcW w:w="572"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2 763 640</w:t>
            </w:r>
          </w:p>
        </w:tc>
        <w:tc>
          <w:tcPr>
            <w:tcW w:w="572"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4 491 227</w:t>
            </w:r>
          </w:p>
        </w:tc>
        <w:tc>
          <w:tcPr>
            <w:tcW w:w="572"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5 952 038</w:t>
            </w:r>
          </w:p>
        </w:tc>
        <w:tc>
          <w:tcPr>
            <w:tcW w:w="571" w:type="pct"/>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3 807 140</w:t>
            </w:r>
          </w:p>
        </w:tc>
      </w:tr>
    </w:tbl>
    <w:p w:rsidR="007C2BDC" w:rsidRPr="00CF001A" w:rsidRDefault="007C2BDC" w:rsidP="007C2BDC">
      <w:pPr>
        <w:spacing w:after="0"/>
        <w:rPr>
          <w:rFonts w:ascii="Times New Roman" w:eastAsia="Calibri" w:hAnsi="Times New Roman" w:cs="Times New Roman"/>
          <w:i/>
          <w:sz w:val="16"/>
          <w:szCs w:val="16"/>
        </w:rPr>
      </w:pP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i/>
          <w:sz w:val="16"/>
          <w:szCs w:val="16"/>
        </w:rPr>
        <w:t xml:space="preserve">     Zdroj: MF SR</w:t>
      </w:r>
    </w:p>
    <w:p w:rsidR="007C2BDC" w:rsidRPr="00577D3F" w:rsidRDefault="007C2BDC" w:rsidP="007C2BDC">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2C9ADC"/>
          <w:sz w:val="24"/>
          <w:szCs w:val="24"/>
          <w:bdr w:val="nil"/>
          <w:lang w:eastAsia="sk-SK"/>
        </w:rPr>
      </w:pPr>
    </w:p>
    <w:p w:rsidR="007C2BDC" w:rsidRPr="00192C79" w:rsidRDefault="007C2BDC" w:rsidP="00192C79">
      <w:pPr>
        <w:pStyle w:val="Zkladntext"/>
        <w:rPr>
          <w:rFonts w:ascii="Times New Roman" w:hAnsi="Times New Roman" w:cs="Times New Roman"/>
          <w:b/>
          <w:color w:val="5B9BD5" w:themeColor="accent1"/>
        </w:rPr>
      </w:pPr>
      <w:r w:rsidRPr="00192C79">
        <w:rPr>
          <w:rFonts w:ascii="Times New Roman" w:hAnsi="Times New Roman" w:cs="Times New Roman"/>
          <w:b/>
          <w:color w:val="5B9BD5" w:themeColor="accent1"/>
        </w:rPr>
        <w:t>3.2.3.1. Nedaňové príjmy štátneho rozpočtu</w:t>
      </w:r>
    </w:p>
    <w:p w:rsidR="007C2BDC" w:rsidRPr="00CF001A" w:rsidRDefault="007C2BDC" w:rsidP="007C2BDC">
      <w:pPr>
        <w:widowControl w:val="0"/>
        <w:spacing w:after="0"/>
        <w:ind w:firstLine="709"/>
        <w:jc w:val="both"/>
        <w:rPr>
          <w:rFonts w:ascii="Times New Roman" w:eastAsia="NeueHaasGroteskText W02" w:hAnsi="Times New Roman" w:cs="Times New Roman"/>
          <w:b/>
          <w:sz w:val="24"/>
          <w:szCs w:val="20"/>
        </w:rPr>
      </w:pPr>
    </w:p>
    <w:p w:rsidR="007C2BDC" w:rsidRPr="00446DDA" w:rsidRDefault="007C2BDC" w:rsidP="007C2BDC">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Nedaňové príjmy vznikajú z činnosti jednotlivých kapitol štátneho rozpočtu a môžu to byť príjmy z podnikania a vlastníctva majetku, poplatky a platby, kapitálové príjmy, úroky a iné nedaňové príjmy.</w:t>
      </w:r>
    </w:p>
    <w:p w:rsidR="007C2BDC" w:rsidRPr="00CF001A" w:rsidRDefault="007C2BDC" w:rsidP="007C2BDC">
      <w:pPr>
        <w:widowControl w:val="0"/>
        <w:spacing w:after="0"/>
        <w:jc w:val="both"/>
        <w:rPr>
          <w:rFonts w:ascii="Times New Roman" w:eastAsia="NeueHaasGroteskText W02" w:hAnsi="Times New Roman" w:cs="Times New Roman"/>
          <w:sz w:val="24"/>
          <w:szCs w:val="20"/>
        </w:rPr>
      </w:pPr>
    </w:p>
    <w:p w:rsidR="007C2BDC" w:rsidRPr="007C2BDC" w:rsidRDefault="007C2BDC" w:rsidP="007C2BDC">
      <w:pPr>
        <w:pStyle w:val="Popis"/>
        <w:keepNext/>
        <w:spacing w:after="0"/>
        <w:rPr>
          <w:rFonts w:ascii="Times New Roman" w:hAnsi="Times New Roman" w:cs="Times New Roman"/>
          <w:b/>
          <w:i w:val="0"/>
          <w:color w:val="5B9BD5" w:themeColor="accent1"/>
          <w:sz w:val="20"/>
          <w:szCs w:val="20"/>
        </w:rPr>
      </w:pPr>
      <w:bookmarkStart w:id="111" w:name="_Toc84845256"/>
      <w:r w:rsidRPr="007C2BDC">
        <w:rPr>
          <w:rFonts w:ascii="Times New Roman" w:hAnsi="Times New Roman" w:cs="Times New Roman"/>
          <w:b/>
          <w:i w:val="0"/>
          <w:color w:val="5B9BD5" w:themeColor="accent1"/>
          <w:sz w:val="20"/>
          <w:szCs w:val="20"/>
        </w:rPr>
        <w:t xml:space="preserve">Tabuľka </w:t>
      </w:r>
      <w:r w:rsidRPr="007C2BDC">
        <w:rPr>
          <w:rFonts w:ascii="Times New Roman" w:hAnsi="Times New Roman" w:cs="Times New Roman"/>
          <w:b/>
          <w:i w:val="0"/>
          <w:color w:val="5B9BD5" w:themeColor="accent1"/>
          <w:sz w:val="20"/>
          <w:szCs w:val="20"/>
        </w:rPr>
        <w:fldChar w:fldCharType="begin"/>
      </w:r>
      <w:r w:rsidRPr="007C2BDC">
        <w:rPr>
          <w:rFonts w:ascii="Times New Roman" w:hAnsi="Times New Roman" w:cs="Times New Roman"/>
          <w:b/>
          <w:i w:val="0"/>
          <w:color w:val="5B9BD5" w:themeColor="accent1"/>
          <w:sz w:val="20"/>
          <w:szCs w:val="20"/>
        </w:rPr>
        <w:instrText xml:space="preserve"> SEQ Tabuľka \* ARABIC </w:instrText>
      </w:r>
      <w:r w:rsidRPr="007C2BDC">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32</w:t>
      </w:r>
      <w:r w:rsidRPr="007C2BDC">
        <w:rPr>
          <w:rFonts w:ascii="Times New Roman" w:hAnsi="Times New Roman" w:cs="Times New Roman"/>
          <w:b/>
          <w:i w:val="0"/>
          <w:color w:val="5B9BD5" w:themeColor="accent1"/>
          <w:sz w:val="20"/>
          <w:szCs w:val="20"/>
        </w:rPr>
        <w:fldChar w:fldCharType="end"/>
      </w:r>
      <w:r w:rsidRPr="007C2BDC">
        <w:rPr>
          <w:rFonts w:ascii="Times New Roman" w:hAnsi="Times New Roman" w:cs="Times New Roman"/>
          <w:b/>
          <w:i w:val="0"/>
          <w:color w:val="5B9BD5" w:themeColor="accent1"/>
          <w:sz w:val="20"/>
          <w:szCs w:val="20"/>
        </w:rPr>
        <w:t xml:space="preserve"> - Nedaňové príjmy štátneho rozpočtu</w:t>
      </w:r>
      <w:bookmarkEnd w:id="111"/>
    </w:p>
    <w:tbl>
      <w:tblPr>
        <w:tblW w:w="9072" w:type="dxa"/>
        <w:tblCellMar>
          <w:left w:w="70" w:type="dxa"/>
          <w:right w:w="70" w:type="dxa"/>
        </w:tblCellMar>
        <w:tblLook w:val="04A0" w:firstRow="1" w:lastRow="0" w:firstColumn="1" w:lastColumn="0" w:noHBand="0" w:noVBand="1"/>
      </w:tblPr>
      <w:tblGrid>
        <w:gridCol w:w="2043"/>
        <w:gridCol w:w="1005"/>
        <w:gridCol w:w="1004"/>
        <w:gridCol w:w="1004"/>
        <w:gridCol w:w="1004"/>
        <w:gridCol w:w="1004"/>
        <w:gridCol w:w="1004"/>
        <w:gridCol w:w="1004"/>
      </w:tblGrid>
      <w:tr w:rsidR="007C2BDC" w:rsidRPr="00714661" w:rsidTr="007C2BDC">
        <w:trPr>
          <w:trHeight w:val="289"/>
        </w:trPr>
        <w:tc>
          <w:tcPr>
            <w:tcW w:w="2043"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v tis. eur</w:t>
            </w:r>
          </w:p>
        </w:tc>
        <w:tc>
          <w:tcPr>
            <w:tcW w:w="1005"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2019 S</w:t>
            </w:r>
          </w:p>
        </w:tc>
        <w:tc>
          <w:tcPr>
            <w:tcW w:w="1004"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2020 S</w:t>
            </w:r>
          </w:p>
        </w:tc>
        <w:tc>
          <w:tcPr>
            <w:tcW w:w="1004"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xml:space="preserve"> 2021 R</w:t>
            </w:r>
          </w:p>
        </w:tc>
        <w:tc>
          <w:tcPr>
            <w:tcW w:w="1004"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2021 OS</w:t>
            </w:r>
          </w:p>
        </w:tc>
        <w:tc>
          <w:tcPr>
            <w:tcW w:w="1004"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2022 N</w:t>
            </w:r>
          </w:p>
        </w:tc>
        <w:tc>
          <w:tcPr>
            <w:tcW w:w="1004"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2023 N</w:t>
            </w:r>
          </w:p>
        </w:tc>
        <w:tc>
          <w:tcPr>
            <w:tcW w:w="1004"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2024 N</w:t>
            </w:r>
          </w:p>
        </w:tc>
      </w:tr>
      <w:tr w:rsidR="007C2BDC" w:rsidRPr="00714661" w:rsidTr="007C2BDC">
        <w:trPr>
          <w:trHeight w:val="289"/>
        </w:trPr>
        <w:tc>
          <w:tcPr>
            <w:tcW w:w="2043"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Nedaňové príjmy</w:t>
            </w:r>
          </w:p>
        </w:tc>
        <w:tc>
          <w:tcPr>
            <w:tcW w:w="1005" w:type="dxa"/>
            <w:tcBorders>
              <w:top w:val="nil"/>
              <w:left w:val="nil"/>
              <w:bottom w:val="nil"/>
              <w:right w:val="nil"/>
            </w:tcBorders>
            <w:shd w:val="clear" w:color="auto" w:fill="auto"/>
            <w:noWrap/>
            <w:vAlign w:val="center"/>
            <w:hideMark/>
          </w:tcPr>
          <w:p w:rsidR="007C2BDC" w:rsidRPr="00714661" w:rsidRDefault="000C2CEE" w:rsidP="007C2BDC">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1 327</w:t>
            </w:r>
            <w:r w:rsidR="007C2BDC" w:rsidRPr="00714661">
              <w:rPr>
                <w:rFonts w:ascii="Times New Roman" w:eastAsia="Times New Roman" w:hAnsi="Times New Roman" w:cs="Times New Roman"/>
                <w:b/>
                <w:bCs/>
                <w:color w:val="000000"/>
                <w:sz w:val="16"/>
                <w:szCs w:val="16"/>
                <w:lang w:eastAsia="sk-SK"/>
              </w:rPr>
              <w:t xml:space="preserve"> 516</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1 296 627</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1 183 849</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1 262 403</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1 134 818</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1 158 962</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1 197 380</w:t>
            </w:r>
          </w:p>
        </w:tc>
      </w:tr>
      <w:tr w:rsidR="007C2BDC" w:rsidRPr="00714661" w:rsidTr="007C2BDC">
        <w:trPr>
          <w:trHeight w:val="289"/>
        </w:trPr>
        <w:tc>
          <w:tcPr>
            <w:tcW w:w="2043"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Príjmy z podnikania a z vlastníctva majetku</w:t>
            </w:r>
          </w:p>
        </w:tc>
        <w:tc>
          <w:tcPr>
            <w:tcW w:w="1005" w:type="dxa"/>
            <w:tcBorders>
              <w:top w:val="nil"/>
              <w:left w:val="nil"/>
              <w:bottom w:val="nil"/>
              <w:right w:val="nil"/>
            </w:tcBorders>
            <w:shd w:val="clear" w:color="auto" w:fill="auto"/>
            <w:noWrap/>
            <w:vAlign w:val="center"/>
            <w:hideMark/>
          </w:tcPr>
          <w:p w:rsidR="007C2BDC" w:rsidRPr="00714661" w:rsidRDefault="000C2CEE" w:rsidP="007C2BDC">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516</w:t>
            </w:r>
            <w:r w:rsidR="007C2BDC" w:rsidRPr="00714661">
              <w:rPr>
                <w:rFonts w:ascii="Times New Roman" w:eastAsia="Times New Roman" w:hAnsi="Times New Roman" w:cs="Times New Roman"/>
                <w:color w:val="000000"/>
                <w:sz w:val="16"/>
                <w:szCs w:val="16"/>
                <w:lang w:eastAsia="sk-SK"/>
              </w:rPr>
              <w:t xml:space="preserve"> 837</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434 268</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429 268</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489 980</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389 777</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358 869</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351 599</w:t>
            </w:r>
          </w:p>
        </w:tc>
      </w:tr>
      <w:tr w:rsidR="007C2BDC" w:rsidRPr="00714661" w:rsidTr="007C2BDC">
        <w:trPr>
          <w:trHeight w:val="289"/>
        </w:trPr>
        <w:tc>
          <w:tcPr>
            <w:tcW w:w="2043"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z toho: dividendy</w:t>
            </w:r>
          </w:p>
        </w:tc>
        <w:tc>
          <w:tcPr>
            <w:tcW w:w="1005" w:type="dxa"/>
            <w:tcBorders>
              <w:top w:val="nil"/>
              <w:left w:val="nil"/>
              <w:bottom w:val="nil"/>
              <w:right w:val="nil"/>
            </w:tcBorders>
            <w:shd w:val="clear" w:color="auto" w:fill="auto"/>
            <w:noWrap/>
            <w:vAlign w:val="center"/>
            <w:hideMark/>
          </w:tcPr>
          <w:p w:rsidR="007C2BDC" w:rsidRPr="004A1F6B" w:rsidRDefault="000C2CEE" w:rsidP="007C2BDC">
            <w:pPr>
              <w:spacing w:after="0" w:line="240" w:lineRule="auto"/>
              <w:jc w:val="right"/>
              <w:rPr>
                <w:rFonts w:ascii="Times New Roman" w:eastAsia="Times New Roman" w:hAnsi="Times New Roman" w:cs="Times New Roman"/>
                <w:i/>
                <w:iCs/>
                <w:color w:val="000000"/>
                <w:sz w:val="16"/>
                <w:szCs w:val="16"/>
                <w:lang w:eastAsia="sk-SK"/>
              </w:rPr>
            </w:pPr>
            <w:r>
              <w:rPr>
                <w:rFonts w:ascii="Times New Roman" w:eastAsia="Calibri" w:hAnsi="Times New Roman" w:cs="Times New Roman"/>
                <w:bCs/>
                <w:color w:val="000000"/>
                <w:sz w:val="16"/>
                <w:szCs w:val="16"/>
              </w:rPr>
              <w:t>504</w:t>
            </w:r>
            <w:r w:rsidR="004A1F6B" w:rsidRPr="004A1F6B">
              <w:rPr>
                <w:rFonts w:ascii="Times New Roman" w:eastAsia="Calibri" w:hAnsi="Times New Roman" w:cs="Times New Roman"/>
                <w:bCs/>
                <w:color w:val="000000"/>
                <w:sz w:val="16"/>
                <w:szCs w:val="16"/>
              </w:rPr>
              <w:t xml:space="preserve"> 451</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428 129</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423 515</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484 005</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383 955</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353 067</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345 805</w:t>
            </w:r>
          </w:p>
        </w:tc>
      </w:tr>
      <w:tr w:rsidR="007C2BDC" w:rsidRPr="00714661" w:rsidTr="007C2BDC">
        <w:trPr>
          <w:trHeight w:val="289"/>
        </w:trPr>
        <w:tc>
          <w:tcPr>
            <w:tcW w:w="2043"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Administratívne poplatky a iné poplatky a platby</w:t>
            </w:r>
          </w:p>
        </w:tc>
        <w:tc>
          <w:tcPr>
            <w:tcW w:w="1005"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386 557</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387 962</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351 053</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346 145</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364 108</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368 413</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370 382</w:t>
            </w:r>
          </w:p>
        </w:tc>
      </w:tr>
      <w:tr w:rsidR="007C2BDC" w:rsidRPr="00714661" w:rsidTr="007C2BDC">
        <w:trPr>
          <w:trHeight w:val="289"/>
        </w:trPr>
        <w:tc>
          <w:tcPr>
            <w:tcW w:w="2043"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Kapitálové príjmy</w:t>
            </w:r>
          </w:p>
        </w:tc>
        <w:tc>
          <w:tcPr>
            <w:tcW w:w="1005"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11 959</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12 438</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23 707</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12 471</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7 512</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7 506</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7 406</w:t>
            </w:r>
          </w:p>
        </w:tc>
      </w:tr>
      <w:tr w:rsidR="007C2BDC" w:rsidRPr="00714661" w:rsidTr="007C2BDC">
        <w:trPr>
          <w:trHeight w:val="289"/>
        </w:trPr>
        <w:tc>
          <w:tcPr>
            <w:tcW w:w="2043"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Úroky z tuzemských a zahraničných úverov, pôžičiek, NFV a vkladov</w:t>
            </w:r>
          </w:p>
        </w:tc>
        <w:tc>
          <w:tcPr>
            <w:tcW w:w="1005"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7 632</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8 884</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6 491</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7 052</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6 763</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6 238</w:t>
            </w:r>
          </w:p>
        </w:tc>
        <w:tc>
          <w:tcPr>
            <w:tcW w:w="1004"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5 807</w:t>
            </w:r>
          </w:p>
        </w:tc>
      </w:tr>
      <w:tr w:rsidR="007C2BDC" w:rsidRPr="00714661" w:rsidTr="007C2BDC">
        <w:trPr>
          <w:trHeight w:val="289"/>
        </w:trPr>
        <w:tc>
          <w:tcPr>
            <w:tcW w:w="2043"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Iné nedaňové príjmy</w:t>
            </w:r>
          </w:p>
        </w:tc>
        <w:tc>
          <w:tcPr>
            <w:tcW w:w="1005"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404 531</w:t>
            </w:r>
          </w:p>
        </w:tc>
        <w:tc>
          <w:tcPr>
            <w:tcW w:w="1004"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453 075</w:t>
            </w:r>
          </w:p>
        </w:tc>
        <w:tc>
          <w:tcPr>
            <w:tcW w:w="1004"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373 330</w:t>
            </w:r>
          </w:p>
        </w:tc>
        <w:tc>
          <w:tcPr>
            <w:tcW w:w="1004"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406 755</w:t>
            </w:r>
          </w:p>
        </w:tc>
        <w:tc>
          <w:tcPr>
            <w:tcW w:w="1004"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366 658</w:t>
            </w:r>
          </w:p>
        </w:tc>
        <w:tc>
          <w:tcPr>
            <w:tcW w:w="1004"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417 936</w:t>
            </w:r>
          </w:p>
        </w:tc>
        <w:tc>
          <w:tcPr>
            <w:tcW w:w="1004"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462 186</w:t>
            </w:r>
          </w:p>
        </w:tc>
      </w:tr>
    </w:tbl>
    <w:p w:rsidR="007C2BDC" w:rsidRPr="00CF001A" w:rsidRDefault="007C2BDC" w:rsidP="007C2BDC">
      <w:pPr>
        <w:spacing w:after="0"/>
        <w:rPr>
          <w:rFonts w:ascii="Times New Roman" w:eastAsia="Calibri" w:hAnsi="Times New Roman" w:cs="Times New Roman"/>
          <w:i/>
          <w:sz w:val="16"/>
          <w:szCs w:val="16"/>
        </w:rPr>
      </w:pP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t xml:space="preserve">     </w:t>
      </w:r>
      <w:r w:rsidRPr="00CF001A">
        <w:rPr>
          <w:rFonts w:ascii="Times New Roman" w:eastAsia="Calibri" w:hAnsi="Times New Roman" w:cs="Times New Roman"/>
          <w:i/>
          <w:sz w:val="16"/>
          <w:szCs w:val="16"/>
        </w:rPr>
        <w:t>Zdroj: MF SR</w:t>
      </w:r>
    </w:p>
    <w:p w:rsidR="007C2BDC" w:rsidRPr="00CF001A" w:rsidRDefault="007C2BDC" w:rsidP="007C2BDC">
      <w:pPr>
        <w:widowControl w:val="0"/>
        <w:spacing w:after="0"/>
        <w:jc w:val="both"/>
        <w:rPr>
          <w:rFonts w:ascii="Times New Roman" w:eastAsia="NeueHaasGroteskText W02" w:hAnsi="Times New Roman" w:cs="Times New Roman"/>
          <w:sz w:val="24"/>
          <w:szCs w:val="20"/>
        </w:rPr>
      </w:pPr>
    </w:p>
    <w:p w:rsidR="007C2BDC" w:rsidRPr="00446DDA" w:rsidRDefault="007C2BDC" w:rsidP="007C2BDC">
      <w:pPr>
        <w:widowControl w:val="0"/>
        <w:spacing w:after="0"/>
        <w:jc w:val="both"/>
        <w:rPr>
          <w:rFonts w:ascii="Times New Roman" w:eastAsia="NeueHaasGroteskText W02" w:hAnsi="Times New Roman" w:cs="Times New Roman"/>
          <w:sz w:val="24"/>
          <w:szCs w:val="24"/>
        </w:rPr>
      </w:pPr>
      <w:r w:rsidRPr="00446DDA">
        <w:rPr>
          <w:rFonts w:ascii="Times New Roman" w:eastAsia="NeueHaasGroteskText W02" w:hAnsi="Times New Roman" w:cs="Times New Roman"/>
          <w:sz w:val="24"/>
          <w:szCs w:val="24"/>
        </w:rPr>
        <w:t xml:space="preserve">V rámci </w:t>
      </w:r>
      <w:r w:rsidRPr="00446DDA">
        <w:rPr>
          <w:rFonts w:ascii="Times New Roman" w:eastAsia="NeueHaasGroteskText W02" w:hAnsi="Times New Roman" w:cs="Times New Roman"/>
          <w:i/>
          <w:sz w:val="24"/>
          <w:szCs w:val="24"/>
        </w:rPr>
        <w:t>príjmov z podnikania a z vlastníctva majetku</w:t>
      </w:r>
      <w:r w:rsidRPr="00446DDA">
        <w:rPr>
          <w:rFonts w:ascii="Times New Roman" w:eastAsia="NeueHaasGroteskText W02" w:hAnsi="Times New Roman" w:cs="Times New Roman"/>
          <w:sz w:val="24"/>
          <w:szCs w:val="24"/>
        </w:rPr>
        <w:t xml:space="preserve"> sa rozpočtujú príjmy z dividend, ako aj </w:t>
      </w:r>
      <w:r w:rsidRPr="00446DDA">
        <w:rPr>
          <w:rFonts w:ascii="Times New Roman" w:eastAsia="Calibri" w:hAnsi="Times New Roman" w:cs="Times New Roman"/>
          <w:sz w:val="24"/>
          <w:szCs w:val="24"/>
        </w:rPr>
        <w:t>iné príjmy z podnikania, ktoré zahŕňajú najmä osobitný odvod zo zisku po zdanení, ktorý odvedú Vodohospodárska výstavba, š. p. a Eximbanka SR. Príjmy z vlastníctva predstavujú predovšetkým príjmy z prenajatých pozemkov, budov, strojov a pod.</w:t>
      </w:r>
    </w:p>
    <w:p w:rsidR="007C2BDC" w:rsidRPr="00446DDA" w:rsidRDefault="007C2BDC" w:rsidP="007C2BDC">
      <w:pPr>
        <w:widowControl w:val="0"/>
        <w:spacing w:after="0"/>
        <w:jc w:val="both"/>
        <w:rPr>
          <w:rFonts w:ascii="Times New Roman" w:eastAsia="NeueHaasGroteskText W02" w:hAnsi="Times New Roman" w:cs="Times New Roman"/>
          <w:sz w:val="24"/>
          <w:szCs w:val="24"/>
        </w:rPr>
      </w:pPr>
    </w:p>
    <w:p w:rsidR="007C2BDC" w:rsidRDefault="007C2BDC" w:rsidP="007C2BDC">
      <w:pPr>
        <w:spacing w:after="0"/>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Príjmy z dividend</w:t>
      </w:r>
      <w:r w:rsidRPr="00446DDA">
        <w:rPr>
          <w:rFonts w:ascii="Times New Roman" w:eastAsia="Calibri" w:hAnsi="Times New Roman" w:cs="Times New Roman"/>
          <w:sz w:val="24"/>
          <w:szCs w:val="24"/>
        </w:rPr>
        <w:t xml:space="preserve"> tvoria najpodstatnejšiu časť týchto príjmov. Objem dividend od spoločností, v ktorých je vlastnícky podiel štátu zastúpený príslušn</w:t>
      </w:r>
      <w:r>
        <w:rPr>
          <w:rFonts w:ascii="Times New Roman" w:eastAsia="Calibri" w:hAnsi="Times New Roman" w:cs="Times New Roman"/>
          <w:sz w:val="24"/>
          <w:szCs w:val="24"/>
        </w:rPr>
        <w:t>ým ministerstvom, sa v roku 2022</w:t>
      </w:r>
      <w:r w:rsidRPr="00446DDA">
        <w:rPr>
          <w:rFonts w:ascii="Times New Roman" w:eastAsia="Calibri" w:hAnsi="Times New Roman" w:cs="Times New Roman"/>
          <w:sz w:val="24"/>
          <w:szCs w:val="24"/>
        </w:rPr>
        <w:t xml:space="preserve"> navrhuje vo výške </w:t>
      </w:r>
      <w:r w:rsidRPr="009332A9">
        <w:rPr>
          <w:rFonts w:ascii="Times New Roman" w:eastAsia="Calibri" w:hAnsi="Times New Roman" w:cs="Times New Roman"/>
          <w:sz w:val="24"/>
          <w:szCs w:val="24"/>
        </w:rPr>
        <w:t>384</w:t>
      </w:r>
      <w:r w:rsidRPr="00446DDA">
        <w:rPr>
          <w:rFonts w:ascii="Times New Roman" w:eastAsia="Calibri" w:hAnsi="Times New Roman" w:cs="Times New Roman"/>
          <w:sz w:val="24"/>
          <w:szCs w:val="24"/>
        </w:rPr>
        <w:t xml:space="preserve"> mil. eur, čo je v porovnaní so </w:t>
      </w:r>
      <w:r>
        <w:rPr>
          <w:rFonts w:ascii="Times New Roman" w:eastAsia="Calibri" w:hAnsi="Times New Roman" w:cs="Times New Roman"/>
          <w:sz w:val="24"/>
          <w:szCs w:val="24"/>
        </w:rPr>
        <w:t>schváleným rozpočtom na rok 2021</w:t>
      </w:r>
      <w:r w:rsidRPr="00446DDA">
        <w:rPr>
          <w:rFonts w:ascii="Times New Roman" w:eastAsia="Calibri" w:hAnsi="Times New Roman" w:cs="Times New Roman"/>
          <w:sz w:val="24"/>
          <w:szCs w:val="24"/>
        </w:rPr>
        <w:t xml:space="preserve"> </w:t>
      </w:r>
      <w:r w:rsidRPr="009332A9">
        <w:rPr>
          <w:rFonts w:ascii="Times New Roman" w:eastAsia="Calibri" w:hAnsi="Times New Roman" w:cs="Times New Roman"/>
          <w:sz w:val="24"/>
          <w:szCs w:val="24"/>
        </w:rPr>
        <w:t>menej o 39,6 mil. eur. Tento pokles príjmov je spôsobený hlavne znížením dividend od spoločností Slovens</w:t>
      </w:r>
      <w:r>
        <w:rPr>
          <w:rFonts w:ascii="Times New Roman" w:eastAsia="Calibri" w:hAnsi="Times New Roman" w:cs="Times New Roman"/>
          <w:sz w:val="24"/>
          <w:szCs w:val="24"/>
        </w:rPr>
        <w:t xml:space="preserve">ký plynárenský priemysel, a. s. a </w:t>
      </w:r>
      <w:r w:rsidRPr="009332A9">
        <w:rPr>
          <w:rFonts w:ascii="Times New Roman" w:eastAsia="Calibri" w:hAnsi="Times New Roman" w:cs="Times New Roman"/>
          <w:sz w:val="24"/>
          <w:szCs w:val="24"/>
        </w:rPr>
        <w:t>Slovenská elektrizačná prenosová sústava, a. s.</w:t>
      </w:r>
      <w:r>
        <w:rPr>
          <w:rFonts w:ascii="Times New Roman" w:eastAsia="Calibri" w:hAnsi="Times New Roman" w:cs="Times New Roman"/>
          <w:sz w:val="24"/>
          <w:szCs w:val="24"/>
        </w:rPr>
        <w:t xml:space="preserve"> </w:t>
      </w:r>
      <w:r w:rsidRPr="009332A9">
        <w:rPr>
          <w:rFonts w:ascii="Times New Roman" w:eastAsia="Calibri" w:hAnsi="Times New Roman" w:cs="Times New Roman"/>
          <w:sz w:val="24"/>
          <w:szCs w:val="24"/>
        </w:rPr>
        <w:t>Naopak vyššie príjmy z dividend pri medziročnom porovnaní s</w:t>
      </w:r>
      <w:r>
        <w:rPr>
          <w:rFonts w:ascii="Times New Roman" w:eastAsia="Calibri" w:hAnsi="Times New Roman" w:cs="Times New Roman"/>
          <w:sz w:val="24"/>
          <w:szCs w:val="24"/>
        </w:rPr>
        <w:t>a očakávajú najmä od spoločnosti</w:t>
      </w:r>
      <w:r w:rsidRPr="009332A9">
        <w:rPr>
          <w:rFonts w:ascii="Times New Roman" w:eastAsia="Calibri" w:hAnsi="Times New Roman" w:cs="Times New Roman"/>
          <w:sz w:val="24"/>
          <w:szCs w:val="24"/>
        </w:rPr>
        <w:t xml:space="preserve"> </w:t>
      </w:r>
      <w:r w:rsidRPr="009C1287">
        <w:rPr>
          <w:rFonts w:ascii="Times New Roman" w:eastAsia="Calibri" w:hAnsi="Times New Roman" w:cs="Times New Roman"/>
          <w:sz w:val="24"/>
          <w:szCs w:val="24"/>
        </w:rPr>
        <w:t>Stredoslovenská energetika Holding, a.</w:t>
      </w:r>
      <w:r>
        <w:rPr>
          <w:rFonts w:ascii="Times New Roman" w:eastAsia="Calibri" w:hAnsi="Times New Roman" w:cs="Times New Roman"/>
          <w:sz w:val="24"/>
          <w:szCs w:val="24"/>
        </w:rPr>
        <w:t xml:space="preserve"> </w:t>
      </w:r>
      <w:r w:rsidRPr="009C1287">
        <w:rPr>
          <w:rFonts w:ascii="Times New Roman" w:eastAsia="Calibri" w:hAnsi="Times New Roman" w:cs="Times New Roman"/>
          <w:sz w:val="24"/>
          <w:szCs w:val="24"/>
        </w:rPr>
        <w:t>s.</w:t>
      </w:r>
    </w:p>
    <w:p w:rsidR="00CA6DF0" w:rsidRDefault="00CA6DF0" w:rsidP="007C2BDC">
      <w:pPr>
        <w:spacing w:after="0"/>
        <w:jc w:val="both"/>
        <w:rPr>
          <w:rFonts w:ascii="Times New Roman" w:eastAsia="Calibri" w:hAnsi="Times New Roman" w:cs="Times New Roman"/>
          <w:sz w:val="24"/>
          <w:szCs w:val="24"/>
        </w:rPr>
      </w:pPr>
    </w:p>
    <w:p w:rsidR="00CA6DF0" w:rsidRDefault="00CA6DF0" w:rsidP="007C2BDC">
      <w:pPr>
        <w:spacing w:after="0"/>
        <w:jc w:val="both"/>
        <w:rPr>
          <w:rFonts w:ascii="Times New Roman" w:eastAsia="Calibri" w:hAnsi="Times New Roman" w:cs="Times New Roman"/>
          <w:sz w:val="24"/>
          <w:szCs w:val="24"/>
        </w:rPr>
      </w:pPr>
    </w:p>
    <w:p w:rsidR="00CA6DF0" w:rsidRDefault="00CA6DF0" w:rsidP="007C2BDC">
      <w:pPr>
        <w:spacing w:after="0"/>
        <w:jc w:val="both"/>
        <w:rPr>
          <w:rFonts w:ascii="Times New Roman" w:eastAsia="Calibri" w:hAnsi="Times New Roman" w:cs="Times New Roman"/>
          <w:sz w:val="24"/>
          <w:szCs w:val="24"/>
        </w:rPr>
      </w:pPr>
    </w:p>
    <w:p w:rsidR="004F568C" w:rsidRDefault="004F568C" w:rsidP="007C2BDC">
      <w:pPr>
        <w:spacing w:after="0"/>
        <w:jc w:val="both"/>
        <w:rPr>
          <w:rFonts w:ascii="Times New Roman" w:eastAsia="Calibri" w:hAnsi="Times New Roman" w:cs="Times New Roman"/>
          <w:sz w:val="24"/>
          <w:szCs w:val="24"/>
        </w:rPr>
      </w:pPr>
    </w:p>
    <w:p w:rsidR="007C2BDC" w:rsidRPr="007C2BDC" w:rsidRDefault="007C2BDC" w:rsidP="007C2BDC">
      <w:pPr>
        <w:pStyle w:val="Popis"/>
        <w:keepNext/>
        <w:spacing w:after="0"/>
        <w:rPr>
          <w:rFonts w:ascii="Times New Roman" w:hAnsi="Times New Roman" w:cs="Times New Roman"/>
          <w:b/>
          <w:i w:val="0"/>
          <w:color w:val="5B9BD5" w:themeColor="accent1"/>
          <w:sz w:val="20"/>
          <w:szCs w:val="20"/>
        </w:rPr>
      </w:pPr>
      <w:bookmarkStart w:id="112" w:name="_Toc84845257"/>
      <w:r w:rsidRPr="007C2BDC">
        <w:rPr>
          <w:rFonts w:ascii="Times New Roman" w:hAnsi="Times New Roman" w:cs="Times New Roman"/>
          <w:b/>
          <w:i w:val="0"/>
          <w:color w:val="5B9BD5" w:themeColor="accent1"/>
          <w:sz w:val="20"/>
          <w:szCs w:val="20"/>
        </w:rPr>
        <w:t xml:space="preserve">Tabuľka </w:t>
      </w:r>
      <w:r w:rsidRPr="007C2BDC">
        <w:rPr>
          <w:rFonts w:ascii="Times New Roman" w:hAnsi="Times New Roman" w:cs="Times New Roman"/>
          <w:b/>
          <w:i w:val="0"/>
          <w:color w:val="5B9BD5" w:themeColor="accent1"/>
          <w:sz w:val="20"/>
          <w:szCs w:val="20"/>
        </w:rPr>
        <w:fldChar w:fldCharType="begin"/>
      </w:r>
      <w:r w:rsidRPr="007C2BDC">
        <w:rPr>
          <w:rFonts w:ascii="Times New Roman" w:hAnsi="Times New Roman" w:cs="Times New Roman"/>
          <w:b/>
          <w:i w:val="0"/>
          <w:color w:val="5B9BD5" w:themeColor="accent1"/>
          <w:sz w:val="20"/>
          <w:szCs w:val="20"/>
        </w:rPr>
        <w:instrText xml:space="preserve"> SEQ Tabuľka \* ARABIC </w:instrText>
      </w:r>
      <w:r w:rsidRPr="007C2BDC">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33</w:t>
      </w:r>
      <w:r w:rsidRPr="007C2BDC">
        <w:rPr>
          <w:rFonts w:ascii="Times New Roman" w:hAnsi="Times New Roman" w:cs="Times New Roman"/>
          <w:b/>
          <w:i w:val="0"/>
          <w:color w:val="5B9BD5" w:themeColor="accent1"/>
          <w:sz w:val="20"/>
          <w:szCs w:val="20"/>
        </w:rPr>
        <w:fldChar w:fldCharType="end"/>
      </w:r>
      <w:r w:rsidRPr="007C2BDC">
        <w:rPr>
          <w:rFonts w:ascii="Times New Roman" w:hAnsi="Times New Roman" w:cs="Times New Roman"/>
          <w:b/>
          <w:i w:val="0"/>
          <w:color w:val="5B9BD5" w:themeColor="accent1"/>
          <w:sz w:val="20"/>
          <w:szCs w:val="20"/>
        </w:rPr>
        <w:t xml:space="preserve"> - Príjmy štátneho rozpočtu z dividend</w:t>
      </w:r>
      <w:bookmarkEnd w:id="112"/>
    </w:p>
    <w:tbl>
      <w:tblPr>
        <w:tblStyle w:val="Tabukasmriekou1svetlzvraznenie11"/>
        <w:tblW w:w="5000" w:type="pct"/>
        <w:tblLook w:val="04A0" w:firstRow="1" w:lastRow="0" w:firstColumn="1" w:lastColumn="0" w:noHBand="0" w:noVBand="1"/>
      </w:tblPr>
      <w:tblGrid>
        <w:gridCol w:w="3130"/>
        <w:gridCol w:w="849"/>
        <w:gridCol w:w="846"/>
        <w:gridCol w:w="844"/>
        <w:gridCol w:w="844"/>
        <w:gridCol w:w="842"/>
        <w:gridCol w:w="842"/>
        <w:gridCol w:w="875"/>
      </w:tblGrid>
      <w:tr w:rsidR="007C2BDC" w:rsidRPr="00446DDA" w:rsidTr="007C2BD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single" w:sz="4" w:space="0" w:color="auto"/>
              <w:left w:val="nil"/>
              <w:bottom w:val="single" w:sz="4" w:space="0" w:color="auto"/>
              <w:right w:val="nil"/>
            </w:tcBorders>
            <w:shd w:val="clear" w:color="auto" w:fill="auto"/>
            <w:vAlign w:val="center"/>
            <w:hideMark/>
          </w:tcPr>
          <w:p w:rsidR="007C2BDC" w:rsidRPr="00446DDA" w:rsidRDefault="007C2BDC" w:rsidP="007C2BDC">
            <w:pPr>
              <w:jc w:val="both"/>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 v tis. eur</w:t>
            </w:r>
          </w:p>
        </w:tc>
        <w:tc>
          <w:tcPr>
            <w:tcW w:w="468" w:type="pct"/>
            <w:tcBorders>
              <w:top w:val="single" w:sz="4" w:space="0" w:color="auto"/>
              <w:left w:val="nil"/>
              <w:bottom w:val="single" w:sz="4" w:space="0" w:color="auto"/>
              <w:right w:val="nil"/>
            </w:tcBorders>
            <w:shd w:val="clear" w:color="auto" w:fill="auto"/>
            <w:vAlign w:val="center"/>
          </w:tcPr>
          <w:p w:rsidR="007C2BDC" w:rsidRPr="00446DDA"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201</w:t>
            </w:r>
            <w:r>
              <w:rPr>
                <w:rFonts w:ascii="Times New Roman" w:eastAsia="Times New Roman" w:hAnsi="Times New Roman" w:cs="Times New Roman"/>
                <w:color w:val="000000"/>
                <w:sz w:val="16"/>
                <w:szCs w:val="16"/>
                <w:lang w:eastAsia="sk-SK"/>
              </w:rPr>
              <w:t>9</w:t>
            </w:r>
            <w:r w:rsidRPr="00446DDA">
              <w:rPr>
                <w:rFonts w:ascii="Times New Roman" w:eastAsia="Times New Roman" w:hAnsi="Times New Roman" w:cs="Times New Roman"/>
                <w:color w:val="000000"/>
                <w:sz w:val="16"/>
                <w:szCs w:val="16"/>
                <w:lang w:eastAsia="sk-SK"/>
              </w:rPr>
              <w:t xml:space="preserve"> S</w:t>
            </w:r>
          </w:p>
        </w:tc>
        <w:tc>
          <w:tcPr>
            <w:tcW w:w="466" w:type="pct"/>
            <w:tcBorders>
              <w:top w:val="single" w:sz="4" w:space="0" w:color="auto"/>
              <w:left w:val="nil"/>
              <w:bottom w:val="single" w:sz="4" w:space="0" w:color="auto"/>
              <w:right w:val="nil"/>
            </w:tcBorders>
            <w:shd w:val="clear" w:color="auto" w:fill="auto"/>
            <w:vAlign w:val="center"/>
          </w:tcPr>
          <w:p w:rsidR="007C2BDC" w:rsidRPr="00446DDA"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020</w:t>
            </w:r>
            <w:r w:rsidRPr="00446DDA">
              <w:rPr>
                <w:rFonts w:ascii="Times New Roman" w:eastAsia="Times New Roman" w:hAnsi="Times New Roman" w:cs="Times New Roman"/>
                <w:color w:val="000000"/>
                <w:sz w:val="16"/>
                <w:szCs w:val="16"/>
                <w:lang w:eastAsia="sk-SK"/>
              </w:rPr>
              <w:t xml:space="preserve"> S</w:t>
            </w:r>
          </w:p>
        </w:tc>
        <w:tc>
          <w:tcPr>
            <w:tcW w:w="465" w:type="pct"/>
            <w:tcBorders>
              <w:top w:val="single" w:sz="4" w:space="0" w:color="auto"/>
              <w:left w:val="nil"/>
              <w:bottom w:val="single" w:sz="4" w:space="0" w:color="auto"/>
              <w:right w:val="nil"/>
            </w:tcBorders>
            <w:shd w:val="clear" w:color="auto" w:fill="auto"/>
            <w:vAlign w:val="center"/>
          </w:tcPr>
          <w:p w:rsidR="007C2BDC" w:rsidRPr="00446DDA"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Pr>
                <w:rFonts w:ascii="Times New Roman" w:eastAsia="Times New Roman" w:hAnsi="Times New Roman" w:cs="Times New Roman"/>
                <w:color w:val="000000"/>
                <w:sz w:val="16"/>
                <w:szCs w:val="16"/>
                <w:lang w:eastAsia="sk-SK"/>
              </w:rPr>
              <w:t>2021</w:t>
            </w:r>
            <w:r w:rsidRPr="00446DDA">
              <w:rPr>
                <w:rFonts w:ascii="Times New Roman" w:eastAsia="Times New Roman" w:hAnsi="Times New Roman" w:cs="Times New Roman"/>
                <w:color w:val="000000"/>
                <w:sz w:val="16"/>
                <w:szCs w:val="16"/>
                <w:lang w:eastAsia="sk-SK"/>
              </w:rPr>
              <w:t xml:space="preserve"> R</w:t>
            </w:r>
          </w:p>
        </w:tc>
        <w:tc>
          <w:tcPr>
            <w:tcW w:w="465" w:type="pct"/>
            <w:tcBorders>
              <w:top w:val="single" w:sz="4" w:space="0" w:color="auto"/>
              <w:left w:val="nil"/>
              <w:bottom w:val="single" w:sz="4" w:space="0" w:color="auto"/>
              <w:right w:val="nil"/>
            </w:tcBorders>
            <w:shd w:val="clear" w:color="auto" w:fill="auto"/>
            <w:vAlign w:val="center"/>
          </w:tcPr>
          <w:p w:rsidR="007C2BDC" w:rsidRPr="00666F25"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sk-SK"/>
              </w:rPr>
            </w:pPr>
            <w:r w:rsidRPr="00666F25">
              <w:rPr>
                <w:rFonts w:ascii="Times New Roman" w:eastAsia="Times New Roman" w:hAnsi="Times New Roman" w:cs="Times New Roman"/>
                <w:bCs w:val="0"/>
                <w:color w:val="000000"/>
                <w:sz w:val="16"/>
                <w:szCs w:val="16"/>
                <w:lang w:eastAsia="sk-SK"/>
              </w:rPr>
              <w:t>2021</w:t>
            </w:r>
            <w:r w:rsidRPr="00666F25">
              <w:rPr>
                <w:rFonts w:ascii="Times New Roman" w:eastAsia="Times New Roman" w:hAnsi="Times New Roman" w:cs="Times New Roman"/>
                <w:color w:val="000000"/>
                <w:sz w:val="16"/>
                <w:szCs w:val="16"/>
                <w:lang w:eastAsia="sk-SK"/>
              </w:rPr>
              <w:t xml:space="preserve"> OS</w:t>
            </w:r>
          </w:p>
        </w:tc>
        <w:tc>
          <w:tcPr>
            <w:tcW w:w="464" w:type="pct"/>
            <w:tcBorders>
              <w:top w:val="single" w:sz="4" w:space="0" w:color="auto"/>
              <w:left w:val="nil"/>
              <w:bottom w:val="single" w:sz="4" w:space="0" w:color="auto"/>
              <w:right w:val="nil"/>
            </w:tcBorders>
            <w:shd w:val="clear" w:color="auto" w:fill="auto"/>
            <w:vAlign w:val="center"/>
          </w:tcPr>
          <w:p w:rsidR="007C2BDC" w:rsidRPr="00666F25"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sk-SK"/>
              </w:rPr>
            </w:pPr>
            <w:r w:rsidRPr="00666F25">
              <w:rPr>
                <w:rFonts w:ascii="Times New Roman" w:eastAsia="Times New Roman" w:hAnsi="Times New Roman" w:cs="Times New Roman"/>
                <w:bCs w:val="0"/>
                <w:color w:val="000000"/>
                <w:sz w:val="16"/>
                <w:szCs w:val="16"/>
                <w:lang w:eastAsia="sk-SK"/>
              </w:rPr>
              <w:t>2022</w:t>
            </w:r>
            <w:r w:rsidRPr="00666F25">
              <w:rPr>
                <w:rFonts w:ascii="Times New Roman" w:eastAsia="Times New Roman" w:hAnsi="Times New Roman" w:cs="Times New Roman"/>
                <w:color w:val="000000"/>
                <w:sz w:val="16"/>
                <w:szCs w:val="16"/>
                <w:lang w:eastAsia="sk-SK"/>
              </w:rPr>
              <w:t xml:space="preserve"> N</w:t>
            </w:r>
          </w:p>
        </w:tc>
        <w:tc>
          <w:tcPr>
            <w:tcW w:w="464" w:type="pct"/>
            <w:tcBorders>
              <w:top w:val="single" w:sz="4" w:space="0" w:color="auto"/>
              <w:left w:val="nil"/>
              <w:bottom w:val="single" w:sz="4" w:space="0" w:color="auto"/>
              <w:right w:val="nil"/>
            </w:tcBorders>
            <w:shd w:val="clear" w:color="auto" w:fill="auto"/>
            <w:noWrap/>
            <w:vAlign w:val="center"/>
            <w:hideMark/>
          </w:tcPr>
          <w:p w:rsidR="007C2BDC" w:rsidRPr="00666F25"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sk-SK"/>
              </w:rPr>
            </w:pPr>
            <w:r w:rsidRPr="00666F25">
              <w:rPr>
                <w:rFonts w:ascii="Times New Roman" w:eastAsia="Times New Roman" w:hAnsi="Times New Roman" w:cs="Times New Roman"/>
                <w:bCs w:val="0"/>
                <w:color w:val="000000"/>
                <w:sz w:val="16"/>
                <w:szCs w:val="16"/>
                <w:lang w:eastAsia="sk-SK"/>
              </w:rPr>
              <w:t>2023</w:t>
            </w:r>
            <w:r w:rsidRPr="00666F25">
              <w:rPr>
                <w:rFonts w:ascii="Times New Roman" w:eastAsia="Times New Roman" w:hAnsi="Times New Roman" w:cs="Times New Roman"/>
                <w:color w:val="000000"/>
                <w:sz w:val="16"/>
                <w:szCs w:val="16"/>
                <w:lang w:eastAsia="sk-SK"/>
              </w:rPr>
              <w:t xml:space="preserve"> N</w:t>
            </w:r>
          </w:p>
        </w:tc>
        <w:tc>
          <w:tcPr>
            <w:tcW w:w="482" w:type="pct"/>
            <w:tcBorders>
              <w:top w:val="single" w:sz="4" w:space="0" w:color="auto"/>
              <w:left w:val="nil"/>
              <w:bottom w:val="single" w:sz="4" w:space="0" w:color="auto"/>
              <w:right w:val="nil"/>
            </w:tcBorders>
            <w:shd w:val="clear" w:color="auto" w:fill="auto"/>
            <w:noWrap/>
            <w:vAlign w:val="center"/>
            <w:hideMark/>
          </w:tcPr>
          <w:p w:rsidR="007C2BDC" w:rsidRPr="00666F25" w:rsidRDefault="007C2BDC" w:rsidP="007C2BDC">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sk-SK"/>
              </w:rPr>
            </w:pPr>
            <w:r w:rsidRPr="00666F25">
              <w:rPr>
                <w:rFonts w:ascii="Times New Roman" w:eastAsia="Times New Roman" w:hAnsi="Times New Roman" w:cs="Times New Roman"/>
                <w:bCs w:val="0"/>
                <w:color w:val="000000"/>
                <w:sz w:val="16"/>
                <w:szCs w:val="16"/>
                <w:lang w:eastAsia="sk-SK"/>
              </w:rPr>
              <w:t>2024</w:t>
            </w:r>
            <w:r w:rsidRPr="00666F25">
              <w:rPr>
                <w:rFonts w:ascii="Times New Roman" w:eastAsia="Times New Roman" w:hAnsi="Times New Roman" w:cs="Times New Roman"/>
                <w:color w:val="000000"/>
                <w:sz w:val="16"/>
                <w:szCs w:val="16"/>
                <w:lang w:eastAsia="sk-SK"/>
              </w:rPr>
              <w:t xml:space="preserve"> N</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single" w:sz="4" w:space="0" w:color="auto"/>
              <w:left w:val="nil"/>
              <w:bottom w:val="nil"/>
              <w:right w:val="nil"/>
            </w:tcBorders>
            <w:shd w:val="clear" w:color="auto" w:fill="auto"/>
            <w:hideMark/>
          </w:tcPr>
          <w:p w:rsidR="007C2BDC" w:rsidRPr="00446DDA" w:rsidRDefault="007C2BDC" w:rsidP="007C2BDC">
            <w:pPr>
              <w:jc w:val="both"/>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Príjmy z podnikania - dividendy</w:t>
            </w:r>
          </w:p>
        </w:tc>
        <w:tc>
          <w:tcPr>
            <w:tcW w:w="468" w:type="pct"/>
            <w:tcBorders>
              <w:top w:val="single" w:sz="4" w:space="0" w:color="auto"/>
              <w:left w:val="nil"/>
              <w:bottom w:val="nil"/>
              <w:right w:val="nil"/>
            </w:tcBorders>
            <w:shd w:val="clear" w:color="auto" w:fill="auto"/>
          </w:tcPr>
          <w:p w:rsidR="007C2BDC" w:rsidRPr="00446DDA" w:rsidRDefault="000C2CEE"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504</w:t>
            </w:r>
            <w:r w:rsidR="007C2BDC" w:rsidRPr="00446DDA">
              <w:rPr>
                <w:rFonts w:ascii="Times New Roman" w:eastAsia="Calibri" w:hAnsi="Times New Roman" w:cs="Times New Roman"/>
                <w:b/>
                <w:bCs/>
                <w:color w:val="000000"/>
                <w:sz w:val="14"/>
                <w:szCs w:val="14"/>
              </w:rPr>
              <w:t xml:space="preserve"> 451</w:t>
            </w:r>
          </w:p>
        </w:tc>
        <w:tc>
          <w:tcPr>
            <w:tcW w:w="466"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0F3E87">
              <w:rPr>
                <w:rFonts w:ascii="Times New Roman" w:eastAsia="Calibri" w:hAnsi="Times New Roman" w:cs="Times New Roman"/>
                <w:b/>
                <w:bCs/>
                <w:color w:val="000000"/>
                <w:sz w:val="14"/>
                <w:szCs w:val="14"/>
              </w:rPr>
              <w:t>428 129</w:t>
            </w:r>
          </w:p>
        </w:tc>
        <w:tc>
          <w:tcPr>
            <w:tcW w:w="465"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sidRPr="00446DDA">
              <w:rPr>
                <w:rFonts w:ascii="Times New Roman" w:eastAsia="Calibri" w:hAnsi="Times New Roman" w:cs="Times New Roman"/>
                <w:b/>
                <w:bCs/>
                <w:color w:val="000000"/>
                <w:sz w:val="14"/>
                <w:szCs w:val="14"/>
              </w:rPr>
              <w:t>423 515</w:t>
            </w:r>
          </w:p>
        </w:tc>
        <w:tc>
          <w:tcPr>
            <w:tcW w:w="465"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484 005</w:t>
            </w:r>
          </w:p>
        </w:tc>
        <w:tc>
          <w:tcPr>
            <w:tcW w:w="464"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Pr>
                <w:rFonts w:ascii="Times New Roman" w:eastAsia="Calibri" w:hAnsi="Times New Roman" w:cs="Times New Roman"/>
                <w:b/>
                <w:bCs/>
                <w:color w:val="000000"/>
                <w:sz w:val="14"/>
                <w:szCs w:val="14"/>
              </w:rPr>
              <w:t>383 955</w:t>
            </w:r>
          </w:p>
        </w:tc>
        <w:tc>
          <w:tcPr>
            <w:tcW w:w="464" w:type="pct"/>
            <w:tcBorders>
              <w:top w:val="single" w:sz="4" w:space="0" w:color="auto"/>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Pr>
                <w:rFonts w:ascii="Times New Roman" w:eastAsia="Calibri" w:hAnsi="Times New Roman" w:cs="Times New Roman"/>
                <w:b/>
                <w:bCs/>
                <w:color w:val="000000"/>
                <w:sz w:val="14"/>
                <w:szCs w:val="14"/>
              </w:rPr>
              <w:t>353 067</w:t>
            </w:r>
          </w:p>
        </w:tc>
        <w:tc>
          <w:tcPr>
            <w:tcW w:w="482" w:type="pct"/>
            <w:tcBorders>
              <w:top w:val="single" w:sz="4" w:space="0" w:color="auto"/>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Pr>
                <w:rFonts w:ascii="Times New Roman" w:eastAsia="Calibri" w:hAnsi="Times New Roman" w:cs="Times New Roman"/>
                <w:b/>
                <w:bCs/>
                <w:color w:val="000000"/>
                <w:sz w:val="14"/>
                <w:szCs w:val="14"/>
              </w:rPr>
              <w:t>345 805</w:t>
            </w:r>
          </w:p>
        </w:tc>
      </w:tr>
      <w:tr w:rsidR="007C2BDC" w:rsidRPr="00446DDA" w:rsidTr="003C305E">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295 076</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251 288</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423 515</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415 589</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279 794</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337 106</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331 370</w:t>
            </w:r>
          </w:p>
        </w:tc>
      </w:tr>
      <w:tr w:rsidR="007C2BDC" w:rsidRPr="00446DDA" w:rsidTr="003C305E">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single" w:sz="4" w:space="0" w:color="auto"/>
              <w:right w:val="nil"/>
            </w:tcBorders>
            <w:hideMark/>
          </w:tcPr>
          <w:p w:rsidR="007C2BDC" w:rsidRPr="00446DDA" w:rsidRDefault="007C2BDC" w:rsidP="007C2BDC">
            <w:pPr>
              <w:ind w:right="-231"/>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single" w:sz="4" w:space="0" w:color="auto"/>
              <w:right w:val="nil"/>
            </w:tcBorders>
          </w:tcPr>
          <w:p w:rsidR="007C2BDC" w:rsidRPr="00446DDA" w:rsidRDefault="000C2CEE"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209</w:t>
            </w:r>
            <w:r w:rsidR="007C2BDC" w:rsidRPr="00446DDA">
              <w:rPr>
                <w:rFonts w:ascii="Times New Roman" w:eastAsia="Calibri" w:hAnsi="Times New Roman" w:cs="Times New Roman"/>
                <w:bCs/>
                <w:i/>
                <w:color w:val="000000"/>
                <w:sz w:val="14"/>
                <w:szCs w:val="14"/>
              </w:rPr>
              <w:t xml:space="preserve"> 375</w:t>
            </w:r>
          </w:p>
        </w:tc>
        <w:tc>
          <w:tcPr>
            <w:tcW w:w="466"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176 841</w:t>
            </w:r>
          </w:p>
        </w:tc>
        <w:tc>
          <w:tcPr>
            <w:tcW w:w="465"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0</w:t>
            </w:r>
          </w:p>
        </w:tc>
        <w:tc>
          <w:tcPr>
            <w:tcW w:w="465"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68 416</w:t>
            </w:r>
          </w:p>
        </w:tc>
        <w:tc>
          <w:tcPr>
            <w:tcW w:w="464" w:type="pct"/>
            <w:tcBorders>
              <w:top w:val="nil"/>
              <w:left w:val="nil"/>
              <w:bottom w:val="single" w:sz="4" w:space="0" w:color="auto"/>
              <w:right w:val="nil"/>
            </w:tcBorders>
          </w:tcPr>
          <w:p w:rsidR="007C2BDC" w:rsidRPr="00072D7E"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vertAlign w:val="superscript"/>
              </w:rPr>
            </w:pPr>
            <w:r>
              <w:rPr>
                <w:rFonts w:ascii="Times New Roman" w:eastAsia="Calibri" w:hAnsi="Times New Roman" w:cs="Times New Roman"/>
                <w:bCs/>
                <w:i/>
                <w:color w:val="000000"/>
                <w:sz w:val="14"/>
                <w:szCs w:val="14"/>
              </w:rPr>
              <w:t>104</w:t>
            </w:r>
            <w:r w:rsidR="00072D7E">
              <w:rPr>
                <w:rFonts w:ascii="Times New Roman" w:eastAsia="Calibri" w:hAnsi="Times New Roman" w:cs="Times New Roman"/>
                <w:bCs/>
                <w:i/>
                <w:color w:val="000000"/>
                <w:sz w:val="14"/>
                <w:szCs w:val="14"/>
              </w:rPr>
              <w:t> </w:t>
            </w:r>
            <w:r>
              <w:rPr>
                <w:rFonts w:ascii="Times New Roman" w:eastAsia="Calibri" w:hAnsi="Times New Roman" w:cs="Times New Roman"/>
                <w:bCs/>
                <w:i/>
                <w:color w:val="000000"/>
                <w:sz w:val="14"/>
                <w:szCs w:val="14"/>
              </w:rPr>
              <w:t>161</w:t>
            </w:r>
          </w:p>
        </w:tc>
        <w:tc>
          <w:tcPr>
            <w:tcW w:w="464" w:type="pct"/>
            <w:tcBorders>
              <w:top w:val="nil"/>
              <w:left w:val="nil"/>
              <w:bottom w:val="single" w:sz="4" w:space="0" w:color="auto"/>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15 961</w:t>
            </w:r>
          </w:p>
        </w:tc>
        <w:tc>
          <w:tcPr>
            <w:tcW w:w="482" w:type="pct"/>
            <w:tcBorders>
              <w:top w:val="nil"/>
              <w:left w:val="nil"/>
              <w:bottom w:val="single" w:sz="4" w:space="0" w:color="auto"/>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Pr>
                <w:rFonts w:ascii="Times New Roman" w:eastAsia="Calibri" w:hAnsi="Times New Roman" w:cs="Times New Roman"/>
                <w:bCs/>
                <w:i/>
                <w:color w:val="000000"/>
                <w:sz w:val="14"/>
                <w:szCs w:val="14"/>
              </w:rPr>
              <w:t>14 435</w:t>
            </w:r>
          </w:p>
        </w:tc>
      </w:tr>
      <w:tr w:rsidR="007C2BDC" w:rsidRPr="00446DDA" w:rsidTr="003C305E">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single" w:sz="4" w:space="0" w:color="auto"/>
              <w:left w:val="nil"/>
              <w:bottom w:val="nil"/>
              <w:right w:val="nil"/>
            </w:tcBorders>
            <w:shd w:val="clear" w:color="auto" w:fill="auto"/>
            <w:hideMark/>
          </w:tcPr>
          <w:p w:rsidR="007C2BDC" w:rsidRPr="00446DDA" w:rsidRDefault="007C2BDC" w:rsidP="007C2BDC">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financií SR</w:t>
            </w:r>
          </w:p>
        </w:tc>
        <w:tc>
          <w:tcPr>
            <w:tcW w:w="468"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60 982</w:t>
            </w:r>
          </w:p>
        </w:tc>
        <w:tc>
          <w:tcPr>
            <w:tcW w:w="466"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6 444</w:t>
            </w:r>
          </w:p>
        </w:tc>
        <w:tc>
          <w:tcPr>
            <w:tcW w:w="465"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30 803</w:t>
            </w:r>
          </w:p>
        </w:tc>
        <w:tc>
          <w:tcPr>
            <w:tcW w:w="465"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32 410</w:t>
            </w:r>
          </w:p>
        </w:tc>
        <w:tc>
          <w:tcPr>
            <w:tcW w:w="464" w:type="pct"/>
            <w:tcBorders>
              <w:top w:val="single" w:sz="4" w:space="0" w:color="auto"/>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10 529</w:t>
            </w:r>
          </w:p>
        </w:tc>
        <w:tc>
          <w:tcPr>
            <w:tcW w:w="464" w:type="pct"/>
            <w:tcBorders>
              <w:top w:val="single" w:sz="4" w:space="0" w:color="auto"/>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15 941</w:t>
            </w:r>
          </w:p>
        </w:tc>
        <w:tc>
          <w:tcPr>
            <w:tcW w:w="482" w:type="pct"/>
            <w:tcBorders>
              <w:top w:val="single" w:sz="4" w:space="0" w:color="auto"/>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16 499</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B66991" w:rsidRDefault="007C2BDC" w:rsidP="007C2BDC">
            <w:pPr>
              <w:rPr>
                <w:rFonts w:ascii="Times New Roman" w:eastAsia="Calibri" w:hAnsi="Times New Roman" w:cs="Times New Roman"/>
                <w:b w:val="0"/>
                <w:color w:val="000000"/>
                <w:sz w:val="14"/>
                <w:szCs w:val="14"/>
                <w:lang w:eastAsia="sk-SK"/>
              </w:rPr>
            </w:pPr>
            <w:r w:rsidRPr="00B66991">
              <w:rPr>
                <w:rFonts w:ascii="Times New Roman" w:eastAsia="Calibri" w:hAnsi="Times New Roman" w:cs="Times New Roman"/>
                <w:b w:val="0"/>
                <w:color w:val="000000"/>
                <w:sz w:val="14"/>
                <w:szCs w:val="14"/>
                <w:lang w:eastAsia="sk-SK"/>
              </w:rPr>
              <w:t>Slovenská konsolidačná,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2 982</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3 144</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3</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575</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120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2 928</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575</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54</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3 144</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120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Tipos,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2 000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3 300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3 400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2 500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2 500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2 500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2 500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SEPS,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50 000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27 000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29 335</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7 909</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13 441</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13 499</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SZRB,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6 000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500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BA5051">
              <w:rPr>
                <w:rFonts w:ascii="Times New Roman" w:eastAsia="Calibri" w:hAnsi="Times New Roman" w:cs="Times New Roman"/>
                <w:i/>
                <w:color w:val="000000"/>
                <w:sz w:val="14"/>
                <w:szCs w:val="14"/>
              </w:rPr>
              <w:t>4 173</w:t>
            </w:r>
          </w:p>
        </w:tc>
        <w:tc>
          <w:tcPr>
            <w:tcW w:w="466"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BA5051">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BA5051">
              <w:rPr>
                <w:rFonts w:ascii="Times New Roman" w:eastAsia="Calibri" w:hAnsi="Times New Roman" w:cs="Times New Roman"/>
                <w:i/>
                <w:color w:val="000000"/>
                <w:sz w:val="14"/>
                <w:szCs w:val="14"/>
              </w:rPr>
              <w:t>400</w:t>
            </w:r>
          </w:p>
        </w:tc>
        <w:tc>
          <w:tcPr>
            <w:tcW w:w="465"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500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BA5051">
              <w:rPr>
                <w:rFonts w:ascii="Times New Roman" w:eastAsia="Calibri" w:hAnsi="Times New Roman" w:cs="Times New Roman"/>
                <w:i/>
                <w:color w:val="000000"/>
                <w:sz w:val="14"/>
                <w:szCs w:val="14"/>
              </w:rPr>
              <w:t>1 827</w:t>
            </w:r>
          </w:p>
        </w:tc>
        <w:tc>
          <w:tcPr>
            <w:tcW w:w="466"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BA5051">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BA5051">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BA5051"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shd w:val="clear" w:color="auto" w:fill="auto"/>
            <w:hideMark/>
          </w:tcPr>
          <w:p w:rsidR="007C2BDC" w:rsidRPr="00446DDA" w:rsidRDefault="007C2BDC" w:rsidP="007C2BDC">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zahraničných vecí a európskych záležitostí SR</w:t>
            </w:r>
          </w:p>
        </w:tc>
        <w:tc>
          <w:tcPr>
            <w:tcW w:w="468"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218</w:t>
            </w:r>
          </w:p>
        </w:tc>
        <w:tc>
          <w:tcPr>
            <w:tcW w:w="466"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698</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250</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250</w:t>
            </w:r>
          </w:p>
        </w:tc>
        <w:tc>
          <w:tcPr>
            <w:tcW w:w="464"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240</w:t>
            </w:r>
          </w:p>
        </w:tc>
        <w:tc>
          <w:tcPr>
            <w:tcW w:w="464"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260</w:t>
            </w:r>
          </w:p>
        </w:tc>
        <w:tc>
          <w:tcPr>
            <w:tcW w:w="482"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263</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Správa služieb diplomatickému zboru,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218</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698</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250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250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240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260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263</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218</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490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250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250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240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260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263</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208</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shd w:val="clear" w:color="auto" w:fill="auto"/>
            <w:hideMark/>
          </w:tcPr>
          <w:p w:rsidR="007C2BDC" w:rsidRPr="00446DDA" w:rsidRDefault="007C2BDC" w:rsidP="007C2BDC">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hospodárstva SR</w:t>
            </w:r>
          </w:p>
        </w:tc>
        <w:tc>
          <w:tcPr>
            <w:tcW w:w="468"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442 430</w:t>
            </w:r>
          </w:p>
        </w:tc>
        <w:tc>
          <w:tcPr>
            <w:tcW w:w="466"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420 208</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392 402</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F50C9F">
              <w:rPr>
                <w:rFonts w:ascii="Times New Roman" w:eastAsia="Calibri" w:hAnsi="Times New Roman" w:cs="Times New Roman"/>
                <w:b/>
                <w:bCs/>
                <w:color w:val="000000"/>
                <w:sz w:val="14"/>
                <w:szCs w:val="14"/>
              </w:rPr>
              <w:t>451 345</w:t>
            </w:r>
          </w:p>
        </w:tc>
        <w:tc>
          <w:tcPr>
            <w:tcW w:w="464"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373 186</w:t>
            </w:r>
          </w:p>
        </w:tc>
        <w:tc>
          <w:tcPr>
            <w:tcW w:w="464"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336 866</w:t>
            </w:r>
          </w:p>
        </w:tc>
        <w:tc>
          <w:tcPr>
            <w:tcW w:w="482"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329 043</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Jadrová a vyraďovacia spoločnosť,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4 959</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2 173</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3 000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3 000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3 000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3 000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604</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84</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604</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4 959</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2 173</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3 000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3 000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2 916</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Transpetrol,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1 500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1 500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1 500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1 500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1 500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1 500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1 500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1 500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072D7E">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Slovenský plynárenský priemysel, a. s.</w:t>
            </w:r>
          </w:p>
        </w:tc>
        <w:tc>
          <w:tcPr>
            <w:tcW w:w="468" w:type="pct"/>
            <w:tcBorders>
              <w:top w:val="nil"/>
              <w:left w:val="nil"/>
              <w:bottom w:val="nil"/>
              <w:right w:val="nil"/>
            </w:tcBorders>
          </w:tcPr>
          <w:p w:rsidR="007C2BDC" w:rsidRPr="00446DDA" w:rsidRDefault="000C2CEE"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370</w:t>
            </w:r>
            <w:r w:rsidR="007C2BDC" w:rsidRPr="00446DDA">
              <w:rPr>
                <w:rFonts w:ascii="Times New Roman" w:eastAsia="Calibri" w:hAnsi="Times New Roman" w:cs="Times New Roman"/>
                <w:color w:val="000000"/>
                <w:sz w:val="14"/>
                <w:szCs w:val="14"/>
              </w:rPr>
              <w:t xml:space="preserve"> 000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250 000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250 000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254 400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220 000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220 000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220 000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167 807</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167 850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250 000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248 996</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06E74">
              <w:rPr>
                <w:rFonts w:ascii="Times New Roman" w:eastAsia="Calibri" w:hAnsi="Times New Roman" w:cs="Times New Roman"/>
                <w:i/>
                <w:color w:val="000000"/>
                <w:sz w:val="14"/>
                <w:szCs w:val="14"/>
              </w:rPr>
              <w:t>131 735</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220 000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220 000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r w:rsidR="00563AE1">
              <w:rPr>
                <w:rFonts w:ascii="Times New Roman" w:eastAsia="Calibri" w:hAnsi="Times New Roman" w:cs="Times New Roman"/>
                <w:b w:val="0"/>
                <w:i/>
                <w:color w:val="000000"/>
                <w:sz w:val="14"/>
                <w:szCs w:val="14"/>
                <w:lang w:eastAsia="sk-SK"/>
              </w:rPr>
              <w:t>s</w:t>
            </w:r>
            <w:r w:rsidRPr="00446DDA">
              <w:rPr>
                <w:rFonts w:ascii="Times New Roman" w:eastAsia="Calibri" w:hAnsi="Times New Roman" w:cs="Times New Roman"/>
                <w:b w:val="0"/>
                <w:i/>
                <w:color w:val="000000"/>
                <w:sz w:val="14"/>
                <w:szCs w:val="14"/>
                <w:lang w:eastAsia="sk-SK"/>
              </w:rPr>
              <w:t>uperdividendy</w:t>
            </w:r>
          </w:p>
        </w:tc>
        <w:tc>
          <w:tcPr>
            <w:tcW w:w="468" w:type="pct"/>
            <w:tcBorders>
              <w:top w:val="nil"/>
              <w:left w:val="nil"/>
              <w:bottom w:val="nil"/>
              <w:right w:val="nil"/>
            </w:tcBorders>
          </w:tcPr>
          <w:p w:rsidR="007C2BDC" w:rsidRPr="00446DDA" w:rsidRDefault="004A1F6B"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209</w:t>
            </w:r>
            <w:r w:rsidR="003C305E">
              <w:rPr>
                <w:rFonts w:ascii="Times New Roman" w:eastAsia="Calibri" w:hAnsi="Times New Roman" w:cs="Times New Roman"/>
                <w:i/>
                <w:color w:val="000000"/>
                <w:sz w:val="14"/>
                <w:szCs w:val="14"/>
              </w:rPr>
              <w:t> </w:t>
            </w:r>
            <w:r w:rsidR="007C2BDC" w:rsidRPr="00446DDA">
              <w:rPr>
                <w:rFonts w:ascii="Times New Roman" w:eastAsia="Calibri" w:hAnsi="Times New Roman" w:cs="Times New Roman"/>
                <w:i/>
                <w:color w:val="000000"/>
                <w:sz w:val="14"/>
                <w:szCs w:val="14"/>
              </w:rPr>
              <w:t>193</w:t>
            </w:r>
            <w:r w:rsidR="003C305E" w:rsidRPr="003C305E">
              <w:rPr>
                <w:rFonts w:ascii="Times New Roman" w:eastAsia="Calibri" w:hAnsi="Times New Roman" w:cs="Times New Roman"/>
                <w:i/>
                <w:color w:val="000000"/>
                <w:sz w:val="14"/>
                <w:szCs w:val="14"/>
                <w:vertAlign w:val="superscript"/>
              </w:rPr>
              <w:t>*</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82 150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5 404</w:t>
            </w:r>
          </w:p>
        </w:tc>
        <w:tc>
          <w:tcPr>
            <w:tcW w:w="464" w:type="pct"/>
            <w:tcBorders>
              <w:top w:val="nil"/>
              <w:left w:val="nil"/>
              <w:bottom w:val="nil"/>
              <w:right w:val="nil"/>
            </w:tcBorders>
          </w:tcPr>
          <w:p w:rsidR="007C2BDC" w:rsidRPr="00072D7E"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vertAlign w:val="superscript"/>
              </w:rPr>
            </w:pPr>
            <w:r>
              <w:rPr>
                <w:rFonts w:ascii="Times New Roman" w:eastAsia="Calibri" w:hAnsi="Times New Roman" w:cs="Times New Roman"/>
                <w:i/>
                <w:color w:val="000000"/>
                <w:sz w:val="14"/>
                <w:szCs w:val="14"/>
              </w:rPr>
              <w:t>88</w:t>
            </w:r>
            <w:r w:rsidR="00072D7E">
              <w:rPr>
                <w:rFonts w:ascii="Times New Roman" w:eastAsia="Calibri" w:hAnsi="Times New Roman" w:cs="Times New Roman"/>
                <w:i/>
                <w:color w:val="000000"/>
                <w:sz w:val="14"/>
                <w:szCs w:val="14"/>
              </w:rPr>
              <w:t> </w:t>
            </w:r>
            <w:r>
              <w:rPr>
                <w:rFonts w:ascii="Times New Roman" w:eastAsia="Calibri" w:hAnsi="Times New Roman" w:cs="Times New Roman"/>
                <w:i/>
                <w:color w:val="000000"/>
                <w:sz w:val="14"/>
                <w:szCs w:val="14"/>
              </w:rPr>
              <w:t>265</w:t>
            </w:r>
            <w:r w:rsidR="00072D7E">
              <w:rPr>
                <w:rFonts w:ascii="Times New Roman" w:eastAsia="Calibri" w:hAnsi="Times New Roman" w:cs="Times New Roman"/>
                <w:i/>
                <w:color w:val="000000"/>
                <w:sz w:val="14"/>
                <w:szCs w:val="14"/>
                <w:vertAlign w:val="superscript"/>
              </w:rPr>
              <w:t>*</w:t>
            </w:r>
            <w:r w:rsidR="003C305E">
              <w:rPr>
                <w:rFonts w:ascii="Times New Roman" w:eastAsia="Calibri" w:hAnsi="Times New Roman" w:cs="Times New Roman"/>
                <w:i/>
                <w:color w:val="000000"/>
                <w:sz w:val="14"/>
                <w:szCs w:val="14"/>
                <w:vertAlign w:val="superscript"/>
              </w:rPr>
              <w:t>*</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561490"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Západoslovenská energetika,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32 553</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37 809</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45 976</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45 697</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44 839</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44 543</w:t>
            </w:r>
          </w:p>
        </w:tc>
        <w:tc>
          <w:tcPr>
            <w:tcW w:w="482" w:type="pct"/>
            <w:tcBorders>
              <w:top w:val="nil"/>
              <w:left w:val="nil"/>
              <w:bottom w:val="nil"/>
              <w:right w:val="nil"/>
            </w:tcBorders>
            <w:noWrap/>
          </w:tcPr>
          <w:p w:rsidR="007C2BDC" w:rsidRPr="00561490"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highlight w:val="yellow"/>
              </w:rPr>
            </w:pPr>
            <w:r w:rsidRPr="008F3E70">
              <w:rPr>
                <w:rFonts w:ascii="Times New Roman" w:eastAsia="Calibri" w:hAnsi="Times New Roman" w:cs="Times New Roman"/>
                <w:color w:val="000000"/>
                <w:sz w:val="14"/>
                <w:szCs w:val="14"/>
              </w:rPr>
              <w:t>43 138</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32 553</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37 483</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45 976</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45 697</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44 839</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44 543</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43 138</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326</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0B400B">
              <w:rPr>
                <w:rFonts w:ascii="Times New Roman" w:eastAsia="Calibri" w:hAnsi="Times New Roman" w:cs="Times New Roman"/>
                <w:b w:val="0"/>
                <w:color w:val="000000"/>
                <w:sz w:val="14"/>
                <w:szCs w:val="14"/>
                <w:lang w:eastAsia="sk-SK"/>
              </w:rPr>
              <w:t>Stredoslovenská energetika Holding, a.</w:t>
            </w:r>
            <w:r>
              <w:rPr>
                <w:rFonts w:ascii="Times New Roman" w:eastAsia="Calibri" w:hAnsi="Times New Roman" w:cs="Times New Roman"/>
                <w:b w:val="0"/>
                <w:color w:val="000000"/>
                <w:sz w:val="14"/>
                <w:szCs w:val="14"/>
                <w:lang w:eastAsia="sk-SK"/>
              </w:rPr>
              <w:t xml:space="preserve"> </w:t>
            </w:r>
            <w:r w:rsidRPr="000B400B">
              <w:rPr>
                <w:rFonts w:ascii="Times New Roman" w:eastAsia="Calibri" w:hAnsi="Times New Roman" w:cs="Times New Roman"/>
                <w:b w:val="0"/>
                <w:color w:val="000000"/>
                <w:sz w:val="14"/>
                <w:szCs w:val="14"/>
                <w:lang w:eastAsia="sk-SK"/>
              </w:rPr>
              <w:t>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4 586</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96 204</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61 846</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F50C9F">
              <w:rPr>
                <w:rFonts w:ascii="Times New Roman" w:eastAsia="Calibri" w:hAnsi="Times New Roman" w:cs="Times New Roman"/>
                <w:color w:val="000000"/>
                <w:sz w:val="14"/>
                <w:szCs w:val="14"/>
              </w:rPr>
              <w:t>113 071</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74 777</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38 141</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30 957</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4 359</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21 098</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61 846</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62 035</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74 777</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38 141</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30 957</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227</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75 106</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51 036</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0B400B">
              <w:rPr>
                <w:rFonts w:ascii="Times New Roman" w:eastAsia="Calibri" w:hAnsi="Times New Roman" w:cs="Times New Roman"/>
                <w:b w:val="0"/>
                <w:color w:val="000000"/>
                <w:sz w:val="14"/>
                <w:szCs w:val="14"/>
                <w:lang w:eastAsia="sk-SK"/>
              </w:rPr>
              <w:t>Východoslovenská energetika Holding, a.</w:t>
            </w:r>
            <w:r>
              <w:rPr>
                <w:rFonts w:ascii="Times New Roman" w:eastAsia="Calibri" w:hAnsi="Times New Roman" w:cs="Times New Roman"/>
                <w:b w:val="0"/>
                <w:color w:val="000000"/>
                <w:sz w:val="14"/>
                <w:szCs w:val="14"/>
                <w:lang w:eastAsia="sk-SK"/>
              </w:rPr>
              <w:t xml:space="preserve"> </w:t>
            </w:r>
            <w:r w:rsidRPr="000B400B">
              <w:rPr>
                <w:rFonts w:ascii="Times New Roman" w:eastAsia="Calibri" w:hAnsi="Times New Roman" w:cs="Times New Roman"/>
                <w:b w:val="0"/>
                <w:color w:val="000000"/>
                <w:sz w:val="14"/>
                <w:szCs w:val="14"/>
                <w:lang w:eastAsia="sk-SK"/>
              </w:rPr>
              <w:t>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30 332</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EE5D99">
              <w:rPr>
                <w:rFonts w:ascii="Times New Roman" w:eastAsia="Calibri" w:hAnsi="Times New Roman" w:cs="Times New Roman"/>
                <w:color w:val="000000"/>
                <w:sz w:val="14"/>
                <w:szCs w:val="14"/>
              </w:rPr>
              <w:t>34 022</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29 580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33 677</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29 070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29 682</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32 844</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30 332</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20 325</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29 580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24 701</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16 294</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16 637</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18 409</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13 697</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8 976</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12 776</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13 045</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14 435</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shd w:val="clear" w:color="auto" w:fill="auto"/>
            <w:hideMark/>
          </w:tcPr>
          <w:p w:rsidR="007C2BDC" w:rsidRPr="00446DDA" w:rsidRDefault="007C2BDC" w:rsidP="007C2BDC">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práce, sociálnych vecí a rodiny SR</w:t>
            </w:r>
          </w:p>
        </w:tc>
        <w:tc>
          <w:tcPr>
            <w:tcW w:w="468"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53</w:t>
            </w:r>
          </w:p>
        </w:tc>
        <w:tc>
          <w:tcPr>
            <w:tcW w:w="466"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60</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64"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64"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82"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Technická inšpekcia,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53</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shd w:val="clear" w:color="auto" w:fill="auto"/>
            <w:hideMark/>
          </w:tcPr>
          <w:p w:rsidR="007C2BDC" w:rsidRPr="00446DDA" w:rsidRDefault="007C2BDC" w:rsidP="007C2BDC">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dopravy a výstavby SR</w:t>
            </w:r>
          </w:p>
        </w:tc>
        <w:tc>
          <w:tcPr>
            <w:tcW w:w="468"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768</w:t>
            </w:r>
          </w:p>
        </w:tc>
        <w:tc>
          <w:tcPr>
            <w:tcW w:w="466"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779</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0</w:t>
            </w:r>
          </w:p>
        </w:tc>
        <w:tc>
          <w:tcPr>
            <w:tcW w:w="465"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64" w:type="pct"/>
            <w:tcBorders>
              <w:top w:val="nil"/>
              <w:left w:val="nil"/>
              <w:bottom w:val="nil"/>
              <w:right w:val="nil"/>
            </w:tcBorders>
            <w:shd w:val="clear" w:color="auto" w:fill="auto"/>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64"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c>
          <w:tcPr>
            <w:tcW w:w="482" w:type="pct"/>
            <w:tcBorders>
              <w:top w:val="nil"/>
              <w:left w:val="nil"/>
              <w:bottom w:val="nil"/>
              <w:right w:val="nil"/>
            </w:tcBorders>
            <w:shd w:val="clear" w:color="auto" w:fill="auto"/>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Pr>
                <w:rFonts w:ascii="Times New Roman" w:eastAsia="Calibri" w:hAnsi="Times New Roman" w:cs="Times New Roman"/>
                <w:b/>
                <w:bCs/>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Letisko Košice - Airport Košice, a. s.</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757</w:t>
            </w:r>
          </w:p>
        </w:tc>
        <w:tc>
          <w:tcPr>
            <w:tcW w:w="466"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779</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642</w:t>
            </w:r>
          </w:p>
        </w:tc>
        <w:tc>
          <w:tcPr>
            <w:tcW w:w="466" w:type="pct"/>
            <w:tcBorders>
              <w:top w:val="nil"/>
              <w:left w:val="nil"/>
              <w:bottom w:val="nil"/>
              <w:right w:val="nil"/>
            </w:tcBorders>
          </w:tcPr>
          <w:p w:rsidR="007C2BDC" w:rsidRPr="002A1B06"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2A1B06">
              <w:rPr>
                <w:rFonts w:ascii="Times New Roman" w:eastAsia="Calibri" w:hAnsi="Times New Roman" w:cs="Times New Roman"/>
                <w:i/>
                <w:color w:val="000000"/>
                <w:sz w:val="14"/>
                <w:szCs w:val="14"/>
              </w:rPr>
              <w:t>742</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nil"/>
              <w:right w:val="nil"/>
            </w:tcBorders>
          </w:tcPr>
          <w:p w:rsidR="007C2BDC" w:rsidRPr="00446DDA" w:rsidRDefault="007C2BDC" w:rsidP="007C2BDC">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superdividendy</w:t>
            </w:r>
          </w:p>
        </w:tc>
        <w:tc>
          <w:tcPr>
            <w:tcW w:w="468"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115</w:t>
            </w:r>
          </w:p>
        </w:tc>
        <w:tc>
          <w:tcPr>
            <w:tcW w:w="466" w:type="pct"/>
            <w:tcBorders>
              <w:top w:val="nil"/>
              <w:left w:val="nil"/>
              <w:bottom w:val="nil"/>
              <w:right w:val="nil"/>
            </w:tcBorders>
          </w:tcPr>
          <w:p w:rsidR="007C2BDC" w:rsidRPr="002A1B06"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2A1B06">
              <w:rPr>
                <w:rFonts w:ascii="Times New Roman" w:eastAsia="Calibri" w:hAnsi="Times New Roman" w:cs="Times New Roman"/>
                <w:i/>
                <w:color w:val="000000"/>
                <w:sz w:val="14"/>
                <w:szCs w:val="14"/>
              </w:rPr>
              <w:t>37</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465"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64"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c>
          <w:tcPr>
            <w:tcW w:w="482" w:type="pct"/>
            <w:tcBorders>
              <w:top w:val="nil"/>
              <w:left w:val="nil"/>
              <w:bottom w:val="nil"/>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Pr>
                <w:rFonts w:ascii="Times New Roman" w:eastAsia="Calibri" w:hAnsi="Times New Roman" w:cs="Times New Roman"/>
                <w:i/>
                <w:color w:val="000000"/>
                <w:sz w:val="14"/>
                <w:szCs w:val="14"/>
              </w:rPr>
              <w:t>0</w:t>
            </w:r>
          </w:p>
        </w:tc>
      </w:tr>
      <w:tr w:rsidR="007C2BDC" w:rsidRPr="00446DDA" w:rsidTr="007C2BDC">
        <w:trPr>
          <w:trHeight w:val="289"/>
        </w:trPr>
        <w:tc>
          <w:tcPr>
            <w:cnfStyle w:val="001000000000" w:firstRow="0" w:lastRow="0" w:firstColumn="1" w:lastColumn="0" w:oddVBand="0" w:evenVBand="0" w:oddHBand="0" w:evenHBand="0" w:firstRowFirstColumn="0" w:firstRowLastColumn="0" w:lastRowFirstColumn="0" w:lastRowLastColumn="0"/>
            <w:tcW w:w="1725" w:type="pct"/>
            <w:tcBorders>
              <w:top w:val="nil"/>
              <w:left w:val="nil"/>
              <w:bottom w:val="single" w:sz="4" w:space="0" w:color="auto"/>
              <w:right w:val="nil"/>
            </w:tcBorders>
            <w:hideMark/>
          </w:tcPr>
          <w:p w:rsidR="007C2BDC" w:rsidRPr="00446DDA" w:rsidRDefault="007C2BDC" w:rsidP="007C2BDC">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Poštová banka, a. s.</w:t>
            </w:r>
          </w:p>
        </w:tc>
        <w:tc>
          <w:tcPr>
            <w:tcW w:w="468"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11</w:t>
            </w:r>
          </w:p>
        </w:tc>
        <w:tc>
          <w:tcPr>
            <w:tcW w:w="466"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5"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465"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single" w:sz="4" w:space="0" w:color="auto"/>
              <w:right w:val="nil"/>
            </w:tcBorders>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64" w:type="pct"/>
            <w:tcBorders>
              <w:top w:val="nil"/>
              <w:left w:val="nil"/>
              <w:bottom w:val="single" w:sz="4" w:space="0" w:color="auto"/>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c>
          <w:tcPr>
            <w:tcW w:w="482" w:type="pct"/>
            <w:tcBorders>
              <w:top w:val="nil"/>
              <w:left w:val="nil"/>
              <w:bottom w:val="single" w:sz="4" w:space="0" w:color="auto"/>
              <w:right w:val="nil"/>
            </w:tcBorders>
            <w:noWrap/>
          </w:tcPr>
          <w:p w:rsidR="007C2BDC" w:rsidRPr="00446DDA" w:rsidRDefault="007C2BDC" w:rsidP="007C2BDC">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Pr>
                <w:rFonts w:ascii="Times New Roman" w:eastAsia="Calibri" w:hAnsi="Times New Roman" w:cs="Times New Roman"/>
                <w:color w:val="000000"/>
                <w:sz w:val="14"/>
                <w:szCs w:val="14"/>
              </w:rPr>
              <w:t>0</w:t>
            </w:r>
          </w:p>
        </w:tc>
      </w:tr>
    </w:tbl>
    <w:p w:rsidR="00563AE1" w:rsidRPr="00563AE1" w:rsidRDefault="004A1F6B" w:rsidP="00072D7E">
      <w:pPr>
        <w:spacing w:after="0"/>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3C305E" w:rsidRPr="003C305E">
        <w:rPr>
          <w:rFonts w:ascii="Times New Roman" w:eastAsia="Calibri" w:hAnsi="Times New Roman" w:cs="Times New Roman"/>
          <w:sz w:val="16"/>
          <w:szCs w:val="16"/>
        </w:rPr>
        <w:t>Suma superdividend spoločnosti Slovenský plynárenský priemysel, a. s. za rok 2019 obsahuje aj dary vo výške 7,00 mil. eur, ktoré boli vyplatené organizáciám mimo sektor verejnej správy (Ekofond SPP, n. o. a Nadácia SPP).</w:t>
      </w:r>
    </w:p>
    <w:p w:rsidR="007C2BDC" w:rsidRPr="00CF001A" w:rsidRDefault="00563AE1" w:rsidP="00072D7E">
      <w:pPr>
        <w:spacing w:after="0"/>
        <w:jc w:val="both"/>
        <w:rPr>
          <w:rFonts w:ascii="Times New Roman" w:eastAsia="Calibri" w:hAnsi="Times New Roman" w:cs="Times New Roman"/>
          <w:i/>
          <w:sz w:val="16"/>
          <w:szCs w:val="16"/>
        </w:rPr>
      </w:pPr>
      <w:r w:rsidRPr="00563AE1">
        <w:rPr>
          <w:rFonts w:ascii="Times New Roman" w:eastAsia="Calibri" w:hAnsi="Times New Roman" w:cs="Times New Roman"/>
          <w:sz w:val="16"/>
          <w:szCs w:val="16"/>
        </w:rPr>
        <w:t>**</w:t>
      </w:r>
      <w:r w:rsidR="003C305E" w:rsidRPr="003C305E">
        <w:rPr>
          <w:rFonts w:ascii="Times New Roman" w:eastAsia="Calibri" w:hAnsi="Times New Roman" w:cs="Times New Roman"/>
          <w:sz w:val="16"/>
          <w:szCs w:val="16"/>
        </w:rPr>
        <w:t>Údaj k superdividende Slovenského plynárenského priemysl</w:t>
      </w:r>
      <w:r w:rsidR="00BE30A1">
        <w:rPr>
          <w:rFonts w:ascii="Times New Roman" w:eastAsia="Calibri" w:hAnsi="Times New Roman" w:cs="Times New Roman"/>
          <w:sz w:val="16"/>
          <w:szCs w:val="16"/>
        </w:rPr>
        <w:t>u, a. s. na rok 2022 v sume 40,8</w:t>
      </w:r>
      <w:r w:rsidR="003C305E" w:rsidRPr="003C305E">
        <w:rPr>
          <w:rFonts w:ascii="Times New Roman" w:eastAsia="Calibri" w:hAnsi="Times New Roman" w:cs="Times New Roman"/>
          <w:sz w:val="16"/>
          <w:szCs w:val="16"/>
        </w:rPr>
        <w:t xml:space="preserve"> mil. eur nebol v čase prípravy údajov pre Výbor pre daňové prognózy k dispozícii, preto nie je obsiahnutý v jeho prognóze.</w:t>
      </w:r>
      <w:r>
        <w:rPr>
          <w:rFonts w:ascii="Times New Roman" w:eastAsia="Calibri" w:hAnsi="Times New Roman" w:cs="Times New Roman"/>
          <w:sz w:val="16"/>
          <w:szCs w:val="16"/>
        </w:rPr>
        <w:tab/>
      </w:r>
      <w:r w:rsidR="00072D7E">
        <w:rPr>
          <w:rFonts w:ascii="Times New Roman" w:eastAsia="Calibri" w:hAnsi="Times New Roman" w:cs="Times New Roman"/>
          <w:sz w:val="16"/>
          <w:szCs w:val="16"/>
        </w:rPr>
        <w:tab/>
      </w:r>
      <w:r w:rsidR="00072D7E">
        <w:rPr>
          <w:rFonts w:ascii="Times New Roman" w:eastAsia="Calibri" w:hAnsi="Times New Roman" w:cs="Times New Roman"/>
          <w:sz w:val="16"/>
          <w:szCs w:val="16"/>
        </w:rPr>
        <w:tab/>
      </w:r>
      <w:r w:rsidR="007C2BDC" w:rsidRPr="00CF001A">
        <w:rPr>
          <w:rFonts w:ascii="Times New Roman" w:eastAsia="Calibri" w:hAnsi="Times New Roman" w:cs="Times New Roman"/>
          <w:i/>
          <w:sz w:val="16"/>
          <w:szCs w:val="16"/>
        </w:rPr>
        <w:t xml:space="preserve">       </w:t>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sidR="00072D7E">
        <w:rPr>
          <w:rFonts w:ascii="Times New Roman" w:eastAsia="Calibri" w:hAnsi="Times New Roman" w:cs="Times New Roman"/>
          <w:i/>
          <w:sz w:val="16"/>
          <w:szCs w:val="16"/>
        </w:rPr>
        <w:tab/>
      </w:r>
      <w:r>
        <w:rPr>
          <w:rFonts w:ascii="Times New Roman" w:eastAsia="Calibri" w:hAnsi="Times New Roman" w:cs="Times New Roman"/>
          <w:i/>
          <w:sz w:val="16"/>
          <w:szCs w:val="16"/>
        </w:rPr>
        <w:t xml:space="preserve">                       </w:t>
      </w:r>
      <w:r w:rsidR="003C305E">
        <w:rPr>
          <w:rFonts w:ascii="Times New Roman" w:eastAsia="Calibri" w:hAnsi="Times New Roman" w:cs="Times New Roman"/>
          <w:i/>
          <w:sz w:val="16"/>
          <w:szCs w:val="16"/>
        </w:rPr>
        <w:tab/>
      </w:r>
      <w:r w:rsidR="003C305E">
        <w:rPr>
          <w:rFonts w:ascii="Times New Roman" w:eastAsia="Calibri" w:hAnsi="Times New Roman" w:cs="Times New Roman"/>
          <w:i/>
          <w:sz w:val="16"/>
          <w:szCs w:val="16"/>
        </w:rPr>
        <w:tab/>
      </w:r>
      <w:r w:rsidR="003C305E">
        <w:rPr>
          <w:rFonts w:ascii="Times New Roman" w:eastAsia="Calibri" w:hAnsi="Times New Roman" w:cs="Times New Roman"/>
          <w:i/>
          <w:sz w:val="16"/>
          <w:szCs w:val="16"/>
        </w:rPr>
        <w:tab/>
        <w:t xml:space="preserve">         </w:t>
      </w:r>
      <w:r w:rsidR="007C2BDC" w:rsidRPr="00CF001A">
        <w:rPr>
          <w:rFonts w:ascii="Times New Roman" w:eastAsia="Calibri" w:hAnsi="Times New Roman" w:cs="Times New Roman"/>
          <w:i/>
          <w:sz w:val="16"/>
          <w:szCs w:val="16"/>
        </w:rPr>
        <w:t>Zdroj: MF SR</w:t>
      </w:r>
    </w:p>
    <w:p w:rsidR="007C2BDC" w:rsidRPr="00446DDA" w:rsidRDefault="007C2BDC" w:rsidP="007C2BDC">
      <w:pPr>
        <w:widowControl w:val="0"/>
        <w:spacing w:after="0"/>
        <w:jc w:val="both"/>
        <w:rPr>
          <w:rFonts w:ascii="Times New Roman" w:eastAsia="Calibri" w:hAnsi="Times New Roman" w:cs="Times New Roman"/>
          <w:sz w:val="24"/>
        </w:rPr>
      </w:pPr>
      <w:r w:rsidRPr="00446DDA">
        <w:rPr>
          <w:rFonts w:ascii="Times New Roman" w:eastAsia="Calibri" w:hAnsi="Times New Roman" w:cs="Times New Roman"/>
          <w:sz w:val="24"/>
        </w:rPr>
        <w:t xml:space="preserve">Výška </w:t>
      </w:r>
      <w:r w:rsidRPr="00446DDA">
        <w:rPr>
          <w:rFonts w:ascii="Times New Roman" w:eastAsia="Calibri" w:hAnsi="Times New Roman" w:cs="Times New Roman"/>
          <w:i/>
          <w:sz w:val="24"/>
        </w:rPr>
        <w:t>príjmov z administratívnych poplatkov a iných poplatkov a platieb</w:t>
      </w:r>
      <w:r w:rsidRPr="00446DDA">
        <w:rPr>
          <w:rFonts w:ascii="Times New Roman" w:eastAsia="Calibri" w:hAnsi="Times New Roman" w:cs="Times New Roman"/>
          <w:b/>
          <w:sz w:val="24"/>
        </w:rPr>
        <w:t xml:space="preserve"> </w:t>
      </w:r>
      <w:r w:rsidRPr="00446DDA">
        <w:rPr>
          <w:rFonts w:ascii="Times New Roman" w:eastAsia="Calibri" w:hAnsi="Times New Roman" w:cs="Times New Roman"/>
          <w:sz w:val="24"/>
        </w:rPr>
        <w:t>závisí od počtu jednotlivých aktov konania v priebehu roka.</w:t>
      </w:r>
      <w:r w:rsidRPr="00446DDA">
        <w:rPr>
          <w:rFonts w:ascii="Times New Roman" w:eastAsia="Calibri" w:hAnsi="Times New Roman" w:cs="Times New Roman"/>
        </w:rPr>
        <w:t xml:space="preserve"> </w:t>
      </w:r>
      <w:r>
        <w:rPr>
          <w:rFonts w:ascii="Times New Roman" w:eastAsia="Calibri" w:hAnsi="Times New Roman" w:cs="Times New Roman"/>
          <w:sz w:val="24"/>
        </w:rPr>
        <w:t>Uvedené príjmy sa na rok 2022</w:t>
      </w:r>
      <w:r w:rsidRPr="00446DDA">
        <w:rPr>
          <w:rFonts w:ascii="Times New Roman" w:eastAsia="Calibri" w:hAnsi="Times New Roman" w:cs="Times New Roman"/>
          <w:sz w:val="24"/>
        </w:rPr>
        <w:t xml:space="preserve"> rozpočtujú vo výške </w:t>
      </w:r>
      <w:r w:rsidRPr="00C20143">
        <w:rPr>
          <w:rFonts w:ascii="Times New Roman" w:eastAsia="Calibri" w:hAnsi="Times New Roman" w:cs="Times New Roman"/>
          <w:sz w:val="24"/>
        </w:rPr>
        <w:t>364</w:t>
      </w:r>
      <w:r w:rsidRPr="00446DDA">
        <w:rPr>
          <w:rFonts w:ascii="Times New Roman" w:eastAsia="Calibri" w:hAnsi="Times New Roman" w:cs="Times New Roman"/>
          <w:sz w:val="24"/>
        </w:rPr>
        <w:t xml:space="preserve"> mil. eur. Najvyšší objem v rámci týchto príjmov predstavujú príjmy z administratívnych poplatkov a v rámci nich príjmy zo súdnych poplatkov a ostatných poplatkov, kam patria napr. správne poplatky, paušálne náhrady za udeľovanie víz, udržiavacie poplatky za patent a pod. Ďalej sa tu rozpočtujú príjmy z pokút, penále a iných sankcií a príjmy z poplatkov a platieb z nepriemyselného a náhodného predaja a služieb.</w:t>
      </w:r>
    </w:p>
    <w:p w:rsidR="007C2BDC" w:rsidRPr="00446DDA" w:rsidRDefault="007C2BDC" w:rsidP="007C2BDC">
      <w:pPr>
        <w:widowControl w:val="0"/>
        <w:spacing w:after="0"/>
        <w:jc w:val="both"/>
        <w:rPr>
          <w:rFonts w:ascii="Times New Roman" w:eastAsia="NeueHaasGroteskText W02" w:hAnsi="Times New Roman" w:cs="Times New Roman"/>
          <w:sz w:val="24"/>
          <w:szCs w:val="20"/>
          <w:highlight w:val="yellow"/>
        </w:rPr>
      </w:pPr>
    </w:p>
    <w:p w:rsidR="007C2BDC" w:rsidRPr="00446DDA" w:rsidRDefault="007C2BDC" w:rsidP="007C2BDC">
      <w:pPr>
        <w:widowControl w:val="0"/>
        <w:spacing w:after="0"/>
        <w:jc w:val="both"/>
        <w:rPr>
          <w:rFonts w:ascii="Times New Roman" w:eastAsia="NeueHaasGroteskText W02" w:hAnsi="Times New Roman" w:cs="Times New Roman"/>
          <w:sz w:val="24"/>
          <w:szCs w:val="20"/>
        </w:rPr>
      </w:pPr>
      <w:r w:rsidRPr="00C25654">
        <w:rPr>
          <w:rFonts w:ascii="Times New Roman" w:eastAsia="NeueHaasGroteskText W02" w:hAnsi="Times New Roman" w:cs="Times New Roman"/>
          <w:i/>
          <w:sz w:val="24"/>
          <w:szCs w:val="20"/>
        </w:rPr>
        <w:t>Kapitálové príjmy</w:t>
      </w:r>
      <w:r w:rsidRPr="00C25654">
        <w:rPr>
          <w:rFonts w:ascii="Times New Roman" w:eastAsia="NeueHaasGroteskText W02" w:hAnsi="Times New Roman" w:cs="Times New Roman"/>
          <w:sz w:val="24"/>
          <w:szCs w:val="20"/>
        </w:rPr>
        <w:t xml:space="preserve"> sa na rok 2022 rozpočtujú vo výške 7,51 mil. eur, čo v porovnaní so schváleným rozpočtom na rok 2021 predstavuje pokles o 16,2 mil. eur. Nižší objem rozpočtovaných kapitálových príjmov pri medziročnom porovnaní súvisí predovšetkým s očakávanými nižšími výnosmi z predaja prebytočného majetku a pozemkov štátu v</w:t>
      </w:r>
      <w:r>
        <w:rPr>
          <w:rFonts w:ascii="Times New Roman" w:eastAsia="NeueHaasGroteskText W02" w:hAnsi="Times New Roman" w:cs="Times New Roman"/>
          <w:sz w:val="24"/>
          <w:szCs w:val="20"/>
        </w:rPr>
        <w:t> </w:t>
      </w:r>
      <w:r w:rsidRPr="00C25654">
        <w:rPr>
          <w:rFonts w:ascii="Times New Roman" w:eastAsia="NeueHaasGroteskText W02" w:hAnsi="Times New Roman" w:cs="Times New Roman"/>
          <w:sz w:val="24"/>
          <w:szCs w:val="20"/>
        </w:rPr>
        <w:t>správe</w:t>
      </w:r>
      <w:r>
        <w:rPr>
          <w:rFonts w:ascii="Times New Roman" w:eastAsia="NeueHaasGroteskText W02" w:hAnsi="Times New Roman" w:cs="Times New Roman"/>
          <w:sz w:val="24"/>
          <w:szCs w:val="20"/>
        </w:rPr>
        <w:t xml:space="preserve"> </w:t>
      </w:r>
      <w:r w:rsidRPr="00C25654">
        <w:rPr>
          <w:rFonts w:ascii="Times New Roman" w:eastAsia="NeueHaasGroteskText W02" w:hAnsi="Times New Roman" w:cs="Times New Roman"/>
          <w:sz w:val="24"/>
          <w:szCs w:val="20"/>
        </w:rPr>
        <w:t>kapitol štátneho rozpočtu.</w:t>
      </w:r>
    </w:p>
    <w:p w:rsidR="007C2BDC" w:rsidRPr="00446DDA" w:rsidRDefault="007C2BDC" w:rsidP="007C2BDC">
      <w:pPr>
        <w:widowControl w:val="0"/>
        <w:spacing w:after="0"/>
        <w:jc w:val="both"/>
        <w:rPr>
          <w:rFonts w:ascii="Times New Roman" w:eastAsia="NeueHaasGroteskText W02" w:hAnsi="Times New Roman" w:cs="Times New Roman"/>
          <w:sz w:val="24"/>
          <w:szCs w:val="20"/>
          <w:highlight w:val="yellow"/>
        </w:rPr>
      </w:pPr>
    </w:p>
    <w:p w:rsidR="007C2BDC" w:rsidRPr="00446DDA" w:rsidRDefault="007C2BDC" w:rsidP="007C2BDC">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i/>
          <w:sz w:val="24"/>
          <w:szCs w:val="20"/>
        </w:rPr>
        <w:t>Úroky z tuzemských a zahraničných úverov, pôžičiek, návratných finančných výpomocí a vkladov</w:t>
      </w:r>
      <w:r>
        <w:rPr>
          <w:rFonts w:ascii="Times New Roman" w:eastAsia="NeueHaasGroteskText W02" w:hAnsi="Times New Roman" w:cs="Times New Roman"/>
          <w:sz w:val="24"/>
          <w:szCs w:val="20"/>
        </w:rPr>
        <w:t xml:space="preserve"> sa na rok 2022</w:t>
      </w:r>
      <w:r w:rsidRPr="00446DDA">
        <w:rPr>
          <w:rFonts w:ascii="Times New Roman" w:eastAsia="NeueHaasGroteskText W02" w:hAnsi="Times New Roman" w:cs="Times New Roman"/>
          <w:sz w:val="24"/>
          <w:szCs w:val="20"/>
        </w:rPr>
        <w:t xml:space="preserve"> rozpočtujú v sume </w:t>
      </w:r>
      <w:r>
        <w:rPr>
          <w:rFonts w:ascii="Times New Roman" w:eastAsia="NeueHaasGroteskText W02" w:hAnsi="Times New Roman" w:cs="Times New Roman"/>
          <w:sz w:val="24"/>
          <w:szCs w:val="20"/>
        </w:rPr>
        <w:t>6,</w:t>
      </w:r>
      <w:r w:rsidRPr="00B2437F">
        <w:rPr>
          <w:rFonts w:ascii="Times New Roman" w:eastAsia="NeueHaasGroteskText W02" w:hAnsi="Times New Roman" w:cs="Times New Roman"/>
          <w:sz w:val="24"/>
          <w:szCs w:val="20"/>
        </w:rPr>
        <w:t>76</w:t>
      </w:r>
      <w:r w:rsidRPr="00446DDA">
        <w:rPr>
          <w:rFonts w:ascii="Times New Roman" w:eastAsia="NeueHaasGroteskText W02" w:hAnsi="Times New Roman" w:cs="Times New Roman"/>
          <w:sz w:val="24"/>
          <w:szCs w:val="20"/>
        </w:rPr>
        <w:t xml:space="preserve"> mil. eur a pozostávajú z:</w:t>
      </w:r>
    </w:p>
    <w:p w:rsidR="007C2BDC" w:rsidRPr="002167F6" w:rsidRDefault="007C2BDC" w:rsidP="007C2BDC">
      <w:pPr>
        <w:pStyle w:val="Odsekzoznamu"/>
        <w:widowControl w:val="0"/>
        <w:numPr>
          <w:ilvl w:val="0"/>
          <w:numId w:val="8"/>
        </w:numPr>
        <w:jc w:val="both"/>
        <w:rPr>
          <w:rFonts w:ascii="Times New Roman" w:eastAsia="Calibri" w:hAnsi="Times New Roman" w:cs="Times New Roman"/>
        </w:rPr>
      </w:pPr>
      <w:r w:rsidRPr="002167F6">
        <w:rPr>
          <w:rFonts w:ascii="Times New Roman" w:eastAsia="Calibri" w:hAnsi="Times New Roman" w:cs="Times New Roman"/>
          <w:i/>
        </w:rPr>
        <w:t>úrokov z účtov finančného hospodárenia so Štátnou pokladnicou</w:t>
      </w:r>
      <w:r w:rsidRPr="002167F6">
        <w:rPr>
          <w:rFonts w:ascii="Times New Roman" w:eastAsia="Calibri" w:hAnsi="Times New Roman" w:cs="Times New Roman"/>
        </w:rPr>
        <w:t>, ktoré predstavujú úroky z kreditných zostatkov peňažných prostriedkov vedených na účtoch Štátnej pokladnice v NBS, banke alebo pobočke zahr</w:t>
      </w:r>
      <w:r>
        <w:rPr>
          <w:rFonts w:ascii="Times New Roman" w:eastAsia="Calibri" w:hAnsi="Times New Roman" w:cs="Times New Roman"/>
        </w:rPr>
        <w:t>aničnej banky, vrátane úrokov z </w:t>
      </w:r>
      <w:r w:rsidRPr="002167F6">
        <w:rPr>
          <w:rFonts w:ascii="Times New Roman" w:eastAsia="Calibri" w:hAnsi="Times New Roman" w:cs="Times New Roman"/>
        </w:rPr>
        <w:t xml:space="preserve">finančných operácií vykonaných Štátnou pokladnicou a klientom Štátny dlh znížené o úroky platené Štátnou pokladnicou a príjmy z poplatkov za služby poskytované Štátnou pokladnicou znížené o náklady súvisiace s ich poskytnutím. Rozpočtovanie týchto príjmov vychádza </w:t>
      </w:r>
      <w:r w:rsidRPr="00E12B20">
        <w:rPr>
          <w:rFonts w:ascii="Times New Roman" w:eastAsia="Calibri" w:hAnsi="Times New Roman" w:cs="Times New Roman"/>
        </w:rPr>
        <w:t>z odhadu úrokových sadzieb ECB KEY RATE a EONIA, ako aj z predpokladaného vývoja zostatkov na účtoch klientov Štátnej pokladnice, najmä na účtoch štátnych finančných aktív, na účtoch Sociálnej poisťovne a na účt</w:t>
      </w:r>
      <w:r>
        <w:rPr>
          <w:rFonts w:ascii="Times New Roman" w:eastAsia="Calibri" w:hAnsi="Times New Roman" w:cs="Times New Roman"/>
        </w:rPr>
        <w:t>och prostriedkov Európskej únie</w:t>
      </w:r>
      <w:r w:rsidRPr="002167F6">
        <w:rPr>
          <w:rFonts w:ascii="Times New Roman" w:eastAsia="Calibri" w:hAnsi="Times New Roman" w:cs="Times New Roman"/>
        </w:rPr>
        <w:t>,</w:t>
      </w:r>
    </w:p>
    <w:p w:rsidR="007C2BDC" w:rsidRPr="002167F6" w:rsidRDefault="007C2BDC" w:rsidP="007C2BDC">
      <w:pPr>
        <w:pStyle w:val="Odsekzoznamu"/>
        <w:widowControl w:val="0"/>
        <w:numPr>
          <w:ilvl w:val="0"/>
          <w:numId w:val="8"/>
        </w:numPr>
        <w:jc w:val="both"/>
        <w:rPr>
          <w:rFonts w:ascii="Times New Roman" w:eastAsia="Calibri" w:hAnsi="Times New Roman" w:cs="Times New Roman"/>
        </w:rPr>
      </w:pPr>
      <w:r w:rsidRPr="002167F6">
        <w:rPr>
          <w:rFonts w:ascii="Times New Roman" w:eastAsia="Calibri" w:hAnsi="Times New Roman" w:cs="Times New Roman"/>
          <w:i/>
        </w:rPr>
        <w:t>úrokov z návratných finančných výpomocí a štátnych záruk</w:t>
      </w:r>
      <w:r w:rsidRPr="002167F6">
        <w:rPr>
          <w:rFonts w:ascii="Times New Roman" w:eastAsia="Calibri" w:hAnsi="Times New Roman" w:cs="Times New Roman"/>
        </w:rPr>
        <w:t>, kde sa rozpočtujú úroky z návratných finančných výpomocí poskytnutých Agentúre pre núdzové zásoby ropy a ropných výrobkov, spoločnosti GA Drilling, a. s. a spoločnosti Tachyum s. r. o. podľa platných splátkových kalendárov,</w:t>
      </w:r>
    </w:p>
    <w:p w:rsidR="007C2BDC" w:rsidRPr="002167F6" w:rsidRDefault="007C2BDC" w:rsidP="007C2BDC">
      <w:pPr>
        <w:pStyle w:val="Odsekzoznamu"/>
        <w:widowControl w:val="0"/>
        <w:numPr>
          <w:ilvl w:val="0"/>
          <w:numId w:val="8"/>
        </w:numPr>
        <w:jc w:val="both"/>
        <w:rPr>
          <w:rFonts w:ascii="Times New Roman" w:eastAsia="Calibri" w:hAnsi="Times New Roman" w:cs="Times New Roman"/>
        </w:rPr>
      </w:pPr>
      <w:r w:rsidRPr="002167F6">
        <w:rPr>
          <w:rFonts w:ascii="Times New Roman" w:eastAsia="Calibri" w:hAnsi="Times New Roman" w:cs="Times New Roman"/>
          <w:i/>
        </w:rPr>
        <w:t>úrokov zo zahraničných úverov, pôžičiek, návratných finančných výpomocí a vkladov</w:t>
      </w:r>
      <w:r w:rsidRPr="002167F6">
        <w:rPr>
          <w:rFonts w:ascii="Times New Roman" w:eastAsia="Calibri" w:hAnsi="Times New Roman" w:cs="Times New Roman"/>
        </w:rPr>
        <w:t>, ktoré tvoria úroky kapitol Ministerstva zahraničných vecí a európskych záležitostí SR a Ministerstva obrany SR. Ide o kreditné úroky účtov zastupiteľských úradov Slovenskej republiky v zahraničí.</w:t>
      </w:r>
    </w:p>
    <w:p w:rsidR="007C2BDC" w:rsidRPr="00446DDA" w:rsidRDefault="007C2BDC" w:rsidP="007C2BDC">
      <w:pPr>
        <w:widowControl w:val="0"/>
        <w:spacing w:after="0"/>
        <w:jc w:val="both"/>
        <w:rPr>
          <w:rFonts w:ascii="Times New Roman" w:eastAsia="NeueHaasGroteskText W02" w:hAnsi="Times New Roman" w:cs="Times New Roman"/>
          <w:sz w:val="24"/>
          <w:szCs w:val="20"/>
        </w:rPr>
      </w:pPr>
    </w:p>
    <w:p w:rsidR="00745737" w:rsidRDefault="00745737" w:rsidP="00745737">
      <w:pPr>
        <w:widowControl w:val="0"/>
        <w:spacing w:after="0"/>
        <w:jc w:val="both"/>
        <w:rPr>
          <w:rFonts w:ascii="Times New Roman" w:eastAsia="NeueHaasGroteskText W02" w:hAnsi="Times New Roman" w:cs="Times New Roman"/>
          <w:sz w:val="24"/>
          <w:szCs w:val="20"/>
        </w:rPr>
      </w:pPr>
      <w:r w:rsidRPr="00FA7DE1">
        <w:rPr>
          <w:rFonts w:ascii="Times New Roman" w:eastAsia="NeueHaasGroteskText W02" w:hAnsi="Times New Roman" w:cs="Times New Roman"/>
          <w:sz w:val="24"/>
          <w:szCs w:val="20"/>
        </w:rPr>
        <w:t xml:space="preserve">Najväčší objem z </w:t>
      </w:r>
      <w:r w:rsidRPr="00FA7DE1">
        <w:rPr>
          <w:rFonts w:ascii="Times New Roman" w:eastAsia="NeueHaasGroteskText W02" w:hAnsi="Times New Roman" w:cs="Times New Roman"/>
          <w:i/>
          <w:sz w:val="24"/>
          <w:szCs w:val="20"/>
        </w:rPr>
        <w:t>iných nedaňových príjmov</w:t>
      </w:r>
      <w:r w:rsidRPr="00FA7DE1">
        <w:rPr>
          <w:rFonts w:ascii="Times New Roman" w:eastAsia="NeueHaasGroteskText W02" w:hAnsi="Times New Roman" w:cs="Times New Roman"/>
          <w:sz w:val="24"/>
          <w:szCs w:val="20"/>
        </w:rPr>
        <w:t xml:space="preserve"> predstavujú príjmy z odvodov z hazardných hier a iných podobných hier, ktoré sú rozpočtované v kapitole Všeobecná pokladničná správa na rok 2022 v sume 236 mil. eur. Ďalej sem patria vrátené neoprávnene použité alebo zadržané finančné prostriedky a ostatné príjmy. Výška týchto príjmov je v priebehu rozpočtového roka ovplyvnená najmä objemom vrátených neoprávnene použitých finančných prostriedkov od neziskových organizácií, rozpočtových organizácií, obcí a ostatných príjmov, medzi ktoré patria najmä odvody a vratky.</w:t>
      </w:r>
    </w:p>
    <w:p w:rsidR="00745737" w:rsidRDefault="00745737" w:rsidP="00745737">
      <w:pPr>
        <w:widowControl w:val="0"/>
        <w:spacing w:after="0"/>
        <w:jc w:val="both"/>
        <w:rPr>
          <w:rFonts w:ascii="Times New Roman" w:eastAsia="NeueHaasGroteskText W02" w:hAnsi="Times New Roman" w:cs="Times New Roman"/>
          <w:sz w:val="24"/>
          <w:szCs w:val="20"/>
        </w:rPr>
      </w:pPr>
    </w:p>
    <w:p w:rsidR="00745737" w:rsidRDefault="00745737" w:rsidP="00D52093">
      <w:pPr>
        <w:widowControl w:val="0"/>
        <w:spacing w:after="0"/>
        <w:jc w:val="both"/>
        <w:rPr>
          <w:rFonts w:ascii="Times New Roman" w:eastAsia="NeueHaasGroteskText W02" w:hAnsi="Times New Roman" w:cs="Times New Roman"/>
          <w:sz w:val="24"/>
          <w:szCs w:val="20"/>
        </w:rPr>
      </w:pPr>
      <w:r>
        <w:rPr>
          <w:rFonts w:ascii="Times New Roman" w:eastAsia="NeueHaasGroteskText W02" w:hAnsi="Times New Roman" w:cs="Times New Roman"/>
          <w:sz w:val="24"/>
          <w:szCs w:val="20"/>
        </w:rPr>
        <w:t xml:space="preserve">Zdroje </w:t>
      </w:r>
      <w:r w:rsidRPr="00917B04">
        <w:rPr>
          <w:rFonts w:ascii="Times New Roman" w:eastAsia="NeueHaasGroteskText W02" w:hAnsi="Times New Roman" w:cs="Times New Roman"/>
          <w:sz w:val="24"/>
          <w:szCs w:val="20"/>
        </w:rPr>
        <w:t>z odvodov z hazardných hier a iných podobných hier</w:t>
      </w:r>
      <w:r>
        <w:rPr>
          <w:rFonts w:ascii="Times New Roman" w:eastAsia="NeueHaasGroteskText W02" w:hAnsi="Times New Roman" w:cs="Times New Roman"/>
          <w:sz w:val="24"/>
          <w:szCs w:val="20"/>
        </w:rPr>
        <w:t xml:space="preserve"> sú smerované do vykonávania</w:t>
      </w:r>
      <w:r w:rsidRPr="00917B04">
        <w:rPr>
          <w:rFonts w:ascii="Times New Roman" w:eastAsia="NeueHaasGroteskText W02" w:hAnsi="Times New Roman" w:cs="Times New Roman"/>
          <w:sz w:val="24"/>
          <w:szCs w:val="20"/>
        </w:rPr>
        <w:t xml:space="preserve"> všeobecne prospešných služieb, ktorými sú najmä poskytovanie zdravotnej starostlivosti, poskytovanie sociálnej pomoci, humanitárna starostlivosť, tvorba, rozvoj, ochrana a obnova kultúrnych hodnôt, podpora umeleckej tvorby a kultúrnych aktivít, vzdelávanie, výchova, rozvoj športu, tvorba a ochrana životného prostredia a ochrana zdravia obyvateľstva.</w:t>
      </w:r>
      <w:r w:rsidR="00955E1D">
        <w:rPr>
          <w:rFonts w:ascii="Times New Roman" w:eastAsia="NeueHaasGroteskText W02" w:hAnsi="Times New Roman" w:cs="Times New Roman"/>
          <w:sz w:val="24"/>
          <w:szCs w:val="20"/>
        </w:rPr>
        <w:t xml:space="preserve"> Na uvedené výdavky sa vynakladajú objemy prevyšujúce uvedený príjem, ktorý tak kryje iba časť týchto výdavkov.</w:t>
      </w:r>
    </w:p>
    <w:p w:rsidR="00745737" w:rsidRDefault="00745737" w:rsidP="00D52093">
      <w:pPr>
        <w:pStyle w:val="Popis"/>
        <w:keepNext/>
        <w:spacing w:after="0"/>
      </w:pPr>
    </w:p>
    <w:tbl>
      <w:tblPr>
        <w:tblW w:w="4638" w:type="pct"/>
        <w:tblLayout w:type="fixed"/>
        <w:tblCellMar>
          <w:left w:w="70" w:type="dxa"/>
          <w:right w:w="70" w:type="dxa"/>
        </w:tblCellMar>
        <w:tblLook w:val="04A0" w:firstRow="1" w:lastRow="0" w:firstColumn="1" w:lastColumn="0" w:noHBand="0" w:noVBand="1"/>
      </w:tblPr>
      <w:tblGrid>
        <w:gridCol w:w="6115"/>
        <w:gridCol w:w="973"/>
        <w:gridCol w:w="656"/>
        <w:gridCol w:w="15"/>
        <w:gridCol w:w="656"/>
      </w:tblGrid>
      <w:tr w:rsidR="004D284D" w:rsidRPr="00F95794" w:rsidTr="004D284D">
        <w:trPr>
          <w:trHeight w:val="315"/>
        </w:trPr>
        <w:tc>
          <w:tcPr>
            <w:tcW w:w="4610" w:type="pct"/>
            <w:gridSpan w:val="4"/>
            <w:tcBorders>
              <w:top w:val="nil"/>
              <w:left w:val="nil"/>
              <w:bottom w:val="single" w:sz="4" w:space="0" w:color="auto"/>
              <w:right w:val="nil"/>
            </w:tcBorders>
            <w:shd w:val="clear" w:color="auto" w:fill="auto"/>
            <w:noWrap/>
            <w:vAlign w:val="center"/>
            <w:hideMark/>
          </w:tcPr>
          <w:p w:rsidR="004D284D" w:rsidRPr="00F95794" w:rsidRDefault="004D284D" w:rsidP="00D52093">
            <w:pPr>
              <w:spacing w:after="0" w:line="240" w:lineRule="auto"/>
              <w:rPr>
                <w:rFonts w:ascii="Times New Roman" w:eastAsia="Times New Roman" w:hAnsi="Times New Roman" w:cs="Times New Roman"/>
                <w:b/>
                <w:bCs/>
                <w:color w:val="5B9BD5"/>
                <w:sz w:val="20"/>
                <w:szCs w:val="20"/>
                <w:lang w:eastAsia="sk-SK"/>
              </w:rPr>
            </w:pPr>
            <w:bookmarkStart w:id="113" w:name="_Toc84845258"/>
            <w:bookmarkStart w:id="114" w:name="RANGE!B3"/>
            <w:r w:rsidRPr="00745737">
              <w:rPr>
                <w:rFonts w:ascii="Times New Roman" w:hAnsi="Times New Roman" w:cs="Times New Roman"/>
                <w:b/>
                <w:color w:val="5B9BD5" w:themeColor="accent1"/>
                <w:sz w:val="20"/>
                <w:szCs w:val="20"/>
              </w:rPr>
              <w:t xml:space="preserve">Tabuľka </w:t>
            </w:r>
            <w:r w:rsidRPr="00745737">
              <w:rPr>
                <w:rFonts w:ascii="Times New Roman" w:hAnsi="Times New Roman" w:cs="Times New Roman"/>
                <w:b/>
                <w:color w:val="5B9BD5" w:themeColor="accent1"/>
                <w:sz w:val="20"/>
                <w:szCs w:val="20"/>
              </w:rPr>
              <w:fldChar w:fldCharType="begin"/>
            </w:r>
            <w:r w:rsidRPr="00745737">
              <w:rPr>
                <w:rFonts w:ascii="Times New Roman" w:hAnsi="Times New Roman" w:cs="Times New Roman"/>
                <w:b/>
                <w:color w:val="5B9BD5" w:themeColor="accent1"/>
                <w:sz w:val="20"/>
                <w:szCs w:val="20"/>
              </w:rPr>
              <w:instrText xml:space="preserve"> SEQ Tabuľka \* ARABIC </w:instrText>
            </w:r>
            <w:r w:rsidRPr="00745737">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34</w:t>
            </w:r>
            <w:r w:rsidRPr="00745737">
              <w:rPr>
                <w:rFonts w:ascii="Times New Roman" w:hAnsi="Times New Roman" w:cs="Times New Roman"/>
                <w:b/>
                <w:color w:val="5B9BD5" w:themeColor="accent1"/>
                <w:sz w:val="20"/>
                <w:szCs w:val="20"/>
              </w:rPr>
              <w:fldChar w:fldCharType="end"/>
            </w:r>
            <w:r w:rsidRPr="00745737">
              <w:rPr>
                <w:rFonts w:ascii="Times New Roman" w:hAnsi="Times New Roman" w:cs="Times New Roman"/>
                <w:b/>
                <w:color w:val="5B9BD5" w:themeColor="accent1"/>
                <w:sz w:val="20"/>
                <w:szCs w:val="20"/>
              </w:rPr>
              <w:t xml:space="preserve"> </w:t>
            </w:r>
            <w:r w:rsidRPr="00745737">
              <w:rPr>
                <w:rFonts w:ascii="Times New Roman" w:eastAsia="Times New Roman" w:hAnsi="Times New Roman" w:cs="Times New Roman"/>
                <w:b/>
                <w:bCs/>
                <w:color w:val="5B9BD5" w:themeColor="accent1"/>
                <w:sz w:val="20"/>
                <w:szCs w:val="20"/>
                <w:lang w:eastAsia="sk-SK"/>
              </w:rPr>
              <w:t xml:space="preserve">- Výdavky </w:t>
            </w:r>
            <w:r w:rsidRPr="00F95794">
              <w:rPr>
                <w:rFonts w:ascii="Times New Roman" w:eastAsia="Times New Roman" w:hAnsi="Times New Roman" w:cs="Times New Roman"/>
                <w:b/>
                <w:bCs/>
                <w:color w:val="5B9BD5"/>
                <w:sz w:val="20"/>
                <w:szCs w:val="20"/>
                <w:lang w:eastAsia="sk-SK"/>
              </w:rPr>
              <w:t>na zabezpečenie vykonávania všeobecne prospešných služieb</w:t>
            </w:r>
            <w:bookmarkEnd w:id="113"/>
            <w:r w:rsidRPr="00F95794">
              <w:rPr>
                <w:rFonts w:ascii="Times New Roman" w:eastAsia="Times New Roman" w:hAnsi="Times New Roman" w:cs="Times New Roman"/>
                <w:b/>
                <w:bCs/>
                <w:color w:val="5B9BD5"/>
                <w:sz w:val="20"/>
                <w:szCs w:val="20"/>
                <w:lang w:eastAsia="sk-SK"/>
              </w:rPr>
              <w:t xml:space="preserve"> </w:t>
            </w:r>
            <w:bookmarkEnd w:id="114"/>
          </w:p>
        </w:tc>
        <w:tc>
          <w:tcPr>
            <w:tcW w:w="390" w:type="pct"/>
            <w:tcBorders>
              <w:top w:val="nil"/>
              <w:left w:val="nil"/>
              <w:bottom w:val="single" w:sz="4" w:space="0" w:color="auto"/>
              <w:right w:val="nil"/>
            </w:tcBorders>
            <w:shd w:val="clear" w:color="auto" w:fill="auto"/>
            <w:noWrap/>
            <w:vAlign w:val="bottom"/>
            <w:hideMark/>
          </w:tcPr>
          <w:p w:rsidR="004D284D" w:rsidRPr="00F95794" w:rsidRDefault="004D284D" w:rsidP="00D52093">
            <w:pPr>
              <w:spacing w:after="0" w:line="240" w:lineRule="auto"/>
              <w:rPr>
                <w:rFonts w:ascii="Times New Roman" w:eastAsia="Times New Roman" w:hAnsi="Times New Roman" w:cs="Times New Roman"/>
                <w:b/>
                <w:bCs/>
                <w:color w:val="5B9BD5"/>
                <w:sz w:val="20"/>
                <w:szCs w:val="20"/>
                <w:lang w:eastAsia="sk-SK"/>
              </w:rPr>
            </w:pPr>
          </w:p>
        </w:tc>
      </w:tr>
      <w:tr w:rsidR="004D284D" w:rsidRPr="00F95794" w:rsidTr="004D284D">
        <w:trPr>
          <w:trHeight w:val="315"/>
        </w:trPr>
        <w:tc>
          <w:tcPr>
            <w:tcW w:w="3633" w:type="pct"/>
            <w:tcBorders>
              <w:top w:val="single" w:sz="4" w:space="0" w:color="auto"/>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(v tis. eur)</w:t>
            </w:r>
          </w:p>
        </w:tc>
        <w:tc>
          <w:tcPr>
            <w:tcW w:w="578" w:type="pct"/>
            <w:tcBorders>
              <w:top w:val="single" w:sz="4" w:space="0" w:color="auto"/>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2022 N</w:t>
            </w:r>
          </w:p>
        </w:tc>
        <w:tc>
          <w:tcPr>
            <w:tcW w:w="399" w:type="pct"/>
            <w:gridSpan w:val="2"/>
            <w:tcBorders>
              <w:top w:val="single" w:sz="4" w:space="0" w:color="auto"/>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2023 N</w:t>
            </w:r>
          </w:p>
        </w:tc>
        <w:tc>
          <w:tcPr>
            <w:tcW w:w="390" w:type="pct"/>
            <w:tcBorders>
              <w:top w:val="single" w:sz="4" w:space="0" w:color="auto"/>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2024 N</w:t>
            </w:r>
          </w:p>
        </w:tc>
      </w:tr>
      <w:tr w:rsidR="004D284D" w:rsidRPr="00F95794" w:rsidTr="004D284D">
        <w:trPr>
          <w:trHeight w:val="300"/>
        </w:trPr>
        <w:tc>
          <w:tcPr>
            <w:tcW w:w="3633" w:type="pct"/>
            <w:tcBorders>
              <w:top w:val="single" w:sz="4" w:space="0" w:color="auto"/>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Výdavky spolu</w:t>
            </w:r>
          </w:p>
        </w:tc>
        <w:tc>
          <w:tcPr>
            <w:tcW w:w="578" w:type="pct"/>
            <w:tcBorders>
              <w:top w:val="single" w:sz="4" w:space="0" w:color="auto"/>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612474">
              <w:rPr>
                <w:rFonts w:ascii="Times New Roman" w:eastAsia="Times New Roman" w:hAnsi="Times New Roman" w:cs="Times New Roman"/>
                <w:b/>
                <w:bCs/>
                <w:color w:val="000000"/>
                <w:sz w:val="14"/>
                <w:szCs w:val="14"/>
                <w:lang w:eastAsia="sk-SK"/>
              </w:rPr>
              <w:t>365 354</w:t>
            </w:r>
          </w:p>
        </w:tc>
        <w:tc>
          <w:tcPr>
            <w:tcW w:w="399" w:type="pct"/>
            <w:gridSpan w:val="2"/>
            <w:tcBorders>
              <w:top w:val="single" w:sz="4" w:space="0" w:color="auto"/>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356 058</w:t>
            </w:r>
          </w:p>
        </w:tc>
        <w:tc>
          <w:tcPr>
            <w:tcW w:w="390" w:type="pct"/>
            <w:tcBorders>
              <w:top w:val="single" w:sz="4" w:space="0" w:color="auto"/>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341 940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Tvorba a ochrana životného prostredia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15 663</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15 663</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15 663</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Ochrana kvality a množstva povrchových a podzemných vôd</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1 486</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1 486</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1 486</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Ochrana pred povodňami</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2 950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2 950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2 950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Kvalita ovzdušia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3 200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3 200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3 200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Druhová a územná ochrana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8 028</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8 028</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8 028</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Ochrana zdravia obyvateľstva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65 303</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65 305</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65 304</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Kontrola prenosných chorôb</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7 532</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7 532</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7 532</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Ochrana zdravia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56 664</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56 666</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56 665</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Výchova k zdraviu</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1 107</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1 107</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1 107</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Ochrana a obnova kultúrnych hodnôt, podpora umeleckej tvorby a rozvoj športu</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230 769</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223 044</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208 927</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Šport pre všetkých, školský a univerzitný šport</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1 000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1 000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1 000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Uznané športy</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54 200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54 200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54 200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Divadlá a divadelná činnosť</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36 675</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39 255</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41 064</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Hudba, koncertná činnosť a umelecké súbory</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17 571</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17 571</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17 571</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Výtvarné umenie, fotografia, architektúra a dizajn</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2 136</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2 136</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2 136</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Knižnice a knižničná činnosť</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15 795</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15 799</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15 797</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Múzeá a galérie</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48 255</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37 667</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21 432</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Osvetová činnosť a tradičná ľudová kultúra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4 882</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4 882</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4 882</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Literatúra a knižná kultúra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848</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848</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848</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Obnovme si svoj dom</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12 016</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12 016</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12 016</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Podpora návštevnosti kultúrnych podujatí</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2 500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2 500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2 500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Kultúra znevýhodnených skupín</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980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980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980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Podpora miestnej a regionálnej kultúry</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500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500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500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Príspevok Audiovizuálnemu fondu</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12 010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12 290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12 600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Systematická obnova audiovizuálneho dedičstva realizovaná SFÚ</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1 401</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1 401</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1 401</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Príspevok Fondu na podporu umenia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20 000</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20 000</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20 000</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Vzdelávanie a výchova</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53 619</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52 045</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b/>
                <w:bCs/>
                <w:color w:val="000000"/>
                <w:sz w:val="14"/>
                <w:szCs w:val="14"/>
                <w:lang w:eastAsia="sk-SK"/>
              </w:rPr>
            </w:pPr>
            <w:r w:rsidRPr="00F95794">
              <w:rPr>
                <w:rFonts w:ascii="Times New Roman" w:eastAsia="Times New Roman" w:hAnsi="Times New Roman" w:cs="Times New Roman"/>
                <w:b/>
                <w:bCs/>
                <w:color w:val="000000"/>
                <w:sz w:val="14"/>
                <w:szCs w:val="14"/>
                <w:lang w:eastAsia="sk-SK"/>
              </w:rPr>
              <w:t>52 045</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Sociálne štipendiá</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11 941</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11 941</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11 941</w:t>
            </w:r>
          </w:p>
        </w:tc>
      </w:tr>
      <w:tr w:rsidR="004D284D" w:rsidRPr="00F95794" w:rsidTr="004D284D">
        <w:trPr>
          <w:trHeight w:val="300"/>
        </w:trPr>
        <w:tc>
          <w:tcPr>
            <w:tcW w:w="3633"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Motivačné štipendiá</w:t>
            </w:r>
          </w:p>
        </w:tc>
        <w:tc>
          <w:tcPr>
            <w:tcW w:w="578"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9 901</w:t>
            </w:r>
          </w:p>
        </w:tc>
        <w:tc>
          <w:tcPr>
            <w:tcW w:w="399" w:type="pct"/>
            <w:gridSpan w:val="2"/>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9 901</w:t>
            </w:r>
          </w:p>
        </w:tc>
        <w:tc>
          <w:tcPr>
            <w:tcW w:w="390" w:type="pct"/>
            <w:tcBorders>
              <w:top w:val="nil"/>
              <w:left w:val="nil"/>
              <w:bottom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9 901</w:t>
            </w:r>
          </w:p>
        </w:tc>
      </w:tr>
      <w:tr w:rsidR="004D284D" w:rsidRPr="00F95794" w:rsidTr="004D284D">
        <w:trPr>
          <w:trHeight w:val="300"/>
        </w:trPr>
        <w:tc>
          <w:tcPr>
            <w:tcW w:w="3633" w:type="pct"/>
            <w:tcBorders>
              <w:top w:val="nil"/>
              <w:left w:val="nil"/>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Podpora stravovania, ubytovania, športových a kultúrnych aktivít študentov a pastoračných centier</w:t>
            </w:r>
          </w:p>
        </w:tc>
        <w:tc>
          <w:tcPr>
            <w:tcW w:w="578" w:type="pct"/>
            <w:tcBorders>
              <w:top w:val="nil"/>
              <w:left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26 822</w:t>
            </w:r>
          </w:p>
        </w:tc>
        <w:tc>
          <w:tcPr>
            <w:tcW w:w="399" w:type="pct"/>
            <w:gridSpan w:val="2"/>
            <w:tcBorders>
              <w:top w:val="nil"/>
              <w:left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25 248</w:t>
            </w:r>
          </w:p>
        </w:tc>
        <w:tc>
          <w:tcPr>
            <w:tcW w:w="390" w:type="pct"/>
            <w:tcBorders>
              <w:top w:val="nil"/>
              <w:left w:val="nil"/>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25 248</w:t>
            </w:r>
          </w:p>
        </w:tc>
      </w:tr>
      <w:tr w:rsidR="004D284D" w:rsidRPr="00F95794" w:rsidTr="004D284D">
        <w:trPr>
          <w:trHeight w:val="315"/>
        </w:trPr>
        <w:tc>
          <w:tcPr>
            <w:tcW w:w="3633" w:type="pct"/>
            <w:tcBorders>
              <w:top w:val="nil"/>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Podpora detí a mládeže</w:t>
            </w:r>
          </w:p>
        </w:tc>
        <w:tc>
          <w:tcPr>
            <w:tcW w:w="578" w:type="pct"/>
            <w:tcBorders>
              <w:top w:val="nil"/>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4 955</w:t>
            </w:r>
          </w:p>
        </w:tc>
        <w:tc>
          <w:tcPr>
            <w:tcW w:w="399" w:type="pct"/>
            <w:gridSpan w:val="2"/>
            <w:tcBorders>
              <w:top w:val="nil"/>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4 955</w:t>
            </w:r>
          </w:p>
        </w:tc>
        <w:tc>
          <w:tcPr>
            <w:tcW w:w="390" w:type="pct"/>
            <w:tcBorders>
              <w:top w:val="nil"/>
              <w:left w:val="nil"/>
              <w:bottom w:val="single" w:sz="4" w:space="0" w:color="auto"/>
              <w:right w:val="nil"/>
            </w:tcBorders>
            <w:shd w:val="clear" w:color="auto" w:fill="auto"/>
            <w:noWrap/>
            <w:vAlign w:val="center"/>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r w:rsidRPr="00F95794">
              <w:rPr>
                <w:rFonts w:ascii="Times New Roman" w:eastAsia="Times New Roman" w:hAnsi="Times New Roman" w:cs="Times New Roman"/>
                <w:color w:val="000000"/>
                <w:sz w:val="14"/>
                <w:szCs w:val="14"/>
                <w:lang w:eastAsia="sk-SK"/>
              </w:rPr>
              <w:t>4 955</w:t>
            </w:r>
          </w:p>
        </w:tc>
      </w:tr>
      <w:tr w:rsidR="004D284D" w:rsidRPr="004D284D" w:rsidTr="004D284D">
        <w:trPr>
          <w:gridAfter w:val="2"/>
          <w:wAfter w:w="399" w:type="pct"/>
          <w:trHeight w:val="300"/>
        </w:trPr>
        <w:tc>
          <w:tcPr>
            <w:tcW w:w="3633" w:type="pct"/>
            <w:tcBorders>
              <w:top w:val="single" w:sz="4" w:space="0" w:color="auto"/>
              <w:left w:val="nil"/>
              <w:bottom w:val="nil"/>
              <w:right w:val="nil"/>
            </w:tcBorders>
            <w:shd w:val="clear" w:color="auto" w:fill="auto"/>
            <w:noWrap/>
            <w:vAlign w:val="bottom"/>
            <w:hideMark/>
          </w:tcPr>
          <w:p w:rsidR="004D284D" w:rsidRPr="00F95794" w:rsidRDefault="004D284D" w:rsidP="00AA17E3">
            <w:pPr>
              <w:spacing w:after="0" w:line="240" w:lineRule="auto"/>
              <w:jc w:val="right"/>
              <w:rPr>
                <w:rFonts w:ascii="Times New Roman" w:eastAsia="Times New Roman" w:hAnsi="Times New Roman" w:cs="Times New Roman"/>
                <w:color w:val="000000"/>
                <w:sz w:val="14"/>
                <w:szCs w:val="14"/>
                <w:lang w:eastAsia="sk-SK"/>
              </w:rPr>
            </w:pPr>
          </w:p>
        </w:tc>
        <w:tc>
          <w:tcPr>
            <w:tcW w:w="578" w:type="pct"/>
            <w:tcBorders>
              <w:top w:val="single" w:sz="4" w:space="0" w:color="auto"/>
              <w:left w:val="nil"/>
              <w:bottom w:val="nil"/>
              <w:right w:val="nil"/>
            </w:tcBorders>
            <w:shd w:val="clear" w:color="auto" w:fill="auto"/>
            <w:noWrap/>
            <w:vAlign w:val="bottom"/>
            <w:hideMark/>
          </w:tcPr>
          <w:p w:rsidR="004D284D" w:rsidRPr="00F95794" w:rsidRDefault="004D284D" w:rsidP="00AA17E3">
            <w:pPr>
              <w:spacing w:after="0" w:line="240" w:lineRule="auto"/>
              <w:rPr>
                <w:rFonts w:ascii="Times New Roman" w:eastAsia="Times New Roman" w:hAnsi="Times New Roman" w:cs="Times New Roman"/>
                <w:sz w:val="14"/>
                <w:szCs w:val="14"/>
                <w:lang w:eastAsia="sk-SK"/>
              </w:rPr>
            </w:pPr>
          </w:p>
        </w:tc>
        <w:tc>
          <w:tcPr>
            <w:tcW w:w="390" w:type="pct"/>
            <w:tcBorders>
              <w:top w:val="single" w:sz="4" w:space="0" w:color="auto"/>
              <w:left w:val="nil"/>
              <w:bottom w:val="nil"/>
              <w:right w:val="nil"/>
            </w:tcBorders>
          </w:tcPr>
          <w:p w:rsidR="004D284D" w:rsidRPr="00F95794" w:rsidRDefault="004D284D" w:rsidP="00AA17E3">
            <w:pPr>
              <w:spacing w:after="0" w:line="240" w:lineRule="auto"/>
              <w:jc w:val="right"/>
              <w:rPr>
                <w:rFonts w:ascii="Times New Roman" w:eastAsia="Times New Roman" w:hAnsi="Times New Roman" w:cs="Times New Roman"/>
                <w:i/>
                <w:iCs/>
                <w:color w:val="000000"/>
                <w:sz w:val="14"/>
                <w:szCs w:val="14"/>
                <w:lang w:eastAsia="sk-SK"/>
              </w:rPr>
            </w:pPr>
          </w:p>
        </w:tc>
      </w:tr>
    </w:tbl>
    <w:p w:rsidR="004D284D" w:rsidRDefault="004D284D" w:rsidP="00192C79">
      <w:pPr>
        <w:pStyle w:val="Zkladntext"/>
        <w:rPr>
          <w:rFonts w:ascii="Times New Roman" w:hAnsi="Times New Roman" w:cs="Times New Roman"/>
          <w:b/>
          <w:color w:val="5B9BD5" w:themeColor="accent1"/>
        </w:rPr>
      </w:pPr>
    </w:p>
    <w:p w:rsidR="007C2BDC" w:rsidRPr="00192C79" w:rsidRDefault="007C2BDC" w:rsidP="00192C79">
      <w:pPr>
        <w:pStyle w:val="Zkladntext"/>
        <w:rPr>
          <w:rFonts w:ascii="Times New Roman" w:hAnsi="Times New Roman" w:cs="Times New Roman"/>
          <w:b/>
          <w:color w:val="5B9BD5" w:themeColor="accent1"/>
        </w:rPr>
      </w:pPr>
      <w:r w:rsidRPr="00192C79">
        <w:rPr>
          <w:rFonts w:ascii="Times New Roman" w:hAnsi="Times New Roman" w:cs="Times New Roman"/>
          <w:b/>
          <w:color w:val="5B9BD5" w:themeColor="accent1"/>
        </w:rPr>
        <w:t xml:space="preserve">3.2.3.2. Príjmy štátneho rozpočtu z grantov a transferov </w:t>
      </w:r>
    </w:p>
    <w:p w:rsidR="007C2BDC" w:rsidRPr="00CF001A" w:rsidRDefault="007C2BDC" w:rsidP="007C2BDC">
      <w:pPr>
        <w:widowControl w:val="0"/>
        <w:spacing w:after="0"/>
        <w:jc w:val="both"/>
        <w:rPr>
          <w:rFonts w:ascii="Times New Roman" w:eastAsia="NeueHaasGroteskText W02" w:hAnsi="Times New Roman" w:cs="Times New Roman"/>
          <w:sz w:val="24"/>
          <w:szCs w:val="20"/>
        </w:rPr>
      </w:pPr>
    </w:p>
    <w:p w:rsidR="007C2BDC" w:rsidRPr="00446DDA" w:rsidRDefault="007C2BDC" w:rsidP="007C2BDC">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V rámci tejto skupiny príjmov štátneho rozpočtu sa triedia tuzemské a zahraničné granty a transfery, ktoré môžu byť určené na financovanie tak bežných, ako aj kapitálových potrieb štátu.</w:t>
      </w:r>
    </w:p>
    <w:p w:rsidR="007C2BDC" w:rsidRDefault="007C2BDC" w:rsidP="007C2BDC">
      <w:pPr>
        <w:widowControl w:val="0"/>
        <w:spacing w:after="0"/>
        <w:jc w:val="both"/>
        <w:rPr>
          <w:rFonts w:ascii="Times New Roman" w:eastAsia="NeueHaasGroteskText W02" w:hAnsi="Times New Roman" w:cs="Times New Roman"/>
          <w:sz w:val="24"/>
          <w:szCs w:val="20"/>
        </w:rPr>
      </w:pPr>
    </w:p>
    <w:p w:rsidR="00745737" w:rsidRDefault="00745737" w:rsidP="007C2BDC">
      <w:pPr>
        <w:widowControl w:val="0"/>
        <w:spacing w:after="0"/>
        <w:jc w:val="both"/>
        <w:rPr>
          <w:rFonts w:ascii="Times New Roman" w:eastAsia="NeueHaasGroteskText W02" w:hAnsi="Times New Roman" w:cs="Times New Roman"/>
          <w:sz w:val="24"/>
          <w:szCs w:val="20"/>
        </w:rPr>
      </w:pPr>
    </w:p>
    <w:p w:rsidR="007C2BDC" w:rsidRPr="00446DDA" w:rsidRDefault="007C2BDC" w:rsidP="007C2BDC">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Vývoj príjmov z grantov a transfer</w:t>
      </w:r>
      <w:r w:rsidR="00192C79">
        <w:rPr>
          <w:rFonts w:ascii="Times New Roman" w:eastAsia="NeueHaasGroteskText W02" w:hAnsi="Times New Roman" w:cs="Times New Roman"/>
          <w:sz w:val="24"/>
          <w:szCs w:val="20"/>
        </w:rPr>
        <w:t>ov zobrazuje nasledovná tabuľka.</w:t>
      </w:r>
    </w:p>
    <w:p w:rsidR="007C2BDC" w:rsidRPr="00CF001A" w:rsidRDefault="007C2BDC" w:rsidP="007C2BDC">
      <w:pPr>
        <w:widowControl w:val="0"/>
        <w:spacing w:after="0"/>
        <w:jc w:val="both"/>
        <w:rPr>
          <w:rFonts w:ascii="Times New Roman" w:eastAsia="NeueHaasGroteskText W02" w:hAnsi="Times New Roman" w:cs="Times New Roman"/>
          <w:sz w:val="24"/>
          <w:szCs w:val="20"/>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15" w:name="_Toc84845259"/>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35</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Príjmy štátneho rozpočtu z grantov a transferov</w:t>
      </w:r>
      <w:bookmarkEnd w:id="115"/>
    </w:p>
    <w:tbl>
      <w:tblPr>
        <w:tblW w:w="9072" w:type="dxa"/>
        <w:tblCellMar>
          <w:left w:w="70" w:type="dxa"/>
          <w:right w:w="70" w:type="dxa"/>
        </w:tblCellMar>
        <w:tblLook w:val="04A0" w:firstRow="1" w:lastRow="0" w:firstColumn="1" w:lastColumn="0" w:noHBand="0" w:noVBand="1"/>
      </w:tblPr>
      <w:tblGrid>
        <w:gridCol w:w="2155"/>
        <w:gridCol w:w="989"/>
        <w:gridCol w:w="988"/>
        <w:gridCol w:w="988"/>
        <w:gridCol w:w="988"/>
        <w:gridCol w:w="988"/>
        <w:gridCol w:w="988"/>
        <w:gridCol w:w="988"/>
      </w:tblGrid>
      <w:tr w:rsidR="007C2BDC" w:rsidRPr="00714661" w:rsidTr="00192C79">
        <w:trPr>
          <w:trHeight w:val="289"/>
        </w:trPr>
        <w:tc>
          <w:tcPr>
            <w:tcW w:w="2155"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v tis. eur</w:t>
            </w:r>
          </w:p>
        </w:tc>
        <w:tc>
          <w:tcPr>
            <w:tcW w:w="989"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2019 S</w:t>
            </w:r>
          </w:p>
        </w:tc>
        <w:tc>
          <w:tcPr>
            <w:tcW w:w="98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2020 S</w:t>
            </w:r>
          </w:p>
        </w:tc>
        <w:tc>
          <w:tcPr>
            <w:tcW w:w="98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xml:space="preserve"> 2021 R</w:t>
            </w:r>
          </w:p>
        </w:tc>
        <w:tc>
          <w:tcPr>
            <w:tcW w:w="98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2021 OS</w:t>
            </w:r>
          </w:p>
        </w:tc>
        <w:tc>
          <w:tcPr>
            <w:tcW w:w="98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2022 N</w:t>
            </w:r>
          </w:p>
        </w:tc>
        <w:tc>
          <w:tcPr>
            <w:tcW w:w="98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2023 N</w:t>
            </w:r>
          </w:p>
        </w:tc>
        <w:tc>
          <w:tcPr>
            <w:tcW w:w="98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2024 N</w:t>
            </w:r>
          </w:p>
        </w:tc>
      </w:tr>
      <w:tr w:rsidR="007C2BDC" w:rsidRPr="00714661" w:rsidTr="00192C79">
        <w:trPr>
          <w:trHeight w:val="289"/>
        </w:trPr>
        <w:tc>
          <w:tcPr>
            <w:tcW w:w="2155"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Granty a transfery</w:t>
            </w:r>
          </w:p>
        </w:tc>
        <w:tc>
          <w:tcPr>
            <w:tcW w:w="98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2 161 575</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2 588 586</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2 823 453</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2 763 640</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4 491 227</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5 952 038</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3 807 140</w:t>
            </w:r>
          </w:p>
        </w:tc>
      </w:tr>
      <w:tr w:rsidR="007C2BDC" w:rsidRPr="00714661" w:rsidTr="00192C79">
        <w:trPr>
          <w:trHeight w:val="289"/>
        </w:trPr>
        <w:tc>
          <w:tcPr>
            <w:tcW w:w="2155"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Tuzemské granty a transfery</w:t>
            </w:r>
          </w:p>
        </w:tc>
        <w:tc>
          <w:tcPr>
            <w:tcW w:w="98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34 631</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37 226</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40 922</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39 445</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41 254</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43 151</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44 929</w:t>
            </w:r>
          </w:p>
        </w:tc>
      </w:tr>
      <w:tr w:rsidR="007C2BDC" w:rsidRPr="00714661" w:rsidTr="00192C79">
        <w:trPr>
          <w:trHeight w:val="289"/>
        </w:trPr>
        <w:tc>
          <w:tcPr>
            <w:tcW w:w="2155"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Zahraničné granty a transfery</w:t>
            </w:r>
          </w:p>
        </w:tc>
        <w:tc>
          <w:tcPr>
            <w:tcW w:w="98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2 126 944</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2 551 360</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2 782 531</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2 724 195</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4 449 973</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5 908 887</w:t>
            </w:r>
          </w:p>
        </w:tc>
        <w:tc>
          <w:tcPr>
            <w:tcW w:w="98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3 762 211</w:t>
            </w:r>
          </w:p>
        </w:tc>
      </w:tr>
      <w:tr w:rsidR="007C2BDC" w:rsidRPr="00714661" w:rsidTr="00192C79">
        <w:trPr>
          <w:trHeight w:val="289"/>
        </w:trPr>
        <w:tc>
          <w:tcPr>
            <w:tcW w:w="2155"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z toho: Zahraničné transfery – prostriedky z rozpočtu EÚ</w:t>
            </w:r>
          </w:p>
        </w:tc>
        <w:tc>
          <w:tcPr>
            <w:tcW w:w="989"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2 126 921</w:t>
            </w:r>
          </w:p>
        </w:tc>
        <w:tc>
          <w:tcPr>
            <w:tcW w:w="98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2 551 329</w:t>
            </w:r>
          </w:p>
        </w:tc>
        <w:tc>
          <w:tcPr>
            <w:tcW w:w="98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2 452 531</w:t>
            </w:r>
          </w:p>
        </w:tc>
        <w:tc>
          <w:tcPr>
            <w:tcW w:w="98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2 724 195</w:t>
            </w:r>
          </w:p>
        </w:tc>
        <w:tc>
          <w:tcPr>
            <w:tcW w:w="98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4 449 973</w:t>
            </w:r>
          </w:p>
        </w:tc>
        <w:tc>
          <w:tcPr>
            <w:tcW w:w="98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5 908 887</w:t>
            </w:r>
          </w:p>
        </w:tc>
        <w:tc>
          <w:tcPr>
            <w:tcW w:w="98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i/>
                <w:iCs/>
                <w:color w:val="000000"/>
                <w:sz w:val="16"/>
                <w:szCs w:val="16"/>
                <w:lang w:eastAsia="sk-SK"/>
              </w:rPr>
            </w:pPr>
            <w:r w:rsidRPr="00714661">
              <w:rPr>
                <w:rFonts w:ascii="Times New Roman" w:eastAsia="Times New Roman" w:hAnsi="Times New Roman" w:cs="Times New Roman"/>
                <w:i/>
                <w:iCs/>
                <w:color w:val="000000"/>
                <w:sz w:val="16"/>
                <w:szCs w:val="16"/>
                <w:lang w:eastAsia="sk-SK"/>
              </w:rPr>
              <w:t>3 762 211</w:t>
            </w:r>
          </w:p>
        </w:tc>
      </w:tr>
    </w:tbl>
    <w:p w:rsidR="007C2BDC" w:rsidRPr="00CF001A" w:rsidRDefault="007C2BDC" w:rsidP="007C2BDC">
      <w:pPr>
        <w:spacing w:after="0"/>
        <w:rPr>
          <w:rFonts w:ascii="Times New Roman" w:eastAsia="Calibri" w:hAnsi="Times New Roman" w:cs="Times New Roman"/>
          <w:i/>
          <w:sz w:val="16"/>
          <w:szCs w:val="16"/>
        </w:rPr>
      </w:pP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r>
      <w:r w:rsidRPr="00CF001A">
        <w:rPr>
          <w:rFonts w:ascii="Times New Roman" w:eastAsia="Calibri" w:hAnsi="Times New Roman" w:cs="Times New Roman"/>
          <w:sz w:val="16"/>
          <w:szCs w:val="16"/>
        </w:rPr>
        <w:tab/>
        <w:t xml:space="preserve">     </w:t>
      </w:r>
      <w:r w:rsidRPr="00CF001A">
        <w:rPr>
          <w:rFonts w:ascii="Times New Roman" w:eastAsia="Calibri" w:hAnsi="Times New Roman" w:cs="Times New Roman"/>
          <w:i/>
          <w:sz w:val="16"/>
          <w:szCs w:val="16"/>
        </w:rPr>
        <w:t>Zdroj: MF SR</w:t>
      </w:r>
    </w:p>
    <w:p w:rsidR="007C2BDC" w:rsidRPr="00CF001A" w:rsidRDefault="007C2BDC" w:rsidP="007C2BDC">
      <w:pPr>
        <w:spacing w:after="0"/>
        <w:jc w:val="both"/>
        <w:rPr>
          <w:rFonts w:ascii="Times New Roman" w:eastAsia="Calibri" w:hAnsi="Times New Roman" w:cs="Times New Roman"/>
          <w:sz w:val="24"/>
          <w:szCs w:val="24"/>
        </w:rPr>
      </w:pPr>
    </w:p>
    <w:p w:rsidR="007C2BDC" w:rsidRPr="00AF4492" w:rsidRDefault="007C2BDC" w:rsidP="007C2BDC">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V rámci </w:t>
      </w:r>
      <w:r w:rsidRPr="00446DDA">
        <w:rPr>
          <w:rFonts w:ascii="Times New Roman" w:eastAsia="Calibri" w:hAnsi="Times New Roman" w:cs="Times New Roman"/>
          <w:i/>
          <w:sz w:val="24"/>
          <w:szCs w:val="24"/>
        </w:rPr>
        <w:t>tuzemských grantov a transferov</w:t>
      </w:r>
      <w:r>
        <w:rPr>
          <w:rFonts w:ascii="Times New Roman" w:eastAsia="Calibri" w:hAnsi="Times New Roman" w:cs="Times New Roman"/>
          <w:sz w:val="24"/>
          <w:szCs w:val="24"/>
        </w:rPr>
        <w:t xml:space="preserve"> sa rozpočtujú</w:t>
      </w:r>
      <w:r w:rsidRPr="00446DDA">
        <w:rPr>
          <w:rFonts w:ascii="Times New Roman" w:eastAsia="Calibri" w:hAnsi="Times New Roman" w:cs="Times New Roman"/>
          <w:sz w:val="24"/>
          <w:szCs w:val="24"/>
        </w:rPr>
        <w:t xml:space="preserve"> tuzemské bežné transfery </w:t>
      </w:r>
      <w:r w:rsidRPr="00AF4492">
        <w:rPr>
          <w:rFonts w:ascii="Times New Roman" w:eastAsia="Calibri" w:hAnsi="Times New Roman" w:cs="Times New Roman"/>
          <w:sz w:val="24"/>
          <w:szCs w:val="24"/>
        </w:rPr>
        <w:t>v rámci ve</w:t>
      </w:r>
      <w:r>
        <w:rPr>
          <w:rFonts w:ascii="Times New Roman" w:eastAsia="Calibri" w:hAnsi="Times New Roman" w:cs="Times New Roman"/>
          <w:sz w:val="24"/>
          <w:szCs w:val="24"/>
        </w:rPr>
        <w:t>rejnej správy, a to</w:t>
      </w:r>
      <w:r w:rsidRPr="00AF4492">
        <w:rPr>
          <w:rFonts w:ascii="Times New Roman" w:eastAsia="Calibri" w:hAnsi="Times New Roman" w:cs="Times New Roman"/>
          <w:sz w:val="24"/>
          <w:szCs w:val="24"/>
        </w:rPr>
        <w:t xml:space="preserve"> najmä:</w:t>
      </w:r>
    </w:p>
    <w:p w:rsidR="007C2BDC" w:rsidRPr="00AF4492" w:rsidRDefault="007C2BDC" w:rsidP="007C2BDC">
      <w:pPr>
        <w:pStyle w:val="Odsekzoznamu"/>
        <w:widowControl w:val="0"/>
        <w:numPr>
          <w:ilvl w:val="0"/>
          <w:numId w:val="8"/>
        </w:numPr>
        <w:jc w:val="both"/>
        <w:rPr>
          <w:rFonts w:ascii="Times New Roman" w:eastAsia="Calibri" w:hAnsi="Times New Roman" w:cs="Times New Roman"/>
        </w:rPr>
      </w:pPr>
      <w:r w:rsidRPr="00AF4492">
        <w:rPr>
          <w:rFonts w:ascii="Times New Roman" w:eastAsia="Calibri" w:hAnsi="Times New Roman" w:cs="Times New Roman"/>
        </w:rPr>
        <w:t>transfery zo zdravotných poisťovní, ktoré sa týkajú príspevkov na činnosť operačných stredísk záchrannej zdravotnej služby a na činnosť Národného centra zdravotníckych informácií,</w:t>
      </w:r>
    </w:p>
    <w:p w:rsidR="007C2BDC" w:rsidRPr="00CF25EE" w:rsidRDefault="007C2BDC" w:rsidP="007C2BDC">
      <w:pPr>
        <w:pStyle w:val="Odsekzoznamu"/>
        <w:widowControl w:val="0"/>
        <w:numPr>
          <w:ilvl w:val="0"/>
          <w:numId w:val="8"/>
        </w:numPr>
        <w:jc w:val="both"/>
        <w:rPr>
          <w:rFonts w:ascii="Times New Roman" w:eastAsia="Calibri" w:hAnsi="Times New Roman" w:cs="Times New Roman"/>
        </w:rPr>
      </w:pPr>
      <w:r w:rsidRPr="00CF25EE">
        <w:rPr>
          <w:rFonts w:ascii="Times New Roman" w:eastAsia="Calibri" w:hAnsi="Times New Roman" w:cs="Times New Roman"/>
        </w:rPr>
        <w:t>transfer zo Slovenského pozemkového fondu do kapitoly Ministerstva pôdohospodárstva a rozvoja vidieka SR určený na zabezpečenie projektov pozemkových úprav v zmysle zákona č. 330/1991 Zb. o pozemkových úpravách, usporiadaní pozemkového vlastníctva, pozemkovýc</w:t>
      </w:r>
      <w:r>
        <w:rPr>
          <w:rFonts w:ascii="Times New Roman" w:eastAsia="Calibri" w:hAnsi="Times New Roman" w:cs="Times New Roman"/>
        </w:rPr>
        <w:t>h úradoch, pozemkovom fonde a o pozemkových spoločenstvách.</w:t>
      </w:r>
    </w:p>
    <w:p w:rsidR="007C2BDC" w:rsidRPr="00446DDA" w:rsidRDefault="007C2BDC" w:rsidP="007C2BDC">
      <w:pPr>
        <w:spacing w:after="0"/>
        <w:jc w:val="both"/>
        <w:rPr>
          <w:rFonts w:ascii="Times New Roman" w:eastAsia="Calibri" w:hAnsi="Times New Roman" w:cs="Times New Roman"/>
          <w:sz w:val="24"/>
          <w:szCs w:val="24"/>
        </w:rPr>
      </w:pPr>
    </w:p>
    <w:p w:rsidR="007C2BDC" w:rsidRPr="008671A8" w:rsidRDefault="007C2BDC" w:rsidP="007C2BDC">
      <w:pPr>
        <w:spacing w:after="0"/>
        <w:jc w:val="both"/>
        <w:rPr>
          <w:rFonts w:ascii="Times New Roman" w:eastAsia="Calibri" w:hAnsi="Times New Roman" w:cs="Times New Roman"/>
          <w:sz w:val="24"/>
          <w:szCs w:val="24"/>
        </w:rPr>
      </w:pPr>
      <w:r w:rsidRPr="004D5CAD">
        <w:rPr>
          <w:rFonts w:ascii="Times New Roman" w:hAnsi="Times New Roman"/>
          <w:i/>
          <w:iCs/>
          <w:sz w:val="24"/>
          <w:szCs w:val="24"/>
        </w:rPr>
        <w:t>Zahraničné transfery</w:t>
      </w:r>
      <w:r w:rsidRPr="004D5CAD">
        <w:rPr>
          <w:rFonts w:ascii="Times New Roman" w:hAnsi="Times New Roman"/>
          <w:sz w:val="24"/>
          <w:szCs w:val="24"/>
        </w:rPr>
        <w:t xml:space="preserve"> predstavujú prostriedky zo všeobecného rozpočtu Európskej únie a prostriedky z Plánu obnovy a odolnosti. V rokoch 2022 až 2024 sa rozpočtujú prostriedky EÚ pre programy Partnerskej dohody v rámci 3. a 4. programového obdobia, Fondy pre oblasť vnútorných záležitostí 2021 - 2027, pre poľnohospodárske fondy v rámci 3. a 4. programového obdobia ako aj pre iniciatívu REACT-EU na riešenie následkov súvisiacich s pandémiou ochorenia COVID-19. Prostriedky z Plánu obnovy a odolnosti sú určené na financovanie reforiem a investícií v </w:t>
      </w:r>
      <w:r>
        <w:rPr>
          <w:rFonts w:ascii="Times New Roman" w:hAnsi="Times New Roman"/>
          <w:sz w:val="24"/>
          <w:szCs w:val="24"/>
        </w:rPr>
        <w:t>oblastiach verejných politík SR,</w:t>
      </w:r>
      <w:r w:rsidRPr="004D5CAD">
        <w:rPr>
          <w:rFonts w:ascii="Times New Roman" w:hAnsi="Times New Roman"/>
          <w:sz w:val="24"/>
          <w:szCs w:val="24"/>
        </w:rPr>
        <w:t xml:space="preserve"> ako sú zelená ekonomika, vzdelávanie, veda, výskum, inovácie, zdravie, efektívna verejná správa a digitalizácia.</w:t>
      </w:r>
    </w:p>
    <w:p w:rsidR="007C2BDC" w:rsidRPr="00F45023" w:rsidRDefault="007C2BDC" w:rsidP="007C2BDC">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4"/>
          <w:szCs w:val="24"/>
          <w:bdr w:val="nil"/>
          <w:lang w:eastAsia="sk-SK"/>
        </w:rPr>
      </w:pPr>
      <w:bookmarkStart w:id="116" w:name="_Toc53086362"/>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17" w:name="_Toc84845260"/>
      <w:bookmarkEnd w:id="116"/>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36</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Príjmy štátneho rozpočtu zo zahraničných transferov – prostriedkov z rozpočtu EÚ</w:t>
      </w:r>
      <w:bookmarkEnd w:id="117"/>
    </w:p>
    <w:tbl>
      <w:tblPr>
        <w:tblW w:w="9072" w:type="dxa"/>
        <w:tblCellMar>
          <w:left w:w="70" w:type="dxa"/>
          <w:right w:w="70" w:type="dxa"/>
        </w:tblCellMar>
        <w:tblLook w:val="04A0" w:firstRow="1" w:lastRow="0" w:firstColumn="1" w:lastColumn="0" w:noHBand="0" w:noVBand="1"/>
      </w:tblPr>
      <w:tblGrid>
        <w:gridCol w:w="2361"/>
        <w:gridCol w:w="958"/>
        <w:gridCol w:w="958"/>
        <w:gridCol w:w="959"/>
        <w:gridCol w:w="959"/>
        <w:gridCol w:w="959"/>
        <w:gridCol w:w="959"/>
        <w:gridCol w:w="959"/>
      </w:tblGrid>
      <w:tr w:rsidR="007C2BDC" w:rsidRPr="00714661" w:rsidTr="00192C79">
        <w:trPr>
          <w:trHeight w:val="289"/>
        </w:trPr>
        <w:tc>
          <w:tcPr>
            <w:tcW w:w="2361"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v tis. eur</w:t>
            </w:r>
          </w:p>
        </w:tc>
        <w:tc>
          <w:tcPr>
            <w:tcW w:w="95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2019 S</w:t>
            </w:r>
          </w:p>
        </w:tc>
        <w:tc>
          <w:tcPr>
            <w:tcW w:w="958"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2020 S</w:t>
            </w:r>
          </w:p>
        </w:tc>
        <w:tc>
          <w:tcPr>
            <w:tcW w:w="959"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 xml:space="preserve"> 2021 R</w:t>
            </w:r>
          </w:p>
        </w:tc>
        <w:tc>
          <w:tcPr>
            <w:tcW w:w="959"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2021 OS</w:t>
            </w:r>
          </w:p>
        </w:tc>
        <w:tc>
          <w:tcPr>
            <w:tcW w:w="959"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2022 N</w:t>
            </w:r>
          </w:p>
        </w:tc>
        <w:tc>
          <w:tcPr>
            <w:tcW w:w="959"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2023 N</w:t>
            </w:r>
          </w:p>
        </w:tc>
        <w:tc>
          <w:tcPr>
            <w:tcW w:w="959" w:type="dxa"/>
            <w:tcBorders>
              <w:top w:val="single" w:sz="4" w:space="0" w:color="auto"/>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2024 N</w:t>
            </w:r>
          </w:p>
        </w:tc>
      </w:tr>
      <w:tr w:rsidR="007C2BDC" w:rsidRPr="00714661" w:rsidTr="00192C79">
        <w:trPr>
          <w:trHeight w:val="289"/>
        </w:trPr>
        <w:tc>
          <w:tcPr>
            <w:tcW w:w="2361"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Zahraničné transfery</w:t>
            </w:r>
          </w:p>
        </w:tc>
        <w:tc>
          <w:tcPr>
            <w:tcW w:w="95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2 126 921</w:t>
            </w:r>
          </w:p>
        </w:tc>
        <w:tc>
          <w:tcPr>
            <w:tcW w:w="95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2 551 329</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2 452 531</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2 724 195</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4 449 973</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5 908 887</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b/>
                <w:bCs/>
                <w:color w:val="000000"/>
                <w:sz w:val="16"/>
                <w:szCs w:val="16"/>
                <w:lang w:eastAsia="sk-SK"/>
              </w:rPr>
            </w:pPr>
            <w:r w:rsidRPr="00714661">
              <w:rPr>
                <w:rFonts w:ascii="Times New Roman" w:eastAsia="Times New Roman" w:hAnsi="Times New Roman" w:cs="Times New Roman"/>
                <w:b/>
                <w:bCs/>
                <w:color w:val="000000"/>
                <w:sz w:val="16"/>
                <w:szCs w:val="16"/>
                <w:lang w:eastAsia="sk-SK"/>
              </w:rPr>
              <w:t>3 762 211</w:t>
            </w:r>
          </w:p>
        </w:tc>
      </w:tr>
      <w:tr w:rsidR="007C2BDC" w:rsidRPr="00714661" w:rsidTr="00192C79">
        <w:trPr>
          <w:trHeight w:val="289"/>
        </w:trPr>
        <w:tc>
          <w:tcPr>
            <w:tcW w:w="2361"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Prostriedky z rozpočtu EÚ pre 3. a 4. programové obdobie</w:t>
            </w:r>
          </w:p>
        </w:tc>
        <w:tc>
          <w:tcPr>
            <w:tcW w:w="95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2 126 921</w:t>
            </w:r>
          </w:p>
        </w:tc>
        <w:tc>
          <w:tcPr>
            <w:tcW w:w="958"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2 551 329</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2 452 531</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2 724 195</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3 148 001</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4 272 870</w:t>
            </w:r>
          </w:p>
        </w:tc>
        <w:tc>
          <w:tcPr>
            <w:tcW w:w="959" w:type="dxa"/>
            <w:tcBorders>
              <w:top w:val="nil"/>
              <w:left w:val="nil"/>
              <w:bottom w:val="nil"/>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2 107 038</w:t>
            </w:r>
          </w:p>
        </w:tc>
      </w:tr>
      <w:tr w:rsidR="007C2BDC" w:rsidRPr="00714661" w:rsidTr="00192C79">
        <w:trPr>
          <w:trHeight w:val="289"/>
        </w:trPr>
        <w:tc>
          <w:tcPr>
            <w:tcW w:w="2361"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Prostriedky z Plánu obnovy a odolnosti</w:t>
            </w:r>
          </w:p>
        </w:tc>
        <w:tc>
          <w:tcPr>
            <w:tcW w:w="95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center"/>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w:t>
            </w:r>
          </w:p>
        </w:tc>
        <w:tc>
          <w:tcPr>
            <w:tcW w:w="958"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center"/>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w:t>
            </w:r>
          </w:p>
        </w:tc>
        <w:tc>
          <w:tcPr>
            <w:tcW w:w="959"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center"/>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w:t>
            </w:r>
          </w:p>
        </w:tc>
        <w:tc>
          <w:tcPr>
            <w:tcW w:w="959"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center"/>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w:t>
            </w:r>
          </w:p>
        </w:tc>
        <w:tc>
          <w:tcPr>
            <w:tcW w:w="959"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1 301 972</w:t>
            </w:r>
          </w:p>
        </w:tc>
        <w:tc>
          <w:tcPr>
            <w:tcW w:w="959"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1 636 017</w:t>
            </w:r>
          </w:p>
        </w:tc>
        <w:tc>
          <w:tcPr>
            <w:tcW w:w="959" w:type="dxa"/>
            <w:tcBorders>
              <w:top w:val="nil"/>
              <w:left w:val="nil"/>
              <w:bottom w:val="single" w:sz="4" w:space="0" w:color="auto"/>
              <w:right w:val="nil"/>
            </w:tcBorders>
            <w:shd w:val="clear" w:color="auto" w:fill="auto"/>
            <w:noWrap/>
            <w:vAlign w:val="center"/>
            <w:hideMark/>
          </w:tcPr>
          <w:p w:rsidR="007C2BDC" w:rsidRPr="00714661" w:rsidRDefault="007C2BDC" w:rsidP="007C2BDC">
            <w:pPr>
              <w:spacing w:after="0" w:line="240" w:lineRule="auto"/>
              <w:jc w:val="right"/>
              <w:rPr>
                <w:rFonts w:ascii="Times New Roman" w:eastAsia="Times New Roman" w:hAnsi="Times New Roman" w:cs="Times New Roman"/>
                <w:color w:val="000000"/>
                <w:sz w:val="16"/>
                <w:szCs w:val="16"/>
                <w:lang w:eastAsia="sk-SK"/>
              </w:rPr>
            </w:pPr>
            <w:r w:rsidRPr="00714661">
              <w:rPr>
                <w:rFonts w:ascii="Times New Roman" w:eastAsia="Times New Roman" w:hAnsi="Times New Roman" w:cs="Times New Roman"/>
                <w:color w:val="000000"/>
                <w:sz w:val="16"/>
                <w:szCs w:val="16"/>
                <w:lang w:eastAsia="sk-SK"/>
              </w:rPr>
              <w:t>1 655 173</w:t>
            </w:r>
          </w:p>
        </w:tc>
      </w:tr>
    </w:tbl>
    <w:p w:rsidR="00AC031F" w:rsidRPr="00446DDA" w:rsidRDefault="007C2BDC" w:rsidP="00AC031F">
      <w:pPr>
        <w:spacing w:after="0"/>
        <w:rPr>
          <w:rFonts w:ascii="Times New Roman" w:eastAsia="Calibri" w:hAnsi="Times New Roman" w:cs="Times New Roman"/>
          <w:sz w:val="24"/>
          <w:szCs w:val="24"/>
        </w:rPr>
      </w:pP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r>
      <w:r w:rsidRPr="00CF001A">
        <w:rPr>
          <w:rFonts w:ascii="Times New Roman" w:hAnsi="Times New Roman" w:cs="Times New Roman"/>
          <w:sz w:val="24"/>
          <w:szCs w:val="24"/>
        </w:rPr>
        <w:tab/>
        <w:t xml:space="preserve">    </w:t>
      </w:r>
      <w:r w:rsidRPr="00CF001A">
        <w:rPr>
          <w:rFonts w:ascii="Times New Roman" w:hAnsi="Times New Roman" w:cs="Times New Roman"/>
          <w:i/>
          <w:sz w:val="16"/>
          <w:szCs w:val="16"/>
        </w:rPr>
        <w:t>Zdroj: MF SR</w:t>
      </w:r>
    </w:p>
    <w:p w:rsidR="00192C79" w:rsidRDefault="00192C79" w:rsidP="00AC031F">
      <w:pPr>
        <w:spacing w:after="0"/>
        <w:rPr>
          <w:rFonts w:ascii="Times New Roman" w:eastAsia="Times New Roman" w:hAnsi="Times New Roman" w:cs="Times New Roman"/>
          <w:b/>
          <w:bCs/>
          <w:color w:val="5B9BD5" w:themeColor="accent1"/>
          <w:sz w:val="24"/>
          <w:szCs w:val="24"/>
        </w:rPr>
      </w:pPr>
      <w:bookmarkStart w:id="118" w:name="_Toc52972876"/>
    </w:p>
    <w:p w:rsidR="00AC031F" w:rsidRDefault="00AC031F" w:rsidP="00AC031F">
      <w:pPr>
        <w:spacing w:after="0"/>
        <w:rPr>
          <w:rFonts w:ascii="Times New Roman" w:eastAsia="Times New Roman" w:hAnsi="Times New Roman" w:cs="Times New Roman"/>
          <w:b/>
          <w:bCs/>
          <w:color w:val="5B9BD5" w:themeColor="accent1"/>
          <w:sz w:val="24"/>
          <w:szCs w:val="24"/>
        </w:rPr>
      </w:pPr>
      <w:r w:rsidRPr="00A742DB">
        <w:rPr>
          <w:rFonts w:ascii="Times New Roman" w:eastAsia="Times New Roman" w:hAnsi="Times New Roman" w:cs="Times New Roman"/>
          <w:b/>
          <w:bCs/>
          <w:color w:val="5B9BD5" w:themeColor="accent1"/>
          <w:sz w:val="24"/>
          <w:szCs w:val="24"/>
        </w:rPr>
        <w:t>3.2.4</w:t>
      </w:r>
      <w:r w:rsidR="00192C79">
        <w:rPr>
          <w:rFonts w:ascii="Times New Roman" w:eastAsia="Times New Roman" w:hAnsi="Times New Roman" w:cs="Times New Roman"/>
          <w:b/>
          <w:bCs/>
          <w:color w:val="5B9BD5" w:themeColor="accent1"/>
          <w:sz w:val="24"/>
          <w:szCs w:val="24"/>
        </w:rPr>
        <w:t>.</w:t>
      </w:r>
      <w:r w:rsidRPr="00A742DB">
        <w:rPr>
          <w:rFonts w:ascii="Times New Roman" w:eastAsia="Times New Roman" w:hAnsi="Times New Roman" w:cs="Times New Roman"/>
          <w:b/>
          <w:bCs/>
          <w:color w:val="5B9BD5" w:themeColor="accent1"/>
          <w:sz w:val="24"/>
          <w:szCs w:val="24"/>
        </w:rPr>
        <w:t xml:space="preserve"> </w:t>
      </w:r>
      <w:bookmarkEnd w:id="118"/>
      <w:r w:rsidR="00192C79" w:rsidRPr="00192C79">
        <w:rPr>
          <w:rFonts w:ascii="Times New Roman" w:hAnsi="Times New Roman"/>
          <w:b/>
          <w:color w:val="5B9BD5" w:themeColor="accent1"/>
          <w:sz w:val="24"/>
          <w:szCs w:val="24"/>
          <w:lang w:eastAsia="sk-SK"/>
        </w:rPr>
        <w:t>Rozpočtovanie iných ako daňových príjmov ostatných subjektov ústrednej správy</w:t>
      </w:r>
    </w:p>
    <w:p w:rsidR="007020FE" w:rsidRDefault="007020FE" w:rsidP="00AC031F">
      <w:pPr>
        <w:spacing w:after="0"/>
        <w:rPr>
          <w:rFonts w:ascii="Times New Roman" w:eastAsia="Times New Roman" w:hAnsi="Times New Roman" w:cs="Times New Roman"/>
          <w:b/>
          <w:bCs/>
          <w:color w:val="5B9BD5" w:themeColor="accent1"/>
          <w:sz w:val="24"/>
          <w:szCs w:val="24"/>
        </w:rPr>
      </w:pPr>
    </w:p>
    <w:p w:rsidR="00192C79" w:rsidRDefault="00192C79" w:rsidP="004F568C">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Okrem kapitol štátneho rozpočtu sa v ústrednej správe vykazujú aj príspevkové organizácie štátu, štátne účelové fondy, Slovenský pozemkový fond, MH Manažment a. s., Slovenská konsolidačná a. s., spoločnosti v pôsobnosti ministerstva dopravy</w:t>
      </w:r>
      <w:r w:rsidRPr="00192C79">
        <w:rPr>
          <w:rFonts w:ascii="Times New Roman" w:eastAsia="Calibri" w:hAnsi="Times New Roman" w:cs="Times New Roman"/>
          <w:sz w:val="24"/>
          <w:szCs w:val="24"/>
          <w:vertAlign w:val="superscript"/>
        </w:rPr>
        <w:footnoteReference w:id="28"/>
      </w:r>
      <w:r w:rsidRPr="00192C79">
        <w:rPr>
          <w:rFonts w:ascii="Times New Roman" w:eastAsia="Calibri" w:hAnsi="Times New Roman" w:cs="Times New Roman"/>
          <w:sz w:val="24"/>
          <w:szCs w:val="24"/>
        </w:rPr>
        <w:t>, Agentúra pre núdzové zásoby ropy a ropných výrobkov, verejné vysoké školy a ďalšie subjekty, ktoré sú zapísané v registri organizácií vedenom Štatistickým úradom SR a zaradené v ústrednej správe (ďalej len „ostatné subjekty ústrednej správy“).</w:t>
      </w:r>
    </w:p>
    <w:p w:rsidR="004F568C" w:rsidRPr="00192C79" w:rsidRDefault="004F568C" w:rsidP="004F568C">
      <w:pPr>
        <w:spacing w:after="0"/>
        <w:jc w:val="both"/>
        <w:rPr>
          <w:rFonts w:ascii="Times New Roman" w:eastAsia="Calibri" w:hAnsi="Times New Roman" w:cs="Times New Roman"/>
          <w:sz w:val="24"/>
          <w:szCs w:val="24"/>
        </w:rPr>
      </w:pPr>
    </w:p>
    <w:p w:rsidR="00192C79" w:rsidRPr="00192C79" w:rsidRDefault="00192C79" w:rsidP="004F568C">
      <w:pPr>
        <w:pStyle w:val="Popis"/>
        <w:keepNext/>
        <w:spacing w:after="0"/>
        <w:rPr>
          <w:rFonts w:ascii="Times New Roman" w:hAnsi="Times New Roman" w:cs="Times New Roman"/>
          <w:b/>
          <w:i w:val="0"/>
          <w:color w:val="5B9BD5" w:themeColor="accent1"/>
          <w:sz w:val="20"/>
          <w:szCs w:val="20"/>
        </w:rPr>
      </w:pPr>
      <w:bookmarkStart w:id="119" w:name="_Toc84845261"/>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37</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Iné ako daňové príjmy ostatných subjektov ústrednej správy</w:t>
      </w:r>
      <w:bookmarkEnd w:id="119"/>
    </w:p>
    <w:tbl>
      <w:tblPr>
        <w:tblW w:w="5000" w:type="pct"/>
        <w:tblCellMar>
          <w:left w:w="70" w:type="dxa"/>
          <w:right w:w="70" w:type="dxa"/>
        </w:tblCellMar>
        <w:tblLook w:val="04A0" w:firstRow="1" w:lastRow="0" w:firstColumn="1" w:lastColumn="0" w:noHBand="0" w:noVBand="1"/>
      </w:tblPr>
      <w:tblGrid>
        <w:gridCol w:w="1808"/>
        <w:gridCol w:w="1038"/>
        <w:gridCol w:w="1038"/>
        <w:gridCol w:w="1038"/>
        <w:gridCol w:w="1038"/>
        <w:gridCol w:w="1038"/>
        <w:gridCol w:w="1038"/>
        <w:gridCol w:w="1036"/>
      </w:tblGrid>
      <w:tr w:rsidR="00192C79" w:rsidRPr="00192C79" w:rsidTr="00192C79">
        <w:trPr>
          <w:trHeight w:val="289"/>
        </w:trPr>
        <w:tc>
          <w:tcPr>
            <w:tcW w:w="996"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571"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996"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Spolu</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6 312 018</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6 365 325</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5 221 211</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6 906 155</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6 155 637</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5 854 288</w:t>
            </w:r>
          </w:p>
        </w:tc>
        <w:tc>
          <w:tcPr>
            <w:tcW w:w="571"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5 524 210</w:t>
            </w:r>
          </w:p>
        </w:tc>
      </w:tr>
      <w:tr w:rsidR="00192C79" w:rsidRPr="00192C79" w:rsidTr="00192C79">
        <w:trPr>
          <w:trHeight w:val="289"/>
        </w:trPr>
        <w:tc>
          <w:tcPr>
            <w:tcW w:w="996"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Nedaňové príjmy</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3 224 576</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3 206 053</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3 278 371</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3 274 819</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3 469 881</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3 610 462</w:t>
            </w:r>
          </w:p>
        </w:tc>
        <w:tc>
          <w:tcPr>
            <w:tcW w:w="571"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3 620 136</w:t>
            </w:r>
          </w:p>
        </w:tc>
      </w:tr>
      <w:tr w:rsidR="00192C79" w:rsidRPr="00192C79" w:rsidTr="00192C79">
        <w:trPr>
          <w:trHeight w:val="289"/>
        </w:trPr>
        <w:tc>
          <w:tcPr>
            <w:tcW w:w="996"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Granty a transfery</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3 087 442</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3 159 272</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1 942 840</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3 631 336</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2 685 756</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2 243 826</w:t>
            </w:r>
          </w:p>
        </w:tc>
        <w:tc>
          <w:tcPr>
            <w:tcW w:w="571"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1 904 074</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Zdroj: MF SR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Vývoj nedaňových príjmov ostatných subjektov ústrednej sprá</w:t>
      </w:r>
      <w:r>
        <w:rPr>
          <w:rFonts w:ascii="Times New Roman" w:eastAsia="Calibri" w:hAnsi="Times New Roman" w:cs="Times New Roman"/>
          <w:sz w:val="24"/>
          <w:szCs w:val="24"/>
        </w:rPr>
        <w:t>vy zobrazuje nasledovná tabuľka.</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20" w:name="_Toc84845262"/>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38</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Nedaňové príjmy ostatných subjektov ústrednej správy</w:t>
      </w:r>
      <w:bookmarkEnd w:id="120"/>
    </w:p>
    <w:tbl>
      <w:tblPr>
        <w:tblW w:w="9072" w:type="dxa"/>
        <w:tblCellMar>
          <w:left w:w="70" w:type="dxa"/>
          <w:right w:w="70" w:type="dxa"/>
        </w:tblCellMar>
        <w:tblLook w:val="04A0" w:firstRow="1" w:lastRow="0" w:firstColumn="1" w:lastColumn="0" w:noHBand="0" w:noVBand="1"/>
      </w:tblPr>
      <w:tblGrid>
        <w:gridCol w:w="2555"/>
        <w:gridCol w:w="931"/>
        <w:gridCol w:w="931"/>
        <w:gridCol w:w="931"/>
        <w:gridCol w:w="931"/>
        <w:gridCol w:w="931"/>
        <w:gridCol w:w="931"/>
        <w:gridCol w:w="931"/>
      </w:tblGrid>
      <w:tr w:rsidR="00192C79" w:rsidRPr="00192C79" w:rsidTr="00192C79">
        <w:trPr>
          <w:trHeight w:val="289"/>
        </w:trPr>
        <w:tc>
          <w:tcPr>
            <w:tcW w:w="2555"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931"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2555"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Nedaňové príjmy</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3 224 576</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3 206 053</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3 278 371</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3 274 819</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3 469 881</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3 610 462</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3 620 136</w:t>
            </w:r>
          </w:p>
        </w:tc>
      </w:tr>
      <w:tr w:rsidR="00192C79" w:rsidRPr="00192C79" w:rsidTr="00192C79">
        <w:trPr>
          <w:trHeight w:val="289"/>
        </w:trPr>
        <w:tc>
          <w:tcPr>
            <w:tcW w:w="2555"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Príjmy z podnikania a z vlastníctva majetku</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207 661</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127 154</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115 888</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123 620</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128 234</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129 024</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132 600</w:t>
            </w:r>
          </w:p>
        </w:tc>
      </w:tr>
      <w:tr w:rsidR="00192C79" w:rsidRPr="00192C79" w:rsidTr="00192C79">
        <w:trPr>
          <w:trHeight w:val="289"/>
        </w:trPr>
        <w:tc>
          <w:tcPr>
            <w:tcW w:w="2555"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Administratívne poplatky a iné poplatky a platby</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2 686 139</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2 729 329</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2 868 534</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2 869 071</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3 055 122</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3 150 329</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3 206 919</w:t>
            </w:r>
          </w:p>
        </w:tc>
      </w:tr>
      <w:tr w:rsidR="00192C79" w:rsidRPr="00192C79" w:rsidTr="00192C79">
        <w:trPr>
          <w:trHeight w:val="289"/>
        </w:trPr>
        <w:tc>
          <w:tcPr>
            <w:tcW w:w="2555"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Kapitálové príjmy</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56 571</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15 753</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38 098</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17 557</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20 888</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61 594</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12 227</w:t>
            </w:r>
          </w:p>
        </w:tc>
      </w:tr>
      <w:tr w:rsidR="00192C79" w:rsidRPr="00192C79" w:rsidTr="00192C79">
        <w:trPr>
          <w:trHeight w:val="289"/>
        </w:trPr>
        <w:tc>
          <w:tcPr>
            <w:tcW w:w="2555"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Úroky z tuzemských a zahraničných úverov, pôžičiek, NFV a vkladov</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75 298</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77 850</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53 917</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56 032</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51 117</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49 204</w:t>
            </w:r>
          </w:p>
        </w:tc>
        <w:tc>
          <w:tcPr>
            <w:tcW w:w="931"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46 298</w:t>
            </w:r>
          </w:p>
        </w:tc>
      </w:tr>
      <w:tr w:rsidR="00192C79" w:rsidRPr="00192C79" w:rsidTr="00192C79">
        <w:trPr>
          <w:trHeight w:val="289"/>
        </w:trPr>
        <w:tc>
          <w:tcPr>
            <w:tcW w:w="2555"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Iné nedaňové príjmy</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198 907</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255 967</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201 934</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208 539</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214 520</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220 311</w:t>
            </w:r>
          </w:p>
        </w:tc>
        <w:tc>
          <w:tcPr>
            <w:tcW w:w="931"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222 092</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Zdroj: MF SR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V rámci nedaňových príjmov, ktoré sú na rok 2022 rozpočtované v sume 3,47 mld. eur, najväčší objem predstavujú </w:t>
      </w:r>
      <w:r w:rsidRPr="00192C79">
        <w:rPr>
          <w:rFonts w:ascii="Times New Roman" w:eastAsia="Calibri" w:hAnsi="Times New Roman" w:cs="Times New Roman"/>
          <w:i/>
          <w:sz w:val="24"/>
          <w:szCs w:val="24"/>
        </w:rPr>
        <w:t>príjmy z administratívnych poplatkov a iných poplatkov a platieb,</w:t>
      </w:r>
      <w:r w:rsidRPr="00192C79">
        <w:rPr>
          <w:rFonts w:ascii="Times New Roman" w:eastAsia="Calibri" w:hAnsi="Times New Roman" w:cs="Times New Roman"/>
          <w:sz w:val="24"/>
          <w:szCs w:val="24"/>
        </w:rPr>
        <w:t xml:space="preserve"> a to v sume 3,06 mld. eur, z toho zdravotnícke zariadenia zaradené v subsektore ústrednej správy rozpočtujú tržby za poskytovanú zdravotnú starostlivosť vo výške 1,82 mld. eur. Príjmy spoločností v pôsobnosti ministerstva dopravy sa rozpočtujú vo výške 654 mil. eur a tvoria ich predovšetkým tržby ako cestovné lístky, mýto, diaľničné poplatky. Príjmy Environmentálneho fondu za obchodovanie s emisnými kvótami sa rozpočtujú na hotovostnej úrovni </w:t>
      </w:r>
      <w:r w:rsidR="000B4F38">
        <w:rPr>
          <w:rFonts w:ascii="Times New Roman" w:eastAsia="Calibri" w:hAnsi="Times New Roman" w:cs="Times New Roman"/>
          <w:sz w:val="24"/>
          <w:szCs w:val="24"/>
        </w:rPr>
        <w:br/>
      </w:r>
      <w:r w:rsidRPr="00192C79">
        <w:rPr>
          <w:rFonts w:ascii="Times New Roman" w:eastAsia="Calibri" w:hAnsi="Times New Roman" w:cs="Times New Roman"/>
          <w:sz w:val="24"/>
          <w:szCs w:val="24"/>
        </w:rPr>
        <w:t xml:space="preserve">285 mil. eur. Príjmy verejných vysokých škôl sa rozpočtujú vo výške 124 mil. eur, a to za stravné, ubytovanie a ostatné tovary a služby. Agentúra pre núdzové zásoby ropy a ropných výrobkov rozpočtuje príjem z povinného poplatku za udržiavanie núdzových zásob ropy a ropných výrobkov vo výške 97,2 mil. eur. </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i/>
          <w:sz w:val="24"/>
          <w:szCs w:val="24"/>
        </w:rPr>
        <w:t>Príjmy z podnikania a vlastníctva majetku</w:t>
      </w:r>
      <w:r w:rsidRPr="00192C79">
        <w:rPr>
          <w:rFonts w:ascii="Times New Roman" w:eastAsia="Calibri" w:hAnsi="Times New Roman" w:cs="Times New Roman"/>
          <w:sz w:val="24"/>
          <w:szCs w:val="24"/>
        </w:rPr>
        <w:t xml:space="preserve"> sú rozpočtované vo výške 128 mil. eur a najväčší objem predstavujú príjmy štátnych zdravotníckych zariadení vo výške 68,7 mil. eur. Príjmy Slovenského pozemkového fondu sa rozpočtujú vo výške 13,5 mil. eur, a to predovšetkým z prenájmu majetku. Spoločnosť JAVYS, a. s. rozpočtuje príjmy z úhrad za nakladanie so zdrojmi ionizujúceho žiarenia vo výške 30,4 mil. eur.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V rámci </w:t>
      </w:r>
      <w:r w:rsidRPr="00192C79">
        <w:rPr>
          <w:rFonts w:ascii="Times New Roman" w:eastAsia="Calibri" w:hAnsi="Times New Roman" w:cs="Times New Roman"/>
          <w:i/>
          <w:sz w:val="24"/>
          <w:szCs w:val="24"/>
        </w:rPr>
        <w:t>kapitálových príjmov</w:t>
      </w:r>
      <w:r w:rsidRPr="00192C79">
        <w:rPr>
          <w:rFonts w:ascii="Times New Roman" w:eastAsia="Calibri" w:hAnsi="Times New Roman" w:cs="Times New Roman"/>
          <w:sz w:val="24"/>
          <w:szCs w:val="24"/>
        </w:rPr>
        <w:t xml:space="preserve">, ktoré sú rozpočtované vo výške 20,9 mil. eur, najväčší objem predstavujú príjmy z predaja majetku spoločnosti Železnice Slovenskej republiky vo výške 7,11 mil. eur. Predaj pozemkov v Slovenskom pozemkovom fonde sa rozpočtuje vo výške </w:t>
      </w:r>
      <w:r w:rsidR="000B4F38">
        <w:rPr>
          <w:rFonts w:ascii="Times New Roman" w:eastAsia="Calibri" w:hAnsi="Times New Roman" w:cs="Times New Roman"/>
          <w:sz w:val="24"/>
          <w:szCs w:val="24"/>
        </w:rPr>
        <w:br/>
      </w:r>
      <w:r w:rsidRPr="00192C79">
        <w:rPr>
          <w:rFonts w:ascii="Times New Roman" w:eastAsia="Calibri" w:hAnsi="Times New Roman" w:cs="Times New Roman"/>
          <w:sz w:val="24"/>
          <w:szCs w:val="24"/>
        </w:rPr>
        <w:t>6,42 mil. eur.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i/>
          <w:sz w:val="24"/>
          <w:szCs w:val="24"/>
        </w:rPr>
        <w:t>Úroky z tuzemských a zahraničných úverov, pôžičiek, návratných finančných výpomocí a vkladov</w:t>
      </w:r>
      <w:r w:rsidRPr="00192C79">
        <w:rPr>
          <w:rFonts w:ascii="Times New Roman" w:eastAsia="Calibri" w:hAnsi="Times New Roman" w:cs="Times New Roman"/>
          <w:sz w:val="24"/>
          <w:szCs w:val="24"/>
        </w:rPr>
        <w:t xml:space="preserve"> sú rozpočtované vo výške 51,1 mil. eur, pričom najväčší objem sa rozpočtuje v Štátnom fonde rozvoja bývania vo výške 19,2 mil. eur, v Národnom jadrovom fonde vo výške 16,5 mil. eur a v Eximbanke vo výške 13,9 mil. eur.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V rámci </w:t>
      </w:r>
      <w:r w:rsidRPr="00192C79">
        <w:rPr>
          <w:rFonts w:ascii="Times New Roman" w:eastAsia="Calibri" w:hAnsi="Times New Roman" w:cs="Times New Roman"/>
          <w:i/>
          <w:sz w:val="24"/>
          <w:szCs w:val="24"/>
        </w:rPr>
        <w:t>iných nedaňových príjmov</w:t>
      </w:r>
      <w:r w:rsidRPr="00192C79">
        <w:rPr>
          <w:rFonts w:ascii="Times New Roman" w:eastAsia="Calibri" w:hAnsi="Times New Roman" w:cs="Times New Roman"/>
          <w:sz w:val="24"/>
          <w:szCs w:val="24"/>
        </w:rPr>
        <w:t>, ktoré sú rozpočtované vo výške 215 mil. eur, najväčší objem predstavujú príjmy Národného jadrového fondu z príspevkov od prevádzkovateľov jadrových zariadení a z odvodu od prevádzkovateľov prenosovej sústavy a distribučných sústav spolu vo výške 97,5 mil. eur. Verejné vysoké školy rozpočtujú iné nedaňové príjmy vo výške 50,7 mil. eur a zdravotnícke zariadenia zaradené v subsektore ústrednej správy vo výške 25,7 mil. eur.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Príjmy z grantov a transferov sú na rok 2022 rozpočtované v sume 2,69 mld. eur. Ich výška v je</w:t>
      </w:r>
      <w:r w:rsidR="00F45023">
        <w:rPr>
          <w:rFonts w:ascii="Times New Roman" w:eastAsia="Calibri" w:hAnsi="Times New Roman" w:cs="Times New Roman"/>
          <w:sz w:val="24"/>
          <w:szCs w:val="24"/>
        </w:rPr>
        <w:t>dnotlivých rokoch je nasledovná.</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21" w:name="_Toc84845263"/>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39</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Príjmy ostatných subjektov ústrednej správy z grantov a transferov</w:t>
      </w:r>
      <w:bookmarkEnd w:id="121"/>
    </w:p>
    <w:tbl>
      <w:tblPr>
        <w:tblW w:w="5000" w:type="pct"/>
        <w:tblCellMar>
          <w:left w:w="70" w:type="dxa"/>
          <w:right w:w="70" w:type="dxa"/>
        </w:tblCellMar>
        <w:tblLook w:val="04A0" w:firstRow="1" w:lastRow="0" w:firstColumn="1" w:lastColumn="0" w:noHBand="0" w:noVBand="1"/>
      </w:tblPr>
      <w:tblGrid>
        <w:gridCol w:w="2048"/>
        <w:gridCol w:w="1004"/>
        <w:gridCol w:w="1004"/>
        <w:gridCol w:w="1004"/>
        <w:gridCol w:w="1003"/>
        <w:gridCol w:w="1003"/>
        <w:gridCol w:w="1003"/>
        <w:gridCol w:w="1003"/>
      </w:tblGrid>
      <w:tr w:rsidR="00192C79" w:rsidRPr="00192C79" w:rsidTr="00192C79">
        <w:trPr>
          <w:trHeight w:val="289"/>
        </w:trPr>
        <w:tc>
          <w:tcPr>
            <w:tcW w:w="1128"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1128"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Granty a transfery</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3 087 442</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3 159 272</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1 942 840</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3 631 336</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2 685 756</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2 243 826</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1 904 074</w:t>
            </w:r>
          </w:p>
        </w:tc>
      </w:tr>
      <w:tr w:rsidR="00192C79" w:rsidRPr="00192C79" w:rsidTr="00192C79">
        <w:trPr>
          <w:trHeight w:val="289"/>
        </w:trPr>
        <w:tc>
          <w:tcPr>
            <w:tcW w:w="1128"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Tuzemské granty a transfery</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3 024 647</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3 094 709</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1 909 146</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3 575 371</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2 492 340</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2 198 980</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1 838 379</w:t>
            </w:r>
          </w:p>
        </w:tc>
      </w:tr>
      <w:tr w:rsidR="00192C79" w:rsidRPr="00192C79" w:rsidTr="00192C79">
        <w:trPr>
          <w:trHeight w:val="289"/>
        </w:trPr>
        <w:tc>
          <w:tcPr>
            <w:tcW w:w="1128"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Zahraničné granty</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62 795</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64 563</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33 694</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55 965</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193 416</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44 846</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65 695</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Zdroj: MF SR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Na rozpočtovanej sume príjmov z grantov a transferov sa najviac podieľajú </w:t>
      </w:r>
      <w:r w:rsidRPr="00192C79">
        <w:rPr>
          <w:rFonts w:ascii="Times New Roman" w:eastAsia="Calibri" w:hAnsi="Times New Roman" w:cs="Times New Roman"/>
          <w:i/>
          <w:sz w:val="24"/>
          <w:szCs w:val="24"/>
        </w:rPr>
        <w:t>príjmy z tuzemských grantov a transferov</w:t>
      </w:r>
      <w:r w:rsidRPr="00192C79">
        <w:rPr>
          <w:rFonts w:ascii="Times New Roman" w:eastAsia="Calibri" w:hAnsi="Times New Roman" w:cs="Times New Roman"/>
          <w:sz w:val="24"/>
          <w:szCs w:val="24"/>
        </w:rPr>
        <w:t xml:space="preserve"> rozpočtované na rok 2022 v sume 2,49 mld. eur, z ktorej väčšinu tvoria poskytnuté transfery zo štátneho rozpočtu. Najväčší objem transferov je poskytnutý spoločnostiam v pôsobnosti ministerstva dopravy, verejným vysokým školám a príspevkovým organizáciám štátu.</w:t>
      </w:r>
    </w:p>
    <w:p w:rsidR="00192C79" w:rsidRPr="00192C79" w:rsidRDefault="00192C79" w:rsidP="00192C79">
      <w:pPr>
        <w:spacing w:after="0"/>
        <w:jc w:val="both"/>
        <w:rPr>
          <w:rFonts w:ascii="Times New Roman" w:eastAsia="Calibri" w:hAnsi="Times New Roman" w:cs="Times New Roman"/>
          <w:sz w:val="24"/>
          <w:szCs w:val="24"/>
        </w:rPr>
      </w:pPr>
    </w:p>
    <w:p w:rsid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Na celkovej rozpočtovanej sume </w:t>
      </w:r>
      <w:r w:rsidRPr="00192C79">
        <w:rPr>
          <w:rFonts w:ascii="Times New Roman" w:eastAsia="Calibri" w:hAnsi="Times New Roman" w:cs="Times New Roman"/>
          <w:i/>
          <w:sz w:val="24"/>
          <w:szCs w:val="24"/>
        </w:rPr>
        <w:t>zahraničných grantov</w:t>
      </w:r>
      <w:r w:rsidRPr="00192C79">
        <w:rPr>
          <w:rFonts w:ascii="Times New Roman" w:eastAsia="Calibri" w:hAnsi="Times New Roman" w:cs="Times New Roman"/>
          <w:sz w:val="24"/>
          <w:szCs w:val="24"/>
        </w:rPr>
        <w:t xml:space="preserve"> na rok 2022 vo výške 193 mil. eur sa najviac podieľajú zahraničné granty z Modernizačného fondu určené Environmentálnemu fondu vo výške 100 mil. eur, zahraničné granty z Nástroja na prepájanie Európy (CEF) určené Železniciam Slovenskej republiky vo výške 63,6 mil. eur a Národnej diaľničnej spoločnosti, a. s. vo výške 14,9 mil. eur. Zahraničné granty Jadrovej a vyraďovacej spoločnosti, a. s. z Medzinárodného fondu na podporu odstavenia JE V1 Bohunice (BIDSF) sa rozpočtujú vo výške 13,3 mil. eur.</w:t>
      </w:r>
    </w:p>
    <w:p w:rsid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pStyle w:val="Zkladntext"/>
        <w:rPr>
          <w:rFonts w:ascii="Times New Roman" w:hAnsi="Times New Roman" w:cs="Times New Roman"/>
          <w:b/>
          <w:color w:val="5B9BD5" w:themeColor="accent1"/>
        </w:rPr>
      </w:pPr>
      <w:r w:rsidRPr="00192C79">
        <w:rPr>
          <w:rFonts w:ascii="Times New Roman" w:hAnsi="Times New Roman" w:cs="Times New Roman"/>
          <w:b/>
          <w:color w:val="5B9BD5" w:themeColor="accent1"/>
        </w:rPr>
        <w:t>3.2.5. Rozpočtovanie iných ako daňových príjmov vo fondoch sociálneho poistenia a fondoch zdravotného poistenia</w:t>
      </w:r>
    </w:p>
    <w:p w:rsidR="00192C79" w:rsidRPr="00192C79" w:rsidRDefault="00192C79" w:rsidP="00192C79">
      <w:pPr>
        <w:spacing w:after="0"/>
        <w:jc w:val="both"/>
        <w:rPr>
          <w:rFonts w:ascii="Times New Roman" w:eastAsia="Calibri" w:hAnsi="Times New Roman" w:cs="Times New Roman"/>
          <w:sz w:val="24"/>
          <w:szCs w:val="24"/>
        </w:rPr>
      </w:pPr>
    </w:p>
    <w:p w:rsid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Subjektami fondov sociálneho poistenia a fondov zdravotného poistenia sú Sociálna poisťovňa a verejné zdravotné poistenie (Všeobecná zdravotná poisťovňa, a. s. a verejné zdroje súkromných zdravotných poisťovní Dôvera zdravotná poisťovňa, a. s. a Union zdravotná poisťovňa, a. s.). Iné ako daňové príjmy týchto subjektov na rok 2022 sa rozpočtujú v sume </w:t>
      </w:r>
      <w:r w:rsidRPr="00192C79">
        <w:rPr>
          <w:rFonts w:ascii="Times New Roman" w:eastAsia="Calibri" w:hAnsi="Times New Roman" w:cs="Times New Roman"/>
          <w:sz w:val="24"/>
          <w:szCs w:val="24"/>
        </w:rPr>
        <w:br/>
        <w:t xml:space="preserve">482 mil. eur, pričom ide najmä o transfer Sociálnej poisťovni poskytovaný z výdavkov štátneho rozpočtu v sume 400 mil. eur na zabezpečenie jej platobnej schopnosti. V rámci nedaňových príjmov sa rozpočtujú najmä príjmy verejného zdravotného poistenia z tržieb vo výške </w:t>
      </w:r>
      <w:r w:rsidRPr="00192C79">
        <w:rPr>
          <w:rFonts w:ascii="Times New Roman" w:eastAsia="Calibri" w:hAnsi="Times New Roman" w:cs="Times New Roman"/>
          <w:sz w:val="24"/>
          <w:szCs w:val="24"/>
        </w:rPr>
        <w:br/>
        <w:t>44,5 mil. eur a príjmy Sociálnej poisťovne z prijatých pokút vo výške 9,04 mil. eur.</w:t>
      </w:r>
    </w:p>
    <w:p w:rsidR="00887ECD" w:rsidRDefault="00887ECD" w:rsidP="00192C79">
      <w:pPr>
        <w:spacing w:after="0"/>
        <w:jc w:val="both"/>
        <w:rPr>
          <w:rFonts w:ascii="Times New Roman" w:eastAsia="Calibri" w:hAnsi="Times New Roman" w:cs="Times New Roman"/>
          <w:sz w:val="24"/>
          <w:szCs w:val="24"/>
        </w:rPr>
      </w:pPr>
    </w:p>
    <w:p w:rsidR="00887ECD" w:rsidRPr="00192C79" w:rsidRDefault="00887ECD" w:rsidP="00192C79">
      <w:pPr>
        <w:spacing w:after="0"/>
        <w:jc w:val="both"/>
        <w:rPr>
          <w:rFonts w:ascii="Times New Roman" w:eastAsia="Calibri" w:hAnsi="Times New Roman" w:cs="Times New Roman"/>
          <w:sz w:val="24"/>
          <w:szCs w:val="24"/>
        </w:rPr>
      </w:pPr>
    </w:p>
    <w:p w:rsidR="00192C79" w:rsidRPr="00F45023" w:rsidRDefault="00192C79" w:rsidP="00192C79">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2C9ADC"/>
          <w:sz w:val="24"/>
          <w:szCs w:val="24"/>
          <w:bdr w:val="nil"/>
          <w:lang w:eastAsia="sk-SK"/>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22" w:name="_Toc84845264"/>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40</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Iné ako daňové príjmy vo fondoch sociálneho poistenia a fondoch zdravotného poistenia</w:t>
      </w:r>
      <w:bookmarkEnd w:id="122"/>
    </w:p>
    <w:tbl>
      <w:tblPr>
        <w:tblW w:w="5000" w:type="pct"/>
        <w:tblCellMar>
          <w:left w:w="70" w:type="dxa"/>
          <w:right w:w="70" w:type="dxa"/>
        </w:tblCellMar>
        <w:tblLook w:val="04A0" w:firstRow="1" w:lastRow="0" w:firstColumn="1" w:lastColumn="0" w:noHBand="0" w:noVBand="1"/>
      </w:tblPr>
      <w:tblGrid>
        <w:gridCol w:w="1808"/>
        <w:gridCol w:w="1038"/>
        <w:gridCol w:w="1038"/>
        <w:gridCol w:w="1038"/>
        <w:gridCol w:w="1038"/>
        <w:gridCol w:w="1038"/>
        <w:gridCol w:w="1038"/>
        <w:gridCol w:w="1036"/>
      </w:tblGrid>
      <w:tr w:rsidR="00192C79" w:rsidRPr="00192C79" w:rsidTr="00192C79">
        <w:trPr>
          <w:trHeight w:val="289"/>
        </w:trPr>
        <w:tc>
          <w:tcPr>
            <w:tcW w:w="996"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571"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996"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Spolu</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78 058</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1 049 145</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921 248</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840 980</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482 350</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532 450</w:t>
            </w:r>
          </w:p>
        </w:tc>
        <w:tc>
          <w:tcPr>
            <w:tcW w:w="571"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732 550</w:t>
            </w:r>
          </w:p>
        </w:tc>
      </w:tr>
      <w:tr w:rsidR="00192C79" w:rsidRPr="00192C79" w:rsidTr="00192C79">
        <w:trPr>
          <w:trHeight w:val="289"/>
        </w:trPr>
        <w:tc>
          <w:tcPr>
            <w:tcW w:w="996" w:type="pct"/>
            <w:tcBorders>
              <w:top w:val="nil"/>
              <w:left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Nedaňové príjmy</w:t>
            </w:r>
          </w:p>
        </w:tc>
        <w:tc>
          <w:tcPr>
            <w:tcW w:w="572"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77 988</w:t>
            </w:r>
          </w:p>
        </w:tc>
        <w:tc>
          <w:tcPr>
            <w:tcW w:w="572"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79 112</w:t>
            </w:r>
          </w:p>
        </w:tc>
        <w:tc>
          <w:tcPr>
            <w:tcW w:w="572"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82 000</w:t>
            </w:r>
          </w:p>
        </w:tc>
        <w:tc>
          <w:tcPr>
            <w:tcW w:w="572"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90 256</w:t>
            </w:r>
          </w:p>
        </w:tc>
        <w:tc>
          <w:tcPr>
            <w:tcW w:w="572"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82 280</w:t>
            </w:r>
          </w:p>
        </w:tc>
        <w:tc>
          <w:tcPr>
            <w:tcW w:w="572"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82 380</w:t>
            </w:r>
          </w:p>
        </w:tc>
        <w:tc>
          <w:tcPr>
            <w:tcW w:w="571" w:type="pct"/>
            <w:tcBorders>
              <w:top w:val="nil"/>
              <w:left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82 480</w:t>
            </w:r>
          </w:p>
        </w:tc>
      </w:tr>
      <w:tr w:rsidR="00192C79" w:rsidRPr="00192C79" w:rsidTr="00192C79">
        <w:trPr>
          <w:trHeight w:val="289"/>
        </w:trPr>
        <w:tc>
          <w:tcPr>
            <w:tcW w:w="996"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Granty a transfery</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70</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970 033</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839 248</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750 724</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400 070</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450 070</w:t>
            </w:r>
          </w:p>
        </w:tc>
        <w:tc>
          <w:tcPr>
            <w:tcW w:w="571"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650 070</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Zdroj: MF SR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pStyle w:val="Zkladntext"/>
        <w:rPr>
          <w:rFonts w:ascii="Times New Roman" w:hAnsi="Times New Roman" w:cs="Times New Roman"/>
          <w:b/>
          <w:color w:val="5B9BD5" w:themeColor="accent1"/>
        </w:rPr>
      </w:pPr>
      <w:r w:rsidRPr="00192C79">
        <w:rPr>
          <w:rFonts w:ascii="Times New Roman" w:hAnsi="Times New Roman" w:cs="Times New Roman"/>
          <w:b/>
          <w:color w:val="5B9BD5" w:themeColor="accent1"/>
        </w:rPr>
        <w:t>3.2.6</w:t>
      </w:r>
      <w:r>
        <w:rPr>
          <w:rFonts w:ascii="Times New Roman" w:hAnsi="Times New Roman" w:cs="Times New Roman"/>
          <w:b/>
          <w:color w:val="5B9BD5" w:themeColor="accent1"/>
        </w:rPr>
        <w:t>.</w:t>
      </w:r>
      <w:r w:rsidRPr="00192C79">
        <w:rPr>
          <w:rFonts w:ascii="Times New Roman" w:hAnsi="Times New Roman" w:cs="Times New Roman"/>
          <w:b/>
          <w:color w:val="5B9BD5" w:themeColor="accent1"/>
        </w:rPr>
        <w:t xml:space="preserve"> Rozpočtovanie iných ako daňových príjmov územnej samosprávy</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V územnej samospráve sa vykazujú obce a vyššie územné celky a nimi zriadené rozpočtové organizácie a príspevkové organizácie, ako aj ďalšie subjekty, ktoré sú zapísané v registri organizácií vedenom Štatistickým úradom SR a zaradené v územnej samospráve.</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23" w:name="_Toc84845265"/>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41</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Iné ako daňové príjmy územnej samosprávy</w:t>
      </w:r>
      <w:bookmarkEnd w:id="123"/>
    </w:p>
    <w:tbl>
      <w:tblPr>
        <w:tblW w:w="5000" w:type="pct"/>
        <w:tblCellMar>
          <w:left w:w="70" w:type="dxa"/>
          <w:right w:w="70" w:type="dxa"/>
        </w:tblCellMar>
        <w:tblLook w:val="04A0" w:firstRow="1" w:lastRow="0" w:firstColumn="1" w:lastColumn="0" w:noHBand="0" w:noVBand="1"/>
      </w:tblPr>
      <w:tblGrid>
        <w:gridCol w:w="1808"/>
        <w:gridCol w:w="1038"/>
        <w:gridCol w:w="1038"/>
        <w:gridCol w:w="1038"/>
        <w:gridCol w:w="1038"/>
        <w:gridCol w:w="1038"/>
        <w:gridCol w:w="1038"/>
        <w:gridCol w:w="1036"/>
      </w:tblGrid>
      <w:tr w:rsidR="00192C79" w:rsidRPr="00192C79" w:rsidTr="00192C79">
        <w:trPr>
          <w:trHeight w:val="289"/>
        </w:trPr>
        <w:tc>
          <w:tcPr>
            <w:tcW w:w="996"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57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571"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996"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Spolu</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4 124 097</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4 347 072</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3 708 183</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4 010 006</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3 993 454</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3 964 181</w:t>
            </w:r>
          </w:p>
        </w:tc>
        <w:tc>
          <w:tcPr>
            <w:tcW w:w="571"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3 896 102</w:t>
            </w:r>
          </w:p>
        </w:tc>
      </w:tr>
      <w:tr w:rsidR="00192C79" w:rsidRPr="00192C79" w:rsidTr="00192C79">
        <w:trPr>
          <w:trHeight w:val="289"/>
        </w:trPr>
        <w:tc>
          <w:tcPr>
            <w:tcW w:w="996"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Nedaňové príjmy</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1 118 708</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970 468</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1 114 142</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1 054 802</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1 125 841</w:t>
            </w:r>
          </w:p>
        </w:tc>
        <w:tc>
          <w:tcPr>
            <w:tcW w:w="57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1 138 359</w:t>
            </w:r>
          </w:p>
        </w:tc>
        <w:tc>
          <w:tcPr>
            <w:tcW w:w="571"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1 149 822</w:t>
            </w:r>
          </w:p>
        </w:tc>
      </w:tr>
      <w:tr w:rsidR="00192C79" w:rsidRPr="00192C79" w:rsidTr="00192C79">
        <w:trPr>
          <w:trHeight w:val="289"/>
        </w:trPr>
        <w:tc>
          <w:tcPr>
            <w:tcW w:w="996"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Granty a transfery</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3 005 389</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3 376 604</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2 594 041</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2 955 204</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2 867 613</w:t>
            </w:r>
          </w:p>
        </w:tc>
        <w:tc>
          <w:tcPr>
            <w:tcW w:w="57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2 825 822</w:t>
            </w:r>
          </w:p>
        </w:tc>
        <w:tc>
          <w:tcPr>
            <w:tcW w:w="571"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2 746 280</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Zdroj: MF SR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24" w:name="_Toc84845266"/>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42</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Nedaňové príjmy územnej samosprávy</w:t>
      </w:r>
      <w:bookmarkEnd w:id="124"/>
    </w:p>
    <w:tbl>
      <w:tblPr>
        <w:tblW w:w="9072" w:type="dxa"/>
        <w:tblCellMar>
          <w:left w:w="70" w:type="dxa"/>
          <w:right w:w="70" w:type="dxa"/>
        </w:tblCellMar>
        <w:tblLook w:val="04A0" w:firstRow="1" w:lastRow="0" w:firstColumn="1" w:lastColumn="0" w:noHBand="0" w:noVBand="1"/>
      </w:tblPr>
      <w:tblGrid>
        <w:gridCol w:w="2466"/>
        <w:gridCol w:w="943"/>
        <w:gridCol w:w="943"/>
        <w:gridCol w:w="944"/>
        <w:gridCol w:w="944"/>
        <w:gridCol w:w="944"/>
        <w:gridCol w:w="944"/>
        <w:gridCol w:w="944"/>
      </w:tblGrid>
      <w:tr w:rsidR="00192C79" w:rsidRPr="00192C79" w:rsidTr="00192C79">
        <w:trPr>
          <w:trHeight w:val="289"/>
        </w:trPr>
        <w:tc>
          <w:tcPr>
            <w:tcW w:w="2466"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943"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943"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944"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944"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944"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944"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944" w:type="dxa"/>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2466"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Nedaňové príjmy</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1 118 708</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970 468</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1 114 142</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1 054 802</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1 125 841</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1 138 359</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1 149 822</w:t>
            </w:r>
          </w:p>
        </w:tc>
      </w:tr>
      <w:tr w:rsidR="00192C79" w:rsidRPr="00192C79" w:rsidTr="00192C79">
        <w:trPr>
          <w:trHeight w:val="289"/>
        </w:trPr>
        <w:tc>
          <w:tcPr>
            <w:tcW w:w="2466"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Príjmy z podnikania a z vlastníctva majetku</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205 259</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184 667</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206 519</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195 519</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206 621</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206 860</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206 890</w:t>
            </w:r>
          </w:p>
        </w:tc>
      </w:tr>
      <w:tr w:rsidR="00192C79" w:rsidRPr="00192C79" w:rsidTr="00192C79">
        <w:trPr>
          <w:trHeight w:val="289"/>
        </w:trPr>
        <w:tc>
          <w:tcPr>
            <w:tcW w:w="2466"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Administratívne poplatky a iné poplatky a platby</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764 459</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646 620</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759 361</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721 021</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771 383</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783 719</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795 118</w:t>
            </w:r>
          </w:p>
        </w:tc>
      </w:tr>
      <w:tr w:rsidR="00192C79" w:rsidRPr="00192C79" w:rsidTr="00192C79">
        <w:trPr>
          <w:trHeight w:val="289"/>
        </w:trPr>
        <w:tc>
          <w:tcPr>
            <w:tcW w:w="2466"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Kapitálové príjmy</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58 451</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54 342</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64 310</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54 310</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64 305</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64 315</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64 315</w:t>
            </w:r>
          </w:p>
        </w:tc>
      </w:tr>
      <w:tr w:rsidR="00192C79" w:rsidRPr="00192C79" w:rsidTr="00192C79">
        <w:trPr>
          <w:trHeight w:val="289"/>
        </w:trPr>
        <w:tc>
          <w:tcPr>
            <w:tcW w:w="2466"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Úroky z tuzemských a zahraničných úverov, pôžičiek, NFV a vkladov</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1 367</w:t>
            </w:r>
          </w:p>
        </w:tc>
        <w:tc>
          <w:tcPr>
            <w:tcW w:w="943"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1 055</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2 065</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2 065</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2 060</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2 060</w:t>
            </w:r>
          </w:p>
        </w:tc>
        <w:tc>
          <w:tcPr>
            <w:tcW w:w="944" w:type="dxa"/>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2 060</w:t>
            </w:r>
          </w:p>
        </w:tc>
      </w:tr>
      <w:tr w:rsidR="00192C79" w:rsidRPr="00192C79" w:rsidTr="00192C79">
        <w:trPr>
          <w:trHeight w:val="289"/>
        </w:trPr>
        <w:tc>
          <w:tcPr>
            <w:tcW w:w="2466"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Iné nedaňové príjmy</w:t>
            </w:r>
          </w:p>
        </w:tc>
        <w:tc>
          <w:tcPr>
            <w:tcW w:w="943"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89 172</w:t>
            </w:r>
          </w:p>
        </w:tc>
        <w:tc>
          <w:tcPr>
            <w:tcW w:w="943"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83 784</w:t>
            </w:r>
          </w:p>
        </w:tc>
        <w:tc>
          <w:tcPr>
            <w:tcW w:w="944"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81 887</w:t>
            </w:r>
          </w:p>
        </w:tc>
        <w:tc>
          <w:tcPr>
            <w:tcW w:w="944"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81 887</w:t>
            </w:r>
          </w:p>
        </w:tc>
        <w:tc>
          <w:tcPr>
            <w:tcW w:w="944"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81 472</w:t>
            </w:r>
          </w:p>
        </w:tc>
        <w:tc>
          <w:tcPr>
            <w:tcW w:w="944"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81 405</w:t>
            </w:r>
          </w:p>
        </w:tc>
        <w:tc>
          <w:tcPr>
            <w:tcW w:w="944" w:type="dxa"/>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81 439</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t xml:space="preserve">     </w:t>
      </w:r>
      <w:r w:rsidRPr="00192C79">
        <w:rPr>
          <w:rFonts w:ascii="Times New Roman" w:eastAsia="Calibri" w:hAnsi="Times New Roman" w:cs="Times New Roman"/>
          <w:i/>
          <w:sz w:val="16"/>
          <w:szCs w:val="16"/>
        </w:rPr>
        <w:t>Zdroj: MF SR</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V rámci nedaňových  príjmov územnej samosprávy sa predpokladá, že obce dosiahnu v roku 2022 sumu 590 mil. eur.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Ide najmä o </w:t>
      </w:r>
      <w:r w:rsidRPr="00192C79">
        <w:rPr>
          <w:rFonts w:ascii="Times New Roman" w:eastAsia="Calibri" w:hAnsi="Times New Roman" w:cs="Times New Roman"/>
          <w:i/>
          <w:sz w:val="24"/>
          <w:szCs w:val="24"/>
        </w:rPr>
        <w:t>príjmy z podnikania a z vlastníctva majetku</w:t>
      </w:r>
      <w:r w:rsidRPr="00192C79">
        <w:rPr>
          <w:rFonts w:ascii="Times New Roman" w:eastAsia="Calibri" w:hAnsi="Times New Roman" w:cs="Times New Roman"/>
          <w:sz w:val="24"/>
          <w:szCs w:val="24"/>
        </w:rPr>
        <w:t xml:space="preserve"> v sume 173 mil. eur, a to </w:t>
      </w:r>
      <w:r w:rsidRPr="00192C79">
        <w:rPr>
          <w:rFonts w:ascii="Times New Roman" w:eastAsia="Calibri" w:hAnsi="Times New Roman" w:cs="Times New Roman"/>
          <w:sz w:val="24"/>
          <w:szCs w:val="24"/>
        </w:rPr>
        <w:br/>
        <w:t xml:space="preserve">z nájomného z prenajatých pozemkov, budov, strojov a zariadení.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Ďalej sa predpokladajú </w:t>
      </w:r>
      <w:r w:rsidRPr="00192C79">
        <w:rPr>
          <w:rFonts w:ascii="Times New Roman" w:eastAsia="Calibri" w:hAnsi="Times New Roman" w:cs="Times New Roman"/>
          <w:i/>
          <w:sz w:val="24"/>
          <w:szCs w:val="24"/>
        </w:rPr>
        <w:t>príjmy</w:t>
      </w:r>
      <w:r w:rsidRPr="00192C79">
        <w:rPr>
          <w:rFonts w:ascii="Times New Roman" w:eastAsia="Calibri" w:hAnsi="Times New Roman" w:cs="Times New Roman"/>
          <w:sz w:val="24"/>
          <w:szCs w:val="24"/>
        </w:rPr>
        <w:t xml:space="preserve"> v sume 287 mil. eur </w:t>
      </w:r>
      <w:r w:rsidRPr="00192C79">
        <w:rPr>
          <w:rFonts w:ascii="Times New Roman" w:eastAsia="Calibri" w:hAnsi="Times New Roman" w:cs="Times New Roman"/>
          <w:i/>
          <w:sz w:val="24"/>
          <w:szCs w:val="24"/>
        </w:rPr>
        <w:t xml:space="preserve">z administratívnych a iných poplatkov </w:t>
      </w:r>
      <w:r w:rsidRPr="00192C79">
        <w:rPr>
          <w:rFonts w:ascii="Times New Roman" w:eastAsia="Calibri" w:hAnsi="Times New Roman" w:cs="Times New Roman"/>
          <w:i/>
          <w:sz w:val="24"/>
          <w:szCs w:val="24"/>
        </w:rPr>
        <w:br/>
        <w:t>a platieb</w:t>
      </w:r>
      <w:r w:rsidRPr="00192C79">
        <w:rPr>
          <w:rFonts w:ascii="Times New Roman" w:eastAsia="Calibri" w:hAnsi="Times New Roman" w:cs="Times New Roman"/>
          <w:sz w:val="24"/>
          <w:szCs w:val="24"/>
        </w:rPr>
        <w:t xml:space="preserve"> (správne poplatky, za ubytovacie a stravovacie služby, zo vstupného, za relácie </w:t>
      </w:r>
      <w:r w:rsidRPr="00192C79">
        <w:rPr>
          <w:rFonts w:ascii="Times New Roman" w:eastAsia="Calibri" w:hAnsi="Times New Roman" w:cs="Times New Roman"/>
          <w:sz w:val="24"/>
          <w:szCs w:val="24"/>
        </w:rPr>
        <w:br/>
        <w:t xml:space="preserve">v miestnom rozhlase a pod.).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i/>
          <w:sz w:val="24"/>
          <w:szCs w:val="24"/>
        </w:rPr>
        <w:t>Kapitálové príjmy</w:t>
      </w:r>
      <w:r w:rsidRPr="00192C79">
        <w:rPr>
          <w:rFonts w:ascii="Times New Roman" w:eastAsia="Calibri" w:hAnsi="Times New Roman" w:cs="Times New Roman"/>
          <w:sz w:val="24"/>
          <w:szCs w:val="24"/>
        </w:rPr>
        <w:t xml:space="preserve"> sa predpokladajú vo výške 60,0 mil. eur, a to najmä z predaja budov, bytov a z predaja pozemkov.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i/>
          <w:sz w:val="24"/>
          <w:szCs w:val="24"/>
        </w:rPr>
        <w:t>Príjmy z úrokov z vkladov</w:t>
      </w:r>
      <w:r w:rsidRPr="00192C79">
        <w:rPr>
          <w:rFonts w:ascii="Times New Roman" w:eastAsia="Calibri" w:hAnsi="Times New Roman" w:cs="Times New Roman"/>
          <w:sz w:val="24"/>
          <w:szCs w:val="24"/>
        </w:rPr>
        <w:t xml:space="preserve"> (z úverov, pôžičiek, návratných finančných výpomocí, vkladov </w:t>
      </w:r>
      <w:r w:rsidRPr="00192C79">
        <w:rPr>
          <w:rFonts w:ascii="Times New Roman" w:eastAsia="Calibri" w:hAnsi="Times New Roman" w:cs="Times New Roman"/>
          <w:sz w:val="24"/>
          <w:szCs w:val="24"/>
        </w:rPr>
        <w:br/>
        <w:t xml:space="preserve">a ážia) a </w:t>
      </w:r>
      <w:r w:rsidRPr="00192C79">
        <w:rPr>
          <w:rFonts w:ascii="Times New Roman" w:eastAsia="Calibri" w:hAnsi="Times New Roman" w:cs="Times New Roman"/>
          <w:i/>
          <w:sz w:val="24"/>
          <w:szCs w:val="24"/>
        </w:rPr>
        <w:t>iných nedaňových príjmov</w:t>
      </w:r>
      <w:r w:rsidRPr="00192C79">
        <w:rPr>
          <w:rFonts w:ascii="Times New Roman" w:eastAsia="Calibri" w:hAnsi="Times New Roman" w:cs="Times New Roman"/>
          <w:sz w:val="24"/>
          <w:szCs w:val="24"/>
        </w:rPr>
        <w:t xml:space="preserve"> (ako napr. od rozpočtovej organizácie a príspevkovej organizácie, neziskovej organizácie, fyzickej osoby, obcí a vyšších územných celkov a iných subjektov verejnej správy, náhrad z poistného plnenia, z odvodov z hazardných hier, z nezrovnalostí a vratiek) sa predpokladajú v sume 70,0 mil. eur.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Pre vyššie územné celky (ďalej len „VÚC“) sa na rok 2022 rozpočtujú nedaňové príjmy v celkovej výške 110 mil. eur.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Tieto </w:t>
      </w:r>
      <w:r w:rsidRPr="00192C79">
        <w:rPr>
          <w:rFonts w:ascii="Times New Roman" w:eastAsia="Calibri" w:hAnsi="Times New Roman" w:cs="Times New Roman"/>
          <w:i/>
          <w:sz w:val="24"/>
          <w:szCs w:val="24"/>
        </w:rPr>
        <w:t>príjmy</w:t>
      </w:r>
      <w:r w:rsidRPr="00192C79">
        <w:rPr>
          <w:rFonts w:ascii="Times New Roman" w:eastAsia="Calibri" w:hAnsi="Times New Roman" w:cs="Times New Roman"/>
          <w:sz w:val="24"/>
          <w:szCs w:val="24"/>
        </w:rPr>
        <w:t xml:space="preserve"> by sa mali dosiahnuť najmä </w:t>
      </w:r>
      <w:r w:rsidRPr="00192C79">
        <w:rPr>
          <w:rFonts w:ascii="Times New Roman" w:eastAsia="Calibri" w:hAnsi="Times New Roman" w:cs="Times New Roman"/>
          <w:i/>
          <w:sz w:val="24"/>
          <w:szCs w:val="24"/>
        </w:rPr>
        <w:t>z administratívnych a iných poplatkov a platieb</w:t>
      </w:r>
      <w:r w:rsidRPr="00192C79">
        <w:rPr>
          <w:rFonts w:ascii="Times New Roman" w:eastAsia="Calibri" w:hAnsi="Times New Roman" w:cs="Times New Roman"/>
          <w:sz w:val="24"/>
          <w:szCs w:val="24"/>
        </w:rPr>
        <w:t xml:space="preserve"> </w:t>
      </w:r>
      <w:r w:rsidRPr="00192C79">
        <w:rPr>
          <w:rFonts w:ascii="Times New Roman" w:eastAsia="Calibri" w:hAnsi="Times New Roman" w:cs="Times New Roman"/>
          <w:sz w:val="24"/>
          <w:szCs w:val="24"/>
        </w:rPr>
        <w:br/>
        <w:t xml:space="preserve">v sume 89,0 mil. eur, a to najmä na úseku sociálneho zabezpečenia, z úhrad platených občanmi umiestnenými v zariadeniach sociálnych služieb, za poskytované služby, ako sú stravovanie, bývanie a zaopatrenie, na úseku školstva z príjmov získaných z poplatkov zo zápisného </w:t>
      </w:r>
      <w:r w:rsidRPr="00192C79">
        <w:rPr>
          <w:rFonts w:ascii="Times New Roman" w:eastAsia="Calibri" w:hAnsi="Times New Roman" w:cs="Times New Roman"/>
          <w:sz w:val="24"/>
          <w:szCs w:val="24"/>
        </w:rPr>
        <w:br/>
        <w:t xml:space="preserve">a školného, za ubytovanie v domovoch mládeže, z nájomného a pod.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Ďalej z</w:t>
      </w:r>
      <w:r w:rsidRPr="00192C79">
        <w:rPr>
          <w:rFonts w:ascii="Times New Roman" w:eastAsia="Calibri" w:hAnsi="Times New Roman" w:cs="Times New Roman"/>
          <w:i/>
          <w:sz w:val="24"/>
          <w:szCs w:val="24"/>
        </w:rPr>
        <w:t xml:space="preserve"> príjmov z podnikania a z vlastníctva majetku</w:t>
      </w:r>
      <w:r w:rsidRPr="00192C79">
        <w:rPr>
          <w:rFonts w:ascii="Times New Roman" w:eastAsia="Calibri" w:hAnsi="Times New Roman" w:cs="Times New Roman"/>
          <w:sz w:val="24"/>
          <w:szCs w:val="24"/>
        </w:rPr>
        <w:t xml:space="preserve"> (ako z nájomného z prenajatých pozemkov, budov, strojov a zariadení) sa očakáva 9,78 mil. eur.</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i/>
          <w:sz w:val="24"/>
          <w:szCs w:val="24"/>
        </w:rPr>
        <w:t>Kapitálové príjmy</w:t>
      </w:r>
      <w:r w:rsidRPr="00192C79">
        <w:rPr>
          <w:rFonts w:ascii="Times New Roman" w:eastAsia="Calibri" w:hAnsi="Times New Roman" w:cs="Times New Roman"/>
          <w:sz w:val="24"/>
          <w:szCs w:val="24"/>
        </w:rPr>
        <w:t xml:space="preserve"> sa predpokladajú vo výške 4,20 mil. eur, a to najmä z predaja budov </w:t>
      </w:r>
      <w:r w:rsidRPr="00192C79">
        <w:rPr>
          <w:rFonts w:ascii="Times New Roman" w:eastAsia="Calibri" w:hAnsi="Times New Roman" w:cs="Times New Roman"/>
          <w:sz w:val="24"/>
          <w:szCs w:val="24"/>
        </w:rPr>
        <w:br/>
        <w:t xml:space="preserve">a z predaja pozemkov. </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i/>
          <w:sz w:val="24"/>
          <w:szCs w:val="24"/>
        </w:rPr>
        <w:t>Príjmy z úrokov z vkladov</w:t>
      </w:r>
      <w:r w:rsidRPr="00192C79">
        <w:rPr>
          <w:rFonts w:ascii="Times New Roman" w:eastAsia="Calibri" w:hAnsi="Times New Roman" w:cs="Times New Roman"/>
          <w:sz w:val="24"/>
          <w:szCs w:val="24"/>
        </w:rPr>
        <w:t xml:space="preserve"> (z úverov, pôžičiek, návratných finančných výpomocí, vkladov </w:t>
      </w:r>
      <w:r w:rsidRPr="00192C79">
        <w:rPr>
          <w:rFonts w:ascii="Times New Roman" w:eastAsia="Calibri" w:hAnsi="Times New Roman" w:cs="Times New Roman"/>
          <w:sz w:val="24"/>
          <w:szCs w:val="24"/>
        </w:rPr>
        <w:br/>
        <w:t xml:space="preserve">a ážia) a </w:t>
      </w:r>
      <w:r w:rsidRPr="00192C79">
        <w:rPr>
          <w:rFonts w:ascii="Times New Roman" w:eastAsia="Calibri" w:hAnsi="Times New Roman" w:cs="Times New Roman"/>
          <w:i/>
          <w:sz w:val="24"/>
          <w:szCs w:val="24"/>
        </w:rPr>
        <w:t>iných nedaňových príjmov</w:t>
      </w:r>
      <w:r w:rsidRPr="00192C79">
        <w:rPr>
          <w:rFonts w:ascii="Times New Roman" w:eastAsia="Calibri" w:hAnsi="Times New Roman" w:cs="Times New Roman"/>
          <w:sz w:val="24"/>
          <w:szCs w:val="24"/>
        </w:rPr>
        <w:t xml:space="preserve"> (ako napr. od rozpočtovej organizácie a príspevkovej organizácie, neziskovej organizácie, fyzickej osoby, od iných subjektov verejnej správy, náhrad z poistného plnenia, z nezrovnalostí a vratiek) sa predpokladajú v sume 7,03 mil. eur.</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V príjmoch na rok 2022 dopravné podniky predpokladajú nedaňové príjmy v sume </w:t>
      </w:r>
      <w:r w:rsidRPr="00192C79">
        <w:rPr>
          <w:rFonts w:ascii="Times New Roman" w:eastAsia="Calibri" w:hAnsi="Times New Roman" w:cs="Times New Roman"/>
          <w:sz w:val="24"/>
          <w:szCs w:val="24"/>
        </w:rPr>
        <w:br/>
        <w:t>80,9 mil. eur.</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Najvyšší podiel na nedaňových príjmoch majú </w:t>
      </w:r>
      <w:r w:rsidRPr="00192C79">
        <w:rPr>
          <w:rFonts w:ascii="Times New Roman" w:eastAsia="Calibri" w:hAnsi="Times New Roman" w:cs="Times New Roman"/>
          <w:i/>
          <w:sz w:val="24"/>
          <w:szCs w:val="24"/>
        </w:rPr>
        <w:t>príjmy</w:t>
      </w:r>
      <w:r w:rsidRPr="00192C79">
        <w:rPr>
          <w:rFonts w:ascii="Times New Roman" w:eastAsia="Calibri" w:hAnsi="Times New Roman" w:cs="Times New Roman"/>
          <w:sz w:val="24"/>
          <w:szCs w:val="24"/>
        </w:rPr>
        <w:t xml:space="preserve"> </w:t>
      </w:r>
      <w:r w:rsidRPr="00192C79">
        <w:rPr>
          <w:rFonts w:ascii="Times New Roman" w:eastAsia="Calibri" w:hAnsi="Times New Roman" w:cs="Times New Roman"/>
          <w:i/>
          <w:sz w:val="24"/>
          <w:szCs w:val="24"/>
        </w:rPr>
        <w:t>z platieb administratívnych a iných poplatkov (tržby)</w:t>
      </w:r>
      <w:r w:rsidRPr="00192C79">
        <w:rPr>
          <w:rFonts w:ascii="Times New Roman" w:eastAsia="Calibri" w:hAnsi="Times New Roman" w:cs="Times New Roman"/>
          <w:sz w:val="24"/>
          <w:szCs w:val="24"/>
        </w:rPr>
        <w:t xml:space="preserve"> v sume 78,8 mil. eur a z prenájmu budov, priestorov, objektov a strojov </w:t>
      </w:r>
      <w:r w:rsidRPr="00192C79">
        <w:rPr>
          <w:rFonts w:ascii="Times New Roman" w:eastAsia="Calibri" w:hAnsi="Times New Roman" w:cs="Times New Roman"/>
          <w:sz w:val="24"/>
          <w:szCs w:val="24"/>
        </w:rPr>
        <w:br/>
        <w:t>v sume 1,60 mil. eur.</w:t>
      </w:r>
    </w:p>
    <w:p w:rsidR="00192C79" w:rsidRPr="00F45023" w:rsidRDefault="00192C79" w:rsidP="00192C79">
      <w:pPr>
        <w:pBdr>
          <w:top w:val="nil"/>
          <w:left w:val="nil"/>
          <w:bottom w:val="nil"/>
          <w:right w:val="nil"/>
          <w:between w:val="nil"/>
          <w:bar w:val="nil"/>
        </w:pBdr>
        <w:spacing w:after="0" w:line="240" w:lineRule="auto"/>
        <w:jc w:val="both"/>
        <w:rPr>
          <w:rFonts w:ascii="Times New Roman" w:eastAsia="Arial Narrow" w:hAnsi="Times New Roman" w:cs="Times New Roman"/>
          <w:bCs/>
          <w:noProof/>
          <w:color w:val="5B9BD5" w:themeColor="accent1"/>
          <w:sz w:val="24"/>
          <w:szCs w:val="24"/>
          <w:bdr w:val="nil"/>
          <w:lang w:eastAsia="sk-SK"/>
        </w:rPr>
      </w:pPr>
      <w:bookmarkStart w:id="125" w:name="_Toc52972970"/>
      <w:bookmarkStart w:id="126" w:name="_Toc53086369"/>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27" w:name="_Toc84845267"/>
      <w:bookmarkEnd w:id="125"/>
      <w:bookmarkEnd w:id="126"/>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43</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Príjmy územnej samosprávy z grantov a transferov</w:t>
      </w:r>
      <w:bookmarkEnd w:id="127"/>
    </w:p>
    <w:tbl>
      <w:tblPr>
        <w:tblW w:w="5000" w:type="pct"/>
        <w:tblCellMar>
          <w:left w:w="70" w:type="dxa"/>
          <w:right w:w="70" w:type="dxa"/>
        </w:tblCellMar>
        <w:tblLook w:val="04A0" w:firstRow="1" w:lastRow="0" w:firstColumn="1" w:lastColumn="0" w:noHBand="0" w:noVBand="1"/>
      </w:tblPr>
      <w:tblGrid>
        <w:gridCol w:w="2048"/>
        <w:gridCol w:w="1004"/>
        <w:gridCol w:w="1004"/>
        <w:gridCol w:w="1004"/>
        <w:gridCol w:w="1003"/>
        <w:gridCol w:w="1003"/>
        <w:gridCol w:w="1003"/>
        <w:gridCol w:w="1003"/>
      </w:tblGrid>
      <w:tr w:rsidR="00192C79" w:rsidRPr="00192C79" w:rsidTr="00192C79">
        <w:trPr>
          <w:trHeight w:val="289"/>
        </w:trPr>
        <w:tc>
          <w:tcPr>
            <w:tcW w:w="1128"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55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1128"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Granty a transfery</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3 005 389</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3 376 604</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2 594 041</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2 955 204</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2 867 613</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2 825 822</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2 746 280</w:t>
            </w:r>
          </w:p>
        </w:tc>
      </w:tr>
      <w:tr w:rsidR="00192C79" w:rsidRPr="00192C79" w:rsidTr="00192C79">
        <w:trPr>
          <w:trHeight w:val="289"/>
        </w:trPr>
        <w:tc>
          <w:tcPr>
            <w:tcW w:w="1128"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Tuzemské granty a transfery</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3 003 739</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3 374 260</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2 594 041</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2 955 204</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2 867 613</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2 825 822</w:t>
            </w:r>
          </w:p>
        </w:tc>
        <w:tc>
          <w:tcPr>
            <w:tcW w:w="55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2 746 280</w:t>
            </w:r>
          </w:p>
        </w:tc>
      </w:tr>
      <w:tr w:rsidR="00192C79" w:rsidRPr="00192C79" w:rsidTr="00192C79">
        <w:trPr>
          <w:trHeight w:val="289"/>
        </w:trPr>
        <w:tc>
          <w:tcPr>
            <w:tcW w:w="1128"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Zahraničné granty</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1 650</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2 344</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5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Zdroj: MF SR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V rámci grantov a transferov sa predpokladá, že </w:t>
      </w:r>
      <w:r w:rsidRPr="00192C79">
        <w:rPr>
          <w:rFonts w:ascii="Times New Roman" w:eastAsia="Calibri" w:hAnsi="Times New Roman" w:cs="Times New Roman"/>
          <w:b/>
          <w:sz w:val="24"/>
          <w:szCs w:val="24"/>
        </w:rPr>
        <w:t>obce</w:t>
      </w:r>
      <w:r w:rsidRPr="00192C79">
        <w:rPr>
          <w:rFonts w:ascii="Times New Roman" w:eastAsia="Calibri" w:hAnsi="Times New Roman" w:cs="Times New Roman"/>
          <w:sz w:val="24"/>
          <w:szCs w:val="24"/>
        </w:rPr>
        <w:t xml:space="preserve"> dosiahnu príjmy zo štátneho rozpočtu, zo štátnych fondov, z rozpočtov iných obcí na činnosť spoločných úradov obcí a z rozpočtov VÚC na riešenie spoločných úloh v roku 2022 v objeme 1,56 mld. eur. Bežné transfery sa predpokladajú vo výške 1,29 mld. eur, z toho zdroje EÚ vo výške 16,3 mil. eur. Kapitálové transfery sa predpokladajú vo výške 278 mil. eur, pričom kapitálové zdroje na financovanie spoločných projektov EÚ a SR sa rozpočtujú vo výške 191 mil. eur (z toho 159 mil. eur predstavujú EÚ prostriedky a spolufinancovanie 31,8 mil. eur). Zdroje na financovanie spoločných projektov EÚ a SR rozpočtuje MŠVVŠ SR v nadväznosti na Plán obnovy</w:t>
      </w:r>
      <w:r w:rsidR="000B4F38">
        <w:rPr>
          <w:rFonts w:ascii="Times New Roman" w:eastAsia="Calibri" w:hAnsi="Times New Roman" w:cs="Times New Roman"/>
          <w:sz w:val="24"/>
          <w:szCs w:val="24"/>
        </w:rPr>
        <w:t xml:space="preserve"> a odolnosti</w:t>
      </w:r>
      <w:r w:rsidRPr="00192C79">
        <w:rPr>
          <w:rFonts w:ascii="Times New Roman" w:eastAsia="Calibri" w:hAnsi="Times New Roman" w:cs="Times New Roman"/>
          <w:sz w:val="24"/>
          <w:szCs w:val="24"/>
        </w:rPr>
        <w:t>.</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Transfery zo štátneho rozpočtu do rozpočtov obcí sa v roku 2022 očakávajú v celkovej sume </w:t>
      </w:r>
      <w:r w:rsidRPr="00192C79">
        <w:rPr>
          <w:rFonts w:ascii="Times New Roman" w:eastAsia="Calibri" w:hAnsi="Times New Roman" w:cs="Times New Roman"/>
          <w:sz w:val="24"/>
          <w:szCs w:val="24"/>
        </w:rPr>
        <w:br/>
      </w:r>
      <w:r w:rsidRPr="00192C79">
        <w:rPr>
          <w:rFonts w:ascii="Times New Roman" w:eastAsia="Calibri" w:hAnsi="Times New Roman" w:cs="Times New Roman"/>
          <w:bCs/>
          <w:sz w:val="24"/>
          <w:szCs w:val="24"/>
        </w:rPr>
        <w:t>1</w:t>
      </w:r>
      <w:r w:rsidRPr="00192C79">
        <w:rPr>
          <w:rFonts w:ascii="Times New Roman" w:eastAsia="Calibri" w:hAnsi="Times New Roman" w:cs="Times New Roman"/>
          <w:b/>
          <w:bCs/>
          <w:sz w:val="24"/>
          <w:szCs w:val="24"/>
        </w:rPr>
        <w:t>,</w:t>
      </w:r>
      <w:r w:rsidRPr="00192C79">
        <w:rPr>
          <w:rFonts w:ascii="Times New Roman" w:eastAsia="Calibri" w:hAnsi="Times New Roman" w:cs="Times New Roman"/>
          <w:bCs/>
          <w:sz w:val="24"/>
          <w:szCs w:val="24"/>
        </w:rPr>
        <w:t>43 mld</w:t>
      </w:r>
      <w:r w:rsidRPr="00192C79">
        <w:rPr>
          <w:rFonts w:ascii="Times New Roman" w:eastAsia="Calibri" w:hAnsi="Times New Roman" w:cs="Times New Roman"/>
          <w:sz w:val="24"/>
          <w:szCs w:val="24"/>
        </w:rPr>
        <w:t>. eur z týchto kapitol:</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ind w:left="284" w:hanging="283"/>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w:t>
      </w:r>
      <w:r w:rsidRPr="00192C79">
        <w:rPr>
          <w:rFonts w:ascii="Times New Roman" w:eastAsia="Calibri" w:hAnsi="Times New Roman" w:cs="Times New Roman"/>
          <w:sz w:val="24"/>
          <w:szCs w:val="24"/>
        </w:rPr>
        <w:tab/>
        <w:t xml:space="preserve">Ministerstvo školstva, vedy, výskumu a športu SR – finančné prostriedky v sume </w:t>
      </w:r>
      <w:r w:rsidRPr="00192C79">
        <w:rPr>
          <w:rFonts w:ascii="Times New Roman" w:eastAsia="Calibri" w:hAnsi="Times New Roman" w:cs="Times New Roman"/>
          <w:sz w:val="24"/>
          <w:szCs w:val="24"/>
        </w:rPr>
        <w:br/>
        <w:t>1,30 mld. eur, z ktorých je bežný transfer v sume 1,11 mld. eur na financovanie preneseného výkonu štátnej správy na úseku regionálneho školstva, 5,41 mil. eur na financovanie iných aktivít regionálneho školstva a kapitálový transfer vo výške 191 mil. eur na financovanie spoločných projektov EÚ a SR v nadväznosti na Plán obnovy</w:t>
      </w:r>
      <w:r w:rsidR="00F45023">
        <w:rPr>
          <w:rFonts w:ascii="Times New Roman" w:eastAsia="Calibri" w:hAnsi="Times New Roman" w:cs="Times New Roman"/>
          <w:sz w:val="24"/>
          <w:szCs w:val="24"/>
        </w:rPr>
        <w:t xml:space="preserve"> a odolnosti</w:t>
      </w:r>
      <w:r w:rsidRPr="00192C79">
        <w:rPr>
          <w:rFonts w:ascii="Times New Roman" w:eastAsia="Calibri" w:hAnsi="Times New Roman" w:cs="Times New Roman"/>
          <w:sz w:val="24"/>
          <w:szCs w:val="24"/>
        </w:rPr>
        <w:t>,</w:t>
      </w:r>
    </w:p>
    <w:p w:rsidR="00192C79" w:rsidRPr="00192C79" w:rsidRDefault="00192C79" w:rsidP="00192C79">
      <w:pPr>
        <w:ind w:left="284" w:hanging="283"/>
        <w:contextualSpacing/>
        <w:jc w:val="both"/>
        <w:rPr>
          <w:rFonts w:ascii="Times New Roman" w:eastAsia="Calibri" w:hAnsi="Times New Roman" w:cs="Times New Roman"/>
          <w:sz w:val="24"/>
          <w:szCs w:val="24"/>
          <w:highlight w:val="yellow"/>
        </w:rPr>
      </w:pPr>
    </w:p>
    <w:p w:rsidR="00192C79" w:rsidRPr="00192C79" w:rsidRDefault="00192C79" w:rsidP="00192C79">
      <w:pPr>
        <w:ind w:left="284" w:hanging="283"/>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w:t>
      </w:r>
      <w:r w:rsidRPr="00192C79">
        <w:rPr>
          <w:rFonts w:ascii="Times New Roman" w:eastAsia="Calibri" w:hAnsi="Times New Roman" w:cs="Times New Roman"/>
          <w:sz w:val="24"/>
          <w:szCs w:val="24"/>
        </w:rPr>
        <w:tab/>
        <w:t xml:space="preserve">Ministerstvo vnútra SR – finančné prostriedky v sume 22,6 mil. eur, kde v rámci preneseného výkonu štátnej správy (v celkovej sume 21.9 mil. eur) sú určené finančné prostriedky na činnosť matričných úradov v sume 8,90 mil. eur, na hlásenie pobytu občanov a register obyvateľov SR v sume 1,80 mil. eur, na register adries podľa zákona č. 125/2015 Z. z. v sume 197 tis. eur, na činnosti na úseku ochrany prírody, ovzdušia, vôd </w:t>
      </w:r>
      <w:r w:rsidRPr="00192C79">
        <w:rPr>
          <w:rFonts w:ascii="Times New Roman" w:eastAsia="Calibri" w:hAnsi="Times New Roman" w:cs="Times New Roman"/>
          <w:sz w:val="24"/>
          <w:szCs w:val="24"/>
        </w:rPr>
        <w:br/>
        <w:t>a protipovodňovej ochrany v sume 547 tis. eur a na voľby v sume 10,5 mil. eur. Z ostatných finančných prost</w:t>
      </w:r>
      <w:r w:rsidR="008A37AF">
        <w:rPr>
          <w:rFonts w:ascii="Times New Roman" w:eastAsia="Calibri" w:hAnsi="Times New Roman" w:cs="Times New Roman"/>
          <w:sz w:val="24"/>
          <w:szCs w:val="24"/>
        </w:rPr>
        <w:t>riedkov poskytnutých obciam (662</w:t>
      </w:r>
      <w:r w:rsidRPr="00192C79">
        <w:rPr>
          <w:rFonts w:ascii="Times New Roman" w:eastAsia="Calibri" w:hAnsi="Times New Roman" w:cs="Times New Roman"/>
          <w:sz w:val="24"/>
          <w:szCs w:val="24"/>
        </w:rPr>
        <w:t xml:space="preserve"> tis. eur) bude financovaná azylová politika, verejný poriadok a bezpečnosť, </w:t>
      </w:r>
    </w:p>
    <w:p w:rsidR="00192C79" w:rsidRPr="00192C79" w:rsidRDefault="00192C79" w:rsidP="00192C79">
      <w:pPr>
        <w:ind w:left="284" w:hanging="283"/>
        <w:contextualSpacing/>
        <w:jc w:val="both"/>
        <w:rPr>
          <w:rFonts w:ascii="Times New Roman" w:eastAsia="Calibri" w:hAnsi="Times New Roman" w:cs="Times New Roman"/>
          <w:sz w:val="24"/>
          <w:szCs w:val="24"/>
          <w:highlight w:val="yellow"/>
        </w:rPr>
      </w:pPr>
    </w:p>
    <w:p w:rsidR="00192C79" w:rsidRPr="00192C79" w:rsidRDefault="00192C79" w:rsidP="00192C79">
      <w:pPr>
        <w:ind w:left="284" w:hanging="283"/>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w:t>
      </w:r>
      <w:r w:rsidRPr="00192C79">
        <w:rPr>
          <w:rFonts w:ascii="Times New Roman" w:eastAsia="Calibri" w:hAnsi="Times New Roman" w:cs="Times New Roman"/>
          <w:sz w:val="24"/>
          <w:szCs w:val="24"/>
        </w:rPr>
        <w:tab/>
        <w:t xml:space="preserve">Ministerstvo dopravy a výstavby SR – finančné prostriedky v sume 9,09 mil. eur, z toho na financovanie preneseného výkonu štátnej správy je určená suma 8,48 mil. eur, z toho </w:t>
      </w:r>
      <w:r w:rsidRPr="00192C79">
        <w:rPr>
          <w:rFonts w:ascii="Times New Roman" w:eastAsia="Calibri" w:hAnsi="Times New Roman" w:cs="Times New Roman"/>
          <w:sz w:val="24"/>
          <w:szCs w:val="24"/>
        </w:rPr>
        <w:br/>
        <w:t>v oblasti pozemných komunikácií – špeciálnych stavebných úradov v sume 236 tis. eur a na úseku stavebného poriadku a bývania v sume 8,24 mil. eur. Ostatné prostriedky sú určené na podporu územného rozvoja miest a obcí v sume 610 tis. eur,</w:t>
      </w:r>
    </w:p>
    <w:p w:rsidR="00192C79" w:rsidRPr="00192C79" w:rsidRDefault="00192C79" w:rsidP="00192C79">
      <w:pPr>
        <w:ind w:left="284" w:hanging="283"/>
        <w:contextualSpacing/>
        <w:jc w:val="both"/>
        <w:rPr>
          <w:rFonts w:ascii="Times New Roman" w:eastAsia="Calibri" w:hAnsi="Times New Roman" w:cs="Times New Roman"/>
          <w:sz w:val="24"/>
          <w:szCs w:val="24"/>
          <w:highlight w:val="yellow"/>
        </w:rPr>
      </w:pPr>
    </w:p>
    <w:p w:rsidR="00192C79" w:rsidRPr="00192C79" w:rsidRDefault="00192C79" w:rsidP="00192C79">
      <w:pPr>
        <w:ind w:left="284" w:hanging="283"/>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w:t>
      </w:r>
      <w:r w:rsidRPr="00192C79">
        <w:rPr>
          <w:rFonts w:ascii="Times New Roman" w:eastAsia="Calibri" w:hAnsi="Times New Roman" w:cs="Times New Roman"/>
          <w:sz w:val="24"/>
          <w:szCs w:val="24"/>
        </w:rPr>
        <w:tab/>
        <w:t xml:space="preserve">Ministerstvo práce, sociálnych vecí a rodiny SR – finančné prostriedky v sume </w:t>
      </w:r>
      <w:r w:rsidRPr="00192C79">
        <w:rPr>
          <w:rFonts w:ascii="Times New Roman" w:eastAsia="Calibri" w:hAnsi="Times New Roman" w:cs="Times New Roman"/>
          <w:sz w:val="24"/>
          <w:szCs w:val="24"/>
        </w:rPr>
        <w:br/>
        <w:t xml:space="preserve">88,6 mil. eur, ktoré budú poskytované obciam na výkon osobitného príjemcu vo výške </w:t>
      </w:r>
      <w:r w:rsidRPr="00192C79">
        <w:rPr>
          <w:rFonts w:ascii="Times New Roman" w:eastAsia="Calibri" w:hAnsi="Times New Roman" w:cs="Times New Roman"/>
          <w:sz w:val="24"/>
          <w:szCs w:val="24"/>
        </w:rPr>
        <w:br/>
        <w:t>160 tis. eur, na financovanie zariadení sociálnych služieb a na dotácie na stravu a školské potreby pre dieťa v hmotnej núdzi vo výške 88,4 mil. eur,</w:t>
      </w:r>
    </w:p>
    <w:p w:rsidR="00192C79" w:rsidRPr="00192C79" w:rsidRDefault="00192C79" w:rsidP="00192C79">
      <w:pPr>
        <w:ind w:left="284" w:hanging="283"/>
        <w:contextualSpacing/>
        <w:jc w:val="both"/>
        <w:rPr>
          <w:rFonts w:ascii="Times New Roman" w:eastAsia="Calibri" w:hAnsi="Times New Roman" w:cs="Times New Roman"/>
          <w:sz w:val="24"/>
          <w:szCs w:val="24"/>
          <w:highlight w:val="yellow"/>
        </w:rPr>
      </w:pPr>
    </w:p>
    <w:p w:rsidR="00192C79" w:rsidRPr="00192C79" w:rsidRDefault="00192C79" w:rsidP="00192C79">
      <w:pPr>
        <w:ind w:left="284" w:hanging="283"/>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w:t>
      </w:r>
      <w:r w:rsidRPr="00192C79">
        <w:rPr>
          <w:rFonts w:ascii="Times New Roman" w:eastAsia="Calibri" w:hAnsi="Times New Roman" w:cs="Times New Roman"/>
          <w:sz w:val="24"/>
          <w:szCs w:val="24"/>
        </w:rPr>
        <w:tab/>
        <w:t>Všeobecná pokladničná správa – finančné prostriedky v sume 2,69 mil. eur sú určené na záchranu a obnovu kultúrnych pamiatok, </w:t>
      </w:r>
    </w:p>
    <w:p w:rsidR="00192C79" w:rsidRPr="00192C79" w:rsidRDefault="00192C79" w:rsidP="00192C79">
      <w:pPr>
        <w:ind w:left="284" w:hanging="283"/>
        <w:contextualSpacing/>
        <w:jc w:val="both"/>
        <w:rPr>
          <w:rFonts w:ascii="Times New Roman" w:eastAsia="Calibri" w:hAnsi="Times New Roman" w:cs="Times New Roman"/>
          <w:sz w:val="24"/>
          <w:szCs w:val="24"/>
        </w:rPr>
      </w:pPr>
    </w:p>
    <w:p w:rsidR="00192C79" w:rsidRPr="00192C79" w:rsidRDefault="00192C79" w:rsidP="00192C79">
      <w:pPr>
        <w:ind w:left="284" w:hanging="283"/>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w:t>
      </w:r>
      <w:r w:rsidRPr="00192C79">
        <w:rPr>
          <w:rFonts w:ascii="Times New Roman" w:eastAsia="Calibri" w:hAnsi="Times New Roman" w:cs="Times New Roman"/>
          <w:sz w:val="24"/>
          <w:szCs w:val="24"/>
        </w:rPr>
        <w:tab/>
        <w:t>Úrad vlády SR – finančné prostriedky v sume 850 tis. eur na financovanie podporných aktivít.</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Do rozpočtov obcí sa predpokladá poskytnúť v roku 2022 transfery z fondov v celkovej sume 102 mil. eur, z toho z Environmentálneho fondu v sume 99,8 mil. eur, z Audiovizuálneho fondu v sume 95,0 tis. eur, z Fondu na podporu umenia v sume 1,69 mil. eur a z Fondu na podporu kultúry národnostných menšín v sume 436 tis. eur. </w:t>
      </w:r>
    </w:p>
    <w:p w:rsidR="00192C79" w:rsidRPr="00192C79" w:rsidRDefault="00192C79" w:rsidP="00192C79">
      <w:pPr>
        <w:contextualSpacing/>
        <w:jc w:val="both"/>
        <w:rPr>
          <w:rFonts w:ascii="Times New Roman" w:eastAsia="Calibri" w:hAnsi="Times New Roman" w:cs="Times New Roman"/>
          <w:sz w:val="24"/>
          <w:szCs w:val="24"/>
          <w:highlight w:val="yellow"/>
        </w:rPr>
      </w:pPr>
    </w:p>
    <w:p w:rsidR="00192C79" w:rsidRPr="00192C79" w:rsidRDefault="00192C79" w:rsidP="00192C79">
      <w:pPr>
        <w:contextualSpacing/>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Do rozpočtu </w:t>
      </w:r>
      <w:r w:rsidRPr="00F45023">
        <w:rPr>
          <w:rFonts w:ascii="Times New Roman" w:eastAsia="Calibri" w:hAnsi="Times New Roman" w:cs="Times New Roman"/>
          <w:b/>
          <w:sz w:val="24"/>
          <w:szCs w:val="24"/>
        </w:rPr>
        <w:t>obcí</w:t>
      </w:r>
      <w:r w:rsidRPr="00192C79">
        <w:rPr>
          <w:rFonts w:ascii="Times New Roman" w:eastAsia="Calibri" w:hAnsi="Times New Roman" w:cs="Times New Roman"/>
          <w:sz w:val="24"/>
          <w:szCs w:val="24"/>
        </w:rPr>
        <w:t xml:space="preserve"> sa predpokladajú aj finančné prostriedky z Jadrovej a vyraďovacej spoločnosti, a. s. vo výške 124 tis. eur.</w:t>
      </w:r>
    </w:p>
    <w:p w:rsidR="00192C79" w:rsidRPr="00192C79" w:rsidRDefault="00192C79" w:rsidP="00192C79">
      <w:pPr>
        <w:contextualSpacing/>
        <w:jc w:val="both"/>
        <w:rPr>
          <w:rFonts w:ascii="Times New Roman" w:eastAsia="Calibri" w:hAnsi="Times New Roman" w:cs="Times New Roman"/>
          <w:sz w:val="24"/>
          <w:szCs w:val="24"/>
        </w:rPr>
      </w:pPr>
    </w:p>
    <w:p w:rsidR="00192C79" w:rsidRPr="00192C79" w:rsidRDefault="00192C79" w:rsidP="00192C79">
      <w:pPr>
        <w:keepNext/>
        <w:keepLines/>
        <w:contextualSpacing/>
        <w:jc w:val="both"/>
        <w:rPr>
          <w:rFonts w:ascii="Times New Roman" w:hAnsi="Times New Roman" w:cs="Times New Roman"/>
          <w:sz w:val="24"/>
          <w:szCs w:val="24"/>
        </w:rPr>
      </w:pPr>
      <w:r w:rsidRPr="00192C79">
        <w:rPr>
          <w:rFonts w:ascii="Times New Roman" w:hAnsi="Times New Roman" w:cs="Times New Roman"/>
          <w:sz w:val="24"/>
          <w:szCs w:val="24"/>
        </w:rPr>
        <w:t xml:space="preserve">Na rok 2022 sa rozpočtujú pre </w:t>
      </w:r>
      <w:r w:rsidRPr="00192C79">
        <w:rPr>
          <w:rFonts w:ascii="Times New Roman" w:hAnsi="Times New Roman" w:cs="Times New Roman"/>
          <w:b/>
          <w:sz w:val="24"/>
          <w:szCs w:val="24"/>
        </w:rPr>
        <w:t>vyššie územné celky</w:t>
      </w:r>
      <w:r w:rsidRPr="00192C79">
        <w:rPr>
          <w:rFonts w:ascii="Times New Roman" w:hAnsi="Times New Roman" w:cs="Times New Roman"/>
          <w:sz w:val="24"/>
          <w:szCs w:val="24"/>
        </w:rPr>
        <w:t xml:space="preserve"> celkové granty a transfery v objeme </w:t>
      </w:r>
      <w:r w:rsidRPr="00192C79">
        <w:rPr>
          <w:rFonts w:ascii="Times New Roman" w:hAnsi="Times New Roman" w:cs="Times New Roman"/>
          <w:sz w:val="24"/>
          <w:szCs w:val="24"/>
        </w:rPr>
        <w:br/>
        <w:t>567 mil. eur. Bežné transfery sa predpokladajú vo výške 565 mil. eur, z toho na financovanie spoločných projektov EÚ a SR sa rozpočtujú vo výške 53,9 mil. eur (z toho 45,6 mil. eur predstavujú EÚ prostriedky a spolufinancovanie 8,26 mil. eur) a kapitálové transfery vo výške 1,70 mil. eur.</w:t>
      </w:r>
    </w:p>
    <w:p w:rsidR="00192C79" w:rsidRPr="00192C79" w:rsidRDefault="00192C79" w:rsidP="00192C79">
      <w:pPr>
        <w:keepNext/>
        <w:keepLines/>
        <w:contextualSpacing/>
        <w:jc w:val="both"/>
        <w:rPr>
          <w:rFonts w:ascii="Times New Roman" w:hAnsi="Times New Roman" w:cs="Times New Roman"/>
          <w:sz w:val="24"/>
          <w:szCs w:val="24"/>
        </w:rPr>
      </w:pPr>
    </w:p>
    <w:p w:rsidR="00192C79" w:rsidRPr="00192C79" w:rsidRDefault="00192C79" w:rsidP="00192C79">
      <w:pPr>
        <w:spacing w:after="0"/>
        <w:contextualSpacing/>
        <w:jc w:val="both"/>
        <w:rPr>
          <w:rFonts w:ascii="Times New Roman" w:hAnsi="Times New Roman" w:cs="Times New Roman"/>
          <w:sz w:val="24"/>
          <w:szCs w:val="24"/>
        </w:rPr>
      </w:pPr>
      <w:r w:rsidRPr="00192C79">
        <w:rPr>
          <w:rFonts w:ascii="Times New Roman" w:hAnsi="Times New Roman" w:cs="Times New Roman"/>
          <w:sz w:val="24"/>
          <w:szCs w:val="24"/>
        </w:rPr>
        <w:t>Transfery zo štátneho rozpočtu do rozpočtov VÚC sa očakávajú v celkovej sume 564 mil.  eur z kapitoly:</w:t>
      </w:r>
    </w:p>
    <w:p w:rsidR="00192C79" w:rsidRPr="00192C79" w:rsidRDefault="00192C79" w:rsidP="00192C79">
      <w:pPr>
        <w:spacing w:after="0"/>
        <w:contextualSpacing/>
        <w:jc w:val="both"/>
        <w:rPr>
          <w:rFonts w:ascii="Times New Roman" w:hAnsi="Times New Roman" w:cs="Times New Roman"/>
          <w:sz w:val="24"/>
          <w:szCs w:val="24"/>
        </w:rPr>
      </w:pPr>
    </w:p>
    <w:p w:rsidR="00192C79" w:rsidRPr="00192C79" w:rsidRDefault="00192C79" w:rsidP="00192C79">
      <w:pPr>
        <w:numPr>
          <w:ilvl w:val="0"/>
          <w:numId w:val="10"/>
        </w:numPr>
        <w:spacing w:after="0" w:line="240" w:lineRule="auto"/>
        <w:ind w:left="284" w:hanging="284"/>
        <w:contextualSpacing/>
        <w:jc w:val="both"/>
        <w:rPr>
          <w:rFonts w:ascii="Times New Roman" w:eastAsia="Times New Roman" w:hAnsi="Times New Roman" w:cs="Times New Roman"/>
          <w:sz w:val="24"/>
          <w:szCs w:val="24"/>
          <w:lang w:eastAsia="cs-CZ"/>
        </w:rPr>
      </w:pPr>
      <w:r w:rsidRPr="00192C79">
        <w:rPr>
          <w:rFonts w:ascii="Times New Roman" w:eastAsia="Times New Roman" w:hAnsi="Times New Roman" w:cs="Times New Roman"/>
          <w:sz w:val="24"/>
          <w:szCs w:val="24"/>
          <w:lang w:eastAsia="cs-CZ"/>
        </w:rPr>
        <w:t xml:space="preserve">Ministerstva školstva, vedy, výskumu a športu SR – v sume 542 mil. eur, z toho na financovanie preneseného výkonu štátnej správy na úseku stredných škôl, ku ktorým plnia VÚC zriaďovateľskú funkciu v sume 507 mil. eur a 34,2 mil. eur na financovanie spoločných projektov EÚ a SR (z toho 29,2 mil. eur predstavujú EÚ prostriedky </w:t>
      </w:r>
      <w:r w:rsidRPr="00192C79">
        <w:rPr>
          <w:rFonts w:ascii="Times New Roman" w:eastAsia="Times New Roman" w:hAnsi="Times New Roman" w:cs="Times New Roman"/>
          <w:sz w:val="24"/>
          <w:szCs w:val="24"/>
          <w:lang w:eastAsia="cs-CZ"/>
        </w:rPr>
        <w:br/>
        <w:t xml:space="preserve">a spolufinancovanie 4,96 mil. eur) na podporu regionálneho školstva. Na odstránenie havarijného stavu na školách  sa rozpočtuje suma 150 tis. eur, </w:t>
      </w:r>
    </w:p>
    <w:p w:rsidR="00192C79" w:rsidRPr="00192C79" w:rsidRDefault="00192C79" w:rsidP="00192C79">
      <w:pPr>
        <w:spacing w:after="0" w:line="240" w:lineRule="auto"/>
        <w:ind w:left="284" w:hanging="284"/>
        <w:contextualSpacing/>
        <w:jc w:val="both"/>
        <w:rPr>
          <w:rFonts w:ascii="Times New Roman" w:eastAsia="Times New Roman" w:hAnsi="Times New Roman" w:cs="Times New Roman"/>
          <w:sz w:val="24"/>
          <w:szCs w:val="24"/>
          <w:lang w:eastAsia="cs-CZ"/>
        </w:rPr>
      </w:pPr>
    </w:p>
    <w:p w:rsidR="00192C79" w:rsidRPr="00192C79" w:rsidRDefault="00192C79" w:rsidP="00192C79">
      <w:pPr>
        <w:numPr>
          <w:ilvl w:val="0"/>
          <w:numId w:val="10"/>
        </w:numPr>
        <w:spacing w:after="0" w:line="240" w:lineRule="auto"/>
        <w:ind w:left="284" w:hanging="284"/>
        <w:contextualSpacing/>
        <w:jc w:val="both"/>
        <w:rPr>
          <w:rFonts w:ascii="Times New Roman" w:eastAsia="Times New Roman" w:hAnsi="Times New Roman" w:cs="Times New Roman"/>
          <w:sz w:val="24"/>
          <w:szCs w:val="24"/>
          <w:lang w:eastAsia="cs-CZ"/>
        </w:rPr>
      </w:pPr>
      <w:r w:rsidRPr="00192C79">
        <w:rPr>
          <w:rFonts w:ascii="Times New Roman" w:eastAsia="Times New Roman" w:hAnsi="Times New Roman" w:cs="Times New Roman"/>
          <w:sz w:val="24"/>
          <w:szCs w:val="24"/>
          <w:lang w:eastAsia="cs-CZ"/>
        </w:rPr>
        <w:t>Ministerstvo investícií, regionálneho rozvoja a informatizácie SR – v sume 19,7 mil. eur na financovanie spoločných projektov EÚ a SR (z toho 16,4 mil. eur predstavujú EÚ prostriedky a spolufinancovanie 3,30 mil. eur) z Plánu obnovy</w:t>
      </w:r>
      <w:r w:rsidR="00CE2A9F">
        <w:rPr>
          <w:rFonts w:ascii="Times New Roman" w:eastAsia="Times New Roman" w:hAnsi="Times New Roman" w:cs="Times New Roman"/>
          <w:sz w:val="24"/>
          <w:szCs w:val="24"/>
          <w:lang w:eastAsia="cs-CZ"/>
        </w:rPr>
        <w:t xml:space="preserve"> a odolnosti</w:t>
      </w:r>
      <w:r w:rsidRPr="00192C79">
        <w:rPr>
          <w:rFonts w:ascii="Times New Roman" w:eastAsia="Times New Roman" w:hAnsi="Times New Roman" w:cs="Times New Roman"/>
          <w:sz w:val="24"/>
          <w:szCs w:val="24"/>
          <w:lang w:eastAsia="cs-CZ"/>
        </w:rPr>
        <w:t xml:space="preserve"> na projekt Digitálne Slovensko,</w:t>
      </w:r>
    </w:p>
    <w:p w:rsidR="00192C79" w:rsidRPr="00192C79" w:rsidRDefault="00192C79" w:rsidP="00192C79">
      <w:pPr>
        <w:spacing w:after="0"/>
        <w:ind w:left="284" w:hanging="284"/>
        <w:contextualSpacing/>
        <w:jc w:val="both"/>
        <w:rPr>
          <w:rFonts w:ascii="Times New Roman" w:hAnsi="Times New Roman" w:cs="Times New Roman"/>
          <w:sz w:val="24"/>
          <w:szCs w:val="24"/>
        </w:rPr>
      </w:pPr>
    </w:p>
    <w:p w:rsidR="00192C79" w:rsidRPr="00192C79" w:rsidRDefault="00192C79" w:rsidP="00192C79">
      <w:pPr>
        <w:numPr>
          <w:ilvl w:val="0"/>
          <w:numId w:val="10"/>
        </w:numPr>
        <w:spacing w:after="0" w:line="240" w:lineRule="auto"/>
        <w:ind w:left="284" w:hanging="284"/>
        <w:contextualSpacing/>
        <w:jc w:val="both"/>
        <w:rPr>
          <w:rFonts w:ascii="Times New Roman" w:eastAsia="Times New Roman" w:hAnsi="Times New Roman" w:cs="Times New Roman"/>
          <w:sz w:val="24"/>
          <w:szCs w:val="24"/>
          <w:lang w:eastAsia="cs-CZ"/>
        </w:rPr>
      </w:pPr>
      <w:r w:rsidRPr="00192C79">
        <w:rPr>
          <w:rFonts w:ascii="Times New Roman" w:eastAsia="Times New Roman" w:hAnsi="Times New Roman" w:cs="Times New Roman"/>
          <w:sz w:val="24"/>
          <w:szCs w:val="24"/>
          <w:lang w:eastAsia="cs-CZ"/>
        </w:rPr>
        <w:t>Ministerstva vnútra SR – v sume 250 tis. eur na voľby,</w:t>
      </w:r>
    </w:p>
    <w:p w:rsidR="00192C79" w:rsidRPr="00192C79" w:rsidRDefault="00192C79" w:rsidP="00192C79">
      <w:pPr>
        <w:spacing w:after="0" w:line="240" w:lineRule="auto"/>
        <w:ind w:left="284" w:hanging="284"/>
        <w:jc w:val="both"/>
        <w:rPr>
          <w:rFonts w:ascii="Times New Roman" w:hAnsi="Times New Roman" w:cs="Times New Roman"/>
        </w:rPr>
      </w:pPr>
    </w:p>
    <w:p w:rsidR="00192C79" w:rsidRPr="00192C79" w:rsidRDefault="00192C79" w:rsidP="00192C79">
      <w:pPr>
        <w:numPr>
          <w:ilvl w:val="0"/>
          <w:numId w:val="10"/>
        </w:numPr>
        <w:spacing w:after="0" w:line="240" w:lineRule="auto"/>
        <w:ind w:left="284" w:hanging="284"/>
        <w:contextualSpacing/>
        <w:jc w:val="both"/>
        <w:rPr>
          <w:rFonts w:ascii="Times New Roman" w:eastAsia="Times New Roman" w:hAnsi="Times New Roman" w:cs="Times New Roman"/>
          <w:sz w:val="24"/>
          <w:szCs w:val="24"/>
          <w:lang w:eastAsia="cs-CZ"/>
        </w:rPr>
      </w:pPr>
      <w:r w:rsidRPr="00192C79">
        <w:rPr>
          <w:rFonts w:ascii="Times New Roman" w:eastAsia="Times New Roman" w:hAnsi="Times New Roman" w:cs="Times New Roman"/>
          <w:sz w:val="24"/>
          <w:szCs w:val="24"/>
          <w:lang w:eastAsia="cs-CZ"/>
        </w:rPr>
        <w:t>Ministerstva práce, sociálnych vecí a rodiny SR – v sume 350 tis. eur na podporu rozvoja sociálnych služieb,</w:t>
      </w:r>
    </w:p>
    <w:p w:rsidR="00192C79" w:rsidRPr="00192C79" w:rsidRDefault="00192C79" w:rsidP="00192C79">
      <w:pPr>
        <w:spacing w:after="0"/>
        <w:ind w:left="284" w:hanging="284"/>
        <w:contextualSpacing/>
        <w:jc w:val="both"/>
        <w:rPr>
          <w:rFonts w:ascii="Times New Roman" w:hAnsi="Times New Roman" w:cs="Times New Roman"/>
          <w:sz w:val="24"/>
          <w:szCs w:val="24"/>
        </w:rPr>
      </w:pPr>
    </w:p>
    <w:p w:rsidR="00192C79" w:rsidRPr="00192C79" w:rsidRDefault="00192C79" w:rsidP="00192C79">
      <w:pPr>
        <w:numPr>
          <w:ilvl w:val="0"/>
          <w:numId w:val="10"/>
        </w:numPr>
        <w:spacing w:after="0" w:line="240" w:lineRule="auto"/>
        <w:ind w:left="284" w:hanging="284"/>
        <w:contextualSpacing/>
        <w:jc w:val="both"/>
        <w:rPr>
          <w:rFonts w:ascii="Times New Roman" w:eastAsia="Times New Roman" w:hAnsi="Times New Roman" w:cs="Times New Roman"/>
          <w:sz w:val="24"/>
          <w:szCs w:val="24"/>
          <w:lang w:eastAsia="cs-CZ"/>
        </w:rPr>
      </w:pPr>
      <w:r w:rsidRPr="00192C79">
        <w:rPr>
          <w:rFonts w:ascii="Times New Roman" w:eastAsia="Times New Roman" w:hAnsi="Times New Roman" w:cs="Times New Roman"/>
          <w:sz w:val="24"/>
          <w:szCs w:val="24"/>
          <w:lang w:eastAsia="cs-CZ"/>
        </w:rPr>
        <w:t xml:space="preserve">Všeobecnej pokladničnej správy – finančné prostriedky v sume 1,10 mil. eur </w:t>
      </w:r>
      <w:r w:rsidR="00CE2A9F">
        <w:rPr>
          <w:rFonts w:ascii="Times New Roman" w:eastAsia="Times New Roman" w:hAnsi="Times New Roman" w:cs="Times New Roman"/>
          <w:sz w:val="24"/>
          <w:szCs w:val="24"/>
          <w:lang w:eastAsia="cs-CZ"/>
        </w:rPr>
        <w:t xml:space="preserve">sa </w:t>
      </w:r>
      <w:r w:rsidRPr="00192C79">
        <w:rPr>
          <w:rFonts w:ascii="Times New Roman" w:eastAsia="Times New Roman" w:hAnsi="Times New Roman" w:cs="Times New Roman"/>
          <w:sz w:val="24"/>
          <w:szCs w:val="24"/>
          <w:lang w:eastAsia="cs-CZ"/>
        </w:rPr>
        <w:t xml:space="preserve">rozpočtujú ako kapitálové transfery na financovanie rekonštrukcie Múzea moderného umenia </w:t>
      </w:r>
      <w:r w:rsidR="00CE2A9F">
        <w:rPr>
          <w:rFonts w:ascii="Times New Roman" w:eastAsia="Times New Roman" w:hAnsi="Times New Roman" w:cs="Times New Roman"/>
          <w:sz w:val="24"/>
          <w:szCs w:val="24"/>
          <w:lang w:eastAsia="cs-CZ"/>
        </w:rPr>
        <w:br/>
      </w:r>
      <w:r w:rsidRPr="00192C79">
        <w:rPr>
          <w:rFonts w:ascii="Times New Roman" w:eastAsia="Times New Roman" w:hAnsi="Times New Roman" w:cs="Times New Roman"/>
          <w:sz w:val="24"/>
          <w:szCs w:val="24"/>
          <w:lang w:eastAsia="cs-CZ"/>
        </w:rPr>
        <w:t>A. Warhola,</w:t>
      </w:r>
    </w:p>
    <w:p w:rsidR="00192C79" w:rsidRPr="00192C79" w:rsidRDefault="00192C79" w:rsidP="00192C79">
      <w:pPr>
        <w:spacing w:after="0"/>
        <w:ind w:left="284" w:hanging="284"/>
        <w:contextualSpacing/>
        <w:jc w:val="both"/>
        <w:rPr>
          <w:rFonts w:ascii="Times New Roman" w:hAnsi="Times New Roman" w:cs="Times New Roman"/>
          <w:sz w:val="24"/>
          <w:szCs w:val="24"/>
        </w:rPr>
      </w:pPr>
    </w:p>
    <w:p w:rsidR="00192C79" w:rsidRPr="00192C79" w:rsidRDefault="00192C79" w:rsidP="00192C79">
      <w:pPr>
        <w:numPr>
          <w:ilvl w:val="0"/>
          <w:numId w:val="10"/>
        </w:numPr>
        <w:spacing w:after="0" w:line="240" w:lineRule="auto"/>
        <w:ind w:left="284" w:hanging="284"/>
        <w:contextualSpacing/>
        <w:jc w:val="both"/>
        <w:rPr>
          <w:rFonts w:ascii="Times New Roman" w:eastAsia="Times New Roman" w:hAnsi="Times New Roman" w:cs="Times New Roman"/>
          <w:sz w:val="24"/>
          <w:szCs w:val="24"/>
          <w:lang w:eastAsia="cs-CZ"/>
        </w:rPr>
      </w:pPr>
      <w:r w:rsidRPr="00192C79">
        <w:rPr>
          <w:rFonts w:ascii="Times New Roman" w:eastAsia="Times New Roman" w:hAnsi="Times New Roman" w:cs="Times New Roman"/>
          <w:sz w:val="24"/>
          <w:szCs w:val="24"/>
          <w:lang w:eastAsia="cs-CZ"/>
        </w:rPr>
        <w:t>Úrad vlády SR – finančné prostriedky v sume 650 tis. eur na financovanie podporných aktív.</w:t>
      </w:r>
    </w:p>
    <w:p w:rsidR="00192C79" w:rsidRPr="00192C79" w:rsidRDefault="00192C79" w:rsidP="00192C79">
      <w:pPr>
        <w:spacing w:after="0" w:line="240" w:lineRule="auto"/>
        <w:ind w:left="284" w:hanging="284"/>
        <w:contextualSpacing/>
        <w:jc w:val="both"/>
        <w:rPr>
          <w:rFonts w:ascii="Times New Roman" w:hAnsi="Times New Roman" w:cs="Times New Roman"/>
          <w:sz w:val="24"/>
          <w:szCs w:val="24"/>
        </w:rPr>
      </w:pPr>
    </w:p>
    <w:p w:rsidR="00192C79" w:rsidRPr="00192C79" w:rsidRDefault="00192C79" w:rsidP="00192C79">
      <w:pPr>
        <w:spacing w:after="0"/>
        <w:jc w:val="both"/>
        <w:rPr>
          <w:rFonts w:ascii="Times New Roman" w:hAnsi="Times New Roman" w:cs="Times New Roman"/>
          <w:sz w:val="24"/>
        </w:rPr>
      </w:pPr>
      <w:r w:rsidRPr="00192C79">
        <w:rPr>
          <w:rFonts w:ascii="Times New Roman" w:hAnsi="Times New Roman" w:cs="Times New Roman"/>
          <w:sz w:val="24"/>
        </w:rPr>
        <w:t>Transfery z</w:t>
      </w:r>
      <w:r w:rsidRPr="00192C79">
        <w:rPr>
          <w:rFonts w:ascii="Times New Roman" w:hAnsi="Times New Roman" w:cs="Times New Roman"/>
          <w:b/>
          <w:sz w:val="24"/>
        </w:rPr>
        <w:t xml:space="preserve"> </w:t>
      </w:r>
      <w:r w:rsidRPr="00192C79">
        <w:rPr>
          <w:rFonts w:ascii="Times New Roman" w:hAnsi="Times New Roman" w:cs="Times New Roman"/>
          <w:sz w:val="24"/>
        </w:rPr>
        <w:t xml:space="preserve">Fondu na podporu umenia sa rozpočtujú vo výške 3,27 mil. eur, z toho bežné transfery v sume 2,82 mil. eur a kapitálové transfery v sume 450 tis. eur. </w:t>
      </w:r>
    </w:p>
    <w:p w:rsidR="00192C79" w:rsidRPr="00192C79" w:rsidRDefault="00192C79" w:rsidP="00192C79">
      <w:pPr>
        <w:spacing w:after="0"/>
        <w:jc w:val="both"/>
        <w:rPr>
          <w:rFonts w:ascii="Times New Roman" w:hAnsi="Times New Roman" w:cs="Times New Roman"/>
          <w:sz w:val="24"/>
        </w:rPr>
      </w:pPr>
    </w:p>
    <w:p w:rsidR="00192C79" w:rsidRPr="00192C79" w:rsidRDefault="00192C79" w:rsidP="00192C79">
      <w:pPr>
        <w:spacing w:after="0"/>
        <w:jc w:val="both"/>
        <w:rPr>
          <w:rFonts w:ascii="Times New Roman" w:hAnsi="Times New Roman" w:cs="Times New Roman"/>
          <w:sz w:val="24"/>
        </w:rPr>
      </w:pPr>
      <w:r w:rsidRPr="00192C79">
        <w:rPr>
          <w:rFonts w:ascii="Times New Roman" w:hAnsi="Times New Roman" w:cs="Times New Roman"/>
          <w:sz w:val="24"/>
        </w:rPr>
        <w:t>Bežné transfery z</w:t>
      </w:r>
      <w:r w:rsidRPr="00192C79">
        <w:rPr>
          <w:rFonts w:ascii="Times New Roman" w:hAnsi="Times New Roman" w:cs="Times New Roman"/>
          <w:b/>
          <w:sz w:val="24"/>
        </w:rPr>
        <w:t xml:space="preserve"> </w:t>
      </w:r>
      <w:r w:rsidRPr="00192C79">
        <w:rPr>
          <w:rFonts w:ascii="Times New Roman" w:hAnsi="Times New Roman" w:cs="Times New Roman"/>
          <w:sz w:val="24"/>
        </w:rPr>
        <w:t xml:space="preserve">Fondu na podporu kultúry národnostných menšín sa rozpočtujú v sume </w:t>
      </w:r>
      <w:r w:rsidRPr="00192C79">
        <w:rPr>
          <w:rFonts w:ascii="Times New Roman" w:hAnsi="Times New Roman" w:cs="Times New Roman"/>
          <w:sz w:val="24"/>
        </w:rPr>
        <w:br/>
        <w:t>152 tis. eur.</w:t>
      </w:r>
    </w:p>
    <w:p w:rsidR="00192C79" w:rsidRPr="00192C79" w:rsidRDefault="00192C79" w:rsidP="00192C79">
      <w:pPr>
        <w:spacing w:after="0"/>
        <w:jc w:val="both"/>
        <w:rPr>
          <w:rFonts w:ascii="Times New Roman" w:hAnsi="Times New Roman" w:cs="Times New Roman"/>
          <w:sz w:val="24"/>
        </w:rPr>
      </w:pPr>
    </w:p>
    <w:p w:rsidR="00192C79" w:rsidRPr="00192C79" w:rsidRDefault="00192C79" w:rsidP="00192C79">
      <w:pPr>
        <w:spacing w:after="0"/>
        <w:jc w:val="both"/>
        <w:rPr>
          <w:rFonts w:ascii="Times New Roman" w:hAnsi="Times New Roman" w:cs="Times New Roman"/>
          <w:sz w:val="24"/>
          <w:szCs w:val="24"/>
        </w:rPr>
      </w:pPr>
      <w:r w:rsidRPr="00192C79">
        <w:rPr>
          <w:rFonts w:ascii="Times New Roman" w:hAnsi="Times New Roman" w:cs="Times New Roman"/>
          <w:b/>
          <w:sz w:val="24"/>
          <w:szCs w:val="24"/>
        </w:rPr>
        <w:t>Dopravné podniky</w:t>
      </w:r>
      <w:r w:rsidRPr="00192C79">
        <w:rPr>
          <w:rFonts w:ascii="Times New Roman" w:hAnsi="Times New Roman" w:cs="Times New Roman"/>
          <w:sz w:val="24"/>
          <w:szCs w:val="24"/>
        </w:rPr>
        <w:t xml:space="preserve"> predpokladajú celkové granty a transfery v sume 153 mil. eur, z toho bežné transfery v sume 122 mil. eur, najmä na pokrytie straty pri zabezpečení výkonov vo verejnom záujme v mestskej hromadnej doprave a kapitálové transfery v sume 30,7 mil. eur na obstaranie kapitálových aktív.</w:t>
      </w:r>
    </w:p>
    <w:p w:rsidR="007020FE" w:rsidRPr="00446DDA" w:rsidRDefault="007020FE" w:rsidP="00AC031F">
      <w:pPr>
        <w:spacing w:after="0"/>
        <w:rPr>
          <w:rFonts w:ascii="Times New Roman" w:eastAsia="Calibri" w:hAnsi="Times New Roman" w:cs="Times New Roman"/>
          <w:sz w:val="24"/>
          <w:szCs w:val="24"/>
        </w:rPr>
      </w:pPr>
    </w:p>
    <w:p w:rsidR="00AC031F" w:rsidRPr="00A742DB" w:rsidRDefault="00AC031F" w:rsidP="00AC031F">
      <w:pPr>
        <w:pStyle w:val="Nadpis2"/>
        <w:spacing w:before="0" w:after="0"/>
        <w:jc w:val="both"/>
        <w:rPr>
          <w:rFonts w:ascii="Times New Roman" w:hAnsi="Times New Roman"/>
          <w:b w:val="0"/>
          <w:bCs w:val="0"/>
          <w:i w:val="0"/>
          <w:color w:val="5B9BD5" w:themeColor="accent1"/>
          <w:sz w:val="24"/>
          <w:szCs w:val="24"/>
          <w:lang w:eastAsia="sk-SK"/>
        </w:rPr>
      </w:pPr>
      <w:bookmarkStart w:id="128" w:name="_Toc52972877"/>
      <w:bookmarkStart w:id="129" w:name="_Toc84684754"/>
      <w:r w:rsidRPr="00A742DB">
        <w:rPr>
          <w:rFonts w:ascii="Times New Roman" w:hAnsi="Times New Roman"/>
          <w:i w:val="0"/>
          <w:color w:val="5B9BD5" w:themeColor="accent1"/>
          <w:sz w:val="24"/>
          <w:szCs w:val="24"/>
          <w:lang w:eastAsia="sk-SK"/>
        </w:rPr>
        <w:t xml:space="preserve">3.3. </w:t>
      </w:r>
      <w:bookmarkEnd w:id="128"/>
      <w:r w:rsidR="00192C79" w:rsidRPr="00A742DB">
        <w:rPr>
          <w:rFonts w:ascii="Times New Roman" w:hAnsi="Times New Roman"/>
          <w:i w:val="0"/>
          <w:color w:val="5B9BD5" w:themeColor="accent1"/>
          <w:sz w:val="24"/>
          <w:szCs w:val="24"/>
          <w:lang w:eastAsia="sk-SK"/>
        </w:rPr>
        <w:t xml:space="preserve">Príjmy samostatných účtov štátnych </w:t>
      </w:r>
      <w:r w:rsidR="00192C79" w:rsidRPr="001455C3">
        <w:rPr>
          <w:rFonts w:ascii="Times New Roman" w:hAnsi="Times New Roman"/>
          <w:i w:val="0"/>
          <w:color w:val="5B9BD5" w:themeColor="accent1"/>
          <w:sz w:val="24"/>
          <w:szCs w:val="24"/>
          <w:lang w:eastAsia="sk-SK"/>
        </w:rPr>
        <w:t>rozpočtových organizácií vstupujúce do rozpočtu verejnej správy</w:t>
      </w:r>
      <w:bookmarkEnd w:id="129"/>
    </w:p>
    <w:p w:rsidR="00AC031F" w:rsidRDefault="00AC031F" w:rsidP="00AC031F">
      <w:pPr>
        <w:spacing w:after="0"/>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 xml:space="preserve">Podľa zákona o rozpočtových pravidlách verejnej správy sú súčasťou príjmov rozpočtovej organizácie aj všetky príjmy rozpočtované na jej samostatných účtoch. </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V rámci aktuálneho návrhu rozpočtu verejnej správy sú rozpočtované nasledovné príjmy samostatných účtov štátnych rozpočtových organizácií.</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pStyle w:val="Popis"/>
        <w:keepNext/>
        <w:spacing w:after="0"/>
        <w:rPr>
          <w:rFonts w:ascii="Times New Roman" w:hAnsi="Times New Roman" w:cs="Times New Roman"/>
          <w:b/>
          <w:i w:val="0"/>
          <w:color w:val="5B9BD5" w:themeColor="accent1"/>
          <w:sz w:val="20"/>
          <w:szCs w:val="20"/>
        </w:rPr>
      </w:pPr>
      <w:bookmarkStart w:id="130" w:name="_Toc84845268"/>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44</w:t>
      </w:r>
      <w:r w:rsidRPr="00192C79">
        <w:rPr>
          <w:rFonts w:ascii="Times New Roman" w:hAnsi="Times New Roman" w:cs="Times New Roman"/>
          <w:b/>
          <w:i w:val="0"/>
          <w:color w:val="5B9BD5" w:themeColor="accent1"/>
          <w:sz w:val="20"/>
          <w:szCs w:val="20"/>
        </w:rPr>
        <w:fldChar w:fldCharType="end"/>
      </w:r>
      <w:r w:rsidRPr="00192C79">
        <w:rPr>
          <w:rFonts w:ascii="Times New Roman" w:hAnsi="Times New Roman" w:cs="Times New Roman"/>
          <w:b/>
          <w:i w:val="0"/>
          <w:color w:val="5B9BD5" w:themeColor="accent1"/>
          <w:sz w:val="20"/>
          <w:szCs w:val="20"/>
        </w:rPr>
        <w:t xml:space="preserve"> - Príjmy samostatných účtov štátnych rozpočtových organizácií</w:t>
      </w:r>
      <w:bookmarkEnd w:id="130"/>
    </w:p>
    <w:tbl>
      <w:tblPr>
        <w:tblW w:w="5000" w:type="pct"/>
        <w:tblCellMar>
          <w:left w:w="70" w:type="dxa"/>
          <w:right w:w="70" w:type="dxa"/>
        </w:tblCellMar>
        <w:tblLook w:val="04A0" w:firstRow="1" w:lastRow="0" w:firstColumn="1" w:lastColumn="0" w:noHBand="0" w:noVBand="1"/>
      </w:tblPr>
      <w:tblGrid>
        <w:gridCol w:w="1656"/>
        <w:gridCol w:w="1060"/>
        <w:gridCol w:w="1060"/>
        <w:gridCol w:w="1060"/>
        <w:gridCol w:w="1060"/>
        <w:gridCol w:w="1060"/>
        <w:gridCol w:w="1060"/>
        <w:gridCol w:w="1056"/>
      </w:tblGrid>
      <w:tr w:rsidR="00192C79" w:rsidRPr="00192C79" w:rsidTr="00192C79">
        <w:trPr>
          <w:trHeight w:val="289"/>
        </w:trPr>
        <w:tc>
          <w:tcPr>
            <w:tcW w:w="913"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v tis. eur</w:t>
            </w:r>
          </w:p>
        </w:tc>
        <w:tc>
          <w:tcPr>
            <w:tcW w:w="584"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2019 S</w:t>
            </w:r>
          </w:p>
        </w:tc>
        <w:tc>
          <w:tcPr>
            <w:tcW w:w="584"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2020 S</w:t>
            </w:r>
          </w:p>
        </w:tc>
        <w:tc>
          <w:tcPr>
            <w:tcW w:w="584"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 xml:space="preserve"> 2021 R</w:t>
            </w:r>
          </w:p>
        </w:tc>
        <w:tc>
          <w:tcPr>
            <w:tcW w:w="584"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2021 OS</w:t>
            </w:r>
          </w:p>
        </w:tc>
        <w:tc>
          <w:tcPr>
            <w:tcW w:w="584"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2022 N</w:t>
            </w:r>
          </w:p>
        </w:tc>
        <w:tc>
          <w:tcPr>
            <w:tcW w:w="584"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2023 N</w:t>
            </w:r>
          </w:p>
        </w:tc>
        <w:tc>
          <w:tcPr>
            <w:tcW w:w="582" w:type="pct"/>
            <w:tcBorders>
              <w:top w:val="single" w:sz="4" w:space="0" w:color="auto"/>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2024 N</w:t>
            </w:r>
          </w:p>
        </w:tc>
      </w:tr>
      <w:tr w:rsidR="00192C79" w:rsidRPr="00192C79" w:rsidTr="00192C79">
        <w:trPr>
          <w:trHeight w:val="289"/>
        </w:trPr>
        <w:tc>
          <w:tcPr>
            <w:tcW w:w="91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Spolu</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2 297 183</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3 976 319</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1 728 676</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1 954 505</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1 961 809</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1 818 122</w:t>
            </w:r>
          </w:p>
        </w:tc>
        <w:tc>
          <w:tcPr>
            <w:tcW w:w="58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b/>
                <w:bCs/>
                <w:color w:val="000000"/>
                <w:sz w:val="16"/>
                <w:szCs w:val="16"/>
                <w:lang w:eastAsia="sk-SK"/>
              </w:rPr>
            </w:pPr>
            <w:r w:rsidRPr="00192C79">
              <w:rPr>
                <w:rFonts w:ascii="Times New Roman" w:eastAsia="Times New Roman" w:hAnsi="Times New Roman" w:cs="Times New Roman"/>
                <w:b/>
                <w:bCs/>
                <w:color w:val="000000"/>
                <w:sz w:val="16"/>
                <w:szCs w:val="16"/>
                <w:lang w:eastAsia="sk-SK"/>
              </w:rPr>
              <w:t>1 782 206</w:t>
            </w:r>
          </w:p>
        </w:tc>
      </w:tr>
      <w:tr w:rsidR="00192C79" w:rsidRPr="00192C79" w:rsidTr="00192C79">
        <w:trPr>
          <w:trHeight w:val="289"/>
        </w:trPr>
        <w:tc>
          <w:tcPr>
            <w:tcW w:w="91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Daňové príjmy</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441 657</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468 815</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525 035</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525 035</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521 020</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529 784</w:t>
            </w:r>
          </w:p>
        </w:tc>
        <w:tc>
          <w:tcPr>
            <w:tcW w:w="58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537 053</w:t>
            </w:r>
          </w:p>
        </w:tc>
      </w:tr>
      <w:tr w:rsidR="00192C79" w:rsidRPr="00192C79" w:rsidTr="00192C79">
        <w:trPr>
          <w:trHeight w:val="289"/>
        </w:trPr>
        <w:tc>
          <w:tcPr>
            <w:tcW w:w="91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Nedaňové príjmy</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337 626</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610 509</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27 209</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27 209</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30 374</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35 194</w:t>
            </w:r>
          </w:p>
        </w:tc>
        <w:tc>
          <w:tcPr>
            <w:tcW w:w="58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26 876</w:t>
            </w:r>
          </w:p>
        </w:tc>
      </w:tr>
      <w:tr w:rsidR="00192C79" w:rsidRPr="00192C79" w:rsidTr="00192C79">
        <w:trPr>
          <w:trHeight w:val="289"/>
        </w:trPr>
        <w:tc>
          <w:tcPr>
            <w:tcW w:w="913"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Granty a transfery</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1 130 331</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2 429 913</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1 176 432</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1 402 261</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1 410 415</w:t>
            </w:r>
          </w:p>
        </w:tc>
        <w:tc>
          <w:tcPr>
            <w:tcW w:w="584"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1 253 144</w:t>
            </w:r>
          </w:p>
        </w:tc>
        <w:tc>
          <w:tcPr>
            <w:tcW w:w="582" w:type="pct"/>
            <w:tcBorders>
              <w:top w:val="nil"/>
              <w:left w:val="nil"/>
              <w:bottom w:val="nil"/>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1 218 277</w:t>
            </w:r>
          </w:p>
        </w:tc>
      </w:tr>
      <w:tr w:rsidR="00192C79" w:rsidRPr="00192C79" w:rsidTr="00192C79">
        <w:trPr>
          <w:trHeight w:val="289"/>
        </w:trPr>
        <w:tc>
          <w:tcPr>
            <w:tcW w:w="913"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Prevodové položky</w:t>
            </w:r>
          </w:p>
        </w:tc>
        <w:tc>
          <w:tcPr>
            <w:tcW w:w="584"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387 569</w:t>
            </w:r>
          </w:p>
        </w:tc>
        <w:tc>
          <w:tcPr>
            <w:tcW w:w="584"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467 082</w:t>
            </w:r>
          </w:p>
        </w:tc>
        <w:tc>
          <w:tcPr>
            <w:tcW w:w="584"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84"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84"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84"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c>
          <w:tcPr>
            <w:tcW w:w="582" w:type="pct"/>
            <w:tcBorders>
              <w:top w:val="nil"/>
              <w:left w:val="nil"/>
              <w:bottom w:val="single" w:sz="4" w:space="0" w:color="auto"/>
              <w:right w:val="nil"/>
            </w:tcBorders>
            <w:shd w:val="clear" w:color="auto" w:fill="auto"/>
            <w:noWrap/>
            <w:vAlign w:val="center"/>
            <w:hideMark/>
          </w:tcPr>
          <w:p w:rsidR="00192C79" w:rsidRPr="00192C79" w:rsidRDefault="00192C79" w:rsidP="00192C79">
            <w:pPr>
              <w:spacing w:after="0" w:line="240" w:lineRule="auto"/>
              <w:jc w:val="right"/>
              <w:rPr>
                <w:rFonts w:ascii="Times New Roman" w:eastAsia="Times New Roman" w:hAnsi="Times New Roman" w:cs="Times New Roman"/>
                <w:color w:val="000000"/>
                <w:sz w:val="16"/>
                <w:szCs w:val="16"/>
                <w:lang w:eastAsia="sk-SK"/>
              </w:rPr>
            </w:pPr>
            <w:r w:rsidRPr="00192C79">
              <w:rPr>
                <w:rFonts w:ascii="Times New Roman" w:eastAsia="Times New Roman" w:hAnsi="Times New Roman" w:cs="Times New Roman"/>
                <w:color w:val="000000"/>
                <w:sz w:val="16"/>
                <w:szCs w:val="16"/>
                <w:lang w:eastAsia="sk-SK"/>
              </w:rPr>
              <w:t>0</w:t>
            </w:r>
          </w:p>
        </w:tc>
      </w:tr>
    </w:tbl>
    <w:p w:rsidR="00192C79" w:rsidRPr="00192C79" w:rsidRDefault="00192C79" w:rsidP="00192C79">
      <w:pPr>
        <w:spacing w:after="0"/>
        <w:rPr>
          <w:rFonts w:ascii="Times New Roman" w:eastAsia="Calibri" w:hAnsi="Times New Roman" w:cs="Times New Roman"/>
          <w:i/>
        </w:rPr>
      </w:pPr>
      <w:r w:rsidRPr="00192C79">
        <w:rPr>
          <w:rFonts w:ascii="Times New Roman" w:eastAsia="Calibri" w:hAnsi="Times New Roman" w:cs="Times New Roman"/>
          <w:sz w:val="16"/>
          <w:szCs w:val="16"/>
        </w:rPr>
        <w:t xml:space="preserve">     </w:t>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sz w:val="16"/>
          <w:szCs w:val="16"/>
        </w:rPr>
        <w:tab/>
      </w:r>
      <w:r w:rsidRPr="00192C79">
        <w:rPr>
          <w:rFonts w:ascii="Times New Roman" w:eastAsia="Calibri" w:hAnsi="Times New Roman" w:cs="Times New Roman"/>
          <w:i/>
          <w:sz w:val="16"/>
          <w:szCs w:val="16"/>
        </w:rPr>
        <w:t xml:space="preserve">     </w:t>
      </w:r>
      <w:r w:rsidR="00372AD6">
        <w:rPr>
          <w:rFonts w:ascii="Times New Roman" w:eastAsia="Calibri" w:hAnsi="Times New Roman" w:cs="Times New Roman"/>
          <w:i/>
          <w:sz w:val="16"/>
          <w:szCs w:val="16"/>
        </w:rPr>
        <w:t xml:space="preserve">   </w:t>
      </w:r>
      <w:r w:rsidRPr="00192C79">
        <w:rPr>
          <w:rFonts w:ascii="Times New Roman" w:eastAsia="Calibri" w:hAnsi="Times New Roman" w:cs="Times New Roman"/>
          <w:i/>
          <w:sz w:val="16"/>
          <w:szCs w:val="16"/>
        </w:rPr>
        <w:t>Zdroj: MF SR</w:t>
      </w:r>
    </w:p>
    <w:p w:rsidR="00192C79" w:rsidRPr="00192C79" w:rsidRDefault="00192C79" w:rsidP="00192C79">
      <w:pPr>
        <w:spacing w:after="0"/>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V rámci daňových príjmov sú rozpočtované príjmy z poistenia na sociálne zabezpečenie ozbrojených zložiek (policajtov, hasičov, vojakov a colníkov) v príslušných kapitolách štátneho rozpočtu. Tieto príjmy z poistného nie sú podrobené hodnoteniu Výborom pre daňové prognózy. Na rok 2022 sa rozpočtujú daňové príjmy samostatných účtov štátnych rozpočtových organizácií vo výške 521 mil. eur.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Nedaňové príjmy sa rozpočtujú na úrovni 30,4 mil. eur a tvoria ich najmä príjmy zo stravného vo výške 17,1 mil. eur rozpočtované predovšetkým v kapitole Ministerstva vnútra SR a príjmy z predaja hmotných rezerv a mobilizačných rezerv v kapitole Správa štátnych hmotných rezerv vo výške 11,9 mil. eur.</w:t>
      </w:r>
    </w:p>
    <w:p w:rsidR="00192C79" w:rsidRPr="00192C79" w:rsidRDefault="00192C79" w:rsidP="00192C79">
      <w:pPr>
        <w:spacing w:after="0"/>
        <w:jc w:val="both"/>
        <w:rPr>
          <w:rFonts w:ascii="Times New Roman" w:eastAsia="Calibri" w:hAnsi="Times New Roman" w:cs="Times New Roman"/>
          <w:sz w:val="24"/>
          <w:szCs w:val="24"/>
        </w:rPr>
      </w:pPr>
    </w:p>
    <w:p w:rsidR="00192C79" w:rsidRPr="00192C79" w:rsidRDefault="00192C79" w:rsidP="00192C79">
      <w:pPr>
        <w:spacing w:after="0"/>
        <w:jc w:val="both"/>
        <w:rPr>
          <w:rFonts w:ascii="Times New Roman" w:eastAsia="Calibri" w:hAnsi="Times New Roman" w:cs="Times New Roman"/>
          <w:sz w:val="24"/>
          <w:szCs w:val="24"/>
        </w:rPr>
      </w:pPr>
      <w:r w:rsidRPr="00192C79">
        <w:rPr>
          <w:rFonts w:ascii="Times New Roman" w:eastAsia="Calibri" w:hAnsi="Times New Roman" w:cs="Times New Roman"/>
          <w:sz w:val="24"/>
          <w:szCs w:val="24"/>
        </w:rPr>
        <w:t>Granty a transfery sa rozpočtujú na úrovni 1,41 mld. eur, z čoho najväčší objem predstavuje transfer zo štátneho rozpočtu na Saldo účet štátneho dlhu vo výške 1,09 mld. eur.</w:t>
      </w:r>
    </w:p>
    <w:p w:rsidR="007771EE" w:rsidRDefault="007771EE" w:rsidP="00446DDA">
      <w:pPr>
        <w:spacing w:after="0"/>
        <w:jc w:val="both"/>
        <w:rPr>
          <w:rFonts w:ascii="Times New Roman" w:eastAsia="Calibri" w:hAnsi="Times New Roman" w:cs="Times New Roman"/>
          <w:sz w:val="24"/>
          <w:szCs w:val="24"/>
        </w:rPr>
      </w:pPr>
    </w:p>
    <w:p w:rsidR="0076063B" w:rsidRPr="0033660F" w:rsidRDefault="0086216A" w:rsidP="0033660F">
      <w:pPr>
        <w:pStyle w:val="Nadpis2"/>
        <w:spacing w:before="0" w:after="0"/>
        <w:rPr>
          <w:rFonts w:ascii="Times New Roman" w:eastAsia="Calibri" w:hAnsi="Times New Roman"/>
          <w:i w:val="0"/>
          <w:color w:val="5B9BD5" w:themeColor="accent1"/>
          <w:sz w:val="24"/>
          <w:szCs w:val="24"/>
        </w:rPr>
      </w:pPr>
      <w:bookmarkStart w:id="131" w:name="_Toc84684755"/>
      <w:r>
        <w:rPr>
          <w:rFonts w:ascii="Times New Roman" w:eastAsia="Calibri" w:hAnsi="Times New Roman"/>
          <w:i w:val="0"/>
          <w:color w:val="5B9BD5" w:themeColor="accent1"/>
          <w:sz w:val="24"/>
          <w:szCs w:val="24"/>
        </w:rPr>
        <w:t>3.</w:t>
      </w:r>
      <w:r w:rsidR="00A742DB">
        <w:rPr>
          <w:rFonts w:ascii="Times New Roman" w:eastAsia="Calibri" w:hAnsi="Times New Roman"/>
          <w:i w:val="0"/>
          <w:color w:val="5B9BD5" w:themeColor="accent1"/>
          <w:sz w:val="24"/>
          <w:szCs w:val="24"/>
        </w:rPr>
        <w:t>4</w:t>
      </w:r>
      <w:r w:rsidR="0076063B" w:rsidRPr="0033660F">
        <w:rPr>
          <w:rFonts w:ascii="Times New Roman" w:eastAsia="Calibri" w:hAnsi="Times New Roman"/>
          <w:i w:val="0"/>
          <w:color w:val="5B9BD5" w:themeColor="accent1"/>
          <w:sz w:val="24"/>
          <w:szCs w:val="24"/>
        </w:rPr>
        <w:t>. Daňové výdavky</w:t>
      </w:r>
      <w:bookmarkEnd w:id="131"/>
    </w:p>
    <w:p w:rsidR="0033660F" w:rsidRPr="0033660F" w:rsidRDefault="0033660F" w:rsidP="0033660F">
      <w:pPr>
        <w:autoSpaceDE w:val="0"/>
        <w:autoSpaceDN w:val="0"/>
        <w:adjustRightInd w:val="0"/>
        <w:spacing w:after="0"/>
        <w:ind w:firstLine="708"/>
        <w:jc w:val="both"/>
        <w:rPr>
          <w:rFonts w:ascii="Times New Roman" w:hAnsi="Times New Roman" w:cs="Times New Roman"/>
          <w:color w:val="000000"/>
          <w:sz w:val="24"/>
          <w:szCs w:val="24"/>
        </w:rPr>
      </w:pPr>
    </w:p>
    <w:p w:rsidR="000E5938" w:rsidRPr="000E5938" w:rsidRDefault="000E5938" w:rsidP="000E5938">
      <w:pPr>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r w:rsidRPr="000E5938">
        <w:rPr>
          <w:rFonts w:ascii="Times New Roman" w:eastAsia="Times New Roman" w:hAnsi="Times New Roman" w:cs="Times New Roman"/>
          <w:color w:val="000000"/>
          <w:sz w:val="24"/>
          <w:szCs w:val="24"/>
          <w:lang w:eastAsia="sk-SK"/>
        </w:rPr>
        <w:t>Rovnaké ciele verejnej politiky je z pohľadu rozpočtovej politiky a posudzovania vývoja verejných financií možné dosiahnuť dvoma spôsobmi. Buď prostredníctvom výdavkovej strany rozpočtu alebo cez selektívne daňové zvýhodnenia, ktoré znižujú potenciálne daňové príjmy. Časť vládnych výdavkov je tak obsiahnutá v daňových zákonoch vo forme rôznych zvýhodnení, oslobodení, či iných preferencií. Táto časť rozpočtu poskytuje v súlade so zverejnenou metodikou MF SR</w:t>
      </w:r>
      <w:r w:rsidRPr="000E5938">
        <w:rPr>
          <w:rFonts w:ascii="Times New Roman" w:eastAsia="Times New Roman" w:hAnsi="Times New Roman" w:cs="Times New Roman"/>
          <w:color w:val="000000"/>
          <w:sz w:val="24"/>
          <w:szCs w:val="24"/>
          <w:vertAlign w:val="superscript"/>
          <w:lang w:eastAsia="sk-SK"/>
        </w:rPr>
        <w:footnoteReference w:id="29"/>
      </w:r>
      <w:r w:rsidRPr="000E5938">
        <w:rPr>
          <w:rFonts w:ascii="Times New Roman" w:eastAsia="Times New Roman" w:hAnsi="Times New Roman" w:cs="Times New Roman"/>
          <w:color w:val="000000"/>
          <w:sz w:val="24"/>
          <w:szCs w:val="24"/>
          <w:lang w:eastAsia="sk-SK"/>
        </w:rPr>
        <w:t xml:space="preserve"> detailnejšie informácie o existujúcich daňových výdavkoch. </w:t>
      </w:r>
    </w:p>
    <w:p w:rsidR="000E5938" w:rsidRPr="000E5938" w:rsidRDefault="000E5938" w:rsidP="000E593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sk-SK"/>
        </w:rPr>
      </w:pPr>
    </w:p>
    <w:p w:rsidR="000E5938" w:rsidRPr="000E5938" w:rsidRDefault="000E5938" w:rsidP="000E5938">
      <w:pPr>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r w:rsidRPr="000E5938">
        <w:rPr>
          <w:rFonts w:ascii="Times New Roman" w:eastAsia="Times New Roman" w:hAnsi="Times New Roman" w:cs="Times New Roman"/>
          <w:color w:val="000000"/>
          <w:sz w:val="24"/>
          <w:szCs w:val="24"/>
          <w:lang w:eastAsia="sk-SK"/>
        </w:rPr>
        <w:t>Povinnosť zverejňovať podrobné informácie o vplyve daňových výdavkov na daňové príjmy, vyplýva členským štátom z </w:t>
      </w:r>
      <w:hyperlink r:id="rId19" w:history="1">
        <w:r w:rsidRPr="0080459C">
          <w:rPr>
            <w:rFonts w:ascii="Times New Roman" w:eastAsia="Times New Roman" w:hAnsi="Times New Roman" w:cs="Times New Roman"/>
            <w:sz w:val="24"/>
            <w:szCs w:val="24"/>
            <w:lang w:eastAsia="sk-SK"/>
          </w:rPr>
          <w:t>článku 14 ods. 2 Smernice Rady 2011/85/EÚ</w:t>
        </w:r>
      </w:hyperlink>
      <w:r w:rsidRPr="0080459C">
        <w:rPr>
          <w:rFonts w:ascii="Times New Roman" w:eastAsia="Times New Roman" w:hAnsi="Times New Roman" w:cs="Times New Roman"/>
          <w:sz w:val="24"/>
          <w:szCs w:val="24"/>
          <w:lang w:eastAsia="sk-SK"/>
        </w:rPr>
        <w:t xml:space="preserve"> o požiadavkách na rozpočtové rámce členských štátov. Povinné reportovania údajov o daňových výdavkoch v rozpočte verejnej správy zaviedol aj </w:t>
      </w:r>
      <w:hyperlink r:id="rId20" w:history="1">
        <w:r w:rsidR="0080459C" w:rsidRPr="0080459C">
          <w:rPr>
            <w:rFonts w:ascii="Times New Roman" w:eastAsia="Times New Roman" w:hAnsi="Times New Roman" w:cs="Times New Roman"/>
            <w:sz w:val="24"/>
            <w:szCs w:val="24"/>
            <w:lang w:eastAsia="sk-SK"/>
          </w:rPr>
          <w:t>ú</w:t>
        </w:r>
        <w:r w:rsidRPr="0080459C">
          <w:rPr>
            <w:rFonts w:ascii="Times New Roman" w:eastAsia="Times New Roman" w:hAnsi="Times New Roman" w:cs="Times New Roman"/>
            <w:sz w:val="24"/>
            <w:szCs w:val="24"/>
            <w:lang w:eastAsia="sk-SK"/>
          </w:rPr>
          <w:t>stavný zákon č. 493/2011 o rozpočtovej zodpovednosti</w:t>
        </w:r>
      </w:hyperlink>
      <w:r w:rsidRPr="0080459C">
        <w:rPr>
          <w:rFonts w:ascii="Times New Roman" w:eastAsia="Times New Roman" w:hAnsi="Times New Roman" w:cs="Times New Roman"/>
          <w:sz w:val="24"/>
          <w:szCs w:val="24"/>
          <w:lang w:eastAsia="sk-SK"/>
        </w:rPr>
        <w:t xml:space="preserve">. Motiváciou pre zavedenie tejto povinnosti bolo najmä </w:t>
      </w:r>
      <w:r w:rsidRPr="000E5938">
        <w:rPr>
          <w:rFonts w:ascii="Times New Roman" w:eastAsia="Times New Roman" w:hAnsi="Times New Roman" w:cs="Times New Roman"/>
          <w:color w:val="000000"/>
          <w:sz w:val="24"/>
          <w:szCs w:val="24"/>
          <w:lang w:eastAsia="sk-SK"/>
        </w:rPr>
        <w:t xml:space="preserve">zvýšenie transparentnosti rozpočtu, ktorá by pomohla objektívnejšie posúdiť náklady politík realizovaných vládou SR. Pravidelné zverejňovanie údajov o daňových výdavkoch umožní identifikovať potenciálne oblasti na dosiahnutie fiškálnych cieľov, zefektívnenie daňového systému, či zabezpečí monitorovanie ich vývoja. </w:t>
      </w:r>
    </w:p>
    <w:p w:rsidR="000E5938" w:rsidRPr="000E5938" w:rsidRDefault="000E5938" w:rsidP="000E5938">
      <w:pPr>
        <w:autoSpaceDE w:val="0"/>
        <w:autoSpaceDN w:val="0"/>
        <w:adjustRightInd w:val="0"/>
        <w:spacing w:after="0" w:line="240" w:lineRule="auto"/>
        <w:jc w:val="both"/>
        <w:rPr>
          <w:rFonts w:ascii="Times New Roman" w:eastAsia="Times New Roman" w:hAnsi="Times New Roman" w:cs="Times New Roman"/>
          <w:color w:val="000000"/>
          <w:lang w:eastAsia="sk-SK"/>
        </w:rPr>
      </w:pPr>
    </w:p>
    <w:p w:rsidR="000E5938" w:rsidRPr="000E5938" w:rsidRDefault="000E5938" w:rsidP="000E5938">
      <w:p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955E1D">
        <w:rPr>
          <w:rFonts w:ascii="Times New Roman" w:eastAsia="Times New Roman" w:hAnsi="Times New Roman" w:cs="Times New Roman"/>
          <w:sz w:val="24"/>
          <w:szCs w:val="24"/>
          <w:lang w:eastAsia="sk-SK"/>
        </w:rPr>
        <w:t>V súlade s manuálom daňových výdavkov sa pod daňovým benchmarkom okrem legislatívne stanoveného základu dane a štruktúry sadzieb dane rozumejú aj štrukturálne daňové výdavky. Typickým príkladom štrukturálnych daňových výdavkov, ktoré sú súčasťou daňového benchmarku sú účtovné konvencie, odpočítateľnosť povinných platieb, ustanovenia s cieľom uľahčenia administrácie dane ako aj iné ustanovenia vyplývajúce z medzinárodných záväzkov</w:t>
      </w:r>
      <w:r w:rsidRPr="00955E1D">
        <w:rPr>
          <w:rFonts w:ascii="Times New Roman" w:eastAsia="Times New Roman" w:hAnsi="Times New Roman" w:cs="Times New Roman"/>
          <w:sz w:val="24"/>
          <w:szCs w:val="24"/>
          <w:vertAlign w:val="superscript"/>
          <w:lang w:eastAsia="sk-SK"/>
        </w:rPr>
        <w:footnoteReference w:id="30"/>
      </w:r>
      <w:r w:rsidRPr="00955E1D">
        <w:rPr>
          <w:rFonts w:ascii="Times New Roman" w:eastAsia="Times New Roman" w:hAnsi="Times New Roman" w:cs="Times New Roman"/>
          <w:sz w:val="24"/>
          <w:szCs w:val="24"/>
          <w:lang w:eastAsia="sk-SK"/>
        </w:rPr>
        <w:t>. Za účelom zabezpečenia konzistentnosti výpočtov medzi jednotlivými rokmi a porovnateľnosti vývoja daňových výdavkov sa za benchmark v prípade jednotlivých daní považujú legislatívne normy platné v roku 2020, na ktorý</w:t>
      </w:r>
      <w:r w:rsidRPr="000E5938">
        <w:rPr>
          <w:rFonts w:ascii="Times New Roman" w:eastAsia="Times New Roman" w:hAnsi="Times New Roman" w:cs="Times New Roman"/>
          <w:sz w:val="24"/>
          <w:szCs w:val="24"/>
          <w:lang w:eastAsia="sk-SK"/>
        </w:rPr>
        <w:t xml:space="preserve"> sa rozpočet schvaľuje.  </w:t>
      </w:r>
    </w:p>
    <w:p w:rsidR="000E5938" w:rsidRPr="000E5938" w:rsidRDefault="000E5938" w:rsidP="000E5938">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p>
    <w:p w:rsidR="000E5938" w:rsidRPr="00955E1D" w:rsidRDefault="000E5938" w:rsidP="000E5938">
      <w:p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955E1D">
        <w:rPr>
          <w:rFonts w:ascii="Times New Roman" w:eastAsia="Times New Roman" w:hAnsi="Times New Roman" w:cs="Times New Roman"/>
          <w:sz w:val="24"/>
          <w:szCs w:val="24"/>
          <w:lang w:eastAsia="sk-SK"/>
        </w:rPr>
        <w:t>Daňovým výdavkom sú špeciálne daňové úľavy, ktoré využíva vláda na podporu určitých aktivít alebo daňovníkov v špeciálnych okolnostiach. Na to, aby konkrétna daňová úľava</w:t>
      </w:r>
      <w:r w:rsidR="0018209A" w:rsidRPr="00955E1D">
        <w:rPr>
          <w:rFonts w:ascii="Times New Roman" w:eastAsia="Times New Roman" w:hAnsi="Times New Roman" w:cs="Times New Roman"/>
          <w:sz w:val="24"/>
          <w:szCs w:val="24"/>
          <w:lang w:eastAsia="sk-SK"/>
        </w:rPr>
        <w:t>,</w:t>
      </w:r>
      <w:r w:rsidRPr="00955E1D">
        <w:rPr>
          <w:rFonts w:ascii="Times New Roman" w:eastAsia="Times New Roman" w:hAnsi="Times New Roman" w:cs="Times New Roman"/>
          <w:sz w:val="24"/>
          <w:szCs w:val="24"/>
          <w:lang w:eastAsia="sk-SK"/>
        </w:rPr>
        <w:t xml:space="preserve"> resp. špeciálny daňový režim bol z pohľadu MF SR klasifikovaný ako daňový výdavok, musí súčasne spĺňať nasledujúce podmienky: </w:t>
      </w:r>
    </w:p>
    <w:p w:rsidR="000E5938" w:rsidRPr="000E5938" w:rsidRDefault="000E5938" w:rsidP="000E5938">
      <w:pPr>
        <w:autoSpaceDE w:val="0"/>
        <w:autoSpaceDN w:val="0"/>
        <w:adjustRightInd w:val="0"/>
        <w:spacing w:after="0" w:line="240" w:lineRule="auto"/>
        <w:ind w:firstLine="708"/>
        <w:jc w:val="both"/>
        <w:rPr>
          <w:rFonts w:ascii="Times New Roman" w:eastAsia="Times New Roman" w:hAnsi="Times New Roman" w:cs="Times New Roman"/>
          <w:lang w:eastAsia="sk-SK"/>
        </w:rPr>
      </w:pPr>
    </w:p>
    <w:p w:rsidR="000E5938" w:rsidRPr="000E5938" w:rsidRDefault="000E5938" w:rsidP="00A44B10">
      <w:pPr>
        <w:numPr>
          <w:ilvl w:val="0"/>
          <w:numId w:val="12"/>
        </w:numPr>
        <w:autoSpaceDE w:val="0"/>
        <w:autoSpaceDN w:val="0"/>
        <w:adjustRightInd w:val="0"/>
        <w:spacing w:after="0" w:line="240" w:lineRule="auto"/>
        <w:jc w:val="both"/>
        <w:rPr>
          <w:rFonts w:ascii="Times New Roman" w:eastAsia="Times New Roman" w:hAnsi="Times New Roman" w:cs="Times New Roman"/>
          <w:b/>
          <w:sz w:val="24"/>
          <w:szCs w:val="24"/>
          <w:lang w:eastAsia="sk-SK"/>
        </w:rPr>
      </w:pPr>
      <w:r w:rsidRPr="000E5938">
        <w:rPr>
          <w:rFonts w:ascii="Times New Roman" w:eastAsia="Times New Roman" w:hAnsi="Times New Roman" w:cs="Times New Roman"/>
          <w:b/>
          <w:sz w:val="24"/>
          <w:szCs w:val="24"/>
          <w:lang w:eastAsia="sk-SK"/>
        </w:rPr>
        <w:t xml:space="preserve">má vplyv na príjmy a saldo hospodárenia verejnej správy </w:t>
      </w:r>
      <w:r w:rsidRPr="000E5938">
        <w:rPr>
          <w:rFonts w:ascii="Times New Roman" w:eastAsia="Times New Roman" w:hAnsi="Times New Roman" w:cs="Times New Roman"/>
          <w:sz w:val="24"/>
          <w:szCs w:val="24"/>
          <w:lang w:eastAsia="sk-SK"/>
        </w:rPr>
        <w:t>- daňovým výdavkom je opatrenie, ktoré znižuje (alebo zvyšuje) príjmy verejnej správy. V niektorých prípadoch je dôležité okrem vplyvu na príjmy sledovať aj vplyv na saldo verejnej správy. Typickým príkladom môžu byť napr. štátne sociálne dávky. Ich zdanenie kompenzované</w:t>
      </w:r>
      <w:r w:rsidRPr="000E5938" w:rsidDel="00971FD3">
        <w:rPr>
          <w:rFonts w:ascii="Times New Roman" w:eastAsia="Times New Roman" w:hAnsi="Times New Roman" w:cs="Times New Roman"/>
          <w:sz w:val="24"/>
          <w:szCs w:val="24"/>
          <w:lang w:eastAsia="sk-SK"/>
        </w:rPr>
        <w:t xml:space="preserve"> </w:t>
      </w:r>
      <w:r w:rsidRPr="000E5938">
        <w:rPr>
          <w:rFonts w:ascii="Times New Roman" w:eastAsia="Times New Roman" w:hAnsi="Times New Roman" w:cs="Times New Roman"/>
          <w:sz w:val="24"/>
          <w:szCs w:val="24"/>
          <w:lang w:eastAsia="sk-SK"/>
        </w:rPr>
        <w:t>adekvátnym zvýšením výdavkov verejnej správy, keďže z pohľadu záchrannej siete sú podstatné disponibilné príjmy obyvateľov v hmotnej núdzi, by malo neutrálny vplyv na saldo verejnej správy.</w:t>
      </w:r>
    </w:p>
    <w:p w:rsidR="000E5938" w:rsidRPr="000E5938" w:rsidRDefault="000E5938" w:rsidP="000E5938">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0E5938" w:rsidRPr="000E5938" w:rsidRDefault="000E5938" w:rsidP="00A44B10">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0E5938">
        <w:rPr>
          <w:rFonts w:ascii="Times New Roman" w:eastAsia="Times New Roman" w:hAnsi="Times New Roman" w:cs="Times New Roman"/>
          <w:b/>
          <w:sz w:val="24"/>
          <w:szCs w:val="24"/>
          <w:lang w:eastAsia="sk-SK"/>
        </w:rPr>
        <w:t>sleduje iný cieľ než je samotné zdanenie</w:t>
      </w:r>
      <w:r w:rsidRPr="000E5938">
        <w:rPr>
          <w:rFonts w:ascii="Times New Roman" w:eastAsia="Times New Roman" w:hAnsi="Times New Roman" w:cs="Times New Roman"/>
          <w:sz w:val="24"/>
          <w:szCs w:val="24"/>
          <w:lang w:eastAsia="sk-SK"/>
        </w:rPr>
        <w:t xml:space="preserve"> - ak je cieľom podpora určitých aktivít alebo daňovníkov alebo ak existuje podobnosť s alternatívnym výdavkovým programom. </w:t>
      </w:r>
    </w:p>
    <w:p w:rsidR="000E5938" w:rsidRPr="000E5938" w:rsidRDefault="000E5938" w:rsidP="000E5938">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0E5938" w:rsidRPr="000E5938" w:rsidRDefault="000E5938" w:rsidP="00A44B10">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0E5938">
        <w:rPr>
          <w:rFonts w:ascii="Times New Roman" w:eastAsia="Times New Roman" w:hAnsi="Times New Roman" w:cs="Times New Roman"/>
          <w:b/>
          <w:sz w:val="24"/>
          <w:szCs w:val="24"/>
          <w:lang w:eastAsia="sk-SK"/>
        </w:rPr>
        <w:t>nejde o štrukturálny daňový výdavok obsiahnutý v definícii daňového benchmarku</w:t>
      </w:r>
      <w:r w:rsidRPr="000E5938">
        <w:rPr>
          <w:rFonts w:ascii="Times New Roman" w:eastAsia="Times New Roman" w:hAnsi="Times New Roman" w:cs="Times New Roman"/>
          <w:sz w:val="24"/>
          <w:szCs w:val="24"/>
          <w:lang w:eastAsia="sk-SK"/>
        </w:rPr>
        <w:t xml:space="preserve"> - sem zaraďujeme účtovné konvencie (legislatívne stanovené odpisové sadzby/doby aj v prípade, že sa nezhodujú s účtovnými odpismi), odpočítateľnosť povinných platieb (povinné platby vyplývajúce z iných zákonov sú automaticky považované za daňovo uznateľné výdavky), ustanovenia s cieľom uľahčenia administrácie dane (test príjmu na účely podávania daňového priznania, minimálna daňová povinnosť, zaokrúhľovanie a pod.).</w:t>
      </w:r>
    </w:p>
    <w:p w:rsidR="000E5938" w:rsidRPr="000E5938" w:rsidRDefault="000E5938" w:rsidP="000E5938">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0E5938" w:rsidRPr="00F45023" w:rsidRDefault="000E5938" w:rsidP="00F45023">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rPr>
      </w:pPr>
      <w:r w:rsidRPr="000E5938">
        <w:rPr>
          <w:rFonts w:ascii="Times New Roman" w:eastAsia="Times New Roman" w:hAnsi="Times New Roman" w:cs="Times New Roman"/>
          <w:b/>
          <w:sz w:val="24"/>
          <w:szCs w:val="24"/>
        </w:rPr>
        <w:t>je selektívny</w:t>
      </w:r>
      <w:r w:rsidRPr="000E5938">
        <w:rPr>
          <w:rFonts w:ascii="Times New Roman" w:eastAsia="Times New Roman" w:hAnsi="Times New Roman" w:cs="Times New Roman"/>
          <w:sz w:val="24"/>
          <w:szCs w:val="24"/>
        </w:rPr>
        <w:t xml:space="preserve"> - </w:t>
      </w:r>
      <w:r w:rsidRPr="000E5938">
        <w:rPr>
          <w:rFonts w:ascii="Times New Roman" w:eastAsia="Times New Roman" w:hAnsi="Times New Roman" w:cs="Times New Roman"/>
          <w:color w:val="000000"/>
          <w:sz w:val="24"/>
          <w:szCs w:val="24"/>
        </w:rPr>
        <w:t xml:space="preserve">úľava je určená iba pre vybrané osoby, príjmy alebo sektor a pod. Nezdaniteľná časť základu dane, ktorá ovplyvňuje daňové príjmy a na ktorú majú nárok všetci daňovníci sa nepovažuje za daňový výdavok. Ide tak o ďalší štrukturálny element daňového systému, ináč aj štrukturálny daňový výdavok. Uvedené kritérium však na rozdiel od prvých troch </w:t>
      </w:r>
      <w:r w:rsidRPr="000E5938">
        <w:rPr>
          <w:rFonts w:ascii="Times New Roman" w:eastAsia="Times New Roman" w:hAnsi="Times New Roman" w:cs="Times New Roman"/>
          <w:i/>
          <w:color w:val="000000"/>
          <w:sz w:val="24"/>
          <w:szCs w:val="24"/>
        </w:rPr>
        <w:t>nemusí byť nevyhnutne splnené.</w:t>
      </w:r>
      <w:r w:rsidRPr="000E5938">
        <w:rPr>
          <w:rFonts w:ascii="Times New Roman" w:eastAsia="Times New Roman" w:hAnsi="Times New Roman" w:cs="Times New Roman"/>
          <w:color w:val="000000"/>
          <w:sz w:val="24"/>
          <w:szCs w:val="24"/>
          <w:vertAlign w:val="superscript"/>
          <w:lang w:val="en-US"/>
        </w:rPr>
        <w:footnoteReference w:id="31"/>
      </w:r>
    </w:p>
    <w:p w:rsidR="00F45023" w:rsidRPr="000E5938" w:rsidRDefault="00F45023" w:rsidP="00F45023">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0E5938" w:rsidRPr="00EF1FFB" w:rsidRDefault="000E5938" w:rsidP="004F568C">
      <w:pPr>
        <w:spacing w:after="0" w:line="240" w:lineRule="auto"/>
        <w:jc w:val="both"/>
        <w:rPr>
          <w:rFonts w:ascii="Times New Roman" w:eastAsia="Times New Roman" w:hAnsi="Times New Roman" w:cs="Times New Roman"/>
          <w:color w:val="000000"/>
          <w:sz w:val="24"/>
          <w:szCs w:val="24"/>
          <w:lang w:eastAsia="sk-SK"/>
        </w:rPr>
      </w:pPr>
      <w:r w:rsidRPr="000E5938">
        <w:rPr>
          <w:rFonts w:ascii="Times New Roman" w:eastAsia="Times New Roman" w:hAnsi="Times New Roman" w:cs="Times New Roman"/>
          <w:color w:val="000000"/>
          <w:sz w:val="24"/>
          <w:szCs w:val="24"/>
          <w:lang w:eastAsia="sk-SK"/>
        </w:rPr>
        <w:t>V zmysle zverejnenej metodiky údaje za daňové výdavky sú uvedené za rovnaký časový horizont, na aký sa zostavuje rozpočet verejnej správy</w:t>
      </w:r>
      <w:r w:rsidRPr="000E5938">
        <w:rPr>
          <w:rFonts w:ascii="Times New Roman" w:eastAsia="Times New Roman" w:hAnsi="Times New Roman" w:cs="Times New Roman"/>
          <w:color w:val="000000"/>
          <w:sz w:val="24"/>
          <w:szCs w:val="24"/>
          <w:vertAlign w:val="superscript"/>
          <w:lang w:eastAsia="sk-SK"/>
        </w:rPr>
        <w:footnoteReference w:id="32"/>
      </w:r>
      <w:r w:rsidRPr="000E5938">
        <w:rPr>
          <w:rFonts w:ascii="Times New Roman" w:eastAsia="Times New Roman" w:hAnsi="Times New Roman" w:cs="Times New Roman"/>
          <w:color w:val="000000"/>
          <w:sz w:val="24"/>
          <w:szCs w:val="24"/>
          <w:lang w:eastAsia="sk-SK"/>
        </w:rPr>
        <w:t xml:space="preserve">. Klasifikácia daňových výdavkov je založená na príslušnom daňovom základe a účelu, ktorý tieto výdavky sledujú. </w:t>
      </w:r>
    </w:p>
    <w:p w:rsidR="009121EB" w:rsidRPr="009121EB" w:rsidRDefault="009121EB" w:rsidP="009121EB">
      <w:pPr>
        <w:pStyle w:val="Popis"/>
        <w:keepNext/>
        <w:spacing w:after="0"/>
        <w:rPr>
          <w:rFonts w:ascii="Times New Roman" w:hAnsi="Times New Roman" w:cs="Times New Roman"/>
          <w:b/>
          <w:i w:val="0"/>
          <w:color w:val="5B9BD5" w:themeColor="accent1"/>
          <w:sz w:val="20"/>
          <w:szCs w:val="20"/>
        </w:rPr>
      </w:pPr>
      <w:bookmarkStart w:id="132" w:name="_Toc84845269"/>
      <w:r w:rsidRPr="009121EB">
        <w:rPr>
          <w:rFonts w:ascii="Times New Roman" w:hAnsi="Times New Roman" w:cs="Times New Roman"/>
          <w:b/>
          <w:i w:val="0"/>
          <w:color w:val="5B9BD5" w:themeColor="accent1"/>
          <w:sz w:val="20"/>
          <w:szCs w:val="20"/>
        </w:rPr>
        <w:t xml:space="preserve">Tabuľka </w:t>
      </w:r>
      <w:r w:rsidRPr="009121EB">
        <w:rPr>
          <w:rFonts w:ascii="Times New Roman" w:hAnsi="Times New Roman" w:cs="Times New Roman"/>
          <w:b/>
          <w:i w:val="0"/>
          <w:color w:val="5B9BD5" w:themeColor="accent1"/>
          <w:sz w:val="20"/>
          <w:szCs w:val="20"/>
        </w:rPr>
        <w:fldChar w:fldCharType="begin"/>
      </w:r>
      <w:r w:rsidRPr="009121EB">
        <w:rPr>
          <w:rFonts w:ascii="Times New Roman" w:hAnsi="Times New Roman" w:cs="Times New Roman"/>
          <w:b/>
          <w:i w:val="0"/>
          <w:color w:val="5B9BD5" w:themeColor="accent1"/>
          <w:sz w:val="20"/>
          <w:szCs w:val="20"/>
        </w:rPr>
        <w:instrText xml:space="preserve"> SEQ Tabuľka \* ARABIC </w:instrText>
      </w:r>
      <w:r w:rsidRPr="009121EB">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45</w:t>
      </w:r>
      <w:r w:rsidRPr="009121EB">
        <w:rPr>
          <w:rFonts w:ascii="Times New Roman" w:hAnsi="Times New Roman" w:cs="Times New Roman"/>
          <w:b/>
          <w:i w:val="0"/>
          <w:color w:val="5B9BD5" w:themeColor="accent1"/>
          <w:sz w:val="20"/>
          <w:szCs w:val="20"/>
        </w:rPr>
        <w:fldChar w:fldCharType="end"/>
      </w:r>
      <w:r w:rsidRPr="009121EB">
        <w:rPr>
          <w:rFonts w:ascii="Times New Roman" w:hAnsi="Times New Roman" w:cs="Times New Roman"/>
          <w:b/>
          <w:i w:val="0"/>
          <w:color w:val="5B9BD5" w:themeColor="accent1"/>
          <w:sz w:val="20"/>
          <w:szCs w:val="20"/>
        </w:rPr>
        <w:t xml:space="preserve"> - </w:t>
      </w:r>
      <w:r>
        <w:rPr>
          <w:rFonts w:ascii="Times New Roman" w:hAnsi="Times New Roman" w:cs="Times New Roman"/>
          <w:b/>
          <w:i w:val="0"/>
          <w:color w:val="5B9BD5" w:themeColor="accent1"/>
          <w:sz w:val="20"/>
          <w:szCs w:val="20"/>
        </w:rPr>
        <w:t>Prehľ</w:t>
      </w:r>
      <w:r w:rsidRPr="009121EB">
        <w:rPr>
          <w:rFonts w:ascii="Times New Roman" w:hAnsi="Times New Roman" w:cs="Times New Roman"/>
          <w:b/>
          <w:i w:val="0"/>
          <w:color w:val="5B9BD5" w:themeColor="accent1"/>
          <w:sz w:val="20"/>
          <w:szCs w:val="20"/>
        </w:rPr>
        <w:t>ad daňových výdavkov podľa typu dane alebo poistného (ESA 2010, tis. eur)</w:t>
      </w:r>
      <w:bookmarkEnd w:id="132"/>
    </w:p>
    <w:tbl>
      <w:tblPr>
        <w:tblW w:w="5000" w:type="pct"/>
        <w:tblLayout w:type="fixed"/>
        <w:tblCellMar>
          <w:left w:w="70" w:type="dxa"/>
          <w:right w:w="70" w:type="dxa"/>
        </w:tblCellMar>
        <w:tblLook w:val="04A0" w:firstRow="1" w:lastRow="0" w:firstColumn="1" w:lastColumn="0" w:noHBand="0" w:noVBand="1"/>
      </w:tblPr>
      <w:tblGrid>
        <w:gridCol w:w="3828"/>
        <w:gridCol w:w="874"/>
        <w:gridCol w:w="874"/>
        <w:gridCol w:w="874"/>
        <w:gridCol w:w="874"/>
        <w:gridCol w:w="874"/>
        <w:gridCol w:w="874"/>
      </w:tblGrid>
      <w:tr w:rsidR="000E5938" w:rsidRPr="000E5938" w:rsidTr="009121EB">
        <w:trPr>
          <w:trHeight w:val="345"/>
        </w:trPr>
        <w:tc>
          <w:tcPr>
            <w:tcW w:w="3828" w:type="dxa"/>
            <w:vMerge w:val="restart"/>
            <w:tcBorders>
              <w:top w:val="single" w:sz="4" w:space="0" w:color="auto"/>
              <w:left w:val="nil"/>
              <w:bottom w:val="single" w:sz="4" w:space="0" w:color="000000"/>
              <w:right w:val="nil"/>
            </w:tcBorders>
            <w:shd w:val="clear" w:color="auto" w:fill="auto"/>
            <w:vAlign w:val="center"/>
            <w:hideMark/>
          </w:tcPr>
          <w:p w:rsidR="000E5938" w:rsidRPr="000E5938" w:rsidRDefault="009121EB" w:rsidP="000E5938">
            <w:pPr>
              <w:spacing w:after="0" w:line="240" w:lineRule="auto"/>
              <w:rPr>
                <w:rFonts w:ascii="Times New Roman" w:eastAsia="Times New Roman" w:hAnsi="Times New Roman" w:cs="Times New Roman"/>
                <w:b/>
                <w:bCs/>
                <w:color w:val="000000"/>
                <w:sz w:val="18"/>
                <w:szCs w:val="18"/>
                <w:lang w:eastAsia="sk-SK"/>
              </w:rPr>
            </w:pPr>
            <w:r>
              <w:rPr>
                <w:rFonts w:ascii="Times New Roman" w:eastAsia="Times New Roman" w:hAnsi="Times New Roman" w:cs="Times New Roman"/>
                <w:b/>
                <w:bCs/>
                <w:color w:val="000000"/>
                <w:sz w:val="18"/>
                <w:szCs w:val="18"/>
                <w:lang w:eastAsia="sk-SK"/>
              </w:rPr>
              <w:t>Prehľ</w:t>
            </w:r>
            <w:r w:rsidR="000E5938" w:rsidRPr="000E5938">
              <w:rPr>
                <w:rFonts w:ascii="Times New Roman" w:eastAsia="Times New Roman" w:hAnsi="Times New Roman" w:cs="Times New Roman"/>
                <w:b/>
                <w:bCs/>
                <w:color w:val="000000"/>
                <w:sz w:val="18"/>
                <w:szCs w:val="18"/>
                <w:lang w:eastAsia="sk-SK"/>
              </w:rPr>
              <w:t>ad daňových výdavkov podľa typu dane alebo poistného (ESA2010, tis. eur)*</w:t>
            </w:r>
          </w:p>
        </w:tc>
        <w:tc>
          <w:tcPr>
            <w:tcW w:w="874"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20"/>
                <w:lang w:eastAsia="sk-SK"/>
              </w:rPr>
              <w:t>2019</w:t>
            </w:r>
          </w:p>
        </w:tc>
        <w:tc>
          <w:tcPr>
            <w:tcW w:w="874"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20"/>
                <w:lang w:eastAsia="sk-SK"/>
              </w:rPr>
              <w:t>2020</w:t>
            </w:r>
          </w:p>
        </w:tc>
        <w:tc>
          <w:tcPr>
            <w:tcW w:w="874"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20"/>
                <w:lang w:eastAsia="sk-SK"/>
              </w:rPr>
              <w:t>2021</w:t>
            </w:r>
          </w:p>
        </w:tc>
        <w:tc>
          <w:tcPr>
            <w:tcW w:w="874"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20"/>
                <w:lang w:eastAsia="sk-SK"/>
              </w:rPr>
              <w:t>2022</w:t>
            </w:r>
          </w:p>
        </w:tc>
        <w:tc>
          <w:tcPr>
            <w:tcW w:w="874" w:type="dxa"/>
            <w:vMerge w:val="restart"/>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20"/>
                <w:lang w:eastAsia="sk-SK"/>
              </w:rPr>
              <w:t>2023</w:t>
            </w:r>
          </w:p>
        </w:tc>
        <w:tc>
          <w:tcPr>
            <w:tcW w:w="874" w:type="dxa"/>
            <w:vMerge w:val="restart"/>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20"/>
                <w:lang w:eastAsia="sk-SK"/>
              </w:rPr>
              <w:t>2024</w:t>
            </w:r>
          </w:p>
        </w:tc>
      </w:tr>
      <w:tr w:rsidR="000E5938" w:rsidRPr="000E5938" w:rsidTr="007C2BDC">
        <w:trPr>
          <w:trHeight w:val="458"/>
        </w:trPr>
        <w:tc>
          <w:tcPr>
            <w:tcW w:w="3828"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sz w:val="18"/>
                <w:szCs w:val="18"/>
                <w:lang w:eastAsia="sk-SK"/>
              </w:rPr>
            </w:pPr>
          </w:p>
        </w:tc>
        <w:tc>
          <w:tcPr>
            <w:tcW w:w="874"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874"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874"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874"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874" w:type="dxa"/>
            <w:vMerge/>
            <w:tcBorders>
              <w:top w:val="nil"/>
              <w:left w:val="nil"/>
              <w:bottom w:val="single" w:sz="4" w:space="0" w:color="auto"/>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874" w:type="dxa"/>
            <w:vMerge/>
            <w:tcBorders>
              <w:top w:val="nil"/>
              <w:left w:val="nil"/>
              <w:bottom w:val="single" w:sz="4" w:space="0" w:color="auto"/>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Daň z príjmov fyzických osôb</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461 145</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510 624</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576 428</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642 185</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673 358</w:t>
            </w:r>
          </w:p>
        </w:tc>
        <w:tc>
          <w:tcPr>
            <w:tcW w:w="874" w:type="dxa"/>
            <w:tcBorders>
              <w:top w:val="single" w:sz="4" w:space="0" w:color="auto"/>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696 818</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Daň z príjmov právnických osôb</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178 475</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227 746</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235 579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238 708</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251 829</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267 344</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Daň z príjmov vyberaná zrážkou</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Daň z pridanej hodnoty</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335 531</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421 851</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448 087</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465 931</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508 294</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525 091</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Spotrebné dane</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368 040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345 403</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245 129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173 325</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120 128</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107 679</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RTVS</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7 966</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18 167</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18 849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18 849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18 849</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18 849</w:t>
            </w:r>
          </w:p>
        </w:tc>
      </w:tr>
      <w:tr w:rsidR="000E5938" w:rsidRPr="000E5938" w:rsidTr="007C2BDC">
        <w:trPr>
          <w:trHeight w:val="270"/>
        </w:trPr>
        <w:tc>
          <w:tcPr>
            <w:tcW w:w="3828" w:type="dxa"/>
            <w:tcBorders>
              <w:top w:val="nil"/>
              <w:left w:val="nil"/>
              <w:bottom w:val="nil"/>
              <w:right w:val="nil"/>
            </w:tcBorders>
            <w:shd w:val="clear" w:color="auto" w:fill="auto"/>
            <w:noWrap/>
            <w:vAlign w:val="center"/>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Sociálne poistenie</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146 107</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223 421</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170 011</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175 562</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116 848</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120 291</w:t>
            </w:r>
          </w:p>
        </w:tc>
      </w:tr>
      <w:tr w:rsidR="000E5938" w:rsidRPr="000E5938" w:rsidTr="007C2BDC">
        <w:trPr>
          <w:trHeight w:val="270"/>
        </w:trPr>
        <w:tc>
          <w:tcPr>
            <w:tcW w:w="3828"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8"/>
                <w:lang w:eastAsia="sk-SK"/>
              </w:rPr>
            </w:pPr>
            <w:r w:rsidRPr="000E5938">
              <w:rPr>
                <w:rFonts w:ascii="Times New Roman" w:eastAsia="Times New Roman" w:hAnsi="Times New Roman" w:cs="Times New Roman"/>
                <w:sz w:val="16"/>
                <w:szCs w:val="18"/>
                <w:lang w:eastAsia="sk-SK"/>
              </w:rPr>
              <w:t xml:space="preserve">Zdravotné poistenie </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82 017</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78 932</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68 608</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73 041</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73 629</w:t>
            </w:r>
          </w:p>
        </w:tc>
        <w:tc>
          <w:tcPr>
            <w:tcW w:w="874" w:type="dxa"/>
            <w:tcBorders>
              <w:top w:val="nil"/>
              <w:left w:val="nil"/>
              <w:bottom w:val="single" w:sz="4" w:space="0" w:color="auto"/>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73 907</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i/>
                <w:iCs/>
                <w:sz w:val="16"/>
                <w:szCs w:val="18"/>
                <w:lang w:eastAsia="sk-SK"/>
              </w:rPr>
            </w:pPr>
            <w:r w:rsidRPr="000E5938">
              <w:rPr>
                <w:rFonts w:ascii="Times New Roman" w:eastAsia="Times New Roman" w:hAnsi="Times New Roman" w:cs="Times New Roman"/>
                <w:i/>
                <w:iCs/>
                <w:sz w:val="16"/>
                <w:szCs w:val="18"/>
                <w:lang w:eastAsia="sk-SK"/>
              </w:rPr>
              <w:t>Negatívne daňové výdavky</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-19 049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-17 770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-36 309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-30 369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-30 385</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-30 402</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i/>
                <w:iCs/>
                <w:sz w:val="16"/>
                <w:szCs w:val="18"/>
                <w:lang w:eastAsia="sk-SK"/>
              </w:rPr>
            </w:pPr>
            <w:r w:rsidRPr="000E5938">
              <w:rPr>
                <w:rFonts w:ascii="Times New Roman" w:eastAsia="Times New Roman" w:hAnsi="Times New Roman" w:cs="Times New Roman"/>
                <w:i/>
                <w:iCs/>
                <w:sz w:val="16"/>
                <w:szCs w:val="18"/>
                <w:lang w:eastAsia="sk-SK"/>
              </w:rPr>
              <w:t xml:space="preserve">   - z toho daň z príjmov právnických osôb</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-18 773</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-17 480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-36 005</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-30 050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-30 050</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-30 050</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i/>
                <w:iCs/>
                <w:sz w:val="16"/>
                <w:szCs w:val="18"/>
                <w:lang w:eastAsia="sk-SK"/>
              </w:rPr>
            </w:pPr>
            <w:r w:rsidRPr="000E5938">
              <w:rPr>
                <w:rFonts w:ascii="Times New Roman" w:eastAsia="Times New Roman" w:hAnsi="Times New Roman" w:cs="Times New Roman"/>
                <w:i/>
                <w:iCs/>
                <w:sz w:val="16"/>
                <w:szCs w:val="18"/>
                <w:lang w:eastAsia="sk-SK"/>
              </w:rPr>
              <w:t xml:space="preserve">   - z toho daň z príjmov fyzických osôb</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-276</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-290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-304</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-319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-335</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-352</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i/>
                <w:iCs/>
                <w:sz w:val="16"/>
                <w:szCs w:val="18"/>
                <w:lang w:eastAsia="sk-SK"/>
              </w:rPr>
            </w:pPr>
            <w:r w:rsidRPr="000E5938">
              <w:rPr>
                <w:rFonts w:ascii="Times New Roman" w:eastAsia="Times New Roman" w:hAnsi="Times New Roman" w:cs="Times New Roman"/>
                <w:i/>
                <w:iCs/>
                <w:sz w:val="16"/>
                <w:szCs w:val="18"/>
                <w:lang w:eastAsia="sk-SK"/>
              </w:rPr>
              <w:t xml:space="preserve">   - z toho spotrebná daň z minerálneho oleja</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r>
      <w:tr w:rsidR="000E5938" w:rsidRPr="000E5938" w:rsidTr="007C2BDC">
        <w:trPr>
          <w:trHeight w:val="270"/>
        </w:trPr>
        <w:tc>
          <w:tcPr>
            <w:tcW w:w="3828"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8"/>
                <w:lang w:eastAsia="sk-SK"/>
              </w:rPr>
            </w:pPr>
            <w:r w:rsidRPr="000E5938">
              <w:rPr>
                <w:rFonts w:ascii="Times New Roman" w:eastAsia="Times New Roman" w:hAnsi="Times New Roman" w:cs="Times New Roman"/>
                <w:b/>
                <w:bCs/>
                <w:sz w:val="16"/>
                <w:szCs w:val="18"/>
                <w:lang w:eastAsia="sk-SK"/>
              </w:rPr>
              <w:t>Orientačná výška daňových výdavkov*</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1 579 280</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1 826 143</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1 762 691</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1 787 600</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1 762 934</w:t>
            </w:r>
          </w:p>
        </w:tc>
        <w:tc>
          <w:tcPr>
            <w:tcW w:w="874" w:type="dxa"/>
            <w:tcBorders>
              <w:top w:val="single" w:sz="4" w:space="0" w:color="auto"/>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1 809 980</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8"/>
                <w:lang w:eastAsia="sk-SK"/>
              </w:rPr>
            </w:pPr>
            <w:r w:rsidRPr="000E5938">
              <w:rPr>
                <w:rFonts w:ascii="Times New Roman" w:eastAsia="Times New Roman" w:hAnsi="Times New Roman" w:cs="Times New Roman"/>
                <w:b/>
                <w:bCs/>
                <w:sz w:val="16"/>
                <w:szCs w:val="18"/>
                <w:lang w:eastAsia="sk-SK"/>
              </w:rPr>
              <w:t xml:space="preserve">   </w:t>
            </w:r>
            <w:r w:rsidRPr="000E5938">
              <w:rPr>
                <w:rFonts w:ascii="Times New Roman" w:eastAsia="Times New Roman" w:hAnsi="Times New Roman" w:cs="Times New Roman"/>
                <w:bCs/>
                <w:sz w:val="16"/>
                <w:szCs w:val="18"/>
                <w:lang w:eastAsia="sk-SK"/>
              </w:rPr>
              <w:t>v % daňových príjmov**</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5,7</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6,6</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6,0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5,7</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5,2</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5,2</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8"/>
                <w:lang w:eastAsia="sk-SK"/>
              </w:rPr>
            </w:pPr>
            <w:r w:rsidRPr="000E5938">
              <w:rPr>
                <w:rFonts w:ascii="Times New Roman" w:eastAsia="Times New Roman" w:hAnsi="Times New Roman" w:cs="Times New Roman"/>
                <w:b/>
                <w:bCs/>
                <w:sz w:val="16"/>
                <w:szCs w:val="18"/>
                <w:lang w:eastAsia="sk-SK"/>
              </w:rPr>
              <w:t xml:space="preserve">   </w:t>
            </w:r>
            <w:r w:rsidRPr="000E5938">
              <w:rPr>
                <w:rFonts w:ascii="Times New Roman" w:eastAsia="Times New Roman" w:hAnsi="Times New Roman" w:cs="Times New Roman"/>
                <w:bCs/>
                <w:sz w:val="16"/>
                <w:szCs w:val="18"/>
                <w:lang w:eastAsia="sk-SK"/>
              </w:rPr>
              <w:t>v % HDP*</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1,7</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2,0</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1,8</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1,7</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1,6</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1,6</w:t>
            </w:r>
          </w:p>
        </w:tc>
      </w:tr>
      <w:tr w:rsidR="000E5938" w:rsidRPr="000E5938" w:rsidTr="007C2BDC">
        <w:trPr>
          <w:trHeight w:val="270"/>
        </w:trPr>
        <w:tc>
          <w:tcPr>
            <w:tcW w:w="3828"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8"/>
                <w:lang w:eastAsia="sk-SK"/>
              </w:rPr>
            </w:pPr>
            <w:r w:rsidRPr="000E5938">
              <w:rPr>
                <w:rFonts w:ascii="Times New Roman" w:eastAsia="Times New Roman" w:hAnsi="Times New Roman" w:cs="Times New Roman"/>
                <w:b/>
                <w:bCs/>
                <w:sz w:val="16"/>
                <w:szCs w:val="18"/>
                <w:lang w:eastAsia="sk-SK"/>
              </w:rPr>
              <w:t>Zmena výšky daňových výdavkov*</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151 700</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246 863</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-63 452</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24 909</w:t>
            </w:r>
          </w:p>
        </w:tc>
        <w:tc>
          <w:tcPr>
            <w:tcW w:w="874"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-24 666</w:t>
            </w:r>
          </w:p>
        </w:tc>
        <w:tc>
          <w:tcPr>
            <w:tcW w:w="874" w:type="dxa"/>
            <w:tcBorders>
              <w:top w:val="single" w:sz="4" w:space="0" w:color="auto"/>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47 046</w:t>
            </w:r>
          </w:p>
        </w:tc>
      </w:tr>
      <w:tr w:rsidR="000E5938" w:rsidRPr="000E5938" w:rsidTr="007C2BDC">
        <w:trPr>
          <w:trHeight w:val="270"/>
        </w:trPr>
        <w:tc>
          <w:tcPr>
            <w:tcW w:w="3828"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8"/>
                <w:lang w:eastAsia="sk-SK"/>
              </w:rPr>
            </w:pPr>
            <w:r w:rsidRPr="000E5938">
              <w:rPr>
                <w:rFonts w:ascii="Times New Roman" w:eastAsia="Times New Roman" w:hAnsi="Times New Roman" w:cs="Times New Roman"/>
                <w:b/>
                <w:bCs/>
                <w:sz w:val="16"/>
                <w:szCs w:val="18"/>
                <w:lang w:eastAsia="sk-SK"/>
              </w:rPr>
              <w:t xml:space="preserve">   </w:t>
            </w:r>
            <w:r w:rsidRPr="000E5938">
              <w:rPr>
                <w:rFonts w:ascii="Times New Roman" w:eastAsia="Times New Roman" w:hAnsi="Times New Roman" w:cs="Times New Roman"/>
                <w:bCs/>
                <w:sz w:val="16"/>
                <w:szCs w:val="18"/>
                <w:lang w:eastAsia="sk-SK"/>
              </w:rPr>
              <w:t>v % daňových príjmov**</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0,2</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0,9</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-0,6</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-0,3</w:t>
            </w:r>
          </w:p>
        </w:tc>
        <w:tc>
          <w:tcPr>
            <w:tcW w:w="874"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-0,4</w:t>
            </w:r>
          </w:p>
        </w:tc>
        <w:tc>
          <w:tcPr>
            <w:tcW w:w="874"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0,0</w:t>
            </w:r>
          </w:p>
        </w:tc>
      </w:tr>
      <w:tr w:rsidR="000E5938" w:rsidRPr="000E5938" w:rsidTr="007C2BDC">
        <w:trPr>
          <w:trHeight w:val="270"/>
        </w:trPr>
        <w:tc>
          <w:tcPr>
            <w:tcW w:w="3828"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8"/>
                <w:lang w:eastAsia="sk-SK"/>
              </w:rPr>
            </w:pPr>
            <w:r w:rsidRPr="000E5938">
              <w:rPr>
                <w:rFonts w:ascii="Times New Roman" w:eastAsia="Times New Roman" w:hAnsi="Times New Roman" w:cs="Times New Roman"/>
                <w:b/>
                <w:bCs/>
                <w:sz w:val="16"/>
                <w:szCs w:val="18"/>
                <w:lang w:eastAsia="sk-SK"/>
              </w:rPr>
              <w:t xml:space="preserve">   </w:t>
            </w:r>
            <w:r w:rsidRPr="000E5938">
              <w:rPr>
                <w:rFonts w:ascii="Times New Roman" w:eastAsia="Times New Roman" w:hAnsi="Times New Roman" w:cs="Times New Roman"/>
                <w:bCs/>
                <w:sz w:val="16"/>
                <w:szCs w:val="18"/>
                <w:lang w:eastAsia="sk-SK"/>
              </w:rPr>
              <w:t>v % HDP*</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0,1</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0,3</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-0,2</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-0,1</w:t>
            </w:r>
          </w:p>
        </w:tc>
        <w:tc>
          <w:tcPr>
            <w:tcW w:w="874"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-0,1</w:t>
            </w:r>
          </w:p>
        </w:tc>
        <w:tc>
          <w:tcPr>
            <w:tcW w:w="874" w:type="dxa"/>
            <w:tcBorders>
              <w:top w:val="nil"/>
              <w:left w:val="nil"/>
              <w:bottom w:val="single" w:sz="4" w:space="0" w:color="auto"/>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0,0</w:t>
            </w:r>
          </w:p>
        </w:tc>
      </w:tr>
    </w:tbl>
    <w:p w:rsidR="000E5938" w:rsidRPr="000E5938" w:rsidRDefault="000E5938" w:rsidP="000E5938">
      <w:pPr>
        <w:spacing w:after="0" w:line="240" w:lineRule="auto"/>
        <w:jc w:val="both"/>
        <w:rPr>
          <w:rFonts w:ascii="Times New Roman" w:eastAsia="Times New Roman" w:hAnsi="Times New Roman" w:cs="Times New Roman"/>
          <w:i/>
          <w:iCs/>
          <w:color w:val="000000"/>
          <w:sz w:val="16"/>
          <w:szCs w:val="16"/>
          <w:lang w:eastAsia="sk-SK"/>
        </w:rPr>
      </w:pPr>
      <w:r w:rsidRPr="000E5938">
        <w:rPr>
          <w:rFonts w:ascii="Times New Roman" w:eastAsia="Times New Roman" w:hAnsi="Times New Roman" w:cs="Times New Roman"/>
          <w:i/>
          <w:iCs/>
          <w:color w:val="000000"/>
          <w:sz w:val="16"/>
          <w:szCs w:val="16"/>
          <w:lang w:eastAsia="sk-SK"/>
        </w:rPr>
        <w:t>* Súčet samostatne kvantifikovaných daňových výdavkov, čo môže byť spojené s chybou navzájom ovplyvňujúcich sa daňových výdavkov</w:t>
      </w:r>
      <w:r w:rsidR="009121EB">
        <w:rPr>
          <w:rFonts w:ascii="Times New Roman" w:eastAsia="Times New Roman" w:hAnsi="Times New Roman" w:cs="Times New Roman"/>
          <w:i/>
          <w:iCs/>
          <w:color w:val="000000"/>
          <w:sz w:val="16"/>
          <w:szCs w:val="16"/>
          <w:lang w:eastAsia="sk-SK"/>
        </w:rPr>
        <w:t>.</w:t>
      </w:r>
    </w:p>
    <w:p w:rsidR="000E5938" w:rsidRPr="000E5938" w:rsidRDefault="000E5938" w:rsidP="000E5938">
      <w:pPr>
        <w:spacing w:after="0" w:line="240" w:lineRule="auto"/>
        <w:jc w:val="both"/>
        <w:rPr>
          <w:rFonts w:ascii="Times New Roman" w:eastAsia="Times New Roman" w:hAnsi="Times New Roman" w:cs="Times New Roman"/>
          <w:color w:val="000000"/>
          <w:sz w:val="16"/>
          <w:szCs w:val="16"/>
          <w:lang w:eastAsia="sk-SK"/>
        </w:rPr>
      </w:pPr>
      <w:r w:rsidRPr="000E5938">
        <w:rPr>
          <w:rFonts w:ascii="Times New Roman" w:eastAsia="Times New Roman" w:hAnsi="Times New Roman" w:cs="Times New Roman"/>
          <w:i/>
          <w:iCs/>
          <w:color w:val="000000"/>
          <w:sz w:val="16"/>
          <w:szCs w:val="16"/>
          <w:lang w:eastAsia="sk-SK"/>
        </w:rPr>
        <w:t>** Podiel na súvisiacich daňových príjmoch</w:t>
      </w:r>
      <w:r w:rsidR="009121EB">
        <w:rPr>
          <w:rFonts w:ascii="Times New Roman" w:eastAsia="Times New Roman" w:hAnsi="Times New Roman" w:cs="Times New Roman"/>
          <w:i/>
          <w:iCs/>
          <w:color w:val="000000"/>
          <w:sz w:val="16"/>
          <w:szCs w:val="16"/>
          <w:lang w:eastAsia="sk-SK"/>
        </w:rPr>
        <w:t>.</w:t>
      </w:r>
    </w:p>
    <w:p w:rsidR="000E5938" w:rsidRPr="00EF1FFB" w:rsidRDefault="000E5938" w:rsidP="000E5938">
      <w:pPr>
        <w:spacing w:after="0" w:line="240" w:lineRule="auto"/>
        <w:jc w:val="both"/>
        <w:rPr>
          <w:rFonts w:ascii="Times New Roman" w:eastAsia="Times New Roman" w:hAnsi="Times New Roman" w:cs="Times New Roman"/>
          <w:sz w:val="24"/>
          <w:lang w:eastAsia="sk-SK"/>
        </w:rPr>
      </w:pPr>
    </w:p>
    <w:p w:rsidR="000E5938" w:rsidRPr="000E5938" w:rsidRDefault="000E5938" w:rsidP="000E5938">
      <w:pPr>
        <w:spacing w:after="0" w:line="240" w:lineRule="auto"/>
        <w:jc w:val="both"/>
        <w:rPr>
          <w:rFonts w:ascii="Times New Roman" w:eastAsia="Times New Roman" w:hAnsi="Times New Roman" w:cs="Times New Roman"/>
          <w:sz w:val="24"/>
          <w:szCs w:val="24"/>
          <w:lang w:eastAsia="sk-SK"/>
        </w:rPr>
      </w:pPr>
      <w:r w:rsidRPr="000E5938">
        <w:rPr>
          <w:rFonts w:ascii="Times New Roman" w:eastAsia="Times New Roman" w:hAnsi="Times New Roman" w:cs="Times New Roman"/>
          <w:sz w:val="24"/>
          <w:szCs w:val="24"/>
          <w:lang w:eastAsia="sk-SK"/>
        </w:rPr>
        <w:t>Celková výška daňových výdavkov je kvôli ich vzájomnému ovplyvňovaniu sa len orientačná. Pri stan</w:t>
      </w:r>
      <w:r w:rsidR="0018209A">
        <w:rPr>
          <w:rFonts w:ascii="Times New Roman" w:eastAsia="Times New Roman" w:hAnsi="Times New Roman" w:cs="Times New Roman"/>
          <w:sz w:val="24"/>
          <w:szCs w:val="24"/>
          <w:lang w:eastAsia="sk-SK"/>
        </w:rPr>
        <w:t>overnom benchmarku na úrovni ak</w:t>
      </w:r>
      <w:r w:rsidRPr="000E5938">
        <w:rPr>
          <w:rFonts w:ascii="Times New Roman" w:eastAsia="Times New Roman" w:hAnsi="Times New Roman" w:cs="Times New Roman"/>
          <w:sz w:val="24"/>
          <w:szCs w:val="24"/>
          <w:lang w:eastAsia="sk-SK"/>
        </w:rPr>
        <w:t>t</w:t>
      </w:r>
      <w:r w:rsidR="0018209A">
        <w:rPr>
          <w:rFonts w:ascii="Times New Roman" w:eastAsia="Times New Roman" w:hAnsi="Times New Roman" w:cs="Times New Roman"/>
          <w:sz w:val="24"/>
          <w:szCs w:val="24"/>
          <w:lang w:eastAsia="sk-SK"/>
        </w:rPr>
        <w:t>u</w:t>
      </w:r>
      <w:r w:rsidRPr="000E5938">
        <w:rPr>
          <w:rFonts w:ascii="Times New Roman" w:eastAsia="Times New Roman" w:hAnsi="Times New Roman" w:cs="Times New Roman"/>
          <w:sz w:val="24"/>
          <w:szCs w:val="24"/>
          <w:lang w:eastAsia="sk-SK"/>
        </w:rPr>
        <w:t>álnej legislatívy dosiahla úroveň daňových výdavkov v roku 2021 výšku 1 763 mil. eur (1,8 % HDP). Za medziročným nár</w:t>
      </w:r>
      <w:r w:rsidR="0018209A">
        <w:rPr>
          <w:rFonts w:ascii="Times New Roman" w:eastAsia="Times New Roman" w:hAnsi="Times New Roman" w:cs="Times New Roman"/>
          <w:sz w:val="24"/>
          <w:szCs w:val="24"/>
          <w:lang w:eastAsia="sk-SK"/>
        </w:rPr>
        <w:t>a</w:t>
      </w:r>
      <w:r w:rsidRPr="000E5938">
        <w:rPr>
          <w:rFonts w:ascii="Times New Roman" w:eastAsia="Times New Roman" w:hAnsi="Times New Roman" w:cs="Times New Roman"/>
          <w:sz w:val="24"/>
          <w:szCs w:val="24"/>
          <w:lang w:eastAsia="sk-SK"/>
        </w:rPr>
        <w:t xml:space="preserve">stom daňových výdavkov v roku 2020 o takmer 247 mil. eur je viacero legislatívnych zmien. Zaviedli sa znížené sadby dane (15 %) pre SZČO a pre firmy (s obratom do 100 tis.). V roku 2020 sa taktiež zaviedla znížená sadzba DPH na vybrané potraviny. </w:t>
      </w:r>
      <w:r w:rsidR="0018209A">
        <w:rPr>
          <w:rFonts w:ascii="Times New Roman" w:eastAsia="Times New Roman" w:hAnsi="Times New Roman" w:cs="Times New Roman"/>
          <w:sz w:val="24"/>
          <w:szCs w:val="24"/>
          <w:lang w:eastAsia="sk-SK"/>
        </w:rPr>
        <w:t>Vyššie výd</w:t>
      </w:r>
      <w:r w:rsidRPr="000E5938">
        <w:rPr>
          <w:rFonts w:ascii="Times New Roman" w:eastAsia="Times New Roman" w:hAnsi="Times New Roman" w:cs="Times New Roman"/>
          <w:sz w:val="24"/>
          <w:szCs w:val="24"/>
          <w:lang w:eastAsia="sk-SK"/>
        </w:rPr>
        <w:t>avky boli aj z dôvodu jednorazových legislatívnych opatrení</w:t>
      </w:r>
      <w:r w:rsidR="0018209A">
        <w:rPr>
          <w:rFonts w:ascii="Times New Roman" w:eastAsia="Times New Roman" w:hAnsi="Times New Roman" w:cs="Times New Roman"/>
          <w:sz w:val="24"/>
          <w:szCs w:val="24"/>
          <w:lang w:eastAsia="sk-SK"/>
        </w:rPr>
        <w:t xml:space="preserve"> pri sociálnych od</w:t>
      </w:r>
      <w:r w:rsidRPr="000E5938">
        <w:rPr>
          <w:rFonts w:ascii="Times New Roman" w:eastAsia="Times New Roman" w:hAnsi="Times New Roman" w:cs="Times New Roman"/>
          <w:sz w:val="24"/>
          <w:szCs w:val="24"/>
          <w:lang w:eastAsia="sk-SK"/>
        </w:rPr>
        <w:t xml:space="preserve">vodoch, ktoré súviseli s opatreniami spojenými s pandémiou šírenia koronavírusu. </w:t>
      </w:r>
    </w:p>
    <w:p w:rsidR="000E5938" w:rsidRPr="000E5938" w:rsidRDefault="000E5938" w:rsidP="000E5938">
      <w:pPr>
        <w:spacing w:after="0" w:line="240" w:lineRule="auto"/>
        <w:jc w:val="both"/>
        <w:rPr>
          <w:rFonts w:ascii="Times New Roman" w:eastAsia="Times New Roman" w:hAnsi="Times New Roman" w:cs="Times New Roman"/>
          <w:sz w:val="24"/>
          <w:szCs w:val="24"/>
          <w:lang w:eastAsia="sk-SK"/>
        </w:rPr>
      </w:pPr>
    </w:p>
    <w:p w:rsidR="000E5938" w:rsidRPr="000E5938" w:rsidRDefault="0018209A" w:rsidP="000E5938">
      <w:pPr>
        <w:spacing w:after="0" w:line="240" w:lineRule="auto"/>
        <w:jc w:val="both"/>
        <w:rPr>
          <w:rFonts w:ascii="Times New Roman" w:eastAsia="Times New Roman" w:hAnsi="Times New Roman" w:cs="Times New Roman"/>
          <w:color w:val="FF0000"/>
          <w:sz w:val="24"/>
          <w:szCs w:val="24"/>
          <w:lang w:eastAsia="sk-SK"/>
        </w:rPr>
      </w:pPr>
      <w:r>
        <w:rPr>
          <w:rFonts w:ascii="Times New Roman" w:eastAsia="Times New Roman" w:hAnsi="Times New Roman" w:cs="Times New Roman"/>
          <w:sz w:val="24"/>
          <w:szCs w:val="24"/>
          <w:lang w:eastAsia="sk-SK"/>
        </w:rPr>
        <w:t>Zmeny</w:t>
      </w:r>
      <w:r w:rsidR="000E5938" w:rsidRPr="000E5938">
        <w:rPr>
          <w:rFonts w:ascii="Times New Roman" w:eastAsia="Times New Roman" w:hAnsi="Times New Roman" w:cs="Times New Roman"/>
          <w:sz w:val="24"/>
          <w:szCs w:val="24"/>
          <w:lang w:eastAsia="sk-SK"/>
        </w:rPr>
        <w:t xml:space="preserve"> počas roku 2021 sa týkali viacerých daňových výda</w:t>
      </w:r>
      <w:r>
        <w:rPr>
          <w:rFonts w:ascii="Times New Roman" w:eastAsia="Times New Roman" w:hAnsi="Times New Roman" w:cs="Times New Roman"/>
          <w:sz w:val="24"/>
          <w:szCs w:val="24"/>
          <w:lang w:eastAsia="sk-SK"/>
        </w:rPr>
        <w:t>v</w:t>
      </w:r>
      <w:r w:rsidR="000E5938" w:rsidRPr="000E5938">
        <w:rPr>
          <w:rFonts w:ascii="Times New Roman" w:eastAsia="Times New Roman" w:hAnsi="Times New Roman" w:cs="Times New Roman"/>
          <w:sz w:val="24"/>
          <w:szCs w:val="24"/>
          <w:lang w:eastAsia="sk-SK"/>
        </w:rPr>
        <w:t>kov, ktoré boli legislatívne upravené alebo zrušené. Pokles v roku 2021 je okrem vplyvu jednoročnej legislatívy aj z dôvodu úpravy podmienok pre zníženú sadzu 15 % pre SZČO a DPPO a zrušením oslobodenia 13. a 14. platu od daní a odvodov. Vývoj v ďalších rokoch je ovplyvnený najmä navyšovaním spotrebných sadzieb z tabakových výrobkov a predpokladaným zavedením ročného zúčtovania sociálnych odvodov od roku 2023.</w:t>
      </w:r>
    </w:p>
    <w:p w:rsidR="000E5938" w:rsidRPr="000E5938" w:rsidRDefault="000E5938" w:rsidP="000E5938">
      <w:pPr>
        <w:spacing w:after="0" w:line="240" w:lineRule="auto"/>
        <w:ind w:firstLine="708"/>
        <w:jc w:val="both"/>
        <w:rPr>
          <w:rFonts w:ascii="Times New Roman" w:eastAsia="Times New Roman" w:hAnsi="Times New Roman" w:cs="Times New Roman"/>
          <w:color w:val="FF0000"/>
          <w:sz w:val="24"/>
          <w:szCs w:val="24"/>
          <w:lang w:eastAsia="sk-SK"/>
        </w:rPr>
      </w:pPr>
    </w:p>
    <w:p w:rsidR="000E5938" w:rsidRDefault="000E5938" w:rsidP="000E5938">
      <w:pPr>
        <w:spacing w:after="0" w:line="240" w:lineRule="auto"/>
        <w:jc w:val="both"/>
        <w:rPr>
          <w:rFonts w:ascii="Times New Roman" w:eastAsia="Times New Roman" w:hAnsi="Times New Roman" w:cs="Times New Roman"/>
          <w:sz w:val="24"/>
          <w:szCs w:val="24"/>
          <w:lang w:eastAsia="sk-SK"/>
        </w:rPr>
      </w:pPr>
      <w:r w:rsidRPr="000E5938">
        <w:rPr>
          <w:rFonts w:ascii="Times New Roman" w:eastAsia="Times New Roman" w:hAnsi="Times New Roman" w:cs="Times New Roman"/>
          <w:sz w:val="24"/>
          <w:szCs w:val="24"/>
          <w:lang w:eastAsia="sk-SK"/>
        </w:rPr>
        <w:t>Priebežne dochádza k ak</w:t>
      </w:r>
      <w:r w:rsidR="00372AD6">
        <w:rPr>
          <w:rFonts w:ascii="Times New Roman" w:eastAsia="Times New Roman" w:hAnsi="Times New Roman" w:cs="Times New Roman"/>
          <w:sz w:val="24"/>
          <w:szCs w:val="24"/>
          <w:lang w:eastAsia="sk-SK"/>
        </w:rPr>
        <w:t>tualizácii</w:t>
      </w:r>
      <w:r w:rsidRPr="000E5938">
        <w:rPr>
          <w:rFonts w:ascii="Times New Roman" w:eastAsia="Times New Roman" w:hAnsi="Times New Roman" w:cs="Times New Roman"/>
          <w:sz w:val="24"/>
          <w:szCs w:val="24"/>
          <w:lang w:eastAsia="sk-SK"/>
        </w:rPr>
        <w:t xml:space="preserve"> daňový</w:t>
      </w:r>
      <w:r w:rsidR="00372AD6">
        <w:rPr>
          <w:rFonts w:ascii="Times New Roman" w:eastAsia="Times New Roman" w:hAnsi="Times New Roman" w:cs="Times New Roman"/>
          <w:sz w:val="24"/>
          <w:szCs w:val="24"/>
          <w:lang w:eastAsia="sk-SK"/>
        </w:rPr>
        <w:t>ch výdavkov, kde došlo k revízii</w:t>
      </w:r>
      <w:r w:rsidRPr="000E5938">
        <w:rPr>
          <w:rFonts w:ascii="Times New Roman" w:eastAsia="Times New Roman" w:hAnsi="Times New Roman" w:cs="Times New Roman"/>
          <w:sz w:val="24"/>
          <w:szCs w:val="24"/>
          <w:lang w:eastAsia="sk-SK"/>
        </w:rPr>
        <w:t xml:space="preserve"> niektorých významnejších položiek aj za minulosť. K najvýraznejšej revízii na strane DPFO patrí zmena metodiky pri nezdaniteľnej časti na manželku (cca -30 mil. eur priemerne za roky 2021 až 2023), kde sa aktualizoval vplyv na základe skutočného plnenia z daňových priznaní. Podobnou revíziou prešli aj daňové výdavky týkajúce sa nezdaniteľnej časti na DDS (-18 mil. eur) a daňového bonusu na hypotéky (-17 mil. eur). Vďaka detailnejším dátam sme aktualizovali aj vplyv rekreačných poukazov. Tie majú okrem vplyvu na DPFO aj vplyv na sociálne a zdravotné odvody (spolu 11 mil. eur). </w:t>
      </w:r>
      <w:r w:rsidR="0018209A">
        <w:rPr>
          <w:rFonts w:ascii="Times New Roman" w:eastAsia="Times New Roman" w:hAnsi="Times New Roman" w:cs="Times New Roman"/>
          <w:sz w:val="24"/>
          <w:szCs w:val="24"/>
          <w:lang w:eastAsia="sk-SK"/>
        </w:rPr>
        <w:t>V rámci zdravotných odvodov</w:t>
      </w:r>
      <w:r w:rsidRPr="000E5938">
        <w:rPr>
          <w:rFonts w:ascii="Times New Roman" w:eastAsia="Times New Roman" w:hAnsi="Times New Roman" w:cs="Times New Roman"/>
          <w:sz w:val="24"/>
          <w:szCs w:val="24"/>
          <w:lang w:eastAsia="sk-SK"/>
        </w:rPr>
        <w:t xml:space="preserve"> došlo aj k pravidelnej aktualizácii odvodovo odpočítateľnej položky. Za pomoci daňových priznaní sme zreáln</w:t>
      </w:r>
      <w:r w:rsidR="0018209A">
        <w:rPr>
          <w:rFonts w:ascii="Times New Roman" w:eastAsia="Times New Roman" w:hAnsi="Times New Roman" w:cs="Times New Roman"/>
          <w:sz w:val="24"/>
          <w:szCs w:val="24"/>
          <w:lang w:eastAsia="sk-SK"/>
        </w:rPr>
        <w:t>ili aj odhad pri zníženej sadzbe</w:t>
      </w:r>
      <w:r w:rsidRPr="000E5938">
        <w:rPr>
          <w:rFonts w:ascii="Times New Roman" w:eastAsia="Times New Roman" w:hAnsi="Times New Roman" w:cs="Times New Roman"/>
          <w:sz w:val="24"/>
          <w:szCs w:val="24"/>
          <w:lang w:eastAsia="sk-SK"/>
        </w:rPr>
        <w:t xml:space="preserve"> dane na DPPO a živnostníkov. </w:t>
      </w:r>
      <w:r w:rsidR="0018209A">
        <w:rPr>
          <w:rFonts w:ascii="Times New Roman" w:eastAsia="Times New Roman" w:hAnsi="Times New Roman" w:cs="Times New Roman"/>
          <w:sz w:val="24"/>
          <w:szCs w:val="24"/>
          <w:lang w:eastAsia="sk-SK"/>
        </w:rPr>
        <w:t>K výraznejším revíziá</w:t>
      </w:r>
      <w:r w:rsidRPr="000E5938">
        <w:rPr>
          <w:rFonts w:ascii="Times New Roman" w:eastAsia="Times New Roman" w:hAnsi="Times New Roman" w:cs="Times New Roman"/>
          <w:sz w:val="24"/>
          <w:szCs w:val="24"/>
          <w:lang w:eastAsia="sk-SK"/>
        </w:rPr>
        <w:t xml:space="preserve">m na DPPO dochádza z titulu lepších údajov o výnosu dane za minulý rok, ako aj z dôvodu navýšenia prognózy. Vďaka tomu revidujeme </w:t>
      </w:r>
      <w:r w:rsidR="0018209A">
        <w:rPr>
          <w:rFonts w:ascii="Times New Roman" w:eastAsia="Times New Roman" w:hAnsi="Times New Roman" w:cs="Times New Roman"/>
          <w:sz w:val="24"/>
          <w:szCs w:val="24"/>
          <w:lang w:eastAsia="sk-SK"/>
        </w:rPr>
        <w:t>predovše</w:t>
      </w:r>
      <w:r w:rsidRPr="000E5938">
        <w:rPr>
          <w:rFonts w:ascii="Times New Roman" w:eastAsia="Times New Roman" w:hAnsi="Times New Roman" w:cs="Times New Roman"/>
          <w:sz w:val="24"/>
          <w:szCs w:val="24"/>
          <w:lang w:eastAsia="sk-SK"/>
        </w:rPr>
        <w:t>t</w:t>
      </w:r>
      <w:r w:rsidR="0018209A">
        <w:rPr>
          <w:rFonts w:ascii="Times New Roman" w:eastAsia="Times New Roman" w:hAnsi="Times New Roman" w:cs="Times New Roman"/>
          <w:sz w:val="24"/>
          <w:szCs w:val="24"/>
          <w:lang w:eastAsia="sk-SK"/>
        </w:rPr>
        <w:t>k</w:t>
      </w:r>
      <w:r w:rsidRPr="000E5938">
        <w:rPr>
          <w:rFonts w:ascii="Times New Roman" w:eastAsia="Times New Roman" w:hAnsi="Times New Roman" w:cs="Times New Roman"/>
          <w:sz w:val="24"/>
          <w:szCs w:val="24"/>
          <w:lang w:eastAsia="sk-SK"/>
        </w:rPr>
        <w:t>ým vplyv superodpočtu na vedu a výskum (15 mil. eur), ako aj asignácie dane (11 mil. eur). Revidovali sa aj vplyvy znížených sadzieb na DPH na základe dát z individuálnych priznaní DPH. Najväčšie zmeny plynú z revízie opravy základu dane DPH a pokračujúceho vplyvu pandémie v roku 2021 v sektore ubytovania, kde bolo pôvodne očakávané silnejšie oživenie už v 2021</w:t>
      </w:r>
      <w:r w:rsidR="0018209A">
        <w:rPr>
          <w:rFonts w:ascii="Times New Roman" w:eastAsia="Times New Roman" w:hAnsi="Times New Roman" w:cs="Times New Roman"/>
          <w:sz w:val="24"/>
          <w:szCs w:val="24"/>
          <w:lang w:eastAsia="sk-SK"/>
        </w:rPr>
        <w:t>, ktoré</w:t>
      </w:r>
      <w:r w:rsidRPr="000E5938">
        <w:rPr>
          <w:rFonts w:ascii="Times New Roman" w:eastAsia="Times New Roman" w:hAnsi="Times New Roman" w:cs="Times New Roman"/>
          <w:sz w:val="24"/>
          <w:szCs w:val="24"/>
          <w:lang w:eastAsia="sk-SK"/>
        </w:rPr>
        <w:t xml:space="preserve"> sa nedostavilo. Aktu</w:t>
      </w:r>
      <w:r w:rsidR="0018209A">
        <w:rPr>
          <w:rFonts w:ascii="Times New Roman" w:eastAsia="Times New Roman" w:hAnsi="Times New Roman" w:cs="Times New Roman"/>
          <w:sz w:val="24"/>
          <w:szCs w:val="24"/>
          <w:lang w:eastAsia="sk-SK"/>
        </w:rPr>
        <w:t>a</w:t>
      </w:r>
      <w:r w:rsidRPr="000E5938">
        <w:rPr>
          <w:rFonts w:ascii="Times New Roman" w:eastAsia="Times New Roman" w:hAnsi="Times New Roman" w:cs="Times New Roman"/>
          <w:sz w:val="24"/>
          <w:szCs w:val="24"/>
          <w:lang w:eastAsia="sk-SK"/>
        </w:rPr>
        <w:t>lizovali sa aj výdavky súvisiace so zmenou sadzieb pri spotre</w:t>
      </w:r>
      <w:r w:rsidR="0018209A">
        <w:rPr>
          <w:rFonts w:ascii="Times New Roman" w:eastAsia="Times New Roman" w:hAnsi="Times New Roman" w:cs="Times New Roman"/>
          <w:sz w:val="24"/>
          <w:szCs w:val="24"/>
          <w:lang w:eastAsia="sk-SK"/>
        </w:rPr>
        <w:t>bnej dani z tabakových výrobkov</w:t>
      </w:r>
      <w:r w:rsidRPr="000E5938">
        <w:rPr>
          <w:rFonts w:ascii="Times New Roman" w:eastAsia="Times New Roman" w:hAnsi="Times New Roman" w:cs="Times New Roman"/>
          <w:sz w:val="24"/>
          <w:szCs w:val="24"/>
          <w:lang w:eastAsia="sk-SK"/>
        </w:rPr>
        <w:t>. Celkové zmeny oproti rozpočtu verejnej správy na roky 2021 až 2023 sú v nasledovnej tabuľke.</w:t>
      </w:r>
    </w:p>
    <w:p w:rsidR="000E5938" w:rsidRPr="00EF1FFB" w:rsidRDefault="000E5938" w:rsidP="000E5938">
      <w:pPr>
        <w:spacing w:after="0" w:line="240" w:lineRule="auto"/>
        <w:jc w:val="both"/>
        <w:rPr>
          <w:rFonts w:ascii="Times New Roman" w:eastAsia="Times New Roman" w:hAnsi="Times New Roman" w:cs="Times New Roman"/>
          <w:sz w:val="24"/>
          <w:lang w:eastAsia="sk-SK"/>
        </w:rPr>
      </w:pPr>
    </w:p>
    <w:p w:rsidR="009121EB" w:rsidRPr="009121EB" w:rsidRDefault="009121EB" w:rsidP="009121EB">
      <w:pPr>
        <w:pStyle w:val="Popis"/>
        <w:keepNext/>
        <w:spacing w:after="0"/>
        <w:rPr>
          <w:rFonts w:ascii="Times New Roman" w:hAnsi="Times New Roman" w:cs="Times New Roman"/>
          <w:b/>
          <w:i w:val="0"/>
          <w:color w:val="5B9BD5" w:themeColor="accent1"/>
          <w:sz w:val="20"/>
          <w:szCs w:val="20"/>
        </w:rPr>
      </w:pPr>
      <w:bookmarkStart w:id="133" w:name="_Toc84845270"/>
      <w:r w:rsidRPr="009121EB">
        <w:rPr>
          <w:rFonts w:ascii="Times New Roman" w:hAnsi="Times New Roman" w:cs="Times New Roman"/>
          <w:b/>
          <w:i w:val="0"/>
          <w:color w:val="5B9BD5" w:themeColor="accent1"/>
          <w:sz w:val="20"/>
          <w:szCs w:val="20"/>
        </w:rPr>
        <w:t xml:space="preserve">Tabuľka </w:t>
      </w:r>
      <w:r w:rsidRPr="009121EB">
        <w:rPr>
          <w:rFonts w:ascii="Times New Roman" w:hAnsi="Times New Roman" w:cs="Times New Roman"/>
          <w:b/>
          <w:i w:val="0"/>
          <w:color w:val="5B9BD5" w:themeColor="accent1"/>
          <w:sz w:val="20"/>
          <w:szCs w:val="20"/>
        </w:rPr>
        <w:fldChar w:fldCharType="begin"/>
      </w:r>
      <w:r w:rsidRPr="009121EB">
        <w:rPr>
          <w:rFonts w:ascii="Times New Roman" w:hAnsi="Times New Roman" w:cs="Times New Roman"/>
          <w:b/>
          <w:i w:val="0"/>
          <w:color w:val="5B9BD5" w:themeColor="accent1"/>
          <w:sz w:val="20"/>
          <w:szCs w:val="20"/>
        </w:rPr>
        <w:instrText xml:space="preserve"> SEQ Tabuľka \* ARABIC </w:instrText>
      </w:r>
      <w:r w:rsidRPr="009121EB">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46</w:t>
      </w:r>
      <w:r w:rsidRPr="009121EB">
        <w:rPr>
          <w:rFonts w:ascii="Times New Roman" w:hAnsi="Times New Roman" w:cs="Times New Roman"/>
          <w:b/>
          <w:i w:val="0"/>
          <w:color w:val="5B9BD5" w:themeColor="accent1"/>
          <w:sz w:val="20"/>
          <w:szCs w:val="20"/>
        </w:rPr>
        <w:fldChar w:fldCharType="end"/>
      </w:r>
      <w:r w:rsidRPr="009121EB">
        <w:rPr>
          <w:rFonts w:ascii="Times New Roman" w:hAnsi="Times New Roman" w:cs="Times New Roman"/>
          <w:b/>
          <w:i w:val="0"/>
          <w:color w:val="5B9BD5" w:themeColor="accent1"/>
          <w:sz w:val="20"/>
          <w:szCs w:val="20"/>
        </w:rPr>
        <w:t xml:space="preserve"> - Zmena daňových výdavkov oproti RVS 2021 - 2023 podľa typu dane alebo poistného (ESA 2010, tis. eur)</w:t>
      </w:r>
      <w:bookmarkEnd w:id="133"/>
    </w:p>
    <w:tbl>
      <w:tblPr>
        <w:tblW w:w="5000" w:type="pct"/>
        <w:jc w:val="center"/>
        <w:tblLayout w:type="fixed"/>
        <w:tblCellMar>
          <w:left w:w="70" w:type="dxa"/>
          <w:right w:w="70" w:type="dxa"/>
        </w:tblCellMar>
        <w:tblLook w:val="04A0" w:firstRow="1" w:lastRow="0" w:firstColumn="1" w:lastColumn="0" w:noHBand="0" w:noVBand="1"/>
      </w:tblPr>
      <w:tblGrid>
        <w:gridCol w:w="4237"/>
        <w:gridCol w:w="967"/>
        <w:gridCol w:w="967"/>
        <w:gridCol w:w="967"/>
        <w:gridCol w:w="967"/>
        <w:gridCol w:w="967"/>
      </w:tblGrid>
      <w:tr w:rsidR="000E5938" w:rsidRPr="000E5938" w:rsidTr="009121EB">
        <w:trPr>
          <w:trHeight w:val="334"/>
          <w:jc w:val="center"/>
        </w:trPr>
        <w:tc>
          <w:tcPr>
            <w:tcW w:w="4237" w:type="dxa"/>
            <w:vMerge w:val="restart"/>
            <w:tcBorders>
              <w:top w:val="single" w:sz="4" w:space="0" w:color="auto"/>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18"/>
                <w:lang w:eastAsia="sk-SK"/>
              </w:rPr>
              <w:t>Zmena daňových výdavkov oproti RVS 2021 - 2023 podľa typu dane alebo poistného (ESA</w:t>
            </w:r>
            <w:r w:rsidR="009121EB">
              <w:rPr>
                <w:rFonts w:ascii="Times New Roman" w:eastAsia="Times New Roman" w:hAnsi="Times New Roman" w:cs="Times New Roman"/>
                <w:b/>
                <w:bCs/>
                <w:color w:val="000000"/>
                <w:sz w:val="18"/>
                <w:szCs w:val="18"/>
                <w:lang w:eastAsia="sk-SK"/>
              </w:rPr>
              <w:t xml:space="preserve"> </w:t>
            </w:r>
            <w:r w:rsidRPr="000E5938">
              <w:rPr>
                <w:rFonts w:ascii="Times New Roman" w:eastAsia="Times New Roman" w:hAnsi="Times New Roman" w:cs="Times New Roman"/>
                <w:b/>
                <w:bCs/>
                <w:color w:val="000000"/>
                <w:sz w:val="18"/>
                <w:szCs w:val="18"/>
                <w:lang w:eastAsia="sk-SK"/>
              </w:rPr>
              <w:t>2010, tis. eur)</w:t>
            </w:r>
          </w:p>
        </w:tc>
        <w:tc>
          <w:tcPr>
            <w:tcW w:w="967"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18"/>
                <w:lang w:eastAsia="sk-SK"/>
              </w:rPr>
              <w:t>2019</w:t>
            </w:r>
          </w:p>
        </w:tc>
        <w:tc>
          <w:tcPr>
            <w:tcW w:w="967"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18"/>
                <w:lang w:eastAsia="sk-SK"/>
              </w:rPr>
              <w:t>2020</w:t>
            </w:r>
          </w:p>
        </w:tc>
        <w:tc>
          <w:tcPr>
            <w:tcW w:w="967"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18"/>
                <w:lang w:eastAsia="sk-SK"/>
              </w:rPr>
              <w:t>2021</w:t>
            </w:r>
          </w:p>
        </w:tc>
        <w:tc>
          <w:tcPr>
            <w:tcW w:w="967" w:type="dxa"/>
            <w:vMerge w:val="restart"/>
            <w:tcBorders>
              <w:top w:val="single" w:sz="4" w:space="0" w:color="auto"/>
              <w:left w:val="nil"/>
              <w:bottom w:val="single" w:sz="4" w:space="0" w:color="000000"/>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18"/>
                <w:lang w:eastAsia="sk-SK"/>
              </w:rPr>
              <w:t>2022</w:t>
            </w:r>
          </w:p>
        </w:tc>
        <w:tc>
          <w:tcPr>
            <w:tcW w:w="967" w:type="dxa"/>
            <w:vMerge w:val="restart"/>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000000"/>
                <w:sz w:val="18"/>
                <w:szCs w:val="18"/>
                <w:lang w:eastAsia="sk-SK"/>
              </w:rPr>
            </w:pPr>
            <w:r w:rsidRPr="000E5938">
              <w:rPr>
                <w:rFonts w:ascii="Times New Roman" w:eastAsia="Times New Roman" w:hAnsi="Times New Roman" w:cs="Times New Roman"/>
                <w:b/>
                <w:bCs/>
                <w:color w:val="000000"/>
                <w:sz w:val="18"/>
                <w:szCs w:val="18"/>
                <w:lang w:eastAsia="sk-SK"/>
              </w:rPr>
              <w:t>2023</w:t>
            </w:r>
          </w:p>
        </w:tc>
      </w:tr>
      <w:tr w:rsidR="000E5938" w:rsidRPr="000E5938" w:rsidTr="009121EB">
        <w:trPr>
          <w:trHeight w:val="458"/>
          <w:jc w:val="center"/>
        </w:trPr>
        <w:tc>
          <w:tcPr>
            <w:tcW w:w="4237"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sz w:val="18"/>
                <w:szCs w:val="18"/>
                <w:lang w:eastAsia="sk-SK"/>
              </w:rPr>
            </w:pPr>
          </w:p>
        </w:tc>
        <w:tc>
          <w:tcPr>
            <w:tcW w:w="967"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967"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967"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967" w:type="dxa"/>
            <w:vMerge/>
            <w:tcBorders>
              <w:top w:val="nil"/>
              <w:left w:val="nil"/>
              <w:bottom w:val="single" w:sz="4" w:space="0" w:color="000000"/>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c>
          <w:tcPr>
            <w:tcW w:w="967" w:type="dxa"/>
            <w:vMerge/>
            <w:tcBorders>
              <w:top w:val="nil"/>
              <w:left w:val="nil"/>
              <w:bottom w:val="single" w:sz="4" w:space="0" w:color="auto"/>
              <w:right w:val="nil"/>
            </w:tcBorders>
            <w:shd w:val="clear" w:color="auto" w:fill="auto"/>
            <w:vAlign w:val="center"/>
            <w:hideMark/>
          </w:tcPr>
          <w:p w:rsidR="000E5938" w:rsidRPr="000E5938" w:rsidRDefault="000E5938" w:rsidP="000E5938">
            <w:pPr>
              <w:spacing w:after="0" w:line="240" w:lineRule="auto"/>
              <w:rPr>
                <w:rFonts w:ascii="Times New Roman" w:eastAsia="Times New Roman" w:hAnsi="Times New Roman" w:cs="Times New Roman"/>
                <w:b/>
                <w:bCs/>
                <w:color w:val="FF0000"/>
                <w:sz w:val="18"/>
                <w:szCs w:val="18"/>
                <w:highlight w:val="yellow"/>
                <w:lang w:eastAsia="sk-SK"/>
              </w:rPr>
            </w:pP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Daň z príjmov fyzických osôb</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-35 100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-48 894</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-58 371</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-74 295</w:t>
            </w:r>
          </w:p>
        </w:tc>
        <w:tc>
          <w:tcPr>
            <w:tcW w:w="967" w:type="dxa"/>
            <w:tcBorders>
              <w:top w:val="single" w:sz="4" w:space="0" w:color="auto"/>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-73 710</w:t>
            </w: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Daň z príjmov právnických osôb</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-963</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960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16 391</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18 171</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23 694</w:t>
            </w: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Daň z príjmov vyberaná zrážkou</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Daň z pridanej hodnoty</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4 624</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-19 882</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-3 360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17 899</w:t>
            </w: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Spotrebné dane</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24 876</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21 473</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2 687</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541</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1 465</w:t>
            </w: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RTVS</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728</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1 410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1 410</w:t>
            </w:r>
          </w:p>
        </w:tc>
        <w:tc>
          <w:tcPr>
            <w:tcW w:w="967" w:type="dxa"/>
            <w:tcBorders>
              <w:top w:val="nil"/>
              <w:left w:val="nil"/>
              <w:bottom w:val="nil"/>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1 410</w:t>
            </w:r>
          </w:p>
        </w:tc>
      </w:tr>
      <w:tr w:rsidR="000E5938" w:rsidRPr="000E5938" w:rsidTr="009121EB">
        <w:trPr>
          <w:trHeight w:val="261"/>
          <w:jc w:val="center"/>
        </w:trPr>
        <w:tc>
          <w:tcPr>
            <w:tcW w:w="4237" w:type="dxa"/>
            <w:tcBorders>
              <w:top w:val="nil"/>
              <w:left w:val="nil"/>
              <w:bottom w:val="nil"/>
              <w:right w:val="nil"/>
            </w:tcBorders>
            <w:shd w:val="clear" w:color="auto" w:fill="auto"/>
            <w:noWrap/>
            <w:vAlign w:val="center"/>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Sociálne poistenie</w:t>
            </w:r>
          </w:p>
        </w:tc>
        <w:tc>
          <w:tcPr>
            <w:tcW w:w="967"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-5 377</w:t>
            </w:r>
          </w:p>
        </w:tc>
        <w:tc>
          <w:tcPr>
            <w:tcW w:w="967"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-5 810</w:t>
            </w:r>
          </w:p>
        </w:tc>
        <w:tc>
          <w:tcPr>
            <w:tcW w:w="967"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-5 718</w:t>
            </w:r>
          </w:p>
        </w:tc>
        <w:tc>
          <w:tcPr>
            <w:tcW w:w="967"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-5 915</w:t>
            </w:r>
          </w:p>
        </w:tc>
        <w:tc>
          <w:tcPr>
            <w:tcW w:w="967" w:type="dxa"/>
            <w:tcBorders>
              <w:top w:val="nil"/>
              <w:left w:val="nil"/>
              <w:bottom w:val="nil"/>
              <w:right w:val="nil"/>
            </w:tcBorders>
            <w:shd w:val="clear" w:color="auto" w:fill="auto"/>
            <w:noWrap/>
            <w:vAlign w:val="center"/>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-5 974</w:t>
            </w:r>
          </w:p>
        </w:tc>
      </w:tr>
      <w:tr w:rsidR="000E5938" w:rsidRPr="000E5938" w:rsidTr="009121EB">
        <w:trPr>
          <w:trHeight w:val="261"/>
          <w:jc w:val="center"/>
        </w:trPr>
        <w:tc>
          <w:tcPr>
            <w:tcW w:w="423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sz w:val="16"/>
                <w:szCs w:val="16"/>
                <w:lang w:eastAsia="sk-SK"/>
              </w:rPr>
            </w:pPr>
            <w:r w:rsidRPr="000E5938">
              <w:rPr>
                <w:rFonts w:ascii="Times New Roman" w:eastAsia="Times New Roman" w:hAnsi="Times New Roman" w:cs="Times New Roman"/>
                <w:sz w:val="16"/>
                <w:szCs w:val="16"/>
                <w:lang w:eastAsia="sk-SK"/>
              </w:rPr>
              <w:t xml:space="preserve">Zdravotné poistenie </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-2 465</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-2 484</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-2 218</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2 401</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color w:val="FF0000"/>
                <w:sz w:val="16"/>
                <w:szCs w:val="16"/>
                <w:highlight w:val="yellow"/>
                <w:lang w:eastAsia="sk-SK"/>
              </w:rPr>
            </w:pPr>
            <w:r w:rsidRPr="000E5938">
              <w:rPr>
                <w:rFonts w:ascii="Times New Roman" w:eastAsia="Times New Roman" w:hAnsi="Times New Roman" w:cs="Times New Roman"/>
                <w:color w:val="000000"/>
                <w:sz w:val="16"/>
                <w:szCs w:val="16"/>
                <w:lang w:eastAsia="sk-SK"/>
              </w:rPr>
              <w:t>1 643</w:t>
            </w:r>
          </w:p>
        </w:tc>
      </w:tr>
      <w:tr w:rsidR="000E5938" w:rsidRPr="000E5938" w:rsidTr="009121EB">
        <w:trPr>
          <w:trHeight w:val="261"/>
          <w:jc w:val="center"/>
        </w:trPr>
        <w:tc>
          <w:tcPr>
            <w:tcW w:w="423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i/>
                <w:iCs/>
                <w:sz w:val="16"/>
                <w:szCs w:val="16"/>
                <w:lang w:eastAsia="sk-SK"/>
              </w:rPr>
            </w:pPr>
            <w:r w:rsidRPr="000E5938">
              <w:rPr>
                <w:rFonts w:ascii="Times New Roman" w:eastAsia="Times New Roman" w:hAnsi="Times New Roman" w:cs="Times New Roman"/>
                <w:i/>
                <w:iCs/>
                <w:sz w:val="16"/>
                <w:szCs w:val="16"/>
                <w:lang w:eastAsia="sk-SK"/>
              </w:rPr>
              <w:t>Negatívne daňové výdavky</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c>
          <w:tcPr>
            <w:tcW w:w="967" w:type="dxa"/>
            <w:tcBorders>
              <w:top w:val="nil"/>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i/>
                <w:iCs/>
                <w:color w:val="FF0000"/>
                <w:sz w:val="16"/>
                <w:szCs w:val="16"/>
                <w:highlight w:val="yellow"/>
                <w:lang w:eastAsia="sk-SK"/>
              </w:rPr>
            </w:pPr>
            <w:r w:rsidRPr="000E5938">
              <w:rPr>
                <w:rFonts w:ascii="Times New Roman" w:eastAsia="Times New Roman" w:hAnsi="Times New Roman" w:cs="Times New Roman"/>
                <w:i/>
                <w:iCs/>
                <w:color w:val="000000"/>
                <w:sz w:val="16"/>
                <w:szCs w:val="16"/>
                <w:lang w:eastAsia="sk-SK"/>
              </w:rPr>
              <w:t>0</w:t>
            </w:r>
          </w:p>
        </w:tc>
      </w:tr>
      <w:tr w:rsidR="000E5938" w:rsidRPr="000E5938" w:rsidTr="009121EB">
        <w:trPr>
          <w:trHeight w:val="261"/>
          <w:jc w:val="center"/>
        </w:trPr>
        <w:tc>
          <w:tcPr>
            <w:tcW w:w="4237" w:type="dxa"/>
            <w:tcBorders>
              <w:top w:val="single" w:sz="4" w:space="0" w:color="auto"/>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rPr>
                <w:rFonts w:ascii="Times New Roman" w:eastAsia="Times New Roman" w:hAnsi="Times New Roman" w:cs="Times New Roman"/>
                <w:b/>
                <w:bCs/>
                <w:sz w:val="16"/>
                <w:szCs w:val="16"/>
                <w:lang w:eastAsia="sk-SK"/>
              </w:rPr>
            </w:pPr>
            <w:r w:rsidRPr="000E5938">
              <w:rPr>
                <w:rFonts w:ascii="Times New Roman" w:eastAsia="Times New Roman" w:hAnsi="Times New Roman" w:cs="Times New Roman"/>
                <w:b/>
                <w:bCs/>
                <w:sz w:val="16"/>
                <w:szCs w:val="16"/>
                <w:lang w:eastAsia="sk-SK"/>
              </w:rPr>
              <w:t>Orientačná zmena výšky daňových výdavkov*</w:t>
            </w:r>
          </w:p>
        </w:tc>
        <w:tc>
          <w:tcPr>
            <w:tcW w:w="967" w:type="dxa"/>
            <w:tcBorders>
              <w:top w:val="single" w:sz="4" w:space="0" w:color="auto"/>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-19 029</w:t>
            </w:r>
          </w:p>
        </w:tc>
        <w:tc>
          <w:tcPr>
            <w:tcW w:w="967" w:type="dxa"/>
            <w:tcBorders>
              <w:top w:val="single" w:sz="4" w:space="0" w:color="auto"/>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-29 403</w:t>
            </w:r>
          </w:p>
        </w:tc>
        <w:tc>
          <w:tcPr>
            <w:tcW w:w="967" w:type="dxa"/>
            <w:tcBorders>
              <w:top w:val="single" w:sz="4" w:space="0" w:color="auto"/>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-65 701</w:t>
            </w:r>
          </w:p>
        </w:tc>
        <w:tc>
          <w:tcPr>
            <w:tcW w:w="967" w:type="dxa"/>
            <w:tcBorders>
              <w:top w:val="single" w:sz="4" w:space="0" w:color="auto"/>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-61 047</w:t>
            </w:r>
          </w:p>
        </w:tc>
        <w:tc>
          <w:tcPr>
            <w:tcW w:w="967" w:type="dxa"/>
            <w:tcBorders>
              <w:top w:val="single" w:sz="4" w:space="0" w:color="auto"/>
              <w:left w:val="nil"/>
              <w:bottom w:val="single" w:sz="4" w:space="0" w:color="auto"/>
              <w:right w:val="nil"/>
            </w:tcBorders>
            <w:shd w:val="clear" w:color="auto" w:fill="auto"/>
            <w:noWrap/>
            <w:vAlign w:val="center"/>
            <w:hideMark/>
          </w:tcPr>
          <w:p w:rsidR="000E5938" w:rsidRPr="000E5938" w:rsidRDefault="000E5938" w:rsidP="000E5938">
            <w:pPr>
              <w:spacing w:after="0" w:line="240" w:lineRule="auto"/>
              <w:jc w:val="center"/>
              <w:rPr>
                <w:rFonts w:ascii="Times New Roman" w:eastAsia="Times New Roman" w:hAnsi="Times New Roman" w:cs="Times New Roman"/>
                <w:b/>
                <w:bCs/>
                <w:color w:val="FF0000"/>
                <w:sz w:val="16"/>
                <w:szCs w:val="16"/>
                <w:highlight w:val="yellow"/>
                <w:lang w:eastAsia="sk-SK"/>
              </w:rPr>
            </w:pPr>
            <w:r w:rsidRPr="000E5938">
              <w:rPr>
                <w:rFonts w:ascii="Times New Roman" w:eastAsia="Times New Roman" w:hAnsi="Times New Roman" w:cs="Times New Roman"/>
                <w:b/>
                <w:bCs/>
                <w:sz w:val="16"/>
                <w:szCs w:val="16"/>
                <w:lang w:eastAsia="sk-SK"/>
              </w:rPr>
              <w:t>-33 573</w:t>
            </w:r>
          </w:p>
        </w:tc>
      </w:tr>
    </w:tbl>
    <w:p w:rsidR="000E5938" w:rsidRPr="00EF1FFB" w:rsidRDefault="000E5938" w:rsidP="000E5938">
      <w:pPr>
        <w:spacing w:after="0" w:line="240" w:lineRule="auto"/>
        <w:jc w:val="both"/>
        <w:rPr>
          <w:rFonts w:ascii="Times New Roman" w:eastAsia="Times New Roman" w:hAnsi="Times New Roman" w:cs="Times New Roman"/>
          <w:sz w:val="28"/>
          <w:lang w:eastAsia="sk-SK"/>
        </w:rPr>
      </w:pPr>
    </w:p>
    <w:p w:rsidR="000E5938" w:rsidRPr="000E5938" w:rsidRDefault="000E5938" w:rsidP="000E5938">
      <w:pPr>
        <w:spacing w:after="0" w:line="240" w:lineRule="auto"/>
        <w:jc w:val="both"/>
        <w:rPr>
          <w:rFonts w:ascii="Times New Roman" w:eastAsia="Times New Roman" w:hAnsi="Times New Roman" w:cs="Times New Roman"/>
          <w:sz w:val="24"/>
          <w:szCs w:val="24"/>
          <w:lang w:eastAsia="sk-SK"/>
        </w:rPr>
      </w:pPr>
      <w:r w:rsidRPr="000E5938">
        <w:rPr>
          <w:rFonts w:ascii="Times New Roman" w:eastAsia="Times New Roman" w:hAnsi="Times New Roman" w:cs="Times New Roman"/>
          <w:sz w:val="24"/>
          <w:szCs w:val="24"/>
          <w:lang w:eastAsia="sk-SK"/>
        </w:rPr>
        <w:t>Ambíciou v oblasti daňových výda</w:t>
      </w:r>
      <w:r w:rsidR="0018209A">
        <w:rPr>
          <w:rFonts w:ascii="Times New Roman" w:eastAsia="Times New Roman" w:hAnsi="Times New Roman" w:cs="Times New Roman"/>
          <w:sz w:val="24"/>
          <w:szCs w:val="24"/>
          <w:lang w:eastAsia="sk-SK"/>
        </w:rPr>
        <w:t>v</w:t>
      </w:r>
      <w:r w:rsidRPr="000E5938">
        <w:rPr>
          <w:rFonts w:ascii="Times New Roman" w:eastAsia="Times New Roman" w:hAnsi="Times New Roman" w:cs="Times New Roman"/>
          <w:sz w:val="24"/>
          <w:szCs w:val="24"/>
          <w:lang w:eastAsia="sk-SK"/>
        </w:rPr>
        <w:t xml:space="preserve">kov je analogicky, ako v prípade revízie výdavkov, priebežne vyhodnocovať opodstatnenosť a efektivitu existujúcich výnimiek v zdanení z hľadiska dosahovania svojho účelu a verejne deklarovaných priorít v daňovej oblasti. </w:t>
      </w:r>
    </w:p>
    <w:p w:rsidR="00CA6DF0" w:rsidRDefault="00CA6DF0" w:rsidP="000E5938">
      <w:pPr>
        <w:spacing w:after="0" w:line="240" w:lineRule="auto"/>
        <w:jc w:val="both"/>
        <w:rPr>
          <w:rFonts w:ascii="Times New Roman" w:eastAsia="Times New Roman" w:hAnsi="Times New Roman" w:cs="Times New Roman"/>
          <w:color w:val="000000"/>
          <w:sz w:val="24"/>
          <w:szCs w:val="24"/>
          <w:lang w:eastAsia="sk-SK"/>
        </w:rPr>
      </w:pPr>
    </w:p>
    <w:p w:rsidR="000E5938" w:rsidRPr="000E5938" w:rsidRDefault="000E5938" w:rsidP="000E5938">
      <w:pPr>
        <w:spacing w:after="0" w:line="240" w:lineRule="auto"/>
        <w:jc w:val="both"/>
        <w:rPr>
          <w:rFonts w:ascii="Times New Roman" w:eastAsia="Times New Roman" w:hAnsi="Times New Roman" w:cs="Times New Roman"/>
          <w:color w:val="000000"/>
          <w:sz w:val="24"/>
          <w:szCs w:val="24"/>
          <w:lang w:eastAsia="sk-SK"/>
        </w:rPr>
      </w:pPr>
      <w:r w:rsidRPr="000E5938">
        <w:rPr>
          <w:rFonts w:ascii="Times New Roman" w:eastAsia="Times New Roman" w:hAnsi="Times New Roman" w:cs="Times New Roman"/>
          <w:color w:val="000000"/>
          <w:sz w:val="24"/>
          <w:szCs w:val="24"/>
          <w:lang w:eastAsia="sk-SK"/>
        </w:rPr>
        <w:t xml:space="preserve">Nižšie uvedená tabuľka poskytuje detailnejší prehľad existujúcich daňových výdavkov podľa účelu ich použitia. </w:t>
      </w:r>
    </w:p>
    <w:p w:rsidR="000E5938" w:rsidRDefault="000E5938"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Default="00EF1FFB" w:rsidP="000E5938">
      <w:pPr>
        <w:spacing w:after="0" w:line="240" w:lineRule="auto"/>
        <w:ind w:firstLine="708"/>
        <w:jc w:val="both"/>
        <w:rPr>
          <w:rFonts w:ascii="Times New Roman" w:eastAsia="Times New Roman" w:hAnsi="Times New Roman" w:cs="Times New Roman"/>
          <w:color w:val="000000"/>
          <w:lang w:eastAsia="sk-SK"/>
        </w:rPr>
      </w:pPr>
    </w:p>
    <w:p w:rsidR="00EF1FFB" w:rsidRPr="000E5938" w:rsidRDefault="00EF1FFB" w:rsidP="000E5938">
      <w:pPr>
        <w:spacing w:after="0" w:line="240" w:lineRule="auto"/>
        <w:ind w:firstLine="708"/>
        <w:jc w:val="both"/>
        <w:rPr>
          <w:rFonts w:ascii="Times New Roman" w:eastAsia="Times New Roman" w:hAnsi="Times New Roman" w:cs="Times New Roman"/>
          <w:color w:val="000000"/>
          <w:lang w:eastAsia="sk-SK"/>
        </w:rPr>
      </w:pPr>
    </w:p>
    <w:p w:rsidR="009121EB" w:rsidRPr="009121EB" w:rsidRDefault="009121EB" w:rsidP="009121EB">
      <w:pPr>
        <w:pStyle w:val="Popis"/>
        <w:keepNext/>
        <w:spacing w:after="0"/>
        <w:rPr>
          <w:rFonts w:ascii="Times New Roman" w:hAnsi="Times New Roman" w:cs="Times New Roman"/>
          <w:b/>
          <w:i w:val="0"/>
          <w:color w:val="5B9BD5" w:themeColor="accent1"/>
          <w:sz w:val="20"/>
          <w:szCs w:val="20"/>
        </w:rPr>
      </w:pPr>
      <w:bookmarkStart w:id="134" w:name="_Toc84845271"/>
      <w:r w:rsidRPr="009121EB">
        <w:rPr>
          <w:rFonts w:ascii="Times New Roman" w:hAnsi="Times New Roman" w:cs="Times New Roman"/>
          <w:b/>
          <w:i w:val="0"/>
          <w:color w:val="5B9BD5" w:themeColor="accent1"/>
          <w:sz w:val="20"/>
          <w:szCs w:val="20"/>
        </w:rPr>
        <w:t xml:space="preserve">Tabuľka </w:t>
      </w:r>
      <w:r w:rsidRPr="009121EB">
        <w:rPr>
          <w:rFonts w:ascii="Times New Roman" w:hAnsi="Times New Roman" w:cs="Times New Roman"/>
          <w:b/>
          <w:i w:val="0"/>
          <w:color w:val="5B9BD5" w:themeColor="accent1"/>
          <w:sz w:val="20"/>
          <w:szCs w:val="20"/>
        </w:rPr>
        <w:fldChar w:fldCharType="begin"/>
      </w:r>
      <w:r w:rsidRPr="009121EB">
        <w:rPr>
          <w:rFonts w:ascii="Times New Roman" w:hAnsi="Times New Roman" w:cs="Times New Roman"/>
          <w:b/>
          <w:i w:val="0"/>
          <w:color w:val="5B9BD5" w:themeColor="accent1"/>
          <w:sz w:val="20"/>
          <w:szCs w:val="20"/>
        </w:rPr>
        <w:instrText xml:space="preserve"> SEQ Tabuľka \* ARABIC </w:instrText>
      </w:r>
      <w:r w:rsidRPr="009121EB">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47</w:t>
      </w:r>
      <w:r w:rsidRPr="009121EB">
        <w:rPr>
          <w:rFonts w:ascii="Times New Roman" w:hAnsi="Times New Roman" w:cs="Times New Roman"/>
          <w:b/>
          <w:i w:val="0"/>
          <w:color w:val="5B9BD5" w:themeColor="accent1"/>
          <w:sz w:val="20"/>
          <w:szCs w:val="20"/>
        </w:rPr>
        <w:fldChar w:fldCharType="end"/>
      </w:r>
      <w:r w:rsidRPr="009121EB">
        <w:rPr>
          <w:rFonts w:ascii="Times New Roman" w:hAnsi="Times New Roman" w:cs="Times New Roman"/>
          <w:b/>
          <w:i w:val="0"/>
          <w:color w:val="5B9BD5" w:themeColor="accent1"/>
          <w:sz w:val="20"/>
          <w:szCs w:val="20"/>
        </w:rPr>
        <w:t xml:space="preserve"> - Prehľad daňových výdavkov podľa ich účelu (ESA 2010, tis. eur)</w:t>
      </w:r>
      <w:bookmarkEnd w:id="134"/>
    </w:p>
    <w:tbl>
      <w:tblPr>
        <w:tblW w:w="5000" w:type="pct"/>
        <w:jc w:val="center"/>
        <w:tblLayout w:type="fixed"/>
        <w:tblCellMar>
          <w:left w:w="70" w:type="dxa"/>
          <w:right w:w="70" w:type="dxa"/>
        </w:tblCellMar>
        <w:tblLook w:val="04A0" w:firstRow="1" w:lastRow="0" w:firstColumn="1" w:lastColumn="0" w:noHBand="0" w:noVBand="1"/>
      </w:tblPr>
      <w:tblGrid>
        <w:gridCol w:w="4315"/>
        <w:gridCol w:w="912"/>
        <w:gridCol w:w="640"/>
        <w:gridCol w:w="641"/>
        <w:gridCol w:w="641"/>
        <w:gridCol w:w="641"/>
        <w:gridCol w:w="641"/>
        <w:gridCol w:w="641"/>
      </w:tblGrid>
      <w:tr w:rsidR="000E5938" w:rsidRPr="00372AD6" w:rsidTr="009121EB">
        <w:trPr>
          <w:trHeight w:val="253"/>
          <w:jc w:val="center"/>
        </w:trPr>
        <w:tc>
          <w:tcPr>
            <w:tcW w:w="4315" w:type="dxa"/>
            <w:vMerge w:val="restart"/>
            <w:tcBorders>
              <w:top w:val="single" w:sz="4" w:space="0" w:color="auto"/>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Prehľad daňových výdavkov podľa ich účelu (ESA</w:t>
            </w:r>
            <w:r w:rsidR="009121EB" w:rsidRPr="00372AD6">
              <w:rPr>
                <w:rFonts w:ascii="Times New Roman" w:eastAsia="Times New Roman" w:hAnsi="Times New Roman" w:cs="Times New Roman"/>
                <w:b/>
                <w:bCs/>
                <w:color w:val="000000"/>
                <w:sz w:val="14"/>
                <w:szCs w:val="16"/>
                <w:lang w:eastAsia="sk-SK"/>
              </w:rPr>
              <w:t xml:space="preserve"> </w:t>
            </w:r>
            <w:r w:rsidRPr="00372AD6">
              <w:rPr>
                <w:rFonts w:ascii="Times New Roman" w:eastAsia="Times New Roman" w:hAnsi="Times New Roman" w:cs="Times New Roman"/>
                <w:b/>
                <w:bCs/>
                <w:color w:val="000000"/>
                <w:sz w:val="14"/>
                <w:szCs w:val="16"/>
                <w:lang w:eastAsia="sk-SK"/>
              </w:rPr>
              <w:t>2010, tis. eur)</w:t>
            </w:r>
          </w:p>
        </w:tc>
        <w:tc>
          <w:tcPr>
            <w:tcW w:w="912"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Daň</w:t>
            </w:r>
          </w:p>
        </w:tc>
        <w:tc>
          <w:tcPr>
            <w:tcW w:w="640"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2019</w:t>
            </w:r>
          </w:p>
        </w:tc>
        <w:tc>
          <w:tcPr>
            <w:tcW w:w="641"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2020</w:t>
            </w:r>
          </w:p>
        </w:tc>
        <w:tc>
          <w:tcPr>
            <w:tcW w:w="641"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2021</w:t>
            </w:r>
          </w:p>
        </w:tc>
        <w:tc>
          <w:tcPr>
            <w:tcW w:w="641"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2022</w:t>
            </w:r>
          </w:p>
        </w:tc>
        <w:tc>
          <w:tcPr>
            <w:tcW w:w="641"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2023</w:t>
            </w:r>
          </w:p>
        </w:tc>
        <w:tc>
          <w:tcPr>
            <w:tcW w:w="641" w:type="dxa"/>
            <w:vMerge w:val="restart"/>
            <w:tcBorders>
              <w:top w:val="single" w:sz="4" w:space="0" w:color="auto"/>
              <w:left w:val="nil"/>
              <w:bottom w:val="single" w:sz="4" w:space="0" w:color="000000"/>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2024</w:t>
            </w:r>
          </w:p>
        </w:tc>
      </w:tr>
      <w:tr w:rsidR="000E5938" w:rsidRPr="00372AD6" w:rsidTr="007C2BDC">
        <w:trPr>
          <w:trHeight w:val="458"/>
          <w:jc w:val="center"/>
        </w:trPr>
        <w:tc>
          <w:tcPr>
            <w:tcW w:w="4315"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912"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0"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1"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1"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1"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1"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1" w:type="dxa"/>
            <w:vMerge/>
            <w:tcBorders>
              <w:top w:val="nil"/>
              <w:left w:val="nil"/>
              <w:bottom w:val="single" w:sz="4" w:space="0" w:color="000000"/>
              <w:right w:val="nil"/>
            </w:tcBorders>
            <w:shd w:val="clear" w:color="auto" w:fill="auto"/>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b/>
                <w:bCs/>
                <w:color w:val="000000"/>
                <w:sz w:val="14"/>
                <w:szCs w:val="16"/>
                <w:lang w:eastAsia="sk-SK"/>
              </w:rPr>
              <w:t>Podpora trhu práce, zamestnanosti (prácou podmienené benefity)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180 460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259 077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190 339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197 375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200 906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204 258</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color w:val="FF0000"/>
                <w:sz w:val="14"/>
                <w:szCs w:val="16"/>
                <w:lang w:eastAsia="sk-SK"/>
              </w:rPr>
            </w:pPr>
            <w:r w:rsidRPr="00372AD6">
              <w:rPr>
                <w:rFonts w:ascii="Times New Roman" w:eastAsia="Times New Roman" w:hAnsi="Times New Roman" w:cs="Times New Roman"/>
                <w:sz w:val="14"/>
                <w:szCs w:val="16"/>
                <w:lang w:eastAsia="sk-SK"/>
              </w:rPr>
              <w:t>Odvodová úľava pre dlhodobo nezamestnaných</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4"/>
                <w:highlight w:val="yellow"/>
                <w:lang w:eastAsia="sk-SK"/>
              </w:rPr>
            </w:pPr>
            <w:r w:rsidRPr="00372AD6">
              <w:rPr>
                <w:rFonts w:ascii="Times New Roman" w:eastAsia="Times New Roman" w:hAnsi="Times New Roman" w:cs="Times New Roman"/>
                <w:sz w:val="14"/>
                <w:szCs w:val="14"/>
                <w:lang w:eastAsia="sk-SK"/>
              </w:rPr>
              <w:t>DPFO, SP, ZP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813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435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327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Dohody o prácach vykonávaných mimo pracovný pomer</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4"/>
                <w:highlight w:val="yellow"/>
                <w:lang w:eastAsia="sk-SK"/>
              </w:rPr>
            </w:pPr>
            <w:r w:rsidRPr="00372AD6">
              <w:rPr>
                <w:rFonts w:ascii="Times New Roman" w:eastAsia="Times New Roman" w:hAnsi="Times New Roman" w:cs="Times New Roman"/>
                <w:sz w:val="14"/>
                <w:szCs w:val="14"/>
                <w:lang w:eastAsia="sk-SK"/>
              </w:rPr>
              <w:t>SP, ZP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81 587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85 675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89 967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94 475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99 208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104 179</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Odvodová odpočítateľná položka pre nízkopríjmových</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4"/>
                <w:highlight w:val="yellow"/>
                <w:lang w:eastAsia="sk-SK"/>
              </w:rPr>
            </w:pPr>
            <w:r w:rsidRPr="00372AD6">
              <w:rPr>
                <w:rFonts w:ascii="Times New Roman" w:eastAsia="Times New Roman" w:hAnsi="Times New Roman" w:cs="Times New Roman"/>
                <w:sz w:val="14"/>
                <w:szCs w:val="14"/>
                <w:lang w:eastAsia="sk-SK"/>
              </w:rPr>
              <w:t>ZP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27 754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21 805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16 449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19 001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17 517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15 626</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B46D8C" w:rsidP="000E5938">
            <w:pPr>
              <w:spacing w:after="0" w:line="240" w:lineRule="auto"/>
              <w:ind w:firstLineChars="100" w:firstLine="140"/>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OOP pre dôchodcov na príjmy z dohô</w:t>
            </w:r>
            <w:r w:rsidR="000E5938" w:rsidRPr="00372AD6">
              <w:rPr>
                <w:rFonts w:ascii="Times New Roman" w:eastAsia="Times New Roman" w:hAnsi="Times New Roman" w:cs="Times New Roman"/>
                <w:sz w:val="14"/>
                <w:szCs w:val="16"/>
                <w:lang w:eastAsia="sk-SK"/>
              </w:rPr>
              <w:t>d do 200 eur</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4"/>
                <w:highlight w:val="yellow"/>
                <w:lang w:eastAsia="sk-SK"/>
              </w:rPr>
            </w:pPr>
            <w:r w:rsidRPr="00372AD6">
              <w:rPr>
                <w:rFonts w:ascii="Times New Roman" w:eastAsia="Times New Roman" w:hAnsi="Times New Roman" w:cs="Times New Roman"/>
                <w:sz w:val="14"/>
                <w:szCs w:val="14"/>
                <w:lang w:eastAsia="sk-SK"/>
              </w:rPr>
              <w:t>SP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21 452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21 653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21 944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22 248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22 530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22 803</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13. a 14. plat (vrátane viacnásobného uplatňovania v 2021)</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4"/>
                <w:highlight w:val="yellow"/>
                <w:lang w:eastAsia="sk-SK"/>
              </w:rPr>
            </w:pPr>
            <w:r w:rsidRPr="00372AD6">
              <w:rPr>
                <w:rFonts w:ascii="Times New Roman" w:eastAsia="Times New Roman" w:hAnsi="Times New Roman" w:cs="Times New Roman"/>
                <w:sz w:val="14"/>
                <w:szCs w:val="14"/>
                <w:lang w:eastAsia="sk-SK"/>
              </w:rPr>
              <w:t>SP, ZP, 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33 111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22 627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 xml:space="preserve">    Nepeňažne príjmy (ubytovanie)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highlight w:val="yellow"/>
                <w:lang w:eastAsia="sk-SK"/>
              </w:rPr>
            </w:pPr>
            <w:r w:rsidRPr="00372AD6">
              <w:rPr>
                <w:rFonts w:ascii="Times New Roman" w:eastAsia="Times New Roman" w:hAnsi="Times New Roman" w:cs="Times New Roman"/>
                <w:sz w:val="14"/>
                <w:szCs w:val="14"/>
                <w:lang w:eastAsia="sk-SK"/>
              </w:rPr>
              <w:t>SP, ZP, DPFO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15 742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15 570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15 570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15 570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15 570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15 570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 xml:space="preserve">    Nepeňažne príjmy (doprava)</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highlight w:val="yellow"/>
                <w:lang w:eastAsia="sk-SK"/>
              </w:rPr>
            </w:pPr>
            <w:r w:rsidRPr="00372AD6">
              <w:rPr>
                <w:rFonts w:ascii="Times New Roman" w:eastAsia="Times New Roman" w:hAnsi="Times New Roman" w:cs="Times New Roman"/>
                <w:sz w:val="14"/>
                <w:szCs w:val="14"/>
                <w:lang w:eastAsia="sk-SK"/>
              </w:rPr>
              <w:t>SP, ZP, DPFO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12 458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12 458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12 458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12 458</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 xml:space="preserve">    Podpora mobility práce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highlight w:val="yellow"/>
                <w:lang w:eastAsia="sk-SK"/>
              </w:rPr>
            </w:pPr>
            <w:r w:rsidRPr="00372AD6">
              <w:rPr>
                <w:rFonts w:ascii="Times New Roman" w:eastAsia="Times New Roman" w:hAnsi="Times New Roman" w:cs="Times New Roman"/>
                <w:sz w:val="14"/>
                <w:szCs w:val="14"/>
                <w:lang w:eastAsia="sk-SK"/>
              </w:rPr>
              <w:t>SP, ZP, DPFO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33 623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33 623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33 623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33 623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33 623</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 xml:space="preserve">    Odpustenie sociálnych odvodov – COVID opatrenie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highlight w:val="yellow"/>
                <w:lang w:eastAsia="sk-SK"/>
              </w:rPr>
            </w:pPr>
            <w:r w:rsidRPr="00372AD6">
              <w:rPr>
                <w:rFonts w:ascii="Times New Roman" w:eastAsia="Times New Roman" w:hAnsi="Times New Roman" w:cs="Times New Roman"/>
                <w:sz w:val="14"/>
                <w:szCs w:val="14"/>
                <w:lang w:eastAsia="sk-SK"/>
              </w:rPr>
              <w:t>SP</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57 689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Sociálna podpora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149 730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237 874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255 537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258 476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272 826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286 572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9121EB"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Oslobodenie príspevku zo soc. fondu na sociálne úč</w:t>
            </w:r>
            <w:r w:rsidR="000E5938" w:rsidRPr="00372AD6">
              <w:rPr>
                <w:rFonts w:ascii="Times New Roman" w:eastAsia="Times New Roman" w:hAnsi="Times New Roman" w:cs="Times New Roman"/>
                <w:sz w:val="14"/>
                <w:szCs w:val="16"/>
                <w:lang w:eastAsia="sk-SK"/>
              </w:rPr>
              <w:t xml:space="preserve">ely do </w:t>
            </w:r>
            <w:r w:rsidRPr="00372AD6">
              <w:rPr>
                <w:rFonts w:ascii="Times New Roman" w:eastAsia="Times New Roman" w:hAnsi="Times New Roman" w:cs="Times New Roman"/>
                <w:sz w:val="14"/>
                <w:szCs w:val="16"/>
                <w:lang w:eastAsia="sk-SK"/>
              </w:rPr>
              <w:br/>
              <w:t xml:space="preserve"> </w:t>
            </w:r>
            <w:r w:rsidR="000E5938" w:rsidRPr="00372AD6">
              <w:rPr>
                <w:rFonts w:ascii="Times New Roman" w:eastAsia="Times New Roman" w:hAnsi="Times New Roman" w:cs="Times New Roman"/>
                <w:sz w:val="14"/>
                <w:szCs w:val="16"/>
                <w:lang w:eastAsia="sk-SK"/>
              </w:rPr>
              <w:t>2 000 eur</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796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796</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Znížená sadzba DPH na vybrané potraviny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DPH</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109 858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110 914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113 651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121 486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129 782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137 055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Znížená sadzba DPH na potraviny od 2020</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DPH</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81 103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84 864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89 595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94 675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100 042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Daň zo zemného plynu - fakultatívne oslobodenia</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31 109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26 894</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27 101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27 749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28 724</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29 829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Znížená sadzba pre vybrané skupiny na platenie úhrad RTVS</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RTVS</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7 966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7 966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7 966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7 966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7 966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7 966</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Oslobodenie vybraných skupín od platenia úhrad RTVS (od 2020)</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RTVS</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10 201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10 883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10 883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10 883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10 883</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color w:val="000000"/>
                <w:sz w:val="14"/>
                <w:szCs w:val="16"/>
                <w:lang w:eastAsia="sk-SK"/>
              </w:rPr>
            </w:pPr>
            <w:r w:rsidRPr="00372AD6">
              <w:rPr>
                <w:rFonts w:ascii="Times New Roman" w:eastAsia="Times New Roman" w:hAnsi="Times New Roman" w:cs="Times New Roman"/>
                <w:color w:val="000000"/>
                <w:sz w:val="14"/>
                <w:szCs w:val="18"/>
                <w:lang w:eastAsia="sk-SK"/>
              </w:rPr>
              <w:t xml:space="preserve">    </w:t>
            </w:r>
            <w:r w:rsidRPr="00372AD6">
              <w:rPr>
                <w:rFonts w:ascii="Times New Roman" w:eastAsia="Times New Roman" w:hAnsi="Times New Roman" w:cs="Times New Roman"/>
                <w:color w:val="000000"/>
                <w:sz w:val="14"/>
                <w:szCs w:val="16"/>
                <w:lang w:eastAsia="sk-SK"/>
              </w:rPr>
              <w:t>Dočasná nulová sadzba DPH na respirátory– COVID 19</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sz w:val="14"/>
                <w:szCs w:val="14"/>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10 276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Charita, dary a príspevky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73 071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53 391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86 280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77 680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85 527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95 389</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Asignácia dane - použitie podielu zaplatenej dane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 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73 071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53 391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86 280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77 680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85 527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95 389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Podpora rodiny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368 753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392 850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441 277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b/>
                <w:bCs/>
                <w:color w:val="000000"/>
                <w:sz w:val="14"/>
                <w:szCs w:val="16"/>
                <w:lang w:eastAsia="sk-SK"/>
              </w:rPr>
              <w:t>514 309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b/>
                <w:bCs/>
                <w:color w:val="000000"/>
                <w:sz w:val="14"/>
                <w:szCs w:val="16"/>
                <w:lang w:eastAsia="sk-SK"/>
              </w:rPr>
              <w:t>537 188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b/>
                <w:bCs/>
                <w:color w:val="000000"/>
                <w:sz w:val="14"/>
                <w:szCs w:val="16"/>
                <w:lang w:eastAsia="sk-SK"/>
              </w:rPr>
              <w:t>552 061</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 xml:space="preserve">Uplatňovanie nezdaniteľnej časti základu dane na manžela(ku) </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36 157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37 148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37 582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38 073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38 407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38 653</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Daňový bonus na deti</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332 596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355 702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403 695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476 236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498 781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513 408</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Úľavy na DPPO</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44 812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96 443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80 818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82 258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83 251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84 086</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Zrýchlené odpisovanie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11 825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10 915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10 076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9 301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8 585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7 925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Oslobodenie obchodného podielu</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3 971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21 034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22 250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23 536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24 896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26 335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B46D8C"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Oslobodenie vybra</w:t>
            </w:r>
            <w:r w:rsidR="000E5938" w:rsidRPr="00372AD6">
              <w:rPr>
                <w:rFonts w:ascii="Times New Roman" w:eastAsia="Times New Roman" w:hAnsi="Times New Roman" w:cs="Times New Roman"/>
                <w:sz w:val="14"/>
                <w:szCs w:val="16"/>
                <w:lang w:eastAsia="sk-SK"/>
              </w:rPr>
              <w:t>ných právnych foriem neziskového sektora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1 453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1 540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1 629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1 723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1 823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1 929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Znížená sadzba na 15 % pre firmy s obratom do 100 tis. eur (v roku 2020) a do 49 790 eur (od roku 2021)</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37 791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22 711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23 416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22 657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22 657</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B46D8C"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Znížená sadzba na 15 % pre SZČO s</w:t>
            </w:r>
            <w:r w:rsidR="000E5938" w:rsidRPr="00372AD6">
              <w:rPr>
                <w:rFonts w:ascii="Times New Roman" w:eastAsia="Times New Roman" w:hAnsi="Times New Roman" w:cs="Times New Roman"/>
                <w:sz w:val="14"/>
                <w:szCs w:val="16"/>
                <w:lang w:eastAsia="sk-SK"/>
              </w:rPr>
              <w:t xml:space="preserve"> príjmom do 100 tis. (v roku 2020) a do 49 790 eur (od roku 2021)</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20 662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19 652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19 782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20 789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20 741</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Daňový výdavok na pohonné hmoty</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4 500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4 500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4 500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4 500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4 500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Jednorazový odpis straty – COVID-19 opatrenie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sz w:val="14"/>
                <w:szCs w:val="16"/>
                <w:highlight w:val="yellow"/>
                <w:lang w:eastAsia="sk-SK"/>
              </w:rPr>
            </w:pPr>
            <w:r w:rsidRPr="00372AD6">
              <w:rPr>
                <w:rFonts w:ascii="Times New Roman" w:eastAsia="Times New Roman" w:hAnsi="Times New Roman" w:cs="Times New Roman"/>
                <w:bCs/>
                <w:sz w:val="14"/>
                <w:szCs w:val="16"/>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27 563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000000"/>
                <w:sz w:val="14"/>
                <w:szCs w:val="16"/>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b/>
                <w:bCs/>
                <w:sz w:val="14"/>
                <w:szCs w:val="16"/>
                <w:lang w:eastAsia="sk-SK"/>
              </w:rPr>
              <w:t>Podpora špecifických odvetví</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397 113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389 470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278 793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205 980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163 822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151 087</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Finančný leasing a oslobodenie prenájmu obcí a VÚC</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 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10 825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10 923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11 021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11 021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11 021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11 021</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Daň z elektriny - fakultatívne oslobodenia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13 080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12 726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11 368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11 609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11 983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12 412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Daň z uhlia - fakultatívne oslobodenia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21 691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16 222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14 925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13 052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11 520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10 215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Daň z piva - znížená sadzba pre malé pivovary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1 440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1 205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1 168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1 185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1 215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1 250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Daň z vína - znížená sadzba (0 EUR)</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27 559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30 296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31 140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31 507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32 221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33 067</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Daň z minerálneho oleja - § 10 ods. 3</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12 003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11 140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11 424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12 051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12 627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12 691</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NČZD na kúpeľníctvo</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2 078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2 286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2 106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Rekreačné poukazy</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SP, ZP, DPFO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24 864</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25 432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25 996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26 556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27 111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27 662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Samostatné odpisovanie technického zhodnotenia - kúpeľníctvo</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3 289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3 289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Daň z tabaku - zvýšenie SD na cigarety a tabak od 1.2.2019</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4 793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Daň z tabaku - zvýšenie SD na cigarety a tabak od 2021, 2022, 2023</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SD</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242 898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238 287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140 351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68 402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13 861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Znížená DPH na ubytovanie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25 818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14 511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7 107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14 511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25 818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26 194</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Znížená DPH na print</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6 456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6 702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6 826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7 183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7 315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Skrátenie doby odpisu pre elektromobily</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6 775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16 697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15 487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9 261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9 261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9 261</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Podpora vedy a výskumu</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40 560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52 330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54 928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60 677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67 291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74 897</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Úľava na dani pre príjemcov IP</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14 979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14 829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14 681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14 534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14 389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14 245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Úľava na dani (superodpočet VaV)</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25 582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37 501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40 247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46 143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52 902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60 652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Podpora vzdelávania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2 368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2 365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2 535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2 770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2 987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3 042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Znížená sadzba dane na knihy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DPH</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2 368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2 365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2 535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2 770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2 987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3 042</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b/>
                <w:bCs/>
                <w:sz w:val="14"/>
                <w:szCs w:val="16"/>
                <w:lang w:eastAsia="sk-SK"/>
              </w:rPr>
              <w:t>Podpora zdravia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195 386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197 489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211 532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230 902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248 823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253 343</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Znížená sadzba DPH na lieky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DPH</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158 814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158 583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170 004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185 756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200 328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204 008</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Znížená sadzba DPH na vybrané zdravotnícke pomôcky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DPH</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36 572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36 519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39 149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42 776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46 131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46 979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Športové poukazy</w:t>
            </w:r>
          </w:p>
        </w:tc>
        <w:tc>
          <w:tcPr>
            <w:tcW w:w="912" w:type="dxa"/>
            <w:tcBorders>
              <w:top w:val="nil"/>
              <w:left w:val="nil"/>
              <w:bottom w:val="nil"/>
              <w:right w:val="nil"/>
            </w:tcBorders>
            <w:shd w:val="clear" w:color="auto" w:fill="auto"/>
            <w:noWrap/>
            <w:vAlign w:val="center"/>
          </w:tcPr>
          <w:p w:rsidR="000E5938" w:rsidRPr="00372AD6" w:rsidRDefault="000E5938" w:rsidP="009121EB">
            <w:pPr>
              <w:spacing w:after="0" w:line="240" w:lineRule="auto"/>
              <w:jc w:val="center"/>
              <w:rPr>
                <w:rFonts w:ascii="Times New Roman" w:eastAsia="Times New Roman" w:hAnsi="Times New Roman" w:cs="Times New Roman"/>
                <w:bCs/>
                <w:sz w:val="14"/>
                <w:szCs w:val="16"/>
                <w:lang w:eastAsia="sk-SK"/>
              </w:rPr>
            </w:pPr>
            <w:r w:rsidRPr="00372AD6">
              <w:rPr>
                <w:rFonts w:ascii="Times New Roman" w:eastAsia="Times New Roman" w:hAnsi="Times New Roman" w:cs="Times New Roman"/>
                <w:bCs/>
                <w:sz w:val="14"/>
                <w:szCs w:val="16"/>
                <w:lang w:eastAsia="sk-SK"/>
              </w:rPr>
              <w:t>SP, ZP, DPFO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2 387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2 379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2 371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2 363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2 356</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Podpora bývania</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8 318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15 442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9 884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12 354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14 791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17 004</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Oslobodenie príjmu z prenájmu do 500 eur</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3 055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3 243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3 432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3 717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4 012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4 128</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Daňový bonus na hypotéky</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5 263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12 198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6 452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8 637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10 779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12 876</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b/>
                <w:bCs/>
                <w:sz w:val="14"/>
                <w:szCs w:val="16"/>
                <w:lang w:eastAsia="sk-SK"/>
              </w:rPr>
              <w:t>Podpora kapitálu, úspor a investícii</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color w:val="FF0000"/>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9 711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10 453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27 778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28 577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29 658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sz w:val="14"/>
                <w:szCs w:val="16"/>
                <w:lang w:eastAsia="sk-SK"/>
              </w:rPr>
              <w:t>30 667</w:t>
            </w:r>
          </w:p>
        </w:tc>
      </w:tr>
      <w:tr w:rsidR="000E5938" w:rsidRPr="00372AD6" w:rsidTr="007C2BDC">
        <w:trPr>
          <w:trHeight w:val="507"/>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Oslobodenie príjmu z prevodu opcií, cenných papierov a podielov (účastí) na s.r.o., k.s. a v družstve do výšky 500 eur</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182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189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199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210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221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232</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NČZD na DDS, životné poistenie a účelové sporenie.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5 141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5 655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6 592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7 572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8 539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9 463</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 xml:space="preserve">Oslobodenie príjmov z predaja CP prijatých na obchodovanie na burze </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2 563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2 696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2 846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2 960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3 022</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3 066</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Osobitný základ dane pre príjmy z kapitálového majetku</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116</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highlight w:val="yellow"/>
                <w:lang w:eastAsia="sk-SK"/>
              </w:rPr>
            </w:pPr>
            <w:r w:rsidRPr="00372AD6">
              <w:rPr>
                <w:rFonts w:ascii="Times New Roman" w:eastAsia="Times New Roman" w:hAnsi="Times New Roman" w:cs="Times New Roman"/>
                <w:sz w:val="14"/>
                <w:szCs w:val="16"/>
                <w:lang w:eastAsia="sk-SK"/>
              </w:rPr>
              <w:t>Dlhodobé investičné sporenie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4"/>
                <w:highlight w:val="yellow"/>
                <w:lang w:eastAsia="sk-SK"/>
              </w:rPr>
            </w:pPr>
            <w:r w:rsidRPr="00372AD6">
              <w:rPr>
                <w:rFonts w:ascii="Times New Roman" w:eastAsia="Times New Roman" w:hAnsi="Times New Roman" w:cs="Times New Roman"/>
                <w:sz w:val="14"/>
                <w:szCs w:val="14"/>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1 708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1 797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1 897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1 973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2 015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2 044</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Ľubovoľný odpis majetku</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15 028</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14 645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14 645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14 645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r w:rsidRPr="00372AD6">
              <w:rPr>
                <w:rFonts w:ascii="Times New Roman" w:eastAsia="Times New Roman" w:hAnsi="Times New Roman" w:cs="Times New Roman"/>
                <w:sz w:val="14"/>
                <w:szCs w:val="16"/>
                <w:lang w:eastAsia="sk-SK"/>
              </w:rPr>
              <w:t xml:space="preserve">    Opravné položky podľa účtovníctva</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sz w:val="14"/>
                <w:szCs w:val="14"/>
                <w:highlight w:val="yellow"/>
                <w:lang w:eastAsia="sk-SK"/>
              </w:rPr>
            </w:pPr>
            <w:r w:rsidRPr="00372AD6">
              <w:rPr>
                <w:rFonts w:ascii="Times New Roman" w:eastAsia="Times New Roman" w:hAnsi="Times New Roman" w:cs="Times New Roman"/>
                <w:sz w:val="14"/>
                <w:szCs w:val="14"/>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1 100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1 100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1 100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sz w:val="14"/>
                <w:szCs w:val="16"/>
                <w:lang w:eastAsia="sk-SK"/>
              </w:rPr>
              <w:t>1 100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Iné</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highlight w:val="yellow"/>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108 997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118 959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122 990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116 241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55 866</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57 574</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Nezdanenie paušálnych náhrad</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1 073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1 157</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1 200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1 265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1 335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1 404</w:t>
            </w:r>
          </w:p>
        </w:tc>
      </w:tr>
      <w:tr w:rsidR="000E5938" w:rsidRPr="00372AD6" w:rsidTr="007C2BDC">
        <w:trPr>
          <w:trHeight w:val="253"/>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Oslobodenie výhier do výšky 350 eur mesačne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 SP, ZP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906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910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914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919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923</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927</w:t>
            </w:r>
          </w:p>
        </w:tc>
      </w:tr>
      <w:tr w:rsidR="000E5938" w:rsidRPr="00372AD6" w:rsidTr="007C2BDC">
        <w:trPr>
          <w:trHeight w:val="262"/>
          <w:jc w:val="center"/>
        </w:trPr>
        <w:tc>
          <w:tcPr>
            <w:tcW w:w="4315" w:type="dxa"/>
            <w:tcBorders>
              <w:top w:val="nil"/>
              <w:left w:val="nil"/>
              <w:bottom w:val="nil"/>
              <w:right w:val="nil"/>
            </w:tcBorders>
            <w:shd w:val="clear" w:color="auto" w:fill="auto"/>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Oslobodenie príplatkov sudcov a prokurátorov od dane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75</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89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94</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99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Daň z liehu - znížená sadzba pre pestovateľské pálenie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SD</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13 468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8 633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7 653</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7 771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7 977</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8 215</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B46D8C"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Oslobodenie deputátov a in</w:t>
            </w:r>
            <w:r w:rsidR="000E5938" w:rsidRPr="00372AD6">
              <w:rPr>
                <w:rFonts w:ascii="Times New Roman" w:eastAsia="Times New Roman" w:hAnsi="Times New Roman" w:cs="Times New Roman"/>
                <w:sz w:val="14"/>
                <w:szCs w:val="16"/>
                <w:lang w:eastAsia="sk-SK"/>
              </w:rPr>
              <w:t>ý</w:t>
            </w:r>
            <w:r w:rsidRPr="00372AD6">
              <w:rPr>
                <w:rFonts w:ascii="Times New Roman" w:eastAsia="Times New Roman" w:hAnsi="Times New Roman" w:cs="Times New Roman"/>
                <w:sz w:val="14"/>
                <w:szCs w:val="16"/>
                <w:lang w:eastAsia="sk-SK"/>
              </w:rPr>
              <w:t>c</w:t>
            </w:r>
            <w:r w:rsidR="000E5938" w:rsidRPr="00372AD6">
              <w:rPr>
                <w:rFonts w:ascii="Times New Roman" w:eastAsia="Times New Roman" w:hAnsi="Times New Roman" w:cs="Times New Roman"/>
                <w:sz w:val="14"/>
                <w:szCs w:val="16"/>
                <w:lang w:eastAsia="sk-SK"/>
              </w:rPr>
              <w:t>h nepeňažných príjmov</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SP, ZP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70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58</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51</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 xml:space="preserve">Ročné zúčtovanie sociálnych odvodov </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SP</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55 261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58 831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59 446</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62 030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Pravidlá nízkej kapitalizácie</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30 104</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31 942</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33 891</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35 960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38 154</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40 483</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Oslobodenie príjmov pre krízové situácie od DPPO</w:t>
            </w:r>
          </w:p>
        </w:tc>
        <w:tc>
          <w:tcPr>
            <w:tcW w:w="912"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DPPO</w:t>
            </w: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5 000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5 000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5 000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5 000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5 000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5 000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Cs/>
                <w:sz w:val="14"/>
                <w:szCs w:val="16"/>
                <w:lang w:eastAsia="sk-SK"/>
              </w:rPr>
            </w:pPr>
            <w:r w:rsidRPr="00372AD6">
              <w:rPr>
                <w:rFonts w:ascii="Times New Roman" w:eastAsia="Times New Roman" w:hAnsi="Times New Roman" w:cs="Times New Roman"/>
                <w:b/>
                <w:bCs/>
                <w:sz w:val="14"/>
                <w:szCs w:val="16"/>
                <w:lang w:eastAsia="sk-SK"/>
              </w:rPr>
              <w:t xml:space="preserve">   </w:t>
            </w:r>
            <w:r w:rsidRPr="00372AD6">
              <w:rPr>
                <w:rFonts w:ascii="Times New Roman" w:eastAsia="Times New Roman" w:hAnsi="Times New Roman" w:cs="Times New Roman"/>
                <w:bCs/>
                <w:sz w:val="14"/>
                <w:szCs w:val="16"/>
                <w:lang w:eastAsia="sk-SK"/>
              </w:rPr>
              <w:t xml:space="preserve"> Refundit</w:t>
            </w:r>
          </w:p>
        </w:tc>
        <w:tc>
          <w:tcPr>
            <w:tcW w:w="912" w:type="dxa"/>
            <w:tcBorders>
              <w:top w:val="nil"/>
              <w:left w:val="nil"/>
              <w:bottom w:val="nil"/>
              <w:right w:val="nil"/>
            </w:tcBorders>
            <w:shd w:val="clear" w:color="auto" w:fill="auto"/>
            <w:noWrap/>
            <w:vAlign w:val="bottom"/>
          </w:tcPr>
          <w:p w:rsidR="000E5938" w:rsidRPr="00372AD6" w:rsidRDefault="000E5938" w:rsidP="000E5938">
            <w:pPr>
              <w:spacing w:after="0" w:line="240" w:lineRule="auto"/>
              <w:jc w:val="center"/>
              <w:rPr>
                <w:rFonts w:ascii="Times New Roman" w:eastAsia="Times New Roman" w:hAnsi="Times New Roman" w:cs="Times New Roman"/>
                <w:bCs/>
                <w:sz w:val="14"/>
                <w:szCs w:val="16"/>
                <w:lang w:eastAsia="sk-SK"/>
              </w:rPr>
            </w:pPr>
            <w:r w:rsidRPr="00372AD6">
              <w:rPr>
                <w:rFonts w:ascii="Times New Roman" w:eastAsia="Times New Roman" w:hAnsi="Times New Roman" w:cs="Times New Roman"/>
                <w:bCs/>
                <w:sz w:val="14"/>
                <w:szCs w:val="16"/>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2 100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2 400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2 800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2 800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2 800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Cs/>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2 800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 xml:space="preserve">    Patent box</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lang w:eastAsia="sk-SK"/>
              </w:rPr>
            </w:pPr>
            <w:r w:rsidRPr="00372AD6">
              <w:rPr>
                <w:rFonts w:ascii="Times New Roman" w:eastAsia="Times New Roman" w:hAnsi="Times New Roman" w:cs="Times New Roman"/>
                <w:color w:val="000000"/>
                <w:sz w:val="14"/>
                <w:szCs w:val="14"/>
                <w:lang w:eastAsia="sk-SK"/>
              </w:rPr>
              <w:t>DPPO</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939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939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939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939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939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939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 xml:space="preserve">    Odklad kontrol počas roka 2020 – COVID-19</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lang w:eastAsia="sk-SK"/>
              </w:rPr>
            </w:pPr>
            <w:r w:rsidRPr="00372AD6">
              <w:rPr>
                <w:rFonts w:ascii="Times New Roman" w:eastAsia="Times New Roman" w:hAnsi="Times New Roman" w:cs="Times New Roman"/>
                <w:color w:val="000000"/>
                <w:sz w:val="14"/>
                <w:szCs w:val="14"/>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9 000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 xml:space="preserve">    Oprava základu dane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lang w:eastAsia="sk-SK"/>
              </w:rPr>
            </w:pPr>
            <w:r w:rsidRPr="00372AD6">
              <w:rPr>
                <w:rFonts w:ascii="Times New Roman" w:eastAsia="Times New Roman" w:hAnsi="Times New Roman" w:cs="Times New Roman"/>
                <w:color w:val="000000"/>
                <w:sz w:val="14"/>
                <w:szCs w:val="14"/>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22 000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22 411</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23 589</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24 829</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tcPr>
          <w:p w:rsidR="000E5938" w:rsidRPr="00372AD6" w:rsidRDefault="000E5938" w:rsidP="000E5938">
            <w:pPr>
              <w:spacing w:after="0" w:line="240" w:lineRule="auto"/>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 xml:space="preserve">    Zrušenie oslobodenia do 22 eur (smernica e-commerce)</w:t>
            </w:r>
          </w:p>
        </w:tc>
        <w:tc>
          <w:tcPr>
            <w:tcW w:w="912"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4"/>
                <w:lang w:eastAsia="sk-SK"/>
              </w:rPr>
            </w:pPr>
            <w:r w:rsidRPr="00372AD6">
              <w:rPr>
                <w:rFonts w:ascii="Times New Roman" w:eastAsia="Times New Roman" w:hAnsi="Times New Roman" w:cs="Times New Roman"/>
                <w:color w:val="000000"/>
                <w:sz w:val="14"/>
                <w:szCs w:val="14"/>
                <w:lang w:eastAsia="sk-SK"/>
              </w:rPr>
              <w:t>DPH</w:t>
            </w:r>
          </w:p>
        </w:tc>
        <w:tc>
          <w:tcPr>
            <w:tcW w:w="640"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-11 000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-23 000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-25 000</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lang w:eastAsia="sk-SK"/>
              </w:rPr>
            </w:pPr>
            <w:r w:rsidRPr="00372AD6">
              <w:rPr>
                <w:rFonts w:ascii="Times New Roman" w:eastAsia="Times New Roman" w:hAnsi="Times New Roman" w:cs="Times New Roman"/>
                <w:color w:val="000000"/>
                <w:sz w:val="14"/>
                <w:szCs w:val="16"/>
                <w:lang w:eastAsia="sk-SK"/>
              </w:rPr>
              <w:t>-27 174</w:t>
            </w:r>
          </w:p>
        </w:tc>
      </w:tr>
      <w:tr w:rsidR="000E5938" w:rsidRPr="00372AD6" w:rsidTr="007C2BDC">
        <w:trPr>
          <w:trHeight w:val="253"/>
          <w:jc w:val="center"/>
        </w:trPr>
        <w:tc>
          <w:tcPr>
            <w:tcW w:w="4315"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r w:rsidRPr="00372AD6">
              <w:rPr>
                <w:rFonts w:ascii="Times New Roman" w:eastAsia="Times New Roman" w:hAnsi="Times New Roman" w:cs="Times New Roman"/>
                <w:b/>
                <w:bCs/>
                <w:sz w:val="14"/>
                <w:szCs w:val="16"/>
                <w:lang w:eastAsia="sk-SK"/>
              </w:rPr>
              <w:t>Negatívne daňové výdavky</w:t>
            </w:r>
          </w:p>
        </w:tc>
        <w:tc>
          <w:tcPr>
            <w:tcW w:w="912" w:type="dxa"/>
            <w:tcBorders>
              <w:top w:val="nil"/>
              <w:left w:val="nil"/>
              <w:bottom w:val="nil"/>
              <w:right w:val="nil"/>
            </w:tcBorders>
            <w:shd w:val="clear" w:color="auto" w:fill="auto"/>
            <w:noWrap/>
            <w:vAlign w:val="bottom"/>
            <w:hideMark/>
          </w:tcPr>
          <w:p w:rsidR="000E5938" w:rsidRPr="00372AD6" w:rsidRDefault="000E5938" w:rsidP="000E5938">
            <w:pPr>
              <w:spacing w:after="0" w:line="240" w:lineRule="auto"/>
              <w:rPr>
                <w:rFonts w:ascii="Times New Roman" w:eastAsia="Times New Roman" w:hAnsi="Times New Roman" w:cs="Times New Roman"/>
                <w:b/>
                <w:bCs/>
                <w:sz w:val="14"/>
                <w:szCs w:val="16"/>
                <w:lang w:eastAsia="sk-SK"/>
              </w:rPr>
            </w:pPr>
          </w:p>
        </w:tc>
        <w:tc>
          <w:tcPr>
            <w:tcW w:w="640"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-19 049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-17 770</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-36 309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-30 369</w:t>
            </w:r>
          </w:p>
        </w:tc>
        <w:tc>
          <w:tcPr>
            <w:tcW w:w="641" w:type="dxa"/>
            <w:tcBorders>
              <w:top w:val="nil"/>
              <w:left w:val="nil"/>
              <w:bottom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-30 385</w:t>
            </w:r>
          </w:p>
        </w:tc>
        <w:tc>
          <w:tcPr>
            <w:tcW w:w="641" w:type="dxa"/>
            <w:tcBorders>
              <w:top w:val="nil"/>
              <w:left w:val="nil"/>
              <w:bottom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b/>
                <w:bCs/>
                <w:color w:val="FF0000"/>
                <w:sz w:val="14"/>
                <w:szCs w:val="16"/>
                <w:highlight w:val="yellow"/>
                <w:lang w:eastAsia="sk-SK"/>
              </w:rPr>
            </w:pPr>
            <w:r w:rsidRPr="00372AD6">
              <w:rPr>
                <w:rFonts w:ascii="Times New Roman" w:eastAsia="Times New Roman" w:hAnsi="Times New Roman" w:cs="Times New Roman"/>
                <w:b/>
                <w:bCs/>
                <w:color w:val="000000"/>
                <w:sz w:val="14"/>
                <w:szCs w:val="16"/>
                <w:lang w:eastAsia="sk-SK"/>
              </w:rPr>
              <w:t>-30 402</w:t>
            </w:r>
          </w:p>
        </w:tc>
      </w:tr>
      <w:tr w:rsidR="000E5938" w:rsidRPr="00372AD6" w:rsidTr="009121EB">
        <w:trPr>
          <w:trHeight w:val="253"/>
          <w:jc w:val="center"/>
        </w:trPr>
        <w:tc>
          <w:tcPr>
            <w:tcW w:w="4315" w:type="dxa"/>
            <w:tcBorders>
              <w:top w:val="nil"/>
              <w:left w:val="nil"/>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Osobitná sadzba dane pre vybraných ústavných činiteľov</w:t>
            </w:r>
          </w:p>
        </w:tc>
        <w:tc>
          <w:tcPr>
            <w:tcW w:w="912" w:type="dxa"/>
            <w:tcBorders>
              <w:top w:val="nil"/>
              <w:left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DPFO</w:t>
            </w:r>
          </w:p>
        </w:tc>
        <w:tc>
          <w:tcPr>
            <w:tcW w:w="640" w:type="dxa"/>
            <w:tcBorders>
              <w:top w:val="nil"/>
              <w:left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-276</w:t>
            </w:r>
          </w:p>
        </w:tc>
        <w:tc>
          <w:tcPr>
            <w:tcW w:w="641" w:type="dxa"/>
            <w:tcBorders>
              <w:top w:val="nil"/>
              <w:left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-290</w:t>
            </w:r>
          </w:p>
        </w:tc>
        <w:tc>
          <w:tcPr>
            <w:tcW w:w="641" w:type="dxa"/>
            <w:tcBorders>
              <w:top w:val="nil"/>
              <w:left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-304</w:t>
            </w:r>
          </w:p>
        </w:tc>
        <w:tc>
          <w:tcPr>
            <w:tcW w:w="641" w:type="dxa"/>
            <w:tcBorders>
              <w:top w:val="nil"/>
              <w:left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-319</w:t>
            </w:r>
          </w:p>
        </w:tc>
        <w:tc>
          <w:tcPr>
            <w:tcW w:w="641" w:type="dxa"/>
            <w:tcBorders>
              <w:top w:val="nil"/>
              <w:left w:val="nil"/>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-335</w:t>
            </w:r>
          </w:p>
        </w:tc>
        <w:tc>
          <w:tcPr>
            <w:tcW w:w="641" w:type="dxa"/>
            <w:tcBorders>
              <w:top w:val="nil"/>
              <w:left w:val="nil"/>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sz w:val="14"/>
                <w:szCs w:val="16"/>
                <w:lang w:eastAsia="sk-SK"/>
              </w:rPr>
              <w:t>-352</w:t>
            </w:r>
          </w:p>
        </w:tc>
      </w:tr>
      <w:tr w:rsidR="000E5938" w:rsidRPr="00372AD6" w:rsidTr="009121EB">
        <w:trPr>
          <w:trHeight w:val="253"/>
          <w:jc w:val="center"/>
        </w:trPr>
        <w:tc>
          <w:tcPr>
            <w:tcW w:w="4315"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ind w:firstLineChars="100" w:firstLine="140"/>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Obmedzenie umorovania strát</w:t>
            </w:r>
          </w:p>
        </w:tc>
        <w:tc>
          <w:tcPr>
            <w:tcW w:w="912"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sz w:val="14"/>
                <w:szCs w:val="16"/>
                <w:lang w:eastAsia="sk-SK"/>
              </w:rPr>
            </w:pPr>
            <w:r w:rsidRPr="00372AD6">
              <w:rPr>
                <w:rFonts w:ascii="Times New Roman" w:eastAsia="Times New Roman" w:hAnsi="Times New Roman" w:cs="Times New Roman"/>
                <w:sz w:val="14"/>
                <w:szCs w:val="16"/>
                <w:lang w:eastAsia="sk-SK"/>
              </w:rPr>
              <w:t>DPPO</w:t>
            </w:r>
          </w:p>
        </w:tc>
        <w:tc>
          <w:tcPr>
            <w:tcW w:w="640"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-18 773</w:t>
            </w:r>
          </w:p>
        </w:tc>
        <w:tc>
          <w:tcPr>
            <w:tcW w:w="641"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-17 480</w:t>
            </w:r>
          </w:p>
        </w:tc>
        <w:tc>
          <w:tcPr>
            <w:tcW w:w="641"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-36 005</w:t>
            </w:r>
          </w:p>
        </w:tc>
        <w:tc>
          <w:tcPr>
            <w:tcW w:w="641"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-30 050</w:t>
            </w:r>
          </w:p>
        </w:tc>
        <w:tc>
          <w:tcPr>
            <w:tcW w:w="641" w:type="dxa"/>
            <w:tcBorders>
              <w:top w:val="nil"/>
              <w:left w:val="nil"/>
              <w:bottom w:val="single" w:sz="4" w:space="0" w:color="auto"/>
              <w:right w:val="nil"/>
            </w:tcBorders>
            <w:shd w:val="clear" w:color="auto" w:fill="auto"/>
            <w:noWrap/>
            <w:vAlign w:val="center"/>
            <w:hideMark/>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-30 050</w:t>
            </w:r>
          </w:p>
        </w:tc>
        <w:tc>
          <w:tcPr>
            <w:tcW w:w="641" w:type="dxa"/>
            <w:tcBorders>
              <w:top w:val="nil"/>
              <w:left w:val="nil"/>
              <w:bottom w:val="single" w:sz="4" w:space="0" w:color="auto"/>
              <w:right w:val="nil"/>
            </w:tcBorders>
            <w:shd w:val="clear" w:color="auto" w:fill="auto"/>
            <w:noWrap/>
            <w:vAlign w:val="center"/>
          </w:tcPr>
          <w:p w:rsidR="000E5938" w:rsidRPr="00372AD6" w:rsidRDefault="000E5938" w:rsidP="000E5938">
            <w:pPr>
              <w:spacing w:after="0" w:line="240" w:lineRule="auto"/>
              <w:jc w:val="center"/>
              <w:rPr>
                <w:rFonts w:ascii="Times New Roman" w:eastAsia="Times New Roman" w:hAnsi="Times New Roman" w:cs="Times New Roman"/>
                <w:color w:val="FF0000"/>
                <w:sz w:val="14"/>
                <w:szCs w:val="16"/>
                <w:highlight w:val="yellow"/>
                <w:lang w:eastAsia="sk-SK"/>
              </w:rPr>
            </w:pPr>
            <w:r w:rsidRPr="00372AD6">
              <w:rPr>
                <w:rFonts w:ascii="Times New Roman" w:eastAsia="Times New Roman" w:hAnsi="Times New Roman" w:cs="Times New Roman"/>
                <w:color w:val="000000"/>
                <w:sz w:val="14"/>
                <w:szCs w:val="16"/>
                <w:lang w:eastAsia="sk-SK"/>
              </w:rPr>
              <w:t>-30 050</w:t>
            </w:r>
          </w:p>
        </w:tc>
      </w:tr>
    </w:tbl>
    <w:p w:rsidR="00A742DB" w:rsidRDefault="00A742DB" w:rsidP="0033660F">
      <w:pPr>
        <w:spacing w:line="276" w:lineRule="auto"/>
        <w:jc w:val="both"/>
        <w:rPr>
          <w:color w:val="000000" w:themeColor="text1"/>
        </w:rPr>
      </w:pPr>
    </w:p>
    <w:p w:rsidR="00CA6DF0" w:rsidRDefault="00CA6DF0" w:rsidP="0033660F">
      <w:pPr>
        <w:spacing w:line="276" w:lineRule="auto"/>
        <w:jc w:val="both"/>
        <w:rPr>
          <w:color w:val="000000" w:themeColor="text1"/>
        </w:rPr>
      </w:pPr>
    </w:p>
    <w:p w:rsidR="00CA6DF0" w:rsidRDefault="00CA6DF0" w:rsidP="0033660F">
      <w:pPr>
        <w:spacing w:line="276" w:lineRule="auto"/>
        <w:jc w:val="both"/>
        <w:rPr>
          <w:color w:val="000000" w:themeColor="text1"/>
        </w:rPr>
      </w:pPr>
    </w:p>
    <w:p w:rsidR="00372AD6" w:rsidRDefault="00372AD6" w:rsidP="0033660F">
      <w:pPr>
        <w:spacing w:line="276" w:lineRule="auto"/>
        <w:jc w:val="both"/>
        <w:rPr>
          <w:color w:val="000000" w:themeColor="text1"/>
        </w:rPr>
      </w:pPr>
    </w:p>
    <w:p w:rsidR="00372AD6" w:rsidRDefault="00372AD6" w:rsidP="0033660F">
      <w:pPr>
        <w:spacing w:line="276" w:lineRule="auto"/>
        <w:jc w:val="both"/>
        <w:rPr>
          <w:color w:val="000000" w:themeColor="text1"/>
        </w:rPr>
      </w:pPr>
    </w:p>
    <w:p w:rsidR="00372AD6" w:rsidRDefault="00372AD6" w:rsidP="0033660F">
      <w:pPr>
        <w:spacing w:line="276" w:lineRule="auto"/>
        <w:jc w:val="both"/>
        <w:rPr>
          <w:color w:val="000000" w:themeColor="text1"/>
        </w:rPr>
      </w:pPr>
    </w:p>
    <w:p w:rsidR="00372AD6" w:rsidRDefault="00372AD6" w:rsidP="0033660F">
      <w:pPr>
        <w:spacing w:line="276" w:lineRule="auto"/>
        <w:jc w:val="both"/>
        <w:rPr>
          <w:color w:val="000000" w:themeColor="text1"/>
        </w:rPr>
      </w:pPr>
    </w:p>
    <w:p w:rsidR="00EF1FFB" w:rsidRDefault="00EF1FFB" w:rsidP="0033660F">
      <w:pPr>
        <w:spacing w:line="276" w:lineRule="auto"/>
        <w:jc w:val="both"/>
        <w:rPr>
          <w:color w:val="000000" w:themeColor="text1"/>
        </w:rPr>
      </w:pPr>
    </w:p>
    <w:p w:rsidR="00EF1FFB" w:rsidRDefault="00EF1FFB" w:rsidP="0033660F">
      <w:pPr>
        <w:spacing w:line="276" w:lineRule="auto"/>
        <w:jc w:val="both"/>
        <w:rPr>
          <w:color w:val="000000" w:themeColor="text1"/>
        </w:rPr>
      </w:pPr>
    </w:p>
    <w:p w:rsidR="00051360" w:rsidRDefault="001E2730" w:rsidP="001E2730">
      <w:pPr>
        <w:pStyle w:val="Nadpis1"/>
        <w:rPr>
          <w:rFonts w:ascii="Times New Roman" w:hAnsi="Times New Roman" w:cs="Times New Roman"/>
          <w:b/>
          <w:color w:val="5B9BD5" w:themeColor="accent1"/>
          <w:sz w:val="28"/>
          <w:szCs w:val="24"/>
        </w:rPr>
      </w:pPr>
      <w:bookmarkStart w:id="135" w:name="_Toc84684756"/>
      <w:r>
        <w:rPr>
          <w:rFonts w:ascii="Times New Roman" w:hAnsi="Times New Roman" w:cs="Times New Roman"/>
          <w:b/>
          <w:color w:val="5B9BD5" w:themeColor="accent1"/>
          <w:sz w:val="28"/>
          <w:szCs w:val="24"/>
        </w:rPr>
        <w:t xml:space="preserve">4. </w:t>
      </w:r>
      <w:r w:rsidR="003F3696">
        <w:rPr>
          <w:rFonts w:ascii="Times New Roman" w:hAnsi="Times New Roman" w:cs="Times New Roman"/>
          <w:b/>
          <w:color w:val="5B9BD5" w:themeColor="accent1"/>
          <w:sz w:val="28"/>
          <w:szCs w:val="24"/>
        </w:rPr>
        <w:t>Rozpočtovanie výdavkov podľa vybraných oblastí</w:t>
      </w:r>
      <w:bookmarkEnd w:id="135"/>
      <w:r w:rsidR="003F3696">
        <w:rPr>
          <w:rFonts w:ascii="Times New Roman" w:hAnsi="Times New Roman" w:cs="Times New Roman"/>
          <w:b/>
          <w:color w:val="5B9BD5" w:themeColor="accent1"/>
          <w:sz w:val="28"/>
          <w:szCs w:val="24"/>
        </w:rPr>
        <w:t xml:space="preserve"> </w:t>
      </w:r>
    </w:p>
    <w:p w:rsidR="003F3696" w:rsidRPr="003F3696" w:rsidRDefault="003F3696" w:rsidP="003F3696">
      <w:pPr>
        <w:pStyle w:val="Odsekzoznamu"/>
        <w:ind w:left="426" w:hanging="426"/>
        <w:jc w:val="both"/>
        <w:rPr>
          <w:rFonts w:ascii="Times New Roman" w:hAnsi="Times New Roman" w:cs="Times New Roman"/>
          <w:b/>
          <w:bCs/>
          <w:iCs/>
        </w:rPr>
      </w:pPr>
    </w:p>
    <w:p w:rsidR="003F3696" w:rsidRPr="001B132F" w:rsidRDefault="00BE281E" w:rsidP="00BE281E">
      <w:pPr>
        <w:pStyle w:val="Nadpis2"/>
        <w:spacing w:before="0" w:after="0"/>
        <w:rPr>
          <w:rFonts w:ascii="Times New Roman" w:eastAsia="Calibri" w:hAnsi="Times New Roman"/>
          <w:i w:val="0"/>
          <w:color w:val="5B9BD5" w:themeColor="accent1"/>
          <w:sz w:val="24"/>
          <w:szCs w:val="24"/>
        </w:rPr>
      </w:pPr>
      <w:bookmarkStart w:id="136" w:name="_Toc84684757"/>
      <w:r w:rsidRPr="00471E0C">
        <w:rPr>
          <w:rFonts w:ascii="Times New Roman" w:eastAsia="Calibri" w:hAnsi="Times New Roman"/>
          <w:bCs w:val="0"/>
          <w:i w:val="0"/>
          <w:iCs w:val="0"/>
          <w:color w:val="5B9BD5" w:themeColor="accent1"/>
          <w:sz w:val="24"/>
          <w:szCs w:val="24"/>
        </w:rPr>
        <w:t>4.</w:t>
      </w:r>
      <w:r w:rsidRPr="00471E0C">
        <w:rPr>
          <w:rFonts w:ascii="Times New Roman" w:eastAsia="Calibri" w:hAnsi="Times New Roman"/>
          <w:i w:val="0"/>
          <w:color w:val="5B9BD5" w:themeColor="accent1"/>
          <w:sz w:val="24"/>
          <w:szCs w:val="24"/>
        </w:rPr>
        <w:t xml:space="preserve">1. </w:t>
      </w:r>
      <w:r w:rsidR="003F3696" w:rsidRPr="00471E0C">
        <w:rPr>
          <w:rFonts w:ascii="Times New Roman" w:eastAsia="Calibri" w:hAnsi="Times New Roman"/>
          <w:i w:val="0"/>
          <w:color w:val="5B9BD5" w:themeColor="accent1"/>
          <w:sz w:val="24"/>
          <w:szCs w:val="24"/>
        </w:rPr>
        <w:t>Zamestnanosť vo verejnej správe</w:t>
      </w:r>
      <w:bookmarkEnd w:id="136"/>
      <w:r w:rsidR="008C1DA9">
        <w:rPr>
          <w:rFonts w:ascii="Times New Roman" w:eastAsia="Calibri" w:hAnsi="Times New Roman"/>
          <w:i w:val="0"/>
          <w:color w:val="5B9BD5" w:themeColor="accent1"/>
          <w:sz w:val="24"/>
          <w:szCs w:val="24"/>
        </w:rPr>
        <w:t xml:space="preserve"> </w:t>
      </w:r>
    </w:p>
    <w:p w:rsidR="003F3696" w:rsidRDefault="003F3696" w:rsidP="003F3696">
      <w:pPr>
        <w:spacing w:after="0" w:line="240" w:lineRule="auto"/>
        <w:jc w:val="both"/>
        <w:rPr>
          <w:rFonts w:ascii="Times New Roman" w:hAnsi="Times New Roman" w:cs="Times New Roman"/>
          <w:b/>
          <w:bCs/>
          <w:iCs/>
          <w:sz w:val="24"/>
          <w:szCs w:val="24"/>
        </w:rPr>
      </w:pPr>
    </w:p>
    <w:p w:rsidR="00F0616E" w:rsidRDefault="00F0616E" w:rsidP="00F0616E">
      <w:pPr>
        <w:spacing w:after="0" w:line="240" w:lineRule="auto"/>
        <w:jc w:val="both"/>
        <w:rPr>
          <w:rFonts w:ascii="Times New Roman" w:hAnsi="Times New Roman" w:cs="Times New Roman"/>
          <w:bCs/>
          <w:iCs/>
          <w:sz w:val="24"/>
          <w:szCs w:val="24"/>
        </w:rPr>
      </w:pPr>
      <w:bookmarkStart w:id="137" w:name="_Toc148255259"/>
      <w:bookmarkStart w:id="138" w:name="_Toc174871976"/>
      <w:bookmarkStart w:id="139" w:name="_Toc206478411"/>
      <w:r w:rsidRPr="00482DCB">
        <w:rPr>
          <w:rFonts w:ascii="Times New Roman" w:hAnsi="Times New Roman" w:cs="Times New Roman"/>
          <w:b/>
          <w:bCs/>
          <w:iCs/>
          <w:sz w:val="24"/>
          <w:szCs w:val="24"/>
        </w:rPr>
        <w:t>Sektor verejnej správy na Slovensku zamestnáva</w:t>
      </w:r>
      <w:r>
        <w:rPr>
          <w:rFonts w:ascii="Times New Roman" w:hAnsi="Times New Roman" w:cs="Times New Roman"/>
          <w:b/>
          <w:bCs/>
          <w:iCs/>
          <w:sz w:val="24"/>
          <w:szCs w:val="24"/>
        </w:rPr>
        <w:t>l v roku 2019</w:t>
      </w:r>
      <w:r w:rsidRPr="00482DCB">
        <w:rPr>
          <w:rFonts w:ascii="Times New Roman" w:hAnsi="Times New Roman" w:cs="Times New Roman"/>
          <w:b/>
          <w:bCs/>
          <w:iCs/>
          <w:sz w:val="24"/>
          <w:szCs w:val="24"/>
        </w:rPr>
        <w:t xml:space="preserve"> mierne nižší počet zamestnancov ako krajiny EÚ </w:t>
      </w:r>
      <w:r>
        <w:rPr>
          <w:rFonts w:ascii="Times New Roman" w:hAnsi="Times New Roman" w:cs="Times New Roman"/>
          <w:bCs/>
          <w:iCs/>
          <w:sz w:val="24"/>
          <w:szCs w:val="24"/>
        </w:rPr>
        <w:t>(8</w:t>
      </w:r>
      <w:r w:rsidRPr="00F806EF">
        <w:rPr>
          <w:rFonts w:ascii="Times New Roman" w:hAnsi="Times New Roman" w:cs="Times New Roman"/>
          <w:bCs/>
          <w:iCs/>
          <w:sz w:val="24"/>
          <w:szCs w:val="24"/>
        </w:rPr>
        <w:t>3</w:t>
      </w:r>
      <w:r w:rsidRPr="009C4656">
        <w:rPr>
          <w:rFonts w:ascii="Times New Roman" w:hAnsi="Times New Roman" w:cs="Times New Roman"/>
          <w:bCs/>
          <w:iCs/>
          <w:sz w:val="24"/>
          <w:szCs w:val="24"/>
        </w:rPr>
        <w:t>,1 vs. 86,</w:t>
      </w:r>
      <w:r>
        <w:rPr>
          <w:rFonts w:ascii="Times New Roman" w:hAnsi="Times New Roman" w:cs="Times New Roman"/>
          <w:bCs/>
          <w:iCs/>
          <w:sz w:val="24"/>
          <w:szCs w:val="24"/>
        </w:rPr>
        <w:t>9</w:t>
      </w:r>
      <w:r w:rsidRPr="009C4656">
        <w:rPr>
          <w:rFonts w:ascii="Times New Roman" w:hAnsi="Times New Roman" w:cs="Times New Roman"/>
          <w:bCs/>
          <w:iCs/>
          <w:sz w:val="24"/>
          <w:szCs w:val="24"/>
        </w:rPr>
        <w:t xml:space="preserve"> zamestnanca na 1 000 obyvateľov), vyna</w:t>
      </w:r>
      <w:r>
        <w:rPr>
          <w:rFonts w:ascii="Times New Roman" w:hAnsi="Times New Roman" w:cs="Times New Roman"/>
          <w:bCs/>
          <w:iCs/>
          <w:sz w:val="24"/>
          <w:szCs w:val="24"/>
        </w:rPr>
        <w:t xml:space="preserve">ložil </w:t>
      </w:r>
      <w:r w:rsidRPr="009C4656">
        <w:rPr>
          <w:rFonts w:ascii="Times New Roman" w:hAnsi="Times New Roman" w:cs="Times New Roman"/>
          <w:bCs/>
          <w:iCs/>
          <w:sz w:val="24"/>
          <w:szCs w:val="24"/>
        </w:rPr>
        <w:t xml:space="preserve"> na nich </w:t>
      </w:r>
      <w:r>
        <w:rPr>
          <w:rFonts w:ascii="Times New Roman" w:hAnsi="Times New Roman" w:cs="Times New Roman"/>
          <w:bCs/>
          <w:iCs/>
          <w:sz w:val="24"/>
          <w:szCs w:val="24"/>
        </w:rPr>
        <w:t xml:space="preserve">mierne </w:t>
      </w:r>
      <w:r w:rsidRPr="009C4656">
        <w:rPr>
          <w:rFonts w:ascii="Times New Roman" w:hAnsi="Times New Roman" w:cs="Times New Roman"/>
          <w:bCs/>
          <w:iCs/>
          <w:sz w:val="24"/>
          <w:szCs w:val="24"/>
        </w:rPr>
        <w:t>nižší podiel výdavkov na HDP (</w:t>
      </w:r>
      <w:r>
        <w:rPr>
          <w:rFonts w:ascii="Times New Roman" w:hAnsi="Times New Roman" w:cs="Times New Roman"/>
          <w:bCs/>
          <w:iCs/>
          <w:sz w:val="24"/>
          <w:szCs w:val="24"/>
        </w:rPr>
        <w:t>11,5 % vs. 11</w:t>
      </w:r>
      <w:r w:rsidRPr="009C4656">
        <w:rPr>
          <w:rFonts w:ascii="Times New Roman" w:hAnsi="Times New Roman" w:cs="Times New Roman"/>
          <w:bCs/>
          <w:iCs/>
          <w:sz w:val="24"/>
          <w:szCs w:val="24"/>
        </w:rPr>
        <w:t>,8 %</w:t>
      </w:r>
      <w:r>
        <w:rPr>
          <w:rFonts w:ascii="Times New Roman" w:hAnsi="Times New Roman" w:cs="Times New Roman"/>
          <w:bCs/>
          <w:iCs/>
          <w:sz w:val="24"/>
          <w:szCs w:val="24"/>
        </w:rPr>
        <w:t xml:space="preserve"> v roku 2020</w:t>
      </w:r>
      <w:r w:rsidRPr="009C4656">
        <w:rPr>
          <w:rFonts w:ascii="Times New Roman" w:hAnsi="Times New Roman" w:cs="Times New Roman"/>
          <w:bCs/>
          <w:iCs/>
          <w:sz w:val="24"/>
          <w:szCs w:val="24"/>
        </w:rPr>
        <w:t>)</w:t>
      </w:r>
      <w:r w:rsidR="004E46D3">
        <w:rPr>
          <w:rFonts w:ascii="Times New Roman" w:hAnsi="Times New Roman" w:cs="Times New Roman"/>
          <w:bCs/>
          <w:iCs/>
          <w:sz w:val="24"/>
          <w:szCs w:val="24"/>
        </w:rPr>
        <w:t>,</w:t>
      </w:r>
      <w:r w:rsidRPr="009C4656">
        <w:rPr>
          <w:rFonts w:ascii="Times New Roman" w:hAnsi="Times New Roman" w:cs="Times New Roman"/>
          <w:bCs/>
          <w:iCs/>
          <w:sz w:val="24"/>
          <w:szCs w:val="24"/>
        </w:rPr>
        <w:t xml:space="preserve"> </w:t>
      </w:r>
      <w:r>
        <w:rPr>
          <w:rFonts w:ascii="Times New Roman" w:hAnsi="Times New Roman" w:cs="Times New Roman"/>
          <w:bCs/>
          <w:iCs/>
          <w:sz w:val="24"/>
          <w:szCs w:val="24"/>
        </w:rPr>
        <w:t xml:space="preserve">ale porovnateľný podiel celkových </w:t>
      </w:r>
      <w:r w:rsidRPr="009C4656">
        <w:rPr>
          <w:rFonts w:ascii="Times New Roman" w:hAnsi="Times New Roman" w:cs="Times New Roman"/>
          <w:bCs/>
          <w:iCs/>
          <w:sz w:val="24"/>
          <w:szCs w:val="24"/>
        </w:rPr>
        <w:t xml:space="preserve">verejných </w:t>
      </w:r>
      <w:r w:rsidRPr="00737DA7">
        <w:rPr>
          <w:rFonts w:ascii="Times New Roman" w:hAnsi="Times New Roman" w:cs="Times New Roman"/>
          <w:bCs/>
          <w:iCs/>
          <w:sz w:val="24"/>
          <w:szCs w:val="24"/>
        </w:rPr>
        <w:t>výdavkov (2</w:t>
      </w:r>
      <w:r w:rsidRPr="007519C2">
        <w:rPr>
          <w:rFonts w:ascii="Times New Roman" w:hAnsi="Times New Roman" w:cs="Times New Roman"/>
          <w:bCs/>
          <w:iCs/>
          <w:sz w:val="24"/>
          <w:szCs w:val="24"/>
        </w:rPr>
        <w:t>3</w:t>
      </w:r>
      <w:r w:rsidRPr="00737DA7">
        <w:rPr>
          <w:rFonts w:ascii="Times New Roman" w:hAnsi="Times New Roman" w:cs="Times New Roman"/>
          <w:bCs/>
          <w:iCs/>
          <w:sz w:val="24"/>
          <w:szCs w:val="24"/>
        </w:rPr>
        <w:t>,</w:t>
      </w:r>
      <w:r>
        <w:rPr>
          <w:rFonts w:ascii="Times New Roman" w:hAnsi="Times New Roman" w:cs="Times New Roman"/>
          <w:bCs/>
          <w:iCs/>
          <w:sz w:val="24"/>
          <w:szCs w:val="24"/>
        </w:rPr>
        <w:t>9</w:t>
      </w:r>
      <w:r w:rsidRPr="00737DA7">
        <w:rPr>
          <w:rFonts w:ascii="Times New Roman" w:hAnsi="Times New Roman" w:cs="Times New Roman"/>
          <w:bCs/>
          <w:iCs/>
          <w:sz w:val="24"/>
          <w:szCs w:val="24"/>
        </w:rPr>
        <w:t xml:space="preserve"> % vs. 2</w:t>
      </w:r>
      <w:r>
        <w:rPr>
          <w:rFonts w:ascii="Times New Roman" w:hAnsi="Times New Roman" w:cs="Times New Roman"/>
          <w:bCs/>
          <w:iCs/>
          <w:sz w:val="24"/>
          <w:szCs w:val="24"/>
        </w:rPr>
        <w:t>3</w:t>
      </w:r>
      <w:r w:rsidRPr="00737DA7">
        <w:rPr>
          <w:rFonts w:ascii="Times New Roman" w:hAnsi="Times New Roman" w:cs="Times New Roman"/>
          <w:bCs/>
          <w:iCs/>
          <w:sz w:val="24"/>
          <w:szCs w:val="24"/>
        </w:rPr>
        <w:t>,</w:t>
      </w:r>
      <w:r>
        <w:rPr>
          <w:rFonts w:ascii="Times New Roman" w:hAnsi="Times New Roman" w:cs="Times New Roman"/>
          <w:bCs/>
          <w:iCs/>
          <w:sz w:val="24"/>
          <w:szCs w:val="24"/>
        </w:rPr>
        <w:t>7</w:t>
      </w:r>
      <w:r w:rsidRPr="00737DA7">
        <w:rPr>
          <w:rFonts w:ascii="Times New Roman" w:hAnsi="Times New Roman" w:cs="Times New Roman"/>
          <w:bCs/>
          <w:iCs/>
          <w:sz w:val="24"/>
          <w:szCs w:val="24"/>
        </w:rPr>
        <w:t> %</w:t>
      </w:r>
      <w:r>
        <w:rPr>
          <w:rFonts w:ascii="Times New Roman" w:hAnsi="Times New Roman" w:cs="Times New Roman"/>
          <w:bCs/>
          <w:iCs/>
          <w:sz w:val="24"/>
          <w:szCs w:val="24"/>
        </w:rPr>
        <w:t xml:space="preserve"> v roku 2020</w:t>
      </w:r>
      <w:r w:rsidRPr="00737DA7">
        <w:rPr>
          <w:rFonts w:ascii="Times New Roman" w:hAnsi="Times New Roman" w:cs="Times New Roman"/>
          <w:bCs/>
          <w:iCs/>
          <w:sz w:val="24"/>
          <w:szCs w:val="24"/>
        </w:rPr>
        <w:t>).</w:t>
      </w:r>
      <w:r w:rsidRPr="009C4656">
        <w:rPr>
          <w:rFonts w:ascii="Times New Roman" w:hAnsi="Times New Roman" w:cs="Times New Roman"/>
          <w:bCs/>
          <w:iCs/>
          <w:sz w:val="24"/>
          <w:szCs w:val="24"/>
        </w:rPr>
        <w:t xml:space="preserve"> </w:t>
      </w:r>
    </w:p>
    <w:p w:rsidR="00F0616E" w:rsidRDefault="00F0616E" w:rsidP="00F0616E">
      <w:pPr>
        <w:spacing w:after="0" w:line="240" w:lineRule="auto"/>
        <w:jc w:val="both"/>
        <w:rPr>
          <w:rFonts w:ascii="Times New Roman" w:hAnsi="Times New Roman" w:cs="Times New Roman"/>
          <w:bCs/>
          <w:iCs/>
          <w:sz w:val="24"/>
          <w:szCs w:val="24"/>
        </w:rPr>
      </w:pPr>
    </w:p>
    <w:p w:rsidR="00F0616E" w:rsidRPr="00263500" w:rsidRDefault="00F0616E" w:rsidP="00F0616E">
      <w:pPr>
        <w:pStyle w:val="Popis"/>
        <w:rPr>
          <w:rFonts w:ascii="Times New Roman" w:hAnsi="Times New Roman" w:cs="Times New Roman"/>
          <w:b/>
          <w:i w:val="0"/>
          <w:color w:val="5B9BD5" w:themeColor="accent1"/>
          <w:sz w:val="20"/>
          <w:szCs w:val="20"/>
        </w:rPr>
      </w:pPr>
      <w:bookmarkStart w:id="140" w:name="_Toc53086273"/>
      <w:bookmarkStart w:id="141" w:name="_Toc84848002"/>
      <w:r w:rsidRPr="00F0616E">
        <w:rPr>
          <w:rFonts w:ascii="Times New Roman" w:eastAsia="Calibri" w:hAnsi="Times New Roman"/>
          <w:b/>
          <w:i w:val="0"/>
          <w:color w:val="5B9BD5"/>
          <w:sz w:val="20"/>
        </w:rPr>
        <w:t xml:space="preserve">Graf </w:t>
      </w:r>
      <w:r w:rsidRPr="00F0616E">
        <w:rPr>
          <w:rFonts w:ascii="Times New Roman" w:eastAsia="Calibri" w:hAnsi="Times New Roman"/>
          <w:b/>
          <w:i w:val="0"/>
          <w:iCs w:val="0"/>
          <w:color w:val="5B9BD5"/>
          <w:sz w:val="20"/>
        </w:rPr>
        <w:fldChar w:fldCharType="begin"/>
      </w:r>
      <w:r w:rsidRPr="00F0616E">
        <w:rPr>
          <w:rFonts w:ascii="Times New Roman" w:eastAsia="Calibri" w:hAnsi="Times New Roman"/>
          <w:b/>
          <w:i w:val="0"/>
          <w:color w:val="5B9BD5"/>
          <w:sz w:val="20"/>
        </w:rPr>
        <w:instrText xml:space="preserve"> SEQ Obrázok \* ARABIC </w:instrText>
      </w:r>
      <w:r w:rsidRPr="00F0616E">
        <w:rPr>
          <w:rFonts w:ascii="Times New Roman" w:eastAsia="Calibri" w:hAnsi="Times New Roman"/>
          <w:b/>
          <w:i w:val="0"/>
          <w:iCs w:val="0"/>
          <w:color w:val="5B9BD5"/>
          <w:sz w:val="20"/>
        </w:rPr>
        <w:fldChar w:fldCharType="separate"/>
      </w:r>
      <w:r w:rsidR="006E67C6">
        <w:rPr>
          <w:rFonts w:ascii="Times New Roman" w:eastAsia="Calibri" w:hAnsi="Times New Roman"/>
          <w:b/>
          <w:i w:val="0"/>
          <w:noProof/>
          <w:color w:val="5B9BD5"/>
          <w:sz w:val="20"/>
        </w:rPr>
        <w:t>11</w:t>
      </w:r>
      <w:r w:rsidRPr="00F0616E">
        <w:rPr>
          <w:rFonts w:ascii="Times New Roman" w:eastAsia="Calibri" w:hAnsi="Times New Roman"/>
          <w:b/>
          <w:i w:val="0"/>
          <w:iCs w:val="0"/>
          <w:color w:val="5B9BD5"/>
          <w:sz w:val="20"/>
        </w:rPr>
        <w:fldChar w:fldCharType="end"/>
      </w:r>
      <w:r w:rsidR="00503FEF">
        <w:rPr>
          <w:rFonts w:ascii="Times New Roman" w:hAnsi="Times New Roman" w:cs="Times New Roman"/>
          <w:b/>
          <w:i w:val="0"/>
          <w:color w:val="5B9BD5" w:themeColor="accent1"/>
          <w:sz w:val="20"/>
          <w:szCs w:val="20"/>
        </w:rPr>
        <w:t xml:space="preserve"> -</w:t>
      </w:r>
      <w:r w:rsidRPr="00263500">
        <w:rPr>
          <w:rFonts w:ascii="Times New Roman" w:hAnsi="Times New Roman" w:cs="Times New Roman"/>
          <w:b/>
          <w:i w:val="0"/>
          <w:color w:val="5B9BD5" w:themeColor="accent1"/>
          <w:sz w:val="20"/>
          <w:szCs w:val="20"/>
        </w:rPr>
        <w:t xml:space="preserve"> Medzinárodné porovnanie osobných výdavkov a počtu zamestnancov</w:t>
      </w:r>
      <w:bookmarkEnd w:id="140"/>
      <w:bookmarkEnd w:id="141"/>
    </w:p>
    <w:tbl>
      <w:tblPr>
        <w:tblStyle w:val="Mriekatabuky80"/>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3"/>
        <w:gridCol w:w="247"/>
        <w:gridCol w:w="4320"/>
      </w:tblGrid>
      <w:tr w:rsidR="00F0616E" w:rsidRPr="009C4656" w:rsidTr="00EE76B1">
        <w:trPr>
          <w:trHeight w:val="465"/>
        </w:trPr>
        <w:tc>
          <w:tcPr>
            <w:tcW w:w="4433" w:type="dxa"/>
            <w:tcBorders>
              <w:bottom w:val="single" w:sz="4" w:space="0" w:color="auto"/>
            </w:tcBorders>
          </w:tcPr>
          <w:p w:rsidR="00F0616E" w:rsidRPr="009C4656" w:rsidRDefault="00F0616E" w:rsidP="00EE76B1">
            <w:pPr>
              <w:rPr>
                <w:rFonts w:ascii="Times New Roman" w:hAnsi="Times New Roman" w:cs="Times New Roman"/>
                <w:b/>
                <w:sz w:val="20"/>
                <w:szCs w:val="24"/>
                <w:lang w:eastAsia="sk-SK"/>
              </w:rPr>
            </w:pPr>
            <w:r w:rsidRPr="009C4656">
              <w:rPr>
                <w:rFonts w:ascii="Times New Roman" w:hAnsi="Times New Roman" w:cs="Times New Roman"/>
                <w:b/>
                <w:sz w:val="20"/>
                <w:szCs w:val="24"/>
                <w:lang w:eastAsia="sk-SK"/>
              </w:rPr>
              <w:t>Celkový objem kompenzácií zam</w:t>
            </w:r>
            <w:r>
              <w:rPr>
                <w:rFonts w:ascii="Times New Roman" w:hAnsi="Times New Roman" w:cs="Times New Roman"/>
                <w:b/>
                <w:sz w:val="20"/>
                <w:szCs w:val="24"/>
                <w:lang w:eastAsia="sk-SK"/>
              </w:rPr>
              <w:t>estnancov sektora VS (% HDP, 2020</w:t>
            </w:r>
            <w:r w:rsidRPr="009C4656">
              <w:rPr>
                <w:rFonts w:ascii="Times New Roman" w:hAnsi="Times New Roman" w:cs="Times New Roman"/>
                <w:b/>
                <w:sz w:val="20"/>
                <w:szCs w:val="24"/>
                <w:lang w:eastAsia="sk-SK"/>
              </w:rPr>
              <w:t>)</w:t>
            </w:r>
          </w:p>
        </w:tc>
        <w:tc>
          <w:tcPr>
            <w:tcW w:w="247" w:type="dxa"/>
            <w:tcMar>
              <w:left w:w="57" w:type="dxa"/>
              <w:right w:w="57" w:type="dxa"/>
            </w:tcMar>
          </w:tcPr>
          <w:p w:rsidR="00F0616E" w:rsidRPr="009C4656" w:rsidRDefault="00F0616E" w:rsidP="00EE76B1">
            <w:pPr>
              <w:keepNext/>
              <w:jc w:val="both"/>
              <w:rPr>
                <w:rFonts w:ascii="Times New Roman" w:hAnsi="Times New Roman" w:cs="Times New Roman"/>
                <w:b/>
                <w:sz w:val="20"/>
                <w:szCs w:val="24"/>
              </w:rPr>
            </w:pPr>
          </w:p>
        </w:tc>
        <w:tc>
          <w:tcPr>
            <w:tcW w:w="4320" w:type="dxa"/>
            <w:tcBorders>
              <w:bottom w:val="single" w:sz="4" w:space="0" w:color="auto"/>
            </w:tcBorders>
          </w:tcPr>
          <w:p w:rsidR="00F0616E" w:rsidRPr="009C4656" w:rsidRDefault="00F0616E" w:rsidP="00EE76B1">
            <w:pPr>
              <w:rPr>
                <w:rFonts w:ascii="Times New Roman" w:hAnsi="Times New Roman" w:cs="Times New Roman"/>
                <w:b/>
                <w:sz w:val="20"/>
                <w:szCs w:val="24"/>
                <w:lang w:eastAsia="sk-SK"/>
              </w:rPr>
            </w:pPr>
            <w:r w:rsidRPr="009C4656">
              <w:rPr>
                <w:rFonts w:ascii="Times New Roman" w:hAnsi="Times New Roman" w:cs="Times New Roman"/>
                <w:b/>
                <w:sz w:val="20"/>
                <w:szCs w:val="24"/>
                <w:lang w:eastAsia="sk-SK"/>
              </w:rPr>
              <w:t>Počet zamestnancov sekt</w:t>
            </w:r>
            <w:r>
              <w:rPr>
                <w:rFonts w:ascii="Times New Roman" w:hAnsi="Times New Roman" w:cs="Times New Roman"/>
                <w:b/>
                <w:sz w:val="20"/>
                <w:szCs w:val="24"/>
                <w:lang w:eastAsia="sk-SK"/>
              </w:rPr>
              <w:t>ora VS na 1 000 obyvateľov (2019</w:t>
            </w:r>
            <w:r w:rsidRPr="009C4656">
              <w:rPr>
                <w:rFonts w:ascii="Times New Roman" w:hAnsi="Times New Roman" w:cs="Times New Roman"/>
                <w:b/>
                <w:sz w:val="20"/>
                <w:szCs w:val="24"/>
                <w:lang w:eastAsia="sk-SK"/>
              </w:rPr>
              <w:t>)</w:t>
            </w:r>
          </w:p>
        </w:tc>
      </w:tr>
      <w:tr w:rsidR="00F0616E" w:rsidRPr="009C4656" w:rsidTr="00EE76B1">
        <w:tblPrEx>
          <w:tblCellMar>
            <w:left w:w="70" w:type="dxa"/>
            <w:right w:w="70" w:type="dxa"/>
          </w:tblCellMar>
        </w:tblPrEx>
        <w:trPr>
          <w:trHeight w:val="3836"/>
        </w:trPr>
        <w:tc>
          <w:tcPr>
            <w:tcW w:w="4433" w:type="dxa"/>
            <w:tcBorders>
              <w:top w:val="single" w:sz="4" w:space="0" w:color="auto"/>
              <w:bottom w:val="single" w:sz="4" w:space="0" w:color="auto"/>
            </w:tcBorders>
          </w:tcPr>
          <w:p w:rsidR="00F0616E" w:rsidRPr="009C4656" w:rsidRDefault="00F0616E" w:rsidP="00EE76B1">
            <w:pPr>
              <w:ind w:left="-108"/>
              <w:jc w:val="both"/>
              <w:rPr>
                <w:rFonts w:ascii="Times New Roman" w:hAnsi="Times New Roman" w:cs="Times New Roman"/>
                <w:sz w:val="24"/>
                <w:szCs w:val="24"/>
              </w:rPr>
            </w:pPr>
            <w:r>
              <w:rPr>
                <w:noProof/>
                <w:lang w:eastAsia="sk-SK"/>
              </w:rPr>
              <w:drawing>
                <wp:inline distT="0" distB="0" distL="0" distR="0" wp14:anchorId="63FE036E" wp14:editId="22D68980">
                  <wp:extent cx="2677795" cy="2486025"/>
                  <wp:effectExtent l="0" t="0" r="8255"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47" w:type="dxa"/>
          </w:tcPr>
          <w:p w:rsidR="00F0616E" w:rsidRPr="009C4656" w:rsidRDefault="00F0616E" w:rsidP="00EE76B1">
            <w:pPr>
              <w:jc w:val="both"/>
              <w:rPr>
                <w:rFonts w:ascii="Times New Roman" w:hAnsi="Times New Roman" w:cs="Times New Roman"/>
                <w:noProof/>
                <w:sz w:val="24"/>
                <w:szCs w:val="24"/>
                <w:lang w:eastAsia="sk-SK"/>
              </w:rPr>
            </w:pPr>
          </w:p>
        </w:tc>
        <w:tc>
          <w:tcPr>
            <w:tcW w:w="4320" w:type="dxa"/>
            <w:tcBorders>
              <w:top w:val="single" w:sz="4" w:space="0" w:color="auto"/>
              <w:bottom w:val="single" w:sz="4" w:space="0" w:color="auto"/>
            </w:tcBorders>
          </w:tcPr>
          <w:p w:rsidR="00F0616E" w:rsidRPr="009C4656" w:rsidRDefault="00F0616E" w:rsidP="00EE76B1">
            <w:pPr>
              <w:ind w:left="-61"/>
              <w:jc w:val="both"/>
              <w:rPr>
                <w:rFonts w:ascii="Times New Roman" w:hAnsi="Times New Roman" w:cs="Times New Roman"/>
                <w:noProof/>
                <w:sz w:val="24"/>
                <w:szCs w:val="24"/>
                <w:lang w:eastAsia="sk-SK"/>
              </w:rPr>
            </w:pPr>
            <w:r>
              <w:rPr>
                <w:noProof/>
                <w:lang w:eastAsia="sk-SK"/>
              </w:rPr>
              <w:drawing>
                <wp:inline distT="0" distB="0" distL="0" distR="0" wp14:anchorId="1B65B49E" wp14:editId="27CEBEF5">
                  <wp:extent cx="2654300" cy="257175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0616E" w:rsidRPr="00DC3C69" w:rsidTr="00EE76B1">
        <w:trPr>
          <w:trHeight w:val="210"/>
        </w:trPr>
        <w:tc>
          <w:tcPr>
            <w:tcW w:w="4433" w:type="dxa"/>
            <w:tcBorders>
              <w:top w:val="single" w:sz="4" w:space="0" w:color="auto"/>
            </w:tcBorders>
          </w:tcPr>
          <w:p w:rsidR="00F0616E" w:rsidRPr="00DC3C69" w:rsidRDefault="00F0616E" w:rsidP="00EE76B1">
            <w:pPr>
              <w:jc w:val="right"/>
              <w:rPr>
                <w:rFonts w:ascii="Times New Roman" w:hAnsi="Times New Roman" w:cs="Times New Roman"/>
                <w:i/>
                <w:sz w:val="16"/>
                <w:szCs w:val="24"/>
              </w:rPr>
            </w:pPr>
            <w:r w:rsidRPr="00DC3C69">
              <w:rPr>
                <w:rFonts w:ascii="Times New Roman" w:hAnsi="Times New Roman" w:cs="Times New Roman"/>
                <w:i/>
                <w:sz w:val="16"/>
                <w:szCs w:val="24"/>
              </w:rPr>
              <w:t>Zdroj: Eurostat, Government finance statistics</w:t>
            </w:r>
          </w:p>
        </w:tc>
        <w:tc>
          <w:tcPr>
            <w:tcW w:w="247" w:type="dxa"/>
            <w:tcMar>
              <w:left w:w="57" w:type="dxa"/>
              <w:right w:w="57" w:type="dxa"/>
            </w:tcMar>
          </w:tcPr>
          <w:p w:rsidR="00F0616E" w:rsidRPr="00DC3C69" w:rsidRDefault="00F0616E" w:rsidP="00EE76B1">
            <w:pPr>
              <w:jc w:val="right"/>
              <w:rPr>
                <w:rFonts w:ascii="Times New Roman" w:hAnsi="Times New Roman" w:cs="Times New Roman"/>
                <w:i/>
                <w:sz w:val="16"/>
                <w:szCs w:val="24"/>
              </w:rPr>
            </w:pPr>
          </w:p>
        </w:tc>
        <w:tc>
          <w:tcPr>
            <w:tcW w:w="4320" w:type="dxa"/>
            <w:tcBorders>
              <w:top w:val="single" w:sz="4" w:space="0" w:color="auto"/>
            </w:tcBorders>
          </w:tcPr>
          <w:p w:rsidR="00F0616E" w:rsidRPr="00DC3C69" w:rsidRDefault="00F0616E" w:rsidP="00EE76B1">
            <w:pPr>
              <w:keepNext/>
              <w:jc w:val="right"/>
              <w:rPr>
                <w:rFonts w:ascii="Times New Roman" w:hAnsi="Times New Roman" w:cs="Times New Roman"/>
                <w:i/>
                <w:sz w:val="16"/>
                <w:szCs w:val="24"/>
              </w:rPr>
            </w:pPr>
            <w:r w:rsidRPr="00DC3C69">
              <w:rPr>
                <w:rFonts w:ascii="Times New Roman" w:hAnsi="Times New Roman" w:cs="Times New Roman"/>
                <w:i/>
                <w:sz w:val="16"/>
                <w:szCs w:val="24"/>
              </w:rPr>
              <w:t>Zdroj: Eurostat, Národné účty, Demografické štatistiky</w:t>
            </w:r>
          </w:p>
        </w:tc>
      </w:tr>
    </w:tbl>
    <w:p w:rsidR="00F0616E" w:rsidRDefault="00F0616E" w:rsidP="00F0616E">
      <w:pPr>
        <w:spacing w:after="0"/>
        <w:jc w:val="both"/>
        <w:rPr>
          <w:rFonts w:ascii="Times New Roman" w:hAnsi="Times New Roman" w:cs="Times New Roman"/>
          <w:b/>
          <w:sz w:val="24"/>
          <w:szCs w:val="24"/>
        </w:rPr>
      </w:pPr>
    </w:p>
    <w:p w:rsidR="004F3C71" w:rsidRDefault="00F0616E" w:rsidP="00F0616E">
      <w:pPr>
        <w:spacing w:after="0"/>
        <w:jc w:val="both"/>
        <w:rPr>
          <w:rFonts w:ascii="Times New Roman" w:hAnsi="Times New Roman" w:cs="Times New Roman"/>
          <w:sz w:val="24"/>
          <w:szCs w:val="24"/>
        </w:rPr>
      </w:pPr>
      <w:r w:rsidRPr="00482DCB">
        <w:rPr>
          <w:rFonts w:ascii="Times New Roman" w:hAnsi="Times New Roman" w:cs="Times New Roman"/>
          <w:b/>
          <w:sz w:val="24"/>
          <w:szCs w:val="24"/>
        </w:rPr>
        <w:t>Sektor verejnej správy na Slovensku, vrátane samospráv, zamestnáva</w:t>
      </w:r>
      <w:r>
        <w:rPr>
          <w:rFonts w:ascii="Times New Roman" w:hAnsi="Times New Roman" w:cs="Times New Roman"/>
          <w:b/>
          <w:sz w:val="24"/>
          <w:szCs w:val="24"/>
        </w:rPr>
        <w:t>l v roku 2017</w:t>
      </w:r>
      <w:r w:rsidRPr="00482DCB">
        <w:rPr>
          <w:rFonts w:ascii="Times New Roman" w:hAnsi="Times New Roman" w:cs="Times New Roman"/>
          <w:b/>
          <w:sz w:val="24"/>
          <w:szCs w:val="24"/>
        </w:rPr>
        <w:t xml:space="preserve"> priemerný počet úradníkov na svoju veľkosť</w:t>
      </w:r>
      <w:r w:rsidRPr="00482DCB">
        <w:rPr>
          <w:rFonts w:ascii="Times New Roman" w:hAnsi="Times New Roman" w:cs="Times New Roman"/>
          <w:sz w:val="24"/>
          <w:szCs w:val="24"/>
        </w:rPr>
        <w:t>, prac</w:t>
      </w:r>
      <w:r>
        <w:rPr>
          <w:rFonts w:ascii="Times New Roman" w:hAnsi="Times New Roman" w:cs="Times New Roman"/>
          <w:sz w:val="24"/>
          <w:szCs w:val="24"/>
        </w:rPr>
        <w:t>ovalo</w:t>
      </w:r>
      <w:r w:rsidRPr="00482DCB">
        <w:rPr>
          <w:rFonts w:ascii="Times New Roman" w:hAnsi="Times New Roman" w:cs="Times New Roman"/>
          <w:sz w:val="24"/>
          <w:szCs w:val="24"/>
        </w:rPr>
        <w:t xml:space="preserve"> v ňom 20,5 úradníkov</w:t>
      </w:r>
      <w:r>
        <w:rPr>
          <w:rStyle w:val="Odkaznapoznmkupodiarou"/>
          <w:rFonts w:ascii="Times New Roman" w:hAnsi="Times New Roman"/>
          <w:sz w:val="24"/>
          <w:szCs w:val="24"/>
        </w:rPr>
        <w:footnoteReference w:id="33"/>
      </w:r>
      <w:r w:rsidRPr="00482DCB">
        <w:rPr>
          <w:rFonts w:ascii="Times New Roman" w:hAnsi="Times New Roman" w:cs="Times New Roman"/>
          <w:sz w:val="24"/>
          <w:szCs w:val="24"/>
        </w:rPr>
        <w:t xml:space="preserve"> na 1 000 obyvateľov (priemer EÚ je 20,3). Pri zúžení definície na kvalifikovaných zamestnancov (bez administratívnych pracovníkov) m</w:t>
      </w:r>
      <w:r>
        <w:rPr>
          <w:rFonts w:ascii="Times New Roman" w:hAnsi="Times New Roman" w:cs="Times New Roman"/>
          <w:sz w:val="24"/>
          <w:szCs w:val="24"/>
        </w:rPr>
        <w:t xml:space="preserve">alo </w:t>
      </w:r>
      <w:r w:rsidRPr="00482DCB">
        <w:rPr>
          <w:rFonts w:ascii="Times New Roman" w:hAnsi="Times New Roman" w:cs="Times New Roman"/>
          <w:sz w:val="24"/>
          <w:szCs w:val="24"/>
        </w:rPr>
        <w:t>Slovensko 13,5 úradníka na 1</w:t>
      </w:r>
      <w:r>
        <w:rPr>
          <w:rFonts w:ascii="Times New Roman" w:hAnsi="Times New Roman" w:cs="Times New Roman"/>
          <w:sz w:val="24"/>
          <w:szCs w:val="24"/>
        </w:rPr>
        <w:t xml:space="preserve"> </w:t>
      </w:r>
      <w:r w:rsidRPr="00482DCB">
        <w:rPr>
          <w:rFonts w:ascii="Times New Roman" w:hAnsi="Times New Roman" w:cs="Times New Roman"/>
          <w:sz w:val="24"/>
          <w:szCs w:val="24"/>
        </w:rPr>
        <w:t>000 obyvateľov oproti priemeru EÚ na úrovni 15,6. Porovnanie nezahŕňa ozbrojené zložky ako sú vojaci a policajti, s výnimkou riadiacich pracovníkov.</w:t>
      </w: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EF1FFB" w:rsidRDefault="00EF1FFB" w:rsidP="00F0616E">
      <w:pPr>
        <w:spacing w:after="0"/>
        <w:jc w:val="both"/>
        <w:rPr>
          <w:rFonts w:ascii="Times New Roman" w:hAnsi="Times New Roman" w:cs="Times New Roman"/>
          <w:sz w:val="24"/>
          <w:szCs w:val="24"/>
        </w:rPr>
      </w:pPr>
    </w:p>
    <w:p w:rsidR="004F3C71" w:rsidRPr="004F3C71" w:rsidRDefault="004F3C71" w:rsidP="00F0616E">
      <w:pPr>
        <w:spacing w:after="0"/>
        <w:jc w:val="both"/>
        <w:rPr>
          <w:rFonts w:ascii="Times New Roman" w:hAnsi="Times New Roman" w:cs="Times New Roman"/>
          <w:b/>
          <w:sz w:val="24"/>
          <w:szCs w:val="24"/>
        </w:rPr>
      </w:pPr>
      <w:bookmarkStart w:id="142" w:name="_Toc84848003"/>
      <w:r w:rsidRPr="004F3C71">
        <w:rPr>
          <w:rFonts w:ascii="Times New Roman" w:eastAsia="Calibri" w:hAnsi="Times New Roman"/>
          <w:b/>
          <w:color w:val="5B9BD5"/>
          <w:sz w:val="20"/>
        </w:rPr>
        <w:t xml:space="preserve">Graf </w:t>
      </w:r>
      <w:r w:rsidRPr="004F3C71">
        <w:rPr>
          <w:rFonts w:ascii="Times New Roman" w:eastAsia="Calibri" w:hAnsi="Times New Roman"/>
          <w:b/>
          <w:iCs/>
          <w:color w:val="5B9BD5"/>
          <w:sz w:val="20"/>
        </w:rPr>
        <w:fldChar w:fldCharType="begin"/>
      </w:r>
      <w:r w:rsidRPr="004F3C71">
        <w:rPr>
          <w:rFonts w:ascii="Times New Roman" w:eastAsia="Calibri" w:hAnsi="Times New Roman"/>
          <w:b/>
          <w:color w:val="5B9BD5"/>
          <w:sz w:val="20"/>
        </w:rPr>
        <w:instrText xml:space="preserve"> SEQ Obrázok \* ARABIC </w:instrText>
      </w:r>
      <w:r w:rsidRPr="004F3C71">
        <w:rPr>
          <w:rFonts w:ascii="Times New Roman" w:eastAsia="Calibri" w:hAnsi="Times New Roman"/>
          <w:b/>
          <w:iCs/>
          <w:color w:val="5B9BD5"/>
          <w:sz w:val="20"/>
        </w:rPr>
        <w:fldChar w:fldCharType="separate"/>
      </w:r>
      <w:r w:rsidR="006E67C6">
        <w:rPr>
          <w:rFonts w:ascii="Times New Roman" w:eastAsia="Calibri" w:hAnsi="Times New Roman"/>
          <w:b/>
          <w:noProof/>
          <w:color w:val="5B9BD5"/>
          <w:sz w:val="20"/>
        </w:rPr>
        <w:t>12</w:t>
      </w:r>
      <w:r w:rsidRPr="004F3C71">
        <w:rPr>
          <w:rFonts w:ascii="Times New Roman" w:eastAsia="Calibri" w:hAnsi="Times New Roman"/>
          <w:b/>
          <w:iCs/>
          <w:color w:val="5B9BD5"/>
          <w:sz w:val="20"/>
        </w:rPr>
        <w:fldChar w:fldCharType="end"/>
      </w:r>
      <w:r w:rsidR="00503FEF">
        <w:rPr>
          <w:rFonts w:ascii="Times New Roman" w:hAnsi="Times New Roman" w:cs="Times New Roman"/>
          <w:b/>
          <w:color w:val="5B9BD5" w:themeColor="accent1"/>
        </w:rPr>
        <w:t xml:space="preserve"> -</w:t>
      </w:r>
      <w:r w:rsidRPr="004F3C71">
        <w:rPr>
          <w:rFonts w:ascii="Times New Roman" w:hAnsi="Times New Roman" w:cs="Times New Roman"/>
          <w:b/>
          <w:noProof/>
          <w:color w:val="5B9BD5" w:themeColor="accent1"/>
        </w:rPr>
        <w:t xml:space="preserve"> Počet úradníkov</w:t>
      </w:r>
      <w:r w:rsidRPr="004F3C71">
        <w:rPr>
          <w:rFonts w:ascii="Times New Roman" w:eastAsia="Calibri" w:hAnsi="Times New Roman" w:cs="Times New Roman"/>
          <w:b/>
          <w:color w:val="5B9BD5" w:themeColor="accent1"/>
        </w:rPr>
        <w:t xml:space="preserve"> na 1 000 obyvateľov (2017)</w:t>
      </w:r>
      <w:bookmarkEnd w:id="142"/>
    </w:p>
    <w:p w:rsidR="00F0616E" w:rsidRPr="00482DCB" w:rsidRDefault="00F0616E" w:rsidP="00F0616E">
      <w:pPr>
        <w:spacing w:after="0"/>
        <w:jc w:val="both"/>
        <w:rPr>
          <w:rFonts w:ascii="Times New Roman" w:hAnsi="Times New Roman" w:cs="Times New Roman"/>
          <w:sz w:val="24"/>
          <w:szCs w:val="24"/>
        </w:rPr>
      </w:pPr>
    </w:p>
    <w:tbl>
      <w:tblPr>
        <w:tblStyle w:val="UHPGRAF1"/>
        <w:tblW w:w="5000" w:type="pct"/>
        <w:tblLayout w:type="fixed"/>
        <w:tblCellMar>
          <w:left w:w="70" w:type="dxa"/>
          <w:right w:w="70" w:type="dxa"/>
        </w:tblCellMar>
        <w:tblLook w:val="04E0" w:firstRow="1" w:lastRow="1" w:firstColumn="1" w:lastColumn="0" w:noHBand="0" w:noVBand="1"/>
      </w:tblPr>
      <w:tblGrid>
        <w:gridCol w:w="236"/>
        <w:gridCol w:w="8836"/>
      </w:tblGrid>
      <w:tr w:rsidR="00F0616E" w:rsidRPr="00D80406" w:rsidTr="00EE76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rsidR="00F0616E" w:rsidRPr="00D80406" w:rsidRDefault="00F0616E" w:rsidP="004F3C71">
            <w:pPr>
              <w:spacing w:after="240"/>
              <w:rPr>
                <w:rFonts w:eastAsia="Calibri" w:cs="Times New Roman"/>
              </w:rPr>
            </w:pPr>
            <w:r>
              <w:rPr>
                <w:rFonts w:eastAsia="Calibri" w:cs="Times New Roman"/>
                <w:noProof/>
              </w:rPr>
              <w:drawing>
                <wp:inline distT="0" distB="0" distL="0" distR="0" wp14:anchorId="41808144" wp14:editId="79EBD362">
                  <wp:extent cx="5688330" cy="196278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1962785"/>
                          </a:xfrm>
                          <a:prstGeom prst="rect">
                            <a:avLst/>
                          </a:prstGeom>
                          <a:noFill/>
                        </pic:spPr>
                      </pic:pic>
                    </a:graphicData>
                  </a:graphic>
                </wp:inline>
              </w:drawing>
            </w:r>
          </w:p>
        </w:tc>
      </w:tr>
      <w:tr w:rsidR="00F0616E" w:rsidRPr="00DC3C69" w:rsidTr="00EE76B1">
        <w:tblPrEx>
          <w:tblCellMar>
            <w:left w:w="108" w:type="dxa"/>
            <w:right w:w="108"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30" w:type="pct"/>
          </w:tcPr>
          <w:p w:rsidR="00F0616E" w:rsidRPr="00DC3C69" w:rsidRDefault="00F0616E" w:rsidP="00EE76B1">
            <w:pPr>
              <w:spacing w:after="240"/>
              <w:rPr>
                <w:rFonts w:ascii="Times New Roman" w:eastAsia="Calibri" w:hAnsi="Times New Roman" w:cs="Times New Roman"/>
              </w:rPr>
            </w:pPr>
          </w:p>
        </w:tc>
        <w:tc>
          <w:tcPr>
            <w:tcW w:w="4870" w:type="pct"/>
          </w:tcPr>
          <w:p w:rsidR="00F0616E" w:rsidRPr="00DC3C69" w:rsidRDefault="00F0616E" w:rsidP="00EE76B1">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sidRPr="00DC3C69">
              <w:rPr>
                <w:rFonts w:ascii="Times New Roman" w:eastAsia="Calibri" w:hAnsi="Times New Roman" w:cs="Times New Roman"/>
              </w:rPr>
              <w:t xml:space="preserve">Zdroj: Eurostat z dát Výberového zisťovania pracovných síl (2017, spracovanie </w:t>
            </w:r>
            <w:r>
              <w:rPr>
                <w:rFonts w:ascii="Times New Roman" w:eastAsia="Calibri" w:hAnsi="Times New Roman" w:cs="Times New Roman"/>
              </w:rPr>
              <w:t>MF SR</w:t>
            </w:r>
            <w:r w:rsidRPr="00DC3C69">
              <w:rPr>
                <w:rFonts w:ascii="Times New Roman" w:eastAsia="Calibri" w:hAnsi="Times New Roman" w:cs="Times New Roman"/>
              </w:rPr>
              <w:t>)</w:t>
            </w:r>
          </w:p>
        </w:tc>
      </w:tr>
    </w:tbl>
    <w:p w:rsidR="00F0616E" w:rsidRDefault="00F0616E" w:rsidP="00F0616E">
      <w:pPr>
        <w:spacing w:after="0"/>
        <w:jc w:val="both"/>
        <w:rPr>
          <w:rFonts w:ascii="Times New Roman" w:hAnsi="Times New Roman" w:cs="Times New Roman"/>
          <w:sz w:val="24"/>
          <w:szCs w:val="24"/>
        </w:rPr>
      </w:pPr>
    </w:p>
    <w:p w:rsidR="00F0616E" w:rsidRDefault="00F0616E" w:rsidP="004F568C">
      <w:pPr>
        <w:spacing w:after="0" w:line="240" w:lineRule="auto"/>
        <w:jc w:val="both"/>
        <w:rPr>
          <w:rFonts w:ascii="Times New Roman" w:hAnsi="Times New Roman" w:cs="Times New Roman"/>
          <w:bCs/>
          <w:iCs/>
          <w:sz w:val="24"/>
          <w:szCs w:val="24"/>
        </w:rPr>
      </w:pPr>
      <w:r w:rsidRPr="00E56B06">
        <w:rPr>
          <w:rFonts w:ascii="Times New Roman" w:hAnsi="Times New Roman" w:cs="Times New Roman"/>
          <w:b/>
          <w:bCs/>
          <w:iCs/>
          <w:sz w:val="24"/>
          <w:szCs w:val="24"/>
        </w:rPr>
        <w:t>Verejný sektor rýchlo starne</w:t>
      </w:r>
      <w:r w:rsidRPr="00E56B06">
        <w:rPr>
          <w:rFonts w:ascii="Times New Roman" w:hAnsi="Times New Roman" w:cs="Times New Roman"/>
          <w:bCs/>
          <w:iCs/>
          <w:sz w:val="24"/>
          <w:szCs w:val="24"/>
        </w:rPr>
        <w:t xml:space="preserve">, tretina zamestnancov dovŕši v priebehu 10 rokov dôchodkový vek. Zamestnancov nad 55 rokov </w:t>
      </w:r>
      <w:r>
        <w:rPr>
          <w:rFonts w:ascii="Times New Roman" w:hAnsi="Times New Roman" w:cs="Times New Roman"/>
          <w:bCs/>
          <w:iCs/>
          <w:sz w:val="24"/>
          <w:szCs w:val="24"/>
        </w:rPr>
        <w:t>bolo v roku 2017</w:t>
      </w:r>
      <w:r w:rsidRPr="00E56B06">
        <w:rPr>
          <w:rFonts w:ascii="Times New Roman" w:hAnsi="Times New Roman" w:cs="Times New Roman"/>
          <w:bCs/>
          <w:iCs/>
          <w:sz w:val="24"/>
          <w:szCs w:val="24"/>
        </w:rPr>
        <w:t xml:space="preserve"> vo verejnom sektore dvojnásobný podiel oproti súkromnému. Starnúca populácia obyvateľstva aj pracovníkov poskytujúcich verejné služby</w:t>
      </w:r>
      <w:r w:rsidR="00A34219">
        <w:rPr>
          <w:rFonts w:ascii="Times New Roman" w:hAnsi="Times New Roman" w:cs="Times New Roman"/>
          <w:bCs/>
          <w:iCs/>
          <w:sz w:val="24"/>
          <w:szCs w:val="24"/>
        </w:rPr>
        <w:t>,</w:t>
      </w:r>
      <w:r w:rsidRPr="00E56B06">
        <w:rPr>
          <w:rFonts w:ascii="Times New Roman" w:hAnsi="Times New Roman" w:cs="Times New Roman"/>
          <w:bCs/>
          <w:iCs/>
          <w:sz w:val="24"/>
          <w:szCs w:val="24"/>
        </w:rPr>
        <w:t xml:space="preserve"> vyvoláva tlak predovšetkým na zdravotníctvo a sociálne služby. </w:t>
      </w:r>
      <w:r>
        <w:rPr>
          <w:rFonts w:ascii="Times New Roman" w:hAnsi="Times New Roman" w:cs="Times New Roman"/>
          <w:bCs/>
          <w:iCs/>
          <w:sz w:val="24"/>
          <w:szCs w:val="24"/>
        </w:rPr>
        <w:t>Zmena vekovej štruktúry obyvateľstva sa podľa prepočtov SAV v dopyte po zamestnancoch najvýraznejšie prejaví v sociálnych službách a v školstve. Okrem nahradenia zamestnancov, ktorí odídu do dôchodku, bude potrebných dodatočných 6 600 pracovníkov sociálnych služieb, 2 100 sestier  a 1 200 lekárov na zabezpečenie služieb pre rastúci počet klientov. Tieto odhady nezohľadňujú existujúci neuspokojený dopyt po vybraných službách ani navýšenie zamestnanosti potrebnej na dosiahnutie medzinárodného štandardu.</w:t>
      </w:r>
    </w:p>
    <w:p w:rsidR="004F568C" w:rsidRDefault="004F568C" w:rsidP="004F568C">
      <w:pPr>
        <w:spacing w:after="0" w:line="240" w:lineRule="auto"/>
        <w:jc w:val="both"/>
        <w:rPr>
          <w:rFonts w:ascii="Times New Roman" w:hAnsi="Times New Roman" w:cs="Times New Roman"/>
          <w:bCs/>
          <w:iCs/>
          <w:sz w:val="24"/>
          <w:szCs w:val="24"/>
        </w:rPr>
      </w:pPr>
    </w:p>
    <w:p w:rsidR="00F0616E" w:rsidRPr="00263500" w:rsidRDefault="00F0616E" w:rsidP="004F568C">
      <w:pPr>
        <w:pStyle w:val="Popis"/>
        <w:keepNext/>
        <w:spacing w:after="0"/>
        <w:rPr>
          <w:rFonts w:ascii="Times New Roman" w:hAnsi="Times New Roman" w:cs="Times New Roman"/>
          <w:b/>
          <w:i w:val="0"/>
          <w:color w:val="5B9BD5" w:themeColor="accent1"/>
          <w:sz w:val="20"/>
          <w:szCs w:val="20"/>
        </w:rPr>
      </w:pPr>
      <w:bookmarkStart w:id="143" w:name="_Toc53086275"/>
      <w:bookmarkStart w:id="144" w:name="_Toc84848004"/>
      <w:r w:rsidRPr="00F0616E">
        <w:rPr>
          <w:rFonts w:ascii="Times New Roman" w:eastAsia="Calibri" w:hAnsi="Times New Roman"/>
          <w:b/>
          <w:i w:val="0"/>
          <w:color w:val="5B9BD5"/>
          <w:sz w:val="20"/>
        </w:rPr>
        <w:t xml:space="preserve">Graf </w:t>
      </w:r>
      <w:r w:rsidRPr="00F0616E">
        <w:rPr>
          <w:rFonts w:ascii="Times New Roman" w:eastAsia="Calibri" w:hAnsi="Times New Roman"/>
          <w:b/>
          <w:i w:val="0"/>
          <w:iCs w:val="0"/>
          <w:color w:val="5B9BD5"/>
          <w:sz w:val="20"/>
        </w:rPr>
        <w:fldChar w:fldCharType="begin"/>
      </w:r>
      <w:r w:rsidRPr="00F0616E">
        <w:rPr>
          <w:rFonts w:ascii="Times New Roman" w:eastAsia="Calibri" w:hAnsi="Times New Roman"/>
          <w:b/>
          <w:i w:val="0"/>
          <w:color w:val="5B9BD5"/>
          <w:sz w:val="20"/>
        </w:rPr>
        <w:instrText xml:space="preserve"> SEQ Obrázok \* ARABIC </w:instrText>
      </w:r>
      <w:r w:rsidRPr="00F0616E">
        <w:rPr>
          <w:rFonts w:ascii="Times New Roman" w:eastAsia="Calibri" w:hAnsi="Times New Roman"/>
          <w:b/>
          <w:i w:val="0"/>
          <w:iCs w:val="0"/>
          <w:color w:val="5B9BD5"/>
          <w:sz w:val="20"/>
        </w:rPr>
        <w:fldChar w:fldCharType="separate"/>
      </w:r>
      <w:r w:rsidR="006E67C6">
        <w:rPr>
          <w:rFonts w:ascii="Times New Roman" w:eastAsia="Calibri" w:hAnsi="Times New Roman"/>
          <w:b/>
          <w:i w:val="0"/>
          <w:noProof/>
          <w:color w:val="5B9BD5"/>
          <w:sz w:val="20"/>
        </w:rPr>
        <w:t>13</w:t>
      </w:r>
      <w:r w:rsidRPr="00F0616E">
        <w:rPr>
          <w:rFonts w:ascii="Times New Roman" w:eastAsia="Calibri" w:hAnsi="Times New Roman"/>
          <w:b/>
          <w:i w:val="0"/>
          <w:iCs w:val="0"/>
          <w:color w:val="5B9BD5"/>
          <w:sz w:val="20"/>
        </w:rPr>
        <w:fldChar w:fldCharType="end"/>
      </w:r>
      <w:r w:rsidR="00503FEF">
        <w:rPr>
          <w:rFonts w:ascii="Times New Roman" w:hAnsi="Times New Roman" w:cs="Times New Roman"/>
          <w:b/>
          <w:i w:val="0"/>
          <w:noProof/>
          <w:color w:val="5B9BD5" w:themeColor="accent1"/>
          <w:sz w:val="20"/>
          <w:szCs w:val="20"/>
        </w:rPr>
        <w:t xml:space="preserve"> -</w:t>
      </w:r>
      <w:r w:rsidRPr="00263500">
        <w:rPr>
          <w:rFonts w:ascii="Times New Roman" w:hAnsi="Times New Roman" w:cs="Times New Roman"/>
          <w:b/>
          <w:i w:val="0"/>
          <w:color w:val="5B9BD5" w:themeColor="accent1"/>
          <w:sz w:val="20"/>
          <w:szCs w:val="20"/>
        </w:rPr>
        <w:t xml:space="preserve"> Veková štruktúra zamestnancov (2017) a hodinové mzdy v závislosti od veku (VŠ vzdelaní, 2017)</w:t>
      </w:r>
      <w:bookmarkEnd w:id="143"/>
      <w:bookmarkEnd w:id="144"/>
    </w:p>
    <w:tbl>
      <w:tblPr>
        <w:tblStyle w:val="Mriekatabu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76"/>
        <w:gridCol w:w="146"/>
        <w:gridCol w:w="4550"/>
      </w:tblGrid>
      <w:tr w:rsidR="00F0616E" w:rsidRPr="0031194B" w:rsidTr="00EE76B1">
        <w:trPr>
          <w:trHeight w:val="20"/>
        </w:trPr>
        <w:tc>
          <w:tcPr>
            <w:tcW w:w="4391" w:type="dxa"/>
            <w:tcBorders>
              <w:top w:val="single" w:sz="4" w:space="0" w:color="auto"/>
              <w:bottom w:val="single" w:sz="4" w:space="0" w:color="auto"/>
            </w:tcBorders>
          </w:tcPr>
          <w:p w:rsidR="00F0616E" w:rsidRPr="0031194B" w:rsidRDefault="00F0616E" w:rsidP="00EE76B1">
            <w:pPr>
              <w:jc w:val="both"/>
              <w:rPr>
                <w:rFonts w:ascii="Times New Roman" w:hAnsi="Times New Roman"/>
                <w:bCs/>
                <w:iCs/>
                <w:szCs w:val="26"/>
              </w:rPr>
            </w:pPr>
            <w:r>
              <w:rPr>
                <w:rFonts w:ascii="Times New Roman" w:hAnsi="Times New Roman"/>
                <w:bCs/>
                <w:iCs/>
                <w:noProof/>
                <w:szCs w:val="26"/>
                <w:lang w:eastAsia="sk-SK"/>
              </w:rPr>
              <w:drawing>
                <wp:inline distT="0" distB="0" distL="0" distR="0" wp14:anchorId="671953F4" wp14:editId="51B6B37F">
                  <wp:extent cx="2664460" cy="202374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460" cy="2023745"/>
                          </a:xfrm>
                          <a:prstGeom prst="rect">
                            <a:avLst/>
                          </a:prstGeom>
                          <a:noFill/>
                        </pic:spPr>
                      </pic:pic>
                    </a:graphicData>
                  </a:graphic>
                </wp:inline>
              </w:drawing>
            </w:r>
          </w:p>
        </w:tc>
        <w:tc>
          <w:tcPr>
            <w:tcW w:w="146" w:type="dxa"/>
          </w:tcPr>
          <w:p w:rsidR="00F0616E" w:rsidRPr="0031194B" w:rsidRDefault="00F0616E" w:rsidP="00EE76B1">
            <w:pPr>
              <w:jc w:val="both"/>
              <w:rPr>
                <w:rFonts w:ascii="Times New Roman" w:hAnsi="Times New Roman"/>
                <w:bCs/>
                <w:iCs/>
                <w:szCs w:val="26"/>
              </w:rPr>
            </w:pPr>
          </w:p>
        </w:tc>
        <w:tc>
          <w:tcPr>
            <w:tcW w:w="4535" w:type="dxa"/>
            <w:tcBorders>
              <w:top w:val="single" w:sz="4" w:space="0" w:color="auto"/>
              <w:bottom w:val="single" w:sz="4" w:space="0" w:color="auto"/>
            </w:tcBorders>
          </w:tcPr>
          <w:p w:rsidR="00F0616E" w:rsidRPr="0031194B" w:rsidRDefault="00F0616E" w:rsidP="00EE76B1">
            <w:pPr>
              <w:jc w:val="both"/>
              <w:rPr>
                <w:rFonts w:ascii="Times New Roman" w:hAnsi="Times New Roman"/>
                <w:bCs/>
                <w:iCs/>
                <w:szCs w:val="26"/>
              </w:rPr>
            </w:pPr>
            <w:r>
              <w:rPr>
                <w:rFonts w:ascii="Times New Roman" w:hAnsi="Times New Roman"/>
                <w:bCs/>
                <w:iCs/>
                <w:noProof/>
                <w:szCs w:val="26"/>
                <w:lang w:eastAsia="sk-SK"/>
              </w:rPr>
              <w:drawing>
                <wp:inline distT="0" distB="0" distL="0" distR="0" wp14:anchorId="6910F2A4" wp14:editId="4A395FCF">
                  <wp:extent cx="2792095" cy="2023745"/>
                  <wp:effectExtent l="0" t="0" r="825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095" cy="2023745"/>
                          </a:xfrm>
                          <a:prstGeom prst="rect">
                            <a:avLst/>
                          </a:prstGeom>
                          <a:noFill/>
                        </pic:spPr>
                      </pic:pic>
                    </a:graphicData>
                  </a:graphic>
                </wp:inline>
              </w:drawing>
            </w:r>
          </w:p>
        </w:tc>
      </w:tr>
      <w:tr w:rsidR="00F0616E" w:rsidRPr="00DC3C69" w:rsidTr="00EE76B1">
        <w:trPr>
          <w:trHeight w:val="283"/>
        </w:trPr>
        <w:tc>
          <w:tcPr>
            <w:tcW w:w="4391" w:type="dxa"/>
            <w:tcBorders>
              <w:top w:val="single" w:sz="4" w:space="0" w:color="auto"/>
            </w:tcBorders>
          </w:tcPr>
          <w:p w:rsidR="00F0616E" w:rsidRPr="00DC3C69" w:rsidRDefault="00F0616E" w:rsidP="00EE76B1">
            <w:pPr>
              <w:jc w:val="right"/>
              <w:rPr>
                <w:rFonts w:ascii="Times New Roman" w:hAnsi="Times New Roman"/>
                <w:bCs/>
                <w:i/>
                <w:iCs/>
                <w:sz w:val="16"/>
                <w:szCs w:val="26"/>
              </w:rPr>
            </w:pPr>
            <w:r w:rsidRPr="00DC3C69">
              <w:rPr>
                <w:rFonts w:ascii="Times New Roman" w:hAnsi="Times New Roman"/>
                <w:bCs/>
                <w:i/>
                <w:iCs/>
                <w:sz w:val="16"/>
                <w:szCs w:val="26"/>
              </w:rPr>
              <w:t>Zdroj: ISCP, prepočty ÚHP</w:t>
            </w:r>
          </w:p>
        </w:tc>
        <w:tc>
          <w:tcPr>
            <w:tcW w:w="146" w:type="dxa"/>
          </w:tcPr>
          <w:p w:rsidR="00F0616E" w:rsidRPr="00DC3C69" w:rsidRDefault="00F0616E" w:rsidP="00EE76B1">
            <w:pPr>
              <w:jc w:val="right"/>
              <w:rPr>
                <w:rFonts w:ascii="Times New Roman" w:hAnsi="Times New Roman"/>
                <w:bCs/>
                <w:i/>
                <w:iCs/>
                <w:sz w:val="16"/>
                <w:szCs w:val="26"/>
              </w:rPr>
            </w:pPr>
          </w:p>
        </w:tc>
        <w:tc>
          <w:tcPr>
            <w:tcW w:w="4535" w:type="dxa"/>
            <w:tcBorders>
              <w:top w:val="single" w:sz="4" w:space="0" w:color="auto"/>
            </w:tcBorders>
          </w:tcPr>
          <w:p w:rsidR="00F0616E" w:rsidRPr="00DC3C69" w:rsidRDefault="00F0616E" w:rsidP="00EE76B1">
            <w:pPr>
              <w:jc w:val="right"/>
              <w:rPr>
                <w:rFonts w:ascii="Times New Roman" w:hAnsi="Times New Roman"/>
                <w:bCs/>
                <w:i/>
                <w:iCs/>
                <w:sz w:val="16"/>
                <w:szCs w:val="26"/>
              </w:rPr>
            </w:pPr>
            <w:r w:rsidRPr="00DC3C69">
              <w:rPr>
                <w:rFonts w:ascii="Times New Roman" w:hAnsi="Times New Roman"/>
                <w:bCs/>
                <w:i/>
                <w:iCs/>
                <w:sz w:val="16"/>
                <w:szCs w:val="26"/>
              </w:rPr>
              <w:t>Zdroj: ISCP, prepočty ÚHP</w:t>
            </w:r>
          </w:p>
        </w:tc>
      </w:tr>
    </w:tbl>
    <w:p w:rsidR="00F0616E" w:rsidRDefault="00F0616E"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Default="00EF1FFB" w:rsidP="00F0616E">
      <w:pPr>
        <w:spacing w:after="0"/>
        <w:rPr>
          <w:rFonts w:ascii="Times New Roman" w:hAnsi="Times New Roman"/>
          <w:b/>
          <w:color w:val="5B9BD5" w:themeColor="accent1"/>
          <w:sz w:val="24"/>
          <w:szCs w:val="24"/>
        </w:rPr>
      </w:pPr>
    </w:p>
    <w:p w:rsidR="00EF1FFB" w:rsidRPr="002C35FD" w:rsidRDefault="00EF1FFB" w:rsidP="00F0616E">
      <w:pPr>
        <w:spacing w:after="0"/>
        <w:rPr>
          <w:rFonts w:ascii="Times New Roman" w:hAnsi="Times New Roman"/>
          <w:b/>
          <w:color w:val="5B9BD5" w:themeColor="accent1"/>
          <w:sz w:val="24"/>
          <w:szCs w:val="24"/>
        </w:rPr>
      </w:pPr>
    </w:p>
    <w:p w:rsidR="00F0616E" w:rsidRPr="002C35FD" w:rsidRDefault="00F0616E" w:rsidP="00F0616E">
      <w:pPr>
        <w:spacing w:after="0"/>
        <w:rPr>
          <w:rFonts w:ascii="Times New Roman" w:hAnsi="Times New Roman"/>
          <w:b/>
          <w:color w:val="5B9BD5" w:themeColor="accent1"/>
          <w:sz w:val="24"/>
          <w:szCs w:val="24"/>
        </w:rPr>
      </w:pPr>
      <w:r w:rsidRPr="002C35FD">
        <w:rPr>
          <w:rFonts w:ascii="Times New Roman" w:hAnsi="Times New Roman"/>
          <w:b/>
          <w:color w:val="5B9BD5" w:themeColor="accent1"/>
          <w:sz w:val="24"/>
          <w:szCs w:val="24"/>
        </w:rPr>
        <w:t>Rozpočtovanie zamestnanosti v sektore verejnej správy</w:t>
      </w:r>
    </w:p>
    <w:p w:rsidR="00F0616E" w:rsidRPr="00013173" w:rsidRDefault="00F0616E" w:rsidP="00F0616E">
      <w:pPr>
        <w:spacing w:after="0"/>
        <w:jc w:val="both"/>
        <w:rPr>
          <w:rFonts w:ascii="Times New Roman" w:hAnsi="Times New Roman" w:cs="Times New Roman"/>
          <w:sz w:val="24"/>
          <w:szCs w:val="24"/>
          <w:highlight w:val="yellow"/>
        </w:rPr>
      </w:pPr>
    </w:p>
    <w:p w:rsidR="00F0616E" w:rsidRDefault="00F0616E" w:rsidP="00F0616E">
      <w:pPr>
        <w:spacing w:after="0"/>
        <w:jc w:val="both"/>
        <w:rPr>
          <w:rFonts w:ascii="Times New Roman" w:hAnsi="Times New Roman" w:cs="Times New Roman"/>
          <w:b/>
          <w:sz w:val="24"/>
          <w:szCs w:val="24"/>
        </w:rPr>
      </w:pPr>
      <w:r w:rsidRPr="00F875AE">
        <w:rPr>
          <w:rFonts w:ascii="Times New Roman" w:hAnsi="Times New Roman" w:cs="Times New Roman"/>
          <w:sz w:val="24"/>
          <w:szCs w:val="24"/>
        </w:rPr>
        <w:t xml:space="preserve">Návrh rozpočtu verejnej správy na rok 2022 </w:t>
      </w:r>
      <w:r>
        <w:rPr>
          <w:rFonts w:ascii="Times New Roman" w:hAnsi="Times New Roman" w:cs="Times New Roman"/>
          <w:sz w:val="24"/>
          <w:szCs w:val="24"/>
        </w:rPr>
        <w:t>je zostavený na predpoklade</w:t>
      </w:r>
      <w:r w:rsidRPr="00F875AE">
        <w:rPr>
          <w:rFonts w:ascii="Times New Roman" w:hAnsi="Times New Roman" w:cs="Times New Roman"/>
          <w:sz w:val="24"/>
          <w:szCs w:val="24"/>
        </w:rPr>
        <w:t xml:space="preserve">, že </w:t>
      </w:r>
      <w:r w:rsidRPr="00634385">
        <w:rPr>
          <w:rFonts w:ascii="Times New Roman" w:hAnsi="Times New Roman" w:cs="Times New Roman"/>
          <w:b/>
          <w:sz w:val="24"/>
          <w:szCs w:val="24"/>
        </w:rPr>
        <w:t>sektor verejnej</w:t>
      </w:r>
      <w:r w:rsidRPr="00F875AE">
        <w:rPr>
          <w:rFonts w:ascii="Times New Roman" w:hAnsi="Times New Roman" w:cs="Times New Roman"/>
          <w:sz w:val="24"/>
          <w:szCs w:val="24"/>
        </w:rPr>
        <w:t xml:space="preserve"> </w:t>
      </w:r>
      <w:r w:rsidRPr="00634385">
        <w:rPr>
          <w:rFonts w:ascii="Times New Roman" w:hAnsi="Times New Roman" w:cs="Times New Roman"/>
          <w:b/>
          <w:sz w:val="24"/>
          <w:szCs w:val="24"/>
        </w:rPr>
        <w:t>správy bude zamestnávať 429 010 osôb.</w:t>
      </w:r>
    </w:p>
    <w:p w:rsidR="00CA6DF0" w:rsidRDefault="00CA6DF0" w:rsidP="00F0616E">
      <w:pPr>
        <w:spacing w:after="0"/>
        <w:jc w:val="both"/>
        <w:rPr>
          <w:rFonts w:ascii="Times New Roman" w:hAnsi="Times New Roman" w:cs="Times New Roman"/>
          <w:b/>
          <w:i/>
          <w:sz w:val="24"/>
          <w:szCs w:val="24"/>
        </w:rPr>
      </w:pPr>
    </w:p>
    <w:p w:rsidR="00F0616E" w:rsidRPr="00DD2ED1" w:rsidRDefault="00F0616E" w:rsidP="00F0616E">
      <w:pPr>
        <w:pStyle w:val="Popis"/>
        <w:keepNext/>
        <w:spacing w:after="0"/>
        <w:rPr>
          <w:rFonts w:ascii="Times New Roman" w:hAnsi="Times New Roman" w:cs="Times New Roman"/>
          <w:b/>
          <w:i w:val="0"/>
          <w:color w:val="5B9BD5" w:themeColor="accent1"/>
          <w:sz w:val="20"/>
          <w:szCs w:val="20"/>
        </w:rPr>
      </w:pPr>
      <w:bookmarkStart w:id="145" w:name="_Toc84845272"/>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48</w:t>
      </w:r>
      <w:r w:rsidRPr="002C35FD">
        <w:rPr>
          <w:rFonts w:ascii="Times New Roman" w:hAnsi="Times New Roman" w:cs="Times New Roman"/>
          <w:b/>
          <w:i w:val="0"/>
          <w:color w:val="5B9BD5" w:themeColor="accent1"/>
          <w:sz w:val="20"/>
          <w:szCs w:val="20"/>
        </w:rPr>
        <w:fldChar w:fldCharType="end"/>
      </w:r>
      <w:r w:rsidRPr="002C35FD">
        <w:rPr>
          <w:rFonts w:ascii="Times New Roman" w:hAnsi="Times New Roman" w:cs="Times New Roman"/>
          <w:b/>
          <w:i w:val="0"/>
          <w:color w:val="5B9BD5" w:themeColor="accent1"/>
          <w:sz w:val="20"/>
          <w:szCs w:val="20"/>
        </w:rPr>
        <w:t xml:space="preserve"> - Zamestnanosť vo verejnej správe</w:t>
      </w:r>
      <w:bookmarkEnd w:id="145"/>
      <w:r w:rsidRPr="002C35FD">
        <w:rPr>
          <w:rFonts w:ascii="Times New Roman" w:hAnsi="Times New Roman" w:cs="Times New Roman"/>
          <w:b/>
          <w:i w:val="0"/>
          <w:color w:val="5B9BD5" w:themeColor="accent1"/>
          <w:sz w:val="20"/>
          <w:szCs w:val="20"/>
        </w:rPr>
        <w:t xml:space="preserve"> </w:t>
      </w:r>
    </w:p>
    <w:tbl>
      <w:tblPr>
        <w:tblW w:w="9040" w:type="dxa"/>
        <w:tblCellMar>
          <w:left w:w="70" w:type="dxa"/>
          <w:right w:w="70" w:type="dxa"/>
        </w:tblCellMar>
        <w:tblLook w:val="04A0" w:firstRow="1" w:lastRow="0" w:firstColumn="1" w:lastColumn="0" w:noHBand="0" w:noVBand="1"/>
      </w:tblPr>
      <w:tblGrid>
        <w:gridCol w:w="704"/>
        <w:gridCol w:w="3044"/>
        <w:gridCol w:w="756"/>
        <w:gridCol w:w="756"/>
        <w:gridCol w:w="756"/>
        <w:gridCol w:w="756"/>
        <w:gridCol w:w="756"/>
        <w:gridCol w:w="756"/>
        <w:gridCol w:w="756"/>
      </w:tblGrid>
      <w:tr w:rsidR="00F0616E" w:rsidRPr="004A0F22" w:rsidTr="00EE76B1">
        <w:trPr>
          <w:trHeight w:val="315"/>
        </w:trPr>
        <w:tc>
          <w:tcPr>
            <w:tcW w:w="3748" w:type="dxa"/>
            <w:gridSpan w:val="2"/>
            <w:tcBorders>
              <w:top w:val="single" w:sz="4" w:space="0" w:color="auto"/>
              <w:left w:val="nil"/>
              <w:bottom w:val="single" w:sz="4" w:space="0" w:color="auto"/>
              <w:right w:val="nil"/>
            </w:tcBorders>
            <w:shd w:val="clear" w:color="auto" w:fill="auto"/>
            <w:vAlign w:val="center"/>
            <w:hideMark/>
          </w:tcPr>
          <w:p w:rsidR="00F0616E" w:rsidRPr="004A0F22" w:rsidRDefault="00F0616E" w:rsidP="00EE76B1">
            <w:pPr>
              <w:spacing w:after="0" w:line="240" w:lineRule="auto"/>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Subjekty verejnej správy</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2019  S</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2020  S</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2021  R</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2021  OS</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2022  N</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2023  N</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2024  N</w:t>
            </w:r>
          </w:p>
        </w:tc>
      </w:tr>
      <w:tr w:rsidR="00F0616E" w:rsidRPr="004A0F22" w:rsidTr="00EE76B1">
        <w:trPr>
          <w:trHeight w:val="315"/>
        </w:trPr>
        <w:tc>
          <w:tcPr>
            <w:tcW w:w="3748" w:type="dxa"/>
            <w:gridSpan w:val="2"/>
            <w:tcBorders>
              <w:top w:val="single" w:sz="4" w:space="0" w:color="auto"/>
              <w:left w:val="nil"/>
              <w:bottom w:val="single" w:sz="4" w:space="0" w:color="auto"/>
              <w:right w:val="nil"/>
            </w:tcBorders>
            <w:shd w:val="clear" w:color="auto" w:fill="auto"/>
            <w:vAlign w:val="center"/>
            <w:hideMark/>
          </w:tcPr>
          <w:p w:rsidR="00F0616E" w:rsidRPr="004A0F22" w:rsidRDefault="00F0616E" w:rsidP="00EE76B1">
            <w:pPr>
              <w:spacing w:after="0" w:line="240" w:lineRule="auto"/>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SPOLU   (osoby)</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422 243</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426 993</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427 388</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426 551</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429 010</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427 919</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427 175</w:t>
            </w:r>
          </w:p>
        </w:tc>
      </w:tr>
      <w:tr w:rsidR="00F0616E" w:rsidRPr="004A0F22" w:rsidTr="00EE76B1">
        <w:trPr>
          <w:trHeight w:val="315"/>
        </w:trPr>
        <w:tc>
          <w:tcPr>
            <w:tcW w:w="3748" w:type="dxa"/>
            <w:gridSpan w:val="2"/>
            <w:tcBorders>
              <w:top w:val="single" w:sz="4" w:space="0" w:color="auto"/>
              <w:left w:val="nil"/>
              <w:bottom w:val="single" w:sz="4" w:space="0" w:color="auto"/>
              <w:right w:val="nil"/>
            </w:tcBorders>
            <w:shd w:val="clear" w:color="auto" w:fill="auto"/>
            <w:vAlign w:val="center"/>
            <w:hideMark/>
          </w:tcPr>
          <w:p w:rsidR="00F0616E" w:rsidRPr="004A0F22" w:rsidRDefault="00F0616E" w:rsidP="00EE76B1">
            <w:pPr>
              <w:spacing w:after="0" w:line="240" w:lineRule="auto"/>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A/  Ústredná správa spolu (bez SIS)</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220 834</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223 865</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223 844</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223 371</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225 553</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224 304</w:t>
            </w:r>
          </w:p>
        </w:tc>
        <w:tc>
          <w:tcPr>
            <w:tcW w:w="756" w:type="dxa"/>
            <w:tcBorders>
              <w:top w:val="single" w:sz="4" w:space="0" w:color="auto"/>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224 075</w:t>
            </w:r>
          </w:p>
        </w:tc>
      </w:tr>
      <w:tr w:rsidR="00F0616E" w:rsidRPr="004A0F22" w:rsidTr="00EE76B1">
        <w:trPr>
          <w:trHeight w:val="300"/>
        </w:trPr>
        <w:tc>
          <w:tcPr>
            <w:tcW w:w="70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z toho:</w:t>
            </w:r>
          </w:p>
        </w:tc>
        <w:tc>
          <w:tcPr>
            <w:tcW w:w="304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štátne rozpočtové organizácie</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124 214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125 574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125 716</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124 092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127 536</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127 042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126 603</w:t>
            </w:r>
          </w:p>
        </w:tc>
      </w:tr>
      <w:tr w:rsidR="00F0616E" w:rsidRPr="004A0F22" w:rsidTr="00EE76B1">
        <w:trPr>
          <w:trHeight w:val="300"/>
        </w:trPr>
        <w:tc>
          <w:tcPr>
            <w:tcW w:w="704" w:type="dxa"/>
            <w:tcBorders>
              <w:top w:val="nil"/>
              <w:left w:val="nil"/>
              <w:bottom w:val="nil"/>
              <w:right w:val="nil"/>
            </w:tcBorders>
            <w:shd w:val="clear" w:color="auto" w:fill="auto"/>
            <w:noWrap/>
            <w:vAlign w:val="bottom"/>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p>
        </w:tc>
        <w:tc>
          <w:tcPr>
            <w:tcW w:w="304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štátne príspevkové organizácie</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12 064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12 228</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11 412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12 291</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11 716</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11 729</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11 731</w:t>
            </w:r>
          </w:p>
        </w:tc>
      </w:tr>
      <w:tr w:rsidR="00F0616E" w:rsidRPr="004A0F22" w:rsidTr="00EE76B1">
        <w:trPr>
          <w:trHeight w:val="300"/>
        </w:trPr>
        <w:tc>
          <w:tcPr>
            <w:tcW w:w="704" w:type="dxa"/>
            <w:tcBorders>
              <w:top w:val="nil"/>
              <w:left w:val="nil"/>
              <w:bottom w:val="nil"/>
              <w:right w:val="nil"/>
            </w:tcBorders>
            <w:shd w:val="clear" w:color="auto" w:fill="auto"/>
            <w:noWrap/>
            <w:vAlign w:val="bottom"/>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p>
        </w:tc>
        <w:tc>
          <w:tcPr>
            <w:tcW w:w="304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štátne účelové fondy spolu</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142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149</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164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168</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172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174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176</w:t>
            </w:r>
          </w:p>
        </w:tc>
      </w:tr>
      <w:tr w:rsidR="00F0616E" w:rsidRPr="004A0F22" w:rsidTr="00EE76B1">
        <w:trPr>
          <w:trHeight w:val="300"/>
        </w:trPr>
        <w:tc>
          <w:tcPr>
            <w:tcW w:w="704" w:type="dxa"/>
            <w:tcBorders>
              <w:top w:val="nil"/>
              <w:left w:val="nil"/>
              <w:bottom w:val="nil"/>
              <w:right w:val="nil"/>
            </w:tcBorders>
            <w:shd w:val="clear" w:color="auto" w:fill="auto"/>
            <w:noWrap/>
            <w:vAlign w:val="bottom"/>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p>
        </w:tc>
        <w:tc>
          <w:tcPr>
            <w:tcW w:w="304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Slovenský pozemkový fond</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311</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305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315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315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315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315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315</w:t>
            </w:r>
          </w:p>
        </w:tc>
      </w:tr>
      <w:tr w:rsidR="00F0616E" w:rsidRPr="004A0F22" w:rsidTr="00EE76B1">
        <w:trPr>
          <w:trHeight w:val="300"/>
        </w:trPr>
        <w:tc>
          <w:tcPr>
            <w:tcW w:w="704" w:type="dxa"/>
            <w:tcBorders>
              <w:top w:val="nil"/>
              <w:left w:val="nil"/>
              <w:bottom w:val="nil"/>
              <w:right w:val="nil"/>
            </w:tcBorders>
            <w:shd w:val="clear" w:color="auto" w:fill="auto"/>
            <w:noWrap/>
            <w:vAlign w:val="bottom"/>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p>
        </w:tc>
        <w:tc>
          <w:tcPr>
            <w:tcW w:w="304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verejné vysoké školy</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20 409</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20 155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20 195</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19 858</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18 861</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17 526</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17 526</w:t>
            </w:r>
          </w:p>
        </w:tc>
      </w:tr>
      <w:tr w:rsidR="00F0616E" w:rsidRPr="004A0F22" w:rsidTr="00EE76B1">
        <w:trPr>
          <w:trHeight w:val="300"/>
        </w:trPr>
        <w:tc>
          <w:tcPr>
            <w:tcW w:w="704" w:type="dxa"/>
            <w:tcBorders>
              <w:top w:val="nil"/>
              <w:left w:val="nil"/>
              <w:bottom w:val="nil"/>
              <w:right w:val="nil"/>
            </w:tcBorders>
            <w:shd w:val="clear" w:color="auto" w:fill="auto"/>
            <w:noWrap/>
            <w:vAlign w:val="bottom"/>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p>
        </w:tc>
        <w:tc>
          <w:tcPr>
            <w:tcW w:w="3044"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ďalšie subjekty spolu</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63 694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65 454</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66 042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66 647</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66 953</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67 518</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4A0F22">
              <w:rPr>
                <w:rFonts w:ascii="Times New Roman" w:eastAsia="Times New Roman" w:hAnsi="Times New Roman" w:cs="Times New Roman"/>
                <w:color w:val="000000"/>
                <w:sz w:val="16"/>
                <w:szCs w:val="16"/>
                <w:lang w:eastAsia="sk-SK"/>
              </w:rPr>
              <w:t>67 724</w:t>
            </w:r>
          </w:p>
        </w:tc>
      </w:tr>
      <w:tr w:rsidR="00F0616E" w:rsidRPr="004A0F22" w:rsidTr="00EE76B1">
        <w:trPr>
          <w:trHeight w:val="300"/>
        </w:trPr>
        <w:tc>
          <w:tcPr>
            <w:tcW w:w="3748" w:type="dxa"/>
            <w:gridSpan w:val="2"/>
            <w:tcBorders>
              <w:top w:val="nil"/>
              <w:left w:val="nil"/>
              <w:bottom w:val="nil"/>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B/  Územná samospráva spolu</w:t>
            </w:r>
            <w:r w:rsidRPr="004A0F22">
              <w:rPr>
                <w:rFonts w:ascii="Times New Roman" w:eastAsia="Times New Roman" w:hAnsi="Times New Roman" w:cs="Times New Roman"/>
                <w:b/>
                <w:bCs/>
                <w:color w:val="000000"/>
                <w:sz w:val="14"/>
                <w:szCs w:val="14"/>
                <w:lang w:eastAsia="sk-SK"/>
              </w:rPr>
              <w:t xml:space="preserve"> </w:t>
            </w:r>
            <w:r w:rsidRPr="004A0F22">
              <w:rPr>
                <w:rFonts w:ascii="Times New Roman" w:eastAsia="Times New Roman" w:hAnsi="Times New Roman" w:cs="Times New Roman"/>
                <w:color w:val="000000"/>
                <w:sz w:val="14"/>
                <w:szCs w:val="14"/>
                <w:lang w:eastAsia="sk-SK"/>
              </w:rPr>
              <w:t>(vr. zdrav. zariadení a DP)</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193 988</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195 779</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196 116</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195 822</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196 199</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196 227</w:t>
            </w:r>
          </w:p>
        </w:tc>
        <w:tc>
          <w:tcPr>
            <w:tcW w:w="756" w:type="dxa"/>
            <w:tcBorders>
              <w:top w:val="nil"/>
              <w:left w:val="nil"/>
              <w:bottom w:val="nil"/>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195 862</w:t>
            </w:r>
          </w:p>
        </w:tc>
      </w:tr>
      <w:tr w:rsidR="00F0616E" w:rsidRPr="004A0F22" w:rsidTr="00EE76B1">
        <w:trPr>
          <w:trHeight w:val="300"/>
        </w:trPr>
        <w:tc>
          <w:tcPr>
            <w:tcW w:w="3748" w:type="dxa"/>
            <w:gridSpan w:val="2"/>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C/  Fondy sociálneho a zdravotného poistenia spolu</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7 421</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7 349</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7 428</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7 358</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7 258</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7 388</w:t>
            </w:r>
          </w:p>
        </w:tc>
        <w:tc>
          <w:tcPr>
            <w:tcW w:w="756" w:type="dxa"/>
            <w:tcBorders>
              <w:top w:val="nil"/>
              <w:left w:val="nil"/>
              <w:bottom w:val="single" w:sz="4" w:space="0" w:color="auto"/>
              <w:right w:val="nil"/>
            </w:tcBorders>
            <w:shd w:val="clear" w:color="auto" w:fill="auto"/>
            <w:noWrap/>
            <w:vAlign w:val="center"/>
            <w:hideMark/>
          </w:tcPr>
          <w:p w:rsidR="00F0616E" w:rsidRPr="004A0F22"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4A0F22">
              <w:rPr>
                <w:rFonts w:ascii="Times New Roman" w:eastAsia="Times New Roman" w:hAnsi="Times New Roman" w:cs="Times New Roman"/>
                <w:b/>
                <w:bCs/>
                <w:color w:val="000000"/>
                <w:sz w:val="16"/>
                <w:szCs w:val="16"/>
                <w:lang w:eastAsia="sk-SK"/>
              </w:rPr>
              <w:t>7 238</w:t>
            </w:r>
          </w:p>
        </w:tc>
      </w:tr>
      <w:tr w:rsidR="00F0616E" w:rsidRPr="00397C37" w:rsidTr="00EE76B1">
        <w:trPr>
          <w:trHeight w:val="450"/>
        </w:trPr>
        <w:tc>
          <w:tcPr>
            <w:tcW w:w="9040" w:type="dxa"/>
            <w:gridSpan w:val="9"/>
            <w:tcBorders>
              <w:top w:val="nil"/>
              <w:left w:val="nil"/>
              <w:bottom w:val="nil"/>
              <w:right w:val="nil"/>
            </w:tcBorders>
            <w:shd w:val="clear" w:color="auto" w:fill="auto"/>
            <w:hideMark/>
          </w:tcPr>
          <w:p w:rsidR="00F0616E" w:rsidRPr="00397C37" w:rsidRDefault="00F0616E" w:rsidP="00EE76B1">
            <w:pPr>
              <w:spacing w:after="0" w:line="240" w:lineRule="auto"/>
              <w:rPr>
                <w:rFonts w:ascii="Times New Roman" w:eastAsia="Times New Roman" w:hAnsi="Times New Roman" w:cs="Times New Roman"/>
                <w:color w:val="000000"/>
                <w:sz w:val="14"/>
                <w:szCs w:val="14"/>
                <w:lang w:eastAsia="sk-SK"/>
              </w:rPr>
            </w:pPr>
            <w:r w:rsidRPr="004A0F22">
              <w:rPr>
                <w:rFonts w:ascii="Times New Roman" w:eastAsia="Times New Roman" w:hAnsi="Times New Roman" w:cs="Times New Roman"/>
                <w:color w:val="000000"/>
                <w:sz w:val="14"/>
                <w:szCs w:val="14"/>
                <w:lang w:eastAsia="sk-SK"/>
              </w:rPr>
              <w:t>OS 2021 v prevažnej miere zohľadňuje  údaje zo štatistiky za 1. polrok 2021. NRVS 2022 až 2024 za územnú samosprávu vychádza z dosiahnutej skutočnosti za 1. polrok 2021.</w:t>
            </w:r>
            <w:r>
              <w:rPr>
                <w:rFonts w:ascii="Times New Roman" w:eastAsia="Times New Roman" w:hAnsi="Times New Roman" w:cs="Times New Roman"/>
                <w:color w:val="000000"/>
                <w:sz w:val="14"/>
                <w:szCs w:val="14"/>
                <w:lang w:eastAsia="sk-SK"/>
              </w:rPr>
              <w:t xml:space="preserve">  NRVS 2022 až 2024 je </w:t>
            </w:r>
            <w:r w:rsidRPr="00BF1DAD">
              <w:rPr>
                <w:rFonts w:ascii="Times New Roman" w:eastAsia="Times New Roman" w:hAnsi="Times New Roman" w:cs="Times New Roman"/>
                <w:color w:val="000000"/>
                <w:sz w:val="14"/>
                <w:szCs w:val="14"/>
                <w:lang w:eastAsia="sk-SK"/>
              </w:rPr>
              <w:t>vrátane Plánu obnovy a odolnosti SR.</w:t>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Pr>
                <w:rFonts w:ascii="Times New Roman" w:eastAsia="Times New Roman" w:hAnsi="Times New Roman" w:cs="Times New Roman"/>
                <w:color w:val="000000"/>
                <w:sz w:val="14"/>
                <w:szCs w:val="14"/>
                <w:lang w:eastAsia="sk-SK"/>
              </w:rPr>
              <w:br/>
              <w:t xml:space="preserve">                                                                                                                                                                                                                                       Zdroj: MF SR</w:t>
            </w:r>
          </w:p>
        </w:tc>
      </w:tr>
    </w:tbl>
    <w:p w:rsidR="00F0616E" w:rsidRDefault="00F0616E" w:rsidP="00F0616E">
      <w:pPr>
        <w:spacing w:after="0"/>
        <w:jc w:val="both"/>
        <w:rPr>
          <w:rFonts w:ascii="Times New Roman" w:hAnsi="Times New Roman" w:cs="Times New Roman"/>
          <w:b/>
          <w:i/>
          <w:sz w:val="24"/>
          <w:szCs w:val="24"/>
        </w:rPr>
      </w:pPr>
    </w:p>
    <w:p w:rsidR="00F0616E" w:rsidRDefault="00883492" w:rsidP="00F0616E">
      <w:pPr>
        <w:spacing w:after="0"/>
        <w:jc w:val="both"/>
        <w:rPr>
          <w:rFonts w:ascii="Times New Roman" w:hAnsi="Times New Roman" w:cs="Times New Roman"/>
          <w:sz w:val="24"/>
          <w:szCs w:val="24"/>
        </w:rPr>
      </w:pPr>
      <w:r>
        <w:rPr>
          <w:rFonts w:ascii="Times New Roman" w:hAnsi="Times New Roman" w:cs="Times New Roman"/>
          <w:sz w:val="24"/>
          <w:szCs w:val="24"/>
        </w:rPr>
        <w:t>Z</w:t>
      </w:r>
      <w:r w:rsidR="00F0616E">
        <w:rPr>
          <w:rFonts w:ascii="Times New Roman" w:hAnsi="Times New Roman" w:cs="Times New Roman"/>
          <w:sz w:val="24"/>
          <w:szCs w:val="24"/>
        </w:rPr>
        <w:t xml:space="preserve">amestnanosť </w:t>
      </w:r>
      <w:r>
        <w:rPr>
          <w:rFonts w:ascii="Times New Roman" w:hAnsi="Times New Roman" w:cs="Times New Roman"/>
          <w:sz w:val="24"/>
          <w:szCs w:val="24"/>
        </w:rPr>
        <w:t xml:space="preserve">v roku 2022 oproti roku 2021 </w:t>
      </w:r>
      <w:r w:rsidR="00F0616E" w:rsidRPr="00BF1DAD">
        <w:rPr>
          <w:rFonts w:ascii="Times New Roman" w:hAnsi="Times New Roman" w:cs="Times New Roman"/>
          <w:sz w:val="24"/>
          <w:szCs w:val="24"/>
        </w:rPr>
        <w:t xml:space="preserve">medziročne  </w:t>
      </w:r>
      <w:r w:rsidR="00F0616E">
        <w:rPr>
          <w:rFonts w:ascii="Times New Roman" w:hAnsi="Times New Roman" w:cs="Times New Roman"/>
          <w:sz w:val="24"/>
          <w:szCs w:val="24"/>
        </w:rPr>
        <w:t>rastie</w:t>
      </w:r>
      <w:r w:rsidR="00F0616E" w:rsidRPr="00BF1DAD">
        <w:rPr>
          <w:rFonts w:ascii="Times New Roman" w:hAnsi="Times New Roman" w:cs="Times New Roman"/>
          <w:sz w:val="24"/>
          <w:szCs w:val="24"/>
        </w:rPr>
        <w:t xml:space="preserve"> o</w:t>
      </w:r>
      <w:r w:rsidR="00F0616E">
        <w:rPr>
          <w:rFonts w:ascii="Times New Roman" w:hAnsi="Times New Roman" w:cs="Times New Roman"/>
          <w:sz w:val="24"/>
          <w:szCs w:val="24"/>
        </w:rPr>
        <w:t> </w:t>
      </w:r>
      <w:r w:rsidR="00F0616E" w:rsidRPr="00BF1DAD">
        <w:rPr>
          <w:rFonts w:ascii="Times New Roman" w:hAnsi="Times New Roman" w:cs="Times New Roman"/>
          <w:sz w:val="24"/>
          <w:szCs w:val="24"/>
        </w:rPr>
        <w:t>1</w:t>
      </w:r>
      <w:r w:rsidR="00F0616E">
        <w:rPr>
          <w:rFonts w:ascii="Times New Roman" w:hAnsi="Times New Roman" w:cs="Times New Roman"/>
          <w:sz w:val="24"/>
          <w:szCs w:val="24"/>
        </w:rPr>
        <w:t> </w:t>
      </w:r>
      <w:r w:rsidR="00F0616E" w:rsidRPr="00BF1DAD">
        <w:rPr>
          <w:rFonts w:ascii="Times New Roman" w:hAnsi="Times New Roman" w:cs="Times New Roman"/>
          <w:sz w:val="24"/>
          <w:szCs w:val="24"/>
        </w:rPr>
        <w:t>622 osôb,</w:t>
      </w:r>
      <w:r w:rsidR="00F0616E">
        <w:rPr>
          <w:rFonts w:ascii="Times New Roman" w:hAnsi="Times New Roman" w:cs="Times New Roman"/>
          <w:sz w:val="24"/>
          <w:szCs w:val="24"/>
        </w:rPr>
        <w:t xml:space="preserve"> z toho </w:t>
      </w:r>
      <w:r w:rsidR="00A34219">
        <w:rPr>
          <w:rFonts w:ascii="Times New Roman" w:hAnsi="Times New Roman" w:cs="Times New Roman"/>
          <w:b/>
          <w:sz w:val="24"/>
          <w:szCs w:val="24"/>
        </w:rPr>
        <w:t xml:space="preserve">z dôvodu </w:t>
      </w:r>
      <w:r w:rsidR="00F0616E" w:rsidRPr="00624925">
        <w:rPr>
          <w:rFonts w:ascii="Times New Roman" w:hAnsi="Times New Roman" w:cs="Times New Roman"/>
          <w:b/>
          <w:sz w:val="24"/>
          <w:szCs w:val="24"/>
        </w:rPr>
        <w:t>realizácie Plánu obnovy a odolnosti SR o 1 515 osôb.</w:t>
      </w:r>
      <w:r w:rsidR="00F0616E">
        <w:rPr>
          <w:rFonts w:ascii="Times New Roman" w:hAnsi="Times New Roman" w:cs="Times New Roman"/>
          <w:sz w:val="24"/>
          <w:szCs w:val="24"/>
        </w:rPr>
        <w:t xml:space="preserve"> </w:t>
      </w:r>
    </w:p>
    <w:p w:rsidR="00F0616E" w:rsidRDefault="00F0616E" w:rsidP="00F0616E">
      <w:pPr>
        <w:spacing w:after="0"/>
        <w:jc w:val="both"/>
        <w:rPr>
          <w:rFonts w:ascii="Times New Roman" w:hAnsi="Times New Roman" w:cs="Times New Roman"/>
          <w:sz w:val="24"/>
          <w:szCs w:val="24"/>
        </w:rPr>
      </w:pPr>
    </w:p>
    <w:p w:rsidR="00F0616E" w:rsidRPr="00DD2ED1" w:rsidRDefault="00F0616E" w:rsidP="004F568C">
      <w:pPr>
        <w:pStyle w:val="Popis"/>
        <w:spacing w:after="0"/>
        <w:rPr>
          <w:rFonts w:ascii="Times New Roman" w:hAnsi="Times New Roman" w:cs="Times New Roman"/>
          <w:b/>
          <w:i w:val="0"/>
          <w:color w:val="FF0000"/>
          <w:sz w:val="20"/>
          <w:szCs w:val="20"/>
        </w:rPr>
      </w:pPr>
      <w:bookmarkStart w:id="146" w:name="_Toc84848005"/>
      <w:r w:rsidRPr="00F0616E">
        <w:rPr>
          <w:rFonts w:ascii="Times New Roman" w:eastAsia="Calibri" w:hAnsi="Times New Roman"/>
          <w:b/>
          <w:i w:val="0"/>
          <w:color w:val="5B9BD5"/>
          <w:sz w:val="20"/>
        </w:rPr>
        <w:t xml:space="preserve">Graf </w:t>
      </w:r>
      <w:r w:rsidRPr="00F0616E">
        <w:rPr>
          <w:rFonts w:ascii="Times New Roman" w:eastAsia="Calibri" w:hAnsi="Times New Roman"/>
          <w:b/>
          <w:i w:val="0"/>
          <w:iCs w:val="0"/>
          <w:color w:val="5B9BD5"/>
          <w:sz w:val="20"/>
        </w:rPr>
        <w:fldChar w:fldCharType="begin"/>
      </w:r>
      <w:r w:rsidRPr="00F0616E">
        <w:rPr>
          <w:rFonts w:ascii="Times New Roman" w:eastAsia="Calibri" w:hAnsi="Times New Roman"/>
          <w:b/>
          <w:i w:val="0"/>
          <w:color w:val="5B9BD5"/>
          <w:sz w:val="20"/>
        </w:rPr>
        <w:instrText xml:space="preserve"> SEQ Obrázok \* ARABIC </w:instrText>
      </w:r>
      <w:r w:rsidRPr="00F0616E">
        <w:rPr>
          <w:rFonts w:ascii="Times New Roman" w:eastAsia="Calibri" w:hAnsi="Times New Roman"/>
          <w:b/>
          <w:i w:val="0"/>
          <w:iCs w:val="0"/>
          <w:color w:val="5B9BD5"/>
          <w:sz w:val="20"/>
        </w:rPr>
        <w:fldChar w:fldCharType="separate"/>
      </w:r>
      <w:r w:rsidR="006E67C6">
        <w:rPr>
          <w:rFonts w:ascii="Times New Roman" w:eastAsia="Calibri" w:hAnsi="Times New Roman"/>
          <w:b/>
          <w:i w:val="0"/>
          <w:noProof/>
          <w:color w:val="5B9BD5"/>
          <w:sz w:val="20"/>
        </w:rPr>
        <w:t>14</w:t>
      </w:r>
      <w:r w:rsidRPr="00F0616E">
        <w:rPr>
          <w:rFonts w:ascii="Times New Roman" w:eastAsia="Calibri" w:hAnsi="Times New Roman"/>
          <w:b/>
          <w:i w:val="0"/>
          <w:iCs w:val="0"/>
          <w:color w:val="5B9BD5"/>
          <w:sz w:val="20"/>
        </w:rPr>
        <w:fldChar w:fldCharType="end"/>
      </w:r>
      <w:r w:rsidR="00503FEF">
        <w:rPr>
          <w:rFonts w:ascii="Times New Roman" w:hAnsi="Times New Roman" w:cs="Times New Roman"/>
          <w:b/>
          <w:i w:val="0"/>
          <w:color w:val="5B9BD5" w:themeColor="accent1"/>
          <w:sz w:val="20"/>
          <w:szCs w:val="20"/>
        </w:rPr>
        <w:t xml:space="preserve"> -</w:t>
      </w:r>
      <w:r w:rsidRPr="002C35FD">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Počet zamestnancov na realizáciu Plánu obnovy a odolnosti SR</w:t>
      </w:r>
      <w:bookmarkEnd w:id="146"/>
      <w:r>
        <w:rPr>
          <w:rFonts w:ascii="Times New Roman" w:hAnsi="Times New Roman" w:cs="Times New Roman"/>
          <w:b/>
          <w:i w:val="0"/>
          <w:color w:val="5B9BD5" w:themeColor="accent1"/>
          <w:sz w:val="20"/>
          <w:szCs w:val="20"/>
        </w:rPr>
        <w:t xml:space="preserve"> </w:t>
      </w:r>
      <w:r w:rsidRPr="002C35FD">
        <w:rPr>
          <w:rFonts w:ascii="Times New Roman" w:hAnsi="Times New Roman" w:cs="Times New Roman"/>
          <w:b/>
          <w:i w:val="0"/>
          <w:color w:val="FF0000"/>
          <w:sz w:val="20"/>
          <w:szCs w:val="20"/>
        </w:rPr>
        <w:t xml:space="preserve"> </w:t>
      </w:r>
    </w:p>
    <w:p w:rsidR="00F0616E" w:rsidRDefault="00F0616E" w:rsidP="00F0616E">
      <w:pPr>
        <w:spacing w:after="0"/>
        <w:jc w:val="both"/>
        <w:rPr>
          <w:rFonts w:ascii="Times New Roman" w:hAnsi="Times New Roman" w:cs="Times New Roman"/>
          <w:sz w:val="24"/>
          <w:szCs w:val="24"/>
        </w:rPr>
      </w:pPr>
      <w:r>
        <w:rPr>
          <w:noProof/>
          <w:lang w:eastAsia="sk-SK"/>
        </w:rPr>
        <w:drawing>
          <wp:inline distT="0" distB="0" distL="0" distR="0" wp14:anchorId="161D6710" wp14:editId="010782A5">
            <wp:extent cx="5705475" cy="3242945"/>
            <wp:effectExtent l="0" t="0" r="9525" b="1460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616E" w:rsidRPr="008F6A57" w:rsidRDefault="00F0616E" w:rsidP="00F0616E">
      <w:pPr>
        <w:spacing w:after="0"/>
        <w:jc w:val="both"/>
        <w:rPr>
          <w:rFonts w:ascii="Times New Roman" w:eastAsia="Times New Roman" w:hAnsi="Times New Roman" w:cs="Times New Roman"/>
          <w:color w:val="000000"/>
          <w:sz w:val="16"/>
          <w:szCs w:val="16"/>
          <w:lang w:eastAsia="sk-SK"/>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6A57">
        <w:rPr>
          <w:rFonts w:ascii="Times New Roman" w:eastAsia="Times New Roman" w:hAnsi="Times New Roman" w:cs="Times New Roman"/>
          <w:color w:val="000000"/>
          <w:sz w:val="16"/>
          <w:szCs w:val="16"/>
          <w:lang w:eastAsia="sk-SK"/>
        </w:rPr>
        <w:t>Zdroj: MF SR</w:t>
      </w: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 xml:space="preserve">V ústrednej správe dochádza k nárastu </w:t>
      </w:r>
      <w:r w:rsidRPr="00BF1DAD">
        <w:rPr>
          <w:rFonts w:ascii="Times New Roman" w:hAnsi="Times New Roman" w:cs="Times New Roman"/>
          <w:sz w:val="24"/>
          <w:szCs w:val="24"/>
        </w:rPr>
        <w:t>zamestnanosti o</w:t>
      </w:r>
      <w:r>
        <w:rPr>
          <w:rFonts w:ascii="Times New Roman" w:hAnsi="Times New Roman" w:cs="Times New Roman"/>
          <w:sz w:val="24"/>
          <w:szCs w:val="24"/>
        </w:rPr>
        <w:t> </w:t>
      </w:r>
      <w:r w:rsidRPr="00BF1DAD">
        <w:rPr>
          <w:rFonts w:ascii="Times New Roman" w:hAnsi="Times New Roman" w:cs="Times New Roman"/>
          <w:sz w:val="24"/>
          <w:szCs w:val="24"/>
        </w:rPr>
        <w:t>1</w:t>
      </w:r>
      <w:r>
        <w:rPr>
          <w:rFonts w:ascii="Times New Roman" w:hAnsi="Times New Roman" w:cs="Times New Roman"/>
          <w:sz w:val="24"/>
          <w:szCs w:val="24"/>
        </w:rPr>
        <w:t> </w:t>
      </w:r>
      <w:r w:rsidRPr="00BF1DAD">
        <w:rPr>
          <w:rFonts w:ascii="Times New Roman" w:hAnsi="Times New Roman" w:cs="Times New Roman"/>
          <w:sz w:val="24"/>
          <w:szCs w:val="24"/>
        </w:rPr>
        <w:t>709 osôb. K najvyššiemu nárastu dochádza v štátnych rozpočtových organizáciách, a to o</w:t>
      </w:r>
      <w:r>
        <w:rPr>
          <w:rFonts w:ascii="Times New Roman" w:hAnsi="Times New Roman" w:cs="Times New Roman"/>
          <w:sz w:val="24"/>
          <w:szCs w:val="24"/>
        </w:rPr>
        <w:t> </w:t>
      </w:r>
      <w:r w:rsidRPr="00BF1DAD">
        <w:rPr>
          <w:rFonts w:ascii="Times New Roman" w:hAnsi="Times New Roman" w:cs="Times New Roman"/>
          <w:sz w:val="24"/>
          <w:szCs w:val="24"/>
        </w:rPr>
        <w:t>1</w:t>
      </w:r>
      <w:r>
        <w:rPr>
          <w:rFonts w:ascii="Times New Roman" w:hAnsi="Times New Roman" w:cs="Times New Roman"/>
          <w:sz w:val="24"/>
          <w:szCs w:val="24"/>
        </w:rPr>
        <w:t> </w:t>
      </w:r>
      <w:r w:rsidRPr="00BF1DAD">
        <w:rPr>
          <w:rFonts w:ascii="Times New Roman" w:hAnsi="Times New Roman" w:cs="Times New Roman"/>
          <w:sz w:val="24"/>
          <w:szCs w:val="24"/>
        </w:rPr>
        <w:t>820 osôb</w:t>
      </w:r>
      <w:r>
        <w:rPr>
          <w:rFonts w:ascii="Times New Roman" w:hAnsi="Times New Roman" w:cs="Times New Roman"/>
          <w:sz w:val="24"/>
          <w:szCs w:val="24"/>
        </w:rPr>
        <w:t>. V</w:t>
      </w:r>
      <w:r w:rsidRPr="00BF1DAD">
        <w:rPr>
          <w:rFonts w:ascii="Times New Roman" w:hAnsi="Times New Roman" w:cs="Times New Roman"/>
          <w:sz w:val="24"/>
          <w:szCs w:val="24"/>
        </w:rPr>
        <w:t xml:space="preserve"> súhrne výrazne rastie aj počet zamestnancov v</w:t>
      </w:r>
      <w:r>
        <w:rPr>
          <w:rFonts w:ascii="Times New Roman" w:hAnsi="Times New Roman" w:cs="Times New Roman"/>
          <w:sz w:val="24"/>
          <w:szCs w:val="24"/>
        </w:rPr>
        <w:t xml:space="preserve"> ďalších </w:t>
      </w:r>
      <w:r w:rsidRPr="00BF1DAD">
        <w:rPr>
          <w:rFonts w:ascii="Times New Roman" w:hAnsi="Times New Roman" w:cs="Times New Roman"/>
          <w:sz w:val="24"/>
          <w:szCs w:val="24"/>
        </w:rPr>
        <w:t>subjektoch verejnej správy, celkom o 911 osôb. V</w:t>
      </w:r>
      <w:r>
        <w:rPr>
          <w:rFonts w:ascii="Times New Roman" w:hAnsi="Times New Roman" w:cs="Times New Roman"/>
          <w:sz w:val="24"/>
          <w:szCs w:val="24"/>
        </w:rPr>
        <w:t xml:space="preserve"> štátnych </w:t>
      </w:r>
      <w:r w:rsidRPr="00BF1DAD">
        <w:rPr>
          <w:rFonts w:ascii="Times New Roman" w:hAnsi="Times New Roman" w:cs="Times New Roman"/>
          <w:sz w:val="24"/>
          <w:szCs w:val="24"/>
        </w:rPr>
        <w:t>príspevkových organizáciách sa očakáva nárast počtu zamestnancov o 304 osôb a v štátnych účelových fondoch o 8 osôb. Vo fondoch sociálneho a zdravotného poistenia sa predpokladá pokles počtu zamestnancov o 170 osôb</w:t>
      </w:r>
      <w:r>
        <w:rPr>
          <w:rFonts w:ascii="Times New Roman" w:hAnsi="Times New Roman" w:cs="Times New Roman"/>
          <w:sz w:val="24"/>
          <w:szCs w:val="24"/>
        </w:rPr>
        <w:t>. V</w:t>
      </w:r>
      <w:r w:rsidRPr="00BF1DAD">
        <w:rPr>
          <w:rFonts w:ascii="Times New Roman" w:hAnsi="Times New Roman" w:cs="Times New Roman"/>
          <w:sz w:val="24"/>
          <w:szCs w:val="24"/>
        </w:rPr>
        <w:t> územnej samospráve</w:t>
      </w:r>
      <w:r>
        <w:rPr>
          <w:rFonts w:ascii="Times New Roman" w:hAnsi="Times New Roman" w:cs="Times New Roman"/>
          <w:sz w:val="24"/>
          <w:szCs w:val="24"/>
        </w:rPr>
        <w:t xml:space="preserve"> sa po zohľadnení zvýšenia o 390 pedagogických a odborných zamestnancov regionálneho školstva súvisiaceho s realizáciou Plánu obnovy a odolnosti SR a po zohľadnení d</w:t>
      </w:r>
      <w:r w:rsidRPr="00BF1DAD">
        <w:rPr>
          <w:rFonts w:ascii="Times New Roman" w:hAnsi="Times New Roman" w:cs="Times New Roman"/>
          <w:sz w:val="24"/>
          <w:szCs w:val="24"/>
        </w:rPr>
        <w:t>osiahnut</w:t>
      </w:r>
      <w:r>
        <w:rPr>
          <w:rFonts w:ascii="Times New Roman" w:hAnsi="Times New Roman" w:cs="Times New Roman"/>
          <w:sz w:val="24"/>
          <w:szCs w:val="24"/>
        </w:rPr>
        <w:t>ej</w:t>
      </w:r>
      <w:r w:rsidRPr="00BF1DAD">
        <w:rPr>
          <w:rFonts w:ascii="Times New Roman" w:hAnsi="Times New Roman" w:cs="Times New Roman"/>
          <w:sz w:val="24"/>
          <w:szCs w:val="24"/>
        </w:rPr>
        <w:t xml:space="preserve"> skutočnos</w:t>
      </w:r>
      <w:r>
        <w:rPr>
          <w:rFonts w:ascii="Times New Roman" w:hAnsi="Times New Roman" w:cs="Times New Roman"/>
          <w:sz w:val="24"/>
          <w:szCs w:val="24"/>
        </w:rPr>
        <w:t>ti  za </w:t>
      </w:r>
      <w:r w:rsidRPr="00BF1DAD">
        <w:rPr>
          <w:rFonts w:ascii="Times New Roman" w:hAnsi="Times New Roman" w:cs="Times New Roman"/>
          <w:sz w:val="24"/>
          <w:szCs w:val="24"/>
        </w:rPr>
        <w:t>1</w:t>
      </w:r>
      <w:r>
        <w:rPr>
          <w:rFonts w:ascii="Times New Roman" w:hAnsi="Times New Roman" w:cs="Times New Roman"/>
          <w:sz w:val="24"/>
          <w:szCs w:val="24"/>
        </w:rPr>
        <w:t>. </w:t>
      </w:r>
      <w:r w:rsidRPr="00BF1DAD">
        <w:rPr>
          <w:rFonts w:ascii="Times New Roman" w:hAnsi="Times New Roman" w:cs="Times New Roman"/>
          <w:sz w:val="24"/>
          <w:szCs w:val="24"/>
        </w:rPr>
        <w:t>polrok 2021</w:t>
      </w:r>
      <w:r>
        <w:rPr>
          <w:rFonts w:ascii="Times New Roman" w:hAnsi="Times New Roman" w:cs="Times New Roman"/>
          <w:sz w:val="24"/>
          <w:szCs w:val="24"/>
        </w:rPr>
        <w:t xml:space="preserve"> </w:t>
      </w:r>
      <w:r w:rsidRPr="00BF1DAD">
        <w:rPr>
          <w:rFonts w:ascii="Times New Roman" w:hAnsi="Times New Roman" w:cs="Times New Roman"/>
          <w:sz w:val="24"/>
          <w:szCs w:val="24"/>
        </w:rPr>
        <w:t xml:space="preserve"> predpokladá nárast zamestnanosti </w:t>
      </w:r>
      <w:r>
        <w:rPr>
          <w:rFonts w:ascii="Times New Roman" w:hAnsi="Times New Roman" w:cs="Times New Roman"/>
          <w:sz w:val="24"/>
          <w:szCs w:val="24"/>
        </w:rPr>
        <w:t xml:space="preserve">v súhrne </w:t>
      </w:r>
      <w:r w:rsidRPr="00BF1DAD">
        <w:rPr>
          <w:rFonts w:ascii="Times New Roman" w:hAnsi="Times New Roman" w:cs="Times New Roman"/>
          <w:sz w:val="24"/>
          <w:szCs w:val="24"/>
        </w:rPr>
        <w:t>o 83 osôb.</w:t>
      </w:r>
      <w:r w:rsidRPr="00F875AE">
        <w:rPr>
          <w:rFonts w:ascii="Times New Roman" w:hAnsi="Times New Roman" w:cs="Times New Roman"/>
          <w:sz w:val="24"/>
          <w:szCs w:val="24"/>
        </w:rPr>
        <w:t xml:space="preserve"> </w:t>
      </w:r>
    </w:p>
    <w:p w:rsidR="00F0616E" w:rsidRDefault="00F0616E" w:rsidP="00F0616E">
      <w:pPr>
        <w:spacing w:after="0"/>
        <w:jc w:val="both"/>
        <w:rPr>
          <w:rFonts w:ascii="Times New Roman" w:hAnsi="Times New Roman" w:cs="Times New Roman"/>
          <w:color w:val="FF0000"/>
          <w:sz w:val="24"/>
          <w:szCs w:val="24"/>
        </w:rPr>
      </w:pPr>
    </w:p>
    <w:p w:rsidR="00F0616E" w:rsidRPr="00F875AE" w:rsidRDefault="00F0616E" w:rsidP="00F0616E">
      <w:pPr>
        <w:spacing w:after="0"/>
        <w:jc w:val="both"/>
        <w:rPr>
          <w:rFonts w:ascii="Times New Roman" w:hAnsi="Times New Roman" w:cs="Times New Roman"/>
          <w:sz w:val="24"/>
          <w:szCs w:val="24"/>
        </w:rPr>
      </w:pPr>
      <w:r w:rsidRPr="00F043A9">
        <w:rPr>
          <w:rFonts w:ascii="Times New Roman" w:hAnsi="Times New Roman"/>
          <w:sz w:val="24"/>
          <w:szCs w:val="24"/>
        </w:rPr>
        <w:t>K nárastu počtu zamestnancov ústrednej správy dochádza najmä z dôvodu zabezpečenia Plánu obnovy a</w:t>
      </w:r>
      <w:r>
        <w:rPr>
          <w:rFonts w:ascii="Times New Roman" w:hAnsi="Times New Roman"/>
          <w:sz w:val="24"/>
          <w:szCs w:val="24"/>
        </w:rPr>
        <w:t> </w:t>
      </w:r>
      <w:r w:rsidRPr="00BF1DAD">
        <w:rPr>
          <w:rFonts w:ascii="Times New Roman" w:hAnsi="Times New Roman"/>
          <w:sz w:val="24"/>
          <w:szCs w:val="24"/>
        </w:rPr>
        <w:t>odolnosti SR, na realizáciu</w:t>
      </w:r>
      <w:r w:rsidRPr="00F043A9">
        <w:rPr>
          <w:rFonts w:ascii="Times New Roman" w:hAnsi="Times New Roman"/>
          <w:sz w:val="24"/>
          <w:szCs w:val="24"/>
        </w:rPr>
        <w:t xml:space="preserve"> ktorého je </w:t>
      </w:r>
      <w:r w:rsidRPr="00BF1DAD">
        <w:rPr>
          <w:rFonts w:ascii="Times New Roman" w:hAnsi="Times New Roman"/>
          <w:sz w:val="24"/>
          <w:szCs w:val="24"/>
        </w:rPr>
        <w:t>vytvorených 1</w:t>
      </w:r>
      <w:r>
        <w:rPr>
          <w:rFonts w:ascii="Times New Roman" w:hAnsi="Times New Roman"/>
          <w:sz w:val="24"/>
          <w:szCs w:val="24"/>
        </w:rPr>
        <w:t> 125</w:t>
      </w:r>
      <w:r w:rsidRPr="00BF1DAD">
        <w:rPr>
          <w:rFonts w:ascii="Times New Roman" w:hAnsi="Times New Roman"/>
          <w:sz w:val="24"/>
          <w:szCs w:val="24"/>
        </w:rPr>
        <w:t xml:space="preserve"> miest.</w:t>
      </w:r>
      <w:r w:rsidRPr="00F043A9">
        <w:rPr>
          <w:rFonts w:ascii="Times New Roman" w:hAnsi="Times New Roman"/>
          <w:sz w:val="24"/>
          <w:szCs w:val="24"/>
        </w:rPr>
        <w:t xml:space="preserve"> Súčasne v rámci ústrednej správy klesá</w:t>
      </w:r>
      <w:r>
        <w:rPr>
          <w:rFonts w:ascii="Times New Roman" w:hAnsi="Times New Roman"/>
          <w:sz w:val="24"/>
          <w:szCs w:val="24"/>
        </w:rPr>
        <w:t xml:space="preserve"> </w:t>
      </w:r>
      <w:r w:rsidRPr="00F875AE">
        <w:rPr>
          <w:rFonts w:ascii="Times New Roman" w:hAnsi="Times New Roman" w:cs="Times New Roman"/>
          <w:sz w:val="24"/>
          <w:szCs w:val="24"/>
        </w:rPr>
        <w:t xml:space="preserve">počet zamestnancov </w:t>
      </w:r>
      <w:r>
        <w:rPr>
          <w:rFonts w:ascii="Times New Roman" w:hAnsi="Times New Roman" w:cs="Times New Roman"/>
          <w:sz w:val="24"/>
          <w:szCs w:val="24"/>
        </w:rPr>
        <w:t xml:space="preserve">verejných vysokých škôl, a to </w:t>
      </w:r>
      <w:r w:rsidRPr="00F875AE">
        <w:rPr>
          <w:rFonts w:ascii="Times New Roman" w:hAnsi="Times New Roman" w:cs="Times New Roman"/>
          <w:sz w:val="24"/>
          <w:szCs w:val="24"/>
        </w:rPr>
        <w:t>o</w:t>
      </w:r>
      <w:r>
        <w:rPr>
          <w:rFonts w:ascii="Times New Roman" w:hAnsi="Times New Roman" w:cs="Times New Roman"/>
          <w:sz w:val="24"/>
          <w:szCs w:val="24"/>
        </w:rPr>
        <w:t> </w:t>
      </w:r>
      <w:r w:rsidRPr="00F875AE">
        <w:rPr>
          <w:rFonts w:ascii="Times New Roman" w:hAnsi="Times New Roman" w:cs="Times New Roman"/>
          <w:sz w:val="24"/>
          <w:szCs w:val="24"/>
        </w:rPr>
        <w:t>1</w:t>
      </w:r>
      <w:r>
        <w:rPr>
          <w:rFonts w:ascii="Times New Roman" w:hAnsi="Times New Roman" w:cs="Times New Roman"/>
          <w:sz w:val="24"/>
          <w:szCs w:val="24"/>
        </w:rPr>
        <w:t> </w:t>
      </w:r>
      <w:r w:rsidRPr="00F875AE">
        <w:rPr>
          <w:rFonts w:ascii="Times New Roman" w:hAnsi="Times New Roman" w:cs="Times New Roman"/>
          <w:sz w:val="24"/>
          <w:szCs w:val="24"/>
        </w:rPr>
        <w:t>334</w:t>
      </w:r>
      <w:r>
        <w:rPr>
          <w:rFonts w:ascii="Times New Roman" w:hAnsi="Times New Roman" w:cs="Times New Roman"/>
          <w:sz w:val="24"/>
          <w:szCs w:val="24"/>
        </w:rPr>
        <w:t> </w:t>
      </w:r>
      <w:r w:rsidRPr="00F875AE">
        <w:rPr>
          <w:rFonts w:ascii="Times New Roman" w:hAnsi="Times New Roman" w:cs="Times New Roman"/>
          <w:sz w:val="24"/>
          <w:szCs w:val="24"/>
        </w:rPr>
        <w:t xml:space="preserve">osôb. Zníženie zohľadňuje optimalizáciu počtu nepedagogických zamestnancov verejných vysokých </w:t>
      </w:r>
      <w:r w:rsidRPr="00F043A9">
        <w:rPr>
          <w:rFonts w:ascii="Times New Roman" w:hAnsi="Times New Roman" w:cs="Times New Roman"/>
          <w:sz w:val="24"/>
          <w:szCs w:val="24"/>
        </w:rPr>
        <w:t>škôl a zníženie počtu učiteľov n</w:t>
      </w:r>
      <w:r w:rsidR="00B932F5">
        <w:rPr>
          <w:rFonts w:ascii="Times New Roman" w:hAnsi="Times New Roman" w:cs="Times New Roman"/>
          <w:sz w:val="24"/>
          <w:szCs w:val="24"/>
        </w:rPr>
        <w:t>a verejných vysokých školách na</w:t>
      </w:r>
      <w:r w:rsidR="00A34219">
        <w:rPr>
          <w:rFonts w:ascii="Times New Roman" w:hAnsi="Times New Roman" w:cs="Times New Roman"/>
          <w:sz w:val="24"/>
          <w:szCs w:val="24"/>
        </w:rPr>
        <w:t xml:space="preserve"> rok 2022 vyplývajúce</w:t>
      </w:r>
      <w:r w:rsidRPr="00F043A9">
        <w:rPr>
          <w:rFonts w:ascii="Times New Roman" w:hAnsi="Times New Roman" w:cs="Times New Roman"/>
          <w:sz w:val="24"/>
          <w:szCs w:val="24"/>
        </w:rPr>
        <w:t xml:space="preserve"> z Revízie výdavkov zamestnanosti a odmeňovania vo verejnej správe, ktorú vláda SR</w:t>
      </w:r>
      <w:r w:rsidRPr="00F875AE">
        <w:rPr>
          <w:rFonts w:ascii="Times New Roman" w:hAnsi="Times New Roman" w:cs="Times New Roman"/>
          <w:sz w:val="24"/>
          <w:szCs w:val="24"/>
        </w:rPr>
        <w:t xml:space="preserve"> schválila v roku 2020. </w:t>
      </w:r>
    </w:p>
    <w:p w:rsidR="00F0616E" w:rsidRPr="00F875AE" w:rsidRDefault="00F0616E" w:rsidP="00F0616E">
      <w:pPr>
        <w:spacing w:after="0"/>
        <w:jc w:val="both"/>
        <w:rPr>
          <w:rFonts w:ascii="Times New Roman" w:hAnsi="Times New Roman" w:cs="Times New Roman"/>
          <w:color w:val="FF0000"/>
          <w:sz w:val="24"/>
          <w:szCs w:val="24"/>
          <w:highlight w:val="yellow"/>
        </w:rPr>
      </w:pPr>
    </w:p>
    <w:p w:rsidR="00F0616E" w:rsidRPr="00F043A9" w:rsidRDefault="00F0616E" w:rsidP="00F0616E">
      <w:pPr>
        <w:spacing w:after="0"/>
        <w:jc w:val="both"/>
        <w:rPr>
          <w:rFonts w:ascii="Times New Roman" w:hAnsi="Times New Roman"/>
          <w:sz w:val="24"/>
          <w:szCs w:val="24"/>
        </w:rPr>
      </w:pPr>
      <w:r w:rsidRPr="00F043A9">
        <w:rPr>
          <w:rFonts w:ascii="Times New Roman" w:hAnsi="Times New Roman"/>
          <w:sz w:val="24"/>
          <w:szCs w:val="24"/>
        </w:rPr>
        <w:t>Realizácia Plánu obnovy a </w:t>
      </w:r>
      <w:r w:rsidRPr="00BF1DAD">
        <w:rPr>
          <w:rFonts w:ascii="Times New Roman" w:hAnsi="Times New Roman"/>
          <w:sz w:val="24"/>
          <w:szCs w:val="24"/>
        </w:rPr>
        <w:t>odolnosti SR má výrazný</w:t>
      </w:r>
      <w:r w:rsidRPr="00F043A9">
        <w:rPr>
          <w:rFonts w:ascii="Times New Roman" w:hAnsi="Times New Roman"/>
          <w:sz w:val="24"/>
          <w:szCs w:val="24"/>
        </w:rPr>
        <w:t xml:space="preserve"> vplyv aj na medziročné zvýšenie počtu zamestnancov rozpočtových organizácií vybraných kapitol štátneho rozpočtu, v ktorých zohľadňuje dočasné zvýšenie počtu zamestnancov súhrnne o 876 osôb, z toho pre aparáty ústredných orgánov o 750 osôb. V rámci zvýšenia je </w:t>
      </w:r>
      <w:r>
        <w:rPr>
          <w:rFonts w:ascii="Times New Roman" w:hAnsi="Times New Roman"/>
          <w:sz w:val="24"/>
          <w:szCs w:val="24"/>
        </w:rPr>
        <w:t>536</w:t>
      </w:r>
      <w:r w:rsidRPr="00F043A9">
        <w:rPr>
          <w:rFonts w:ascii="Times New Roman" w:hAnsi="Times New Roman"/>
          <w:sz w:val="24"/>
          <w:szCs w:val="24"/>
        </w:rPr>
        <w:t xml:space="preserve"> miest určených na činnosť implementačných jednotiek a </w:t>
      </w:r>
      <w:r>
        <w:rPr>
          <w:rFonts w:ascii="Times New Roman" w:hAnsi="Times New Roman"/>
          <w:sz w:val="24"/>
          <w:szCs w:val="24"/>
        </w:rPr>
        <w:t>340</w:t>
      </w:r>
      <w:r w:rsidRPr="00F043A9">
        <w:rPr>
          <w:rFonts w:ascii="Times New Roman" w:hAnsi="Times New Roman"/>
          <w:sz w:val="24"/>
          <w:szCs w:val="24"/>
        </w:rPr>
        <w:t xml:space="preserve"> miest priamo súvisí s implementáciou investícií a reforiem. Dočasné zvýšenie počtu zamestnancov na uvedený účel bude medziročne aktualizované </w:t>
      </w:r>
      <w:r>
        <w:rPr>
          <w:rFonts w:ascii="Times New Roman" w:hAnsi="Times New Roman"/>
          <w:sz w:val="24"/>
          <w:szCs w:val="24"/>
        </w:rPr>
        <w:br/>
      </w:r>
      <w:r w:rsidRPr="00F043A9">
        <w:rPr>
          <w:rFonts w:ascii="Times New Roman" w:hAnsi="Times New Roman"/>
          <w:sz w:val="24"/>
          <w:szCs w:val="24"/>
        </w:rPr>
        <w:t>a</w:t>
      </w:r>
      <w:r>
        <w:rPr>
          <w:rFonts w:ascii="Times New Roman" w:hAnsi="Times New Roman"/>
          <w:sz w:val="24"/>
          <w:szCs w:val="24"/>
        </w:rPr>
        <w:t> </w:t>
      </w:r>
      <w:r w:rsidRPr="00F043A9">
        <w:rPr>
          <w:rFonts w:ascii="Times New Roman" w:hAnsi="Times New Roman"/>
          <w:sz w:val="24"/>
          <w:szCs w:val="24"/>
        </w:rPr>
        <w:t xml:space="preserve">v dotknutých kapitolách štátneho rozpočtu sa predpokladá jeho realizácia najdlhšie </w:t>
      </w:r>
      <w:r>
        <w:rPr>
          <w:rFonts w:ascii="Times New Roman" w:hAnsi="Times New Roman"/>
          <w:sz w:val="24"/>
          <w:szCs w:val="24"/>
        </w:rPr>
        <w:br/>
      </w:r>
      <w:r w:rsidRPr="00F043A9">
        <w:rPr>
          <w:rFonts w:ascii="Times New Roman" w:hAnsi="Times New Roman"/>
          <w:sz w:val="24"/>
          <w:szCs w:val="24"/>
        </w:rPr>
        <w:t>do 31.</w:t>
      </w:r>
      <w:r>
        <w:rPr>
          <w:rFonts w:ascii="Times New Roman" w:hAnsi="Times New Roman"/>
          <w:sz w:val="24"/>
          <w:szCs w:val="24"/>
        </w:rPr>
        <w:t> </w:t>
      </w:r>
      <w:r w:rsidRPr="00F043A9">
        <w:rPr>
          <w:rFonts w:ascii="Times New Roman" w:hAnsi="Times New Roman"/>
          <w:sz w:val="24"/>
          <w:szCs w:val="24"/>
        </w:rPr>
        <w:t>12.</w:t>
      </w:r>
      <w:r>
        <w:rPr>
          <w:rFonts w:ascii="Times New Roman" w:hAnsi="Times New Roman"/>
          <w:sz w:val="24"/>
          <w:szCs w:val="24"/>
        </w:rPr>
        <w:t> </w:t>
      </w:r>
      <w:r w:rsidRPr="00F043A9">
        <w:rPr>
          <w:rFonts w:ascii="Times New Roman" w:hAnsi="Times New Roman"/>
          <w:sz w:val="24"/>
          <w:szCs w:val="24"/>
        </w:rPr>
        <w:t>2026. Osobné výdavky týchto zamestnancov na rok 2022 budú zabezpečené z finančných prostriedkov Plánu obnovy a </w:t>
      </w:r>
      <w:r w:rsidRPr="00BF1DAD">
        <w:rPr>
          <w:rFonts w:ascii="Times New Roman" w:hAnsi="Times New Roman"/>
          <w:sz w:val="24"/>
          <w:szCs w:val="24"/>
        </w:rPr>
        <w:t xml:space="preserve">odolnosti </w:t>
      </w:r>
      <w:r>
        <w:rPr>
          <w:rFonts w:ascii="Times New Roman" w:hAnsi="Times New Roman"/>
          <w:sz w:val="24"/>
          <w:szCs w:val="24"/>
        </w:rPr>
        <w:t>SR.</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Pr>
          <w:rFonts w:ascii="Times New Roman" w:hAnsi="Times New Roman" w:cs="Times New Roman"/>
          <w:sz w:val="24"/>
          <w:szCs w:val="24"/>
        </w:rPr>
        <w:t xml:space="preserve">Okrem zvýšenia počtu zamestnancov financovaného z prostriedkov </w:t>
      </w:r>
      <w:r w:rsidRPr="00F043A9">
        <w:rPr>
          <w:rFonts w:ascii="Times New Roman" w:hAnsi="Times New Roman"/>
          <w:sz w:val="24"/>
          <w:szCs w:val="24"/>
        </w:rPr>
        <w:t>Plánu obnovy a </w:t>
      </w:r>
      <w:r w:rsidRPr="00BF1DAD">
        <w:rPr>
          <w:rFonts w:ascii="Times New Roman" w:hAnsi="Times New Roman"/>
          <w:sz w:val="24"/>
          <w:szCs w:val="24"/>
        </w:rPr>
        <w:t>odolnosti SR</w:t>
      </w:r>
      <w:r>
        <w:rPr>
          <w:rFonts w:ascii="Times New Roman" w:hAnsi="Times New Roman"/>
          <w:sz w:val="24"/>
          <w:szCs w:val="24"/>
        </w:rPr>
        <w:t xml:space="preserve"> bolo na tento účel </w:t>
      </w:r>
      <w:r w:rsidRPr="00F875AE">
        <w:rPr>
          <w:rFonts w:ascii="Times New Roman" w:hAnsi="Times New Roman" w:cs="Times New Roman"/>
          <w:sz w:val="24"/>
          <w:szCs w:val="24"/>
        </w:rPr>
        <w:t>realizov</w:t>
      </w:r>
      <w:r>
        <w:rPr>
          <w:rFonts w:ascii="Times New Roman" w:hAnsi="Times New Roman" w:cs="Times New Roman"/>
          <w:sz w:val="24"/>
          <w:szCs w:val="24"/>
        </w:rPr>
        <w:t xml:space="preserve">ané </w:t>
      </w:r>
      <w:r w:rsidRPr="00F875AE">
        <w:rPr>
          <w:rFonts w:ascii="Times New Roman" w:hAnsi="Times New Roman" w:cs="Times New Roman"/>
          <w:sz w:val="24"/>
          <w:szCs w:val="24"/>
        </w:rPr>
        <w:t xml:space="preserve"> </w:t>
      </w:r>
      <w:r>
        <w:rPr>
          <w:rFonts w:ascii="Times New Roman" w:hAnsi="Times New Roman" w:cs="Times New Roman"/>
          <w:sz w:val="24"/>
          <w:szCs w:val="24"/>
        </w:rPr>
        <w:t xml:space="preserve">ďalšie  zvýšenie počtu zamestnancov v súhrne o 93 osôb. V rámci tejto úpravy sa zvyšuje počet zamestnancov kapitoly </w:t>
      </w:r>
      <w:r w:rsidRPr="00F875AE">
        <w:rPr>
          <w:rFonts w:ascii="Times New Roman" w:hAnsi="Times New Roman" w:cs="Times New Roman"/>
          <w:sz w:val="24"/>
          <w:szCs w:val="24"/>
        </w:rPr>
        <w:t xml:space="preserve">Úrad vlády SR o 83 osôb, </w:t>
      </w:r>
      <w:r>
        <w:rPr>
          <w:rFonts w:ascii="Times New Roman" w:hAnsi="Times New Roman" w:cs="Times New Roman"/>
          <w:sz w:val="24"/>
          <w:szCs w:val="24"/>
        </w:rPr>
        <w:t xml:space="preserve">z ktorých </w:t>
      </w:r>
      <w:r w:rsidRPr="00F875AE">
        <w:rPr>
          <w:rFonts w:ascii="Times New Roman" w:hAnsi="Times New Roman" w:cs="Times New Roman"/>
          <w:sz w:val="24"/>
          <w:szCs w:val="24"/>
        </w:rPr>
        <w:t>54 osôb bud</w:t>
      </w:r>
      <w:r>
        <w:rPr>
          <w:rFonts w:ascii="Times New Roman" w:hAnsi="Times New Roman" w:cs="Times New Roman"/>
          <w:sz w:val="24"/>
          <w:szCs w:val="24"/>
        </w:rPr>
        <w:t>e</w:t>
      </w:r>
      <w:r w:rsidRPr="00F875AE">
        <w:rPr>
          <w:rFonts w:ascii="Times New Roman" w:hAnsi="Times New Roman" w:cs="Times New Roman"/>
          <w:sz w:val="24"/>
          <w:szCs w:val="24"/>
        </w:rPr>
        <w:t xml:space="preserve"> finančn</w:t>
      </w:r>
      <w:r>
        <w:rPr>
          <w:rFonts w:ascii="Times New Roman" w:hAnsi="Times New Roman" w:cs="Times New Roman"/>
          <w:sz w:val="24"/>
          <w:szCs w:val="24"/>
        </w:rPr>
        <w:t>e</w:t>
      </w:r>
      <w:r w:rsidRPr="00F875AE">
        <w:rPr>
          <w:rFonts w:ascii="Times New Roman" w:hAnsi="Times New Roman" w:cs="Times New Roman"/>
          <w:sz w:val="24"/>
          <w:szCs w:val="24"/>
        </w:rPr>
        <w:t xml:space="preserve"> zabezpečen</w:t>
      </w:r>
      <w:r>
        <w:rPr>
          <w:rFonts w:ascii="Times New Roman" w:hAnsi="Times New Roman" w:cs="Times New Roman"/>
          <w:sz w:val="24"/>
          <w:szCs w:val="24"/>
        </w:rPr>
        <w:t>ých</w:t>
      </w:r>
      <w:r w:rsidRPr="00F875AE">
        <w:rPr>
          <w:rFonts w:ascii="Times New Roman" w:hAnsi="Times New Roman" w:cs="Times New Roman"/>
          <w:sz w:val="24"/>
          <w:szCs w:val="24"/>
        </w:rPr>
        <w:t xml:space="preserve"> z Operačného programu Efektívna verejná správa a</w:t>
      </w:r>
      <w:r>
        <w:rPr>
          <w:rFonts w:ascii="Times New Roman" w:hAnsi="Times New Roman" w:cs="Times New Roman"/>
          <w:sz w:val="24"/>
          <w:szCs w:val="24"/>
        </w:rPr>
        <w:t> </w:t>
      </w:r>
      <w:r w:rsidRPr="00F875AE">
        <w:rPr>
          <w:rFonts w:ascii="Times New Roman" w:hAnsi="Times New Roman" w:cs="Times New Roman"/>
          <w:sz w:val="24"/>
          <w:szCs w:val="24"/>
        </w:rPr>
        <w:t xml:space="preserve"> 29 </w:t>
      </w:r>
      <w:r>
        <w:rPr>
          <w:rFonts w:ascii="Times New Roman" w:hAnsi="Times New Roman" w:cs="Times New Roman"/>
          <w:sz w:val="24"/>
          <w:szCs w:val="24"/>
        </w:rPr>
        <w:t xml:space="preserve">zamestnancov bude financovaných </w:t>
      </w:r>
      <w:r w:rsidRPr="00F875AE">
        <w:rPr>
          <w:rFonts w:ascii="Times New Roman" w:hAnsi="Times New Roman" w:cs="Times New Roman"/>
          <w:sz w:val="24"/>
          <w:szCs w:val="24"/>
        </w:rPr>
        <w:t xml:space="preserve"> z prostriedkov štátneho rozpočtu</w:t>
      </w:r>
      <w:r>
        <w:rPr>
          <w:rFonts w:ascii="Times New Roman" w:hAnsi="Times New Roman" w:cs="Times New Roman"/>
          <w:sz w:val="24"/>
          <w:szCs w:val="24"/>
        </w:rPr>
        <w:t>. V</w:t>
      </w:r>
      <w:r w:rsidRPr="00F875AE">
        <w:rPr>
          <w:rFonts w:ascii="Times New Roman" w:hAnsi="Times New Roman" w:cs="Times New Roman"/>
          <w:sz w:val="24"/>
          <w:szCs w:val="24"/>
        </w:rPr>
        <w:t xml:space="preserve"> kapitole  Ministerstvo financií SR </w:t>
      </w:r>
      <w:r>
        <w:rPr>
          <w:rFonts w:ascii="Times New Roman" w:hAnsi="Times New Roman" w:cs="Times New Roman"/>
          <w:sz w:val="24"/>
          <w:szCs w:val="24"/>
        </w:rPr>
        <w:t xml:space="preserve">sa zvyšuje počet zamestnancov o </w:t>
      </w:r>
      <w:r w:rsidRPr="00F875AE">
        <w:rPr>
          <w:rFonts w:ascii="Times New Roman" w:hAnsi="Times New Roman" w:cs="Times New Roman"/>
          <w:sz w:val="24"/>
          <w:szCs w:val="24"/>
        </w:rPr>
        <w:t>10 osôb</w:t>
      </w:r>
      <w:r>
        <w:rPr>
          <w:rFonts w:ascii="Times New Roman" w:hAnsi="Times New Roman" w:cs="Times New Roman"/>
          <w:sz w:val="24"/>
          <w:szCs w:val="24"/>
        </w:rPr>
        <w:t xml:space="preserve">, z toho </w:t>
      </w:r>
      <w:r w:rsidRPr="00F875AE">
        <w:rPr>
          <w:rFonts w:ascii="Times New Roman" w:hAnsi="Times New Roman" w:cs="Times New Roman"/>
          <w:sz w:val="24"/>
          <w:szCs w:val="24"/>
        </w:rPr>
        <w:t xml:space="preserve">o 3 osoby </w:t>
      </w:r>
      <w:r>
        <w:rPr>
          <w:rFonts w:ascii="Times New Roman" w:hAnsi="Times New Roman" w:cs="Times New Roman"/>
          <w:sz w:val="24"/>
          <w:szCs w:val="24"/>
        </w:rPr>
        <w:t>v </w:t>
      </w:r>
      <w:r w:rsidRPr="00F875AE">
        <w:rPr>
          <w:rFonts w:ascii="Times New Roman" w:hAnsi="Times New Roman" w:cs="Times New Roman"/>
          <w:sz w:val="24"/>
          <w:szCs w:val="24"/>
        </w:rPr>
        <w:t xml:space="preserve">sekcii auditu a kontroly a o 7 osôb v Úrade vládneho auditu, </w:t>
      </w:r>
      <w:r>
        <w:rPr>
          <w:rFonts w:ascii="Times New Roman" w:hAnsi="Times New Roman" w:cs="Times New Roman"/>
          <w:sz w:val="24"/>
          <w:szCs w:val="24"/>
        </w:rPr>
        <w:t>ktorých</w:t>
      </w:r>
      <w:r w:rsidRPr="00F875AE">
        <w:rPr>
          <w:rFonts w:ascii="Times New Roman" w:hAnsi="Times New Roman" w:cs="Times New Roman"/>
          <w:sz w:val="24"/>
          <w:szCs w:val="24"/>
        </w:rPr>
        <w:t xml:space="preserve"> osobné výdavky budú kryté z finančných prostriedkov OP Efektívna verejná správa.</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 xml:space="preserve">Na zabezpečenie činnosti analytických útvarov kapitol štátneho rozpočtu sa v gescii Útvaru hodnoty za peniaze </w:t>
      </w:r>
      <w:r>
        <w:rPr>
          <w:rFonts w:ascii="Times New Roman" w:hAnsi="Times New Roman" w:cs="Times New Roman"/>
          <w:sz w:val="24"/>
          <w:szCs w:val="24"/>
        </w:rPr>
        <w:t xml:space="preserve">Ministerstva financií </w:t>
      </w:r>
      <w:r w:rsidRPr="00F875AE">
        <w:rPr>
          <w:rFonts w:ascii="Times New Roman" w:hAnsi="Times New Roman" w:cs="Times New Roman"/>
          <w:sz w:val="24"/>
          <w:szCs w:val="24"/>
        </w:rPr>
        <w:t>SR zvyšuje počet zamestnancov rozpočtových organizácií kapitol štátneho rozpočtu o 133 osôb na</w:t>
      </w:r>
      <w:r>
        <w:rPr>
          <w:rFonts w:ascii="Times New Roman" w:hAnsi="Times New Roman" w:cs="Times New Roman"/>
          <w:sz w:val="24"/>
          <w:szCs w:val="24"/>
        </w:rPr>
        <w:t xml:space="preserve"> súhrnný stav</w:t>
      </w:r>
      <w:r w:rsidRPr="00F875AE">
        <w:rPr>
          <w:rFonts w:ascii="Times New Roman" w:hAnsi="Times New Roman" w:cs="Times New Roman"/>
          <w:sz w:val="24"/>
          <w:szCs w:val="24"/>
        </w:rPr>
        <w:t xml:space="preserve"> 296 osôb.</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 xml:space="preserve">Na náraste počtu zamestnancov rozpočtových organizácií sa okrem zvýšenia počtu osôb </w:t>
      </w:r>
      <w:r>
        <w:rPr>
          <w:rFonts w:ascii="Times New Roman" w:hAnsi="Times New Roman" w:cs="Times New Roman"/>
          <w:sz w:val="24"/>
          <w:szCs w:val="24"/>
        </w:rPr>
        <w:t>na</w:t>
      </w:r>
      <w:r w:rsidRPr="00F875AE">
        <w:rPr>
          <w:rFonts w:ascii="Times New Roman" w:hAnsi="Times New Roman" w:cs="Times New Roman"/>
          <w:sz w:val="24"/>
          <w:szCs w:val="24"/>
        </w:rPr>
        <w:t> realizáciu Plánu obnovy a </w:t>
      </w:r>
      <w:r w:rsidRPr="00BF1DAD">
        <w:rPr>
          <w:rFonts w:ascii="Times New Roman" w:hAnsi="Times New Roman" w:cs="Times New Roman"/>
          <w:sz w:val="24"/>
          <w:szCs w:val="24"/>
        </w:rPr>
        <w:t>odolnosti SR a na</w:t>
      </w:r>
      <w:r w:rsidRPr="00F875AE">
        <w:rPr>
          <w:rFonts w:ascii="Times New Roman" w:hAnsi="Times New Roman" w:cs="Times New Roman"/>
          <w:sz w:val="24"/>
          <w:szCs w:val="24"/>
        </w:rPr>
        <w:t xml:space="preserve"> vybudovanie analytických útvarov výraznou mierou podieľa predovšetkým zvýšenie limitu počtu zamestnancov súvisiac</w:t>
      </w:r>
      <w:r>
        <w:rPr>
          <w:rFonts w:ascii="Times New Roman" w:hAnsi="Times New Roman" w:cs="Times New Roman"/>
          <w:sz w:val="24"/>
          <w:szCs w:val="24"/>
        </w:rPr>
        <w:t>e</w:t>
      </w:r>
      <w:r w:rsidRPr="00F875AE">
        <w:rPr>
          <w:rFonts w:ascii="Times New Roman" w:hAnsi="Times New Roman" w:cs="Times New Roman"/>
          <w:sz w:val="24"/>
          <w:szCs w:val="24"/>
        </w:rPr>
        <w:t xml:space="preserve"> so vznikom nových úradov a organizácií, vrátane posilnenia </w:t>
      </w:r>
      <w:r>
        <w:rPr>
          <w:rFonts w:ascii="Times New Roman" w:hAnsi="Times New Roman" w:cs="Times New Roman"/>
          <w:sz w:val="24"/>
          <w:szCs w:val="24"/>
        </w:rPr>
        <w:t xml:space="preserve">už </w:t>
      </w:r>
      <w:r w:rsidRPr="00F875AE">
        <w:rPr>
          <w:rFonts w:ascii="Times New Roman" w:hAnsi="Times New Roman" w:cs="Times New Roman"/>
          <w:sz w:val="24"/>
          <w:szCs w:val="24"/>
        </w:rPr>
        <w:t xml:space="preserve">existujúcich útvarov a pracovísk </w:t>
      </w:r>
      <w:r>
        <w:rPr>
          <w:rFonts w:ascii="Times New Roman" w:hAnsi="Times New Roman" w:cs="Times New Roman"/>
          <w:sz w:val="24"/>
          <w:szCs w:val="24"/>
        </w:rPr>
        <w:t xml:space="preserve">ako aj  zohľadnenia </w:t>
      </w:r>
      <w:r w:rsidRPr="00F875AE">
        <w:rPr>
          <w:rFonts w:ascii="Times New Roman" w:hAnsi="Times New Roman" w:cs="Times New Roman"/>
          <w:sz w:val="24"/>
          <w:szCs w:val="24"/>
        </w:rPr>
        <w:t xml:space="preserve">realizovaných organizačných zmien </w:t>
      </w:r>
      <w:r>
        <w:rPr>
          <w:rFonts w:ascii="Times New Roman" w:hAnsi="Times New Roman" w:cs="Times New Roman"/>
          <w:sz w:val="24"/>
          <w:szCs w:val="24"/>
        </w:rPr>
        <w:t xml:space="preserve">v súhrnnom počte </w:t>
      </w:r>
      <w:r w:rsidRPr="00F875AE">
        <w:rPr>
          <w:rFonts w:ascii="Times New Roman" w:hAnsi="Times New Roman" w:cs="Times New Roman"/>
          <w:sz w:val="24"/>
          <w:szCs w:val="24"/>
        </w:rPr>
        <w:t xml:space="preserve">532 osôb. Z uvedeného zvýšenia </w:t>
      </w:r>
      <w:r>
        <w:rPr>
          <w:rFonts w:ascii="Times New Roman" w:hAnsi="Times New Roman" w:cs="Times New Roman"/>
          <w:sz w:val="24"/>
          <w:szCs w:val="24"/>
        </w:rPr>
        <w:t>je</w:t>
      </w:r>
      <w:r w:rsidRPr="00F875AE">
        <w:rPr>
          <w:rFonts w:ascii="Times New Roman" w:hAnsi="Times New Roman" w:cs="Times New Roman"/>
          <w:sz w:val="24"/>
          <w:szCs w:val="24"/>
        </w:rPr>
        <w:t xml:space="preserve"> </w:t>
      </w:r>
      <w:r>
        <w:rPr>
          <w:rFonts w:ascii="Times New Roman" w:hAnsi="Times New Roman" w:cs="Times New Roman"/>
          <w:sz w:val="24"/>
          <w:szCs w:val="24"/>
        </w:rPr>
        <w:t xml:space="preserve">zabezpečené najmä </w:t>
      </w:r>
      <w:r w:rsidRPr="00F875AE">
        <w:rPr>
          <w:rFonts w:ascii="Times New Roman" w:hAnsi="Times New Roman" w:cs="Times New Roman"/>
          <w:sz w:val="24"/>
          <w:szCs w:val="24"/>
        </w:rPr>
        <w:t>posilnenie</w:t>
      </w:r>
      <w:r>
        <w:rPr>
          <w:rFonts w:ascii="Times New Roman" w:hAnsi="Times New Roman" w:cs="Times New Roman"/>
          <w:sz w:val="24"/>
          <w:szCs w:val="24"/>
        </w:rPr>
        <w:t xml:space="preserve"> počtu príslušníkov</w:t>
      </w:r>
      <w:r w:rsidRPr="00F875AE">
        <w:rPr>
          <w:rFonts w:ascii="Times New Roman" w:hAnsi="Times New Roman" w:cs="Times New Roman"/>
          <w:sz w:val="24"/>
          <w:szCs w:val="24"/>
        </w:rPr>
        <w:t xml:space="preserve"> Finančnej správy v kapitole Ministerstvo financií SR </w:t>
      </w:r>
      <w:r>
        <w:rPr>
          <w:rFonts w:ascii="Times New Roman" w:hAnsi="Times New Roman" w:cs="Times New Roman"/>
          <w:sz w:val="24"/>
          <w:szCs w:val="24"/>
        </w:rPr>
        <w:t>o</w:t>
      </w:r>
      <w:r w:rsidRPr="00F875AE">
        <w:rPr>
          <w:rFonts w:ascii="Times New Roman" w:hAnsi="Times New Roman" w:cs="Times New Roman"/>
          <w:sz w:val="24"/>
          <w:szCs w:val="24"/>
        </w:rPr>
        <w:t>1</w:t>
      </w:r>
      <w:r>
        <w:rPr>
          <w:rFonts w:ascii="Times New Roman" w:hAnsi="Times New Roman" w:cs="Times New Roman"/>
          <w:sz w:val="24"/>
          <w:szCs w:val="24"/>
        </w:rPr>
        <w:t>37</w:t>
      </w:r>
      <w:r w:rsidRPr="00F875AE">
        <w:rPr>
          <w:rFonts w:ascii="Times New Roman" w:hAnsi="Times New Roman" w:cs="Times New Roman"/>
          <w:sz w:val="24"/>
          <w:szCs w:val="24"/>
        </w:rPr>
        <w:t xml:space="preserve"> osôb, </w:t>
      </w:r>
      <w:r>
        <w:rPr>
          <w:rFonts w:ascii="Times New Roman" w:hAnsi="Times New Roman" w:cs="Times New Roman"/>
          <w:sz w:val="24"/>
          <w:szCs w:val="24"/>
        </w:rPr>
        <w:t xml:space="preserve">vytvorenie novej rozpočtovej organizácie </w:t>
      </w:r>
      <w:r w:rsidRPr="00F875AE">
        <w:rPr>
          <w:rFonts w:ascii="Times New Roman" w:hAnsi="Times New Roman" w:cs="Times New Roman"/>
          <w:sz w:val="24"/>
          <w:szCs w:val="24"/>
        </w:rPr>
        <w:t>Slovakia Travel v kapitole Ministerstvo dopravy a výstavby SR s počtom 101 osôb a  v kapitole Ministerstv</w:t>
      </w:r>
      <w:r>
        <w:rPr>
          <w:rFonts w:ascii="Times New Roman" w:hAnsi="Times New Roman" w:cs="Times New Roman"/>
          <w:sz w:val="24"/>
          <w:szCs w:val="24"/>
        </w:rPr>
        <w:t>o</w:t>
      </w:r>
      <w:r w:rsidRPr="00F875AE">
        <w:rPr>
          <w:rFonts w:ascii="Times New Roman" w:hAnsi="Times New Roman" w:cs="Times New Roman"/>
          <w:sz w:val="24"/>
          <w:szCs w:val="24"/>
        </w:rPr>
        <w:t xml:space="preserve"> pôdohospodárstva a rozvoja vidieka SR </w:t>
      </w:r>
      <w:r>
        <w:rPr>
          <w:rFonts w:ascii="Times New Roman" w:hAnsi="Times New Roman" w:cs="Times New Roman"/>
          <w:sz w:val="24"/>
          <w:szCs w:val="24"/>
        </w:rPr>
        <w:t>je posilnená</w:t>
      </w:r>
      <w:r w:rsidRPr="00F875AE">
        <w:rPr>
          <w:rFonts w:ascii="Times New Roman" w:hAnsi="Times New Roman" w:cs="Times New Roman"/>
          <w:sz w:val="24"/>
          <w:szCs w:val="24"/>
        </w:rPr>
        <w:t xml:space="preserve"> Pôdohospodárska platobná agentúra</w:t>
      </w:r>
      <w:r>
        <w:rPr>
          <w:rFonts w:ascii="Times New Roman" w:hAnsi="Times New Roman" w:cs="Times New Roman"/>
          <w:sz w:val="24"/>
          <w:szCs w:val="24"/>
        </w:rPr>
        <w:t xml:space="preserve"> </w:t>
      </w:r>
      <w:r w:rsidRPr="00F875AE">
        <w:rPr>
          <w:rFonts w:ascii="Times New Roman" w:hAnsi="Times New Roman" w:cs="Times New Roman"/>
          <w:sz w:val="24"/>
          <w:szCs w:val="24"/>
        </w:rPr>
        <w:t xml:space="preserve">o 50 osôb. Okrem uvedeného vznikla nová rozpočtová kapitola Kancelária Najvyššieho správneho súdu SR s počtom zamestnancov </w:t>
      </w:r>
      <w:r>
        <w:rPr>
          <w:rFonts w:ascii="Times New Roman" w:hAnsi="Times New Roman" w:cs="Times New Roman"/>
          <w:sz w:val="24"/>
          <w:szCs w:val="24"/>
        </w:rPr>
        <w:t xml:space="preserve">na úrovni </w:t>
      </w:r>
      <w:r w:rsidRPr="00F875AE">
        <w:rPr>
          <w:rFonts w:ascii="Times New Roman" w:hAnsi="Times New Roman" w:cs="Times New Roman"/>
          <w:sz w:val="24"/>
          <w:szCs w:val="24"/>
        </w:rPr>
        <w:t>100 osôb, z ktorých časť bola delimitovaná z Kancelárie Najvyššieho súdu SR. Súčasne sa pre Úrad na ochranu oznamovateľov protispoločenskej činnosti SR rozpočtuje 19 zamestnancov.</w:t>
      </w:r>
    </w:p>
    <w:p w:rsidR="00F0616E" w:rsidRPr="00F875AE" w:rsidRDefault="00F0616E" w:rsidP="00F0616E">
      <w:pPr>
        <w:spacing w:after="0"/>
        <w:jc w:val="both"/>
        <w:rPr>
          <w:rFonts w:ascii="Times New Roman" w:hAnsi="Times New Roman" w:cs="Times New Roman"/>
          <w:sz w:val="24"/>
          <w:szCs w:val="24"/>
        </w:rPr>
      </w:pPr>
    </w:p>
    <w:p w:rsidR="00F0616E" w:rsidRDefault="00F0616E" w:rsidP="00F0616E">
      <w:pPr>
        <w:pStyle w:val="Textkomentra"/>
        <w:jc w:val="both"/>
        <w:rPr>
          <w:rFonts w:ascii="Times New Roman" w:hAnsi="Times New Roman" w:cs="Times New Roman"/>
          <w:sz w:val="24"/>
          <w:szCs w:val="24"/>
        </w:rPr>
      </w:pPr>
      <w:r>
        <w:rPr>
          <w:rFonts w:ascii="Times New Roman" w:hAnsi="Times New Roman" w:cs="Times New Roman"/>
          <w:sz w:val="24"/>
          <w:szCs w:val="24"/>
        </w:rPr>
        <w:t>K </w:t>
      </w:r>
      <w:r w:rsidRPr="00B02C00">
        <w:rPr>
          <w:rFonts w:ascii="Times New Roman" w:hAnsi="Times New Roman" w:cs="Times New Roman"/>
          <w:sz w:val="24"/>
          <w:szCs w:val="24"/>
        </w:rPr>
        <w:t>medziročn</w:t>
      </w:r>
      <w:r>
        <w:rPr>
          <w:rFonts w:ascii="Times New Roman" w:hAnsi="Times New Roman" w:cs="Times New Roman"/>
          <w:sz w:val="24"/>
          <w:szCs w:val="24"/>
        </w:rPr>
        <w:t xml:space="preserve">ému </w:t>
      </w:r>
      <w:r w:rsidRPr="00B02C00">
        <w:rPr>
          <w:rFonts w:ascii="Times New Roman" w:hAnsi="Times New Roman" w:cs="Times New Roman"/>
          <w:sz w:val="24"/>
          <w:szCs w:val="24"/>
        </w:rPr>
        <w:t>zvýšen</w:t>
      </w:r>
      <w:r>
        <w:rPr>
          <w:rFonts w:ascii="Times New Roman" w:hAnsi="Times New Roman" w:cs="Times New Roman"/>
          <w:sz w:val="24"/>
          <w:szCs w:val="24"/>
        </w:rPr>
        <w:t xml:space="preserve">iu o 522 osôb dochádza aj z dôvodu vrátenia desaťpercentného </w:t>
      </w:r>
      <w:r w:rsidRPr="00B02C00">
        <w:rPr>
          <w:rFonts w:ascii="Times New Roman" w:hAnsi="Times New Roman" w:cs="Times New Roman"/>
          <w:sz w:val="24"/>
          <w:szCs w:val="24"/>
        </w:rPr>
        <w:t>viazania počtu zamestnancov realizované</w:t>
      </w:r>
      <w:r>
        <w:rPr>
          <w:rFonts w:ascii="Times New Roman" w:hAnsi="Times New Roman" w:cs="Times New Roman"/>
          <w:sz w:val="24"/>
          <w:szCs w:val="24"/>
        </w:rPr>
        <w:t>ho</w:t>
      </w:r>
      <w:r w:rsidRPr="00B02C00">
        <w:rPr>
          <w:rFonts w:ascii="Times New Roman" w:hAnsi="Times New Roman" w:cs="Times New Roman"/>
          <w:sz w:val="24"/>
          <w:szCs w:val="24"/>
        </w:rPr>
        <w:t xml:space="preserve"> </w:t>
      </w:r>
      <w:r w:rsidR="00A34219">
        <w:rPr>
          <w:rFonts w:ascii="Times New Roman" w:hAnsi="Times New Roman" w:cs="Times New Roman"/>
          <w:sz w:val="24"/>
          <w:szCs w:val="24"/>
        </w:rPr>
        <w:t>v roku 2021</w:t>
      </w:r>
      <w:r w:rsidR="00E34159">
        <w:rPr>
          <w:rFonts w:ascii="Times New Roman" w:hAnsi="Times New Roman" w:cs="Times New Roman"/>
          <w:sz w:val="24"/>
          <w:szCs w:val="24"/>
        </w:rPr>
        <w:t xml:space="preserve"> </w:t>
      </w:r>
      <w:r w:rsidRPr="00B02C00">
        <w:rPr>
          <w:rFonts w:ascii="Times New Roman" w:hAnsi="Times New Roman" w:cs="Times New Roman"/>
          <w:sz w:val="24"/>
          <w:szCs w:val="24"/>
        </w:rPr>
        <w:t>na z</w:t>
      </w:r>
      <w:r w:rsidR="00A34219">
        <w:rPr>
          <w:rFonts w:ascii="Times New Roman" w:hAnsi="Times New Roman" w:cs="Times New Roman"/>
          <w:sz w:val="24"/>
          <w:szCs w:val="24"/>
        </w:rPr>
        <w:t>áklade revízie zamestnanosti</w:t>
      </w:r>
      <w:r w:rsidRPr="00B02C00">
        <w:rPr>
          <w:rFonts w:ascii="Times New Roman" w:hAnsi="Times New Roman" w:cs="Times New Roman"/>
          <w:sz w:val="24"/>
          <w:szCs w:val="24"/>
        </w:rPr>
        <w:t xml:space="preserve">, z toho </w:t>
      </w:r>
      <w:r>
        <w:rPr>
          <w:rFonts w:ascii="Times New Roman" w:hAnsi="Times New Roman" w:cs="Times New Roman"/>
          <w:sz w:val="24"/>
          <w:szCs w:val="24"/>
        </w:rPr>
        <w:t xml:space="preserve">predovšetkým v </w:t>
      </w:r>
      <w:r w:rsidRPr="00B02C00">
        <w:rPr>
          <w:rFonts w:ascii="Times New Roman" w:hAnsi="Times New Roman" w:cs="Times New Roman"/>
          <w:sz w:val="24"/>
          <w:szCs w:val="24"/>
        </w:rPr>
        <w:t xml:space="preserve">kapitole </w:t>
      </w:r>
      <w:r>
        <w:rPr>
          <w:rFonts w:ascii="Times New Roman" w:hAnsi="Times New Roman" w:cs="Times New Roman"/>
          <w:sz w:val="24"/>
          <w:szCs w:val="24"/>
        </w:rPr>
        <w:t>Ministerstvo spravodlivosti SR v počte 402 civilných zamestnancov na úseku súdnictva.</w:t>
      </w:r>
    </w:p>
    <w:p w:rsidR="00F0616E" w:rsidRPr="00F875AE" w:rsidRDefault="00F0616E" w:rsidP="00F0616E">
      <w:pPr>
        <w:pStyle w:val="Textkomentra"/>
        <w:jc w:val="both"/>
        <w:rPr>
          <w:rFonts w:ascii="Times New Roman" w:hAnsi="Times New Roman" w:cs="Times New Roman"/>
          <w:sz w:val="24"/>
          <w:szCs w:val="24"/>
        </w:rPr>
      </w:pPr>
    </w:p>
    <w:p w:rsidR="00F0616E" w:rsidRPr="00F875AE" w:rsidRDefault="00A34219" w:rsidP="00F0616E">
      <w:pPr>
        <w:spacing w:after="0"/>
        <w:jc w:val="both"/>
        <w:rPr>
          <w:rFonts w:ascii="Times New Roman" w:hAnsi="Times New Roman" w:cs="Times New Roman"/>
          <w:sz w:val="24"/>
          <w:szCs w:val="24"/>
        </w:rPr>
      </w:pPr>
      <w:r>
        <w:rPr>
          <w:rFonts w:ascii="Times New Roman" w:hAnsi="Times New Roman" w:cs="Times New Roman"/>
          <w:sz w:val="24"/>
          <w:szCs w:val="24"/>
        </w:rPr>
        <w:t>Ministerstvo zdravotníctva SR</w:t>
      </w:r>
      <w:r w:rsidR="00F0616E">
        <w:rPr>
          <w:rFonts w:ascii="Times New Roman" w:hAnsi="Times New Roman" w:cs="Times New Roman"/>
          <w:sz w:val="24"/>
          <w:szCs w:val="24"/>
        </w:rPr>
        <w:t xml:space="preserve"> je v</w:t>
      </w:r>
      <w:r>
        <w:rPr>
          <w:rFonts w:ascii="Times New Roman" w:hAnsi="Times New Roman" w:cs="Times New Roman"/>
          <w:sz w:val="24"/>
          <w:szCs w:val="24"/>
        </w:rPr>
        <w:t xml:space="preserve"> roku 2022 v </w:t>
      </w:r>
      <w:r w:rsidR="00F0616E" w:rsidRPr="00F875AE">
        <w:rPr>
          <w:rFonts w:ascii="Times New Roman" w:hAnsi="Times New Roman" w:cs="Times New Roman"/>
          <w:sz w:val="24"/>
          <w:szCs w:val="24"/>
        </w:rPr>
        <w:t>súvislosti s riešením pand</w:t>
      </w:r>
      <w:r w:rsidR="00F0616E">
        <w:rPr>
          <w:rFonts w:ascii="Times New Roman" w:hAnsi="Times New Roman" w:cs="Times New Roman"/>
          <w:sz w:val="24"/>
          <w:szCs w:val="24"/>
        </w:rPr>
        <w:t>e</w:t>
      </w:r>
      <w:r w:rsidR="00F0616E" w:rsidRPr="00F875AE">
        <w:rPr>
          <w:rFonts w:ascii="Times New Roman" w:hAnsi="Times New Roman" w:cs="Times New Roman"/>
          <w:sz w:val="24"/>
          <w:szCs w:val="24"/>
        </w:rPr>
        <w:t>mickej situácie COVID</w:t>
      </w:r>
      <w:r w:rsidR="00F0616E">
        <w:rPr>
          <w:rFonts w:ascii="Times New Roman" w:hAnsi="Times New Roman" w:cs="Times New Roman"/>
          <w:sz w:val="24"/>
          <w:szCs w:val="24"/>
        </w:rPr>
        <w:t> </w:t>
      </w:r>
      <w:r w:rsidR="00F0616E" w:rsidRPr="00F875AE">
        <w:rPr>
          <w:rFonts w:ascii="Times New Roman" w:hAnsi="Times New Roman" w:cs="Times New Roman"/>
          <w:sz w:val="24"/>
          <w:szCs w:val="24"/>
        </w:rPr>
        <w:t>–</w:t>
      </w:r>
      <w:r w:rsidR="00F0616E">
        <w:rPr>
          <w:rFonts w:ascii="Times New Roman" w:hAnsi="Times New Roman" w:cs="Times New Roman"/>
          <w:sz w:val="24"/>
          <w:szCs w:val="24"/>
        </w:rPr>
        <w:t> </w:t>
      </w:r>
      <w:r w:rsidR="00F0616E" w:rsidRPr="00F875AE">
        <w:rPr>
          <w:rFonts w:ascii="Times New Roman" w:hAnsi="Times New Roman" w:cs="Times New Roman"/>
          <w:sz w:val="24"/>
          <w:szCs w:val="24"/>
        </w:rPr>
        <w:t xml:space="preserve">19 </w:t>
      </w:r>
      <w:r w:rsidR="00F0616E">
        <w:rPr>
          <w:rFonts w:ascii="Times New Roman" w:hAnsi="Times New Roman" w:cs="Times New Roman"/>
          <w:sz w:val="24"/>
          <w:szCs w:val="24"/>
        </w:rPr>
        <w:t xml:space="preserve">dočasne </w:t>
      </w:r>
      <w:r w:rsidR="00F0616E" w:rsidRPr="00F875AE">
        <w:rPr>
          <w:rFonts w:ascii="Times New Roman" w:hAnsi="Times New Roman" w:cs="Times New Roman"/>
          <w:sz w:val="24"/>
          <w:szCs w:val="24"/>
        </w:rPr>
        <w:t xml:space="preserve">personálne posilnené </w:t>
      </w:r>
      <w:r w:rsidR="00F0616E">
        <w:rPr>
          <w:rFonts w:ascii="Times New Roman" w:hAnsi="Times New Roman" w:cs="Times New Roman"/>
          <w:sz w:val="24"/>
          <w:szCs w:val="24"/>
        </w:rPr>
        <w:t>o</w:t>
      </w:r>
      <w:r w:rsidR="00F0616E" w:rsidRPr="00F875AE">
        <w:rPr>
          <w:rFonts w:ascii="Times New Roman" w:hAnsi="Times New Roman" w:cs="Times New Roman"/>
          <w:sz w:val="24"/>
          <w:szCs w:val="24"/>
        </w:rPr>
        <w:t xml:space="preserve"> 253 osôb a Ministerstvo dopravy a výstavby SR </w:t>
      </w:r>
      <w:r w:rsidR="00F0616E">
        <w:rPr>
          <w:rFonts w:ascii="Times New Roman" w:hAnsi="Times New Roman" w:cs="Times New Roman"/>
          <w:sz w:val="24"/>
          <w:szCs w:val="24"/>
        </w:rPr>
        <w:t>o </w:t>
      </w:r>
      <w:r w:rsidR="00F0616E" w:rsidRPr="00F875AE">
        <w:rPr>
          <w:rFonts w:ascii="Times New Roman" w:hAnsi="Times New Roman" w:cs="Times New Roman"/>
          <w:sz w:val="24"/>
          <w:szCs w:val="24"/>
        </w:rPr>
        <w:t>3 osoby. Z personálneho posilnenia Ministerstv</w:t>
      </w:r>
      <w:r w:rsidR="00F0616E">
        <w:rPr>
          <w:rFonts w:ascii="Times New Roman" w:hAnsi="Times New Roman" w:cs="Times New Roman"/>
          <w:sz w:val="24"/>
          <w:szCs w:val="24"/>
        </w:rPr>
        <w:t>a</w:t>
      </w:r>
      <w:r w:rsidR="00F0616E" w:rsidRPr="00F875AE">
        <w:rPr>
          <w:rFonts w:ascii="Times New Roman" w:hAnsi="Times New Roman" w:cs="Times New Roman"/>
          <w:sz w:val="24"/>
          <w:szCs w:val="24"/>
        </w:rPr>
        <w:t xml:space="preserve"> zdravotníctva SR </w:t>
      </w:r>
      <w:r w:rsidR="00F0616E">
        <w:rPr>
          <w:rFonts w:ascii="Times New Roman" w:hAnsi="Times New Roman" w:cs="Times New Roman"/>
          <w:sz w:val="24"/>
          <w:szCs w:val="24"/>
        </w:rPr>
        <w:t>je</w:t>
      </w:r>
      <w:r w:rsidR="00F0616E" w:rsidRPr="00F875AE">
        <w:rPr>
          <w:rFonts w:ascii="Times New Roman" w:hAnsi="Times New Roman" w:cs="Times New Roman"/>
          <w:sz w:val="24"/>
          <w:szCs w:val="24"/>
        </w:rPr>
        <w:t xml:space="preserve"> realizované zvýšenie o</w:t>
      </w:r>
      <w:r w:rsidR="00F0616E">
        <w:rPr>
          <w:rFonts w:ascii="Times New Roman" w:hAnsi="Times New Roman" w:cs="Times New Roman"/>
          <w:sz w:val="24"/>
          <w:szCs w:val="24"/>
        </w:rPr>
        <w:t> </w:t>
      </w:r>
      <w:r w:rsidR="00F0616E" w:rsidRPr="00F875AE">
        <w:rPr>
          <w:rFonts w:ascii="Times New Roman" w:hAnsi="Times New Roman" w:cs="Times New Roman"/>
          <w:sz w:val="24"/>
          <w:szCs w:val="24"/>
        </w:rPr>
        <w:t>58</w:t>
      </w:r>
      <w:r w:rsidR="00F0616E">
        <w:rPr>
          <w:rFonts w:ascii="Times New Roman" w:hAnsi="Times New Roman" w:cs="Times New Roman"/>
          <w:sz w:val="24"/>
          <w:szCs w:val="24"/>
        </w:rPr>
        <w:t> </w:t>
      </w:r>
      <w:r w:rsidR="00F0616E" w:rsidRPr="00F875AE">
        <w:rPr>
          <w:rFonts w:ascii="Times New Roman" w:hAnsi="Times New Roman" w:cs="Times New Roman"/>
          <w:sz w:val="24"/>
          <w:szCs w:val="24"/>
        </w:rPr>
        <w:t>osôb pre Úrad verejného zdravotníctva,</w:t>
      </w:r>
      <w:r w:rsidR="00F0616E">
        <w:rPr>
          <w:rFonts w:ascii="Times New Roman" w:hAnsi="Times New Roman" w:cs="Times New Roman"/>
          <w:sz w:val="24"/>
          <w:szCs w:val="24"/>
        </w:rPr>
        <w:t xml:space="preserve"> o </w:t>
      </w:r>
      <w:r w:rsidR="00F0616E" w:rsidRPr="00F875AE">
        <w:rPr>
          <w:rFonts w:ascii="Times New Roman" w:hAnsi="Times New Roman" w:cs="Times New Roman"/>
          <w:sz w:val="24"/>
          <w:szCs w:val="24"/>
        </w:rPr>
        <w:t>191</w:t>
      </w:r>
      <w:r w:rsidR="00F0616E">
        <w:rPr>
          <w:rFonts w:ascii="Times New Roman" w:hAnsi="Times New Roman" w:cs="Times New Roman"/>
          <w:sz w:val="24"/>
          <w:szCs w:val="24"/>
        </w:rPr>
        <w:t> </w:t>
      </w:r>
      <w:r w:rsidR="00F0616E" w:rsidRPr="00F875AE">
        <w:rPr>
          <w:rFonts w:ascii="Times New Roman" w:hAnsi="Times New Roman" w:cs="Times New Roman"/>
          <w:sz w:val="24"/>
          <w:szCs w:val="24"/>
        </w:rPr>
        <w:t>osôb pre regionálne úrady verejného zdravotníctva a</w:t>
      </w:r>
      <w:r w:rsidR="00F0616E">
        <w:rPr>
          <w:rFonts w:ascii="Times New Roman" w:hAnsi="Times New Roman" w:cs="Times New Roman"/>
          <w:sz w:val="24"/>
          <w:szCs w:val="24"/>
        </w:rPr>
        <w:t xml:space="preserve"> o </w:t>
      </w:r>
      <w:r w:rsidR="00F0616E" w:rsidRPr="00F875AE">
        <w:rPr>
          <w:rFonts w:ascii="Times New Roman" w:hAnsi="Times New Roman" w:cs="Times New Roman"/>
          <w:sz w:val="24"/>
          <w:szCs w:val="24"/>
        </w:rPr>
        <w:t xml:space="preserve">4 osoby pre Štátny ústav pre kontrolu liečiv. </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 xml:space="preserve">Na zabezpečenie novej legislatívy </w:t>
      </w:r>
      <w:r>
        <w:rPr>
          <w:rFonts w:ascii="Times New Roman" w:hAnsi="Times New Roman" w:cs="Times New Roman"/>
          <w:sz w:val="24"/>
          <w:szCs w:val="24"/>
        </w:rPr>
        <w:t>je</w:t>
      </w:r>
      <w:r w:rsidRPr="00F875AE">
        <w:rPr>
          <w:rFonts w:ascii="Times New Roman" w:hAnsi="Times New Roman" w:cs="Times New Roman"/>
          <w:sz w:val="24"/>
          <w:szCs w:val="24"/>
        </w:rPr>
        <w:t xml:space="preserve"> v rozpočtových organizáciách </w:t>
      </w:r>
      <w:r>
        <w:rPr>
          <w:rFonts w:ascii="Times New Roman" w:hAnsi="Times New Roman" w:cs="Times New Roman"/>
          <w:sz w:val="24"/>
          <w:szCs w:val="24"/>
        </w:rPr>
        <w:t xml:space="preserve">kapitol štátneho rozpočtu </w:t>
      </w:r>
      <w:r w:rsidRPr="00F875AE">
        <w:rPr>
          <w:rFonts w:ascii="Times New Roman" w:hAnsi="Times New Roman" w:cs="Times New Roman"/>
          <w:sz w:val="24"/>
          <w:szCs w:val="24"/>
        </w:rPr>
        <w:t>zvýšený počet zamestnancov o</w:t>
      </w:r>
      <w:r>
        <w:rPr>
          <w:rFonts w:ascii="Times New Roman" w:hAnsi="Times New Roman" w:cs="Times New Roman"/>
          <w:sz w:val="24"/>
          <w:szCs w:val="24"/>
        </w:rPr>
        <w:t> </w:t>
      </w:r>
      <w:r w:rsidRPr="00F875AE">
        <w:rPr>
          <w:rFonts w:ascii="Times New Roman" w:hAnsi="Times New Roman" w:cs="Times New Roman"/>
          <w:sz w:val="24"/>
          <w:szCs w:val="24"/>
        </w:rPr>
        <w:t>74</w:t>
      </w:r>
      <w:r>
        <w:rPr>
          <w:rFonts w:ascii="Times New Roman" w:hAnsi="Times New Roman" w:cs="Times New Roman"/>
          <w:sz w:val="24"/>
          <w:szCs w:val="24"/>
        </w:rPr>
        <w:t> </w:t>
      </w:r>
      <w:r w:rsidRPr="00F875AE">
        <w:rPr>
          <w:rFonts w:ascii="Times New Roman" w:hAnsi="Times New Roman" w:cs="Times New Roman"/>
          <w:sz w:val="24"/>
          <w:szCs w:val="24"/>
        </w:rPr>
        <w:t xml:space="preserve">osôb. </w:t>
      </w:r>
      <w:r>
        <w:rPr>
          <w:rFonts w:ascii="Times New Roman" w:hAnsi="Times New Roman" w:cs="Times New Roman"/>
          <w:sz w:val="24"/>
          <w:szCs w:val="24"/>
        </w:rPr>
        <w:t>Zvýšenie o 35 zamestnancov je</w:t>
      </w:r>
      <w:r w:rsidRPr="00F875AE">
        <w:rPr>
          <w:rFonts w:ascii="Times New Roman" w:hAnsi="Times New Roman" w:cs="Times New Roman"/>
          <w:sz w:val="24"/>
          <w:szCs w:val="24"/>
        </w:rPr>
        <w:t xml:space="preserve"> zabezpečen</w:t>
      </w:r>
      <w:r>
        <w:rPr>
          <w:rFonts w:ascii="Times New Roman" w:hAnsi="Times New Roman" w:cs="Times New Roman"/>
          <w:sz w:val="24"/>
          <w:szCs w:val="24"/>
        </w:rPr>
        <w:t>é</w:t>
      </w:r>
      <w:r w:rsidRPr="00F875AE">
        <w:rPr>
          <w:rFonts w:ascii="Times New Roman" w:hAnsi="Times New Roman" w:cs="Times New Roman"/>
          <w:sz w:val="24"/>
          <w:szCs w:val="24"/>
        </w:rPr>
        <w:t xml:space="preserve"> pre kapitolu Ministerstvo vnútra SR v súvislosti s prijatím zákona o výbere mýta a </w:t>
      </w:r>
      <w:r>
        <w:rPr>
          <w:rFonts w:ascii="Times New Roman" w:hAnsi="Times New Roman" w:cs="Times New Roman"/>
          <w:sz w:val="24"/>
          <w:szCs w:val="24"/>
        </w:rPr>
        <w:t>o</w:t>
      </w:r>
      <w:r w:rsidRPr="00F875AE">
        <w:rPr>
          <w:rFonts w:ascii="Times New Roman" w:hAnsi="Times New Roman" w:cs="Times New Roman"/>
          <w:sz w:val="24"/>
          <w:szCs w:val="24"/>
        </w:rPr>
        <w:t xml:space="preserve"> 25 osôb pre kapitolu M</w:t>
      </w:r>
      <w:r>
        <w:rPr>
          <w:rFonts w:ascii="Times New Roman" w:hAnsi="Times New Roman" w:cs="Times New Roman"/>
          <w:sz w:val="24"/>
          <w:szCs w:val="24"/>
        </w:rPr>
        <w:t>inisterstvo práce, sociálnych vecí a rodiny S</w:t>
      </w:r>
      <w:r w:rsidRPr="00F875AE">
        <w:rPr>
          <w:rFonts w:ascii="Times New Roman" w:hAnsi="Times New Roman" w:cs="Times New Roman"/>
          <w:sz w:val="24"/>
          <w:szCs w:val="24"/>
        </w:rPr>
        <w:t xml:space="preserve">R, z toho na realizáciu zákona o dotáciách </w:t>
      </w:r>
      <w:r>
        <w:rPr>
          <w:rFonts w:ascii="Times New Roman" w:hAnsi="Times New Roman" w:cs="Times New Roman"/>
          <w:sz w:val="24"/>
          <w:szCs w:val="24"/>
        </w:rPr>
        <w:t xml:space="preserve">o </w:t>
      </w:r>
      <w:r w:rsidRPr="00F875AE">
        <w:rPr>
          <w:rFonts w:ascii="Times New Roman" w:hAnsi="Times New Roman" w:cs="Times New Roman"/>
          <w:sz w:val="24"/>
          <w:szCs w:val="24"/>
        </w:rPr>
        <w:t xml:space="preserve">10 osôb, zákona o podpore skrátenej práce </w:t>
      </w:r>
      <w:r>
        <w:rPr>
          <w:rFonts w:ascii="Times New Roman" w:hAnsi="Times New Roman" w:cs="Times New Roman"/>
          <w:sz w:val="24"/>
          <w:szCs w:val="24"/>
        </w:rPr>
        <w:t xml:space="preserve">o </w:t>
      </w:r>
      <w:r w:rsidRPr="00F875AE">
        <w:rPr>
          <w:rFonts w:ascii="Times New Roman" w:hAnsi="Times New Roman" w:cs="Times New Roman"/>
          <w:sz w:val="24"/>
          <w:szCs w:val="24"/>
        </w:rPr>
        <w:t>14</w:t>
      </w:r>
      <w:r>
        <w:rPr>
          <w:rFonts w:ascii="Times New Roman" w:hAnsi="Times New Roman" w:cs="Times New Roman"/>
          <w:sz w:val="24"/>
          <w:szCs w:val="24"/>
        </w:rPr>
        <w:t> </w:t>
      </w:r>
      <w:r w:rsidRPr="00F875AE">
        <w:rPr>
          <w:rFonts w:ascii="Times New Roman" w:hAnsi="Times New Roman" w:cs="Times New Roman"/>
          <w:sz w:val="24"/>
          <w:szCs w:val="24"/>
        </w:rPr>
        <w:t>osôb a</w:t>
      </w:r>
      <w:r>
        <w:rPr>
          <w:rFonts w:ascii="Times New Roman" w:hAnsi="Times New Roman" w:cs="Times New Roman"/>
          <w:sz w:val="24"/>
          <w:szCs w:val="24"/>
        </w:rPr>
        <w:t> </w:t>
      </w:r>
      <w:r w:rsidRPr="00F875AE">
        <w:rPr>
          <w:rFonts w:ascii="Times New Roman" w:hAnsi="Times New Roman" w:cs="Times New Roman"/>
          <w:sz w:val="24"/>
          <w:szCs w:val="24"/>
        </w:rPr>
        <w:t>na</w:t>
      </w:r>
      <w:r>
        <w:rPr>
          <w:rFonts w:ascii="Times New Roman" w:hAnsi="Times New Roman" w:cs="Times New Roman"/>
          <w:sz w:val="24"/>
          <w:szCs w:val="24"/>
        </w:rPr>
        <w:t> </w:t>
      </w:r>
      <w:r w:rsidRPr="00F875AE">
        <w:rPr>
          <w:rFonts w:ascii="Times New Roman" w:hAnsi="Times New Roman" w:cs="Times New Roman"/>
          <w:sz w:val="24"/>
          <w:szCs w:val="24"/>
        </w:rPr>
        <w:t xml:space="preserve">zriadenie Rady vlády pre duševné zdravie </w:t>
      </w:r>
      <w:r>
        <w:rPr>
          <w:rFonts w:ascii="Times New Roman" w:hAnsi="Times New Roman" w:cs="Times New Roman"/>
          <w:sz w:val="24"/>
          <w:szCs w:val="24"/>
        </w:rPr>
        <w:t xml:space="preserve">o </w:t>
      </w:r>
      <w:r w:rsidRPr="00F875AE">
        <w:rPr>
          <w:rFonts w:ascii="Times New Roman" w:hAnsi="Times New Roman" w:cs="Times New Roman"/>
          <w:sz w:val="24"/>
          <w:szCs w:val="24"/>
        </w:rPr>
        <w:t>1 osobu.</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 xml:space="preserve">Administratívne kapacity osobitne sledované </w:t>
      </w:r>
      <w:r>
        <w:rPr>
          <w:rFonts w:ascii="Times New Roman" w:hAnsi="Times New Roman" w:cs="Times New Roman"/>
          <w:sz w:val="24"/>
          <w:szCs w:val="24"/>
        </w:rPr>
        <w:t>sú</w:t>
      </w:r>
      <w:r w:rsidRPr="00F875AE">
        <w:rPr>
          <w:rFonts w:ascii="Times New Roman" w:hAnsi="Times New Roman" w:cs="Times New Roman"/>
          <w:sz w:val="24"/>
          <w:szCs w:val="24"/>
        </w:rPr>
        <w:t xml:space="preserve"> </w:t>
      </w:r>
      <w:r>
        <w:rPr>
          <w:rFonts w:ascii="Times New Roman" w:hAnsi="Times New Roman" w:cs="Times New Roman"/>
          <w:sz w:val="24"/>
          <w:szCs w:val="24"/>
        </w:rPr>
        <w:t xml:space="preserve">v súlade s UV SR č. 355/2020 </w:t>
      </w:r>
      <w:r w:rsidRPr="00F875AE">
        <w:rPr>
          <w:rFonts w:ascii="Times New Roman" w:hAnsi="Times New Roman" w:cs="Times New Roman"/>
          <w:sz w:val="24"/>
          <w:szCs w:val="24"/>
        </w:rPr>
        <w:t>medziročne posilnené o 1</w:t>
      </w:r>
      <w:r>
        <w:rPr>
          <w:rFonts w:ascii="Times New Roman" w:hAnsi="Times New Roman" w:cs="Times New Roman"/>
          <w:sz w:val="24"/>
          <w:szCs w:val="24"/>
        </w:rPr>
        <w:t>2</w:t>
      </w:r>
      <w:r w:rsidRPr="00F875AE">
        <w:rPr>
          <w:rFonts w:ascii="Times New Roman" w:hAnsi="Times New Roman" w:cs="Times New Roman"/>
          <w:sz w:val="24"/>
          <w:szCs w:val="24"/>
        </w:rPr>
        <w:t xml:space="preserve"> osôb</w:t>
      </w:r>
      <w:r>
        <w:rPr>
          <w:rFonts w:ascii="Times New Roman" w:hAnsi="Times New Roman" w:cs="Times New Roman"/>
          <w:sz w:val="24"/>
          <w:szCs w:val="24"/>
        </w:rPr>
        <w:t>.</w:t>
      </w:r>
      <w:r w:rsidRPr="00F875AE">
        <w:rPr>
          <w:rFonts w:ascii="Times New Roman" w:hAnsi="Times New Roman" w:cs="Times New Roman"/>
          <w:sz w:val="24"/>
          <w:szCs w:val="24"/>
        </w:rPr>
        <w:t xml:space="preserve"> </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Pr>
          <w:rFonts w:ascii="Times New Roman" w:hAnsi="Times New Roman" w:cs="Times New Roman"/>
          <w:sz w:val="24"/>
          <w:szCs w:val="24"/>
        </w:rPr>
        <w:t>D</w:t>
      </w:r>
      <w:r w:rsidRPr="00F875AE">
        <w:rPr>
          <w:rFonts w:ascii="Times New Roman" w:hAnsi="Times New Roman" w:cs="Times New Roman"/>
          <w:sz w:val="24"/>
          <w:szCs w:val="24"/>
        </w:rPr>
        <w:t xml:space="preserve">očasne </w:t>
      </w:r>
      <w:r>
        <w:rPr>
          <w:rFonts w:ascii="Times New Roman" w:hAnsi="Times New Roman" w:cs="Times New Roman"/>
          <w:sz w:val="24"/>
          <w:szCs w:val="24"/>
        </w:rPr>
        <w:t>sa na rok 2022 zvyšuje</w:t>
      </w:r>
      <w:r w:rsidRPr="00F875AE">
        <w:rPr>
          <w:rFonts w:ascii="Times New Roman" w:hAnsi="Times New Roman" w:cs="Times New Roman"/>
          <w:sz w:val="24"/>
          <w:szCs w:val="24"/>
        </w:rPr>
        <w:t xml:space="preserve"> limit počtu zamestnancov Ministerstva práce, sociálnych vecí a rodiny SR</w:t>
      </w:r>
      <w:r>
        <w:rPr>
          <w:rFonts w:ascii="Times New Roman" w:hAnsi="Times New Roman" w:cs="Times New Roman"/>
          <w:sz w:val="24"/>
          <w:szCs w:val="24"/>
        </w:rPr>
        <w:t xml:space="preserve"> o 25 osôb</w:t>
      </w:r>
      <w:r w:rsidRPr="00F875AE">
        <w:rPr>
          <w:rFonts w:ascii="Times New Roman" w:hAnsi="Times New Roman" w:cs="Times New Roman"/>
          <w:sz w:val="24"/>
          <w:szCs w:val="24"/>
        </w:rPr>
        <w:t xml:space="preserve"> v súvislosti s re</w:t>
      </w:r>
      <w:r>
        <w:rPr>
          <w:rFonts w:ascii="Times New Roman" w:hAnsi="Times New Roman" w:cs="Times New Roman"/>
          <w:sz w:val="24"/>
          <w:szCs w:val="24"/>
        </w:rPr>
        <w:t xml:space="preserve">alizáciou projektu Prvá pomoc. Projekt bude realizovať 150 zamestnancov v termíne  </w:t>
      </w:r>
      <w:r w:rsidRPr="00F875AE">
        <w:rPr>
          <w:rFonts w:ascii="Times New Roman" w:hAnsi="Times New Roman" w:cs="Times New Roman"/>
          <w:sz w:val="24"/>
          <w:szCs w:val="24"/>
        </w:rPr>
        <w:t>do 28.</w:t>
      </w:r>
      <w:r>
        <w:rPr>
          <w:rFonts w:ascii="Times New Roman" w:hAnsi="Times New Roman" w:cs="Times New Roman"/>
          <w:sz w:val="24"/>
          <w:szCs w:val="24"/>
        </w:rPr>
        <w:t> </w:t>
      </w:r>
      <w:r w:rsidRPr="00F875AE">
        <w:rPr>
          <w:rFonts w:ascii="Times New Roman" w:hAnsi="Times New Roman" w:cs="Times New Roman"/>
          <w:sz w:val="24"/>
          <w:szCs w:val="24"/>
        </w:rPr>
        <w:t>2.</w:t>
      </w:r>
      <w:r>
        <w:rPr>
          <w:rFonts w:ascii="Times New Roman" w:hAnsi="Times New Roman" w:cs="Times New Roman"/>
          <w:sz w:val="24"/>
          <w:szCs w:val="24"/>
        </w:rPr>
        <w:t> </w:t>
      </w:r>
      <w:r w:rsidRPr="00F875AE">
        <w:rPr>
          <w:rFonts w:ascii="Times New Roman" w:hAnsi="Times New Roman" w:cs="Times New Roman"/>
          <w:sz w:val="24"/>
          <w:szCs w:val="24"/>
        </w:rPr>
        <w:t>2022</w:t>
      </w:r>
      <w:r>
        <w:rPr>
          <w:rFonts w:ascii="Times New Roman" w:hAnsi="Times New Roman" w:cs="Times New Roman"/>
          <w:sz w:val="24"/>
          <w:szCs w:val="24"/>
        </w:rPr>
        <w:t>.</w:t>
      </w:r>
      <w:r w:rsidRPr="00F875AE">
        <w:rPr>
          <w:rFonts w:ascii="Times New Roman" w:hAnsi="Times New Roman" w:cs="Times New Roman"/>
          <w:sz w:val="24"/>
          <w:szCs w:val="24"/>
        </w:rPr>
        <w:t xml:space="preserve"> </w:t>
      </w:r>
    </w:p>
    <w:p w:rsidR="00F0616E" w:rsidRPr="00F875A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r>
        <w:rPr>
          <w:rFonts w:ascii="Times New Roman" w:hAnsi="Times New Roman" w:cs="Times New Roman"/>
          <w:sz w:val="24"/>
          <w:szCs w:val="24"/>
        </w:rPr>
        <w:t>S realizáciou opatrení vyplývajúcich z Revízie výdavkov zamestnanosti a odmeňovania vo verejnej správe súvisí ďalšie</w:t>
      </w:r>
      <w:r w:rsidRPr="00F875AE">
        <w:rPr>
          <w:rFonts w:ascii="Times New Roman" w:hAnsi="Times New Roman" w:cs="Times New Roman"/>
          <w:sz w:val="24"/>
          <w:szCs w:val="24"/>
        </w:rPr>
        <w:t xml:space="preserve"> medziročn</w:t>
      </w:r>
      <w:r>
        <w:rPr>
          <w:rFonts w:ascii="Times New Roman" w:hAnsi="Times New Roman" w:cs="Times New Roman"/>
          <w:sz w:val="24"/>
          <w:szCs w:val="24"/>
        </w:rPr>
        <w:t>é zníženie</w:t>
      </w:r>
      <w:r w:rsidRPr="00F875AE">
        <w:rPr>
          <w:rFonts w:ascii="Times New Roman" w:hAnsi="Times New Roman" w:cs="Times New Roman"/>
          <w:sz w:val="24"/>
          <w:szCs w:val="24"/>
        </w:rPr>
        <w:t xml:space="preserve"> počtu zamestnancov </w:t>
      </w:r>
      <w:r>
        <w:rPr>
          <w:rFonts w:ascii="Times New Roman" w:hAnsi="Times New Roman" w:cs="Times New Roman"/>
          <w:sz w:val="24"/>
          <w:szCs w:val="24"/>
        </w:rPr>
        <w:t xml:space="preserve">rozpočtových organizácií. V nadväznosti </w:t>
      </w:r>
      <w:r w:rsidRPr="00EE7212">
        <w:rPr>
          <w:rFonts w:ascii="Times New Roman" w:hAnsi="Times New Roman" w:cs="Times New Roman"/>
          <w:sz w:val="24"/>
          <w:szCs w:val="24"/>
        </w:rPr>
        <w:t xml:space="preserve">na prijaté opatrenie sa v kapitole Ministerstvo vnútra SR v roku 2022 znižuje počet miest policajtov o ďalších 623 z dôvodu </w:t>
      </w:r>
      <w:r>
        <w:rPr>
          <w:rFonts w:ascii="Times New Roman" w:hAnsi="Times New Roman" w:cs="Times New Roman"/>
          <w:sz w:val="24"/>
          <w:szCs w:val="24"/>
        </w:rPr>
        <w:t>optimalizácie počtu p</w:t>
      </w:r>
      <w:r w:rsidRPr="00EE7212">
        <w:rPr>
          <w:rFonts w:ascii="Times New Roman" w:hAnsi="Times New Roman" w:cs="Times New Roman"/>
          <w:sz w:val="24"/>
          <w:szCs w:val="24"/>
        </w:rPr>
        <w:t xml:space="preserve">olicajtov </w:t>
      </w:r>
      <w:r>
        <w:rPr>
          <w:rFonts w:ascii="Times New Roman" w:hAnsi="Times New Roman" w:cs="Times New Roman"/>
          <w:sz w:val="24"/>
          <w:szCs w:val="24"/>
        </w:rPr>
        <w:t>do roku 2027 a postupné</w:t>
      </w:r>
      <w:r w:rsidR="00A34219">
        <w:rPr>
          <w:rFonts w:ascii="Times New Roman" w:hAnsi="Times New Roman" w:cs="Times New Roman"/>
          <w:sz w:val="24"/>
          <w:szCs w:val="24"/>
        </w:rPr>
        <w:t>ho</w:t>
      </w:r>
      <w:r w:rsidR="00A7163D">
        <w:rPr>
          <w:rFonts w:ascii="Times New Roman" w:hAnsi="Times New Roman" w:cs="Times New Roman"/>
          <w:sz w:val="24"/>
          <w:szCs w:val="24"/>
        </w:rPr>
        <w:t xml:space="preserve"> dorovnania</w:t>
      </w:r>
      <w:r>
        <w:rPr>
          <w:rFonts w:ascii="Times New Roman" w:hAnsi="Times New Roman" w:cs="Times New Roman"/>
          <w:sz w:val="24"/>
          <w:szCs w:val="24"/>
        </w:rPr>
        <w:t xml:space="preserve"> </w:t>
      </w:r>
      <w:r w:rsidRPr="00EE7212">
        <w:rPr>
          <w:rFonts w:ascii="Times New Roman" w:hAnsi="Times New Roman" w:cs="Times New Roman"/>
          <w:sz w:val="24"/>
          <w:szCs w:val="24"/>
        </w:rPr>
        <w:t>k</w:t>
      </w:r>
      <w:r>
        <w:rPr>
          <w:rFonts w:ascii="Times New Roman" w:hAnsi="Times New Roman" w:cs="Times New Roman"/>
          <w:sz w:val="24"/>
          <w:szCs w:val="24"/>
        </w:rPr>
        <w:t> priemeru počtu policajtov na 1000 obyvateľov v krajinách EÚ.</w:t>
      </w: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p>
    <w:p w:rsidR="00F0616E" w:rsidRPr="002C35FD" w:rsidRDefault="00F0616E" w:rsidP="004F568C">
      <w:pPr>
        <w:pStyle w:val="Popis"/>
        <w:spacing w:after="0"/>
        <w:rPr>
          <w:rFonts w:ascii="Times New Roman" w:hAnsi="Times New Roman" w:cs="Times New Roman"/>
          <w:b/>
          <w:i w:val="0"/>
          <w:color w:val="FF0000"/>
          <w:sz w:val="20"/>
          <w:szCs w:val="20"/>
        </w:rPr>
      </w:pPr>
      <w:bookmarkStart w:id="147" w:name="_Toc52988829"/>
      <w:bookmarkStart w:id="148" w:name="_Toc84848006"/>
      <w:r w:rsidRPr="00F0616E">
        <w:rPr>
          <w:rFonts w:ascii="Times New Roman" w:eastAsia="Calibri" w:hAnsi="Times New Roman"/>
          <w:b/>
          <w:i w:val="0"/>
          <w:color w:val="5B9BD5"/>
          <w:sz w:val="20"/>
        </w:rPr>
        <w:t xml:space="preserve">Graf </w:t>
      </w:r>
      <w:r w:rsidRPr="00F0616E">
        <w:rPr>
          <w:rFonts w:ascii="Times New Roman" w:eastAsia="Calibri" w:hAnsi="Times New Roman"/>
          <w:b/>
          <w:i w:val="0"/>
          <w:iCs w:val="0"/>
          <w:color w:val="5B9BD5"/>
          <w:sz w:val="20"/>
        </w:rPr>
        <w:fldChar w:fldCharType="begin"/>
      </w:r>
      <w:r w:rsidRPr="00F0616E">
        <w:rPr>
          <w:rFonts w:ascii="Times New Roman" w:eastAsia="Calibri" w:hAnsi="Times New Roman"/>
          <w:b/>
          <w:i w:val="0"/>
          <w:color w:val="5B9BD5"/>
          <w:sz w:val="20"/>
        </w:rPr>
        <w:instrText xml:space="preserve"> SEQ Obrázok \* ARABIC </w:instrText>
      </w:r>
      <w:r w:rsidRPr="00F0616E">
        <w:rPr>
          <w:rFonts w:ascii="Times New Roman" w:eastAsia="Calibri" w:hAnsi="Times New Roman"/>
          <w:b/>
          <w:i w:val="0"/>
          <w:iCs w:val="0"/>
          <w:color w:val="5B9BD5"/>
          <w:sz w:val="20"/>
        </w:rPr>
        <w:fldChar w:fldCharType="separate"/>
      </w:r>
      <w:r w:rsidR="006E67C6">
        <w:rPr>
          <w:rFonts w:ascii="Times New Roman" w:eastAsia="Calibri" w:hAnsi="Times New Roman"/>
          <w:b/>
          <w:i w:val="0"/>
          <w:noProof/>
          <w:color w:val="5B9BD5"/>
          <w:sz w:val="20"/>
        </w:rPr>
        <w:t>15</w:t>
      </w:r>
      <w:r w:rsidRPr="00F0616E">
        <w:rPr>
          <w:rFonts w:ascii="Times New Roman" w:eastAsia="Calibri" w:hAnsi="Times New Roman"/>
          <w:b/>
          <w:i w:val="0"/>
          <w:iCs w:val="0"/>
          <w:color w:val="5B9BD5"/>
          <w:sz w:val="20"/>
        </w:rPr>
        <w:fldChar w:fldCharType="end"/>
      </w:r>
      <w:r w:rsidR="00503FEF">
        <w:rPr>
          <w:rFonts w:ascii="Times New Roman" w:hAnsi="Times New Roman" w:cs="Times New Roman"/>
          <w:b/>
          <w:i w:val="0"/>
          <w:color w:val="5B9BD5" w:themeColor="accent1"/>
          <w:sz w:val="20"/>
          <w:szCs w:val="20"/>
        </w:rPr>
        <w:t xml:space="preserve"> -</w:t>
      </w:r>
      <w:r w:rsidRPr="002C35FD">
        <w:rPr>
          <w:rFonts w:ascii="Times New Roman" w:hAnsi="Times New Roman" w:cs="Times New Roman"/>
          <w:b/>
          <w:i w:val="0"/>
          <w:color w:val="5B9BD5" w:themeColor="accent1"/>
          <w:sz w:val="20"/>
          <w:szCs w:val="20"/>
        </w:rPr>
        <w:t xml:space="preserve"> Medziročná zmena počtu zamestnancov</w:t>
      </w:r>
      <w:bookmarkEnd w:id="147"/>
      <w:bookmarkEnd w:id="148"/>
      <w:r w:rsidRPr="002C35FD">
        <w:rPr>
          <w:rFonts w:ascii="Times New Roman" w:hAnsi="Times New Roman" w:cs="Times New Roman"/>
          <w:b/>
          <w:i w:val="0"/>
          <w:color w:val="FF0000"/>
          <w:sz w:val="20"/>
          <w:szCs w:val="20"/>
        </w:rPr>
        <w:t xml:space="preserve"> </w:t>
      </w:r>
    </w:p>
    <w:p w:rsidR="00F0616E" w:rsidRPr="002C35FD" w:rsidRDefault="00F0616E" w:rsidP="00F0616E">
      <w:pPr>
        <w:spacing w:after="0"/>
        <w:jc w:val="both"/>
        <w:rPr>
          <w:noProof/>
          <w:lang w:eastAsia="sk-SK"/>
        </w:rPr>
      </w:pPr>
      <w:r>
        <w:rPr>
          <w:noProof/>
          <w:lang w:eastAsia="sk-SK"/>
        </w:rPr>
        <w:drawing>
          <wp:inline distT="0" distB="0" distL="0" distR="0" wp14:anchorId="182B9F67" wp14:editId="5C8EF361">
            <wp:extent cx="2733675" cy="3233420"/>
            <wp:effectExtent l="0" t="0" r="9525" b="508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C35FD">
        <w:rPr>
          <w:rFonts w:ascii="Times New Roman" w:hAnsi="Times New Roman" w:cs="Times New Roman"/>
          <w:sz w:val="24"/>
          <w:szCs w:val="24"/>
        </w:rPr>
        <w:t xml:space="preserve">      </w:t>
      </w:r>
      <w:r w:rsidRPr="002C35FD">
        <w:rPr>
          <w:noProof/>
          <w:lang w:eastAsia="sk-SK"/>
        </w:rPr>
        <w:drawing>
          <wp:inline distT="0" distB="0" distL="0" distR="0" wp14:anchorId="731BC815" wp14:editId="0BD7CF1C">
            <wp:extent cx="2714625" cy="3242945"/>
            <wp:effectExtent l="0" t="0" r="9525" b="1460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C35FD">
        <w:rPr>
          <w:rFonts w:ascii="Times New Roman" w:hAnsi="Times New Roman" w:cs="Times New Roman"/>
          <w:sz w:val="24"/>
          <w:szCs w:val="24"/>
        </w:rPr>
        <w:t xml:space="preserve"> </w:t>
      </w:r>
    </w:p>
    <w:p w:rsidR="00F0616E" w:rsidRPr="002C35FD" w:rsidRDefault="00F0616E" w:rsidP="00F0616E">
      <w:pPr>
        <w:spacing w:after="0"/>
        <w:jc w:val="both"/>
        <w:rPr>
          <w:rFonts w:ascii="Times New Roman" w:hAnsi="Times New Roman" w:cs="Times New Roman"/>
          <w:i/>
          <w:sz w:val="16"/>
          <w:szCs w:val="16"/>
        </w:rPr>
      </w:pPr>
      <w:r w:rsidRPr="002C35FD">
        <w:rPr>
          <w:i/>
          <w:noProof/>
          <w:lang w:eastAsia="sk-SK"/>
        </w:rPr>
        <w:t xml:space="preserve">                                                                   </w:t>
      </w:r>
      <w:r w:rsidRPr="002C35FD">
        <w:rPr>
          <w:rFonts w:ascii="Times New Roman" w:hAnsi="Times New Roman" w:cs="Times New Roman"/>
          <w:i/>
          <w:noProof/>
          <w:sz w:val="16"/>
          <w:szCs w:val="16"/>
          <w:lang w:eastAsia="sk-SK"/>
        </w:rPr>
        <w:t>Zdroj: MF SR                                                                                             Zdroj: MF SR</w:t>
      </w:r>
    </w:p>
    <w:p w:rsidR="00F0616E" w:rsidRPr="00013173" w:rsidRDefault="00F0616E" w:rsidP="00F0616E">
      <w:pPr>
        <w:spacing w:after="0"/>
        <w:jc w:val="both"/>
        <w:rPr>
          <w:rFonts w:ascii="Times New Roman" w:hAnsi="Times New Roman" w:cs="Times New Roman"/>
          <w:sz w:val="24"/>
          <w:szCs w:val="24"/>
          <w:highlight w:val="yellow"/>
        </w:rPr>
      </w:pPr>
    </w:p>
    <w:p w:rsidR="00F0616E" w:rsidRPr="008E5A48" w:rsidRDefault="00F0616E" w:rsidP="00F0616E">
      <w:pPr>
        <w:spacing w:after="0"/>
        <w:rPr>
          <w:rFonts w:ascii="Times New Roman" w:hAnsi="Times New Roman"/>
          <w:b/>
          <w:i/>
          <w:color w:val="5B9BD5" w:themeColor="accent1"/>
          <w:sz w:val="24"/>
          <w:szCs w:val="24"/>
        </w:rPr>
      </w:pPr>
      <w:r w:rsidRPr="008E5A48">
        <w:rPr>
          <w:rFonts w:ascii="Times New Roman" w:hAnsi="Times New Roman"/>
          <w:b/>
          <w:color w:val="5B9BD5" w:themeColor="accent1"/>
          <w:sz w:val="24"/>
          <w:szCs w:val="24"/>
        </w:rPr>
        <w:t xml:space="preserve">Rozpočtovanie osobných výdavkov </w:t>
      </w:r>
    </w:p>
    <w:p w:rsidR="00F0616E" w:rsidRPr="008E5A48" w:rsidRDefault="00F0616E" w:rsidP="00F0616E">
      <w:pPr>
        <w:spacing w:after="0"/>
        <w:jc w:val="both"/>
        <w:rPr>
          <w:rFonts w:ascii="Times New Roman" w:hAnsi="Times New Roman" w:cs="Times New Roman"/>
          <w:sz w:val="24"/>
          <w:szCs w:val="24"/>
        </w:rPr>
      </w:pPr>
    </w:p>
    <w:p w:rsidR="00F0616E" w:rsidRPr="00634385" w:rsidRDefault="00F0616E" w:rsidP="00F0616E">
      <w:pPr>
        <w:spacing w:after="0"/>
        <w:jc w:val="both"/>
        <w:rPr>
          <w:rFonts w:ascii="Times New Roman" w:hAnsi="Times New Roman" w:cs="Times New Roman"/>
          <w:b/>
          <w:sz w:val="24"/>
          <w:szCs w:val="24"/>
        </w:rPr>
      </w:pPr>
      <w:r w:rsidRPr="00BF1DAD">
        <w:rPr>
          <w:rFonts w:ascii="Times New Roman" w:hAnsi="Times New Roman" w:cs="Times New Roman"/>
          <w:sz w:val="24"/>
          <w:szCs w:val="24"/>
        </w:rPr>
        <w:t xml:space="preserve">Pre 429 010 zamestnancov sektoru verejnej správy sa na rok 2022 </w:t>
      </w:r>
      <w:r w:rsidRPr="00634385">
        <w:rPr>
          <w:rFonts w:ascii="Times New Roman" w:hAnsi="Times New Roman" w:cs="Times New Roman"/>
          <w:b/>
          <w:sz w:val="24"/>
          <w:szCs w:val="24"/>
        </w:rPr>
        <w:t xml:space="preserve">rozpočtujú osobné výdavky v sume 9,90 mld. eur, z toho mzdy 7,29 mld. eur. </w:t>
      </w:r>
      <w:r>
        <w:rPr>
          <w:rFonts w:ascii="Times New Roman" w:hAnsi="Times New Roman" w:cs="Times New Roman"/>
          <w:sz w:val="24"/>
          <w:szCs w:val="24"/>
        </w:rPr>
        <w:t xml:space="preserve">Osobné výdavky sektoru verejnej správy medziročne </w:t>
      </w:r>
      <w:r w:rsidRPr="00CC4845">
        <w:rPr>
          <w:rFonts w:ascii="Times New Roman" w:hAnsi="Times New Roman" w:cs="Times New Roman"/>
          <w:sz w:val="24"/>
          <w:szCs w:val="24"/>
        </w:rPr>
        <w:t>rastú o 272 mil. eur,</w:t>
      </w:r>
      <w:r>
        <w:rPr>
          <w:rFonts w:ascii="Times New Roman" w:hAnsi="Times New Roman" w:cs="Times New Roman"/>
          <w:sz w:val="24"/>
          <w:szCs w:val="24"/>
        </w:rPr>
        <w:t xml:space="preserve"> z toho  o 45,6 mil. eur na realizáciu Plánu obnovy a odolnosti SR. </w:t>
      </w:r>
      <w:r w:rsidRPr="00F875AE">
        <w:rPr>
          <w:rFonts w:ascii="Times New Roman" w:hAnsi="Times New Roman" w:cs="Times New Roman"/>
          <w:sz w:val="24"/>
          <w:szCs w:val="24"/>
        </w:rPr>
        <w:t xml:space="preserve">Rozpočtované osobné výdavky </w:t>
      </w:r>
      <w:r>
        <w:rPr>
          <w:rFonts w:ascii="Times New Roman" w:hAnsi="Times New Roman" w:cs="Times New Roman"/>
          <w:sz w:val="24"/>
          <w:szCs w:val="24"/>
        </w:rPr>
        <w:t xml:space="preserve">zamestnancov sektora verejnej správy </w:t>
      </w:r>
      <w:r w:rsidR="00A34219">
        <w:rPr>
          <w:rFonts w:ascii="Times New Roman" w:hAnsi="Times New Roman" w:cs="Times New Roman"/>
          <w:b/>
          <w:sz w:val="24"/>
          <w:szCs w:val="24"/>
        </w:rPr>
        <w:t>zodpovedajú  20,0</w:t>
      </w:r>
      <w:r w:rsidRPr="00634385">
        <w:rPr>
          <w:rFonts w:ascii="Times New Roman" w:hAnsi="Times New Roman" w:cs="Times New Roman"/>
          <w:b/>
          <w:sz w:val="24"/>
          <w:szCs w:val="24"/>
        </w:rPr>
        <w:t> % zo súhrnných výdavkov verejnej správy.</w:t>
      </w:r>
    </w:p>
    <w:p w:rsidR="00F0616E" w:rsidRDefault="00F0616E" w:rsidP="00F0616E">
      <w:pPr>
        <w:spacing w:after="0"/>
        <w:jc w:val="both"/>
        <w:rPr>
          <w:rFonts w:ascii="Times New Roman" w:hAnsi="Times New Roman" w:cs="Times New Roman"/>
          <w:sz w:val="24"/>
          <w:szCs w:val="24"/>
        </w:rPr>
      </w:pPr>
    </w:p>
    <w:p w:rsidR="00F0616E" w:rsidRDefault="0022093A" w:rsidP="00F0616E">
      <w:pPr>
        <w:pStyle w:val="Popis"/>
        <w:keepNext/>
        <w:spacing w:after="0"/>
        <w:rPr>
          <w:rFonts w:ascii="Times New Roman" w:hAnsi="Times New Roman" w:cs="Times New Roman"/>
          <w:b/>
          <w:i w:val="0"/>
          <w:color w:val="5B9BD5" w:themeColor="accent1"/>
          <w:sz w:val="20"/>
          <w:szCs w:val="20"/>
        </w:rPr>
      </w:pPr>
      <w:bookmarkStart w:id="149" w:name="_Toc52988821"/>
      <w:bookmarkStart w:id="150" w:name="_Toc84845273"/>
      <w:r w:rsidRPr="00192C79">
        <w:rPr>
          <w:rFonts w:ascii="Times New Roman" w:hAnsi="Times New Roman" w:cs="Times New Roman"/>
          <w:b/>
          <w:i w:val="0"/>
          <w:color w:val="5B9BD5" w:themeColor="accent1"/>
          <w:sz w:val="20"/>
          <w:szCs w:val="20"/>
        </w:rPr>
        <w:t xml:space="preserve">Tabuľka </w:t>
      </w:r>
      <w:r w:rsidRPr="00192C79">
        <w:rPr>
          <w:rFonts w:ascii="Times New Roman" w:hAnsi="Times New Roman" w:cs="Times New Roman"/>
          <w:b/>
          <w:i w:val="0"/>
          <w:color w:val="5B9BD5" w:themeColor="accent1"/>
          <w:sz w:val="20"/>
          <w:szCs w:val="20"/>
        </w:rPr>
        <w:fldChar w:fldCharType="begin"/>
      </w:r>
      <w:r w:rsidRPr="00192C79">
        <w:rPr>
          <w:rFonts w:ascii="Times New Roman" w:hAnsi="Times New Roman" w:cs="Times New Roman"/>
          <w:b/>
          <w:i w:val="0"/>
          <w:color w:val="5B9BD5" w:themeColor="accent1"/>
          <w:sz w:val="20"/>
          <w:szCs w:val="20"/>
        </w:rPr>
        <w:instrText xml:space="preserve"> SEQ Tabuľka \* ARABIC </w:instrText>
      </w:r>
      <w:r w:rsidRPr="00192C79">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49</w:t>
      </w:r>
      <w:r w:rsidRPr="00192C79">
        <w:rPr>
          <w:rFonts w:ascii="Times New Roman" w:hAnsi="Times New Roman" w:cs="Times New Roman"/>
          <w:b/>
          <w:i w:val="0"/>
          <w:color w:val="5B9BD5" w:themeColor="accent1"/>
          <w:sz w:val="20"/>
          <w:szCs w:val="20"/>
        </w:rPr>
        <w:fldChar w:fldCharType="end"/>
      </w:r>
      <w:r w:rsidR="00F0616E" w:rsidRPr="002C35FD">
        <w:rPr>
          <w:rFonts w:ascii="Times New Roman" w:hAnsi="Times New Roman" w:cs="Times New Roman"/>
          <w:b/>
          <w:i w:val="0"/>
          <w:color w:val="5B9BD5" w:themeColor="accent1"/>
          <w:sz w:val="20"/>
          <w:szCs w:val="20"/>
        </w:rPr>
        <w:t xml:space="preserve"> - Ukazovatele zamestnanosti v subjektoch verejnej správy</w:t>
      </w:r>
      <w:bookmarkEnd w:id="149"/>
      <w:bookmarkEnd w:id="150"/>
      <w:r w:rsidR="00F0616E" w:rsidRPr="002C35FD">
        <w:rPr>
          <w:rFonts w:ascii="Times New Roman" w:hAnsi="Times New Roman" w:cs="Times New Roman"/>
          <w:b/>
          <w:i w:val="0"/>
          <w:color w:val="5B9BD5" w:themeColor="accent1"/>
          <w:sz w:val="20"/>
          <w:szCs w:val="20"/>
        </w:rPr>
        <w:t xml:space="preserve"> </w:t>
      </w:r>
    </w:p>
    <w:tbl>
      <w:tblPr>
        <w:tblW w:w="9164" w:type="dxa"/>
        <w:tblCellMar>
          <w:left w:w="70" w:type="dxa"/>
          <w:right w:w="70" w:type="dxa"/>
        </w:tblCellMar>
        <w:tblLook w:val="04A0" w:firstRow="1" w:lastRow="0" w:firstColumn="1" w:lastColumn="0" w:noHBand="0" w:noVBand="1"/>
      </w:tblPr>
      <w:tblGrid>
        <w:gridCol w:w="2134"/>
        <w:gridCol w:w="729"/>
        <w:gridCol w:w="887"/>
        <w:gridCol w:w="887"/>
        <w:gridCol w:w="887"/>
        <w:gridCol w:w="887"/>
        <w:gridCol w:w="887"/>
        <w:gridCol w:w="887"/>
        <w:gridCol w:w="887"/>
        <w:gridCol w:w="92"/>
      </w:tblGrid>
      <w:tr w:rsidR="00F0616E" w:rsidRPr="006475C9" w:rsidTr="00EE76B1">
        <w:trPr>
          <w:gridAfter w:val="1"/>
          <w:wAfter w:w="92" w:type="dxa"/>
          <w:trHeight w:val="300"/>
        </w:trPr>
        <w:tc>
          <w:tcPr>
            <w:tcW w:w="2134"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Verejná správa spolu</w:t>
            </w:r>
          </w:p>
        </w:tc>
        <w:tc>
          <w:tcPr>
            <w:tcW w:w="729"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 </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2019  S</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2020  S</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2021  R</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2021  OS</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2022  N</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2023  N</w:t>
            </w:r>
          </w:p>
        </w:tc>
        <w:tc>
          <w:tcPr>
            <w:tcW w:w="887" w:type="dxa"/>
            <w:tcBorders>
              <w:top w:val="single" w:sz="4" w:space="0" w:color="auto"/>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2024  N</w:t>
            </w:r>
          </w:p>
        </w:tc>
      </w:tr>
      <w:tr w:rsidR="00F0616E" w:rsidRPr="006475C9" w:rsidTr="00EE76B1">
        <w:trPr>
          <w:gridAfter w:val="1"/>
          <w:wAfter w:w="92" w:type="dxa"/>
          <w:trHeight w:val="300"/>
        </w:trPr>
        <w:tc>
          <w:tcPr>
            <w:tcW w:w="2134"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Počet zamestnancov</w:t>
            </w:r>
          </w:p>
        </w:tc>
        <w:tc>
          <w:tcPr>
            <w:tcW w:w="729"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(osoby)</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422 243</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426 993</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427 388</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426 551</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429 010</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427 919</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427 175</w:t>
            </w:r>
          </w:p>
        </w:tc>
      </w:tr>
      <w:tr w:rsidR="00F0616E" w:rsidRPr="00CC4845" w:rsidTr="00EE76B1">
        <w:trPr>
          <w:gridAfter w:val="1"/>
          <w:wAfter w:w="92" w:type="dxa"/>
          <w:trHeight w:val="300"/>
        </w:trPr>
        <w:tc>
          <w:tcPr>
            <w:tcW w:w="2134"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Osobné výdavky</w:t>
            </w:r>
          </w:p>
        </w:tc>
        <w:tc>
          <w:tcPr>
            <w:tcW w:w="729"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w:t>
            </w:r>
            <w:r w:rsidRPr="006475C9">
              <w:rPr>
                <w:rFonts w:ascii="Times New Roman" w:eastAsia="Times New Roman" w:hAnsi="Times New Roman" w:cs="Times New Roman"/>
                <w:b/>
                <w:bCs/>
                <w:color w:val="000000"/>
                <w:sz w:val="16"/>
                <w:szCs w:val="16"/>
                <w:lang w:eastAsia="sk-SK"/>
              </w:rPr>
              <w:t>tis. eur</w:t>
            </w:r>
            <w:r w:rsidRPr="006475C9">
              <w:rPr>
                <w:rFonts w:ascii="Times New Roman" w:eastAsia="Times New Roman" w:hAnsi="Times New Roman" w:cs="Times New Roman"/>
                <w:color w:val="000000"/>
                <w:sz w:val="16"/>
                <w:szCs w:val="16"/>
                <w:lang w:eastAsia="sk-SK"/>
              </w:rPr>
              <w:t>)</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8 791 410</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9 590 556</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9 625 298</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9 919 036</w:t>
            </w:r>
          </w:p>
        </w:tc>
        <w:tc>
          <w:tcPr>
            <w:tcW w:w="887" w:type="dxa"/>
            <w:tcBorders>
              <w:top w:val="nil"/>
              <w:left w:val="nil"/>
              <w:bottom w:val="nil"/>
              <w:right w:val="nil"/>
            </w:tcBorders>
            <w:shd w:val="clear" w:color="auto" w:fill="auto"/>
            <w:noWrap/>
            <w:vAlign w:val="center"/>
            <w:hideMark/>
          </w:tcPr>
          <w:p w:rsidR="00F0616E" w:rsidRPr="00CC4845"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CC4845">
              <w:rPr>
                <w:rFonts w:ascii="Times New Roman" w:eastAsia="Times New Roman" w:hAnsi="Times New Roman" w:cs="Times New Roman"/>
                <w:b/>
                <w:bCs/>
                <w:color w:val="000000"/>
                <w:sz w:val="16"/>
                <w:szCs w:val="16"/>
                <w:lang w:eastAsia="sk-SK"/>
              </w:rPr>
              <w:t>9 896 919</w:t>
            </w:r>
          </w:p>
        </w:tc>
        <w:tc>
          <w:tcPr>
            <w:tcW w:w="887" w:type="dxa"/>
            <w:tcBorders>
              <w:top w:val="nil"/>
              <w:left w:val="nil"/>
              <w:bottom w:val="nil"/>
              <w:right w:val="nil"/>
            </w:tcBorders>
            <w:shd w:val="clear" w:color="auto" w:fill="auto"/>
            <w:noWrap/>
            <w:vAlign w:val="center"/>
            <w:hideMark/>
          </w:tcPr>
          <w:p w:rsidR="00F0616E" w:rsidRPr="00CC4845"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CC4845">
              <w:rPr>
                <w:rFonts w:ascii="Times New Roman" w:eastAsia="Times New Roman" w:hAnsi="Times New Roman" w:cs="Times New Roman"/>
                <w:b/>
                <w:bCs/>
                <w:color w:val="000000"/>
                <w:sz w:val="16"/>
                <w:szCs w:val="16"/>
                <w:lang w:eastAsia="sk-SK"/>
              </w:rPr>
              <w:t>10 115 939</w:t>
            </w:r>
          </w:p>
        </w:tc>
        <w:tc>
          <w:tcPr>
            <w:tcW w:w="887" w:type="dxa"/>
            <w:tcBorders>
              <w:top w:val="nil"/>
              <w:left w:val="nil"/>
              <w:bottom w:val="nil"/>
              <w:right w:val="nil"/>
            </w:tcBorders>
            <w:shd w:val="clear" w:color="auto" w:fill="auto"/>
            <w:noWrap/>
            <w:vAlign w:val="center"/>
            <w:hideMark/>
          </w:tcPr>
          <w:p w:rsidR="00F0616E" w:rsidRPr="00CC4845"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CC4845">
              <w:rPr>
                <w:rFonts w:ascii="Times New Roman" w:eastAsia="Times New Roman" w:hAnsi="Times New Roman" w:cs="Times New Roman"/>
                <w:b/>
                <w:bCs/>
                <w:color w:val="000000"/>
                <w:sz w:val="16"/>
                <w:szCs w:val="16"/>
                <w:lang w:eastAsia="sk-SK"/>
              </w:rPr>
              <w:t>10 394 583</w:t>
            </w:r>
          </w:p>
        </w:tc>
      </w:tr>
      <w:tr w:rsidR="00F0616E" w:rsidRPr="00CC4845" w:rsidTr="00EE76B1">
        <w:trPr>
          <w:gridAfter w:val="1"/>
          <w:wAfter w:w="92" w:type="dxa"/>
          <w:trHeight w:val="300"/>
        </w:trPr>
        <w:tc>
          <w:tcPr>
            <w:tcW w:w="2134"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 xml:space="preserve">        z toho: mzdové výdavky</w:t>
            </w:r>
          </w:p>
        </w:tc>
        <w:tc>
          <w:tcPr>
            <w:tcW w:w="729"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(tis. eur)</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6 478 752</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7 095 485</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7 074 584</w:t>
            </w:r>
          </w:p>
        </w:tc>
        <w:tc>
          <w:tcPr>
            <w:tcW w:w="887" w:type="dxa"/>
            <w:tcBorders>
              <w:top w:val="nil"/>
              <w:left w:val="nil"/>
              <w:bottom w:val="nil"/>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7 346 474</w:t>
            </w:r>
          </w:p>
        </w:tc>
        <w:tc>
          <w:tcPr>
            <w:tcW w:w="887" w:type="dxa"/>
            <w:tcBorders>
              <w:top w:val="nil"/>
              <w:left w:val="nil"/>
              <w:bottom w:val="nil"/>
              <w:right w:val="nil"/>
            </w:tcBorders>
            <w:shd w:val="clear" w:color="auto" w:fill="auto"/>
            <w:noWrap/>
            <w:vAlign w:val="center"/>
            <w:hideMark/>
          </w:tcPr>
          <w:p w:rsidR="00F0616E" w:rsidRPr="00CC4845"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CC4845">
              <w:rPr>
                <w:rFonts w:ascii="Times New Roman" w:eastAsia="Times New Roman" w:hAnsi="Times New Roman" w:cs="Times New Roman"/>
                <w:color w:val="000000"/>
                <w:sz w:val="16"/>
                <w:szCs w:val="16"/>
                <w:lang w:eastAsia="sk-SK"/>
              </w:rPr>
              <w:t>7 291 562</w:t>
            </w:r>
          </w:p>
        </w:tc>
        <w:tc>
          <w:tcPr>
            <w:tcW w:w="887" w:type="dxa"/>
            <w:tcBorders>
              <w:top w:val="nil"/>
              <w:left w:val="nil"/>
              <w:bottom w:val="nil"/>
              <w:right w:val="nil"/>
            </w:tcBorders>
            <w:shd w:val="clear" w:color="auto" w:fill="auto"/>
            <w:noWrap/>
            <w:vAlign w:val="center"/>
            <w:hideMark/>
          </w:tcPr>
          <w:p w:rsidR="00F0616E" w:rsidRPr="00CC4845"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CC4845">
              <w:rPr>
                <w:rFonts w:ascii="Times New Roman" w:eastAsia="Times New Roman" w:hAnsi="Times New Roman" w:cs="Times New Roman"/>
                <w:color w:val="000000"/>
                <w:sz w:val="16"/>
                <w:szCs w:val="16"/>
                <w:lang w:eastAsia="sk-SK"/>
              </w:rPr>
              <w:t>7 448 764</w:t>
            </w:r>
          </w:p>
        </w:tc>
        <w:tc>
          <w:tcPr>
            <w:tcW w:w="887" w:type="dxa"/>
            <w:tcBorders>
              <w:top w:val="nil"/>
              <w:left w:val="nil"/>
              <w:bottom w:val="nil"/>
              <w:right w:val="nil"/>
            </w:tcBorders>
            <w:shd w:val="clear" w:color="auto" w:fill="auto"/>
            <w:noWrap/>
            <w:vAlign w:val="center"/>
            <w:hideMark/>
          </w:tcPr>
          <w:p w:rsidR="00F0616E" w:rsidRPr="00CC4845"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CC4845">
              <w:rPr>
                <w:rFonts w:ascii="Times New Roman" w:eastAsia="Times New Roman" w:hAnsi="Times New Roman" w:cs="Times New Roman"/>
                <w:color w:val="000000"/>
                <w:sz w:val="16"/>
                <w:szCs w:val="16"/>
                <w:lang w:eastAsia="sk-SK"/>
              </w:rPr>
              <w:t>7 652 050</w:t>
            </w:r>
          </w:p>
        </w:tc>
      </w:tr>
      <w:tr w:rsidR="00F0616E" w:rsidRPr="006475C9" w:rsidTr="00EE76B1">
        <w:trPr>
          <w:gridAfter w:val="1"/>
          <w:wAfter w:w="92" w:type="dxa"/>
          <w:trHeight w:val="300"/>
        </w:trPr>
        <w:tc>
          <w:tcPr>
            <w:tcW w:w="2134"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Priemerný mzdový výdavok</w:t>
            </w:r>
          </w:p>
        </w:tc>
        <w:tc>
          <w:tcPr>
            <w:tcW w:w="729"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color w:val="000000"/>
                <w:sz w:val="16"/>
                <w:szCs w:val="16"/>
                <w:lang w:eastAsia="sk-SK"/>
              </w:rPr>
            </w:pPr>
            <w:r w:rsidRPr="006475C9">
              <w:rPr>
                <w:rFonts w:ascii="Times New Roman" w:eastAsia="Times New Roman" w:hAnsi="Times New Roman" w:cs="Times New Roman"/>
                <w:color w:val="000000"/>
                <w:sz w:val="16"/>
                <w:szCs w:val="16"/>
                <w:lang w:eastAsia="sk-SK"/>
              </w:rPr>
              <w:t>(</w:t>
            </w:r>
            <w:r w:rsidRPr="006475C9">
              <w:rPr>
                <w:rFonts w:ascii="Times New Roman" w:eastAsia="Times New Roman" w:hAnsi="Times New Roman" w:cs="Times New Roman"/>
                <w:b/>
                <w:bCs/>
                <w:color w:val="000000"/>
                <w:sz w:val="16"/>
                <w:szCs w:val="16"/>
                <w:lang w:eastAsia="sk-SK"/>
              </w:rPr>
              <w:t>eur</w:t>
            </w:r>
            <w:r w:rsidRPr="006475C9">
              <w:rPr>
                <w:rFonts w:ascii="Times New Roman" w:eastAsia="Times New Roman" w:hAnsi="Times New Roman" w:cs="Times New Roman"/>
                <w:color w:val="000000"/>
                <w:sz w:val="16"/>
                <w:szCs w:val="16"/>
                <w:lang w:eastAsia="sk-SK"/>
              </w:rPr>
              <w:t>)</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1 278,64</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1 384,78</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1 379,42</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1 435,25</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1 416,35</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1 450,58</w:t>
            </w:r>
          </w:p>
        </w:tc>
        <w:tc>
          <w:tcPr>
            <w:tcW w:w="887" w:type="dxa"/>
            <w:tcBorders>
              <w:top w:val="nil"/>
              <w:left w:val="nil"/>
              <w:bottom w:val="single" w:sz="4" w:space="0" w:color="auto"/>
              <w:right w:val="nil"/>
            </w:tcBorders>
            <w:shd w:val="clear" w:color="auto" w:fill="auto"/>
            <w:noWrap/>
            <w:vAlign w:val="center"/>
            <w:hideMark/>
          </w:tcPr>
          <w:p w:rsidR="00F0616E" w:rsidRPr="006475C9" w:rsidRDefault="00F0616E" w:rsidP="00EE76B1">
            <w:pPr>
              <w:spacing w:after="0" w:line="240" w:lineRule="auto"/>
              <w:jc w:val="right"/>
              <w:rPr>
                <w:rFonts w:ascii="Times New Roman" w:eastAsia="Times New Roman" w:hAnsi="Times New Roman" w:cs="Times New Roman"/>
                <w:b/>
                <w:bCs/>
                <w:color w:val="000000"/>
                <w:sz w:val="16"/>
                <w:szCs w:val="16"/>
                <w:lang w:eastAsia="sk-SK"/>
              </w:rPr>
            </w:pPr>
            <w:r w:rsidRPr="006475C9">
              <w:rPr>
                <w:rFonts w:ascii="Times New Roman" w:eastAsia="Times New Roman" w:hAnsi="Times New Roman" w:cs="Times New Roman"/>
                <w:b/>
                <w:bCs/>
                <w:color w:val="000000"/>
                <w:sz w:val="16"/>
                <w:szCs w:val="16"/>
                <w:lang w:eastAsia="sk-SK"/>
              </w:rPr>
              <w:t>1 492,76</w:t>
            </w:r>
          </w:p>
        </w:tc>
      </w:tr>
      <w:tr w:rsidR="00F0616E" w:rsidRPr="00295925" w:rsidTr="00EE76B1">
        <w:trPr>
          <w:trHeight w:val="765"/>
        </w:trPr>
        <w:tc>
          <w:tcPr>
            <w:tcW w:w="9164" w:type="dxa"/>
            <w:gridSpan w:val="10"/>
            <w:tcBorders>
              <w:top w:val="single" w:sz="4" w:space="0" w:color="auto"/>
              <w:left w:val="nil"/>
              <w:bottom w:val="nil"/>
              <w:right w:val="nil"/>
            </w:tcBorders>
            <w:shd w:val="clear" w:color="auto" w:fill="auto"/>
            <w:hideMark/>
          </w:tcPr>
          <w:p w:rsidR="00F0616E" w:rsidRPr="00295925" w:rsidRDefault="00F0616E" w:rsidP="00EE76B1">
            <w:pPr>
              <w:spacing w:after="0" w:line="240" w:lineRule="auto"/>
              <w:rPr>
                <w:rFonts w:ascii="Times New Roman" w:eastAsia="Times New Roman" w:hAnsi="Times New Roman" w:cs="Times New Roman"/>
                <w:color w:val="000000"/>
                <w:sz w:val="14"/>
                <w:szCs w:val="14"/>
                <w:lang w:eastAsia="sk-SK"/>
              </w:rPr>
            </w:pPr>
            <w:r w:rsidRPr="004A0F22">
              <w:rPr>
                <w:rFonts w:ascii="Times New Roman" w:eastAsia="Times New Roman" w:hAnsi="Times New Roman" w:cs="Times New Roman"/>
                <w:color w:val="000000"/>
                <w:sz w:val="14"/>
                <w:szCs w:val="14"/>
                <w:lang w:eastAsia="sk-SK"/>
              </w:rPr>
              <w:t>S 2019 a 2020 v osobných výdavkoch - Štátny záverečný účet SR. OS 2021 v počte zamestnancov v prevažnej miere zohľadňuje úroveň dosiahnutej skutočnosti za 1. polrok 2021, v osobných výdavkoch aj odhad čerpania EÚ zdrojov a spolufinancovania zo ŠR. NRVS  2022 až 2024 za kapitoly ŠR nezohľadňuje zdroje EÚ a spolufinancovania zo ŠR.</w:t>
            </w:r>
            <w:r>
              <w:rPr>
                <w:rFonts w:ascii="Times New Roman" w:eastAsia="Times New Roman" w:hAnsi="Times New Roman" w:cs="Times New Roman"/>
                <w:color w:val="000000"/>
                <w:sz w:val="14"/>
                <w:szCs w:val="14"/>
                <w:lang w:eastAsia="sk-SK"/>
              </w:rPr>
              <w:t xml:space="preserve">  NRVS 2022 až 2024 je vrátane P</w:t>
            </w:r>
            <w:r w:rsidRPr="004A0F22">
              <w:rPr>
                <w:rFonts w:ascii="Times New Roman" w:eastAsia="Times New Roman" w:hAnsi="Times New Roman" w:cs="Times New Roman"/>
                <w:color w:val="000000"/>
                <w:sz w:val="14"/>
                <w:szCs w:val="14"/>
                <w:lang w:eastAsia="sk-SK"/>
              </w:rPr>
              <w:t>lánu obnovy a</w:t>
            </w:r>
            <w:r>
              <w:rPr>
                <w:rFonts w:ascii="Times New Roman" w:eastAsia="Times New Roman" w:hAnsi="Times New Roman" w:cs="Times New Roman"/>
                <w:color w:val="000000"/>
                <w:sz w:val="14"/>
                <w:szCs w:val="14"/>
                <w:lang w:eastAsia="sk-SK"/>
              </w:rPr>
              <w:t> </w:t>
            </w:r>
            <w:r w:rsidRPr="004A0F22">
              <w:rPr>
                <w:rFonts w:ascii="Times New Roman" w:eastAsia="Times New Roman" w:hAnsi="Times New Roman" w:cs="Times New Roman"/>
                <w:color w:val="000000"/>
                <w:sz w:val="14"/>
                <w:szCs w:val="14"/>
                <w:lang w:eastAsia="sk-SK"/>
              </w:rPr>
              <w:t>odolnosti</w:t>
            </w:r>
            <w:r>
              <w:rPr>
                <w:rFonts w:ascii="Times New Roman" w:eastAsia="Times New Roman" w:hAnsi="Times New Roman" w:cs="Times New Roman"/>
                <w:color w:val="000000"/>
                <w:sz w:val="14"/>
                <w:szCs w:val="14"/>
                <w:lang w:eastAsia="sk-SK"/>
              </w:rPr>
              <w:t xml:space="preserve"> SR</w:t>
            </w:r>
            <w:r w:rsidRPr="004A0F22">
              <w:rPr>
                <w:rFonts w:ascii="Times New Roman" w:eastAsia="Times New Roman" w:hAnsi="Times New Roman" w:cs="Times New Roman"/>
                <w:color w:val="000000"/>
                <w:sz w:val="14"/>
                <w:szCs w:val="14"/>
                <w:lang w:eastAsia="sk-SK"/>
              </w:rPr>
              <w:t>.</w:t>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sidRPr="004A0F22">
              <w:rPr>
                <w:rFonts w:ascii="Times New Roman" w:eastAsia="Times New Roman" w:hAnsi="Times New Roman" w:cs="Times New Roman"/>
                <w:color w:val="000000"/>
                <w:sz w:val="14"/>
                <w:szCs w:val="14"/>
                <w:lang w:eastAsia="sk-SK"/>
              </w:rPr>
              <w:tab/>
            </w:r>
            <w:r>
              <w:rPr>
                <w:rFonts w:ascii="Times New Roman" w:eastAsia="Times New Roman" w:hAnsi="Times New Roman" w:cs="Times New Roman"/>
                <w:color w:val="000000"/>
                <w:sz w:val="14"/>
                <w:szCs w:val="14"/>
                <w:lang w:eastAsia="sk-SK"/>
              </w:rPr>
              <w:br/>
              <w:t xml:space="preserve">                                                                                                                                                                                                                                           </w:t>
            </w:r>
            <w:r w:rsidRPr="00295925">
              <w:rPr>
                <w:rFonts w:ascii="Times New Roman" w:eastAsia="Times New Roman" w:hAnsi="Times New Roman" w:cs="Times New Roman"/>
                <w:i/>
                <w:color w:val="000000"/>
                <w:sz w:val="14"/>
                <w:szCs w:val="14"/>
                <w:lang w:eastAsia="sk-SK"/>
              </w:rPr>
              <w:t>Zdroj: MF SR</w:t>
            </w:r>
          </w:p>
        </w:tc>
      </w:tr>
    </w:tbl>
    <w:p w:rsidR="00F0616E" w:rsidRDefault="00F0616E" w:rsidP="00F0616E">
      <w:pPr>
        <w:pStyle w:val="Popis"/>
        <w:rPr>
          <w:rFonts w:ascii="Times New Roman" w:hAnsi="Times New Roman" w:cs="Times New Roman"/>
          <w:b/>
          <w:i w:val="0"/>
          <w:color w:val="5B9BD5" w:themeColor="accent1"/>
          <w:sz w:val="20"/>
          <w:szCs w:val="20"/>
        </w:rPr>
      </w:pPr>
    </w:p>
    <w:p w:rsidR="00F0616E" w:rsidRDefault="00F0616E" w:rsidP="00F0616E"/>
    <w:p w:rsidR="00F0616E" w:rsidRDefault="00F0616E" w:rsidP="00F0616E"/>
    <w:p w:rsidR="00F0616E" w:rsidRDefault="00F0616E" w:rsidP="00F0616E"/>
    <w:p w:rsidR="004F568C" w:rsidRDefault="004F568C" w:rsidP="00F0616E"/>
    <w:p w:rsidR="00F0616E" w:rsidRDefault="00F0616E" w:rsidP="00F0616E"/>
    <w:p w:rsidR="00F0616E" w:rsidRPr="00F0616E" w:rsidRDefault="00F0616E" w:rsidP="00F0616E"/>
    <w:p w:rsidR="00F0616E" w:rsidRDefault="00F0616E" w:rsidP="004F568C">
      <w:pPr>
        <w:pStyle w:val="Popis"/>
        <w:spacing w:after="0"/>
        <w:rPr>
          <w:rFonts w:ascii="Times New Roman" w:hAnsi="Times New Roman" w:cs="Times New Roman"/>
          <w:sz w:val="24"/>
          <w:szCs w:val="24"/>
        </w:rPr>
      </w:pPr>
      <w:bookmarkStart w:id="151" w:name="_Toc84848007"/>
      <w:r w:rsidRPr="00F0616E">
        <w:rPr>
          <w:rFonts w:ascii="Times New Roman" w:eastAsia="Calibri" w:hAnsi="Times New Roman"/>
          <w:b/>
          <w:i w:val="0"/>
          <w:color w:val="5B9BD5"/>
          <w:sz w:val="20"/>
        </w:rPr>
        <w:t xml:space="preserve">Graf </w:t>
      </w:r>
      <w:r w:rsidRPr="00F0616E">
        <w:rPr>
          <w:rFonts w:ascii="Times New Roman" w:eastAsia="Calibri" w:hAnsi="Times New Roman"/>
          <w:b/>
          <w:i w:val="0"/>
          <w:iCs w:val="0"/>
          <w:color w:val="5B9BD5"/>
          <w:sz w:val="20"/>
        </w:rPr>
        <w:fldChar w:fldCharType="begin"/>
      </w:r>
      <w:r w:rsidRPr="00F0616E">
        <w:rPr>
          <w:rFonts w:ascii="Times New Roman" w:eastAsia="Calibri" w:hAnsi="Times New Roman"/>
          <w:b/>
          <w:i w:val="0"/>
          <w:color w:val="5B9BD5"/>
          <w:sz w:val="20"/>
        </w:rPr>
        <w:instrText xml:space="preserve"> SEQ Obrázok \* ARABIC </w:instrText>
      </w:r>
      <w:r w:rsidRPr="00F0616E">
        <w:rPr>
          <w:rFonts w:ascii="Times New Roman" w:eastAsia="Calibri" w:hAnsi="Times New Roman"/>
          <w:b/>
          <w:i w:val="0"/>
          <w:iCs w:val="0"/>
          <w:color w:val="5B9BD5"/>
          <w:sz w:val="20"/>
        </w:rPr>
        <w:fldChar w:fldCharType="separate"/>
      </w:r>
      <w:r w:rsidR="006E67C6">
        <w:rPr>
          <w:rFonts w:ascii="Times New Roman" w:eastAsia="Calibri" w:hAnsi="Times New Roman"/>
          <w:b/>
          <w:i w:val="0"/>
          <w:noProof/>
          <w:color w:val="5B9BD5"/>
          <w:sz w:val="20"/>
        </w:rPr>
        <w:t>16</w:t>
      </w:r>
      <w:r w:rsidRPr="00F0616E">
        <w:rPr>
          <w:rFonts w:ascii="Times New Roman" w:eastAsia="Calibri" w:hAnsi="Times New Roman"/>
          <w:b/>
          <w:i w:val="0"/>
          <w:iCs w:val="0"/>
          <w:color w:val="5B9BD5"/>
          <w:sz w:val="20"/>
        </w:rPr>
        <w:fldChar w:fldCharType="end"/>
      </w:r>
      <w:r w:rsidR="00503FEF">
        <w:rPr>
          <w:rFonts w:ascii="Times New Roman" w:hAnsi="Times New Roman" w:cs="Times New Roman"/>
          <w:b/>
          <w:i w:val="0"/>
          <w:color w:val="5B9BD5" w:themeColor="accent1"/>
          <w:sz w:val="20"/>
          <w:szCs w:val="20"/>
        </w:rPr>
        <w:t xml:space="preserve"> -</w:t>
      </w:r>
      <w:r w:rsidRPr="002C35FD">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Osobné výdavky na realizáciu Plánu obnovy a odolnosti SR</w:t>
      </w:r>
      <w:bookmarkEnd w:id="151"/>
      <w:r w:rsidRPr="002C35FD">
        <w:rPr>
          <w:rFonts w:ascii="Times New Roman" w:hAnsi="Times New Roman" w:cs="Times New Roman"/>
          <w:b/>
          <w:i w:val="0"/>
          <w:color w:val="FF0000"/>
          <w:sz w:val="20"/>
          <w:szCs w:val="20"/>
        </w:rPr>
        <w:t xml:space="preserve"> </w:t>
      </w:r>
    </w:p>
    <w:p w:rsidR="00F0616E" w:rsidRDefault="00F0616E" w:rsidP="00F0616E">
      <w:pPr>
        <w:spacing w:after="0"/>
        <w:jc w:val="both"/>
        <w:rPr>
          <w:rFonts w:ascii="Times New Roman" w:hAnsi="Times New Roman" w:cs="Times New Roman"/>
          <w:sz w:val="24"/>
          <w:szCs w:val="24"/>
        </w:rPr>
      </w:pPr>
      <w:r>
        <w:rPr>
          <w:noProof/>
          <w:lang w:eastAsia="sk-SK"/>
        </w:rPr>
        <w:drawing>
          <wp:inline distT="0" distB="0" distL="0" distR="0" wp14:anchorId="713113D9" wp14:editId="02D37242">
            <wp:extent cx="5705475" cy="3242945"/>
            <wp:effectExtent l="0" t="0" r="9525" b="1460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616E" w:rsidRPr="002C35FD" w:rsidRDefault="00F0616E" w:rsidP="00F0616E">
      <w:pPr>
        <w:spacing w:after="0"/>
        <w:ind w:left="7080" w:firstLine="708"/>
        <w:jc w:val="both"/>
        <w:rPr>
          <w:rFonts w:ascii="Times New Roman" w:hAnsi="Times New Roman" w:cs="Times New Roman"/>
          <w:i/>
          <w:sz w:val="16"/>
          <w:szCs w:val="16"/>
        </w:rPr>
      </w:pPr>
      <w:r w:rsidRPr="002C35FD">
        <w:rPr>
          <w:rFonts w:ascii="Times New Roman" w:hAnsi="Times New Roman" w:cs="Times New Roman"/>
          <w:i/>
          <w:noProof/>
          <w:sz w:val="16"/>
          <w:szCs w:val="16"/>
          <w:lang w:eastAsia="sk-SK"/>
        </w:rPr>
        <w:t>Zdroj: MF SR</w:t>
      </w:r>
    </w:p>
    <w:p w:rsidR="00F0616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Pr>
          <w:rFonts w:ascii="Times New Roman" w:hAnsi="Times New Roman" w:cs="Times New Roman"/>
          <w:sz w:val="24"/>
          <w:szCs w:val="24"/>
        </w:rPr>
        <w:t xml:space="preserve">Úroveň osobných výdavkov zamestnancov financovaných zo štátneho rozpočtu v roku 2022 zohľadňuje okrem finančného krytia osobných výdavkov </w:t>
      </w:r>
      <w:r w:rsidRPr="00F875AE">
        <w:rPr>
          <w:rFonts w:ascii="Times New Roman" w:hAnsi="Times New Roman" w:cs="Times New Roman"/>
          <w:sz w:val="24"/>
          <w:szCs w:val="24"/>
        </w:rPr>
        <w:t>zvýšen</w:t>
      </w:r>
      <w:r>
        <w:rPr>
          <w:rFonts w:ascii="Times New Roman" w:hAnsi="Times New Roman" w:cs="Times New Roman"/>
          <w:sz w:val="24"/>
          <w:szCs w:val="24"/>
        </w:rPr>
        <w:t xml:space="preserve">ého </w:t>
      </w:r>
      <w:r w:rsidRPr="00F875AE">
        <w:rPr>
          <w:rFonts w:ascii="Times New Roman" w:hAnsi="Times New Roman" w:cs="Times New Roman"/>
          <w:sz w:val="24"/>
          <w:szCs w:val="24"/>
        </w:rPr>
        <w:t>počt</w:t>
      </w:r>
      <w:r>
        <w:rPr>
          <w:rFonts w:ascii="Times New Roman" w:hAnsi="Times New Roman" w:cs="Times New Roman"/>
          <w:sz w:val="24"/>
          <w:szCs w:val="24"/>
        </w:rPr>
        <w:t>u</w:t>
      </w:r>
      <w:r w:rsidRPr="00F875AE">
        <w:rPr>
          <w:rFonts w:ascii="Times New Roman" w:hAnsi="Times New Roman" w:cs="Times New Roman"/>
          <w:sz w:val="24"/>
          <w:szCs w:val="24"/>
        </w:rPr>
        <w:t xml:space="preserve"> zamestnancov</w:t>
      </w:r>
      <w:r>
        <w:rPr>
          <w:rFonts w:ascii="Times New Roman" w:hAnsi="Times New Roman" w:cs="Times New Roman"/>
          <w:sz w:val="24"/>
          <w:szCs w:val="24"/>
        </w:rPr>
        <w:t xml:space="preserve"> aj ďalšie medziročné </w:t>
      </w:r>
      <w:r w:rsidRPr="00F875AE">
        <w:rPr>
          <w:rFonts w:ascii="Times New Roman" w:hAnsi="Times New Roman" w:cs="Times New Roman"/>
          <w:sz w:val="24"/>
          <w:szCs w:val="24"/>
        </w:rPr>
        <w:t>viazan</w:t>
      </w:r>
      <w:r>
        <w:rPr>
          <w:rFonts w:ascii="Times New Roman" w:hAnsi="Times New Roman" w:cs="Times New Roman"/>
          <w:sz w:val="24"/>
          <w:szCs w:val="24"/>
        </w:rPr>
        <w:t>ie</w:t>
      </w:r>
      <w:r w:rsidRPr="00F875AE">
        <w:rPr>
          <w:rFonts w:ascii="Times New Roman" w:hAnsi="Times New Roman" w:cs="Times New Roman"/>
          <w:sz w:val="24"/>
          <w:szCs w:val="24"/>
        </w:rPr>
        <w:t xml:space="preserve"> osobných výdavkov policajtov a zamest</w:t>
      </w:r>
      <w:r>
        <w:rPr>
          <w:rFonts w:ascii="Times New Roman" w:hAnsi="Times New Roman" w:cs="Times New Roman"/>
          <w:sz w:val="24"/>
          <w:szCs w:val="24"/>
        </w:rPr>
        <w:t>nancov verejných vysokých škôl vyplývajúce z Revízie výdavkov zamestnanosti a odmeňovania vo verejnej správe v súhrnnej sume 49,6 mil</w:t>
      </w:r>
      <w:r w:rsidRPr="00F875AE">
        <w:rPr>
          <w:rFonts w:ascii="Times New Roman" w:hAnsi="Times New Roman" w:cs="Times New Roman"/>
          <w:sz w:val="24"/>
          <w:szCs w:val="24"/>
        </w:rPr>
        <w:t>.</w:t>
      </w:r>
      <w:r>
        <w:rPr>
          <w:rFonts w:ascii="Times New Roman" w:hAnsi="Times New Roman" w:cs="Times New Roman"/>
          <w:sz w:val="24"/>
          <w:szCs w:val="24"/>
        </w:rPr>
        <w:t> </w:t>
      </w:r>
      <w:r w:rsidRPr="00F875AE">
        <w:rPr>
          <w:rFonts w:ascii="Times New Roman" w:hAnsi="Times New Roman" w:cs="Times New Roman"/>
          <w:sz w:val="24"/>
          <w:szCs w:val="24"/>
        </w:rPr>
        <w:t>eur</w:t>
      </w:r>
      <w:r>
        <w:rPr>
          <w:rFonts w:ascii="Times New Roman" w:hAnsi="Times New Roman" w:cs="Times New Roman"/>
          <w:sz w:val="24"/>
          <w:szCs w:val="24"/>
        </w:rPr>
        <w:t>,</w:t>
      </w:r>
      <w:r w:rsidRPr="00F875AE">
        <w:rPr>
          <w:rFonts w:ascii="Times New Roman" w:hAnsi="Times New Roman" w:cs="Times New Roman"/>
          <w:sz w:val="24"/>
          <w:szCs w:val="24"/>
        </w:rPr>
        <w:t xml:space="preserve"> z toho:</w:t>
      </w:r>
    </w:p>
    <w:p w:rsidR="00F0616E" w:rsidRPr="00634385" w:rsidRDefault="00F0616E" w:rsidP="00F0616E">
      <w:pPr>
        <w:pStyle w:val="Odsekzoznamu"/>
        <w:widowControl w:val="0"/>
        <w:numPr>
          <w:ilvl w:val="0"/>
          <w:numId w:val="11"/>
        </w:numPr>
        <w:ind w:left="360"/>
        <w:jc w:val="both"/>
        <w:rPr>
          <w:rFonts w:ascii="Times New Roman" w:hAnsi="Times New Roman" w:cs="Times New Roman"/>
        </w:rPr>
      </w:pPr>
      <w:r w:rsidRPr="00634385">
        <w:rPr>
          <w:rFonts w:ascii="Times New Roman" w:hAnsi="Times New Roman" w:cs="Times New Roman"/>
        </w:rPr>
        <w:t>zníženie osobných výdavkov policajtov v sume 22,4 mil. eur,</w:t>
      </w:r>
    </w:p>
    <w:p w:rsidR="00F0616E" w:rsidRPr="00F875AE" w:rsidRDefault="00F0616E" w:rsidP="00F0616E">
      <w:pPr>
        <w:pStyle w:val="Odsekzoznamu"/>
        <w:widowControl w:val="0"/>
        <w:numPr>
          <w:ilvl w:val="0"/>
          <w:numId w:val="11"/>
        </w:numPr>
        <w:ind w:left="360"/>
        <w:jc w:val="both"/>
        <w:rPr>
          <w:rFonts w:ascii="Times New Roman" w:hAnsi="Times New Roman" w:cs="Times New Roman"/>
        </w:rPr>
      </w:pPr>
      <w:r w:rsidRPr="00F875AE">
        <w:rPr>
          <w:rFonts w:ascii="Times New Roman" w:hAnsi="Times New Roman" w:cs="Times New Roman"/>
        </w:rPr>
        <w:t xml:space="preserve">zníženie osobných výdavkov zamestnancov verejných vysokých škôl </w:t>
      </w:r>
      <w:r>
        <w:rPr>
          <w:rFonts w:ascii="Times New Roman" w:hAnsi="Times New Roman" w:cs="Times New Roman"/>
        </w:rPr>
        <w:t xml:space="preserve">v </w:t>
      </w:r>
      <w:r w:rsidRPr="00F875AE">
        <w:rPr>
          <w:rFonts w:ascii="Times New Roman" w:hAnsi="Times New Roman" w:cs="Times New Roman"/>
        </w:rPr>
        <w:t>sume</w:t>
      </w:r>
      <w:r>
        <w:rPr>
          <w:rFonts w:ascii="Times New Roman" w:hAnsi="Times New Roman" w:cs="Times New Roman"/>
        </w:rPr>
        <w:t xml:space="preserve"> </w:t>
      </w:r>
      <w:r w:rsidRPr="00F875AE">
        <w:rPr>
          <w:rFonts w:ascii="Times New Roman" w:hAnsi="Times New Roman" w:cs="Times New Roman"/>
        </w:rPr>
        <w:t>27,2 mil. eur.</w:t>
      </w:r>
    </w:p>
    <w:p w:rsidR="00F0616E" w:rsidRPr="00013173" w:rsidRDefault="00F0616E" w:rsidP="00F0616E">
      <w:pPr>
        <w:spacing w:after="0"/>
        <w:jc w:val="both"/>
        <w:rPr>
          <w:highlight w:val="yellow"/>
        </w:rPr>
      </w:pPr>
    </w:p>
    <w:p w:rsidR="00F0616E" w:rsidRPr="00EE2D62" w:rsidRDefault="00F0616E" w:rsidP="004F568C">
      <w:pPr>
        <w:pStyle w:val="Popis"/>
        <w:keepNext/>
        <w:spacing w:after="0"/>
        <w:jc w:val="both"/>
        <w:rPr>
          <w:rFonts w:ascii="Times New Roman" w:hAnsi="Times New Roman" w:cs="Times New Roman"/>
          <w:b/>
          <w:i w:val="0"/>
          <w:color w:val="FF0000"/>
          <w:sz w:val="20"/>
          <w:szCs w:val="20"/>
          <w:highlight w:val="yellow"/>
        </w:rPr>
      </w:pPr>
      <w:bookmarkStart w:id="152" w:name="_Toc52988830"/>
      <w:bookmarkStart w:id="153" w:name="_Toc84848008"/>
      <w:r w:rsidRPr="00F0616E">
        <w:rPr>
          <w:rFonts w:ascii="Times New Roman" w:eastAsia="Calibri" w:hAnsi="Times New Roman"/>
          <w:b/>
          <w:i w:val="0"/>
          <w:color w:val="5B9BD5"/>
          <w:sz w:val="20"/>
        </w:rPr>
        <w:t xml:space="preserve">Graf </w:t>
      </w:r>
      <w:r w:rsidRPr="00F0616E">
        <w:rPr>
          <w:rFonts w:ascii="Times New Roman" w:eastAsia="Calibri" w:hAnsi="Times New Roman"/>
          <w:b/>
          <w:i w:val="0"/>
          <w:iCs w:val="0"/>
          <w:color w:val="5B9BD5"/>
          <w:sz w:val="20"/>
        </w:rPr>
        <w:fldChar w:fldCharType="begin"/>
      </w:r>
      <w:r w:rsidRPr="00F0616E">
        <w:rPr>
          <w:rFonts w:ascii="Times New Roman" w:eastAsia="Calibri" w:hAnsi="Times New Roman"/>
          <w:b/>
          <w:i w:val="0"/>
          <w:color w:val="5B9BD5"/>
          <w:sz w:val="20"/>
        </w:rPr>
        <w:instrText xml:space="preserve"> SEQ Obrázok \* ARABIC </w:instrText>
      </w:r>
      <w:r w:rsidRPr="00F0616E">
        <w:rPr>
          <w:rFonts w:ascii="Times New Roman" w:eastAsia="Calibri" w:hAnsi="Times New Roman"/>
          <w:b/>
          <w:i w:val="0"/>
          <w:iCs w:val="0"/>
          <w:color w:val="5B9BD5"/>
          <w:sz w:val="20"/>
        </w:rPr>
        <w:fldChar w:fldCharType="separate"/>
      </w:r>
      <w:r w:rsidR="006E67C6">
        <w:rPr>
          <w:rFonts w:ascii="Times New Roman" w:eastAsia="Calibri" w:hAnsi="Times New Roman"/>
          <w:b/>
          <w:i w:val="0"/>
          <w:noProof/>
          <w:color w:val="5B9BD5"/>
          <w:sz w:val="20"/>
        </w:rPr>
        <w:t>17</w:t>
      </w:r>
      <w:r w:rsidRPr="00F0616E">
        <w:rPr>
          <w:rFonts w:ascii="Times New Roman" w:eastAsia="Calibri" w:hAnsi="Times New Roman"/>
          <w:b/>
          <w:i w:val="0"/>
          <w:iCs w:val="0"/>
          <w:color w:val="5B9BD5"/>
          <w:sz w:val="20"/>
        </w:rPr>
        <w:fldChar w:fldCharType="end"/>
      </w:r>
      <w:r w:rsidR="00503FEF">
        <w:rPr>
          <w:rFonts w:ascii="Times New Roman" w:hAnsi="Times New Roman" w:cs="Times New Roman"/>
          <w:b/>
          <w:i w:val="0"/>
          <w:color w:val="5B9BD5" w:themeColor="accent1"/>
          <w:sz w:val="20"/>
          <w:szCs w:val="20"/>
        </w:rPr>
        <w:t xml:space="preserve"> -</w:t>
      </w:r>
      <w:r w:rsidRPr="002C35FD">
        <w:rPr>
          <w:rFonts w:ascii="Times New Roman" w:hAnsi="Times New Roman" w:cs="Times New Roman"/>
          <w:b/>
          <w:i w:val="0"/>
          <w:color w:val="5B9BD5" w:themeColor="accent1"/>
          <w:sz w:val="20"/>
          <w:szCs w:val="20"/>
        </w:rPr>
        <w:t xml:space="preserve"> Zamestnanosť financovaná zo štátneho rozpočtu</w:t>
      </w:r>
      <w:bookmarkEnd w:id="152"/>
      <w:r w:rsidRPr="002C35FD">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bez POO</w:t>
      </w:r>
      <w:bookmarkEnd w:id="153"/>
    </w:p>
    <w:p w:rsidR="00F0616E" w:rsidRPr="002C35FD" w:rsidRDefault="00F0616E" w:rsidP="00F0616E">
      <w:pPr>
        <w:spacing w:after="0"/>
        <w:jc w:val="both"/>
        <w:rPr>
          <w:noProof/>
          <w:color w:val="FF0000"/>
          <w:lang w:eastAsia="sk-SK"/>
        </w:rPr>
      </w:pPr>
      <w:r w:rsidRPr="002C35FD">
        <w:rPr>
          <w:noProof/>
          <w:lang w:eastAsia="sk-SK"/>
        </w:rPr>
        <w:drawing>
          <wp:inline distT="0" distB="0" distL="0" distR="0" wp14:anchorId="04D2FC5C" wp14:editId="2D28199C">
            <wp:extent cx="2733675" cy="2957195"/>
            <wp:effectExtent l="0" t="0" r="9525" b="1460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C35FD">
        <w:rPr>
          <w:rFonts w:ascii="Times New Roman" w:hAnsi="Times New Roman" w:cs="Times New Roman"/>
          <w:color w:val="FF0000"/>
          <w:sz w:val="24"/>
          <w:szCs w:val="24"/>
        </w:rPr>
        <w:t xml:space="preserve">    </w:t>
      </w:r>
      <w:r>
        <w:rPr>
          <w:noProof/>
          <w:lang w:eastAsia="sk-SK"/>
        </w:rPr>
        <w:drawing>
          <wp:inline distT="0" distB="0" distL="0" distR="0" wp14:anchorId="766B4B61" wp14:editId="0D37B167">
            <wp:extent cx="2714625" cy="2966720"/>
            <wp:effectExtent l="0" t="0" r="9525" b="508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C35FD">
        <w:rPr>
          <w:rFonts w:ascii="Times New Roman" w:hAnsi="Times New Roman" w:cs="Times New Roman"/>
          <w:color w:val="FF0000"/>
          <w:sz w:val="24"/>
          <w:szCs w:val="24"/>
        </w:rPr>
        <w:t xml:space="preserve"> </w:t>
      </w:r>
    </w:p>
    <w:p w:rsidR="00F0616E" w:rsidRPr="002C35FD" w:rsidRDefault="00F0616E" w:rsidP="00F0616E">
      <w:pPr>
        <w:spacing w:after="0"/>
        <w:jc w:val="both"/>
        <w:rPr>
          <w:rFonts w:ascii="Times New Roman" w:hAnsi="Times New Roman" w:cs="Times New Roman"/>
          <w:i/>
          <w:sz w:val="16"/>
          <w:szCs w:val="16"/>
        </w:rPr>
      </w:pPr>
      <w:r w:rsidRPr="002C35FD">
        <w:rPr>
          <w:i/>
          <w:noProof/>
          <w:lang w:eastAsia="sk-SK"/>
        </w:rPr>
        <w:t xml:space="preserve">                                                                   </w:t>
      </w:r>
      <w:r w:rsidRPr="002C35FD">
        <w:rPr>
          <w:rFonts w:ascii="Times New Roman" w:hAnsi="Times New Roman" w:cs="Times New Roman"/>
          <w:i/>
          <w:noProof/>
          <w:sz w:val="16"/>
          <w:szCs w:val="16"/>
          <w:lang w:eastAsia="sk-SK"/>
        </w:rPr>
        <w:t>Zdroj: MF SR                                                                                             Zdroj: MF SR</w:t>
      </w:r>
    </w:p>
    <w:p w:rsidR="00F0616E" w:rsidRPr="00013173" w:rsidRDefault="00F0616E" w:rsidP="00F0616E">
      <w:pPr>
        <w:spacing w:after="0"/>
        <w:jc w:val="both"/>
        <w:rPr>
          <w:rFonts w:ascii="Times New Roman" w:hAnsi="Times New Roman" w:cs="Times New Roman"/>
          <w:sz w:val="24"/>
          <w:szCs w:val="24"/>
          <w:highlight w:val="yellow"/>
        </w:rPr>
      </w:pPr>
    </w:p>
    <w:p w:rsidR="00F0616E" w:rsidRPr="00F875AE"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r w:rsidRPr="00896E64">
        <w:rPr>
          <w:rFonts w:ascii="Times New Roman" w:hAnsi="Times New Roman" w:cs="Times New Roman"/>
          <w:sz w:val="24"/>
          <w:szCs w:val="24"/>
        </w:rPr>
        <w:t>Okrem opatrení súvisiacich s revíziou výdavkov sú v rozpočtových organizáciách kapitol štátneho rozpočtu</w:t>
      </w:r>
      <w:r>
        <w:rPr>
          <w:rFonts w:ascii="Times New Roman" w:hAnsi="Times New Roman" w:cs="Times New Roman"/>
          <w:sz w:val="24"/>
          <w:szCs w:val="24"/>
        </w:rPr>
        <w:t xml:space="preserve"> na rok 2022 </w:t>
      </w:r>
      <w:r w:rsidRPr="00896E64">
        <w:rPr>
          <w:rFonts w:ascii="Times New Roman" w:hAnsi="Times New Roman" w:cs="Times New Roman"/>
          <w:sz w:val="24"/>
          <w:szCs w:val="24"/>
        </w:rPr>
        <w:t xml:space="preserve"> rozpočtované osobné výdavky na plnenie úloh Programového vyhlásenia vlády SR. </w:t>
      </w:r>
    </w:p>
    <w:p w:rsidR="00F0616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N</w:t>
      </w:r>
      <w:r>
        <w:rPr>
          <w:rFonts w:ascii="Times New Roman" w:hAnsi="Times New Roman" w:cs="Times New Roman"/>
          <w:sz w:val="24"/>
          <w:szCs w:val="24"/>
        </w:rPr>
        <w:t>a činnosť analytických útvarov sú</w:t>
      </w:r>
      <w:r w:rsidRPr="00F875AE">
        <w:rPr>
          <w:rFonts w:ascii="Times New Roman" w:hAnsi="Times New Roman" w:cs="Times New Roman"/>
          <w:sz w:val="24"/>
          <w:szCs w:val="24"/>
        </w:rPr>
        <w:t xml:space="preserve"> v rozpočtových organizáciách zvýšené osobné výdavky o 7,9</w:t>
      </w:r>
      <w:r>
        <w:rPr>
          <w:rFonts w:ascii="Times New Roman" w:hAnsi="Times New Roman" w:cs="Times New Roman"/>
          <w:sz w:val="24"/>
          <w:szCs w:val="24"/>
        </w:rPr>
        <w:t> </w:t>
      </w:r>
      <w:r w:rsidRPr="00F875AE">
        <w:rPr>
          <w:rFonts w:ascii="Times New Roman" w:hAnsi="Times New Roman" w:cs="Times New Roman"/>
          <w:sz w:val="24"/>
          <w:szCs w:val="24"/>
        </w:rPr>
        <w:t>mil.</w:t>
      </w:r>
      <w:r>
        <w:rPr>
          <w:rFonts w:ascii="Times New Roman" w:hAnsi="Times New Roman" w:cs="Times New Roman"/>
          <w:sz w:val="24"/>
          <w:szCs w:val="24"/>
        </w:rPr>
        <w:t> </w:t>
      </w:r>
      <w:r w:rsidRPr="00F875AE">
        <w:rPr>
          <w:rFonts w:ascii="Times New Roman" w:hAnsi="Times New Roman" w:cs="Times New Roman"/>
          <w:sz w:val="24"/>
          <w:szCs w:val="24"/>
        </w:rPr>
        <w:t>eur, z toho výdavky na mz</w:t>
      </w:r>
      <w:r w:rsidR="00B932F5">
        <w:rPr>
          <w:rFonts w:ascii="Times New Roman" w:hAnsi="Times New Roman" w:cs="Times New Roman"/>
          <w:sz w:val="24"/>
          <w:szCs w:val="24"/>
        </w:rPr>
        <w:t xml:space="preserve">dy, platy, služobné príjmy a ostatné osobné </w:t>
      </w:r>
      <w:r w:rsidR="002A40A9">
        <w:rPr>
          <w:rFonts w:ascii="Times New Roman" w:hAnsi="Times New Roman" w:cs="Times New Roman"/>
          <w:sz w:val="24"/>
          <w:szCs w:val="24"/>
        </w:rPr>
        <w:t>vyrovnania</w:t>
      </w:r>
      <w:r w:rsidRPr="00F875AE">
        <w:rPr>
          <w:rFonts w:ascii="Times New Roman" w:hAnsi="Times New Roman" w:cs="Times New Roman"/>
          <w:sz w:val="24"/>
          <w:szCs w:val="24"/>
        </w:rPr>
        <w:t xml:space="preserve"> o 5,8</w:t>
      </w:r>
      <w:r>
        <w:rPr>
          <w:rFonts w:ascii="Times New Roman" w:hAnsi="Times New Roman" w:cs="Times New Roman"/>
          <w:sz w:val="24"/>
          <w:szCs w:val="24"/>
        </w:rPr>
        <w:t> </w:t>
      </w:r>
      <w:r w:rsidRPr="00F875AE">
        <w:rPr>
          <w:rFonts w:ascii="Times New Roman" w:hAnsi="Times New Roman" w:cs="Times New Roman"/>
          <w:sz w:val="24"/>
          <w:szCs w:val="24"/>
        </w:rPr>
        <w:t>mil.</w:t>
      </w:r>
      <w:r>
        <w:rPr>
          <w:rFonts w:ascii="Times New Roman" w:hAnsi="Times New Roman" w:cs="Times New Roman"/>
          <w:sz w:val="24"/>
          <w:szCs w:val="24"/>
        </w:rPr>
        <w:t> </w:t>
      </w:r>
      <w:r w:rsidRPr="00F875AE">
        <w:rPr>
          <w:rFonts w:ascii="Times New Roman" w:hAnsi="Times New Roman" w:cs="Times New Roman"/>
          <w:sz w:val="24"/>
          <w:szCs w:val="24"/>
        </w:rPr>
        <w:t>eur</w:t>
      </w:r>
      <w:r>
        <w:rPr>
          <w:rFonts w:ascii="Times New Roman" w:hAnsi="Times New Roman" w:cs="Times New Roman"/>
          <w:sz w:val="24"/>
          <w:szCs w:val="24"/>
        </w:rPr>
        <w:t xml:space="preserve">. Pre súhrnný počet 296 osôb sú zabezpečené </w:t>
      </w:r>
      <w:r w:rsidRPr="00F875AE">
        <w:rPr>
          <w:rFonts w:ascii="Times New Roman" w:hAnsi="Times New Roman" w:cs="Times New Roman"/>
          <w:sz w:val="24"/>
          <w:szCs w:val="24"/>
        </w:rPr>
        <w:t>osobn</w:t>
      </w:r>
      <w:r>
        <w:rPr>
          <w:rFonts w:ascii="Times New Roman" w:hAnsi="Times New Roman" w:cs="Times New Roman"/>
          <w:sz w:val="24"/>
          <w:szCs w:val="24"/>
        </w:rPr>
        <w:t>é</w:t>
      </w:r>
      <w:r w:rsidRPr="00F875AE">
        <w:rPr>
          <w:rFonts w:ascii="Times New Roman" w:hAnsi="Times New Roman" w:cs="Times New Roman"/>
          <w:sz w:val="24"/>
          <w:szCs w:val="24"/>
        </w:rPr>
        <w:t xml:space="preserve"> výdavk</w:t>
      </w:r>
      <w:r>
        <w:rPr>
          <w:rFonts w:ascii="Times New Roman" w:hAnsi="Times New Roman" w:cs="Times New Roman"/>
          <w:sz w:val="24"/>
          <w:szCs w:val="24"/>
        </w:rPr>
        <w:t xml:space="preserve">y na úrovni </w:t>
      </w:r>
      <w:r w:rsidRPr="00F875AE">
        <w:rPr>
          <w:rFonts w:ascii="Times New Roman" w:hAnsi="Times New Roman" w:cs="Times New Roman"/>
          <w:sz w:val="24"/>
          <w:szCs w:val="24"/>
        </w:rPr>
        <w:t xml:space="preserve"> </w:t>
      </w:r>
      <w:r>
        <w:rPr>
          <w:rFonts w:ascii="Times New Roman" w:hAnsi="Times New Roman" w:cs="Times New Roman"/>
          <w:sz w:val="24"/>
          <w:szCs w:val="24"/>
        </w:rPr>
        <w:t>13,2 </w:t>
      </w:r>
      <w:r w:rsidRPr="00F875AE">
        <w:rPr>
          <w:rFonts w:ascii="Times New Roman" w:hAnsi="Times New Roman" w:cs="Times New Roman"/>
          <w:sz w:val="24"/>
          <w:szCs w:val="24"/>
        </w:rPr>
        <w:t>mil.</w:t>
      </w:r>
      <w:r>
        <w:rPr>
          <w:rFonts w:ascii="Times New Roman" w:hAnsi="Times New Roman" w:cs="Times New Roman"/>
          <w:sz w:val="24"/>
          <w:szCs w:val="24"/>
        </w:rPr>
        <w:t> eur, z toho mzdy 9,7 mil. eur. V rokoch 2022 – 2024 sa naďalej budú posilňovať kapacity analytických jednotiek. Rast bude prebiehať len v prípade zabezpečenia kvality v súlade s metodikou budovania analytických jednotiek v štátnej správe.</w:t>
      </w:r>
    </w:p>
    <w:p w:rsidR="00F0616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Na zabezpečenie nových zákonov, vyhlášok a ostatnej legislatívy sa v rozpočtových organizáciách rozpočtujú osobné výdavky v sume 2,73 mil. eur, z toho mzdy 2,01 mil. eur.</w:t>
      </w:r>
    </w:p>
    <w:p w:rsidR="00F0616E" w:rsidRPr="00F875AE" w:rsidRDefault="00F0616E" w:rsidP="00F0616E">
      <w:pPr>
        <w:spacing w:after="0"/>
        <w:jc w:val="both"/>
        <w:rPr>
          <w:rFonts w:ascii="Times New Roman" w:hAnsi="Times New Roman" w:cs="Times New Roman"/>
          <w:color w:val="FF0000"/>
          <w:sz w:val="24"/>
          <w:szCs w:val="24"/>
        </w:rPr>
      </w:pPr>
    </w:p>
    <w:p w:rsidR="00F0616E" w:rsidRDefault="00F0616E" w:rsidP="00F0616E">
      <w:pPr>
        <w:pStyle w:val="Textkomentra"/>
        <w:jc w:val="both"/>
        <w:rPr>
          <w:rFonts w:ascii="Times New Roman" w:hAnsi="Times New Roman" w:cs="Times New Roman"/>
          <w:sz w:val="24"/>
          <w:szCs w:val="24"/>
        </w:rPr>
      </w:pPr>
      <w:r>
        <w:rPr>
          <w:rFonts w:ascii="Times New Roman" w:hAnsi="Times New Roman" w:cs="Times New Roman"/>
          <w:sz w:val="24"/>
          <w:szCs w:val="24"/>
        </w:rPr>
        <w:t xml:space="preserve">Z prostriedkov Plánu obnovy a odolnosti SR sú na </w:t>
      </w:r>
      <w:r w:rsidRPr="00F875AE">
        <w:rPr>
          <w:rFonts w:ascii="Times New Roman" w:hAnsi="Times New Roman" w:cs="Times New Roman"/>
          <w:sz w:val="24"/>
          <w:szCs w:val="24"/>
        </w:rPr>
        <w:t>realizáci</w:t>
      </w:r>
      <w:r>
        <w:rPr>
          <w:rFonts w:ascii="Times New Roman" w:hAnsi="Times New Roman" w:cs="Times New Roman"/>
          <w:sz w:val="24"/>
          <w:szCs w:val="24"/>
        </w:rPr>
        <w:t>u</w:t>
      </w:r>
      <w:r w:rsidRPr="00F875AE">
        <w:rPr>
          <w:rFonts w:ascii="Times New Roman" w:hAnsi="Times New Roman" w:cs="Times New Roman"/>
          <w:sz w:val="24"/>
          <w:szCs w:val="24"/>
        </w:rPr>
        <w:t xml:space="preserve"> Plánu obnovy a odolnosti </w:t>
      </w:r>
      <w:r>
        <w:rPr>
          <w:rFonts w:ascii="Times New Roman" w:hAnsi="Times New Roman" w:cs="Times New Roman"/>
          <w:sz w:val="24"/>
          <w:szCs w:val="24"/>
        </w:rPr>
        <w:t>SR v rozpočtových organizáciách rozpočtované</w:t>
      </w:r>
      <w:r w:rsidRPr="00F875AE">
        <w:rPr>
          <w:rFonts w:ascii="Times New Roman" w:hAnsi="Times New Roman" w:cs="Times New Roman"/>
          <w:sz w:val="24"/>
          <w:szCs w:val="24"/>
        </w:rPr>
        <w:t xml:space="preserve"> </w:t>
      </w:r>
      <w:r>
        <w:rPr>
          <w:rFonts w:ascii="Times New Roman" w:hAnsi="Times New Roman" w:cs="Times New Roman"/>
          <w:sz w:val="24"/>
          <w:szCs w:val="24"/>
        </w:rPr>
        <w:t>osobné výdavky</w:t>
      </w:r>
      <w:r w:rsidRPr="00F875AE">
        <w:rPr>
          <w:rFonts w:ascii="Times New Roman" w:hAnsi="Times New Roman" w:cs="Times New Roman"/>
          <w:sz w:val="24"/>
          <w:szCs w:val="24"/>
        </w:rPr>
        <w:t xml:space="preserve"> v</w:t>
      </w:r>
      <w:r>
        <w:rPr>
          <w:rFonts w:ascii="Times New Roman" w:hAnsi="Times New Roman" w:cs="Times New Roman"/>
          <w:sz w:val="24"/>
          <w:szCs w:val="24"/>
        </w:rPr>
        <w:t> </w:t>
      </w:r>
      <w:r w:rsidRPr="00F875AE">
        <w:rPr>
          <w:rFonts w:ascii="Times New Roman" w:hAnsi="Times New Roman" w:cs="Times New Roman"/>
          <w:sz w:val="24"/>
          <w:szCs w:val="24"/>
        </w:rPr>
        <w:t>sume</w:t>
      </w:r>
      <w:r>
        <w:rPr>
          <w:rFonts w:ascii="Times New Roman" w:hAnsi="Times New Roman" w:cs="Times New Roman"/>
          <w:sz w:val="24"/>
          <w:szCs w:val="24"/>
        </w:rPr>
        <w:t xml:space="preserve"> 35,7 mil. eur.</w:t>
      </w:r>
    </w:p>
    <w:p w:rsidR="00F0616E" w:rsidRPr="00F875AE" w:rsidRDefault="00F0616E" w:rsidP="00F0616E">
      <w:pPr>
        <w:pStyle w:val="Textkomentra"/>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Medziročné zvýšenie osobných výdavkov súvisiace so vznikom nových úradov a organizácií, vrátane posilnenia existujúcich útvarov a pracovísk</w:t>
      </w:r>
      <w:r>
        <w:rPr>
          <w:rFonts w:ascii="Times New Roman" w:hAnsi="Times New Roman" w:cs="Times New Roman"/>
          <w:sz w:val="24"/>
          <w:szCs w:val="24"/>
        </w:rPr>
        <w:t xml:space="preserve">, </w:t>
      </w:r>
      <w:r w:rsidRPr="00F875AE">
        <w:rPr>
          <w:rFonts w:ascii="Times New Roman" w:hAnsi="Times New Roman" w:cs="Times New Roman"/>
          <w:sz w:val="24"/>
          <w:szCs w:val="24"/>
        </w:rPr>
        <w:t>zodpovedá sume 18,0</w:t>
      </w:r>
      <w:r>
        <w:rPr>
          <w:rFonts w:ascii="Times New Roman" w:hAnsi="Times New Roman" w:cs="Times New Roman"/>
          <w:sz w:val="24"/>
          <w:szCs w:val="24"/>
        </w:rPr>
        <w:t> </w:t>
      </w:r>
      <w:r w:rsidRPr="00F875AE">
        <w:rPr>
          <w:rFonts w:ascii="Times New Roman" w:hAnsi="Times New Roman" w:cs="Times New Roman"/>
          <w:sz w:val="24"/>
          <w:szCs w:val="24"/>
        </w:rPr>
        <w:t>mil.</w:t>
      </w:r>
      <w:r>
        <w:rPr>
          <w:rFonts w:ascii="Times New Roman" w:hAnsi="Times New Roman" w:cs="Times New Roman"/>
          <w:sz w:val="24"/>
          <w:szCs w:val="24"/>
        </w:rPr>
        <w:t> </w:t>
      </w:r>
      <w:r w:rsidRPr="00F875AE">
        <w:rPr>
          <w:rFonts w:ascii="Times New Roman" w:hAnsi="Times New Roman" w:cs="Times New Roman"/>
          <w:sz w:val="24"/>
          <w:szCs w:val="24"/>
        </w:rPr>
        <w:t>eur, z toho mzdy 13,3 mil. eur.</w:t>
      </w:r>
    </w:p>
    <w:p w:rsidR="00F0616E" w:rsidRPr="00F875AE" w:rsidRDefault="00F0616E" w:rsidP="00F0616E">
      <w:pPr>
        <w:spacing w:after="0"/>
        <w:jc w:val="both"/>
        <w:rPr>
          <w:rFonts w:ascii="Times New Roman" w:hAnsi="Times New Roman" w:cs="Times New Roman"/>
          <w:sz w:val="24"/>
          <w:szCs w:val="24"/>
        </w:rPr>
      </w:pPr>
    </w:p>
    <w:p w:rsidR="00F0616E" w:rsidRPr="00F875AE" w:rsidRDefault="00F0616E" w:rsidP="00F0616E">
      <w:pPr>
        <w:spacing w:after="0"/>
        <w:jc w:val="both"/>
        <w:rPr>
          <w:rFonts w:ascii="Times New Roman" w:hAnsi="Times New Roman" w:cs="Times New Roman"/>
          <w:sz w:val="24"/>
          <w:szCs w:val="24"/>
        </w:rPr>
      </w:pPr>
      <w:r w:rsidRPr="00F875AE">
        <w:rPr>
          <w:rFonts w:ascii="Times New Roman" w:hAnsi="Times New Roman" w:cs="Times New Roman"/>
          <w:sz w:val="24"/>
          <w:szCs w:val="24"/>
        </w:rPr>
        <w:t xml:space="preserve">Vrátenie pôvodného </w:t>
      </w:r>
      <w:r>
        <w:rPr>
          <w:rFonts w:ascii="Times New Roman" w:hAnsi="Times New Roman" w:cs="Times New Roman"/>
          <w:sz w:val="24"/>
          <w:szCs w:val="24"/>
        </w:rPr>
        <w:t xml:space="preserve">desaťpercentného </w:t>
      </w:r>
      <w:r w:rsidRPr="00F875AE">
        <w:rPr>
          <w:rFonts w:ascii="Times New Roman" w:hAnsi="Times New Roman" w:cs="Times New Roman"/>
          <w:sz w:val="24"/>
          <w:szCs w:val="24"/>
        </w:rPr>
        <w:t>viazania osobných výdavkov</w:t>
      </w:r>
      <w:r>
        <w:rPr>
          <w:rFonts w:ascii="Times New Roman" w:hAnsi="Times New Roman" w:cs="Times New Roman"/>
          <w:sz w:val="24"/>
          <w:szCs w:val="24"/>
        </w:rPr>
        <w:t xml:space="preserve"> z roku 2021</w:t>
      </w:r>
      <w:r w:rsidRPr="00F875AE">
        <w:rPr>
          <w:rFonts w:ascii="Times New Roman" w:hAnsi="Times New Roman" w:cs="Times New Roman"/>
          <w:sz w:val="24"/>
          <w:szCs w:val="24"/>
        </w:rPr>
        <w:t>, ktoré bolo realizované na základe revízie výdavkov zamestnanosti, je do rozpočtu osobných výdavkov rozpočtových organizácií premietnuté v sume 8,68</w:t>
      </w:r>
      <w:r>
        <w:rPr>
          <w:rFonts w:ascii="Times New Roman" w:hAnsi="Times New Roman" w:cs="Times New Roman"/>
          <w:sz w:val="24"/>
          <w:szCs w:val="24"/>
        </w:rPr>
        <w:t> </w:t>
      </w:r>
      <w:r w:rsidRPr="00F875AE">
        <w:rPr>
          <w:rFonts w:ascii="Times New Roman" w:hAnsi="Times New Roman" w:cs="Times New Roman"/>
          <w:sz w:val="24"/>
          <w:szCs w:val="24"/>
        </w:rPr>
        <w:t>mil.</w:t>
      </w:r>
      <w:r>
        <w:rPr>
          <w:rFonts w:ascii="Times New Roman" w:hAnsi="Times New Roman" w:cs="Times New Roman"/>
          <w:sz w:val="24"/>
          <w:szCs w:val="24"/>
        </w:rPr>
        <w:t> </w:t>
      </w:r>
      <w:r w:rsidRPr="00F875AE">
        <w:rPr>
          <w:rFonts w:ascii="Times New Roman" w:hAnsi="Times New Roman" w:cs="Times New Roman"/>
          <w:sz w:val="24"/>
          <w:szCs w:val="24"/>
        </w:rPr>
        <w:t>eur, z toho vo výdavkoch na mzdy, platy, služobné príjmy a ostatné osobné vyrovnania v sume 6,43 mil. eur.</w:t>
      </w:r>
    </w:p>
    <w:p w:rsidR="00F0616E" w:rsidRPr="008E5A48" w:rsidRDefault="00F0616E" w:rsidP="00F0616E">
      <w:pPr>
        <w:spacing w:after="0"/>
        <w:jc w:val="both"/>
        <w:rPr>
          <w:rFonts w:ascii="Times New Roman" w:hAnsi="Times New Roman" w:cs="Times New Roman"/>
          <w:sz w:val="24"/>
          <w:szCs w:val="24"/>
        </w:rPr>
      </w:pPr>
    </w:p>
    <w:p w:rsidR="00F0616E" w:rsidRDefault="00F0616E" w:rsidP="00F0616E">
      <w:pPr>
        <w:spacing w:after="0"/>
        <w:jc w:val="both"/>
        <w:rPr>
          <w:rFonts w:ascii="Times New Roman" w:hAnsi="Times New Roman" w:cs="Times New Roman"/>
          <w:sz w:val="24"/>
          <w:szCs w:val="24"/>
        </w:rPr>
      </w:pPr>
      <w:r w:rsidRPr="008E5A48">
        <w:rPr>
          <w:rFonts w:ascii="Times New Roman" w:hAnsi="Times New Roman" w:cs="Times New Roman"/>
          <w:sz w:val="24"/>
          <w:szCs w:val="24"/>
        </w:rPr>
        <w:t>Návrh rozpočtu verejnej správy na rok 2022 neuvažuje s valorizáciou platov zamestnancov financovaných zo štátneho rozpočtu. V súlade s príslušnou legislatívou, v nadväznosti na</w:t>
      </w:r>
      <w:r>
        <w:rPr>
          <w:rFonts w:ascii="Times New Roman" w:hAnsi="Times New Roman" w:cs="Times New Roman"/>
          <w:sz w:val="24"/>
          <w:szCs w:val="24"/>
        </w:rPr>
        <w:t> </w:t>
      </w:r>
      <w:r w:rsidRPr="008E5A48">
        <w:rPr>
          <w:rFonts w:ascii="Times New Roman" w:hAnsi="Times New Roman" w:cs="Times New Roman"/>
          <w:sz w:val="24"/>
          <w:szCs w:val="24"/>
        </w:rPr>
        <w:t>makroekonomickú prognózu Inštitútu finančnej politiky</w:t>
      </w:r>
      <w:r>
        <w:rPr>
          <w:rFonts w:ascii="Times New Roman" w:hAnsi="Times New Roman" w:cs="Times New Roman"/>
          <w:sz w:val="24"/>
          <w:szCs w:val="24"/>
        </w:rPr>
        <w:t xml:space="preserve"> MF SR </w:t>
      </w:r>
      <w:r w:rsidRPr="008E5A48">
        <w:rPr>
          <w:rFonts w:ascii="Times New Roman" w:hAnsi="Times New Roman" w:cs="Times New Roman"/>
          <w:sz w:val="24"/>
          <w:szCs w:val="24"/>
        </w:rPr>
        <w:t>zo septembra</w:t>
      </w:r>
      <w:r w:rsidR="00A34219">
        <w:rPr>
          <w:rFonts w:ascii="Times New Roman" w:hAnsi="Times New Roman" w:cs="Times New Roman"/>
          <w:sz w:val="24"/>
          <w:szCs w:val="24"/>
        </w:rPr>
        <w:t xml:space="preserve"> 2021, medziročne vzrastú platy</w:t>
      </w:r>
      <w:r w:rsidRPr="008E5A48">
        <w:rPr>
          <w:rFonts w:ascii="Times New Roman" w:hAnsi="Times New Roman" w:cs="Times New Roman"/>
          <w:sz w:val="24"/>
          <w:szCs w:val="24"/>
        </w:rPr>
        <w:t xml:space="preserve"> sudcov, prokurátorov a ostatných zamestnancov naviazaných na priemernú nominálnu mesačnú mzdu zamestnanca v hospodárstve SR, resp. </w:t>
      </w:r>
      <w:r>
        <w:rPr>
          <w:rFonts w:ascii="Times New Roman" w:hAnsi="Times New Roman" w:cs="Times New Roman"/>
          <w:sz w:val="24"/>
          <w:szCs w:val="24"/>
        </w:rPr>
        <w:t>na </w:t>
      </w:r>
      <w:r w:rsidRPr="008E5A48">
        <w:rPr>
          <w:rFonts w:ascii="Times New Roman" w:hAnsi="Times New Roman" w:cs="Times New Roman"/>
          <w:sz w:val="24"/>
          <w:szCs w:val="24"/>
        </w:rPr>
        <w:t xml:space="preserve">minimálnu mzdu. </w:t>
      </w:r>
    </w:p>
    <w:p w:rsidR="00AA17E3" w:rsidRDefault="00AA17E3" w:rsidP="00F0616E">
      <w:pPr>
        <w:spacing w:after="0"/>
        <w:jc w:val="both"/>
        <w:rPr>
          <w:rFonts w:ascii="Times New Roman" w:hAnsi="Times New Roman" w:cs="Times New Roman"/>
          <w:sz w:val="24"/>
          <w:szCs w:val="24"/>
        </w:rPr>
      </w:pPr>
    </w:p>
    <w:p w:rsidR="00AA17E3" w:rsidRPr="006B209A" w:rsidRDefault="00AA17E3" w:rsidP="00AA17E3">
      <w:pPr>
        <w:pStyle w:val="Nadpis2"/>
        <w:spacing w:before="0" w:after="0"/>
        <w:rPr>
          <w:rFonts w:ascii="Times New Roman" w:hAnsi="Times New Roman"/>
          <w:i w:val="0"/>
          <w:color w:val="5B9BD5" w:themeColor="accent1"/>
          <w:sz w:val="24"/>
          <w:szCs w:val="24"/>
        </w:rPr>
      </w:pPr>
      <w:bookmarkStart w:id="154" w:name="_Toc53062613"/>
      <w:bookmarkStart w:id="155" w:name="_Toc53084671"/>
      <w:bookmarkStart w:id="156" w:name="_Toc84528335"/>
      <w:bookmarkStart w:id="157" w:name="_Toc84684758"/>
      <w:r w:rsidRPr="006B209A">
        <w:rPr>
          <w:rFonts w:ascii="Times New Roman" w:hAnsi="Times New Roman"/>
          <w:i w:val="0"/>
          <w:color w:val="5B9BD5" w:themeColor="accent1"/>
          <w:sz w:val="24"/>
          <w:szCs w:val="24"/>
        </w:rPr>
        <w:t xml:space="preserve">4.2. </w:t>
      </w:r>
      <w:bookmarkEnd w:id="154"/>
      <w:r w:rsidRPr="006B209A">
        <w:rPr>
          <w:rFonts w:ascii="Times New Roman" w:hAnsi="Times New Roman"/>
          <w:i w:val="0"/>
          <w:color w:val="5B9BD5" w:themeColor="accent1"/>
          <w:sz w:val="24"/>
          <w:szCs w:val="24"/>
        </w:rPr>
        <w:t>Investície</w:t>
      </w:r>
      <w:bookmarkStart w:id="158" w:name="_Toc53062614"/>
      <w:bookmarkEnd w:id="155"/>
      <w:bookmarkEnd w:id="156"/>
      <w:bookmarkEnd w:id="157"/>
    </w:p>
    <w:p w:rsidR="00AA17E3" w:rsidRDefault="00AA17E3" w:rsidP="00AA17E3">
      <w:pPr>
        <w:spacing w:after="0" w:line="240" w:lineRule="auto"/>
        <w:rPr>
          <w:rFonts w:ascii="Times New Roman" w:hAnsi="Times New Roman" w:cs="Times New Roman"/>
          <w:b/>
          <w:sz w:val="24"/>
          <w:szCs w:val="24"/>
          <w:highlight w:val="yellow"/>
        </w:rPr>
      </w:pPr>
    </w:p>
    <w:p w:rsidR="00AA17E3" w:rsidRDefault="00AA17E3" w:rsidP="00AA17E3">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Verejné </w:t>
      </w:r>
      <w:r w:rsidR="00950E0A">
        <w:rPr>
          <w:rFonts w:ascii="Times New Roman" w:hAnsi="Times New Roman" w:cs="Times New Roman"/>
          <w:b/>
          <w:sz w:val="24"/>
          <w:szCs w:val="24"/>
        </w:rPr>
        <w:t>investície na Slovensku dosahujú</w:t>
      </w:r>
      <w:r>
        <w:rPr>
          <w:rFonts w:ascii="Times New Roman" w:hAnsi="Times New Roman" w:cs="Times New Roman"/>
          <w:b/>
          <w:sz w:val="24"/>
          <w:szCs w:val="24"/>
        </w:rPr>
        <w:t xml:space="preserve"> priemerne 3,8 % HDP</w:t>
      </w:r>
      <w:r w:rsidR="0008599D">
        <w:rPr>
          <w:rFonts w:ascii="Times New Roman" w:hAnsi="Times New Roman" w:cs="Times New Roman"/>
          <w:b/>
          <w:sz w:val="24"/>
          <w:szCs w:val="24"/>
        </w:rPr>
        <w:t>,</w:t>
      </w:r>
      <w:r>
        <w:rPr>
          <w:rFonts w:ascii="Times New Roman" w:hAnsi="Times New Roman" w:cs="Times New Roman"/>
          <w:b/>
          <w:sz w:val="24"/>
          <w:szCs w:val="24"/>
        </w:rPr>
        <w:t xml:space="preserve"> čo je porovnateľné s priemerom Európskej únie. </w:t>
      </w:r>
      <w:r w:rsidRPr="008A4EAF">
        <w:rPr>
          <w:rFonts w:ascii="Times New Roman" w:hAnsi="Times New Roman" w:cs="Times New Roman"/>
          <w:bCs/>
          <w:sz w:val="24"/>
          <w:szCs w:val="24"/>
        </w:rPr>
        <w:t xml:space="preserve">Medzi členskými štátmi EÚ </w:t>
      </w:r>
      <w:r>
        <w:rPr>
          <w:rFonts w:ascii="Times New Roman" w:hAnsi="Times New Roman" w:cs="Times New Roman"/>
          <w:bCs/>
          <w:sz w:val="24"/>
          <w:szCs w:val="24"/>
        </w:rPr>
        <w:t>však existujú</w:t>
      </w:r>
      <w:r w:rsidRPr="008A4EAF">
        <w:rPr>
          <w:rFonts w:ascii="Times New Roman" w:hAnsi="Times New Roman" w:cs="Times New Roman"/>
          <w:bCs/>
          <w:sz w:val="24"/>
          <w:szCs w:val="24"/>
        </w:rPr>
        <w:t xml:space="preserve"> rozdiely v</w:t>
      </w:r>
      <w:r>
        <w:rPr>
          <w:rFonts w:ascii="Times New Roman" w:hAnsi="Times New Roman" w:cs="Times New Roman"/>
          <w:bCs/>
          <w:sz w:val="24"/>
          <w:szCs w:val="24"/>
        </w:rPr>
        <w:t> </w:t>
      </w:r>
      <w:r w:rsidRPr="008A4EAF">
        <w:rPr>
          <w:rFonts w:ascii="Times New Roman" w:hAnsi="Times New Roman" w:cs="Times New Roman"/>
          <w:bCs/>
          <w:sz w:val="24"/>
          <w:szCs w:val="24"/>
        </w:rPr>
        <w:t xml:space="preserve">investičnej intenzite </w:t>
      </w:r>
      <w:r>
        <w:rPr>
          <w:rFonts w:ascii="Times New Roman" w:hAnsi="Times New Roman" w:cs="Times New Roman"/>
          <w:bCs/>
          <w:sz w:val="24"/>
          <w:szCs w:val="24"/>
        </w:rPr>
        <w:t>najmä pre</w:t>
      </w:r>
      <w:r w:rsidRPr="008A4EAF">
        <w:rPr>
          <w:rFonts w:ascii="Times New Roman" w:hAnsi="Times New Roman" w:cs="Times New Roman"/>
          <w:bCs/>
          <w:sz w:val="24"/>
          <w:szCs w:val="24"/>
        </w:rPr>
        <w:t xml:space="preserve"> rôzne fázy ekonomického rozvoja</w:t>
      </w:r>
      <w:r>
        <w:rPr>
          <w:rFonts w:ascii="Times New Roman" w:hAnsi="Times New Roman" w:cs="Times New Roman"/>
          <w:bCs/>
          <w:sz w:val="24"/>
          <w:szCs w:val="24"/>
        </w:rPr>
        <w:t>. Zjednodušene môžeme povedať, že vyspelejšie ekonomiky majú už menš</w:t>
      </w:r>
      <w:r w:rsidR="00D236EE">
        <w:rPr>
          <w:rFonts w:ascii="Times New Roman" w:hAnsi="Times New Roman" w:cs="Times New Roman"/>
          <w:bCs/>
          <w:sz w:val="24"/>
          <w:szCs w:val="24"/>
        </w:rPr>
        <w:t>í podiel verejných investícií k</w:t>
      </w:r>
      <w:r>
        <w:rPr>
          <w:rFonts w:ascii="Times New Roman" w:hAnsi="Times New Roman" w:cs="Times New Roman"/>
          <w:bCs/>
          <w:sz w:val="24"/>
          <w:szCs w:val="24"/>
        </w:rPr>
        <w:t xml:space="preserve"> HDP. V porovnaní s podobnými krajinami vstupujúcimi do únie po roku 2004 má Slovensko priemerne nižšie verejné investície o 0,3 p.</w:t>
      </w:r>
      <w:r w:rsidR="004F568C">
        <w:rPr>
          <w:rFonts w:ascii="Times New Roman" w:hAnsi="Times New Roman" w:cs="Times New Roman"/>
          <w:bCs/>
          <w:sz w:val="24"/>
          <w:szCs w:val="24"/>
        </w:rPr>
        <w:t xml:space="preserve"> </w:t>
      </w:r>
      <w:r>
        <w:rPr>
          <w:rFonts w:ascii="Times New Roman" w:hAnsi="Times New Roman" w:cs="Times New Roman"/>
          <w:bCs/>
          <w:sz w:val="24"/>
          <w:szCs w:val="24"/>
        </w:rPr>
        <w:t>b.</w:t>
      </w:r>
      <w:r w:rsidR="00D236EE">
        <w:rPr>
          <w:rFonts w:ascii="Times New Roman" w:hAnsi="Times New Roman" w:cs="Times New Roman"/>
          <w:bCs/>
          <w:sz w:val="24"/>
          <w:szCs w:val="24"/>
        </w:rPr>
        <w:t>,</w:t>
      </w:r>
      <w:r>
        <w:rPr>
          <w:rFonts w:ascii="Times New Roman" w:hAnsi="Times New Roman" w:cs="Times New Roman"/>
          <w:bCs/>
          <w:sz w:val="24"/>
          <w:szCs w:val="24"/>
        </w:rPr>
        <w:t xml:space="preserve"> čo predstavuje približne 250 mil. eur.</w:t>
      </w:r>
    </w:p>
    <w:p w:rsidR="004F568C" w:rsidRDefault="004F568C" w:rsidP="00AA17E3">
      <w:pPr>
        <w:spacing w:after="0" w:line="240" w:lineRule="auto"/>
        <w:jc w:val="both"/>
        <w:rPr>
          <w:rFonts w:ascii="Times New Roman" w:hAnsi="Times New Roman" w:cs="Times New Roman"/>
          <w:bCs/>
          <w:sz w:val="24"/>
          <w:szCs w:val="24"/>
        </w:rPr>
      </w:pPr>
    </w:p>
    <w:p w:rsidR="004F568C" w:rsidRDefault="004F568C" w:rsidP="00AA17E3">
      <w:pPr>
        <w:spacing w:after="0" w:line="240" w:lineRule="auto"/>
        <w:jc w:val="both"/>
        <w:rPr>
          <w:rFonts w:ascii="Times New Roman" w:hAnsi="Times New Roman" w:cs="Times New Roman"/>
          <w:bCs/>
          <w:sz w:val="24"/>
          <w:szCs w:val="24"/>
        </w:rPr>
      </w:pPr>
    </w:p>
    <w:p w:rsidR="004F568C" w:rsidRDefault="004F568C" w:rsidP="00AA17E3">
      <w:pPr>
        <w:spacing w:after="0" w:line="240" w:lineRule="auto"/>
        <w:jc w:val="both"/>
        <w:rPr>
          <w:rFonts w:ascii="Times New Roman" w:hAnsi="Times New Roman" w:cs="Times New Roman"/>
          <w:bCs/>
          <w:sz w:val="24"/>
          <w:szCs w:val="24"/>
        </w:rPr>
      </w:pPr>
    </w:p>
    <w:p w:rsidR="004F568C" w:rsidRDefault="004F568C" w:rsidP="00AA17E3">
      <w:pPr>
        <w:spacing w:after="0" w:line="240" w:lineRule="auto"/>
        <w:jc w:val="both"/>
        <w:rPr>
          <w:rFonts w:ascii="Times New Roman" w:hAnsi="Times New Roman" w:cs="Times New Roman"/>
          <w:bCs/>
          <w:sz w:val="24"/>
          <w:szCs w:val="24"/>
        </w:rPr>
      </w:pPr>
    </w:p>
    <w:p w:rsidR="004F568C" w:rsidRDefault="004F568C" w:rsidP="00AA17E3">
      <w:pPr>
        <w:spacing w:after="0" w:line="240" w:lineRule="auto"/>
        <w:jc w:val="both"/>
        <w:rPr>
          <w:rFonts w:ascii="Times New Roman" w:hAnsi="Times New Roman" w:cs="Times New Roman"/>
          <w:bCs/>
          <w:sz w:val="24"/>
          <w:szCs w:val="24"/>
        </w:rPr>
      </w:pPr>
    </w:p>
    <w:p w:rsidR="00EF1FFB" w:rsidRPr="008A4EAF" w:rsidRDefault="00EF1FFB" w:rsidP="00AA17E3">
      <w:pPr>
        <w:spacing w:after="0" w:line="240" w:lineRule="auto"/>
        <w:jc w:val="both"/>
        <w:rPr>
          <w:rFonts w:ascii="Times New Roman" w:hAnsi="Times New Roman" w:cs="Times New Roman"/>
          <w:bCs/>
          <w:sz w:val="24"/>
          <w:szCs w:val="24"/>
        </w:rPr>
      </w:pPr>
    </w:p>
    <w:p w:rsidR="00AA17E3" w:rsidRDefault="00AA17E3" w:rsidP="00AA17E3">
      <w:pPr>
        <w:spacing w:after="0" w:line="240" w:lineRule="auto"/>
        <w:jc w:val="both"/>
        <w:rPr>
          <w:rFonts w:ascii="Times New Roman" w:hAnsi="Times New Roman" w:cs="Times New Roman"/>
          <w:b/>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A17E3" w:rsidTr="00AA17E3">
        <w:tc>
          <w:tcPr>
            <w:tcW w:w="9062" w:type="dxa"/>
            <w:gridSpan w:val="2"/>
            <w:tcBorders>
              <w:bottom w:val="single" w:sz="4" w:space="0" w:color="auto"/>
            </w:tcBorders>
          </w:tcPr>
          <w:p w:rsidR="00AA17E3" w:rsidRDefault="00AA17E3" w:rsidP="00AA17E3">
            <w:pPr>
              <w:jc w:val="both"/>
              <w:rPr>
                <w:rFonts w:ascii="Times New Roman" w:hAnsi="Times New Roman"/>
                <w:b/>
                <w:sz w:val="24"/>
                <w:szCs w:val="24"/>
              </w:rPr>
            </w:pPr>
            <w:bookmarkStart w:id="159" w:name="_Toc84528515"/>
            <w:bookmarkStart w:id="160" w:name="_Toc84848009"/>
            <w:r w:rsidRPr="006B209A">
              <w:rPr>
                <w:rFonts w:ascii="Times New Roman" w:eastAsia="Calibri" w:hAnsi="Times New Roman"/>
                <w:b/>
                <w:color w:val="5B9BD5"/>
                <w:sz w:val="20"/>
              </w:rPr>
              <w:t xml:space="preserve">Graf </w:t>
            </w:r>
            <w:r w:rsidRPr="006B209A">
              <w:rPr>
                <w:rFonts w:ascii="Times New Roman" w:eastAsia="Calibri" w:hAnsi="Times New Roman"/>
                <w:b/>
                <w:iCs/>
                <w:color w:val="5B9BD5"/>
                <w:sz w:val="20"/>
              </w:rPr>
              <w:fldChar w:fldCharType="begin"/>
            </w:r>
            <w:r w:rsidRPr="006B209A">
              <w:rPr>
                <w:rFonts w:ascii="Times New Roman" w:eastAsia="Calibri" w:hAnsi="Times New Roman"/>
                <w:b/>
                <w:color w:val="5B9BD5"/>
                <w:sz w:val="20"/>
              </w:rPr>
              <w:instrText xml:space="preserve"> SEQ Obrázok \* ARABIC </w:instrText>
            </w:r>
            <w:r w:rsidRPr="006B209A">
              <w:rPr>
                <w:rFonts w:ascii="Times New Roman" w:eastAsia="Calibri" w:hAnsi="Times New Roman"/>
                <w:b/>
                <w:iCs/>
                <w:color w:val="5B9BD5"/>
                <w:sz w:val="20"/>
              </w:rPr>
              <w:fldChar w:fldCharType="separate"/>
            </w:r>
            <w:r w:rsidR="006E67C6">
              <w:rPr>
                <w:rFonts w:ascii="Times New Roman" w:eastAsia="Calibri" w:hAnsi="Times New Roman"/>
                <w:b/>
                <w:noProof/>
                <w:color w:val="5B9BD5"/>
                <w:sz w:val="20"/>
              </w:rPr>
              <w:t>18</w:t>
            </w:r>
            <w:r w:rsidRPr="006B209A">
              <w:rPr>
                <w:rFonts w:ascii="Times New Roman" w:eastAsia="Calibri" w:hAnsi="Times New Roman"/>
                <w:b/>
                <w:iCs/>
                <w:color w:val="5B9BD5"/>
                <w:sz w:val="20"/>
              </w:rPr>
              <w:fldChar w:fldCharType="end"/>
            </w:r>
            <w:r w:rsidR="00EE11DA">
              <w:rPr>
                <w:rFonts w:ascii="Times New Roman" w:hAnsi="Times New Roman"/>
                <w:b/>
                <w:color w:val="5B9BD5" w:themeColor="accent1"/>
                <w:szCs w:val="24"/>
              </w:rPr>
              <w:t xml:space="preserve"> -</w:t>
            </w:r>
            <w:r w:rsidRPr="00C62274">
              <w:rPr>
                <w:rFonts w:ascii="Times New Roman" w:hAnsi="Times New Roman"/>
                <w:b/>
                <w:color w:val="5B9BD5" w:themeColor="accent1"/>
                <w:szCs w:val="24"/>
              </w:rPr>
              <w:t xml:space="preserve"> Porovnanie výšky verejných investícií v Európskej únii (% HDP)</w:t>
            </w:r>
            <w:bookmarkEnd w:id="159"/>
            <w:bookmarkEnd w:id="160"/>
          </w:p>
        </w:tc>
      </w:tr>
      <w:tr w:rsidR="00AA17E3" w:rsidTr="00AA17E3">
        <w:tblPrEx>
          <w:tblCellMar>
            <w:left w:w="70" w:type="dxa"/>
            <w:right w:w="70" w:type="dxa"/>
          </w:tblCellMar>
        </w:tblPrEx>
        <w:tc>
          <w:tcPr>
            <w:tcW w:w="9062" w:type="dxa"/>
            <w:gridSpan w:val="2"/>
            <w:tcBorders>
              <w:top w:val="single" w:sz="4" w:space="0" w:color="auto"/>
            </w:tcBorders>
          </w:tcPr>
          <w:p w:rsidR="00AA17E3" w:rsidRDefault="00AA17E3" w:rsidP="00AA17E3">
            <w:pPr>
              <w:jc w:val="both"/>
              <w:rPr>
                <w:rFonts w:ascii="Times New Roman" w:hAnsi="Times New Roman"/>
                <w:b/>
                <w:sz w:val="24"/>
                <w:szCs w:val="24"/>
              </w:rPr>
            </w:pPr>
            <w:r>
              <w:rPr>
                <w:noProof/>
                <w:lang w:eastAsia="sk-SK"/>
              </w:rPr>
              <w:drawing>
                <wp:inline distT="0" distB="0" distL="0" distR="0" wp14:anchorId="01C9A524" wp14:editId="2FD119E4">
                  <wp:extent cx="5667375" cy="2209800"/>
                  <wp:effectExtent l="0" t="0" r="0" b="0"/>
                  <wp:docPr id="255" name="Graf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A17E3" w:rsidTr="00AA17E3">
        <w:tblPrEx>
          <w:tblCellMar>
            <w:left w:w="70" w:type="dxa"/>
            <w:right w:w="70" w:type="dxa"/>
          </w:tblCellMar>
        </w:tblPrEx>
        <w:tc>
          <w:tcPr>
            <w:tcW w:w="9062" w:type="dxa"/>
            <w:gridSpan w:val="2"/>
            <w:tcBorders>
              <w:top w:val="single" w:sz="4" w:space="0" w:color="auto"/>
            </w:tcBorders>
          </w:tcPr>
          <w:p w:rsidR="00AA17E3" w:rsidRDefault="00AA17E3" w:rsidP="00AA17E3">
            <w:pPr>
              <w:jc w:val="both"/>
              <w:rPr>
                <w:noProof/>
                <w:lang w:eastAsia="sk-SK"/>
              </w:rPr>
            </w:pPr>
          </w:p>
        </w:tc>
      </w:tr>
      <w:tr w:rsidR="00AA17E3" w:rsidTr="00AA17E3">
        <w:tc>
          <w:tcPr>
            <w:tcW w:w="4531" w:type="dxa"/>
            <w:tcBorders>
              <w:top w:val="single" w:sz="4" w:space="0" w:color="auto"/>
            </w:tcBorders>
          </w:tcPr>
          <w:p w:rsidR="00AA17E3" w:rsidRPr="00345707" w:rsidRDefault="00AA17E3" w:rsidP="00AA17E3">
            <w:pPr>
              <w:jc w:val="both"/>
              <w:rPr>
                <w:rFonts w:ascii="Times New Roman" w:hAnsi="Times New Roman"/>
                <w:bCs/>
                <w:i/>
                <w:iCs/>
                <w:sz w:val="18"/>
                <w:szCs w:val="18"/>
              </w:rPr>
            </w:pPr>
            <w:r w:rsidRPr="00345707">
              <w:rPr>
                <w:rFonts w:ascii="Times New Roman" w:hAnsi="Times New Roman"/>
                <w:bCs/>
                <w:i/>
                <w:iCs/>
                <w:sz w:val="18"/>
                <w:szCs w:val="18"/>
              </w:rPr>
              <w:t>Pozn.: gross fixed capital formation</w:t>
            </w:r>
          </w:p>
        </w:tc>
        <w:tc>
          <w:tcPr>
            <w:tcW w:w="4531" w:type="dxa"/>
            <w:tcBorders>
              <w:top w:val="single" w:sz="4" w:space="0" w:color="auto"/>
            </w:tcBorders>
          </w:tcPr>
          <w:p w:rsidR="00AA17E3" w:rsidRPr="00345707" w:rsidRDefault="00AA17E3" w:rsidP="00AA17E3">
            <w:pPr>
              <w:jc w:val="right"/>
              <w:rPr>
                <w:rFonts w:ascii="Times New Roman" w:hAnsi="Times New Roman"/>
                <w:bCs/>
                <w:i/>
                <w:iCs/>
                <w:sz w:val="18"/>
                <w:szCs w:val="18"/>
              </w:rPr>
            </w:pPr>
            <w:r w:rsidRPr="00345707">
              <w:rPr>
                <w:rFonts w:ascii="Times New Roman" w:hAnsi="Times New Roman"/>
                <w:bCs/>
                <w:i/>
                <w:iCs/>
                <w:sz w:val="18"/>
                <w:szCs w:val="18"/>
              </w:rPr>
              <w:t>Zdroj: Eurostat</w:t>
            </w:r>
          </w:p>
        </w:tc>
      </w:tr>
    </w:tbl>
    <w:p w:rsidR="00AA17E3" w:rsidRDefault="00AA17E3" w:rsidP="00AA17E3">
      <w:pPr>
        <w:spacing w:after="0" w:line="240" w:lineRule="auto"/>
        <w:jc w:val="both"/>
        <w:rPr>
          <w:rFonts w:ascii="Times New Roman" w:hAnsi="Times New Roman" w:cs="Times New Roman"/>
          <w:b/>
          <w:sz w:val="24"/>
          <w:szCs w:val="24"/>
        </w:rPr>
      </w:pPr>
    </w:p>
    <w:p w:rsidR="00622D7F" w:rsidRPr="00075962" w:rsidRDefault="00622D7F" w:rsidP="00622D7F">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V roku 2022 plánuje Slovenská republika investovať takmer 6 mld. eur vrátane zdrojov Plánu obnovy a odolnosti. </w:t>
      </w:r>
      <w:r w:rsidRPr="00E6748C">
        <w:rPr>
          <w:rFonts w:ascii="Times New Roman" w:hAnsi="Times New Roman" w:cs="Times New Roman"/>
          <w:b/>
          <w:bCs/>
          <w:sz w:val="24"/>
          <w:szCs w:val="24"/>
        </w:rPr>
        <w:t>Investičná obálka sa v nasledujúcom roku zväčší o približne dve miliardy eur oproti priemeru rokov 2018 až 2021</w:t>
      </w:r>
      <w:r w:rsidR="00E6748C" w:rsidRPr="00E6748C">
        <w:rPr>
          <w:rFonts w:ascii="Times New Roman" w:hAnsi="Times New Roman" w:cs="Times New Roman"/>
          <w:b/>
          <w:bCs/>
          <w:sz w:val="24"/>
          <w:szCs w:val="24"/>
        </w:rPr>
        <w:t>,</w:t>
      </w:r>
      <w:r w:rsidR="00E6748C">
        <w:rPr>
          <w:rFonts w:ascii="Times New Roman" w:hAnsi="Times New Roman" w:cs="Times New Roman"/>
          <w:bCs/>
          <w:sz w:val="24"/>
          <w:szCs w:val="24"/>
        </w:rPr>
        <w:t xml:space="preserve"> </w:t>
      </w:r>
      <w:r w:rsidR="00E6748C">
        <w:rPr>
          <w:rFonts w:ascii="Times New Roman" w:hAnsi="Times New Roman" w:cs="Times New Roman"/>
          <w:b/>
          <w:bCs/>
          <w:sz w:val="24"/>
          <w:szCs w:val="24"/>
        </w:rPr>
        <w:t>čo predstavuje zvýšenie o </w:t>
      </w:r>
      <w:r w:rsidR="00B741A8">
        <w:rPr>
          <w:rFonts w:ascii="Times New Roman" w:hAnsi="Times New Roman" w:cs="Times New Roman"/>
          <w:b/>
          <w:bCs/>
          <w:sz w:val="24"/>
          <w:szCs w:val="24"/>
        </w:rPr>
        <w:t>takmer</w:t>
      </w:r>
      <w:r w:rsidR="00E6748C">
        <w:rPr>
          <w:rFonts w:ascii="Times New Roman" w:hAnsi="Times New Roman" w:cs="Times New Roman"/>
          <w:b/>
          <w:bCs/>
          <w:sz w:val="24"/>
          <w:szCs w:val="24"/>
        </w:rPr>
        <w:t xml:space="preserve"> </w:t>
      </w:r>
      <w:r w:rsidR="00E6748C">
        <w:rPr>
          <w:rFonts w:ascii="Times New Roman" w:hAnsi="Times New Roman" w:cs="Times New Roman"/>
          <w:b/>
          <w:bCs/>
          <w:sz w:val="24"/>
          <w:szCs w:val="24"/>
        </w:rPr>
        <w:br/>
      </w:r>
      <w:r w:rsidR="00887ECD">
        <w:rPr>
          <w:rFonts w:ascii="Times New Roman" w:hAnsi="Times New Roman" w:cs="Times New Roman"/>
          <w:b/>
          <w:bCs/>
          <w:sz w:val="24"/>
          <w:szCs w:val="24"/>
        </w:rPr>
        <w:t>1,5 násobok</w:t>
      </w:r>
      <w:r>
        <w:rPr>
          <w:rFonts w:ascii="Times New Roman" w:hAnsi="Times New Roman" w:cs="Times New Roman"/>
          <w:bCs/>
          <w:sz w:val="24"/>
          <w:szCs w:val="24"/>
        </w:rPr>
        <w:t xml:space="preserve">. Navýšenie je spôsobené najmä novými zdrojmi Plánu obnovy a dočerpávaním európskych fondov. Plánované kapitálové výdavky z EU zdrojov v roku 2024 by nemali poklesnúť tak razantne ako naznačujú súčasné odhady, nakoľko </w:t>
      </w:r>
      <w:r w:rsidRPr="000F3F9F">
        <w:rPr>
          <w:rFonts w:ascii="Times New Roman" w:hAnsi="Times New Roman" w:cs="Times New Roman"/>
          <w:bCs/>
          <w:sz w:val="24"/>
          <w:szCs w:val="24"/>
        </w:rPr>
        <w:t xml:space="preserve">v rozpočte ešte nie sú zahrnuté </w:t>
      </w:r>
      <w:r>
        <w:rPr>
          <w:rFonts w:ascii="Times New Roman" w:hAnsi="Times New Roman" w:cs="Times New Roman"/>
          <w:bCs/>
          <w:sz w:val="24"/>
          <w:szCs w:val="24"/>
        </w:rPr>
        <w:t xml:space="preserve">ako </w:t>
      </w:r>
      <w:r w:rsidRPr="000F3F9F">
        <w:rPr>
          <w:rFonts w:ascii="Times New Roman" w:hAnsi="Times New Roman" w:cs="Times New Roman"/>
          <w:bCs/>
          <w:sz w:val="24"/>
          <w:szCs w:val="24"/>
        </w:rPr>
        <w:t>kapitálové výdavky nového programového obdobia</w:t>
      </w:r>
      <w:r>
        <w:rPr>
          <w:rFonts w:ascii="Times New Roman" w:hAnsi="Times New Roman" w:cs="Times New Roman"/>
          <w:bCs/>
          <w:sz w:val="24"/>
          <w:szCs w:val="24"/>
        </w:rPr>
        <w:t xml:space="preserve">. </w:t>
      </w:r>
    </w:p>
    <w:p w:rsidR="00AA17E3" w:rsidRDefault="00AA17E3" w:rsidP="00AA17E3">
      <w:pPr>
        <w:spacing w:after="0" w:line="240" w:lineRule="auto"/>
        <w:jc w:val="both"/>
        <w:rPr>
          <w:rFonts w:ascii="Times New Roman" w:hAnsi="Times New Roman" w:cs="Times New Roman"/>
          <w:bCs/>
          <w:sz w:val="24"/>
          <w:szCs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A17E3" w:rsidTr="00AA17E3">
        <w:tc>
          <w:tcPr>
            <w:tcW w:w="9062" w:type="dxa"/>
            <w:tcBorders>
              <w:bottom w:val="single" w:sz="4" w:space="0" w:color="auto"/>
            </w:tcBorders>
          </w:tcPr>
          <w:p w:rsidR="00AA17E3" w:rsidRPr="007A711F" w:rsidRDefault="00AA17E3" w:rsidP="00AA17E3">
            <w:pPr>
              <w:keepNext/>
              <w:jc w:val="both"/>
              <w:rPr>
                <w:rFonts w:ascii="Times New Roman" w:hAnsi="Times New Roman"/>
                <w:b/>
                <w:iCs/>
                <w:sz w:val="24"/>
                <w:szCs w:val="24"/>
              </w:rPr>
            </w:pPr>
            <w:bookmarkStart w:id="161" w:name="_Toc84528516"/>
            <w:bookmarkStart w:id="162" w:name="_Toc84848010"/>
            <w:r w:rsidRPr="006B209A">
              <w:rPr>
                <w:rFonts w:ascii="Times New Roman" w:eastAsia="Calibri" w:hAnsi="Times New Roman"/>
                <w:b/>
                <w:color w:val="5B9BD5"/>
                <w:sz w:val="20"/>
              </w:rPr>
              <w:t xml:space="preserve">Graf </w:t>
            </w:r>
            <w:r w:rsidRPr="006B209A">
              <w:rPr>
                <w:rFonts w:ascii="Times New Roman" w:eastAsia="Calibri" w:hAnsi="Times New Roman"/>
                <w:b/>
                <w:iCs/>
                <w:color w:val="5B9BD5"/>
                <w:sz w:val="20"/>
              </w:rPr>
              <w:fldChar w:fldCharType="begin"/>
            </w:r>
            <w:r w:rsidRPr="006B209A">
              <w:rPr>
                <w:rFonts w:ascii="Times New Roman" w:eastAsia="Calibri" w:hAnsi="Times New Roman"/>
                <w:b/>
                <w:color w:val="5B9BD5"/>
                <w:sz w:val="20"/>
              </w:rPr>
              <w:instrText xml:space="preserve"> SEQ Obrázok \* ARABIC </w:instrText>
            </w:r>
            <w:r w:rsidRPr="006B209A">
              <w:rPr>
                <w:rFonts w:ascii="Times New Roman" w:eastAsia="Calibri" w:hAnsi="Times New Roman"/>
                <w:b/>
                <w:iCs/>
                <w:color w:val="5B9BD5"/>
                <w:sz w:val="20"/>
              </w:rPr>
              <w:fldChar w:fldCharType="separate"/>
            </w:r>
            <w:r w:rsidR="006E67C6">
              <w:rPr>
                <w:rFonts w:ascii="Times New Roman" w:eastAsia="Calibri" w:hAnsi="Times New Roman"/>
                <w:b/>
                <w:noProof/>
                <w:color w:val="5B9BD5"/>
                <w:sz w:val="20"/>
              </w:rPr>
              <w:t>19</w:t>
            </w:r>
            <w:r w:rsidRPr="006B209A">
              <w:rPr>
                <w:rFonts w:ascii="Times New Roman" w:eastAsia="Calibri" w:hAnsi="Times New Roman"/>
                <w:b/>
                <w:iCs/>
                <w:color w:val="5B9BD5"/>
                <w:sz w:val="20"/>
              </w:rPr>
              <w:fldChar w:fldCharType="end"/>
            </w:r>
            <w:r w:rsidR="00EE11DA">
              <w:rPr>
                <w:rFonts w:ascii="Times New Roman" w:hAnsi="Times New Roman"/>
                <w:b/>
                <w:iCs/>
                <w:color w:val="5B9BD5" w:themeColor="accent1"/>
                <w:szCs w:val="24"/>
              </w:rPr>
              <w:t xml:space="preserve"> -</w:t>
            </w:r>
            <w:r w:rsidRPr="007A711F">
              <w:rPr>
                <w:rFonts w:ascii="Times New Roman" w:hAnsi="Times New Roman"/>
                <w:b/>
                <w:iCs/>
                <w:color w:val="5B9BD5" w:themeColor="accent1"/>
                <w:szCs w:val="24"/>
              </w:rPr>
              <w:t xml:space="preserve"> </w:t>
            </w:r>
            <w:r>
              <w:rPr>
                <w:rFonts w:ascii="Times New Roman" w:hAnsi="Times New Roman"/>
                <w:b/>
                <w:iCs/>
                <w:color w:val="5B9BD5" w:themeColor="accent1"/>
                <w:szCs w:val="24"/>
              </w:rPr>
              <w:t>Kapitálové výdavky verejnej správy (mil. eur)</w:t>
            </w:r>
            <w:bookmarkEnd w:id="161"/>
            <w:bookmarkEnd w:id="162"/>
          </w:p>
        </w:tc>
      </w:tr>
      <w:tr w:rsidR="00AA17E3" w:rsidTr="00AA17E3">
        <w:tblPrEx>
          <w:tblCellMar>
            <w:left w:w="70" w:type="dxa"/>
            <w:right w:w="70" w:type="dxa"/>
          </w:tblCellMar>
        </w:tblPrEx>
        <w:tc>
          <w:tcPr>
            <w:tcW w:w="9062" w:type="dxa"/>
            <w:tcBorders>
              <w:top w:val="single" w:sz="4" w:space="0" w:color="auto"/>
              <w:bottom w:val="single" w:sz="4" w:space="0" w:color="auto"/>
            </w:tcBorders>
          </w:tcPr>
          <w:p w:rsidR="00AA17E3" w:rsidRDefault="00E67159" w:rsidP="00AA17E3">
            <w:pPr>
              <w:jc w:val="both"/>
              <w:rPr>
                <w:rFonts w:ascii="Times New Roman" w:hAnsi="Times New Roman"/>
                <w:bCs/>
                <w:sz w:val="24"/>
                <w:szCs w:val="24"/>
              </w:rPr>
            </w:pPr>
            <w:r>
              <w:rPr>
                <w:noProof/>
                <w:lang w:eastAsia="sk-SK"/>
              </w:rPr>
              <w:drawing>
                <wp:inline distT="0" distB="0" distL="0" distR="0" wp14:anchorId="248F12CE" wp14:editId="1FD12E12">
                  <wp:extent cx="5760720" cy="2954020"/>
                  <wp:effectExtent l="0" t="0" r="0" b="0"/>
                  <wp:docPr id="229" name="Graf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A17E3" w:rsidTr="00AA17E3">
        <w:tc>
          <w:tcPr>
            <w:tcW w:w="9062" w:type="dxa"/>
            <w:tcBorders>
              <w:top w:val="single" w:sz="4" w:space="0" w:color="auto"/>
            </w:tcBorders>
          </w:tcPr>
          <w:p w:rsidR="00AA17E3" w:rsidRDefault="00AA17E3" w:rsidP="00AA17E3">
            <w:pPr>
              <w:jc w:val="right"/>
              <w:rPr>
                <w:rFonts w:ascii="Times New Roman" w:hAnsi="Times New Roman"/>
                <w:bCs/>
                <w:sz w:val="24"/>
                <w:szCs w:val="24"/>
              </w:rPr>
            </w:pPr>
            <w:r w:rsidRPr="006E7F32">
              <w:rPr>
                <w:rFonts w:ascii="Times New Roman" w:hAnsi="Times New Roman"/>
                <w:i/>
                <w:sz w:val="16"/>
                <w:szCs w:val="24"/>
              </w:rPr>
              <w:t>Zdroj: MF SR</w:t>
            </w:r>
          </w:p>
        </w:tc>
      </w:tr>
    </w:tbl>
    <w:p w:rsidR="00AA17E3" w:rsidRPr="00075962" w:rsidRDefault="00AA17E3" w:rsidP="00AA17E3">
      <w:pPr>
        <w:spacing w:after="0" w:line="240" w:lineRule="auto"/>
        <w:jc w:val="both"/>
        <w:rPr>
          <w:rFonts w:ascii="Times New Roman" w:hAnsi="Times New Roman" w:cs="Times New Roman"/>
          <w:bCs/>
          <w:sz w:val="24"/>
          <w:szCs w:val="24"/>
        </w:rPr>
      </w:pPr>
    </w:p>
    <w:p w:rsidR="00AA17E3" w:rsidRDefault="00AA17E3" w:rsidP="00AA17E3">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Plánované kapitálové výdavky </w:t>
      </w:r>
      <w:r w:rsidRPr="00527164">
        <w:rPr>
          <w:rFonts w:ascii="Times New Roman" w:hAnsi="Times New Roman" w:cs="Times New Roman"/>
          <w:b/>
          <w:sz w:val="24"/>
          <w:szCs w:val="24"/>
        </w:rPr>
        <w:t>centrálnej</w:t>
      </w:r>
      <w:r>
        <w:rPr>
          <w:rFonts w:ascii="Times New Roman" w:hAnsi="Times New Roman" w:cs="Times New Roman"/>
          <w:b/>
          <w:sz w:val="24"/>
          <w:szCs w:val="24"/>
        </w:rPr>
        <w:t xml:space="preserve"> vlády v roku 2022 predstavujú 3 886 mil. eur. </w:t>
      </w:r>
      <w:r w:rsidRPr="00CA4DA8">
        <w:rPr>
          <w:rFonts w:ascii="Times New Roman" w:hAnsi="Times New Roman" w:cs="Times New Roman"/>
          <w:bCs/>
          <w:sz w:val="24"/>
          <w:szCs w:val="24"/>
        </w:rPr>
        <w:t xml:space="preserve">Z toho </w:t>
      </w:r>
      <w:r>
        <w:rPr>
          <w:rFonts w:ascii="Times New Roman" w:hAnsi="Times New Roman" w:cs="Times New Roman"/>
          <w:bCs/>
          <w:sz w:val="24"/>
          <w:szCs w:val="24"/>
        </w:rPr>
        <w:t xml:space="preserve">1 384 mil. eur </w:t>
      </w:r>
      <w:r w:rsidRPr="00CA4DA8">
        <w:rPr>
          <w:rFonts w:ascii="Times New Roman" w:hAnsi="Times New Roman" w:cs="Times New Roman"/>
          <w:bCs/>
          <w:sz w:val="24"/>
          <w:szCs w:val="24"/>
        </w:rPr>
        <w:t xml:space="preserve">zo </w:t>
      </w:r>
      <w:r>
        <w:rPr>
          <w:rFonts w:ascii="Times New Roman" w:hAnsi="Times New Roman" w:cs="Times New Roman"/>
          <w:bCs/>
          <w:sz w:val="24"/>
          <w:szCs w:val="24"/>
        </w:rPr>
        <w:t xml:space="preserve">zdrojov </w:t>
      </w:r>
      <w:r w:rsidRPr="00CA4DA8">
        <w:rPr>
          <w:rFonts w:ascii="Times New Roman" w:hAnsi="Times New Roman" w:cs="Times New Roman"/>
          <w:bCs/>
          <w:sz w:val="24"/>
          <w:szCs w:val="24"/>
        </w:rPr>
        <w:t>štátneho rozpočtu</w:t>
      </w:r>
      <w:r>
        <w:rPr>
          <w:rFonts w:ascii="Times New Roman" w:hAnsi="Times New Roman" w:cs="Times New Roman"/>
          <w:bCs/>
          <w:sz w:val="24"/>
          <w:szCs w:val="24"/>
        </w:rPr>
        <w:t xml:space="preserve"> a ostatných 2 758 mil. eur plynie z eurofondov (vrátane národného spolufinancovania) a Plánu obnovy a odolnosti (vrátane výdavkom na DPH)</w:t>
      </w:r>
      <w:r w:rsidR="00792001">
        <w:rPr>
          <w:rFonts w:ascii="Times New Roman" w:hAnsi="Times New Roman" w:cs="Times New Roman"/>
          <w:bCs/>
          <w:sz w:val="24"/>
          <w:szCs w:val="24"/>
        </w:rPr>
        <w:t>.</w:t>
      </w:r>
      <w:r>
        <w:rPr>
          <w:rFonts w:ascii="Times New Roman" w:hAnsi="Times New Roman" w:cs="Times New Roman"/>
          <w:bCs/>
          <w:sz w:val="24"/>
          <w:szCs w:val="24"/>
        </w:rPr>
        <w:t xml:space="preserve"> </w:t>
      </w:r>
    </w:p>
    <w:p w:rsidR="004F568C" w:rsidRDefault="004F568C" w:rsidP="00AA17E3">
      <w:pPr>
        <w:spacing w:after="0" w:line="240" w:lineRule="auto"/>
        <w:jc w:val="both"/>
        <w:rPr>
          <w:rFonts w:ascii="Times New Roman" w:hAnsi="Times New Roman" w:cs="Times New Roman"/>
          <w:bCs/>
          <w:sz w:val="24"/>
          <w:szCs w:val="24"/>
        </w:rPr>
      </w:pPr>
    </w:p>
    <w:p w:rsidR="00EF1FFB" w:rsidRDefault="00EF1FFB" w:rsidP="00804037">
      <w:pPr>
        <w:spacing w:after="0"/>
        <w:rPr>
          <w:rFonts w:ascii="Times New Roman" w:hAnsi="Times New Roman" w:cs="Times New Roman"/>
          <w:bCs/>
          <w:i/>
          <w:iCs/>
          <w:color w:val="44546A" w:themeColor="text2"/>
          <w:sz w:val="24"/>
          <w:szCs w:val="24"/>
        </w:rPr>
      </w:pPr>
    </w:p>
    <w:p w:rsidR="00804037" w:rsidRPr="00804037" w:rsidRDefault="00804037" w:rsidP="00804037">
      <w:pPr>
        <w:spacing w:after="0"/>
        <w:rPr>
          <w:b/>
        </w:rPr>
      </w:pPr>
      <w:bookmarkStart w:id="163" w:name="_Toc84845274"/>
      <w:r w:rsidRPr="00804037">
        <w:rPr>
          <w:rFonts w:ascii="Times New Roman" w:hAnsi="Times New Roman" w:cs="Times New Roman"/>
          <w:b/>
          <w:color w:val="5B9BD5" w:themeColor="accent1"/>
          <w:sz w:val="20"/>
          <w:szCs w:val="20"/>
        </w:rPr>
        <w:t xml:space="preserve">Tabuľka </w:t>
      </w:r>
      <w:r w:rsidRPr="00804037">
        <w:rPr>
          <w:rFonts w:ascii="Times New Roman" w:hAnsi="Times New Roman" w:cs="Times New Roman"/>
          <w:b/>
          <w:color w:val="5B9BD5" w:themeColor="accent1"/>
          <w:sz w:val="20"/>
          <w:szCs w:val="20"/>
        </w:rPr>
        <w:fldChar w:fldCharType="begin"/>
      </w:r>
      <w:r w:rsidRPr="00804037">
        <w:rPr>
          <w:rFonts w:ascii="Times New Roman" w:hAnsi="Times New Roman" w:cs="Times New Roman"/>
          <w:b/>
          <w:color w:val="5B9BD5" w:themeColor="accent1"/>
          <w:sz w:val="20"/>
          <w:szCs w:val="20"/>
        </w:rPr>
        <w:instrText xml:space="preserve"> SEQ Tabuľka \* ARABIC </w:instrText>
      </w:r>
      <w:r w:rsidRPr="00804037">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50</w:t>
      </w:r>
      <w:r w:rsidRPr="00804037">
        <w:rPr>
          <w:rFonts w:ascii="Times New Roman" w:hAnsi="Times New Roman" w:cs="Times New Roman"/>
          <w:b/>
          <w:color w:val="5B9BD5" w:themeColor="accent1"/>
          <w:sz w:val="20"/>
          <w:szCs w:val="20"/>
        </w:rPr>
        <w:fldChar w:fldCharType="end"/>
      </w:r>
      <w:r w:rsidRPr="00804037">
        <w:rPr>
          <w:rFonts w:ascii="Times New Roman" w:hAnsi="Times New Roman" w:cs="Times New Roman"/>
          <w:b/>
          <w:color w:val="5B9BD5" w:themeColor="accent1"/>
          <w:sz w:val="20"/>
          <w:szCs w:val="20"/>
        </w:rPr>
        <w:t xml:space="preserve"> – Celková výška kapitálových výdavkov (v mil. eur)</w:t>
      </w:r>
      <w:bookmarkEnd w:id="163"/>
    </w:p>
    <w:tbl>
      <w:tblPr>
        <w:tblStyle w:val="Mriekatabuky"/>
        <w:tblW w:w="9151" w:type="dxa"/>
        <w:tblLayout w:type="fixed"/>
        <w:tblLook w:val="04A0" w:firstRow="1" w:lastRow="0" w:firstColumn="1" w:lastColumn="0" w:noHBand="0" w:noVBand="1"/>
      </w:tblPr>
      <w:tblGrid>
        <w:gridCol w:w="1413"/>
        <w:gridCol w:w="703"/>
        <w:gridCol w:w="703"/>
        <w:gridCol w:w="704"/>
        <w:gridCol w:w="703"/>
        <w:gridCol w:w="704"/>
        <w:gridCol w:w="735"/>
        <w:gridCol w:w="672"/>
        <w:gridCol w:w="703"/>
        <w:gridCol w:w="704"/>
        <w:gridCol w:w="703"/>
        <w:gridCol w:w="704"/>
      </w:tblGrid>
      <w:tr w:rsidR="00E6748C" w:rsidRPr="00622D7F" w:rsidTr="00887ECD">
        <w:trPr>
          <w:trHeight w:val="441"/>
          <w:tblHeader/>
        </w:trPr>
        <w:tc>
          <w:tcPr>
            <w:tcW w:w="1413" w:type="dxa"/>
            <w:tcBorders>
              <w:top w:val="single" w:sz="4" w:space="0" w:color="auto"/>
              <w:left w:val="nil"/>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Kapitola</w:t>
            </w:r>
            <w:r w:rsidRPr="00622D7F">
              <w:rPr>
                <w:rFonts w:ascii="Times New Roman" w:hAnsi="Times New Roman"/>
                <w:b/>
                <w:sz w:val="14"/>
                <w:szCs w:val="14"/>
              </w:rPr>
              <w:br/>
              <w:t xml:space="preserve"> (zdroj)</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2016 S</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2017 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2018 S</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2019 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2020 S</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Priemer</w:t>
            </w:r>
          </w:p>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16 -20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2021 R</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2021 OS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2022 R</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2023 R</w:t>
            </w:r>
          </w:p>
        </w:tc>
        <w:tc>
          <w:tcPr>
            <w:tcW w:w="704" w:type="dxa"/>
            <w:tcBorders>
              <w:top w:val="single" w:sz="4" w:space="0" w:color="auto"/>
              <w:left w:val="single" w:sz="4" w:space="0" w:color="auto"/>
              <w:bottom w:val="single" w:sz="4" w:space="0" w:color="auto"/>
              <w:right w:val="nil"/>
            </w:tcBorders>
            <w:shd w:val="clear" w:color="auto" w:fill="auto"/>
            <w:vAlign w:val="center"/>
            <w:hideMark/>
          </w:tcPr>
          <w:p w:rsidR="00622D7F" w:rsidRPr="00622D7F" w:rsidRDefault="00622D7F" w:rsidP="00622D7F">
            <w:pPr>
              <w:jc w:val="center"/>
              <w:rPr>
                <w:rFonts w:ascii="Times New Roman" w:hAnsi="Times New Roman"/>
                <w:b/>
                <w:sz w:val="14"/>
                <w:szCs w:val="14"/>
              </w:rPr>
            </w:pPr>
            <w:r w:rsidRPr="00622D7F">
              <w:rPr>
                <w:rFonts w:ascii="Times New Roman" w:hAnsi="Times New Roman"/>
                <w:b/>
                <w:sz w:val="14"/>
                <w:szCs w:val="14"/>
              </w:rPr>
              <w:t>2024 R</w:t>
            </w:r>
          </w:p>
        </w:tc>
      </w:tr>
      <w:tr w:rsidR="00E6748C" w:rsidRPr="00622D7F" w:rsidTr="00887ECD">
        <w:trPr>
          <w:trHeight w:val="219"/>
        </w:trPr>
        <w:tc>
          <w:tcPr>
            <w:tcW w:w="1413" w:type="dxa"/>
            <w:tcBorders>
              <w:left w:val="nil"/>
              <w:bottom w:val="nil"/>
              <w:right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Spolu</w:t>
            </w:r>
          </w:p>
        </w:tc>
        <w:tc>
          <w:tcPr>
            <w:tcW w:w="703" w:type="dxa"/>
            <w:tcBorders>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1 901</w:t>
            </w:r>
          </w:p>
        </w:tc>
        <w:tc>
          <w:tcPr>
            <w:tcW w:w="703" w:type="dxa"/>
            <w:tcBorders>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1 553</w:t>
            </w:r>
          </w:p>
        </w:tc>
        <w:tc>
          <w:tcPr>
            <w:tcW w:w="704" w:type="dxa"/>
            <w:tcBorders>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2 402</w:t>
            </w:r>
          </w:p>
        </w:tc>
        <w:tc>
          <w:tcPr>
            <w:tcW w:w="703" w:type="dxa"/>
            <w:tcBorders>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2 859</w:t>
            </w:r>
          </w:p>
        </w:tc>
        <w:tc>
          <w:tcPr>
            <w:tcW w:w="704" w:type="dxa"/>
            <w:tcBorders>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2 662</w:t>
            </w:r>
          </w:p>
        </w:tc>
        <w:tc>
          <w:tcPr>
            <w:tcW w:w="735" w:type="dxa"/>
            <w:tcBorders>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2 275</w:t>
            </w:r>
          </w:p>
        </w:tc>
        <w:tc>
          <w:tcPr>
            <w:tcW w:w="672" w:type="dxa"/>
            <w:tcBorders>
              <w:left w:val="single" w:sz="4" w:space="0" w:color="auto"/>
              <w:bottom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2 909</w:t>
            </w:r>
          </w:p>
        </w:tc>
        <w:tc>
          <w:tcPr>
            <w:tcW w:w="703" w:type="dxa"/>
            <w:tcBorders>
              <w:bottom w:val="nil"/>
            </w:tcBorders>
            <w:shd w:val="clear" w:color="auto" w:fill="auto"/>
            <w:noWrap/>
            <w:vAlign w:val="center"/>
          </w:tcPr>
          <w:p w:rsidR="00622D7F" w:rsidRPr="00622D7F" w:rsidRDefault="00622D7F" w:rsidP="00622D7F">
            <w:pPr>
              <w:jc w:val="right"/>
              <w:rPr>
                <w:rFonts w:ascii="Times New Roman" w:hAnsi="Times New Roman"/>
                <w:bCs/>
                <w:sz w:val="14"/>
                <w:szCs w:val="14"/>
              </w:rPr>
            </w:pPr>
            <w:r w:rsidRPr="00622D7F">
              <w:rPr>
                <w:rFonts w:ascii="Times New Roman" w:hAnsi="Times New Roman"/>
                <w:bCs/>
                <w:sz w:val="14"/>
                <w:szCs w:val="14"/>
              </w:rPr>
              <w:t>3 824</w:t>
            </w:r>
          </w:p>
        </w:tc>
        <w:tc>
          <w:tcPr>
            <w:tcW w:w="704" w:type="dxa"/>
            <w:tcBorders>
              <w:bottom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3 886</w:t>
            </w:r>
          </w:p>
        </w:tc>
        <w:tc>
          <w:tcPr>
            <w:tcW w:w="703" w:type="dxa"/>
            <w:tcBorders>
              <w:bottom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4 159</w:t>
            </w:r>
          </w:p>
        </w:tc>
        <w:tc>
          <w:tcPr>
            <w:tcW w:w="704" w:type="dxa"/>
            <w:tcBorders>
              <w:bottom w:val="nil"/>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3 213</w:t>
            </w:r>
          </w:p>
        </w:tc>
      </w:tr>
      <w:tr w:rsidR="00E6748C" w:rsidRPr="00622D7F" w:rsidTr="00887ECD">
        <w:trPr>
          <w:trHeight w:val="219"/>
        </w:trPr>
        <w:tc>
          <w:tcPr>
            <w:tcW w:w="1413" w:type="dxa"/>
            <w:tcBorders>
              <w:top w:val="nil"/>
              <w:left w:val="nil"/>
              <w:bottom w:val="nil"/>
              <w:right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930</w:t>
            </w:r>
          </w:p>
        </w:tc>
        <w:tc>
          <w:tcPr>
            <w:tcW w:w="703"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897</w:t>
            </w:r>
          </w:p>
        </w:tc>
        <w:tc>
          <w:tcPr>
            <w:tcW w:w="704"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1 215</w:t>
            </w:r>
          </w:p>
        </w:tc>
        <w:tc>
          <w:tcPr>
            <w:tcW w:w="703"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1 793</w:t>
            </w:r>
          </w:p>
        </w:tc>
        <w:tc>
          <w:tcPr>
            <w:tcW w:w="704"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1 667</w:t>
            </w:r>
          </w:p>
        </w:tc>
        <w:tc>
          <w:tcPr>
            <w:tcW w:w="735"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1 300</w:t>
            </w:r>
          </w:p>
        </w:tc>
        <w:tc>
          <w:tcPr>
            <w:tcW w:w="672" w:type="dxa"/>
            <w:tcBorders>
              <w:top w:val="nil"/>
              <w:left w:val="single" w:sz="4" w:space="0" w:color="auto"/>
              <w:bottom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1 793</w:t>
            </w:r>
          </w:p>
        </w:tc>
        <w:tc>
          <w:tcPr>
            <w:tcW w:w="703" w:type="dxa"/>
            <w:tcBorders>
              <w:top w:val="nil"/>
              <w:bottom w:val="nil"/>
            </w:tcBorders>
            <w:shd w:val="clear" w:color="auto" w:fill="auto"/>
            <w:noWrap/>
            <w:vAlign w:val="center"/>
          </w:tcPr>
          <w:p w:rsidR="00622D7F" w:rsidRPr="00622D7F" w:rsidRDefault="00622D7F" w:rsidP="00622D7F">
            <w:pPr>
              <w:jc w:val="right"/>
              <w:rPr>
                <w:rFonts w:ascii="Times New Roman" w:hAnsi="Times New Roman"/>
                <w:bCs/>
                <w:i/>
                <w:iCs/>
                <w:sz w:val="14"/>
                <w:szCs w:val="14"/>
              </w:rPr>
            </w:pPr>
            <w:r w:rsidRPr="00622D7F">
              <w:rPr>
                <w:rFonts w:ascii="Times New Roman" w:hAnsi="Times New Roman"/>
                <w:bCs/>
                <w:i/>
                <w:iCs/>
                <w:sz w:val="14"/>
                <w:szCs w:val="14"/>
              </w:rPr>
              <w:t>2 233</w:t>
            </w:r>
          </w:p>
        </w:tc>
        <w:tc>
          <w:tcPr>
            <w:tcW w:w="704" w:type="dxa"/>
            <w:tcBorders>
              <w:top w:val="nil"/>
              <w:bottom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1 384</w:t>
            </w:r>
          </w:p>
        </w:tc>
        <w:tc>
          <w:tcPr>
            <w:tcW w:w="703" w:type="dxa"/>
            <w:tcBorders>
              <w:top w:val="nil"/>
              <w:bottom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1 401</w:t>
            </w:r>
          </w:p>
        </w:tc>
        <w:tc>
          <w:tcPr>
            <w:tcW w:w="704" w:type="dxa"/>
            <w:tcBorders>
              <w:top w:val="nil"/>
              <w:bottom w:val="nil"/>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1 385</w:t>
            </w:r>
          </w:p>
        </w:tc>
      </w:tr>
      <w:tr w:rsidR="00E6748C" w:rsidRPr="00622D7F" w:rsidTr="00887ECD">
        <w:trPr>
          <w:trHeight w:val="219"/>
        </w:trPr>
        <w:tc>
          <w:tcPr>
            <w:tcW w:w="1413" w:type="dxa"/>
            <w:tcBorders>
              <w:top w:val="nil"/>
              <w:left w:val="nil"/>
              <w:bottom w:val="nil"/>
              <w:right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971</w:t>
            </w:r>
          </w:p>
        </w:tc>
        <w:tc>
          <w:tcPr>
            <w:tcW w:w="703"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656</w:t>
            </w:r>
          </w:p>
        </w:tc>
        <w:tc>
          <w:tcPr>
            <w:tcW w:w="704"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1 188</w:t>
            </w:r>
          </w:p>
        </w:tc>
        <w:tc>
          <w:tcPr>
            <w:tcW w:w="703"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1 066</w:t>
            </w:r>
          </w:p>
        </w:tc>
        <w:tc>
          <w:tcPr>
            <w:tcW w:w="704"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995</w:t>
            </w:r>
          </w:p>
        </w:tc>
        <w:tc>
          <w:tcPr>
            <w:tcW w:w="735" w:type="dxa"/>
            <w:tcBorders>
              <w:top w:val="nil"/>
              <w:left w:val="single" w:sz="4" w:space="0" w:color="auto"/>
              <w:bottom w:val="nil"/>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975</w:t>
            </w:r>
          </w:p>
        </w:tc>
        <w:tc>
          <w:tcPr>
            <w:tcW w:w="672" w:type="dxa"/>
            <w:tcBorders>
              <w:top w:val="nil"/>
              <w:left w:val="single" w:sz="4" w:space="0" w:color="auto"/>
              <w:bottom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1 116</w:t>
            </w:r>
          </w:p>
        </w:tc>
        <w:tc>
          <w:tcPr>
            <w:tcW w:w="703" w:type="dxa"/>
            <w:tcBorders>
              <w:top w:val="nil"/>
              <w:bottom w:val="nil"/>
            </w:tcBorders>
            <w:shd w:val="clear" w:color="auto" w:fill="auto"/>
            <w:noWrap/>
            <w:vAlign w:val="center"/>
          </w:tcPr>
          <w:p w:rsidR="00622D7F" w:rsidRPr="00622D7F" w:rsidRDefault="00622D7F" w:rsidP="00622D7F">
            <w:pPr>
              <w:jc w:val="right"/>
              <w:rPr>
                <w:rFonts w:ascii="Times New Roman" w:hAnsi="Times New Roman"/>
                <w:bCs/>
                <w:i/>
                <w:iCs/>
                <w:sz w:val="14"/>
                <w:szCs w:val="14"/>
              </w:rPr>
            </w:pPr>
            <w:r w:rsidRPr="00622D7F">
              <w:rPr>
                <w:rFonts w:ascii="Times New Roman" w:hAnsi="Times New Roman"/>
                <w:bCs/>
                <w:i/>
                <w:iCs/>
                <w:sz w:val="14"/>
                <w:szCs w:val="14"/>
              </w:rPr>
              <w:t>1 591</w:t>
            </w:r>
          </w:p>
        </w:tc>
        <w:tc>
          <w:tcPr>
            <w:tcW w:w="704" w:type="dxa"/>
            <w:tcBorders>
              <w:top w:val="nil"/>
              <w:bottom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1 370</w:t>
            </w:r>
          </w:p>
        </w:tc>
        <w:tc>
          <w:tcPr>
            <w:tcW w:w="703" w:type="dxa"/>
            <w:tcBorders>
              <w:top w:val="nil"/>
              <w:bottom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1 250</w:t>
            </w:r>
          </w:p>
        </w:tc>
        <w:tc>
          <w:tcPr>
            <w:tcW w:w="704" w:type="dxa"/>
            <w:tcBorders>
              <w:top w:val="nil"/>
              <w:bottom w:val="nil"/>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313</w:t>
            </w:r>
          </w:p>
        </w:tc>
      </w:tr>
      <w:tr w:rsidR="00E6748C" w:rsidRPr="00622D7F" w:rsidTr="00B90499">
        <w:trPr>
          <w:trHeight w:val="219"/>
        </w:trPr>
        <w:tc>
          <w:tcPr>
            <w:tcW w:w="1413" w:type="dxa"/>
            <w:tcBorders>
              <w:top w:val="nil"/>
              <w:left w:val="nil"/>
              <w:bottom w:val="single" w:sz="12" w:space="0" w:color="auto"/>
              <w:right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nil"/>
              <w:left w:val="single" w:sz="4" w:space="0" w:color="auto"/>
              <w:bottom w:val="single" w:sz="12" w:space="0" w:color="auto"/>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nil"/>
              <w:left w:val="single" w:sz="4" w:space="0" w:color="auto"/>
              <w:bottom w:val="single" w:sz="12" w:space="0" w:color="auto"/>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nil"/>
              <w:left w:val="single" w:sz="4" w:space="0" w:color="auto"/>
              <w:bottom w:val="single" w:sz="12" w:space="0" w:color="auto"/>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nil"/>
              <w:left w:val="single" w:sz="4" w:space="0" w:color="auto"/>
              <w:bottom w:val="single" w:sz="12" w:space="0" w:color="auto"/>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nil"/>
              <w:left w:val="single" w:sz="4" w:space="0" w:color="auto"/>
              <w:bottom w:val="single" w:sz="12" w:space="0" w:color="auto"/>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nil"/>
              <w:left w:val="single" w:sz="4" w:space="0" w:color="auto"/>
              <w:bottom w:val="single" w:sz="12" w:space="0" w:color="auto"/>
              <w:right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nil"/>
              <w:left w:val="single" w:sz="4" w:space="0" w:color="auto"/>
              <w:bottom w:val="single" w:sz="12"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nil"/>
              <w:bottom w:val="single" w:sz="12" w:space="0" w:color="auto"/>
            </w:tcBorders>
            <w:shd w:val="clear" w:color="auto" w:fill="auto"/>
            <w:noWrap/>
            <w:vAlign w:val="center"/>
          </w:tcPr>
          <w:p w:rsidR="00622D7F" w:rsidRPr="00622D7F" w:rsidRDefault="00622D7F" w:rsidP="00622D7F">
            <w:pPr>
              <w:jc w:val="right"/>
              <w:rPr>
                <w:rFonts w:ascii="Times New Roman" w:hAnsi="Times New Roman"/>
                <w:bCs/>
                <w:i/>
                <w:iCs/>
                <w:sz w:val="14"/>
                <w:szCs w:val="14"/>
              </w:rPr>
            </w:pPr>
            <w:r w:rsidRPr="00622D7F">
              <w:rPr>
                <w:rFonts w:ascii="Times New Roman" w:hAnsi="Times New Roman"/>
                <w:bCs/>
                <w:i/>
                <w:iCs/>
                <w:sz w:val="14"/>
                <w:szCs w:val="14"/>
              </w:rPr>
              <w:t>0</w:t>
            </w:r>
          </w:p>
        </w:tc>
        <w:tc>
          <w:tcPr>
            <w:tcW w:w="704" w:type="dxa"/>
            <w:tcBorders>
              <w:top w:val="nil"/>
              <w:bottom w:val="single" w:sz="12"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1 132</w:t>
            </w:r>
          </w:p>
        </w:tc>
        <w:tc>
          <w:tcPr>
            <w:tcW w:w="703" w:type="dxa"/>
            <w:tcBorders>
              <w:top w:val="nil"/>
              <w:bottom w:val="single" w:sz="12"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1 508</w:t>
            </w:r>
          </w:p>
        </w:tc>
        <w:tc>
          <w:tcPr>
            <w:tcW w:w="704" w:type="dxa"/>
            <w:tcBorders>
              <w:top w:val="nil"/>
              <w:bottom w:val="single" w:sz="12"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1 515</w:t>
            </w:r>
          </w:p>
        </w:tc>
      </w:tr>
      <w:tr w:rsidR="00E6748C" w:rsidRPr="00622D7F" w:rsidTr="00B90499">
        <w:trPr>
          <w:trHeight w:val="219"/>
        </w:trPr>
        <w:tc>
          <w:tcPr>
            <w:tcW w:w="1413" w:type="dxa"/>
            <w:tcBorders>
              <w:top w:val="single" w:sz="12"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MDV SR</w:t>
            </w:r>
          </w:p>
        </w:tc>
        <w:tc>
          <w:tcPr>
            <w:tcW w:w="703"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629</w:t>
            </w:r>
          </w:p>
        </w:tc>
        <w:tc>
          <w:tcPr>
            <w:tcW w:w="703"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745</w:t>
            </w:r>
          </w:p>
        </w:tc>
        <w:tc>
          <w:tcPr>
            <w:tcW w:w="704"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993</w:t>
            </w:r>
          </w:p>
        </w:tc>
        <w:tc>
          <w:tcPr>
            <w:tcW w:w="703"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688</w:t>
            </w:r>
          </w:p>
        </w:tc>
        <w:tc>
          <w:tcPr>
            <w:tcW w:w="704"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807</w:t>
            </w:r>
          </w:p>
        </w:tc>
        <w:tc>
          <w:tcPr>
            <w:tcW w:w="735"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772</w:t>
            </w:r>
          </w:p>
        </w:tc>
        <w:tc>
          <w:tcPr>
            <w:tcW w:w="672"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495</w:t>
            </w:r>
          </w:p>
        </w:tc>
        <w:tc>
          <w:tcPr>
            <w:tcW w:w="703" w:type="dxa"/>
            <w:tcBorders>
              <w:top w:val="single" w:sz="12"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bCs/>
                <w:sz w:val="14"/>
                <w:szCs w:val="14"/>
              </w:rPr>
            </w:pPr>
            <w:r w:rsidRPr="00622D7F">
              <w:rPr>
                <w:rFonts w:ascii="Times New Roman" w:hAnsi="Times New Roman"/>
                <w:bCs/>
                <w:sz w:val="14"/>
                <w:szCs w:val="14"/>
              </w:rPr>
              <w:t>1 323</w:t>
            </w:r>
          </w:p>
        </w:tc>
        <w:tc>
          <w:tcPr>
            <w:tcW w:w="704"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1 098</w:t>
            </w:r>
          </w:p>
        </w:tc>
        <w:tc>
          <w:tcPr>
            <w:tcW w:w="703" w:type="dxa"/>
            <w:tcBorders>
              <w:top w:val="single" w:sz="12"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643</w:t>
            </w:r>
          </w:p>
        </w:tc>
        <w:tc>
          <w:tcPr>
            <w:tcW w:w="704" w:type="dxa"/>
            <w:tcBorders>
              <w:top w:val="single" w:sz="12"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433</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295</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378</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384</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534</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393</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153</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659</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123</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121</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121</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334</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373</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615</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304</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273</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380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343</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664</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808</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379</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168</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143</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311</w:t>
            </w:r>
          </w:p>
        </w:tc>
      </w:tr>
      <w:tr w:rsidR="00E6748C" w:rsidRPr="00622D7F" w:rsidTr="00B90499">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MO SR</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176</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151</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237</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610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515</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338</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16</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425</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22</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20</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176</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151</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237</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610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515</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338</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16</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425</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22</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E6748C" w:rsidRPr="00622D7F" w:rsidTr="00B90499">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MŽP SR</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214</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131</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310</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301</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233</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238</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428</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518</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496</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959</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617</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207</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290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281</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229</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226</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427</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516</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288</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667</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313</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207</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291</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303</w:t>
            </w:r>
          </w:p>
        </w:tc>
      </w:tr>
      <w:tr w:rsidR="00E6748C" w:rsidRPr="00622D7F" w:rsidTr="00B90499">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MPRV SR</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96</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120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171</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285</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247</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184</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59</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93</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113</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161</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272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240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176</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48</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E6748C" w:rsidRPr="00622D7F" w:rsidTr="00B90499">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MV SR</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222</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86</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163</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143</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96</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142</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40</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70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75</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65</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59</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184</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75</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132</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72</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105</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19</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38</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11</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23</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50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66</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56</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51</w:t>
            </w:r>
          </w:p>
        </w:tc>
      </w:tr>
      <w:tr w:rsidR="00E6748C" w:rsidRPr="00622D7F" w:rsidTr="00B90499">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MH SR</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219</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24</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116</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182</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107</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130</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328</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170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227</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198</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27</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93</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56</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42</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14</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62</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11</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215</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76</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51</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88</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314</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109</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212</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175</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18</w:t>
            </w:r>
          </w:p>
        </w:tc>
      </w:tr>
      <w:tr w:rsidR="00E6748C" w:rsidRPr="00622D7F" w:rsidTr="00B90499">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 xml:space="preserve">MIRRI </w:t>
            </w:r>
            <w:r w:rsidR="00267F18">
              <w:rPr>
                <w:rFonts w:ascii="Times New Roman" w:hAnsi="Times New Roman"/>
                <w:sz w:val="14"/>
                <w:szCs w:val="14"/>
              </w:rPr>
              <w:t>SR</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63</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140</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44</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141</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20</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62</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105</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53</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38</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13</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102</w:t>
            </w:r>
          </w:p>
        </w:tc>
        <w:tc>
          <w:tcPr>
            <w:tcW w:w="735"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24</w:t>
            </w:r>
          </w:p>
        </w:tc>
        <w:tc>
          <w:tcPr>
            <w:tcW w:w="672"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128</w:t>
            </w:r>
          </w:p>
        </w:tc>
        <w:tc>
          <w:tcPr>
            <w:tcW w:w="704"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B90499">
        <w:trPr>
          <w:trHeight w:val="219"/>
        </w:trPr>
        <w:tc>
          <w:tcPr>
            <w:tcW w:w="1413" w:type="dxa"/>
            <w:tcBorders>
              <w:top w:val="single" w:sz="4" w:space="0" w:color="auto"/>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top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18</w:t>
            </w:r>
          </w:p>
        </w:tc>
        <w:tc>
          <w:tcPr>
            <w:tcW w:w="703" w:type="dxa"/>
            <w:tcBorders>
              <w:top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62</w:t>
            </w:r>
          </w:p>
        </w:tc>
        <w:tc>
          <w:tcPr>
            <w:tcW w:w="704" w:type="dxa"/>
            <w:tcBorders>
              <w:top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105</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MZ 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35</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16</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79</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159</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100</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78</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41</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206</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438</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445</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16</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78</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159</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84</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73</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41</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199</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438</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445</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MF 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109</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67</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81</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109</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65</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86</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37</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79</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24</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25</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67</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108</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77</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79</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24</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25</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18</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 xml:space="preserve">MŠVVŠ </w:t>
            </w:r>
            <w:r w:rsidR="00267F18">
              <w:rPr>
                <w:rFonts w:ascii="Times New Roman" w:hAnsi="Times New Roman"/>
                <w:sz w:val="14"/>
                <w:szCs w:val="14"/>
              </w:rPr>
              <w:t>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48</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91</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62</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65</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48</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63</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37</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122</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418</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331</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87</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24</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68</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54</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63</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34</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49</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51</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32</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23</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13</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14</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29</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70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62</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29</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325</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287</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72</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MK 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29</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31</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34</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37</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31</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15</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21</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34</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25</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11</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22</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29</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34</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31</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21</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25</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11</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MS 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36</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25</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26</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23</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26</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19</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65</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110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107</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18</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25</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21</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17</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2</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62</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107</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103</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SŠHR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108</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25</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109</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25</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105</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4</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 xml:space="preserve">MZVEZ </w:t>
            </w:r>
            <w:r w:rsidR="00887ECD">
              <w:rPr>
                <w:rFonts w:ascii="Times New Roman" w:hAnsi="Times New Roman"/>
                <w:sz w:val="14"/>
                <w:szCs w:val="14"/>
              </w:rPr>
              <w:t>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13</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11</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33</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13</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10</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13</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33</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13</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MPSVR</w:t>
            </w:r>
            <w:r w:rsidR="00887ECD">
              <w:rPr>
                <w:rFonts w:ascii="Times New Roman" w:hAnsi="Times New Roman"/>
                <w:sz w:val="14"/>
                <w:szCs w:val="14"/>
              </w:rPr>
              <w:t xml:space="preserve"> SR</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12</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8</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18</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42</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64</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18</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38</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66</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60</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VPS</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10</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12</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56</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78</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73</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46</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1 511</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640</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1 091</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1 145</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1 144</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 ŠR</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12</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56</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78</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73</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46</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1 511</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640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1 091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1 145</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1 144</w:t>
            </w:r>
          </w:p>
        </w:tc>
      </w:tr>
      <w:tr w:rsidR="00E6748C"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sz w:val="14"/>
                <w:szCs w:val="14"/>
              </w:rPr>
            </w:pPr>
            <w:r w:rsidRPr="00622D7F">
              <w:rPr>
                <w:rFonts w:ascii="Times New Roman" w:hAnsi="Times New Roman"/>
                <w:sz w:val="14"/>
                <w:szCs w:val="14"/>
              </w:rPr>
              <w:t>Ostatné</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59</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30</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52</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75</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49</w:t>
            </w:r>
          </w:p>
        </w:tc>
        <w:tc>
          <w:tcPr>
            <w:tcW w:w="735"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53</w:t>
            </w:r>
          </w:p>
        </w:tc>
        <w:tc>
          <w:tcPr>
            <w:tcW w:w="672"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22</w:t>
            </w:r>
          </w:p>
        </w:tc>
        <w:tc>
          <w:tcPr>
            <w:tcW w:w="703" w:type="dxa"/>
            <w:shd w:val="clear" w:color="auto" w:fill="auto"/>
            <w:noWrap/>
            <w:vAlign w:val="center"/>
          </w:tcPr>
          <w:p w:rsidR="00622D7F" w:rsidRPr="00622D7F" w:rsidRDefault="00622D7F" w:rsidP="00622D7F">
            <w:pPr>
              <w:jc w:val="right"/>
              <w:rPr>
                <w:rFonts w:ascii="Times New Roman" w:hAnsi="Times New Roman"/>
                <w:sz w:val="14"/>
                <w:szCs w:val="14"/>
              </w:rPr>
            </w:pPr>
            <w:r w:rsidRPr="00622D7F">
              <w:rPr>
                <w:rFonts w:ascii="Times New Roman" w:hAnsi="Times New Roman"/>
                <w:bCs/>
                <w:sz w:val="14"/>
                <w:szCs w:val="14"/>
              </w:rPr>
              <w:t>60</w:t>
            </w:r>
          </w:p>
        </w:tc>
        <w:tc>
          <w:tcPr>
            <w:tcW w:w="704"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65</w:t>
            </w:r>
          </w:p>
        </w:tc>
        <w:tc>
          <w:tcPr>
            <w:tcW w:w="703" w:type="dxa"/>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63</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sz w:val="14"/>
                <w:szCs w:val="14"/>
              </w:rPr>
            </w:pPr>
            <w:r w:rsidRPr="00622D7F">
              <w:rPr>
                <w:rFonts w:ascii="Times New Roman" w:hAnsi="Times New Roman"/>
                <w:sz w:val="14"/>
                <w:szCs w:val="14"/>
              </w:rPr>
              <w:t>64</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 xml:space="preserve">ŠR </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41</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30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52</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54</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41</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44</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22</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59</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15</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16</w:t>
            </w:r>
          </w:p>
        </w:tc>
      </w:tr>
      <w:tr w:rsidR="00622D7F" w:rsidRPr="00622D7F" w:rsidTr="00E6748C">
        <w:trPr>
          <w:trHeight w:val="219"/>
        </w:trPr>
        <w:tc>
          <w:tcPr>
            <w:tcW w:w="1413" w:type="dxa"/>
            <w:tcBorders>
              <w:left w:val="nil"/>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EU + cofin</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17</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21</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8</w:t>
            </w:r>
          </w:p>
        </w:tc>
        <w:tc>
          <w:tcPr>
            <w:tcW w:w="735"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9</w:t>
            </w:r>
          </w:p>
        </w:tc>
        <w:tc>
          <w:tcPr>
            <w:tcW w:w="672"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r>
      <w:tr w:rsidR="00622D7F" w:rsidRPr="00622D7F" w:rsidTr="00E6748C">
        <w:trPr>
          <w:trHeight w:val="219"/>
        </w:trPr>
        <w:tc>
          <w:tcPr>
            <w:tcW w:w="1413" w:type="dxa"/>
            <w:tcBorders>
              <w:left w:val="nil"/>
              <w:bottom w:val="single" w:sz="4" w:space="0" w:color="auto"/>
            </w:tcBorders>
            <w:shd w:val="clear" w:color="auto" w:fill="auto"/>
            <w:noWrap/>
            <w:vAlign w:val="center"/>
            <w:hideMark/>
          </w:tcPr>
          <w:p w:rsidR="00622D7F" w:rsidRPr="00622D7F" w:rsidRDefault="00622D7F" w:rsidP="00622D7F">
            <w:pPr>
              <w:rPr>
                <w:rFonts w:ascii="Times New Roman" w:hAnsi="Times New Roman"/>
                <w:i/>
                <w:iCs/>
                <w:sz w:val="14"/>
                <w:szCs w:val="14"/>
              </w:rPr>
            </w:pPr>
            <w:r w:rsidRPr="00622D7F">
              <w:rPr>
                <w:rFonts w:ascii="Times New Roman" w:hAnsi="Times New Roman"/>
                <w:i/>
                <w:iCs/>
                <w:sz w:val="14"/>
                <w:szCs w:val="14"/>
              </w:rPr>
              <w:t>POO + platba DPH</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35"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672"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0</w:t>
            </w:r>
          </w:p>
        </w:tc>
        <w:tc>
          <w:tcPr>
            <w:tcW w:w="703" w:type="dxa"/>
            <w:tcBorders>
              <w:bottom w:val="single" w:sz="4" w:space="0" w:color="auto"/>
            </w:tcBorders>
            <w:shd w:val="clear" w:color="auto" w:fill="auto"/>
            <w:noWrap/>
            <w:vAlign w:val="center"/>
          </w:tcPr>
          <w:p w:rsidR="00622D7F" w:rsidRPr="00622D7F" w:rsidRDefault="00622D7F" w:rsidP="00622D7F">
            <w:pPr>
              <w:jc w:val="right"/>
              <w:rPr>
                <w:rFonts w:ascii="Times New Roman" w:hAnsi="Times New Roman"/>
                <w:i/>
                <w:iCs/>
                <w:sz w:val="14"/>
                <w:szCs w:val="14"/>
              </w:rPr>
            </w:pPr>
            <w:r w:rsidRPr="00622D7F">
              <w:rPr>
                <w:rFonts w:ascii="Times New Roman" w:hAnsi="Times New Roman"/>
                <w:bCs/>
                <w:i/>
                <w:iCs/>
                <w:sz w:val="14"/>
                <w:szCs w:val="14"/>
              </w:rPr>
              <w:t>0</w:t>
            </w:r>
          </w:p>
        </w:tc>
        <w:tc>
          <w:tcPr>
            <w:tcW w:w="704"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47</w:t>
            </w:r>
          </w:p>
        </w:tc>
        <w:tc>
          <w:tcPr>
            <w:tcW w:w="703" w:type="dxa"/>
            <w:tcBorders>
              <w:bottom w:val="single" w:sz="4" w:space="0" w:color="auto"/>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47</w:t>
            </w:r>
          </w:p>
        </w:tc>
        <w:tc>
          <w:tcPr>
            <w:tcW w:w="704" w:type="dxa"/>
            <w:tcBorders>
              <w:bottom w:val="single" w:sz="4" w:space="0" w:color="auto"/>
              <w:right w:val="nil"/>
            </w:tcBorders>
            <w:shd w:val="clear" w:color="auto" w:fill="auto"/>
            <w:noWrap/>
            <w:vAlign w:val="bottom"/>
          </w:tcPr>
          <w:p w:rsidR="00622D7F" w:rsidRPr="00622D7F" w:rsidRDefault="00622D7F" w:rsidP="00622D7F">
            <w:pPr>
              <w:jc w:val="right"/>
              <w:rPr>
                <w:rFonts w:ascii="Times New Roman" w:hAnsi="Times New Roman"/>
                <w:i/>
                <w:iCs/>
                <w:sz w:val="14"/>
                <w:szCs w:val="14"/>
              </w:rPr>
            </w:pPr>
            <w:r w:rsidRPr="00622D7F">
              <w:rPr>
                <w:rFonts w:ascii="Times New Roman" w:hAnsi="Times New Roman"/>
                <w:i/>
                <w:iCs/>
                <w:sz w:val="14"/>
                <w:szCs w:val="14"/>
              </w:rPr>
              <w:t>47</w:t>
            </w:r>
          </w:p>
        </w:tc>
      </w:tr>
      <w:tr w:rsidR="00622D7F" w:rsidRPr="00622D7F" w:rsidTr="00E6748C">
        <w:trPr>
          <w:trHeight w:val="219"/>
        </w:trPr>
        <w:tc>
          <w:tcPr>
            <w:tcW w:w="9151" w:type="dxa"/>
            <w:gridSpan w:val="12"/>
            <w:tcBorders>
              <w:top w:val="single" w:sz="4" w:space="0" w:color="auto"/>
              <w:left w:val="nil"/>
              <w:bottom w:val="nil"/>
              <w:right w:val="nil"/>
            </w:tcBorders>
            <w:noWrap/>
            <w:vAlign w:val="center"/>
          </w:tcPr>
          <w:p w:rsidR="00622D7F" w:rsidRPr="00622D7F" w:rsidRDefault="00622D7F" w:rsidP="00622D7F">
            <w:pPr>
              <w:jc w:val="right"/>
              <w:rPr>
                <w:rFonts w:ascii="Times New Roman" w:hAnsi="Times New Roman"/>
                <w:i/>
                <w:iCs/>
                <w:sz w:val="16"/>
                <w:szCs w:val="16"/>
              </w:rPr>
            </w:pPr>
            <w:r w:rsidRPr="00622D7F">
              <w:rPr>
                <w:rFonts w:asciiTheme="majorBidi" w:hAnsiTheme="majorBidi" w:cstheme="majorBidi"/>
                <w:i/>
                <w:iCs/>
                <w:sz w:val="16"/>
                <w:szCs w:val="16"/>
              </w:rPr>
              <w:t>Zdroj: MF SR</w:t>
            </w:r>
          </w:p>
        </w:tc>
      </w:tr>
    </w:tbl>
    <w:p w:rsidR="00AA17E3" w:rsidRDefault="00AA17E3" w:rsidP="00AA17E3">
      <w:pPr>
        <w:spacing w:after="0" w:line="240" w:lineRule="auto"/>
        <w:jc w:val="both"/>
        <w:rPr>
          <w:rFonts w:ascii="Times New Roman" w:hAnsi="Times New Roman" w:cs="Times New Roman"/>
          <w:bCs/>
          <w:sz w:val="24"/>
          <w:szCs w:val="24"/>
        </w:rPr>
      </w:pPr>
    </w:p>
    <w:p w:rsidR="00AA17E3" w:rsidRDefault="00AA17E3" w:rsidP="00AA17E3">
      <w:pPr>
        <w:spacing w:after="0" w:line="240" w:lineRule="auto"/>
        <w:jc w:val="both"/>
        <w:rPr>
          <w:rFonts w:ascii="Times New Roman" w:hAnsi="Times New Roman" w:cs="Times New Roman"/>
          <w:sz w:val="24"/>
          <w:szCs w:val="24"/>
        </w:rPr>
      </w:pPr>
      <w:r w:rsidRPr="003E6D8B">
        <w:rPr>
          <w:rFonts w:ascii="Times New Roman" w:hAnsi="Times New Roman" w:cs="Times New Roman"/>
          <w:b/>
          <w:bCs/>
          <w:sz w:val="24"/>
          <w:szCs w:val="24"/>
        </w:rPr>
        <w:t xml:space="preserve">Najväčšie investičné projekty </w:t>
      </w:r>
      <w:r>
        <w:rPr>
          <w:rFonts w:ascii="Times New Roman" w:hAnsi="Times New Roman" w:cs="Times New Roman"/>
          <w:b/>
          <w:bCs/>
          <w:sz w:val="24"/>
          <w:szCs w:val="24"/>
        </w:rPr>
        <w:t>sú plánované</w:t>
      </w:r>
      <w:r w:rsidRPr="003E6D8B">
        <w:rPr>
          <w:rFonts w:ascii="Times New Roman" w:hAnsi="Times New Roman" w:cs="Times New Roman"/>
          <w:b/>
          <w:bCs/>
          <w:sz w:val="24"/>
          <w:szCs w:val="24"/>
        </w:rPr>
        <w:t xml:space="preserve"> v oblasti dopravy a</w:t>
      </w:r>
      <w:r>
        <w:rPr>
          <w:rFonts w:ascii="Times New Roman" w:hAnsi="Times New Roman" w:cs="Times New Roman"/>
          <w:b/>
          <w:bCs/>
          <w:sz w:val="24"/>
          <w:szCs w:val="24"/>
        </w:rPr>
        <w:t> </w:t>
      </w:r>
      <w:r w:rsidRPr="003E6D8B">
        <w:rPr>
          <w:rFonts w:ascii="Times New Roman" w:hAnsi="Times New Roman" w:cs="Times New Roman"/>
          <w:b/>
          <w:bCs/>
          <w:sz w:val="24"/>
          <w:szCs w:val="24"/>
        </w:rPr>
        <w:t>obrany</w:t>
      </w:r>
      <w:r>
        <w:rPr>
          <w:rFonts w:ascii="Times New Roman" w:hAnsi="Times New Roman" w:cs="Times New Roman"/>
          <w:b/>
          <w:bCs/>
          <w:sz w:val="24"/>
          <w:szCs w:val="24"/>
        </w:rPr>
        <w:t xml:space="preserve">. </w:t>
      </w:r>
      <w:r w:rsidRPr="003E6D8B">
        <w:rPr>
          <w:rFonts w:ascii="Times New Roman" w:hAnsi="Times New Roman" w:cs="Times New Roman"/>
          <w:sz w:val="24"/>
          <w:szCs w:val="24"/>
        </w:rPr>
        <w:t xml:space="preserve">Pred realizáciou </w:t>
      </w:r>
      <w:r>
        <w:rPr>
          <w:rFonts w:ascii="Times New Roman" w:hAnsi="Times New Roman" w:cs="Times New Roman"/>
          <w:sz w:val="24"/>
          <w:szCs w:val="24"/>
        </w:rPr>
        <w:t>projektov nad 40 mil. eur</w:t>
      </w:r>
      <w:r>
        <w:rPr>
          <w:rStyle w:val="Odkaznapoznmkupodiarou"/>
          <w:rFonts w:ascii="Times New Roman" w:hAnsi="Times New Roman"/>
          <w:sz w:val="24"/>
          <w:szCs w:val="24"/>
        </w:rPr>
        <w:footnoteReference w:id="34"/>
      </w:r>
      <w:r w:rsidRPr="003E6D8B">
        <w:rPr>
          <w:rFonts w:ascii="Times New Roman" w:hAnsi="Times New Roman" w:cs="Times New Roman"/>
          <w:sz w:val="24"/>
          <w:szCs w:val="24"/>
        </w:rPr>
        <w:t xml:space="preserve"> je potrebné spracovať a zverejniť štúdiu uskutočniteľnosti a ekonomické hodnotenie. </w:t>
      </w:r>
      <w:r>
        <w:rPr>
          <w:rFonts w:ascii="Times New Roman" w:hAnsi="Times New Roman" w:cs="Times New Roman"/>
          <w:sz w:val="24"/>
          <w:szCs w:val="24"/>
        </w:rPr>
        <w:t>Štúdia má najmä posúdiť vhodnú alternatívu dosiahnutia cieľa a znížiť riziká počas samotnej realizácie.</w:t>
      </w:r>
    </w:p>
    <w:p w:rsidR="000C6953" w:rsidRDefault="000C6953" w:rsidP="00AA17E3">
      <w:pPr>
        <w:spacing w:after="0" w:line="240" w:lineRule="auto"/>
        <w:jc w:val="both"/>
        <w:rPr>
          <w:rFonts w:ascii="Times New Roman" w:hAnsi="Times New Roman" w:cs="Times New Roman"/>
          <w:b/>
          <w:bCs/>
          <w:sz w:val="24"/>
          <w:szCs w:val="24"/>
        </w:rPr>
      </w:pPr>
    </w:p>
    <w:p w:rsidR="00AA17E3" w:rsidRDefault="00AA17E3" w:rsidP="00AA17E3">
      <w:pPr>
        <w:spacing w:after="0" w:line="240" w:lineRule="auto"/>
        <w:jc w:val="both"/>
        <w:rPr>
          <w:rFonts w:ascii="Times New Roman" w:hAnsi="Times New Roman" w:cs="Times New Roman"/>
          <w:sz w:val="24"/>
          <w:szCs w:val="24"/>
        </w:rPr>
      </w:pPr>
      <w:r w:rsidRPr="00E7499E">
        <w:rPr>
          <w:rFonts w:ascii="Times New Roman" w:hAnsi="Times New Roman" w:cs="Times New Roman"/>
          <w:b/>
          <w:bCs/>
          <w:sz w:val="24"/>
          <w:szCs w:val="24"/>
        </w:rPr>
        <w:t>Od roku 2021 sa zaviedol nulový štartovací rozpočet (tzv. zero-based budgeting)</w:t>
      </w:r>
      <w:r>
        <w:rPr>
          <w:rFonts w:ascii="Times New Roman" w:hAnsi="Times New Roman" w:cs="Times New Roman"/>
          <w:b/>
          <w:bCs/>
          <w:sz w:val="24"/>
          <w:szCs w:val="24"/>
        </w:rPr>
        <w:t xml:space="preserve"> založený na </w:t>
      </w:r>
      <w:r w:rsidRPr="00E7499E">
        <w:rPr>
          <w:rFonts w:ascii="Times New Roman" w:hAnsi="Times New Roman" w:cs="Times New Roman"/>
          <w:b/>
          <w:bCs/>
          <w:sz w:val="24"/>
          <w:szCs w:val="24"/>
        </w:rPr>
        <w:t xml:space="preserve">investičných plánoch jednotlivých kapitol, ktoré zvyšujú transparentnosť a predvídateľnosť </w:t>
      </w:r>
      <w:r>
        <w:rPr>
          <w:rFonts w:ascii="Times New Roman" w:hAnsi="Times New Roman" w:cs="Times New Roman"/>
          <w:b/>
          <w:bCs/>
          <w:sz w:val="24"/>
          <w:szCs w:val="24"/>
        </w:rPr>
        <w:t>investičného</w:t>
      </w:r>
      <w:r w:rsidRPr="00E7499E">
        <w:rPr>
          <w:rFonts w:ascii="Times New Roman" w:hAnsi="Times New Roman" w:cs="Times New Roman"/>
          <w:b/>
          <w:bCs/>
          <w:sz w:val="24"/>
          <w:szCs w:val="24"/>
        </w:rPr>
        <w:t xml:space="preserve"> procesu.</w:t>
      </w:r>
      <w:r>
        <w:rPr>
          <w:rFonts w:ascii="Times New Roman" w:hAnsi="Times New Roman" w:cs="Times New Roman"/>
          <w:sz w:val="24"/>
          <w:szCs w:val="24"/>
        </w:rPr>
        <w:t xml:space="preserve"> Financované budú iba pripravené a návratné projekty v súlade s priorizovanými investičnými plánmi. Minimalizujú sa tak situácie</w:t>
      </w:r>
      <w:r w:rsidRPr="000E79A9">
        <w:rPr>
          <w:rFonts w:ascii="Times New Roman" w:hAnsi="Times New Roman" w:cs="Times New Roman"/>
          <w:sz w:val="24"/>
          <w:szCs w:val="24"/>
        </w:rPr>
        <w:t xml:space="preserve">, keď nepripravené projekty dlhodobo blokovali veľký balík peňazí na úkor </w:t>
      </w:r>
      <w:r>
        <w:rPr>
          <w:rFonts w:ascii="Times New Roman" w:hAnsi="Times New Roman" w:cs="Times New Roman"/>
          <w:sz w:val="24"/>
          <w:szCs w:val="24"/>
        </w:rPr>
        <w:t>pripravených</w:t>
      </w:r>
      <w:r w:rsidRPr="000E79A9">
        <w:rPr>
          <w:rFonts w:ascii="Times New Roman" w:hAnsi="Times New Roman" w:cs="Times New Roman"/>
          <w:sz w:val="24"/>
          <w:szCs w:val="24"/>
        </w:rPr>
        <w:t xml:space="preserve"> a lepších investícií.</w:t>
      </w:r>
    </w:p>
    <w:p w:rsidR="00AA17E3"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sidRPr="00E7499E">
        <w:rPr>
          <w:rFonts w:ascii="Times New Roman" w:hAnsi="Times New Roman" w:cs="Times New Roman"/>
          <w:b/>
          <w:bCs/>
          <w:sz w:val="24"/>
          <w:szCs w:val="24"/>
        </w:rPr>
        <w:t>Pre fungovanie reformy budú dopracované analyticky podložené dlhodobé investičné rezortné plány, ktoré sú kľúčovým vstupom pre zostavovanie rozpočtu verejnej správy a prípravu nových investícií.</w:t>
      </w:r>
      <w:r w:rsidRPr="00874B75">
        <w:rPr>
          <w:rFonts w:ascii="Times New Roman" w:hAnsi="Times New Roman" w:cs="Times New Roman"/>
          <w:b/>
          <w:sz w:val="24"/>
          <w:szCs w:val="24"/>
        </w:rPr>
        <w:t xml:space="preserve"> </w:t>
      </w:r>
      <w:r w:rsidRPr="00874B75">
        <w:rPr>
          <w:rFonts w:ascii="Times New Roman" w:hAnsi="Times New Roman" w:cs="Times New Roman"/>
          <w:sz w:val="24"/>
          <w:szCs w:val="24"/>
        </w:rPr>
        <w:t xml:space="preserve">Investície prinesú očakávané výsledky len ak budú prostriedky systematicky alokované na najlepšie projekty. </w:t>
      </w:r>
      <w:r>
        <w:rPr>
          <w:rFonts w:ascii="Times New Roman" w:hAnsi="Times New Roman" w:cs="Times New Roman"/>
          <w:sz w:val="24"/>
          <w:szCs w:val="24"/>
        </w:rPr>
        <w:t>Metodiky a invest</w:t>
      </w:r>
      <w:r w:rsidR="00F65642">
        <w:rPr>
          <w:rFonts w:ascii="Times New Roman" w:hAnsi="Times New Roman" w:cs="Times New Roman"/>
          <w:sz w:val="24"/>
          <w:szCs w:val="24"/>
        </w:rPr>
        <w:t>ičné plány mali byť na základe u</w:t>
      </w:r>
      <w:r>
        <w:rPr>
          <w:rFonts w:ascii="Times New Roman" w:hAnsi="Times New Roman" w:cs="Times New Roman"/>
          <w:sz w:val="24"/>
          <w:szCs w:val="24"/>
        </w:rPr>
        <w:t>znesenia vlády vypracované do marca 2021.</w:t>
      </w:r>
    </w:p>
    <w:p w:rsidR="00AA17E3" w:rsidRDefault="00AA17E3"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6F5DB7" w:rsidRDefault="006F5DB7"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267F18" w:rsidRDefault="00267F18" w:rsidP="00AA17E3">
      <w:pPr>
        <w:spacing w:after="0" w:line="240" w:lineRule="auto"/>
        <w:jc w:val="both"/>
        <w:rPr>
          <w:rFonts w:ascii="Times New Roman" w:hAnsi="Times New Roman" w:cs="Times New Roman"/>
          <w:sz w:val="24"/>
          <w:szCs w:val="24"/>
        </w:rPr>
      </w:pPr>
    </w:p>
    <w:p w:rsidR="00AA17E3" w:rsidRDefault="0022093A" w:rsidP="00AA17E3">
      <w:pPr>
        <w:keepNext/>
        <w:spacing w:after="0" w:line="240" w:lineRule="auto"/>
        <w:jc w:val="both"/>
        <w:rPr>
          <w:rFonts w:ascii="Times New Roman" w:hAnsi="Times New Roman" w:cs="Times New Roman"/>
          <w:sz w:val="24"/>
          <w:szCs w:val="24"/>
        </w:rPr>
      </w:pPr>
      <w:bookmarkStart w:id="164" w:name="_Toc84845275"/>
      <w:r w:rsidRPr="0078257F">
        <w:rPr>
          <w:rFonts w:ascii="Times New Roman" w:hAnsi="Times New Roman" w:cs="Times New Roman"/>
          <w:b/>
          <w:color w:val="5B9BD5" w:themeColor="accent1"/>
          <w:sz w:val="20"/>
          <w:szCs w:val="20"/>
        </w:rPr>
        <w:t xml:space="preserve">Tabuľka </w:t>
      </w:r>
      <w:r w:rsidRPr="0078257F">
        <w:rPr>
          <w:rFonts w:ascii="Times New Roman" w:hAnsi="Times New Roman" w:cs="Times New Roman"/>
          <w:b/>
          <w:color w:val="5B9BD5" w:themeColor="accent1"/>
          <w:sz w:val="20"/>
          <w:szCs w:val="20"/>
        </w:rPr>
        <w:fldChar w:fldCharType="begin"/>
      </w:r>
      <w:r w:rsidRPr="0078257F">
        <w:rPr>
          <w:rFonts w:ascii="Times New Roman" w:hAnsi="Times New Roman" w:cs="Times New Roman"/>
          <w:b/>
          <w:color w:val="5B9BD5" w:themeColor="accent1"/>
          <w:sz w:val="20"/>
          <w:szCs w:val="20"/>
        </w:rPr>
        <w:instrText xml:space="preserve"> SEQ Tabuľka \* ARABIC </w:instrText>
      </w:r>
      <w:r w:rsidRPr="0078257F">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51</w:t>
      </w:r>
      <w:r w:rsidRPr="0078257F">
        <w:rPr>
          <w:rFonts w:ascii="Times New Roman" w:hAnsi="Times New Roman" w:cs="Times New Roman"/>
          <w:b/>
          <w:color w:val="5B9BD5" w:themeColor="accent1"/>
          <w:sz w:val="20"/>
          <w:szCs w:val="20"/>
        </w:rPr>
        <w:fldChar w:fldCharType="end"/>
      </w:r>
      <w:r>
        <w:rPr>
          <w:rFonts w:ascii="Times New Roman" w:hAnsi="Times New Roman" w:cs="Times New Roman"/>
          <w:b/>
          <w:color w:val="5B9BD5" w:themeColor="accent1"/>
          <w:sz w:val="20"/>
          <w:szCs w:val="20"/>
        </w:rPr>
        <w:t xml:space="preserve"> </w:t>
      </w:r>
      <w:r w:rsidRPr="0022093A">
        <w:rPr>
          <w:rFonts w:ascii="Times New Roman" w:hAnsi="Times New Roman" w:cs="Times New Roman"/>
          <w:b/>
          <w:color w:val="5B9BD5" w:themeColor="accent1"/>
          <w:sz w:val="20"/>
          <w:szCs w:val="20"/>
        </w:rPr>
        <w:t>-</w:t>
      </w:r>
      <w:r>
        <w:rPr>
          <w:rFonts w:ascii="Times New Roman" w:hAnsi="Times New Roman" w:cs="Times New Roman"/>
          <w:b/>
          <w:i/>
          <w:color w:val="5B9BD5" w:themeColor="accent1"/>
          <w:sz w:val="20"/>
          <w:szCs w:val="20"/>
        </w:rPr>
        <w:t xml:space="preserve"> </w:t>
      </w:r>
      <w:r>
        <w:rPr>
          <w:rFonts w:ascii="Times New Roman" w:hAnsi="Times New Roman" w:cs="Times New Roman"/>
          <w:b/>
          <w:color w:val="5B9BD5" w:themeColor="accent1"/>
          <w:sz w:val="20"/>
        </w:rPr>
        <w:t>Stav vypracovania metodík a investičných plánov kapitol s priemernými kapitálovými výdavkami nad 20 mil. eur ročne</w:t>
      </w:r>
      <w:bookmarkEnd w:id="164"/>
    </w:p>
    <w:tbl>
      <w:tblPr>
        <w:tblW w:w="5000" w:type="pct"/>
        <w:tblCellMar>
          <w:left w:w="0" w:type="dxa"/>
          <w:right w:w="0" w:type="dxa"/>
        </w:tblCellMar>
        <w:tblLook w:val="0420" w:firstRow="1" w:lastRow="0" w:firstColumn="0" w:lastColumn="0" w:noHBand="0" w:noVBand="1"/>
      </w:tblPr>
      <w:tblGrid>
        <w:gridCol w:w="2535"/>
        <w:gridCol w:w="3237"/>
        <w:gridCol w:w="3300"/>
      </w:tblGrid>
      <w:tr w:rsidR="00AA17E3" w:rsidRPr="000775BC" w:rsidTr="00F84C3C">
        <w:trPr>
          <w:trHeight w:val="79"/>
        </w:trPr>
        <w:tc>
          <w:tcPr>
            <w:tcW w:w="1397" w:type="pct"/>
            <w:tcBorders>
              <w:top w:val="single" w:sz="4" w:space="0" w:color="auto"/>
              <w:bottom w:val="single" w:sz="4" w:space="0" w:color="auto"/>
            </w:tcBorders>
            <w:shd w:val="clear" w:color="auto" w:fill="auto"/>
            <w:tcMar>
              <w:top w:w="72" w:type="dxa"/>
              <w:left w:w="72" w:type="dxa"/>
              <w:bottom w:w="72" w:type="dxa"/>
              <w:right w:w="72" w:type="dxa"/>
            </w:tcMar>
            <w:hideMark/>
          </w:tcPr>
          <w:p w:rsidR="00AA17E3" w:rsidRPr="00F65642" w:rsidRDefault="00AA17E3" w:rsidP="00F65642">
            <w:pPr>
              <w:spacing w:after="0" w:line="240" w:lineRule="auto"/>
              <w:rPr>
                <w:rFonts w:asciiTheme="majorBidi" w:hAnsiTheme="majorBidi" w:cstheme="majorBidi"/>
                <w:sz w:val="16"/>
                <w:szCs w:val="16"/>
              </w:rPr>
            </w:pPr>
            <w:r w:rsidRPr="00F65642">
              <w:rPr>
                <w:rFonts w:asciiTheme="majorBidi" w:hAnsiTheme="majorBidi" w:cstheme="majorBidi"/>
                <w:b/>
                <w:bCs/>
                <w:sz w:val="16"/>
                <w:szCs w:val="16"/>
              </w:rPr>
              <w:t>Kapitola</w:t>
            </w:r>
          </w:p>
        </w:tc>
        <w:tc>
          <w:tcPr>
            <w:tcW w:w="1784" w:type="pct"/>
            <w:tcBorders>
              <w:top w:val="single" w:sz="4" w:space="0" w:color="auto"/>
              <w:bottom w:val="single" w:sz="4" w:space="0" w:color="auto"/>
            </w:tcBorders>
            <w:shd w:val="clear" w:color="auto" w:fill="auto"/>
            <w:tcMar>
              <w:top w:w="72" w:type="dxa"/>
              <w:left w:w="72" w:type="dxa"/>
              <w:bottom w:w="72" w:type="dxa"/>
              <w:right w:w="72" w:type="dxa"/>
            </w:tcMa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b/>
                <w:bCs/>
                <w:sz w:val="16"/>
                <w:szCs w:val="16"/>
              </w:rPr>
              <w:t>Metodika (stav)</w:t>
            </w:r>
          </w:p>
        </w:tc>
        <w:tc>
          <w:tcPr>
            <w:tcW w:w="1819" w:type="pct"/>
            <w:tcBorders>
              <w:top w:val="single" w:sz="4" w:space="0" w:color="auto"/>
              <w:bottom w:val="single" w:sz="4" w:space="0" w:color="auto"/>
            </w:tcBorders>
            <w:shd w:val="clear" w:color="auto" w:fill="auto"/>
            <w:tcMar>
              <w:top w:w="72" w:type="dxa"/>
              <w:left w:w="72" w:type="dxa"/>
              <w:bottom w:w="72" w:type="dxa"/>
              <w:right w:w="72" w:type="dxa"/>
            </w:tcMa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b/>
                <w:bCs/>
                <w:sz w:val="16"/>
                <w:szCs w:val="16"/>
              </w:rPr>
              <w:t>Investičný plán (stav)</w:t>
            </w:r>
          </w:p>
        </w:tc>
      </w:tr>
      <w:tr w:rsidR="00AA17E3" w:rsidRPr="000775BC" w:rsidTr="00F84C3C">
        <w:trPr>
          <w:trHeight w:val="20"/>
        </w:trPr>
        <w:tc>
          <w:tcPr>
            <w:tcW w:w="1397" w:type="pct"/>
            <w:tcBorders>
              <w:top w:val="single" w:sz="4" w:space="0" w:color="auto"/>
            </w:tcBorders>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MDV SR (cesty)</w:t>
            </w:r>
          </w:p>
        </w:tc>
        <w:tc>
          <w:tcPr>
            <w:tcW w:w="1784" w:type="pct"/>
            <w:tcBorders>
              <w:top w:val="single" w:sz="4" w:space="0" w:color="auto"/>
            </w:tcBorders>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tcBorders>
              <w:top w:val="single" w:sz="4" w:space="0" w:color="auto"/>
            </w:tcBorders>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Zverejnený</w:t>
            </w:r>
          </w:p>
        </w:tc>
      </w:tr>
      <w:tr w:rsidR="00AA17E3" w:rsidRPr="000775BC" w:rsidTr="00F84C3C">
        <w:trPr>
          <w:trHeight w:val="79"/>
        </w:trPr>
        <w:tc>
          <w:tcPr>
            <w:tcW w:w="1397" w:type="pct"/>
            <w:shd w:val="clear" w:color="auto" w:fill="auto"/>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 xml:space="preserve"> MDV SR (ŽSR)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 (v príprave)</w:t>
            </w:r>
          </w:p>
        </w:tc>
      </w:tr>
      <w:tr w:rsidR="00AA17E3" w:rsidRPr="000775BC" w:rsidTr="00F84C3C">
        <w:trPr>
          <w:trHeight w:val="79"/>
        </w:trPr>
        <w:tc>
          <w:tcPr>
            <w:tcW w:w="1397" w:type="pct"/>
            <w:shd w:val="clear" w:color="auto" w:fill="auto"/>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 xml:space="preserve"> MDV SR (ZSSK)</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w:t>
            </w:r>
          </w:p>
        </w:tc>
      </w:tr>
      <w:tr w:rsidR="00AA17E3" w:rsidRPr="000775BC" w:rsidTr="00F84C3C">
        <w:trPr>
          <w:trHeight w:val="79"/>
        </w:trPr>
        <w:tc>
          <w:tcPr>
            <w:tcW w:w="1397" w:type="pct"/>
            <w:shd w:val="clear" w:color="auto" w:fill="auto"/>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 xml:space="preserve"> MDV SR (ostatné)</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MO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Zverejnený</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MV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 (v príprave)</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MF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 (v príprave)</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 (v príprave)</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MZ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 (v príprave)</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MS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Zverejnený</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MK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 (v príprave)</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 (v príprave)</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MZVEZ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Zverejnený</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MH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 (v príprave)</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 (v príprave)</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MIRRI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Zverejnený</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MŠVVŠ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Zverejnená</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Zverejnený</w:t>
            </w:r>
          </w:p>
        </w:tc>
      </w:tr>
      <w:tr w:rsidR="00AA17E3" w:rsidRPr="000775BC" w:rsidTr="00F84C3C">
        <w:trPr>
          <w:trHeight w:val="79"/>
        </w:trPr>
        <w:tc>
          <w:tcPr>
            <w:tcW w:w="1397" w:type="pct"/>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MPRV SR</w:t>
            </w:r>
          </w:p>
        </w:tc>
        <w:tc>
          <w:tcPr>
            <w:tcW w:w="1784"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 (v príprave)</w:t>
            </w:r>
          </w:p>
        </w:tc>
        <w:tc>
          <w:tcPr>
            <w:tcW w:w="1819" w:type="pct"/>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w:t>
            </w:r>
          </w:p>
        </w:tc>
      </w:tr>
      <w:tr w:rsidR="00AA17E3" w:rsidRPr="000775BC" w:rsidTr="00F84C3C">
        <w:trPr>
          <w:trHeight w:val="56"/>
        </w:trPr>
        <w:tc>
          <w:tcPr>
            <w:tcW w:w="1397" w:type="pct"/>
            <w:tcBorders>
              <w:bottom w:val="single" w:sz="4" w:space="0" w:color="auto"/>
            </w:tcBorders>
            <w:shd w:val="clear" w:color="auto" w:fill="auto"/>
            <w:tcMar>
              <w:top w:w="72" w:type="dxa"/>
              <w:left w:w="72" w:type="dxa"/>
              <w:bottom w:w="72" w:type="dxa"/>
              <w:right w:w="72" w:type="dxa"/>
            </w:tcMar>
            <w:vAlign w:val="center"/>
            <w:hideMark/>
          </w:tcPr>
          <w:p w:rsidR="00AA17E3" w:rsidRPr="00F65642" w:rsidRDefault="00AA17E3" w:rsidP="00AA17E3">
            <w:pPr>
              <w:spacing w:after="0" w:line="240" w:lineRule="auto"/>
              <w:rPr>
                <w:rFonts w:asciiTheme="majorBidi" w:hAnsiTheme="majorBidi" w:cstheme="majorBidi"/>
                <w:sz w:val="16"/>
                <w:szCs w:val="16"/>
              </w:rPr>
            </w:pPr>
            <w:r w:rsidRPr="00F65642">
              <w:rPr>
                <w:rFonts w:asciiTheme="majorBidi" w:hAnsiTheme="majorBidi" w:cstheme="majorBidi"/>
                <w:sz w:val="16"/>
                <w:szCs w:val="16"/>
              </w:rPr>
              <w:t>MŽP SR</w:t>
            </w:r>
          </w:p>
        </w:tc>
        <w:tc>
          <w:tcPr>
            <w:tcW w:w="1784" w:type="pct"/>
            <w:tcBorders>
              <w:bottom w:val="single" w:sz="4" w:space="0" w:color="auto"/>
            </w:tcBorders>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Nezverejnená (v príprave)</w:t>
            </w:r>
          </w:p>
        </w:tc>
        <w:tc>
          <w:tcPr>
            <w:tcW w:w="1819" w:type="pct"/>
            <w:tcBorders>
              <w:bottom w:val="single" w:sz="4" w:space="0" w:color="auto"/>
            </w:tcBorders>
            <w:shd w:val="clear" w:color="auto" w:fill="auto"/>
            <w:tcMar>
              <w:top w:w="72" w:type="dxa"/>
              <w:left w:w="72" w:type="dxa"/>
              <w:bottom w:w="72" w:type="dxa"/>
              <w:right w:w="72" w:type="dxa"/>
            </w:tcMar>
            <w:vAlign w:val="center"/>
            <w:hideMark/>
          </w:tcPr>
          <w:p w:rsidR="00AA17E3" w:rsidRPr="00F65642" w:rsidRDefault="00AA17E3" w:rsidP="00F84C3C">
            <w:pPr>
              <w:spacing w:after="0" w:line="240" w:lineRule="auto"/>
              <w:jc w:val="center"/>
              <w:rPr>
                <w:rFonts w:asciiTheme="majorBidi" w:hAnsiTheme="majorBidi" w:cstheme="majorBidi"/>
                <w:sz w:val="16"/>
                <w:szCs w:val="16"/>
              </w:rPr>
            </w:pPr>
            <w:r w:rsidRPr="00F65642">
              <w:rPr>
                <w:rFonts w:asciiTheme="majorBidi" w:hAnsiTheme="majorBidi" w:cstheme="majorBidi"/>
                <w:sz w:val="16"/>
                <w:szCs w:val="16"/>
              </w:rPr>
              <w:t>Nezverejnený</w:t>
            </w:r>
          </w:p>
        </w:tc>
      </w:tr>
      <w:tr w:rsidR="00AA17E3" w:rsidRPr="000775BC" w:rsidTr="00AA17E3">
        <w:trPr>
          <w:trHeight w:val="56"/>
        </w:trPr>
        <w:tc>
          <w:tcPr>
            <w:tcW w:w="1397" w:type="pct"/>
            <w:tcBorders>
              <w:top w:val="single" w:sz="4" w:space="0" w:color="auto"/>
            </w:tcBorders>
            <w:shd w:val="clear" w:color="auto" w:fill="auto"/>
            <w:tcMar>
              <w:top w:w="72" w:type="dxa"/>
              <w:left w:w="72" w:type="dxa"/>
              <w:bottom w:w="72" w:type="dxa"/>
              <w:right w:w="72" w:type="dxa"/>
            </w:tcMar>
            <w:vAlign w:val="center"/>
          </w:tcPr>
          <w:p w:rsidR="00AA17E3" w:rsidRPr="00AF7906" w:rsidRDefault="00AA17E3" w:rsidP="00AA17E3">
            <w:pPr>
              <w:spacing w:after="0" w:line="240" w:lineRule="auto"/>
              <w:rPr>
                <w:rFonts w:asciiTheme="majorBidi" w:hAnsiTheme="majorBidi" w:cstheme="majorBidi"/>
                <w:sz w:val="20"/>
                <w:szCs w:val="20"/>
              </w:rPr>
            </w:pPr>
          </w:p>
        </w:tc>
        <w:tc>
          <w:tcPr>
            <w:tcW w:w="1784" w:type="pct"/>
            <w:tcBorders>
              <w:top w:val="single" w:sz="4" w:space="0" w:color="auto"/>
            </w:tcBorders>
            <w:shd w:val="clear" w:color="auto" w:fill="auto"/>
            <w:tcMar>
              <w:top w:w="72" w:type="dxa"/>
              <w:left w:w="72" w:type="dxa"/>
              <w:bottom w:w="72" w:type="dxa"/>
              <w:right w:w="72" w:type="dxa"/>
            </w:tcMar>
            <w:vAlign w:val="center"/>
          </w:tcPr>
          <w:p w:rsidR="00AA17E3" w:rsidRPr="004544B5" w:rsidRDefault="00AA17E3" w:rsidP="00AA17E3">
            <w:pPr>
              <w:spacing w:after="0" w:line="240" w:lineRule="auto"/>
              <w:rPr>
                <w:rFonts w:asciiTheme="majorBidi" w:hAnsiTheme="majorBidi" w:cstheme="majorBidi"/>
                <w:sz w:val="20"/>
                <w:szCs w:val="20"/>
              </w:rPr>
            </w:pPr>
          </w:p>
        </w:tc>
        <w:tc>
          <w:tcPr>
            <w:tcW w:w="1819" w:type="pct"/>
            <w:tcBorders>
              <w:top w:val="single" w:sz="4" w:space="0" w:color="auto"/>
            </w:tcBorders>
            <w:shd w:val="clear" w:color="auto" w:fill="auto"/>
            <w:tcMar>
              <w:top w:w="72" w:type="dxa"/>
              <w:left w:w="72" w:type="dxa"/>
              <w:bottom w:w="72" w:type="dxa"/>
              <w:right w:w="72" w:type="dxa"/>
            </w:tcMar>
          </w:tcPr>
          <w:p w:rsidR="00AA17E3" w:rsidRPr="00F65642" w:rsidRDefault="00AA17E3" w:rsidP="00AA17E3">
            <w:pPr>
              <w:spacing w:after="0" w:line="240" w:lineRule="auto"/>
              <w:jc w:val="right"/>
              <w:rPr>
                <w:rFonts w:asciiTheme="majorBidi" w:hAnsiTheme="majorBidi" w:cstheme="majorBidi"/>
                <w:i/>
                <w:iCs/>
                <w:sz w:val="14"/>
                <w:szCs w:val="14"/>
              </w:rPr>
            </w:pPr>
            <w:r w:rsidRPr="00F65642">
              <w:rPr>
                <w:rFonts w:asciiTheme="majorBidi" w:hAnsiTheme="majorBidi" w:cstheme="majorBidi"/>
                <w:i/>
                <w:iCs/>
                <w:sz w:val="14"/>
                <w:szCs w:val="14"/>
              </w:rPr>
              <w:t>Zdroj: MF SR</w:t>
            </w:r>
          </w:p>
        </w:tc>
      </w:tr>
    </w:tbl>
    <w:p w:rsidR="00AA17E3" w:rsidRPr="00F071F0" w:rsidRDefault="00AA17E3" w:rsidP="00AA17E3">
      <w:pPr>
        <w:spacing w:after="0" w:line="240" w:lineRule="auto"/>
        <w:jc w:val="both"/>
        <w:rPr>
          <w:rFonts w:ascii="Times New Roman" w:hAnsi="Times New Roman" w:cs="Times New Roman"/>
          <w:bCs/>
          <w:sz w:val="24"/>
          <w:szCs w:val="24"/>
        </w:rPr>
      </w:pPr>
      <w:r w:rsidRPr="00E7499E">
        <w:rPr>
          <w:rFonts w:ascii="Times New Roman" w:hAnsi="Times New Roman" w:cs="Times New Roman"/>
          <w:b/>
          <w:sz w:val="24"/>
          <w:szCs w:val="24"/>
        </w:rPr>
        <w:t>Lepší proces plánovania, prípravy a rozpočtovania investícií zvýši spoločenskú návratnosť realizovaných projektov.</w:t>
      </w:r>
      <w:r w:rsidRPr="00F071F0">
        <w:rPr>
          <w:rFonts w:ascii="Times New Roman" w:hAnsi="Times New Roman" w:cs="Times New Roman"/>
          <w:bCs/>
          <w:sz w:val="24"/>
          <w:szCs w:val="24"/>
        </w:rPr>
        <w:t xml:space="preserve"> Ekonomická hodnota väčšiny investičných projektov hodnotených MF SR len tesne prekročila ich náklady. Vyjadruje to pomer prínosov a nákladov projektu (BCR), ktorý na Slovensku dosahuje</w:t>
      </w:r>
      <w:r>
        <w:rPr>
          <w:rFonts w:ascii="Times New Roman" w:hAnsi="Times New Roman" w:cs="Times New Roman"/>
          <w:bCs/>
          <w:sz w:val="24"/>
          <w:szCs w:val="24"/>
        </w:rPr>
        <w:t xml:space="preserve"> v priemere</w:t>
      </w:r>
      <w:r w:rsidRPr="00F071F0">
        <w:rPr>
          <w:rFonts w:ascii="Times New Roman" w:hAnsi="Times New Roman" w:cs="Times New Roman"/>
          <w:bCs/>
          <w:sz w:val="24"/>
          <w:szCs w:val="24"/>
        </w:rPr>
        <w:t xml:space="preserve"> hodnoty do 1,5; vo Veľkej Británii sa za </w:t>
      </w:r>
      <w:r>
        <w:rPr>
          <w:rFonts w:ascii="Times New Roman" w:hAnsi="Times New Roman" w:cs="Times New Roman"/>
          <w:bCs/>
          <w:sz w:val="24"/>
          <w:szCs w:val="24"/>
        </w:rPr>
        <w:t>minimálny štandard</w:t>
      </w:r>
      <w:r w:rsidRPr="00F071F0">
        <w:rPr>
          <w:rFonts w:ascii="Times New Roman" w:hAnsi="Times New Roman" w:cs="Times New Roman"/>
          <w:bCs/>
          <w:sz w:val="24"/>
          <w:szCs w:val="24"/>
        </w:rPr>
        <w:t xml:space="preserve"> považuje </w:t>
      </w:r>
      <w:r>
        <w:rPr>
          <w:rFonts w:ascii="Times New Roman" w:hAnsi="Times New Roman" w:cs="Times New Roman"/>
          <w:bCs/>
          <w:sz w:val="24"/>
          <w:szCs w:val="24"/>
        </w:rPr>
        <w:t>pomer väčší</w:t>
      </w:r>
      <w:r w:rsidRPr="00F071F0">
        <w:rPr>
          <w:rFonts w:ascii="Times New Roman" w:hAnsi="Times New Roman" w:cs="Times New Roman"/>
          <w:bCs/>
          <w:sz w:val="24"/>
          <w:szCs w:val="24"/>
        </w:rPr>
        <w:t xml:space="preserve"> ako 2</w:t>
      </w:r>
      <w:r>
        <w:rPr>
          <w:rFonts w:ascii="Times New Roman" w:hAnsi="Times New Roman" w:cs="Times New Roman"/>
          <w:bCs/>
          <w:sz w:val="24"/>
          <w:szCs w:val="24"/>
        </w:rPr>
        <w:t xml:space="preserve"> v závislosti od typu projektu</w:t>
      </w:r>
      <w:r w:rsidRPr="00F071F0">
        <w:rPr>
          <w:rFonts w:ascii="Times New Roman" w:hAnsi="Times New Roman" w:cs="Times New Roman"/>
          <w:bCs/>
          <w:sz w:val="24"/>
          <w:szCs w:val="24"/>
        </w:rPr>
        <w:t xml:space="preserve">. Na Slovensku túto úroveň dosiahlo len približne 30 % investičných projektov hodnotených MF SR. Lepší investičný proces systematicky umožní zvyšovať podiel projektov s vysokou spoločenskou návratnosťou. </w:t>
      </w:r>
    </w:p>
    <w:p w:rsidR="00AA17E3" w:rsidRPr="00E836C5" w:rsidRDefault="00AA17E3" w:rsidP="00AA17E3">
      <w:pPr>
        <w:spacing w:after="0" w:line="240" w:lineRule="auto"/>
        <w:rPr>
          <w:rFonts w:ascii="Times New Roman" w:hAnsi="Times New Roman" w:cs="Times New Roman"/>
          <w:b/>
          <w:sz w:val="24"/>
          <w:szCs w:val="24"/>
          <w:highlight w:val="yellow"/>
        </w:rPr>
      </w:pPr>
    </w:p>
    <w:p w:rsidR="00AA17E3" w:rsidRPr="00E836C5" w:rsidRDefault="00AA17E3" w:rsidP="00AA17E3">
      <w:pPr>
        <w:pStyle w:val="Nadpis2"/>
        <w:spacing w:before="0" w:after="0"/>
        <w:rPr>
          <w:rFonts w:ascii="Times New Roman" w:eastAsia="Calibri" w:hAnsi="Times New Roman"/>
          <w:i w:val="0"/>
          <w:color w:val="5B9BD5" w:themeColor="accent1"/>
          <w:sz w:val="24"/>
          <w:szCs w:val="24"/>
        </w:rPr>
      </w:pPr>
      <w:bookmarkStart w:id="165" w:name="_Toc84528336"/>
      <w:bookmarkStart w:id="166" w:name="_Toc84684759"/>
      <w:r w:rsidRPr="00E836C5">
        <w:rPr>
          <w:rFonts w:ascii="Times New Roman" w:eastAsia="Calibri" w:hAnsi="Times New Roman"/>
          <w:i w:val="0"/>
          <w:color w:val="5B9BD5" w:themeColor="accent1"/>
          <w:sz w:val="24"/>
          <w:szCs w:val="24"/>
        </w:rPr>
        <w:t>4.3. Plán obnovy a odolnosti Slovenskej republiky</w:t>
      </w:r>
      <w:bookmarkEnd w:id="165"/>
      <w:bookmarkEnd w:id="166"/>
    </w:p>
    <w:p w:rsidR="00AA17E3" w:rsidRPr="00E836C5" w:rsidRDefault="00AA17E3" w:rsidP="00AA17E3">
      <w:pPr>
        <w:spacing w:after="0"/>
        <w:rPr>
          <w:lang w:eastAsia="cs-CZ"/>
        </w:rPr>
      </w:pPr>
    </w:p>
    <w:p w:rsidR="00AA17E3" w:rsidRPr="00E836C5" w:rsidRDefault="00AA17E3" w:rsidP="00AA17E3">
      <w:pPr>
        <w:spacing w:line="240" w:lineRule="auto"/>
        <w:jc w:val="both"/>
        <w:rPr>
          <w:rFonts w:ascii="Times New Roman" w:eastAsia="Calibri" w:hAnsi="Times New Roman" w:cs="Times New Roman"/>
          <w:b/>
          <w:sz w:val="24"/>
          <w:szCs w:val="24"/>
        </w:rPr>
      </w:pPr>
      <w:r w:rsidRPr="00E836C5">
        <w:rPr>
          <w:rFonts w:ascii="Times New Roman" w:eastAsia="Calibri" w:hAnsi="Times New Roman" w:cs="Times New Roman"/>
          <w:sz w:val="24"/>
          <w:szCs w:val="24"/>
        </w:rPr>
        <w:t>Plán obnovy a odolnosti Slovenskej republiky je komplexnou odpoveďou na dôsledky krízy spojenej s pandémiou COVID-19, ako aj reakciou na identifikované hlavné výzvy a systémové nedostatky slovenskej ekonomiky. Plán obnovy je postavený na globálnej vízii Slovenska ako moderného štátu,</w:t>
      </w:r>
      <w:r w:rsidRPr="00E836C5">
        <w:rPr>
          <w:rFonts w:ascii="Times New Roman" w:eastAsia="Calibri" w:hAnsi="Times New Roman" w:cs="Times New Roman"/>
          <w:b/>
          <w:sz w:val="24"/>
          <w:szCs w:val="24"/>
        </w:rPr>
        <w:t xml:space="preserve"> </w:t>
      </w:r>
      <w:r w:rsidRPr="00E836C5">
        <w:rPr>
          <w:rFonts w:ascii="Times New Roman" w:eastAsia="Calibri" w:hAnsi="Times New Roman" w:cs="Times New Roman"/>
          <w:sz w:val="24"/>
          <w:szCs w:val="24"/>
        </w:rPr>
        <w:t>ktorý poskytuje občanom kvalitné verejné služby a Slovenska ako zdravej krajiny, ktorá vytvára predpoklad na plnohodnotné využívanie ľudského</w:t>
      </w:r>
      <w:r w:rsidRPr="00E836C5">
        <w:rPr>
          <w:rFonts w:ascii="Times New Roman" w:eastAsia="Calibri" w:hAnsi="Times New Roman" w:cs="Times New Roman"/>
          <w:b/>
          <w:sz w:val="24"/>
          <w:szCs w:val="24"/>
        </w:rPr>
        <w:t xml:space="preserve"> </w:t>
      </w:r>
      <w:r w:rsidRPr="00E836C5">
        <w:rPr>
          <w:rFonts w:ascii="Times New Roman" w:eastAsia="Calibri" w:hAnsi="Times New Roman" w:cs="Times New Roman"/>
          <w:sz w:val="24"/>
          <w:szCs w:val="24"/>
        </w:rPr>
        <w:t>a prírodného kapitálu.</w:t>
      </w:r>
      <w:r w:rsidRPr="00E836C5">
        <w:rPr>
          <w:rFonts w:ascii="Times New Roman" w:eastAsia="Calibri" w:hAnsi="Times New Roman" w:cs="Times New Roman"/>
          <w:b/>
          <w:sz w:val="24"/>
          <w:szCs w:val="24"/>
        </w:rPr>
        <w:t xml:space="preserve"> </w:t>
      </w:r>
    </w:p>
    <w:p w:rsidR="00AA17E3" w:rsidRDefault="00AA17E3" w:rsidP="00AA17E3">
      <w:pPr>
        <w:spacing w:before="240"/>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Podľa prognózy MF SR zo septembra 2021,</w:t>
      </w:r>
      <w:r w:rsidRPr="00E836C5">
        <w:rPr>
          <w:rFonts w:ascii="Times New Roman" w:eastAsia="Calibri" w:hAnsi="Times New Roman" w:cs="Times New Roman"/>
          <w:b/>
          <w:bCs/>
          <w:sz w:val="24"/>
          <w:szCs w:val="24"/>
        </w:rPr>
        <w:t xml:space="preserve"> prostriedky z fondu na podporu obnovy a odolnosti zvýšia do roku 2024 HDP Slovenska o 3,2 %</w:t>
      </w:r>
      <w:r w:rsidRPr="00E836C5">
        <w:rPr>
          <w:rFonts w:ascii="Times New Roman" w:eastAsia="Calibri" w:hAnsi="Times New Roman" w:cs="Times New Roman"/>
          <w:sz w:val="24"/>
          <w:szCs w:val="24"/>
        </w:rPr>
        <w:t xml:space="preserve"> a zamestnanosť o 1,6 %. Vplyv na HDP bude kopírovať trajektóriu čerpania a podporí ho najmä tvorba fixného kapitálu. Investície by mali byť v roku 2024 vďaka prostriedkom z plánu obnovy o 10,5 % vyššie. Následne sa jeho vplyv na investície na konci horizontu spolu s ukončením čerpania zmierni. Trh práce zareaguje na stimul s miernym oneskorením. V roku 2024 bude celková zamestnanosť vyššia o 1,6 %, avšak ku koncu horizontu čerpania prostriedkov predpokladáme ešte mierne zosilnenie efektu.</w:t>
      </w:r>
    </w:p>
    <w:p w:rsidR="00792001" w:rsidRPr="00E836C5" w:rsidRDefault="00792001" w:rsidP="00AA17E3">
      <w:pPr>
        <w:spacing w:before="240"/>
        <w:jc w:val="both"/>
        <w:rPr>
          <w:rFonts w:ascii="Times New Roman" w:eastAsia="Calibri" w:hAnsi="Times New Roman" w:cs="Times New Roman"/>
          <w:sz w:val="24"/>
          <w:szCs w:val="24"/>
        </w:rPr>
      </w:pPr>
    </w:p>
    <w:tbl>
      <w:tblPr>
        <w:tblW w:w="9123" w:type="dxa"/>
        <w:tblInd w:w="-68" w:type="dxa"/>
        <w:tblLayout w:type="fixed"/>
        <w:tblCellMar>
          <w:left w:w="70" w:type="dxa"/>
          <w:right w:w="70" w:type="dxa"/>
        </w:tblCellMar>
        <w:tblLook w:val="0000" w:firstRow="0" w:lastRow="0" w:firstColumn="0" w:lastColumn="0" w:noHBand="0" w:noVBand="0"/>
      </w:tblPr>
      <w:tblGrid>
        <w:gridCol w:w="4539"/>
        <w:gridCol w:w="207"/>
        <w:gridCol w:w="4377"/>
      </w:tblGrid>
      <w:tr w:rsidR="00AA17E3" w:rsidRPr="00E836C5" w:rsidTr="00AA17E3">
        <w:trPr>
          <w:trHeight w:val="284"/>
        </w:trPr>
        <w:tc>
          <w:tcPr>
            <w:tcW w:w="4539" w:type="dxa"/>
            <w:tcBorders>
              <w:top w:val="nil"/>
              <w:left w:val="nil"/>
              <w:bottom w:val="single" w:sz="4" w:space="0" w:color="auto"/>
              <w:right w:val="nil"/>
            </w:tcBorders>
            <w:shd w:val="clear" w:color="auto" w:fill="auto"/>
            <w:vAlign w:val="bottom"/>
          </w:tcPr>
          <w:p w:rsidR="00AA17E3" w:rsidRPr="00E836C5" w:rsidRDefault="00AA17E3" w:rsidP="00AA17E3">
            <w:pPr>
              <w:spacing w:after="0" w:line="240" w:lineRule="auto"/>
              <w:jc w:val="both"/>
              <w:rPr>
                <w:rFonts w:ascii="Times New Roman" w:eastAsia="Calibri" w:hAnsi="Times New Roman" w:cs="Times New Roman"/>
              </w:rPr>
            </w:pPr>
            <w:r w:rsidRPr="00E836C5">
              <w:rPr>
                <w:rFonts w:ascii="Times New Roman" w:eastAsia="Calibri" w:hAnsi="Times New Roman" w:cs="Times New Roman"/>
                <w:sz w:val="24"/>
                <w:szCs w:val="24"/>
              </w:rPr>
              <w:t xml:space="preserve"> </w:t>
            </w:r>
            <w:bookmarkStart w:id="167" w:name="_Toc84528520"/>
            <w:bookmarkStart w:id="168" w:name="_Toc84848011"/>
            <w:r w:rsidRPr="00E836C5">
              <w:rPr>
                <w:rFonts w:ascii="Times New Roman" w:eastAsia="Calibri" w:hAnsi="Times New Roman" w:cs="Times New Roman"/>
                <w:b/>
                <w:iCs/>
                <w:color w:val="5B9BD5"/>
                <w:sz w:val="20"/>
                <w:szCs w:val="18"/>
              </w:rPr>
              <w:t xml:space="preserve">Graf </w:t>
            </w:r>
            <w:r w:rsidRPr="00E836C5">
              <w:rPr>
                <w:rFonts w:ascii="Times New Roman" w:eastAsia="Calibri" w:hAnsi="Times New Roman" w:cs="Times New Roman"/>
                <w:b/>
                <w:iCs/>
                <w:color w:val="5B9BD5"/>
                <w:sz w:val="20"/>
                <w:szCs w:val="18"/>
              </w:rPr>
              <w:fldChar w:fldCharType="begin"/>
            </w:r>
            <w:r w:rsidRPr="00E836C5">
              <w:rPr>
                <w:rFonts w:ascii="Times New Roman" w:eastAsia="Calibri" w:hAnsi="Times New Roman" w:cs="Times New Roman"/>
                <w:b/>
                <w:iCs/>
                <w:color w:val="5B9BD5"/>
                <w:sz w:val="20"/>
                <w:szCs w:val="18"/>
              </w:rPr>
              <w:instrText xml:space="preserve"> SEQ Obrázok \* ARABIC </w:instrText>
            </w:r>
            <w:r w:rsidRPr="00E836C5">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20</w:t>
            </w:r>
            <w:r w:rsidRPr="00E836C5">
              <w:rPr>
                <w:rFonts w:ascii="Times New Roman" w:eastAsia="Calibri" w:hAnsi="Times New Roman" w:cs="Times New Roman"/>
                <w:b/>
                <w:iCs/>
                <w:color w:val="5B9BD5"/>
                <w:sz w:val="20"/>
                <w:szCs w:val="18"/>
              </w:rPr>
              <w:fldChar w:fldCharType="end"/>
            </w:r>
            <w:r w:rsidR="00EE11DA">
              <w:rPr>
                <w:rFonts w:ascii="Times New Roman" w:eastAsia="Calibri" w:hAnsi="Times New Roman" w:cs="Times New Roman"/>
                <w:b/>
                <w:iCs/>
                <w:color w:val="5B9BD5"/>
                <w:sz w:val="20"/>
                <w:szCs w:val="18"/>
              </w:rPr>
              <w:t xml:space="preserve"> -</w:t>
            </w:r>
            <w:r w:rsidRPr="00E836C5">
              <w:rPr>
                <w:rFonts w:ascii="Times New Roman" w:eastAsia="Calibri" w:hAnsi="Times New Roman" w:cs="Times New Roman"/>
                <w:b/>
                <w:iCs/>
                <w:color w:val="5B9BD5"/>
                <w:sz w:val="20"/>
                <w:szCs w:val="18"/>
              </w:rPr>
              <w:t xml:space="preserve"> Prognózy vývoja reálneho HDP (index 2019=100)</w:t>
            </w:r>
            <w:bookmarkEnd w:id="167"/>
            <w:bookmarkEnd w:id="168"/>
            <w:r w:rsidRPr="00E836C5">
              <w:rPr>
                <w:rFonts w:ascii="Times New Roman" w:eastAsia="Calibri" w:hAnsi="Times New Roman" w:cs="Times New Roman"/>
                <w:b/>
                <w:iCs/>
                <w:color w:val="5B9BD5"/>
                <w:sz w:val="20"/>
                <w:szCs w:val="18"/>
              </w:rPr>
              <w:t xml:space="preserve"> </w:t>
            </w:r>
          </w:p>
        </w:tc>
        <w:tc>
          <w:tcPr>
            <w:tcW w:w="207" w:type="dxa"/>
            <w:tcBorders>
              <w:top w:val="nil"/>
              <w:left w:val="nil"/>
              <w:bottom w:val="nil"/>
              <w:right w:val="nil"/>
            </w:tcBorders>
            <w:vAlign w:val="bottom"/>
          </w:tcPr>
          <w:p w:rsidR="00AA17E3" w:rsidRPr="00E836C5" w:rsidRDefault="00AA17E3" w:rsidP="00AA17E3">
            <w:pPr>
              <w:tabs>
                <w:tab w:val="center" w:pos="4536"/>
                <w:tab w:val="right" w:pos="9072"/>
              </w:tabs>
              <w:spacing w:after="0" w:line="240" w:lineRule="auto"/>
              <w:rPr>
                <w:rFonts w:ascii="Times New Roman" w:eastAsia="Calibri" w:hAnsi="Times New Roman" w:cs="Times New Roman"/>
              </w:rPr>
            </w:pPr>
          </w:p>
        </w:tc>
        <w:tc>
          <w:tcPr>
            <w:tcW w:w="4377" w:type="dxa"/>
            <w:tcBorders>
              <w:top w:val="nil"/>
              <w:left w:val="nil"/>
              <w:bottom w:val="single" w:sz="4" w:space="0" w:color="auto"/>
              <w:right w:val="nil"/>
            </w:tcBorders>
            <w:shd w:val="clear" w:color="auto" w:fill="auto"/>
          </w:tcPr>
          <w:p w:rsidR="00AA17E3" w:rsidRPr="00EE11DA" w:rsidRDefault="00AA17E3" w:rsidP="00EE11DA">
            <w:pPr>
              <w:spacing w:after="0" w:line="240" w:lineRule="auto"/>
              <w:jc w:val="both"/>
              <w:rPr>
                <w:rFonts w:ascii="Times New Roman" w:hAnsi="Times New Roman" w:cs="Times New Roman"/>
                <w:sz w:val="24"/>
                <w:szCs w:val="24"/>
              </w:rPr>
            </w:pPr>
            <w:bookmarkStart w:id="169" w:name="_Toc84528521"/>
            <w:bookmarkStart w:id="170" w:name="_Toc84848012"/>
            <w:r w:rsidRPr="00E836C5">
              <w:rPr>
                <w:rFonts w:ascii="Times New Roman" w:eastAsia="Calibri" w:hAnsi="Times New Roman" w:cs="Times New Roman"/>
                <w:b/>
                <w:iCs/>
                <w:color w:val="5B9BD5"/>
                <w:sz w:val="20"/>
                <w:szCs w:val="18"/>
              </w:rPr>
              <w:t xml:space="preserve">Graf </w:t>
            </w:r>
            <w:r w:rsidRPr="00E836C5">
              <w:rPr>
                <w:rFonts w:ascii="Times New Roman" w:eastAsia="Calibri" w:hAnsi="Times New Roman" w:cs="Times New Roman"/>
                <w:b/>
                <w:iCs/>
                <w:color w:val="5B9BD5"/>
                <w:sz w:val="20"/>
                <w:szCs w:val="18"/>
              </w:rPr>
              <w:fldChar w:fldCharType="begin"/>
            </w:r>
            <w:r w:rsidRPr="00E836C5">
              <w:rPr>
                <w:rFonts w:ascii="Times New Roman" w:eastAsia="Calibri" w:hAnsi="Times New Roman" w:cs="Times New Roman"/>
                <w:b/>
                <w:iCs/>
                <w:color w:val="5B9BD5"/>
                <w:sz w:val="20"/>
                <w:szCs w:val="18"/>
              </w:rPr>
              <w:instrText xml:space="preserve"> SEQ Obrázok \* ARABIC </w:instrText>
            </w:r>
            <w:r w:rsidRPr="00E836C5">
              <w:rPr>
                <w:rFonts w:ascii="Times New Roman" w:eastAsia="Calibri" w:hAnsi="Times New Roman" w:cs="Times New Roman"/>
                <w:b/>
                <w:iCs/>
                <w:color w:val="5B9BD5"/>
                <w:sz w:val="20"/>
                <w:szCs w:val="18"/>
              </w:rPr>
              <w:fldChar w:fldCharType="separate"/>
            </w:r>
            <w:r w:rsidR="006E67C6">
              <w:rPr>
                <w:rFonts w:ascii="Times New Roman" w:eastAsia="Calibri" w:hAnsi="Times New Roman" w:cs="Times New Roman"/>
                <w:b/>
                <w:iCs/>
                <w:noProof/>
                <w:color w:val="5B9BD5"/>
                <w:sz w:val="20"/>
                <w:szCs w:val="18"/>
              </w:rPr>
              <w:t>21</w:t>
            </w:r>
            <w:r w:rsidRPr="00E836C5">
              <w:rPr>
                <w:rFonts w:ascii="Times New Roman" w:eastAsia="Calibri" w:hAnsi="Times New Roman" w:cs="Times New Roman"/>
                <w:b/>
                <w:iCs/>
                <w:color w:val="5B9BD5"/>
                <w:sz w:val="20"/>
                <w:szCs w:val="18"/>
              </w:rPr>
              <w:fldChar w:fldCharType="end"/>
            </w:r>
            <w:r w:rsidR="00EE11DA">
              <w:rPr>
                <w:rFonts w:ascii="Times New Roman" w:eastAsia="Calibri" w:hAnsi="Times New Roman" w:cs="Times New Roman"/>
                <w:b/>
                <w:iCs/>
                <w:color w:val="5B9BD5"/>
                <w:sz w:val="20"/>
                <w:szCs w:val="18"/>
              </w:rPr>
              <w:t xml:space="preserve"> -</w:t>
            </w:r>
            <w:r w:rsidRPr="00E836C5">
              <w:rPr>
                <w:rFonts w:ascii="Times New Roman" w:eastAsia="Calibri" w:hAnsi="Times New Roman" w:cs="Times New Roman"/>
                <w:b/>
                <w:iCs/>
                <w:color w:val="5B9BD5"/>
                <w:sz w:val="20"/>
                <w:szCs w:val="18"/>
              </w:rPr>
              <w:t xml:space="preserve"> Prognóza rastu zamestnanosti (ESA v %)</w:t>
            </w:r>
            <w:bookmarkEnd w:id="169"/>
            <w:bookmarkEnd w:id="170"/>
          </w:p>
        </w:tc>
      </w:tr>
      <w:tr w:rsidR="00AA17E3" w:rsidRPr="00E836C5" w:rsidTr="00AA17E3">
        <w:trPr>
          <w:trHeight w:val="3254"/>
        </w:trPr>
        <w:tc>
          <w:tcPr>
            <w:tcW w:w="4539" w:type="dxa"/>
            <w:tcBorders>
              <w:top w:val="single" w:sz="4" w:space="0" w:color="auto"/>
              <w:left w:val="nil"/>
              <w:bottom w:val="single" w:sz="4" w:space="0" w:color="auto"/>
              <w:right w:val="nil"/>
            </w:tcBorders>
            <w:vAlign w:val="center"/>
          </w:tcPr>
          <w:p w:rsidR="00AA17E3" w:rsidRPr="00E836C5" w:rsidRDefault="00AA17E3" w:rsidP="00AA17E3">
            <w:pPr>
              <w:contextualSpacing/>
              <w:rPr>
                <w:rFonts w:ascii="Times New Roman" w:eastAsia="Calibri" w:hAnsi="Times New Roman" w:cs="Times New Roman"/>
                <w:b/>
                <w:bCs/>
                <w:color w:val="7F7F7F"/>
              </w:rPr>
            </w:pPr>
            <w:r w:rsidRPr="00E836C5">
              <w:rPr>
                <w:rFonts w:ascii="Times New Roman" w:eastAsia="Calibri" w:hAnsi="Times New Roman" w:cs="Times New Roman"/>
                <w:noProof/>
                <w:lang w:eastAsia="sk-SK"/>
              </w:rPr>
              <w:drawing>
                <wp:inline distT="0" distB="0" distL="0" distR="0" wp14:anchorId="6F321FDF" wp14:editId="70FDA080">
                  <wp:extent cx="2793365" cy="2322195"/>
                  <wp:effectExtent l="0" t="0" r="6985" b="190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07" w:type="dxa"/>
            <w:tcBorders>
              <w:top w:val="nil"/>
              <w:left w:val="nil"/>
              <w:bottom w:val="nil"/>
              <w:right w:val="nil"/>
            </w:tcBorders>
          </w:tcPr>
          <w:p w:rsidR="00AA17E3" w:rsidRPr="00E836C5" w:rsidRDefault="00AA17E3" w:rsidP="00AA17E3">
            <w:pPr>
              <w:contextualSpacing/>
              <w:rPr>
                <w:rFonts w:ascii="Times New Roman" w:eastAsia="Calibri" w:hAnsi="Times New Roman" w:cs="Times New Roman"/>
                <w:b/>
                <w:bCs/>
              </w:rPr>
            </w:pPr>
          </w:p>
        </w:tc>
        <w:tc>
          <w:tcPr>
            <w:tcW w:w="4377" w:type="dxa"/>
            <w:tcBorders>
              <w:top w:val="single" w:sz="4" w:space="0" w:color="auto"/>
              <w:left w:val="nil"/>
              <w:bottom w:val="single" w:sz="4" w:space="0" w:color="auto"/>
              <w:right w:val="nil"/>
            </w:tcBorders>
          </w:tcPr>
          <w:p w:rsidR="00AA17E3" w:rsidRPr="00E836C5" w:rsidRDefault="00AA17E3" w:rsidP="00AA17E3">
            <w:pPr>
              <w:contextualSpacing/>
              <w:rPr>
                <w:rFonts w:ascii="Times New Roman" w:eastAsia="Calibri" w:hAnsi="Times New Roman" w:cs="Times New Roman"/>
                <w:b/>
                <w:bCs/>
              </w:rPr>
            </w:pPr>
            <w:r w:rsidRPr="00E836C5">
              <w:rPr>
                <w:rFonts w:ascii="Times New Roman" w:eastAsia="Calibri" w:hAnsi="Times New Roman" w:cs="Times New Roman"/>
                <w:noProof/>
                <w:lang w:eastAsia="sk-SK"/>
              </w:rPr>
              <w:drawing>
                <wp:inline distT="0" distB="0" distL="0" distR="0" wp14:anchorId="4D033D52" wp14:editId="10543F25">
                  <wp:extent cx="2672715" cy="2311121"/>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AA17E3" w:rsidRPr="00E836C5" w:rsidTr="00527164">
        <w:trPr>
          <w:trHeight w:val="280"/>
        </w:trPr>
        <w:tc>
          <w:tcPr>
            <w:tcW w:w="4539" w:type="dxa"/>
            <w:tcBorders>
              <w:top w:val="single" w:sz="4" w:space="0" w:color="auto"/>
              <w:left w:val="nil"/>
              <w:bottom w:val="nil"/>
              <w:right w:val="nil"/>
            </w:tcBorders>
            <w:shd w:val="clear" w:color="auto" w:fill="auto"/>
            <w:vAlign w:val="center"/>
          </w:tcPr>
          <w:p w:rsidR="00AA17E3" w:rsidRPr="00527164" w:rsidRDefault="00AA17E3" w:rsidP="005328DE">
            <w:pPr>
              <w:spacing w:before="40" w:after="0"/>
              <w:contextualSpacing/>
              <w:jc w:val="right"/>
              <w:rPr>
                <w:rFonts w:ascii="Times New Roman" w:eastAsia="Times New Roman" w:hAnsi="Times New Roman" w:cs="Times New Roman"/>
                <w:b/>
                <w:bCs/>
                <w:i/>
                <w:sz w:val="16"/>
                <w:szCs w:val="16"/>
                <w:lang w:eastAsia="sk-SK"/>
              </w:rPr>
            </w:pPr>
            <w:r w:rsidRPr="00527164">
              <w:rPr>
                <w:rFonts w:ascii="Times New Roman" w:eastAsia="Calibri" w:hAnsi="Times New Roman" w:cs="Times New Roman"/>
                <w:i/>
                <w:sz w:val="16"/>
                <w:szCs w:val="16"/>
              </w:rPr>
              <w:t xml:space="preserve">Zdroj: </w:t>
            </w:r>
            <w:r w:rsidR="005328DE">
              <w:rPr>
                <w:rFonts w:ascii="Times New Roman" w:eastAsia="Calibri" w:hAnsi="Times New Roman" w:cs="Times New Roman"/>
                <w:i/>
                <w:sz w:val="16"/>
                <w:szCs w:val="16"/>
              </w:rPr>
              <w:t>IFP</w:t>
            </w:r>
          </w:p>
        </w:tc>
        <w:tc>
          <w:tcPr>
            <w:tcW w:w="207" w:type="dxa"/>
            <w:tcBorders>
              <w:top w:val="nil"/>
              <w:left w:val="nil"/>
              <w:bottom w:val="nil"/>
              <w:right w:val="nil"/>
            </w:tcBorders>
            <w:shd w:val="clear" w:color="auto" w:fill="auto"/>
            <w:vAlign w:val="center"/>
          </w:tcPr>
          <w:p w:rsidR="00AA17E3" w:rsidRPr="00527164" w:rsidRDefault="00AA17E3" w:rsidP="00AA17E3">
            <w:pPr>
              <w:spacing w:after="0"/>
              <w:contextualSpacing/>
              <w:jc w:val="center"/>
              <w:rPr>
                <w:rFonts w:ascii="Times New Roman" w:eastAsia="Calibri" w:hAnsi="Times New Roman" w:cs="Times New Roman"/>
                <w:i/>
                <w:sz w:val="16"/>
                <w:szCs w:val="16"/>
              </w:rPr>
            </w:pPr>
          </w:p>
        </w:tc>
        <w:tc>
          <w:tcPr>
            <w:tcW w:w="4377" w:type="dxa"/>
            <w:tcBorders>
              <w:top w:val="single" w:sz="4" w:space="0" w:color="auto"/>
              <w:left w:val="nil"/>
              <w:bottom w:val="nil"/>
              <w:right w:val="nil"/>
            </w:tcBorders>
            <w:shd w:val="clear" w:color="auto" w:fill="auto"/>
            <w:vAlign w:val="center"/>
          </w:tcPr>
          <w:p w:rsidR="00AA17E3" w:rsidRPr="00527164" w:rsidRDefault="00AA17E3" w:rsidP="005328DE">
            <w:pPr>
              <w:spacing w:before="40" w:after="0"/>
              <w:contextualSpacing/>
              <w:jc w:val="right"/>
              <w:rPr>
                <w:rFonts w:ascii="Times New Roman" w:eastAsia="Calibri" w:hAnsi="Times New Roman" w:cs="Times New Roman"/>
                <w:i/>
                <w:sz w:val="16"/>
                <w:szCs w:val="16"/>
              </w:rPr>
            </w:pPr>
            <w:r w:rsidRPr="00527164">
              <w:rPr>
                <w:rFonts w:ascii="Times New Roman" w:eastAsia="Calibri" w:hAnsi="Times New Roman" w:cs="Times New Roman"/>
                <w:i/>
                <w:sz w:val="16"/>
                <w:szCs w:val="16"/>
              </w:rPr>
              <w:t xml:space="preserve">Zdroj: </w:t>
            </w:r>
            <w:r w:rsidR="005328DE">
              <w:rPr>
                <w:rFonts w:ascii="Times New Roman" w:eastAsia="Calibri" w:hAnsi="Times New Roman" w:cs="Times New Roman"/>
                <w:i/>
                <w:sz w:val="16"/>
                <w:szCs w:val="16"/>
              </w:rPr>
              <w:t>IFP</w:t>
            </w:r>
            <w:r w:rsidRPr="00527164">
              <w:rPr>
                <w:rFonts w:ascii="Times New Roman" w:eastAsia="Calibri" w:hAnsi="Times New Roman" w:cs="Times New Roman"/>
                <w:i/>
                <w:sz w:val="16"/>
                <w:szCs w:val="16"/>
              </w:rPr>
              <w:t xml:space="preserve"> </w:t>
            </w:r>
          </w:p>
        </w:tc>
      </w:tr>
    </w:tbl>
    <w:p w:rsidR="007317D3" w:rsidRDefault="007317D3" w:rsidP="008F1E44">
      <w:pPr>
        <w:spacing w:after="0"/>
        <w:jc w:val="both"/>
        <w:rPr>
          <w:rFonts w:ascii="Times New Roman" w:eastAsia="Calibri" w:hAnsi="Times New Roman" w:cs="Times New Roman"/>
          <w:sz w:val="24"/>
          <w:szCs w:val="24"/>
        </w:rPr>
      </w:pPr>
    </w:p>
    <w:p w:rsidR="00AA17E3" w:rsidRDefault="00AA17E3" w:rsidP="008F1E44">
      <w:pPr>
        <w:spacing w:after="0"/>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Potenciál slovenskej ekonomiky bude vďaka prostriedkom z fondu na podporu obnovy a odolnosti v roku 2026 vyšší o 3,3 %. Z toho 1 percentuálny bod tvorí príspevok vyššej tvorby kapitálu, ktorý je v roku 2026 vďaka realizácii výdavkov z plánu obnovy vyšší takmer o 1,8 %. Viac kapitálu však povedie aj k efektívnejšiemu rozloženiu zdrojov v ekonomike a vyššej produktivite. Týmto spôsobom investície z plánu </w:t>
      </w:r>
      <w:r w:rsidR="004E46D3">
        <w:rPr>
          <w:rFonts w:ascii="Times New Roman" w:eastAsia="Calibri" w:hAnsi="Times New Roman" w:cs="Times New Roman"/>
          <w:sz w:val="24"/>
          <w:szCs w:val="24"/>
        </w:rPr>
        <w:t xml:space="preserve">obnovy </w:t>
      </w:r>
      <w:r w:rsidRPr="00E836C5">
        <w:rPr>
          <w:rFonts w:ascii="Times New Roman" w:eastAsia="Calibri" w:hAnsi="Times New Roman" w:cs="Times New Roman"/>
          <w:sz w:val="24"/>
          <w:szCs w:val="24"/>
        </w:rPr>
        <w:t>zvýšia celkovú produktivitu faktorov na konci horizontu čerpania a teda aj potenciál slovenskej ekonomiky o dodatočných 2,1 %. Vďaka prostriedkom z fondu na podporu obnovy a odolnosti bude priemerný potenciálny rast slovenskej ekonomiky v rokoch 2022 až 2026 vyšší o takmer 0,7 percentuálneho bodu oproti scenáru bez fondu.</w:t>
      </w:r>
    </w:p>
    <w:p w:rsidR="008F1E44" w:rsidRPr="00E836C5" w:rsidRDefault="008F1E44" w:rsidP="008F1E44">
      <w:pPr>
        <w:spacing w:after="0"/>
        <w:jc w:val="both"/>
        <w:rPr>
          <w:rFonts w:ascii="Times New Roman" w:eastAsia="Calibri" w:hAnsi="Times New Roman" w:cs="Times New Roman"/>
          <w:sz w:val="24"/>
          <w:szCs w:val="24"/>
        </w:rPr>
      </w:pPr>
    </w:p>
    <w:p w:rsidR="00AA17E3" w:rsidRDefault="00AA17E3" w:rsidP="008F1E44">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Odhadované celkové náklady na plán obnovy predstavujú  6,575 mld. eur. Finančná alokácia pre Slovensko predstavuje </w:t>
      </w:r>
      <w:r w:rsidRPr="00FA7DE1">
        <w:rPr>
          <w:rFonts w:ascii="Times New Roman" w:eastAsia="Calibri" w:hAnsi="Times New Roman" w:cs="Times New Roman"/>
          <w:sz w:val="24"/>
          <w:szCs w:val="24"/>
        </w:rPr>
        <w:t>sumu 6 328 586 359 eur,</w:t>
      </w:r>
      <w:r w:rsidRPr="00E836C5">
        <w:rPr>
          <w:rFonts w:ascii="Times New Roman" w:eastAsia="Calibri" w:hAnsi="Times New Roman" w:cs="Times New Roman"/>
          <w:sz w:val="24"/>
          <w:szCs w:val="24"/>
        </w:rPr>
        <w:t xml:space="preserve"> ktorú pre jednotlivé členské štáty určuje nariadenie Európskeho parlamentu a Rady z 12. februára 2021, ktorým sa zriaďuje Mechanizmus na podporu obnovy a odolnosti 2021/241. Podiel Slovenska na 30 % z celkovej sumy grantov vo Fonde na podporu obnovy a odolnosti bude revidovaný do 30. 6. 2022, na základe skutočných a agregovaných výsledkov v zmene reálneho HDP za obdobie rokov 2020 - 2021.</w:t>
      </w:r>
    </w:p>
    <w:p w:rsidR="008F1E44" w:rsidRPr="00E836C5" w:rsidRDefault="008F1E44" w:rsidP="008F1E44">
      <w:pPr>
        <w:spacing w:after="0" w:line="240" w:lineRule="auto"/>
        <w:jc w:val="both"/>
        <w:rPr>
          <w:rFonts w:ascii="Times New Roman" w:eastAsia="Calibri" w:hAnsi="Times New Roman" w:cs="Times New Roman"/>
          <w:sz w:val="24"/>
          <w:szCs w:val="24"/>
        </w:rPr>
      </w:pPr>
    </w:p>
    <w:p w:rsidR="00AA17E3" w:rsidRDefault="00AA17E3" w:rsidP="008F1E44">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Podmienkou schválenia žiadosti o platbu Európskou komisiou je splnenie všetkých míľnikov a cieľov. Prípadné oneskorené plnenie, respektíve nesplnenie plánovaných reforiem, ako aj nadväzujúcich investícií bude mať za následok oneskorenie schválenia jednotlivých žiadostí o platbu Európskou komisiou. Z toho dôvodu je včasná realizácia všetkých reforiem a investícií kľúčová pre udržateľnosť financovania a implementáciu plánu obnovy.   </w:t>
      </w:r>
    </w:p>
    <w:p w:rsidR="008F1E44" w:rsidRPr="00E836C5" w:rsidRDefault="008F1E44" w:rsidP="008F1E44">
      <w:pPr>
        <w:spacing w:after="0" w:line="240" w:lineRule="auto"/>
        <w:jc w:val="both"/>
        <w:rPr>
          <w:rFonts w:ascii="Times New Roman" w:eastAsia="Calibri" w:hAnsi="Times New Roman" w:cs="Times New Roman"/>
          <w:sz w:val="24"/>
          <w:szCs w:val="24"/>
        </w:rPr>
      </w:pPr>
    </w:p>
    <w:p w:rsidR="00AA17E3" w:rsidRDefault="004E46D3" w:rsidP="008F1E4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Plán obnovy v</w:t>
      </w:r>
      <w:r w:rsidR="00AA17E3" w:rsidRPr="00E836C5">
        <w:rPr>
          <w:rFonts w:ascii="Times New Roman" w:eastAsia="Calibri" w:hAnsi="Times New Roman" w:cs="Times New Roman"/>
          <w:sz w:val="24"/>
          <w:szCs w:val="24"/>
        </w:rPr>
        <w:t>o svojich osemnástich tematických komponentoch zahŕňa rozsiahly súbor vzájomne sa posilňujúcich reforiem a investícií, ktoré prispievajú k účinnému riešeniu všetkých výziev alebo významnej podskupiny hospodárskych a sociálnych výziev uvedených v odporúčaniach, ktoré Rada adresovala Slovensku v rámci európskeho semestra.</w:t>
      </w:r>
    </w:p>
    <w:p w:rsidR="008F1E44" w:rsidRPr="00E836C5" w:rsidRDefault="008F1E44" w:rsidP="008F1E44">
      <w:pPr>
        <w:spacing w:after="0" w:line="240" w:lineRule="auto"/>
        <w:jc w:val="both"/>
        <w:rPr>
          <w:rFonts w:ascii="Times New Roman" w:eastAsia="Calibri" w:hAnsi="Times New Roman" w:cs="Times New Roman"/>
          <w:sz w:val="24"/>
          <w:szCs w:val="24"/>
        </w:rPr>
      </w:pPr>
    </w:p>
    <w:p w:rsidR="00AA17E3" w:rsidRDefault="00AA17E3" w:rsidP="008F1E44">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Cieľové oblasti pre reformy a investície zohľadňujú kľúčové problémy slovenskej ekonomiky a najdôležitejšie spoločenské výzvy. Boli vybraté na základe porovnania výsledkov krajiny oproti priemeru EÚ ako aj podľa spoločných európskych priorít. Vzdelávanie, veda, výskum a inovácie a zdravie patria k oblastiam, v ktorých Slovensko vo výsledkoch v medzinárodnom porovnaní zaostáva najviac a Európska komisia v nich opakovane odporúča zintenzívniť reformné úsilie. Efektívna verejná správa a digitalizácia sú dôležitými faktormi, ktoré ovplyvňujú podnikateľské prostredie a kvalitu verejných služieb poskytovaných občanom. Zelená ekonomika podporí environmentálnu udržateľnosť, kvalitu života a prispeje k rozvoju zelených inovácií.</w:t>
      </w:r>
    </w:p>
    <w:p w:rsidR="008F1E44" w:rsidRPr="00E836C5" w:rsidRDefault="008F1E44" w:rsidP="008F1E44">
      <w:pPr>
        <w:spacing w:after="0" w:line="240" w:lineRule="auto"/>
        <w:jc w:val="both"/>
        <w:rPr>
          <w:rFonts w:ascii="Times New Roman" w:eastAsia="Calibri" w:hAnsi="Times New Roman" w:cs="Times New Roman"/>
          <w:sz w:val="24"/>
          <w:szCs w:val="24"/>
        </w:rPr>
      </w:pPr>
    </w:p>
    <w:p w:rsidR="00AA17E3" w:rsidRPr="00E836C5" w:rsidRDefault="00AA17E3" w:rsidP="008F1E44">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Schválená finančná alokácia bude v rozpočtovom období 2022 - 2024 a následne až do roku 2026 využitá na realizáciu reforiem a investícii rozdelených v 18 komponentoch piatich </w:t>
      </w:r>
      <w:r w:rsidR="00527164">
        <w:rPr>
          <w:rFonts w:ascii="Times New Roman" w:eastAsia="Calibri" w:hAnsi="Times New Roman" w:cs="Times New Roman"/>
          <w:sz w:val="24"/>
          <w:szCs w:val="24"/>
        </w:rPr>
        <w:t>kľúčových oblastí Plánu obnovy.</w:t>
      </w:r>
    </w:p>
    <w:p w:rsidR="00AA17E3" w:rsidRPr="00935574" w:rsidRDefault="00AA17E3" w:rsidP="00AA17E3">
      <w:pPr>
        <w:spacing w:after="0" w:line="240" w:lineRule="auto"/>
        <w:jc w:val="both"/>
        <w:rPr>
          <w:rFonts w:ascii="Times New Roman" w:eastAsia="Calibri" w:hAnsi="Times New Roman" w:cs="Times New Roman"/>
          <w:sz w:val="24"/>
        </w:rPr>
      </w:pPr>
    </w:p>
    <w:p w:rsidR="00AA17E3" w:rsidRPr="00E836C5" w:rsidRDefault="00AA17E3" w:rsidP="00AA17E3">
      <w:pPr>
        <w:pStyle w:val="Popis"/>
        <w:keepNext/>
        <w:spacing w:after="0"/>
        <w:rPr>
          <w:rFonts w:ascii="Times New Roman" w:hAnsi="Times New Roman" w:cs="Times New Roman"/>
          <w:b/>
          <w:i w:val="0"/>
          <w:color w:val="5B9BD5" w:themeColor="accent1"/>
          <w:sz w:val="20"/>
          <w:szCs w:val="20"/>
        </w:rPr>
      </w:pPr>
      <w:r w:rsidRPr="00E836C5">
        <w:rPr>
          <w:rFonts w:ascii="Times New Roman" w:hAnsi="Times New Roman" w:cs="Times New Roman"/>
          <w:b/>
          <w:i w:val="0"/>
          <w:color w:val="5B9BD5" w:themeColor="accent1"/>
          <w:sz w:val="20"/>
          <w:szCs w:val="20"/>
        </w:rPr>
        <w:t xml:space="preserve"> </w:t>
      </w:r>
      <w:bookmarkStart w:id="171" w:name="_Toc84528400"/>
      <w:bookmarkStart w:id="172" w:name="_Toc84845276"/>
      <w:r w:rsidRPr="00E836C5">
        <w:rPr>
          <w:rFonts w:ascii="Times New Roman" w:hAnsi="Times New Roman" w:cs="Times New Roman"/>
          <w:b/>
          <w:i w:val="0"/>
          <w:color w:val="5B9BD5" w:themeColor="accent1"/>
          <w:sz w:val="20"/>
          <w:szCs w:val="20"/>
        </w:rPr>
        <w:t xml:space="preserve">Tabuľka </w:t>
      </w:r>
      <w:r w:rsidRPr="00E836C5">
        <w:rPr>
          <w:rFonts w:ascii="Times New Roman" w:hAnsi="Times New Roman" w:cs="Times New Roman"/>
          <w:b/>
          <w:i w:val="0"/>
          <w:color w:val="5B9BD5" w:themeColor="accent1"/>
          <w:sz w:val="20"/>
          <w:szCs w:val="20"/>
        </w:rPr>
        <w:fldChar w:fldCharType="begin"/>
      </w:r>
      <w:r w:rsidRPr="00E836C5">
        <w:rPr>
          <w:rFonts w:ascii="Times New Roman" w:hAnsi="Times New Roman" w:cs="Times New Roman"/>
          <w:b/>
          <w:i w:val="0"/>
          <w:color w:val="5B9BD5" w:themeColor="accent1"/>
          <w:sz w:val="20"/>
          <w:szCs w:val="20"/>
        </w:rPr>
        <w:instrText xml:space="preserve"> SEQ Tabuľka \* ARABIC </w:instrText>
      </w:r>
      <w:r w:rsidRPr="00E836C5">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52</w:t>
      </w:r>
      <w:r w:rsidRPr="00E836C5">
        <w:rPr>
          <w:rFonts w:ascii="Times New Roman" w:hAnsi="Times New Roman" w:cs="Times New Roman"/>
          <w:b/>
          <w:i w:val="0"/>
          <w:color w:val="5B9BD5" w:themeColor="accent1"/>
          <w:sz w:val="20"/>
          <w:szCs w:val="20"/>
        </w:rPr>
        <w:fldChar w:fldCharType="end"/>
      </w:r>
      <w:r w:rsidRPr="00E836C5">
        <w:rPr>
          <w:rFonts w:ascii="Times New Roman" w:hAnsi="Times New Roman" w:cs="Times New Roman"/>
          <w:b/>
          <w:i w:val="0"/>
          <w:color w:val="5B9BD5" w:themeColor="accent1"/>
          <w:sz w:val="20"/>
          <w:szCs w:val="20"/>
        </w:rPr>
        <w:t xml:space="preserve"> - Prehľad finančných alokácii reforiem a investícii plánu obnovy na roky 2022 - 2024</w:t>
      </w:r>
      <w:bookmarkEnd w:id="171"/>
      <w:bookmarkEnd w:id="172"/>
    </w:p>
    <w:tbl>
      <w:tblPr>
        <w:tblW w:w="8919"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642"/>
        <w:gridCol w:w="5727"/>
        <w:gridCol w:w="850"/>
        <w:gridCol w:w="284"/>
        <w:gridCol w:w="566"/>
        <w:gridCol w:w="37"/>
        <w:gridCol w:w="536"/>
        <w:gridCol w:w="277"/>
      </w:tblGrid>
      <w:tr w:rsidR="00AA17E3" w:rsidRPr="00E836C5" w:rsidTr="00AA17E3">
        <w:trPr>
          <w:trHeight w:val="340"/>
          <w:jc w:val="center"/>
        </w:trPr>
        <w:tc>
          <w:tcPr>
            <w:tcW w:w="642" w:type="dxa"/>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r w:rsidRPr="00E836C5">
              <w:rPr>
                <w:rFonts w:ascii="Times New Roman" w:eastAsia="Times New Roman" w:hAnsi="Times New Roman" w:cs="Times New Roman"/>
                <w:b/>
                <w:bCs/>
                <w:color w:val="000000"/>
                <w:sz w:val="20"/>
                <w:szCs w:val="20"/>
                <w:lang w:eastAsia="sk-SK"/>
              </w:rPr>
              <w:t>Číslo</w:t>
            </w:r>
          </w:p>
        </w:tc>
        <w:tc>
          <w:tcPr>
            <w:tcW w:w="5727" w:type="dxa"/>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r w:rsidRPr="00E836C5">
              <w:rPr>
                <w:rFonts w:ascii="Times New Roman" w:eastAsia="Times New Roman" w:hAnsi="Times New Roman" w:cs="Times New Roman"/>
                <w:b/>
                <w:bCs/>
                <w:color w:val="000000"/>
                <w:sz w:val="20"/>
                <w:szCs w:val="20"/>
                <w:lang w:eastAsia="sk-SK"/>
              </w:rPr>
              <w:t>NÁZOV KOMPONENTU</w:t>
            </w:r>
          </w:p>
        </w:tc>
        <w:tc>
          <w:tcPr>
            <w:tcW w:w="2550" w:type="dxa"/>
            <w:gridSpan w:val="6"/>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jc w:val="center"/>
              <w:rPr>
                <w:rFonts w:ascii="Times New Roman" w:eastAsia="Times New Roman" w:hAnsi="Times New Roman" w:cs="Times New Roman"/>
                <w:b/>
                <w:bCs/>
                <w:color w:val="000000"/>
                <w:sz w:val="20"/>
                <w:szCs w:val="20"/>
                <w:lang w:eastAsia="sk-SK"/>
              </w:rPr>
            </w:pPr>
            <w:r w:rsidRPr="00E836C5">
              <w:rPr>
                <w:rFonts w:ascii="Times New Roman" w:eastAsia="Times New Roman" w:hAnsi="Times New Roman" w:cs="Times New Roman"/>
                <w:b/>
                <w:bCs/>
                <w:color w:val="000000"/>
                <w:sz w:val="20"/>
                <w:szCs w:val="20"/>
                <w:lang w:eastAsia="sk-SK"/>
              </w:rPr>
              <w:t>PO v mil. eur podľa rokov</w:t>
            </w:r>
          </w:p>
        </w:tc>
      </w:tr>
      <w:tr w:rsidR="00AA17E3" w:rsidRPr="00E836C5" w:rsidTr="00AA17E3">
        <w:trPr>
          <w:trHeight w:val="340"/>
          <w:jc w:val="center"/>
        </w:trPr>
        <w:tc>
          <w:tcPr>
            <w:tcW w:w="642" w:type="dxa"/>
            <w:tcBorders>
              <w:top w:val="single" w:sz="4" w:space="0" w:color="auto"/>
              <w:bottom w:val="single" w:sz="4" w:space="0" w:color="auto"/>
            </w:tcBorders>
            <w:shd w:val="clear" w:color="auto" w:fill="FFFFFF"/>
            <w:vAlign w:val="center"/>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p>
        </w:tc>
        <w:tc>
          <w:tcPr>
            <w:tcW w:w="5727" w:type="dxa"/>
            <w:tcBorders>
              <w:top w:val="single" w:sz="4" w:space="0" w:color="auto"/>
              <w:bottom w:val="single" w:sz="4" w:space="0" w:color="auto"/>
            </w:tcBorders>
            <w:shd w:val="clear" w:color="auto" w:fill="FFFFFF"/>
            <w:noWrap/>
            <w:vAlign w:val="center"/>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p>
        </w:tc>
        <w:tc>
          <w:tcPr>
            <w:tcW w:w="850" w:type="dxa"/>
            <w:tcBorders>
              <w:top w:val="single" w:sz="4" w:space="0" w:color="auto"/>
              <w:bottom w:val="single" w:sz="4" w:space="0" w:color="auto"/>
            </w:tcBorders>
            <w:shd w:val="clear" w:color="auto" w:fill="FFFFFF"/>
            <w:noWrap/>
            <w:vAlign w:val="center"/>
          </w:tcPr>
          <w:p w:rsidR="00AA17E3" w:rsidRPr="00E836C5" w:rsidRDefault="00AA17E3" w:rsidP="00AA17E3">
            <w:pPr>
              <w:spacing w:after="0" w:line="240" w:lineRule="auto"/>
              <w:jc w:val="center"/>
              <w:rPr>
                <w:rFonts w:ascii="Times New Roman" w:eastAsia="Times New Roman" w:hAnsi="Times New Roman" w:cs="Times New Roman"/>
                <w:bCs/>
                <w:color w:val="000000"/>
                <w:sz w:val="20"/>
                <w:szCs w:val="20"/>
                <w:lang w:eastAsia="sk-SK"/>
              </w:rPr>
            </w:pPr>
            <w:r w:rsidRPr="00E836C5">
              <w:rPr>
                <w:rFonts w:ascii="Times New Roman" w:eastAsia="Times New Roman" w:hAnsi="Times New Roman" w:cs="Times New Roman"/>
                <w:bCs/>
                <w:color w:val="000000"/>
                <w:sz w:val="20"/>
                <w:szCs w:val="20"/>
                <w:lang w:eastAsia="sk-SK"/>
              </w:rPr>
              <w:t>2022</w:t>
            </w:r>
          </w:p>
        </w:tc>
        <w:tc>
          <w:tcPr>
            <w:tcW w:w="850" w:type="dxa"/>
            <w:gridSpan w:val="2"/>
            <w:tcBorders>
              <w:top w:val="single" w:sz="4" w:space="0" w:color="auto"/>
              <w:bottom w:val="single" w:sz="4" w:space="0" w:color="auto"/>
            </w:tcBorders>
            <w:shd w:val="clear" w:color="auto" w:fill="FFFFFF"/>
            <w:vAlign w:val="center"/>
          </w:tcPr>
          <w:p w:rsidR="00AA17E3" w:rsidRPr="00E836C5" w:rsidRDefault="00AA17E3" w:rsidP="00AA17E3">
            <w:pPr>
              <w:spacing w:after="0" w:line="240" w:lineRule="auto"/>
              <w:jc w:val="center"/>
              <w:rPr>
                <w:rFonts w:ascii="Times New Roman" w:eastAsia="Times New Roman" w:hAnsi="Times New Roman" w:cs="Times New Roman"/>
                <w:bCs/>
                <w:color w:val="000000"/>
                <w:sz w:val="20"/>
                <w:szCs w:val="20"/>
                <w:lang w:eastAsia="sk-SK"/>
              </w:rPr>
            </w:pPr>
            <w:r w:rsidRPr="00E836C5">
              <w:rPr>
                <w:rFonts w:ascii="Times New Roman" w:eastAsia="Times New Roman" w:hAnsi="Times New Roman" w:cs="Times New Roman"/>
                <w:bCs/>
                <w:color w:val="000000"/>
                <w:sz w:val="20"/>
                <w:szCs w:val="20"/>
                <w:lang w:eastAsia="sk-SK"/>
              </w:rPr>
              <w:t>2023</w:t>
            </w:r>
          </w:p>
        </w:tc>
        <w:tc>
          <w:tcPr>
            <w:tcW w:w="850" w:type="dxa"/>
            <w:gridSpan w:val="3"/>
            <w:tcBorders>
              <w:top w:val="single" w:sz="4" w:space="0" w:color="auto"/>
              <w:bottom w:val="single" w:sz="4" w:space="0" w:color="auto"/>
            </w:tcBorders>
            <w:shd w:val="clear" w:color="auto" w:fill="FFFFFF"/>
            <w:vAlign w:val="center"/>
          </w:tcPr>
          <w:p w:rsidR="00AA17E3" w:rsidRPr="00E836C5" w:rsidRDefault="00AA17E3" w:rsidP="00AA17E3">
            <w:pPr>
              <w:spacing w:after="0" w:line="240" w:lineRule="auto"/>
              <w:jc w:val="center"/>
              <w:rPr>
                <w:rFonts w:ascii="Times New Roman" w:eastAsia="Times New Roman" w:hAnsi="Times New Roman" w:cs="Times New Roman"/>
                <w:bCs/>
                <w:color w:val="000000"/>
                <w:sz w:val="20"/>
                <w:szCs w:val="20"/>
                <w:lang w:eastAsia="sk-SK"/>
              </w:rPr>
            </w:pPr>
            <w:r w:rsidRPr="00E836C5">
              <w:rPr>
                <w:rFonts w:ascii="Times New Roman" w:eastAsia="Times New Roman" w:hAnsi="Times New Roman" w:cs="Times New Roman"/>
                <w:bCs/>
                <w:color w:val="000000"/>
                <w:sz w:val="20"/>
                <w:szCs w:val="20"/>
                <w:lang w:eastAsia="sk-SK"/>
              </w:rPr>
              <w:t>2024</w:t>
            </w:r>
          </w:p>
        </w:tc>
      </w:tr>
      <w:tr w:rsidR="00AA17E3" w:rsidRPr="00E836C5" w:rsidTr="00AA17E3">
        <w:trPr>
          <w:trHeight w:val="340"/>
          <w:jc w:val="center"/>
        </w:trPr>
        <w:tc>
          <w:tcPr>
            <w:tcW w:w="642" w:type="dxa"/>
            <w:tcBorders>
              <w:top w:val="single" w:sz="4" w:space="0" w:color="auto"/>
            </w:tcBorders>
            <w:shd w:val="clear" w:color="auto" w:fill="auto"/>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p>
        </w:tc>
        <w:tc>
          <w:tcPr>
            <w:tcW w:w="5727" w:type="dxa"/>
            <w:tcBorders>
              <w:top w:val="single" w:sz="4" w:space="0" w:color="auto"/>
            </w:tcBorders>
            <w:shd w:val="clear" w:color="auto" w:fill="auto"/>
            <w:noWrap/>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r w:rsidRPr="00E836C5">
              <w:rPr>
                <w:rFonts w:ascii="Times New Roman" w:eastAsia="Times New Roman" w:hAnsi="Times New Roman" w:cs="Times New Roman"/>
                <w:b/>
                <w:bCs/>
                <w:color w:val="000000"/>
                <w:sz w:val="20"/>
                <w:szCs w:val="20"/>
                <w:lang w:eastAsia="sk-SK"/>
              </w:rPr>
              <w:t>Zelená ekonomika</w:t>
            </w:r>
          </w:p>
        </w:tc>
        <w:tc>
          <w:tcPr>
            <w:tcW w:w="850" w:type="dxa"/>
            <w:tcBorders>
              <w:top w:val="single" w:sz="4" w:space="0" w:color="auto"/>
            </w:tcBorders>
            <w:shd w:val="clear" w:color="auto" w:fill="auto"/>
            <w:noWrap/>
            <w:vAlign w:val="center"/>
            <w:hideMark/>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454</w:t>
            </w:r>
          </w:p>
        </w:tc>
        <w:tc>
          <w:tcPr>
            <w:tcW w:w="850" w:type="dxa"/>
            <w:gridSpan w:val="2"/>
            <w:tcBorders>
              <w:top w:val="single" w:sz="4" w:space="0" w:color="auto"/>
            </w:tcBorders>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480</w:t>
            </w:r>
          </w:p>
        </w:tc>
        <w:tc>
          <w:tcPr>
            <w:tcW w:w="850" w:type="dxa"/>
            <w:gridSpan w:val="3"/>
            <w:tcBorders>
              <w:top w:val="single" w:sz="4" w:space="0" w:color="auto"/>
            </w:tcBorders>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604</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Obnoviteľné zdroje energie a energetická infraštruktúra</w:t>
            </w:r>
          </w:p>
        </w:tc>
        <w:tc>
          <w:tcPr>
            <w:tcW w:w="850" w:type="dxa"/>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117</w:t>
            </w:r>
          </w:p>
        </w:tc>
        <w:tc>
          <w:tcPr>
            <w:tcW w:w="850" w:type="dxa"/>
            <w:gridSpan w:val="2"/>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85</w:t>
            </w:r>
          </w:p>
        </w:tc>
        <w:tc>
          <w:tcPr>
            <w:tcW w:w="850" w:type="dxa"/>
            <w:gridSpan w:val="3"/>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27</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2</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Obnova budov</w:t>
            </w:r>
          </w:p>
        </w:tc>
        <w:tc>
          <w:tcPr>
            <w:tcW w:w="850" w:type="dxa"/>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174</w:t>
            </w:r>
          </w:p>
        </w:tc>
        <w:tc>
          <w:tcPr>
            <w:tcW w:w="850" w:type="dxa"/>
            <w:gridSpan w:val="2"/>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175</w:t>
            </w:r>
          </w:p>
        </w:tc>
        <w:tc>
          <w:tcPr>
            <w:tcW w:w="850" w:type="dxa"/>
            <w:gridSpan w:val="3"/>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176</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3</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Udržateľná doprava</w:t>
            </w:r>
          </w:p>
        </w:tc>
        <w:tc>
          <w:tcPr>
            <w:tcW w:w="850" w:type="dxa"/>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51</w:t>
            </w:r>
          </w:p>
        </w:tc>
        <w:tc>
          <w:tcPr>
            <w:tcW w:w="850" w:type="dxa"/>
            <w:gridSpan w:val="2"/>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89</w:t>
            </w:r>
          </w:p>
        </w:tc>
        <w:tc>
          <w:tcPr>
            <w:tcW w:w="850" w:type="dxa"/>
            <w:gridSpan w:val="3"/>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264</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4</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Dekarbonizácia priemyslu</w:t>
            </w:r>
          </w:p>
        </w:tc>
        <w:tc>
          <w:tcPr>
            <w:tcW w:w="850" w:type="dxa"/>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89</w:t>
            </w:r>
          </w:p>
        </w:tc>
        <w:tc>
          <w:tcPr>
            <w:tcW w:w="850" w:type="dxa"/>
            <w:gridSpan w:val="2"/>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91</w:t>
            </w:r>
          </w:p>
        </w:tc>
        <w:tc>
          <w:tcPr>
            <w:tcW w:w="850" w:type="dxa"/>
            <w:gridSpan w:val="3"/>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94</w:t>
            </w:r>
          </w:p>
        </w:tc>
      </w:tr>
      <w:tr w:rsidR="00AA17E3" w:rsidRPr="00E836C5" w:rsidTr="00AA17E3">
        <w:trPr>
          <w:trHeight w:val="340"/>
          <w:jc w:val="center"/>
        </w:trPr>
        <w:tc>
          <w:tcPr>
            <w:tcW w:w="642" w:type="dxa"/>
            <w:tcBorders>
              <w:bottom w:val="nil"/>
            </w:tcBorders>
            <w:shd w:val="clear" w:color="auto" w:fill="auto"/>
            <w:vAlign w:val="center"/>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5</w:t>
            </w:r>
          </w:p>
        </w:tc>
        <w:tc>
          <w:tcPr>
            <w:tcW w:w="5727" w:type="dxa"/>
            <w:tcBorders>
              <w:bottom w:val="nil"/>
            </w:tcBorders>
            <w:shd w:val="clear" w:color="auto" w:fill="auto"/>
            <w:vAlign w:val="center"/>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Adaptácia na zmenu klímy</w:t>
            </w:r>
          </w:p>
        </w:tc>
        <w:tc>
          <w:tcPr>
            <w:tcW w:w="850" w:type="dxa"/>
            <w:tcBorders>
              <w:bottom w:val="nil"/>
            </w:tcBorders>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23</w:t>
            </w:r>
          </w:p>
        </w:tc>
        <w:tc>
          <w:tcPr>
            <w:tcW w:w="850" w:type="dxa"/>
            <w:gridSpan w:val="2"/>
            <w:tcBorders>
              <w:bottom w:val="nil"/>
            </w:tcBorders>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40</w:t>
            </w:r>
          </w:p>
        </w:tc>
        <w:tc>
          <w:tcPr>
            <w:tcW w:w="850" w:type="dxa"/>
            <w:gridSpan w:val="3"/>
            <w:tcBorders>
              <w:bottom w:val="nil"/>
            </w:tcBorders>
            <w:shd w:val="clear" w:color="auto" w:fill="auto"/>
            <w:vAlign w:val="center"/>
          </w:tcPr>
          <w:p w:rsidR="00AA17E3" w:rsidRPr="00E836C5" w:rsidRDefault="00AA17E3" w:rsidP="00AA17E3">
            <w:pPr>
              <w:spacing w:after="0" w:line="240" w:lineRule="auto"/>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44</w:t>
            </w:r>
          </w:p>
        </w:tc>
      </w:tr>
      <w:tr w:rsidR="00AA17E3" w:rsidRPr="00E836C5" w:rsidTr="00AA17E3">
        <w:trPr>
          <w:trHeight w:val="340"/>
          <w:jc w:val="center"/>
        </w:trPr>
        <w:tc>
          <w:tcPr>
            <w:tcW w:w="642" w:type="dxa"/>
            <w:tcBorders>
              <w:top w:val="nil"/>
              <w:bottom w:val="nil"/>
            </w:tcBorders>
            <w:shd w:val="clear" w:color="auto" w:fill="auto"/>
            <w:vAlign w:val="center"/>
            <w:hideMark/>
          </w:tcPr>
          <w:p w:rsidR="00AA17E3" w:rsidRPr="00E836C5" w:rsidRDefault="00AA17E3" w:rsidP="00AA17E3">
            <w:pPr>
              <w:pStyle w:val="Zkladntext"/>
              <w:rPr>
                <w:rFonts w:ascii="Times New Roman" w:hAnsi="Times New Roman" w:cs="Times New Roman"/>
                <w:b/>
                <w:bCs/>
                <w:sz w:val="20"/>
                <w:szCs w:val="20"/>
              </w:rPr>
            </w:pPr>
          </w:p>
        </w:tc>
        <w:tc>
          <w:tcPr>
            <w:tcW w:w="5727" w:type="dxa"/>
            <w:tcBorders>
              <w:top w:val="nil"/>
              <w:bottom w:val="nil"/>
            </w:tcBorders>
            <w:shd w:val="clear" w:color="auto" w:fill="auto"/>
            <w:noWrap/>
            <w:vAlign w:val="center"/>
            <w:hideMark/>
          </w:tcPr>
          <w:p w:rsidR="00AA17E3" w:rsidRPr="00E836C5" w:rsidRDefault="00AA17E3" w:rsidP="00AA17E3">
            <w:pPr>
              <w:pStyle w:val="Zkladntext"/>
              <w:rPr>
                <w:rFonts w:ascii="Times New Roman" w:hAnsi="Times New Roman" w:cs="Times New Roman"/>
                <w:b/>
                <w:bCs/>
                <w:sz w:val="20"/>
                <w:szCs w:val="20"/>
              </w:rPr>
            </w:pPr>
            <w:r w:rsidRPr="00E836C5">
              <w:rPr>
                <w:rFonts w:ascii="Times New Roman" w:hAnsi="Times New Roman" w:cs="Times New Roman"/>
                <w:b/>
                <w:bCs/>
                <w:sz w:val="20"/>
                <w:szCs w:val="20"/>
              </w:rPr>
              <w:t>Vzdelávanie</w:t>
            </w:r>
          </w:p>
        </w:tc>
        <w:tc>
          <w:tcPr>
            <w:tcW w:w="850" w:type="dxa"/>
            <w:tcBorders>
              <w:top w:val="nil"/>
              <w:bottom w:val="nil"/>
            </w:tcBorders>
            <w:shd w:val="clear" w:color="auto" w:fill="auto"/>
            <w:noWrap/>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323</w:t>
            </w:r>
          </w:p>
        </w:tc>
        <w:tc>
          <w:tcPr>
            <w:tcW w:w="850" w:type="dxa"/>
            <w:gridSpan w:val="2"/>
            <w:tcBorders>
              <w:top w:val="nil"/>
              <w:bottom w:val="nil"/>
            </w:tcBorders>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295</w:t>
            </w:r>
          </w:p>
        </w:tc>
        <w:tc>
          <w:tcPr>
            <w:tcW w:w="850" w:type="dxa"/>
            <w:gridSpan w:val="3"/>
            <w:tcBorders>
              <w:top w:val="nil"/>
              <w:bottom w:val="nil"/>
            </w:tcBorders>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113</w:t>
            </w:r>
          </w:p>
        </w:tc>
      </w:tr>
      <w:tr w:rsidR="00AA17E3" w:rsidRPr="00E836C5" w:rsidTr="00AA17E3">
        <w:trPr>
          <w:trHeight w:val="340"/>
          <w:jc w:val="center"/>
        </w:trPr>
        <w:tc>
          <w:tcPr>
            <w:tcW w:w="642" w:type="dxa"/>
            <w:tcBorders>
              <w:top w:val="nil"/>
            </w:tcBorders>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6</w:t>
            </w:r>
          </w:p>
        </w:tc>
        <w:tc>
          <w:tcPr>
            <w:tcW w:w="5727" w:type="dxa"/>
            <w:tcBorders>
              <w:top w:val="nil"/>
            </w:tcBorders>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Dostupnosť, rozvoj a kvalita inkluzívneho vzdelávania na všetkých stupňoch</w:t>
            </w:r>
          </w:p>
        </w:tc>
        <w:tc>
          <w:tcPr>
            <w:tcW w:w="850" w:type="dxa"/>
            <w:tcBorders>
              <w:top w:val="nil"/>
            </w:tcBorders>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105</w:t>
            </w:r>
          </w:p>
        </w:tc>
        <w:tc>
          <w:tcPr>
            <w:tcW w:w="850" w:type="dxa"/>
            <w:gridSpan w:val="2"/>
            <w:tcBorders>
              <w:top w:val="nil"/>
            </w:tcBorders>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77</w:t>
            </w:r>
          </w:p>
        </w:tc>
        <w:tc>
          <w:tcPr>
            <w:tcW w:w="850" w:type="dxa"/>
            <w:gridSpan w:val="3"/>
            <w:tcBorders>
              <w:top w:val="nil"/>
            </w:tcBorders>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5</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7</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Vzdelávanie pre 21. storočie</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197</w:t>
            </w:r>
          </w:p>
        </w:tc>
        <w:tc>
          <w:tcPr>
            <w:tcW w:w="850" w:type="dxa"/>
            <w:gridSpan w:val="2"/>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177</w:t>
            </w:r>
          </w:p>
        </w:tc>
        <w:tc>
          <w:tcPr>
            <w:tcW w:w="850" w:type="dxa"/>
            <w:gridSpan w:val="3"/>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60</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8</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Zvýšenie výkonnosti slovenských vysokých škôl</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21</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41</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48</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b/>
                <w:bCs/>
                <w:sz w:val="20"/>
                <w:szCs w:val="20"/>
              </w:rPr>
            </w:pPr>
          </w:p>
        </w:tc>
        <w:tc>
          <w:tcPr>
            <w:tcW w:w="5727" w:type="dxa"/>
            <w:shd w:val="clear" w:color="auto" w:fill="auto"/>
            <w:noWrap/>
            <w:vAlign w:val="center"/>
            <w:hideMark/>
          </w:tcPr>
          <w:p w:rsidR="00AA17E3" w:rsidRPr="00E836C5" w:rsidRDefault="00AA17E3" w:rsidP="00AA17E3">
            <w:pPr>
              <w:pStyle w:val="Zkladntext"/>
              <w:rPr>
                <w:rFonts w:ascii="Times New Roman" w:hAnsi="Times New Roman" w:cs="Times New Roman"/>
                <w:b/>
                <w:bCs/>
                <w:sz w:val="20"/>
                <w:szCs w:val="20"/>
              </w:rPr>
            </w:pPr>
            <w:r w:rsidRPr="00E836C5">
              <w:rPr>
                <w:rFonts w:ascii="Times New Roman" w:hAnsi="Times New Roman" w:cs="Times New Roman"/>
                <w:b/>
                <w:bCs/>
                <w:sz w:val="20"/>
                <w:szCs w:val="20"/>
              </w:rPr>
              <w:t>Veda, výskum, inovácie</w:t>
            </w:r>
          </w:p>
        </w:tc>
        <w:tc>
          <w:tcPr>
            <w:tcW w:w="850" w:type="dxa"/>
            <w:shd w:val="clear" w:color="auto" w:fill="auto"/>
            <w:noWrap/>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123</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162</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170</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9</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Efektívnejšie riadenie a posilnenie financovania vedy, výskumu a inovácií</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111</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138</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138</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10</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Lákanie a udržanie talentov</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12</w:t>
            </w:r>
          </w:p>
        </w:tc>
        <w:tc>
          <w:tcPr>
            <w:tcW w:w="850" w:type="dxa"/>
            <w:gridSpan w:val="2"/>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23</w:t>
            </w:r>
          </w:p>
        </w:tc>
        <w:tc>
          <w:tcPr>
            <w:tcW w:w="850" w:type="dxa"/>
            <w:gridSpan w:val="3"/>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31</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b/>
                <w:bCs/>
                <w:sz w:val="20"/>
                <w:szCs w:val="20"/>
              </w:rPr>
            </w:pPr>
          </w:p>
        </w:tc>
        <w:tc>
          <w:tcPr>
            <w:tcW w:w="5727" w:type="dxa"/>
            <w:shd w:val="clear" w:color="auto" w:fill="auto"/>
            <w:noWrap/>
            <w:vAlign w:val="center"/>
            <w:hideMark/>
          </w:tcPr>
          <w:p w:rsidR="00AA17E3" w:rsidRPr="00E836C5" w:rsidRDefault="00AA17E3" w:rsidP="00AA17E3">
            <w:pPr>
              <w:pStyle w:val="Zkladntext"/>
              <w:rPr>
                <w:rFonts w:ascii="Times New Roman" w:hAnsi="Times New Roman" w:cs="Times New Roman"/>
                <w:b/>
                <w:bCs/>
                <w:sz w:val="20"/>
                <w:szCs w:val="20"/>
              </w:rPr>
            </w:pPr>
            <w:r w:rsidRPr="00E836C5">
              <w:rPr>
                <w:rFonts w:ascii="Times New Roman" w:hAnsi="Times New Roman" w:cs="Times New Roman"/>
                <w:b/>
                <w:bCs/>
                <w:sz w:val="20"/>
                <w:szCs w:val="20"/>
              </w:rPr>
              <w:t>Zdravie</w:t>
            </w:r>
          </w:p>
        </w:tc>
        <w:tc>
          <w:tcPr>
            <w:tcW w:w="850" w:type="dxa"/>
            <w:shd w:val="clear" w:color="auto" w:fill="auto"/>
            <w:noWrap/>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218</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433</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434</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11</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Moderná a dostupná zdravotná starostlivosť</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149</w:t>
            </w:r>
          </w:p>
        </w:tc>
        <w:tc>
          <w:tcPr>
            <w:tcW w:w="850" w:type="dxa"/>
            <w:gridSpan w:val="2"/>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335</w:t>
            </w:r>
          </w:p>
        </w:tc>
        <w:tc>
          <w:tcPr>
            <w:tcW w:w="850" w:type="dxa"/>
            <w:gridSpan w:val="3"/>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337</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12</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Humánna, moderná a dostupná starostlivosť o duševné zdravie</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26</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27</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23</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13</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Dostupná a kvalitná dlhodobá sociálno-zdravotná starostlivosť</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43</w:t>
            </w:r>
          </w:p>
        </w:tc>
        <w:tc>
          <w:tcPr>
            <w:tcW w:w="850" w:type="dxa"/>
            <w:gridSpan w:val="2"/>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72</w:t>
            </w:r>
          </w:p>
        </w:tc>
        <w:tc>
          <w:tcPr>
            <w:tcW w:w="850" w:type="dxa"/>
            <w:gridSpan w:val="3"/>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74</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b/>
                <w:bCs/>
                <w:sz w:val="20"/>
                <w:szCs w:val="20"/>
              </w:rPr>
            </w:pPr>
          </w:p>
        </w:tc>
        <w:tc>
          <w:tcPr>
            <w:tcW w:w="5727" w:type="dxa"/>
            <w:shd w:val="clear" w:color="auto" w:fill="auto"/>
            <w:noWrap/>
            <w:vAlign w:val="center"/>
            <w:hideMark/>
          </w:tcPr>
          <w:p w:rsidR="00AA17E3" w:rsidRPr="00E836C5" w:rsidRDefault="00AA17E3" w:rsidP="00AA17E3">
            <w:pPr>
              <w:pStyle w:val="Zkladntext"/>
              <w:rPr>
                <w:rFonts w:ascii="Times New Roman" w:hAnsi="Times New Roman" w:cs="Times New Roman"/>
                <w:b/>
                <w:bCs/>
                <w:sz w:val="20"/>
                <w:szCs w:val="20"/>
              </w:rPr>
            </w:pPr>
            <w:r w:rsidRPr="00E836C5">
              <w:rPr>
                <w:rFonts w:ascii="Times New Roman" w:hAnsi="Times New Roman" w:cs="Times New Roman"/>
                <w:b/>
                <w:bCs/>
                <w:sz w:val="20"/>
                <w:szCs w:val="20"/>
              </w:rPr>
              <w:t>Efektívna verejná správa a digitalizácia</w:t>
            </w:r>
          </w:p>
        </w:tc>
        <w:tc>
          <w:tcPr>
            <w:tcW w:w="850" w:type="dxa"/>
            <w:shd w:val="clear" w:color="auto" w:fill="auto"/>
            <w:noWrap/>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183</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266</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b/>
                <w:sz w:val="20"/>
                <w:szCs w:val="20"/>
              </w:rPr>
            </w:pPr>
            <w:r w:rsidRPr="00E836C5">
              <w:rPr>
                <w:rFonts w:ascii="Times New Roman" w:eastAsia="Calibri" w:hAnsi="Times New Roman" w:cs="Times New Roman"/>
                <w:b/>
                <w:sz w:val="20"/>
                <w:szCs w:val="20"/>
              </w:rPr>
              <w:t>334</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14</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Zlepšenie podnikateľského prostredia</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15</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Reforma justície</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56</w:t>
            </w:r>
          </w:p>
        </w:tc>
        <w:tc>
          <w:tcPr>
            <w:tcW w:w="850" w:type="dxa"/>
            <w:gridSpan w:val="2"/>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91</w:t>
            </w:r>
          </w:p>
        </w:tc>
        <w:tc>
          <w:tcPr>
            <w:tcW w:w="850" w:type="dxa"/>
            <w:gridSpan w:val="3"/>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88</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16</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Boj proti korupcii a praniu špinavých peňazí, bezpečnosť a ochrana obyvateľstva</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60</w:t>
            </w:r>
          </w:p>
        </w:tc>
        <w:tc>
          <w:tcPr>
            <w:tcW w:w="850" w:type="dxa"/>
            <w:gridSpan w:val="2"/>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51</w:t>
            </w:r>
          </w:p>
        </w:tc>
        <w:tc>
          <w:tcPr>
            <w:tcW w:w="850" w:type="dxa"/>
            <w:gridSpan w:val="3"/>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49</w:t>
            </w:r>
          </w:p>
        </w:tc>
      </w:tr>
      <w:tr w:rsidR="00AA17E3" w:rsidRPr="00E836C5" w:rsidTr="00AA17E3">
        <w:trPr>
          <w:trHeight w:val="340"/>
          <w:jc w:val="center"/>
        </w:trPr>
        <w:tc>
          <w:tcPr>
            <w:tcW w:w="642"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17</w:t>
            </w:r>
          </w:p>
        </w:tc>
        <w:tc>
          <w:tcPr>
            <w:tcW w:w="5727" w:type="dxa"/>
            <w:shd w:val="clear" w:color="auto" w:fill="auto"/>
            <w:vAlign w:val="center"/>
            <w:hideMark/>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Digitálne Slovensko (štát v mobile, kybernetická bezpečnosť, rýchly internet pre každého, digitálna ekonomika)</w:t>
            </w:r>
          </w:p>
        </w:tc>
        <w:tc>
          <w:tcPr>
            <w:tcW w:w="850" w:type="dxa"/>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66</w:t>
            </w:r>
          </w:p>
        </w:tc>
        <w:tc>
          <w:tcPr>
            <w:tcW w:w="850" w:type="dxa"/>
            <w:gridSpan w:val="2"/>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120</w:t>
            </w:r>
          </w:p>
        </w:tc>
        <w:tc>
          <w:tcPr>
            <w:tcW w:w="850" w:type="dxa"/>
            <w:gridSpan w:val="3"/>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193</w:t>
            </w:r>
          </w:p>
        </w:tc>
      </w:tr>
      <w:tr w:rsidR="00AA17E3" w:rsidRPr="00E836C5" w:rsidTr="00AA17E3">
        <w:trPr>
          <w:trHeight w:val="340"/>
          <w:jc w:val="center"/>
        </w:trPr>
        <w:tc>
          <w:tcPr>
            <w:tcW w:w="642" w:type="dxa"/>
            <w:tcBorders>
              <w:bottom w:val="nil"/>
            </w:tcBorders>
            <w:shd w:val="clear" w:color="auto" w:fill="auto"/>
            <w:vAlign w:val="center"/>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18</w:t>
            </w:r>
          </w:p>
        </w:tc>
        <w:tc>
          <w:tcPr>
            <w:tcW w:w="5727" w:type="dxa"/>
            <w:tcBorders>
              <w:bottom w:val="nil"/>
            </w:tcBorders>
            <w:shd w:val="clear" w:color="auto" w:fill="auto"/>
            <w:vAlign w:val="center"/>
          </w:tcPr>
          <w:p w:rsidR="00AA17E3" w:rsidRPr="00E836C5" w:rsidRDefault="00AA17E3" w:rsidP="00AA17E3">
            <w:pPr>
              <w:pStyle w:val="Zkladntext"/>
              <w:rPr>
                <w:rFonts w:ascii="Times New Roman" w:hAnsi="Times New Roman" w:cs="Times New Roman"/>
                <w:sz w:val="20"/>
                <w:szCs w:val="20"/>
              </w:rPr>
            </w:pPr>
            <w:r w:rsidRPr="00E836C5">
              <w:rPr>
                <w:rFonts w:ascii="Times New Roman" w:hAnsi="Times New Roman" w:cs="Times New Roman"/>
                <w:sz w:val="20"/>
                <w:szCs w:val="20"/>
              </w:rPr>
              <w:t>Zdravé, udržateľné a konkurencieschopné verejné financie</w:t>
            </w:r>
          </w:p>
        </w:tc>
        <w:tc>
          <w:tcPr>
            <w:tcW w:w="850" w:type="dxa"/>
            <w:tcBorders>
              <w:bottom w:val="nil"/>
            </w:tcBorders>
            <w:shd w:val="clear" w:color="auto" w:fill="auto"/>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0</w:t>
            </w:r>
          </w:p>
        </w:tc>
        <w:tc>
          <w:tcPr>
            <w:tcW w:w="850" w:type="dxa"/>
            <w:gridSpan w:val="2"/>
            <w:tcBorders>
              <w:bottom w:val="nil"/>
            </w:tcBorders>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0</w:t>
            </w:r>
          </w:p>
        </w:tc>
        <w:tc>
          <w:tcPr>
            <w:tcW w:w="850" w:type="dxa"/>
            <w:gridSpan w:val="3"/>
            <w:tcBorders>
              <w:bottom w:val="nil"/>
            </w:tcBorders>
            <w:vAlign w:val="center"/>
          </w:tcPr>
          <w:p w:rsidR="00AA17E3" w:rsidRPr="00E836C5" w:rsidRDefault="00AA17E3" w:rsidP="00AA17E3">
            <w:pPr>
              <w:spacing w:after="0"/>
              <w:jc w:val="center"/>
              <w:rPr>
                <w:rFonts w:ascii="Times New Roman" w:eastAsia="Calibri" w:hAnsi="Times New Roman" w:cs="Times New Roman"/>
                <w:sz w:val="20"/>
                <w:szCs w:val="20"/>
              </w:rPr>
            </w:pPr>
            <w:r w:rsidRPr="00E836C5">
              <w:rPr>
                <w:rFonts w:ascii="Times New Roman" w:eastAsia="Calibri" w:hAnsi="Times New Roman" w:cs="Times New Roman"/>
                <w:sz w:val="20"/>
                <w:szCs w:val="20"/>
              </w:rPr>
              <w:t>0</w:t>
            </w:r>
          </w:p>
        </w:tc>
      </w:tr>
      <w:tr w:rsidR="00AA17E3" w:rsidRPr="00E836C5" w:rsidTr="00AA17E3">
        <w:trPr>
          <w:trHeight w:val="340"/>
          <w:jc w:val="center"/>
        </w:trPr>
        <w:tc>
          <w:tcPr>
            <w:tcW w:w="642" w:type="dxa"/>
            <w:tcBorders>
              <w:top w:val="nil"/>
              <w:bottom w:val="single" w:sz="4" w:space="0" w:color="auto"/>
            </w:tcBorders>
            <w:shd w:val="clear" w:color="auto" w:fill="auto"/>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p>
        </w:tc>
        <w:tc>
          <w:tcPr>
            <w:tcW w:w="5727" w:type="dxa"/>
            <w:tcBorders>
              <w:top w:val="nil"/>
              <w:bottom w:val="single" w:sz="4" w:space="0" w:color="auto"/>
            </w:tcBorders>
            <w:shd w:val="clear" w:color="auto" w:fill="auto"/>
            <w:noWrap/>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20"/>
                <w:szCs w:val="20"/>
                <w:lang w:eastAsia="sk-SK"/>
              </w:rPr>
            </w:pPr>
            <w:r w:rsidRPr="00E836C5">
              <w:rPr>
                <w:rFonts w:ascii="Times New Roman" w:eastAsia="Times New Roman" w:hAnsi="Times New Roman" w:cs="Times New Roman"/>
                <w:b/>
                <w:bCs/>
                <w:color w:val="000000"/>
                <w:sz w:val="20"/>
                <w:szCs w:val="20"/>
                <w:lang w:eastAsia="sk-SK"/>
              </w:rPr>
              <w:t>Celkový súčet</w:t>
            </w:r>
          </w:p>
        </w:tc>
        <w:tc>
          <w:tcPr>
            <w:tcW w:w="850"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center"/>
              <w:rPr>
                <w:rFonts w:ascii="Times New Roman" w:eastAsia="Times New Roman" w:hAnsi="Times New Roman" w:cs="Times New Roman"/>
                <w:b/>
                <w:bCs/>
                <w:sz w:val="20"/>
                <w:szCs w:val="20"/>
                <w:lang w:eastAsia="sk-SK"/>
              </w:rPr>
            </w:pPr>
            <w:r w:rsidRPr="00E836C5">
              <w:rPr>
                <w:rFonts w:ascii="Times New Roman" w:eastAsia="Times New Roman" w:hAnsi="Times New Roman" w:cs="Times New Roman"/>
                <w:b/>
                <w:bCs/>
                <w:sz w:val="20"/>
                <w:szCs w:val="20"/>
                <w:lang w:eastAsia="sk-SK"/>
              </w:rPr>
              <w:t>1 302</w:t>
            </w:r>
          </w:p>
        </w:tc>
        <w:tc>
          <w:tcPr>
            <w:tcW w:w="850" w:type="dxa"/>
            <w:gridSpan w:val="2"/>
            <w:tcBorders>
              <w:top w:val="nil"/>
              <w:bottom w:val="single" w:sz="4" w:space="0" w:color="auto"/>
            </w:tcBorders>
            <w:shd w:val="clear" w:color="auto" w:fill="auto"/>
            <w:vAlign w:val="center"/>
          </w:tcPr>
          <w:p w:rsidR="00AA17E3" w:rsidRPr="00E836C5" w:rsidRDefault="00AA17E3" w:rsidP="00AA17E3">
            <w:pPr>
              <w:spacing w:after="0" w:line="240" w:lineRule="auto"/>
              <w:jc w:val="center"/>
              <w:rPr>
                <w:rFonts w:ascii="Times New Roman" w:eastAsia="Times New Roman" w:hAnsi="Times New Roman" w:cs="Times New Roman"/>
                <w:b/>
                <w:bCs/>
                <w:sz w:val="20"/>
                <w:szCs w:val="20"/>
                <w:lang w:eastAsia="sk-SK"/>
              </w:rPr>
            </w:pPr>
            <w:r w:rsidRPr="00E836C5">
              <w:rPr>
                <w:rFonts w:ascii="Times New Roman" w:eastAsia="Times New Roman" w:hAnsi="Times New Roman" w:cs="Times New Roman"/>
                <w:b/>
                <w:bCs/>
                <w:sz w:val="20"/>
                <w:szCs w:val="20"/>
                <w:lang w:eastAsia="sk-SK"/>
              </w:rPr>
              <w:t>1 636</w:t>
            </w:r>
          </w:p>
        </w:tc>
        <w:tc>
          <w:tcPr>
            <w:tcW w:w="850" w:type="dxa"/>
            <w:gridSpan w:val="3"/>
            <w:tcBorders>
              <w:top w:val="nil"/>
              <w:bottom w:val="single" w:sz="4" w:space="0" w:color="auto"/>
            </w:tcBorders>
            <w:shd w:val="clear" w:color="auto" w:fill="auto"/>
            <w:vAlign w:val="center"/>
          </w:tcPr>
          <w:p w:rsidR="00AA17E3" w:rsidRPr="00E836C5" w:rsidRDefault="00AA17E3" w:rsidP="00AA17E3">
            <w:pPr>
              <w:spacing w:after="0" w:line="240" w:lineRule="auto"/>
              <w:jc w:val="center"/>
              <w:rPr>
                <w:rFonts w:ascii="Times New Roman" w:eastAsia="Times New Roman" w:hAnsi="Times New Roman" w:cs="Times New Roman"/>
                <w:b/>
                <w:bCs/>
                <w:sz w:val="20"/>
                <w:szCs w:val="20"/>
                <w:lang w:eastAsia="sk-SK"/>
              </w:rPr>
            </w:pPr>
            <w:r w:rsidRPr="00E836C5">
              <w:rPr>
                <w:rFonts w:ascii="Times New Roman" w:eastAsia="Times New Roman" w:hAnsi="Times New Roman" w:cs="Times New Roman"/>
                <w:b/>
                <w:bCs/>
                <w:sz w:val="20"/>
                <w:szCs w:val="20"/>
                <w:lang w:eastAsia="sk-SK"/>
              </w:rPr>
              <w:t>1 655</w:t>
            </w:r>
          </w:p>
        </w:tc>
      </w:tr>
      <w:tr w:rsidR="00AA17E3" w:rsidRPr="00E836C5" w:rsidTr="00AA17E3">
        <w:trPr>
          <w:gridAfter w:val="1"/>
          <w:wAfter w:w="277" w:type="dxa"/>
          <w:jc w:val="center"/>
        </w:trPr>
        <w:tc>
          <w:tcPr>
            <w:tcW w:w="642" w:type="dxa"/>
            <w:tcBorders>
              <w:top w:val="nil"/>
              <w:bottom w:val="nil"/>
            </w:tcBorders>
            <w:shd w:val="clear" w:color="auto" w:fill="auto"/>
            <w:noWrap/>
            <w:vAlign w:val="center"/>
            <w:hideMark/>
          </w:tcPr>
          <w:p w:rsidR="00AA17E3" w:rsidRPr="00E836C5" w:rsidRDefault="00AA17E3" w:rsidP="00AA17E3">
            <w:pPr>
              <w:spacing w:after="0" w:line="240" w:lineRule="auto"/>
              <w:jc w:val="center"/>
              <w:rPr>
                <w:rFonts w:ascii="Times New Roman" w:eastAsia="Times New Roman" w:hAnsi="Times New Roman" w:cs="Times New Roman"/>
                <w:b/>
                <w:bCs/>
                <w:color w:val="FF0000"/>
                <w:sz w:val="20"/>
                <w:szCs w:val="20"/>
                <w:lang w:eastAsia="sk-SK"/>
              </w:rPr>
            </w:pPr>
          </w:p>
        </w:tc>
        <w:tc>
          <w:tcPr>
            <w:tcW w:w="5727" w:type="dxa"/>
            <w:tcBorders>
              <w:top w:val="nil"/>
              <w:bottom w:val="nil"/>
            </w:tcBorders>
            <w:shd w:val="clear" w:color="auto" w:fill="auto"/>
            <w:noWrap/>
          </w:tcPr>
          <w:p w:rsidR="00AA17E3" w:rsidRPr="00E836C5" w:rsidRDefault="00AA17E3" w:rsidP="00AA17E3">
            <w:pPr>
              <w:spacing w:after="0" w:line="240" w:lineRule="auto"/>
              <w:rPr>
                <w:rFonts w:ascii="Times New Roman" w:eastAsia="Times New Roman" w:hAnsi="Times New Roman" w:cs="Times New Roman"/>
                <w:sz w:val="20"/>
                <w:szCs w:val="20"/>
                <w:lang w:eastAsia="sk-SK"/>
              </w:rPr>
            </w:pPr>
          </w:p>
        </w:tc>
        <w:tc>
          <w:tcPr>
            <w:tcW w:w="1134" w:type="dxa"/>
            <w:gridSpan w:val="2"/>
            <w:tcBorders>
              <w:top w:val="nil"/>
              <w:bottom w:val="nil"/>
            </w:tcBorders>
            <w:shd w:val="clear" w:color="auto" w:fill="auto"/>
            <w:noWrap/>
            <w:vAlign w:val="center"/>
          </w:tcPr>
          <w:p w:rsidR="00AA17E3" w:rsidRPr="00E836C5" w:rsidRDefault="00AA17E3" w:rsidP="00AA17E3">
            <w:pPr>
              <w:spacing w:after="0" w:line="240" w:lineRule="auto"/>
              <w:jc w:val="center"/>
              <w:rPr>
                <w:rFonts w:ascii="Times New Roman" w:eastAsia="Times New Roman" w:hAnsi="Times New Roman" w:cs="Times New Roman"/>
                <w:color w:val="35B94B"/>
                <w:sz w:val="20"/>
                <w:szCs w:val="20"/>
                <w:lang w:eastAsia="sk-SK"/>
              </w:rPr>
            </w:pPr>
          </w:p>
        </w:tc>
        <w:tc>
          <w:tcPr>
            <w:tcW w:w="603" w:type="dxa"/>
            <w:gridSpan w:val="2"/>
            <w:tcBorders>
              <w:top w:val="nil"/>
              <w:bottom w:val="nil"/>
            </w:tcBorders>
            <w:vAlign w:val="center"/>
          </w:tcPr>
          <w:p w:rsidR="00AA17E3" w:rsidRPr="00E836C5" w:rsidRDefault="00AA17E3" w:rsidP="00AA17E3">
            <w:pPr>
              <w:spacing w:after="0" w:line="240" w:lineRule="auto"/>
              <w:jc w:val="center"/>
              <w:rPr>
                <w:rFonts w:ascii="Times New Roman" w:eastAsia="Times New Roman" w:hAnsi="Times New Roman" w:cs="Times New Roman"/>
                <w:color w:val="35B94B"/>
                <w:sz w:val="20"/>
                <w:szCs w:val="20"/>
                <w:lang w:eastAsia="sk-SK"/>
              </w:rPr>
            </w:pPr>
          </w:p>
        </w:tc>
        <w:tc>
          <w:tcPr>
            <w:tcW w:w="536" w:type="dxa"/>
            <w:tcBorders>
              <w:top w:val="nil"/>
              <w:bottom w:val="nil"/>
            </w:tcBorders>
            <w:vAlign w:val="center"/>
          </w:tcPr>
          <w:p w:rsidR="00AA17E3" w:rsidRPr="00E836C5" w:rsidRDefault="00AA17E3" w:rsidP="00AA17E3">
            <w:pPr>
              <w:spacing w:after="0" w:line="240" w:lineRule="auto"/>
              <w:jc w:val="center"/>
              <w:rPr>
                <w:rFonts w:ascii="Times New Roman" w:eastAsia="Times New Roman" w:hAnsi="Times New Roman" w:cs="Times New Roman"/>
                <w:color w:val="35B94B"/>
                <w:sz w:val="20"/>
                <w:szCs w:val="20"/>
                <w:lang w:eastAsia="sk-SK"/>
              </w:rPr>
            </w:pPr>
          </w:p>
        </w:tc>
      </w:tr>
    </w:tbl>
    <w:p w:rsidR="00AA17E3" w:rsidRPr="00E836C5" w:rsidRDefault="0049163E" w:rsidP="00AA17E3">
      <w:pPr>
        <w:spacing w:line="240" w:lineRule="auto"/>
        <w:jc w:val="both"/>
        <w:rPr>
          <w:rFonts w:ascii="Times New Roman" w:eastAsia="Times New Roman" w:hAnsi="Times New Roman" w:cs="Times New Roman"/>
          <w:i/>
          <w:iCs/>
          <w:sz w:val="24"/>
          <w:szCs w:val="24"/>
          <w:lang w:eastAsia="sk-SK"/>
        </w:rPr>
      </w:pPr>
      <w:hyperlink r:id="rId36" w:history="1">
        <w:r w:rsidR="00AA17E3" w:rsidRPr="00E836C5">
          <w:rPr>
            <w:rFonts w:ascii="Times New Roman" w:eastAsia="Times New Roman" w:hAnsi="Times New Roman" w:cs="Times New Roman"/>
            <w:i/>
            <w:iCs/>
            <w:color w:val="0563C1"/>
            <w:sz w:val="24"/>
            <w:szCs w:val="24"/>
            <w:u w:val="single"/>
            <w:lang w:eastAsia="sk-SK"/>
          </w:rPr>
          <w:t>Vykonávacie rozhodnutie Rady o schválení posúdenia plánu obnovy a odolnosti Slovenska</w:t>
        </w:r>
      </w:hyperlink>
      <w:r w:rsidR="00AA17E3" w:rsidRPr="00E836C5">
        <w:rPr>
          <w:rFonts w:ascii="Times New Roman" w:eastAsia="Times New Roman" w:hAnsi="Times New Roman" w:cs="Times New Roman"/>
          <w:i/>
          <w:iCs/>
          <w:sz w:val="24"/>
          <w:szCs w:val="24"/>
          <w:lang w:eastAsia="sk-SK"/>
        </w:rPr>
        <w:t xml:space="preserve"> </w:t>
      </w:r>
      <w:r w:rsidR="00AA17E3" w:rsidRPr="00E836C5">
        <w:rPr>
          <w:rFonts w:ascii="Times New Roman" w:eastAsia="Times New Roman" w:hAnsi="Times New Roman" w:cs="Times New Roman"/>
          <w:iCs/>
          <w:sz w:val="24"/>
          <w:szCs w:val="24"/>
          <w:lang w:eastAsia="sk-SK"/>
        </w:rPr>
        <w:t>a jeho</w:t>
      </w:r>
      <w:r w:rsidR="00AA17E3" w:rsidRPr="00E836C5">
        <w:rPr>
          <w:rFonts w:ascii="Times New Roman" w:eastAsia="Times New Roman" w:hAnsi="Times New Roman" w:cs="Times New Roman"/>
          <w:i/>
          <w:iCs/>
          <w:sz w:val="24"/>
          <w:szCs w:val="24"/>
          <w:lang w:eastAsia="sk-SK"/>
        </w:rPr>
        <w:t xml:space="preserve"> </w:t>
      </w:r>
      <w:hyperlink r:id="rId37" w:history="1">
        <w:r w:rsidR="00AA17E3" w:rsidRPr="00E836C5">
          <w:rPr>
            <w:rFonts w:ascii="Times New Roman" w:eastAsia="Times New Roman" w:hAnsi="Times New Roman" w:cs="Times New Roman"/>
            <w:i/>
            <w:iCs/>
            <w:color w:val="0563C1"/>
            <w:sz w:val="24"/>
            <w:szCs w:val="24"/>
            <w:u w:val="single"/>
            <w:lang w:eastAsia="sk-SK"/>
          </w:rPr>
          <w:t>príloha</w:t>
        </w:r>
      </w:hyperlink>
      <w:r w:rsidR="00AA17E3" w:rsidRPr="00E836C5">
        <w:rPr>
          <w:rFonts w:ascii="Times New Roman" w:eastAsia="Times New Roman" w:hAnsi="Times New Roman" w:cs="Times New Roman"/>
          <w:i/>
          <w:iCs/>
          <w:sz w:val="24"/>
          <w:szCs w:val="24"/>
          <w:lang w:eastAsia="sk-SK"/>
        </w:rPr>
        <w:t xml:space="preserve"> </w:t>
      </w:r>
      <w:r w:rsidR="00AA17E3" w:rsidRPr="00E836C5">
        <w:rPr>
          <w:rFonts w:ascii="Times New Roman" w:eastAsia="Times New Roman" w:hAnsi="Times New Roman" w:cs="Times New Roman"/>
          <w:iCs/>
          <w:sz w:val="24"/>
          <w:szCs w:val="24"/>
          <w:lang w:eastAsia="sk-SK"/>
        </w:rPr>
        <w:t xml:space="preserve">obsahujú záväzný zoznam míľnikov a cieľov korešpondujúcim k reformám a investíciám, ktoré budú v rokoch 2021-2026 implementované z finančnej alokácie plánu obnovy. </w:t>
      </w:r>
    </w:p>
    <w:p w:rsidR="00AA17E3" w:rsidRPr="00E836C5" w:rsidRDefault="00AA17E3" w:rsidP="00AA17E3">
      <w:pPr>
        <w:spacing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Plán obnovy je zameraný na päť kľúčových oblastí verejných politík:</w:t>
      </w:r>
    </w:p>
    <w:p w:rsidR="00AA17E3" w:rsidRPr="00E836C5" w:rsidRDefault="00AA17E3" w:rsidP="00AA17E3">
      <w:pPr>
        <w:numPr>
          <w:ilvl w:val="0"/>
          <w:numId w:val="9"/>
        </w:numPr>
        <w:spacing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zelená ekonomika</w:t>
      </w:r>
    </w:p>
    <w:p w:rsidR="00AA17E3" w:rsidRPr="00E836C5" w:rsidRDefault="00AA17E3" w:rsidP="00AA17E3">
      <w:pPr>
        <w:numPr>
          <w:ilvl w:val="0"/>
          <w:numId w:val="9"/>
        </w:numPr>
        <w:spacing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vzdelávanie</w:t>
      </w:r>
    </w:p>
    <w:p w:rsidR="00AA17E3" w:rsidRPr="00E836C5" w:rsidRDefault="00AA17E3" w:rsidP="00AA17E3">
      <w:pPr>
        <w:numPr>
          <w:ilvl w:val="0"/>
          <w:numId w:val="9"/>
        </w:numPr>
        <w:spacing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veda, výskum a inovácie</w:t>
      </w:r>
    </w:p>
    <w:p w:rsidR="00AA17E3" w:rsidRPr="00E836C5" w:rsidRDefault="00AA17E3" w:rsidP="00AA17E3">
      <w:pPr>
        <w:numPr>
          <w:ilvl w:val="0"/>
          <w:numId w:val="9"/>
        </w:numPr>
        <w:spacing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zdravie</w:t>
      </w:r>
    </w:p>
    <w:p w:rsidR="00AA17E3" w:rsidRPr="00E836C5" w:rsidRDefault="00AA17E3" w:rsidP="00AA17E3">
      <w:pPr>
        <w:numPr>
          <w:ilvl w:val="0"/>
          <w:numId w:val="9"/>
        </w:numPr>
        <w:spacing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efektívna verejná správa a digitalizácia</w:t>
      </w:r>
    </w:p>
    <w:p w:rsidR="00AA17E3" w:rsidRPr="00E836C5" w:rsidRDefault="00AA17E3" w:rsidP="00AA17E3">
      <w:pPr>
        <w:spacing w:line="240" w:lineRule="auto"/>
        <w:ind w:left="720"/>
        <w:contextualSpacing/>
        <w:jc w:val="both"/>
        <w:rPr>
          <w:rFonts w:ascii="Times New Roman" w:eastAsia="Calibri" w:hAnsi="Times New Roman" w:cs="Times New Roman"/>
        </w:rPr>
      </w:pPr>
    </w:p>
    <w:p w:rsidR="00AA17E3" w:rsidRPr="00E836C5" w:rsidRDefault="00AA17E3" w:rsidP="00AA17E3">
      <w:pPr>
        <w:spacing w:after="0" w:line="240" w:lineRule="auto"/>
        <w:jc w:val="both"/>
        <w:rPr>
          <w:rFonts w:ascii="Times New Roman" w:eastAsia="Calibri" w:hAnsi="Times New Roman" w:cs="Times New Roman"/>
          <w:b/>
          <w:color w:val="5B9BD5"/>
          <w:sz w:val="24"/>
          <w:szCs w:val="20"/>
        </w:rPr>
      </w:pPr>
      <w:r w:rsidRPr="00E836C5">
        <w:rPr>
          <w:rFonts w:ascii="Times New Roman" w:eastAsia="Calibri" w:hAnsi="Times New Roman" w:cs="Times New Roman"/>
          <w:b/>
          <w:color w:val="5B9BD5"/>
          <w:sz w:val="24"/>
          <w:szCs w:val="20"/>
        </w:rPr>
        <w:t>Zelená ekonomika</w:t>
      </w:r>
    </w:p>
    <w:p w:rsidR="00AA17E3" w:rsidRPr="00E836C5" w:rsidRDefault="00AA17E3" w:rsidP="00AA17E3">
      <w:pPr>
        <w:keepNext/>
        <w:spacing w:after="0" w:line="240" w:lineRule="auto"/>
        <w:jc w:val="both"/>
        <w:rPr>
          <w:rFonts w:ascii="Times New Roman" w:eastAsia="Calibri" w:hAnsi="Times New Roman" w:cs="Times New Roman"/>
          <w:b/>
          <w:color w:val="5B9BD5"/>
        </w:rPr>
      </w:pPr>
    </w:p>
    <w:p w:rsidR="00AA17E3" w:rsidRPr="00E836C5" w:rsidRDefault="00AA17E3" w:rsidP="00AA17E3">
      <w:pPr>
        <w:keepNext/>
        <w:spacing w:after="200"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bCs/>
          <w:sz w:val="24"/>
          <w:szCs w:val="24"/>
        </w:rPr>
        <w:t>V rokoch 2022 - 2024 budú v oblasti zelenej ekonomiky implementované reformy, ktoré pripravia legislatívny rámec pre komplexnú obnovu rodinných domov a kultúrno-historických pamiatok</w:t>
      </w:r>
      <w:r w:rsidRPr="00E836C5">
        <w:rPr>
          <w:rFonts w:ascii="Times New Roman" w:eastAsia="Calibri" w:hAnsi="Times New Roman" w:cs="Times New Roman"/>
          <w:sz w:val="24"/>
          <w:szCs w:val="24"/>
        </w:rPr>
        <w:t xml:space="preserve"> s dôrazom na zlepšenie energetickej hospodárnosti a na podporu environmentálnych aspektov pri renováciách. Zmenou zákona o nakl</w:t>
      </w:r>
      <w:r w:rsidR="007317D3">
        <w:rPr>
          <w:rFonts w:ascii="Times New Roman" w:eastAsia="Calibri" w:hAnsi="Times New Roman" w:cs="Times New Roman"/>
          <w:sz w:val="24"/>
          <w:szCs w:val="24"/>
        </w:rPr>
        <w:t>adaní so stavebným odpadom sa</w:t>
      </w:r>
      <w:r w:rsidRPr="00E836C5">
        <w:rPr>
          <w:rFonts w:ascii="Times New Roman" w:eastAsia="Calibri" w:hAnsi="Times New Roman" w:cs="Times New Roman"/>
          <w:sz w:val="24"/>
          <w:szCs w:val="24"/>
        </w:rPr>
        <w:t xml:space="preserve"> zvýši potenciál obehovej ekonomiky v oblasti stavebného odpadu a sektoru stavebníctva, čo bude viesť k vyššej miere recyklácie a predchádzaniu vzniku stavebného odpadu. Reforma Pamiatkového úradu SR zabezpečí väčšiu transparentnosť, efektívnosť a predvídateľnosť rozhodnutí a  podporí rozvoj komerčného trhu s nehnuteľnými pamiatkami. Zároveň tiež zvýši systematickosť rekonštrukcií pamiatok vo verejnom vlastníctve z financií plánu obnovy po roku 2024.</w:t>
      </w:r>
    </w:p>
    <w:p w:rsidR="00AA17E3" w:rsidRPr="00E836C5" w:rsidRDefault="00AA17E3" w:rsidP="00AA17E3">
      <w:pPr>
        <w:keepNext/>
        <w:spacing w:after="200" w:line="240" w:lineRule="auto"/>
        <w:contextualSpacing/>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bCs/>
          <w:sz w:val="24"/>
          <w:szCs w:val="24"/>
        </w:rPr>
      </w:pPr>
      <w:r w:rsidRPr="00E836C5">
        <w:rPr>
          <w:rFonts w:ascii="Times New Roman" w:eastAsia="Calibri" w:hAnsi="Times New Roman" w:cs="Times New Roman"/>
          <w:sz w:val="24"/>
          <w:szCs w:val="24"/>
        </w:rPr>
        <w:t xml:space="preserve">Podporu zamestnanosti sľubuje aj zvyšovanie podielu obnoviteľných zdrojov energie v energetickom mixe. Nové pracovné miesta vzniknú integráciou OZE v sektoroch výroby na lokálnej úrovni (napr. komunity vyrábajúce energiu z OZE), ako aj na národnej úrovni či už v sektore výroby energie z OZE alebo cez vznik nových obchodných modelov. </w:t>
      </w:r>
      <w:r w:rsidRPr="00E836C5">
        <w:rPr>
          <w:rFonts w:ascii="Times New Roman" w:eastAsia="Calibri" w:hAnsi="Times New Roman" w:cs="Times New Roman"/>
          <w:bCs/>
          <w:sz w:val="24"/>
          <w:szCs w:val="24"/>
        </w:rPr>
        <w:t>V rokoch 2022 - 2024 je plánovaná úprava právneho rámca v oblasti elektroenergetiky a vytvorenie podmienok pre vstup nových subjektov na trh s elektrinou.</w:t>
      </w:r>
    </w:p>
    <w:p w:rsidR="00AA17E3" w:rsidRPr="00E836C5" w:rsidRDefault="00AA17E3" w:rsidP="00AA17E3">
      <w:pPr>
        <w:spacing w:after="0" w:line="240" w:lineRule="auto"/>
        <w:jc w:val="both"/>
        <w:rPr>
          <w:rFonts w:ascii="Times New Roman" w:eastAsia="Calibri" w:hAnsi="Times New Roman" w:cs="Times New Roman"/>
          <w:bCs/>
          <w:sz w:val="24"/>
          <w:szCs w:val="24"/>
        </w:rPr>
      </w:pPr>
    </w:p>
    <w:p w:rsidR="00AA17E3" w:rsidRPr="00E836C5" w:rsidRDefault="00AA17E3" w:rsidP="00AA17E3">
      <w:pPr>
        <w:keepNext/>
        <w:spacing w:after="0" w:line="240" w:lineRule="auto"/>
        <w:contextualSpacing/>
        <w:jc w:val="both"/>
        <w:rPr>
          <w:rFonts w:ascii="Times New Roman" w:eastAsia="Calibri" w:hAnsi="Times New Roman" w:cs="Times New Roman"/>
          <w:sz w:val="24"/>
          <w:szCs w:val="24"/>
        </w:rPr>
      </w:pPr>
      <w:r w:rsidRPr="00E836C5">
        <w:rPr>
          <w:rFonts w:ascii="Times New Roman" w:eastAsia="Calibri" w:hAnsi="Times New Roman" w:cs="Times New Roman"/>
          <w:bCs/>
          <w:sz w:val="24"/>
          <w:szCs w:val="24"/>
        </w:rPr>
        <w:t>Reformy a investície do</w:t>
      </w:r>
      <w:r w:rsidRPr="00E836C5">
        <w:rPr>
          <w:rFonts w:ascii="Times New Roman" w:eastAsia="Calibri" w:hAnsi="Times New Roman" w:cs="Times New Roman"/>
          <w:b/>
          <w:bCs/>
          <w:sz w:val="24"/>
          <w:szCs w:val="24"/>
        </w:rPr>
        <w:t xml:space="preserve"> </w:t>
      </w:r>
      <w:r w:rsidRPr="00E836C5">
        <w:rPr>
          <w:rFonts w:ascii="Times New Roman" w:eastAsia="Calibri" w:hAnsi="Times New Roman" w:cs="Times New Roman"/>
          <w:bCs/>
          <w:sz w:val="24"/>
          <w:szCs w:val="24"/>
        </w:rPr>
        <w:t>udržateľnej dopravy prispejú k rastu a tvorbe pracovných miest vo verejnej osobnej doprave a v intermodálnej nákladnej doprave</w:t>
      </w:r>
      <w:r w:rsidRPr="00E836C5">
        <w:rPr>
          <w:rFonts w:ascii="Times New Roman" w:eastAsia="Calibri" w:hAnsi="Times New Roman" w:cs="Times New Roman"/>
          <w:sz w:val="24"/>
          <w:szCs w:val="24"/>
        </w:rPr>
        <w:t xml:space="preserve"> a vytvoria priestor na zvýšenie účasti na trhu práce a produktivity práce najmä v skupinách obyvateľstva s nízkym príjmom. Podporou výskumno-vývojového a inovačného potenciálu Slovenska sa podporí postupný prechod automobilového sektora od výroby vozidiel so spaľovacím motorom smerom k ekologickejším alternatívam s vyššou pridanou hodnotou, čím sa podporí udržateľnosť a konkurencieschopnosť lokálneho automobilového sektora do budúcnosti. Okrem vyššie uvedených reforiem bude v rokoch 2022 - 2024 vytvorený finančný mechanizmus schém pomoci pre budovanie nabíjacích bodov pre elektromobily a vodíkové plniace stanice, ktorá podporí rýchlejší rozvoj osobnej a nákladnej dopravy na alternatívny pohon. </w:t>
      </w:r>
    </w:p>
    <w:p w:rsidR="00AA17E3" w:rsidRPr="00E836C5" w:rsidRDefault="00AA17E3" w:rsidP="00AA17E3">
      <w:pPr>
        <w:keepNext/>
        <w:spacing w:after="200" w:line="240" w:lineRule="auto"/>
        <w:contextualSpacing/>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Finančný impulz pre výmenu technológie pomôže dekarbonizovať podniky v rámci európskeho systému obchodovania s emisiami (ETS), rovnako ako podniky mimo ETS produkujúce emisie skleníkových plynov, čo zníži náklady domácich firiem na nákup emisných kvót, prispeje k zvýšeniu ich </w:t>
      </w:r>
      <w:r w:rsidR="007317D3">
        <w:rPr>
          <w:rFonts w:ascii="Times New Roman" w:eastAsia="Calibri" w:hAnsi="Times New Roman" w:cs="Times New Roman"/>
          <w:sz w:val="24"/>
          <w:szCs w:val="24"/>
        </w:rPr>
        <w:t>konkurencieschopnosti a podporí</w:t>
      </w:r>
      <w:r w:rsidRPr="00E836C5">
        <w:rPr>
          <w:rFonts w:ascii="Times New Roman" w:eastAsia="Calibri" w:hAnsi="Times New Roman" w:cs="Times New Roman"/>
          <w:sz w:val="24"/>
          <w:szCs w:val="24"/>
        </w:rPr>
        <w:t xml:space="preserve"> udržateľnosť pracovných miest v sektore. Význam dekarbonizácie priemyslu podčiarkuje aj skutočnosť, že Slovensko má v súčasnosti druhý najväčší podiel zamestnanosti v priemysle spomedzi všetkých krajín Európskej únie a zároveň vykazuje vysokú environmentálnu náročnosť ekonomiky.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bCs/>
          <w:sz w:val="24"/>
          <w:szCs w:val="24"/>
        </w:rPr>
        <w:t>Reforma ochrany prírody v rámci opatrení adaptácie na zmenu klímy začne proces</w:t>
      </w:r>
      <w:r w:rsidRPr="00E836C5">
        <w:rPr>
          <w:rFonts w:ascii="Times New Roman" w:eastAsia="Calibri" w:hAnsi="Times New Roman" w:cs="Times New Roman"/>
          <w:b/>
          <w:bCs/>
          <w:sz w:val="24"/>
          <w:szCs w:val="24"/>
        </w:rPr>
        <w:t xml:space="preserve"> </w:t>
      </w:r>
      <w:r w:rsidRPr="00E836C5">
        <w:rPr>
          <w:rFonts w:ascii="Times New Roman" w:eastAsia="Calibri" w:hAnsi="Times New Roman" w:cs="Times New Roman"/>
          <w:bCs/>
          <w:sz w:val="24"/>
          <w:szCs w:val="24"/>
        </w:rPr>
        <w:t>transformácie hospodárstva v chránených územiach z intenzívnej ťažby dreva na prírode blízke obhospodarovanie a mäkký turizmus s vyššou pridanou hodnotou</w:t>
      </w:r>
      <w:r w:rsidRPr="00E836C5">
        <w:rPr>
          <w:rFonts w:ascii="Times New Roman" w:eastAsia="Calibri" w:hAnsi="Times New Roman" w:cs="Times New Roman"/>
          <w:sz w:val="24"/>
          <w:szCs w:val="24"/>
        </w:rPr>
        <w:t xml:space="preserve"> a diverzifikovanou štruktúrou pracovných príležitostí. V rokoch 2022 - 2024 bude implementovaná reforma krajinného plánovania, ktorá bude mať významný vplyv na udržanie krajinných štruktúr, ekologickú stabilitu a ochranu biodiverzity. Zjednodušenie systému ochrany prírody sa dosiahne aj majetkovým vyrovnaním na najvýznamnejších pozemkoch v národných parkoch.</w:t>
      </w:r>
    </w:p>
    <w:p w:rsidR="00AA17E3" w:rsidRPr="00E836C5" w:rsidRDefault="00AA17E3" w:rsidP="00AA17E3">
      <w:pPr>
        <w:spacing w:after="0" w:line="240" w:lineRule="auto"/>
        <w:jc w:val="both"/>
        <w:rPr>
          <w:rFonts w:ascii="Times New Roman" w:eastAsia="Calibri" w:hAnsi="Times New Roman" w:cs="Times New Roman"/>
          <w:b/>
          <w:color w:val="5B9BD5"/>
          <w:szCs w:val="20"/>
        </w:rPr>
      </w:pPr>
    </w:p>
    <w:p w:rsidR="00AA17E3" w:rsidRPr="00E836C5" w:rsidRDefault="00AA17E3" w:rsidP="00AA17E3">
      <w:pPr>
        <w:keepNext/>
        <w:spacing w:after="0" w:line="240" w:lineRule="auto"/>
        <w:jc w:val="both"/>
        <w:rPr>
          <w:rFonts w:ascii="Times New Roman" w:eastAsia="Calibri" w:hAnsi="Times New Roman" w:cs="Times New Roman"/>
          <w:b/>
          <w:color w:val="5B9BD5"/>
          <w:sz w:val="24"/>
          <w:szCs w:val="20"/>
        </w:rPr>
      </w:pPr>
      <w:r w:rsidRPr="00E836C5">
        <w:rPr>
          <w:rFonts w:ascii="Times New Roman" w:eastAsia="Calibri" w:hAnsi="Times New Roman" w:cs="Times New Roman"/>
          <w:b/>
          <w:color w:val="5B9BD5"/>
          <w:sz w:val="24"/>
          <w:szCs w:val="20"/>
        </w:rPr>
        <w:t>Vzdelávanie</w:t>
      </w:r>
    </w:p>
    <w:p w:rsidR="00AA17E3" w:rsidRPr="00E836C5" w:rsidRDefault="00AA17E3" w:rsidP="00AA17E3">
      <w:pPr>
        <w:keepNext/>
        <w:spacing w:after="0" w:line="240" w:lineRule="auto"/>
        <w:jc w:val="both"/>
        <w:rPr>
          <w:rFonts w:ascii="Times New Roman" w:eastAsia="Calibri" w:hAnsi="Times New Roman" w:cs="Times New Roman"/>
          <w:b/>
          <w:color w:val="5B9BD5"/>
          <w:szCs w:val="20"/>
        </w:rPr>
      </w:pPr>
    </w:p>
    <w:p w:rsidR="00AA17E3" w:rsidRPr="00E836C5" w:rsidRDefault="00AA17E3" w:rsidP="00AA17E3">
      <w:pPr>
        <w:keepNext/>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Reformy a investície z plánu obnovy v rokoch 2022 – 2024 prinesú zmeny v obsahu a forme vzdelávania na všetkých úrovniach so zameraním na získavanie základnej a finančnej gramotnosti, kritického myslenia, analytických schopností, digitálnych zručností a zvýšenie schopností mladých ľudí včas sa adaptovať na klimatické zmeny a otepľovanie, technologické zmeny v ekonomike a na trhu práce. </w:t>
      </w:r>
    </w:p>
    <w:p w:rsidR="00AA17E3" w:rsidRPr="00E836C5" w:rsidRDefault="00AA17E3" w:rsidP="00AA17E3">
      <w:pPr>
        <w:keepNext/>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Kurikulárna a učebnicová reforma vytvorí nový obsah vzdelávania pre základné školy usporiadaný do troch viacročných cyklov. Výučba bude namiesto odovzdávania hotovej informácie vytvárať situácie, pri ktorých žiaci môžu informácie interpretovať v konfrontácii s reálnou skúsenosťou. Reforma súčasne posilní kvalitu zručností pedagogických a odborných zamestnancov a bude ich motivovať k celoživotnému profesijnému rozvoju. Dôraz sa bude klásť aj na inkluzívne vzdelávanie a osvojenie si digitálnych zručností.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Dostupnosť kvalitnej predškolskej výchovy a inkluzívny vzdelávací systém orientovaný na individuálne potreby prispejú k zmierňovaniu ekonomických, sociálnych a regionálnych rozdielov v rámci Slovenska. Dôraz na začlenenie detí vyrastajúcich v generačnej chudobe zároveň posilní ekonomickú a sociálnu odolnosť v súvislosti s nepriaznivým demografickým vývojom.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Plán obnovy podporí služby ranej starostlivosti v marginalizovaných rómskych komunitách a v prostredí generačnej chudoby, ktoré prácou s rodinami v domácom prostredí pomôžu prekonávať kultúrne bariéry, rozvíjať kognitívne a motorické zručnosti detí a pripravovať ich na vstup do formálneho predprimárneho vzdelávania.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Digitalizácia základných a stredných škôl a podpora digitálnych zručností u žiakov a učiteľov umožní lepšie pripraviť sektor vzdelávania na budúce neočakávané šoky sprevádzané náhlou potrebou zavedenia dištančného vzdelávania a zmierni škodlivé vplyvy takýchto zmien na vzdelávacie výsledky žiakov.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Pružnejší systém riadenia vysokých škôl s transparentným financovaním ich vzdelávacích a vedeckých aktivít im umožní adaptívne reagovať na ekonomické a sociálne dôsledky krízy a štrukturálne zmeny v ekonomike. Vyššia autonómnosť pri akreditácii študijných programov bude viesť k rýchlejším a pružnejším zmenám študijných programov a vedeckých projektov, keďže vysoké školy budú môcť samostatne vytvárať študijné programy, a tým rýchlo reagovať na požiadavky krízového poskytovania vzdelávania. Špecifické nastavenie financovania vysokých škôl umožní diferencovane zohľadniť rôzne konkrétne silné a slabé stránky vysokých škôl, posilniť praktickú orientáciu niektorých z nich, a tým zvýšiť sociálnu a regionálnu kohéziu.</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Nová národná stratégia rozvoja digitálnych zručností</w:t>
      </w:r>
      <w:r w:rsidRPr="00E836C5">
        <w:rPr>
          <w:rFonts w:ascii="Times New Roman" w:eastAsia="Calibri" w:hAnsi="Times New Roman" w:cs="Times New Roman"/>
          <w:b/>
          <w:sz w:val="24"/>
          <w:szCs w:val="24"/>
        </w:rPr>
        <w:t xml:space="preserve"> </w:t>
      </w:r>
      <w:r w:rsidRPr="00E836C5">
        <w:rPr>
          <w:rFonts w:ascii="Times New Roman" w:eastAsia="Calibri" w:hAnsi="Times New Roman" w:cs="Times New Roman"/>
          <w:sz w:val="24"/>
          <w:szCs w:val="24"/>
        </w:rPr>
        <w:t>so zameraním na osoby v produktívnom a post-produktívnom veku, ktorá zadefinuje aj dlhodobo udržateľný systém financovania a podpory v tejto oblasti, podporí ďalšie vzdelávanie dospelých, pomôže ich vybaviť prenosnými zručnosťami a zvýši ich schopnosť adaptovať sa na zmeny, ktoré prináša automatizácia a digitalizácia.</w:t>
      </w:r>
    </w:p>
    <w:p w:rsidR="00AA17E3" w:rsidRPr="00E836C5" w:rsidRDefault="00AA17E3" w:rsidP="00AA17E3">
      <w:pPr>
        <w:keepNext/>
        <w:spacing w:after="0" w:line="240" w:lineRule="auto"/>
        <w:jc w:val="both"/>
        <w:rPr>
          <w:rFonts w:ascii="Times New Roman" w:eastAsia="Calibri" w:hAnsi="Times New Roman" w:cs="Times New Roman"/>
        </w:rPr>
      </w:pPr>
    </w:p>
    <w:p w:rsidR="00AA17E3" w:rsidRPr="00E836C5" w:rsidRDefault="00AA17E3" w:rsidP="00AA17E3">
      <w:pPr>
        <w:spacing w:after="0" w:line="240" w:lineRule="auto"/>
        <w:jc w:val="both"/>
        <w:rPr>
          <w:rFonts w:ascii="Times New Roman" w:eastAsia="Calibri" w:hAnsi="Times New Roman" w:cs="Times New Roman"/>
          <w:b/>
          <w:color w:val="5B9BD5"/>
          <w:sz w:val="24"/>
          <w:szCs w:val="20"/>
        </w:rPr>
      </w:pPr>
      <w:r w:rsidRPr="00E836C5">
        <w:rPr>
          <w:rFonts w:ascii="Times New Roman" w:eastAsia="Calibri" w:hAnsi="Times New Roman" w:cs="Times New Roman"/>
          <w:b/>
          <w:color w:val="5B9BD5"/>
          <w:sz w:val="24"/>
          <w:szCs w:val="20"/>
        </w:rPr>
        <w:t>Veda, výskum, inovácie</w:t>
      </w:r>
    </w:p>
    <w:p w:rsidR="00AA17E3" w:rsidRPr="00E836C5" w:rsidRDefault="00AA17E3" w:rsidP="00AA17E3">
      <w:pPr>
        <w:keepNext/>
        <w:spacing w:after="0" w:line="240" w:lineRule="auto"/>
        <w:jc w:val="both"/>
        <w:rPr>
          <w:rFonts w:ascii="Times New Roman" w:eastAsia="Calibri" w:hAnsi="Times New Roman" w:cs="Times New Roman"/>
          <w:b/>
          <w:color w:val="5B9BD5"/>
          <w:szCs w:val="20"/>
        </w:rPr>
      </w:pPr>
      <w:r w:rsidRPr="00E836C5">
        <w:rPr>
          <w:rFonts w:ascii="Times New Roman" w:eastAsia="Calibri" w:hAnsi="Times New Roman" w:cs="Times New Roman"/>
          <w:b/>
          <w:color w:val="5B9BD5"/>
          <w:szCs w:val="20"/>
        </w:rPr>
        <w:t xml:space="preserve"> </w:t>
      </w: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Podpora investícií do výskumu a inovácií prostredníctvom plánu obnovy uľahčí pokrízovú transformáciu ekonomiky, a tým aj schopnosť podnikov vyrovnať sa so sociálnymi a ekonomickými vplyvmi krízy. Rozvoj nových výskumných odvetví zníži závislosť ekonomiky na jednom odvetví a zvýši budúcu odolnosť ekonomiky voči náhlym šokom.</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Kvalitnejší výskum, spolupráca so súkromným sektorom a prepájanie s excelentnými výskumníkmi v zahraničí, ale aj medzi kvalitnými výskumnými tímami navzájom, podporí rozvoj sektorov s vysokou pridanou hodnotou, naštartuje inovácie a povedie k vyššej konkurencieschopnosti slovenských podnikov.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Zlepšenie udržateľnosti existujúcich, ako aj vznik nových pracovných miest v tejto oblasti podporí prechod k znalostnej ekonomike a k budovaniu strategickej autonómie EÚ v oblasti top inovatívnych technológií. Reforma koordinácie politík zefektívni investície do výskumu a inovácií, či už z prostriedkov plánu obnovy, ale aj európskych štrukturálnych a investičných fondov a štátneho rozpočtu. Posilnené financovanie z verejných zdrojov stimuluje naviazanú súkromnú participáciu na výskume, vývoji a inováciách, kde sa očakáva zvýšenie súkromných výdavkov na výskum a vývoj na strednodobom horizonte do roku 2024 na 0,6 % HDP pri celkových výdavkoch 1,2 % HDP.</w:t>
      </w: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 </w:t>
      </w: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Efektívnejšie riadenie a posilnenie financovania výskumu, vývoja a inovácií podporí zelenú a digitálnu transformáciu zameraním výskumno-inovačných investícií do kľúčových transformačných oblastí, akými sú napríklad inteligentná mobilita a rozvoj inteligentných miest a regiónov, IT a kybernetická bezpečnosť, biotechnológie alebo zelené technológie. Podporia sa transformačné a inovačné konzorciá, s cieľom prepojiť potreby trhu a vývojové možnosti, kde očakáva najvýraznejšie zastúpenie prijímateľov zo segmentu digitálnych inovácií. Okrem vedecko-výskumných výziev pre vytváranie technológií budúcnosti sa prostredníctvom digitálnych „voucherov“ bude stimulovať zavádzanie nových digitálnych technológií vo firmách. Potrebné expertné kapacity pre rozvoj digitálne poháňanej ekonomiky pomôžu zabezpečiť opatrenia na udržanie domácich a lákanie zahraničných talentov.</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Lákanie a udržanie talentov predstavuje do budúcna významný predpoklad na rast ekonomiky a tvorbu pracovných miest. Odstránenie bariér pre zahraničných pracovníkov a študentov vďaka jednoduchšiemu procesu získavania povolenia na zamestnanie a pobyt pomôže uspokojiť dopyt po nedostatkových a vysokokvalifikovaných pozíciách na slovenskom trhu práce a pomôže prilákať talenty. Účinnými politikami pre podporu študijnej a pracovnej</w:t>
      </w:r>
      <w:r w:rsidRPr="00E836C5">
        <w:rPr>
          <w:rFonts w:ascii="Times New Roman" w:eastAsia="Calibri" w:hAnsi="Times New Roman" w:cs="Times New Roman"/>
          <w:b/>
          <w:sz w:val="24"/>
          <w:szCs w:val="24"/>
        </w:rPr>
        <w:t xml:space="preserve"> </w:t>
      </w:r>
      <w:r w:rsidRPr="00091E21">
        <w:rPr>
          <w:rFonts w:ascii="Times New Roman" w:eastAsia="Calibri" w:hAnsi="Times New Roman" w:cs="Times New Roman"/>
          <w:sz w:val="24"/>
          <w:szCs w:val="24"/>
        </w:rPr>
        <w:t>mobility</w:t>
      </w:r>
      <w:r w:rsidRPr="00E836C5">
        <w:rPr>
          <w:rFonts w:ascii="Times New Roman" w:eastAsia="Calibri" w:hAnsi="Times New Roman" w:cs="Times New Roman"/>
          <w:b/>
          <w:sz w:val="24"/>
          <w:szCs w:val="24"/>
        </w:rPr>
        <w:t xml:space="preserve"> </w:t>
      </w:r>
      <w:r w:rsidRPr="00E836C5">
        <w:rPr>
          <w:rFonts w:ascii="Times New Roman" w:eastAsia="Calibri" w:hAnsi="Times New Roman" w:cs="Times New Roman"/>
          <w:sz w:val="24"/>
          <w:szCs w:val="24"/>
        </w:rPr>
        <w:t xml:space="preserve">podporenými z plánu obnovy tak dôjde k zmierneniu narastajúceho demografického tlaku.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b/>
          <w:color w:val="5B9BD5"/>
          <w:sz w:val="24"/>
          <w:szCs w:val="20"/>
        </w:rPr>
      </w:pPr>
      <w:r w:rsidRPr="00E836C5">
        <w:rPr>
          <w:rFonts w:ascii="Times New Roman" w:eastAsia="Calibri" w:hAnsi="Times New Roman" w:cs="Times New Roman"/>
          <w:b/>
          <w:color w:val="5B9BD5"/>
          <w:sz w:val="24"/>
          <w:szCs w:val="20"/>
        </w:rPr>
        <w:t>Zdravie</w:t>
      </w:r>
    </w:p>
    <w:p w:rsidR="00AA17E3" w:rsidRPr="00E836C5" w:rsidRDefault="00AA17E3" w:rsidP="00AA17E3">
      <w:pPr>
        <w:spacing w:after="0" w:line="240" w:lineRule="auto"/>
        <w:jc w:val="both"/>
        <w:rPr>
          <w:rFonts w:ascii="Times New Roman" w:eastAsia="Calibri" w:hAnsi="Times New Roman" w:cs="Times New Roman"/>
          <w:b/>
          <w:color w:val="5B9BD5"/>
          <w:szCs w:val="20"/>
        </w:rPr>
      </w:pPr>
    </w:p>
    <w:p w:rsidR="00AA17E3" w:rsidRPr="00E836C5" w:rsidRDefault="00AA17E3" w:rsidP="00AA17E3">
      <w:pPr>
        <w:spacing w:after="0" w:line="240" w:lineRule="auto"/>
        <w:jc w:val="both"/>
        <w:rPr>
          <w:rFonts w:ascii="Times New Roman" w:eastAsia="Times New Roman" w:hAnsi="Times New Roman" w:cs="Times New Roman"/>
          <w:sz w:val="24"/>
          <w:szCs w:val="24"/>
          <w:lang w:eastAsia="en-GB"/>
        </w:rPr>
      </w:pPr>
      <w:r w:rsidRPr="00E836C5">
        <w:rPr>
          <w:rFonts w:ascii="Times New Roman" w:eastAsia="Times New Roman" w:hAnsi="Times New Roman" w:cs="Times New Roman"/>
          <w:bCs/>
          <w:color w:val="000000"/>
          <w:sz w:val="24"/>
          <w:szCs w:val="24"/>
          <w:lang w:eastAsia="en-GB"/>
        </w:rPr>
        <w:t>Nová sieť nemocníc spojená s rozsiahlou výstavbou, rekonštrukciou a modernými riešeniami</w:t>
      </w:r>
      <w:r w:rsidRPr="00E836C5">
        <w:rPr>
          <w:rFonts w:ascii="Times New Roman" w:eastAsia="Times New Roman" w:hAnsi="Times New Roman" w:cs="Times New Roman"/>
          <w:b/>
          <w:bCs/>
          <w:color w:val="000000"/>
          <w:sz w:val="24"/>
          <w:szCs w:val="24"/>
          <w:lang w:eastAsia="en-GB"/>
        </w:rPr>
        <w:t xml:space="preserve"> </w:t>
      </w:r>
      <w:r w:rsidRPr="00E836C5">
        <w:rPr>
          <w:rFonts w:ascii="Times New Roman" w:eastAsia="Times New Roman" w:hAnsi="Times New Roman" w:cs="Times New Roman"/>
          <w:bCs/>
          <w:color w:val="000000"/>
          <w:sz w:val="24"/>
          <w:szCs w:val="24"/>
          <w:lang w:eastAsia="en-GB"/>
        </w:rPr>
        <w:t>posilní zdravotnícky systém voči potenciálnym hrozbám v budúcnosti.</w:t>
      </w:r>
      <w:r w:rsidRPr="00E836C5">
        <w:rPr>
          <w:rFonts w:ascii="Times New Roman" w:eastAsia="Times New Roman" w:hAnsi="Times New Roman" w:cs="Times New Roman"/>
          <w:color w:val="000000"/>
          <w:sz w:val="24"/>
          <w:szCs w:val="24"/>
          <w:lang w:eastAsia="en-GB"/>
        </w:rPr>
        <w:t xml:space="preserve"> Centralizáciou riadenia nemocníc bude sieť schopná flexibilnejšie a koordinovanejšie reagovať na nečakané potreby a investíciami do moderných budov a technického vybavenia sa zefektívnia klinické a prevádzkové procesy, dosiahne sa lepšia starostlivosť a komfort pre pacientov a personál a zníži sa riziko nozokomiálnych nákaz. Štandard poskytovanej neodkladnej zdravotnej starostlivosti sa významne zvýši zlepšením plošnej dostupnosti záchrannej zdravotnej služby, zabezpečením včasnej intervencie a skoršieho transportu pacientov do nemocnice za účelom definitívneho vyriešenia stavu. </w:t>
      </w:r>
      <w:r w:rsidRPr="00E836C5">
        <w:rPr>
          <w:rFonts w:ascii="Times New Roman" w:eastAsia="Times New Roman" w:hAnsi="Times New Roman" w:cs="Times New Roman"/>
          <w:bCs/>
          <w:color w:val="000000"/>
          <w:sz w:val="24"/>
          <w:szCs w:val="24"/>
          <w:lang w:eastAsia="en-GB"/>
        </w:rPr>
        <w:t>Reformami a podpornými schémami implementovanými medzi rokmi 2022 - 2024 sa zvýši dostupnosť primárnej starostlivosti, ktorá má byť základným integračným bodom zdravotnej starostlivosti o pacienta.</w:t>
      </w:r>
      <w:r w:rsidRPr="00E836C5">
        <w:rPr>
          <w:rFonts w:ascii="Times New Roman" w:eastAsia="Times New Roman" w:hAnsi="Times New Roman" w:cs="Times New Roman"/>
          <w:color w:val="000000"/>
          <w:sz w:val="24"/>
          <w:szCs w:val="24"/>
          <w:lang w:eastAsia="en-GB"/>
        </w:rPr>
        <w:t xml:space="preserve"> </w:t>
      </w:r>
    </w:p>
    <w:p w:rsidR="00AA17E3" w:rsidRPr="00E836C5" w:rsidRDefault="00AA17E3" w:rsidP="00AA17E3">
      <w:pPr>
        <w:spacing w:after="0" w:line="240" w:lineRule="auto"/>
        <w:jc w:val="both"/>
        <w:rPr>
          <w:rFonts w:ascii="Times New Roman" w:eastAsia="Times New Roman" w:hAnsi="Times New Roman" w:cs="Times New Roman"/>
          <w:sz w:val="24"/>
          <w:szCs w:val="24"/>
          <w:lang w:eastAsia="en-GB"/>
        </w:rPr>
      </w:pPr>
    </w:p>
    <w:p w:rsidR="00AA17E3" w:rsidRDefault="00AA17E3" w:rsidP="00FA7DE1">
      <w:pPr>
        <w:spacing w:after="0" w:line="240" w:lineRule="auto"/>
        <w:jc w:val="both"/>
        <w:rPr>
          <w:rFonts w:ascii="Times New Roman" w:eastAsia="Calibri" w:hAnsi="Times New Roman" w:cs="Times New Roman"/>
          <w:color w:val="000000"/>
          <w:sz w:val="24"/>
          <w:szCs w:val="24"/>
        </w:rPr>
      </w:pPr>
      <w:r w:rsidRPr="00E836C5">
        <w:rPr>
          <w:rFonts w:ascii="Times New Roman" w:eastAsia="Calibri" w:hAnsi="Times New Roman" w:cs="Times New Roman"/>
          <w:bCs/>
          <w:color w:val="000000"/>
          <w:sz w:val="24"/>
          <w:szCs w:val="24"/>
        </w:rPr>
        <w:t>Optimalizovaná a obnovená sieť nemocníc umožní efektívnejšie alokovať zdroje v celom systéme zdravotnej starostlivosti a dosahovať tak kvalitnejšiu, dostupnejšiu a efektívnejšiu zdravotnú  starostlivosť,</w:t>
      </w:r>
      <w:r w:rsidRPr="00E836C5">
        <w:rPr>
          <w:rFonts w:ascii="Times New Roman" w:eastAsia="Calibri" w:hAnsi="Times New Roman" w:cs="Times New Roman"/>
          <w:color w:val="000000"/>
          <w:sz w:val="24"/>
          <w:szCs w:val="24"/>
        </w:rPr>
        <w:t xml:space="preserve"> čo pomôže reštartovať a zrýchliť ekonomický rast a konvergenciu Slovenska k priemeru EÚ. Centralizácia riadenia najväčších štátnych nemocníc pomôže efektívnejšie hospodáriť a pružnejšie aplikovať jednotné postupy a metodiky v medicínskych a prevádzkových procesoch nemocníc, zatiaľ čo integrovaný systém sociálnej a zdravotnej dlhodobej starostlivosti umožní optimálnejšie využívať personál a existujúce kapacity. Riziko vzniku odkázanosti alebo invalidity sa zníži včasnou a kvalitnejšou rehabilitáciou, čo prispeje k väčšej produktivite práce a nižšej záťaži na systém sociálneho zabezpečenia. </w:t>
      </w:r>
    </w:p>
    <w:p w:rsidR="00FA7DE1" w:rsidRPr="00E836C5" w:rsidRDefault="00FA7DE1" w:rsidP="00FA7DE1">
      <w:pPr>
        <w:spacing w:after="0" w:line="240" w:lineRule="auto"/>
        <w:jc w:val="both"/>
        <w:rPr>
          <w:rFonts w:ascii="Times New Roman" w:eastAsia="Calibri" w:hAnsi="Times New Roman" w:cs="Times New Roman"/>
          <w:color w:val="000000"/>
          <w:sz w:val="24"/>
          <w:szCs w:val="24"/>
        </w:rPr>
      </w:pPr>
    </w:p>
    <w:p w:rsidR="00AA17E3" w:rsidRPr="00E836C5" w:rsidRDefault="00AA17E3" w:rsidP="00FA7DE1">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 xml:space="preserve">Komplexná reforma dlhodobej sociálno-zdravotnej starostlivosti zvýši inklúziu osôb so zdravotným postihnutím do spoločnosti ako aj mieru ich sociálnej ochrany. Rozvoj služieb komunitnej dlhodobej starostlivosti takisto prispeje k zmierneniu neprimeranej záťaže rodín, ktoré opatrujú blízkych seniorov a osoby so zdravotným postihnutím a umožní im participovať na trhu práce. Rozšírenie kapacít ústavnej a komunitnej paliatívnej starostlivosti zmierni regionálne rozdiely v možnosti výberu miesta dožitia u terminálne chorých pacientov. </w:t>
      </w:r>
    </w:p>
    <w:p w:rsidR="00AA17E3" w:rsidRPr="00E836C5" w:rsidRDefault="00AA17E3" w:rsidP="00AA17E3">
      <w:pPr>
        <w:spacing w:before="120" w:after="0" w:line="240" w:lineRule="auto"/>
        <w:jc w:val="both"/>
        <w:rPr>
          <w:rFonts w:ascii="Times New Roman" w:eastAsia="Calibri" w:hAnsi="Times New Roman" w:cs="Times New Roman"/>
          <w:bCs/>
          <w:iCs/>
        </w:rPr>
      </w:pPr>
    </w:p>
    <w:p w:rsidR="00AA17E3" w:rsidRPr="00E836C5" w:rsidRDefault="00AA17E3" w:rsidP="00AA17E3">
      <w:pPr>
        <w:spacing w:after="0" w:line="240" w:lineRule="auto"/>
        <w:jc w:val="both"/>
        <w:rPr>
          <w:rFonts w:ascii="Times New Roman" w:eastAsia="Calibri" w:hAnsi="Times New Roman" w:cs="Times New Roman"/>
          <w:b/>
          <w:color w:val="5B9BD5"/>
          <w:szCs w:val="21"/>
        </w:rPr>
      </w:pPr>
      <w:r w:rsidRPr="00E836C5">
        <w:rPr>
          <w:rFonts w:ascii="Times New Roman" w:eastAsia="Calibri" w:hAnsi="Times New Roman" w:cs="Times New Roman"/>
          <w:b/>
          <w:color w:val="5B9BD5"/>
          <w:sz w:val="24"/>
          <w:szCs w:val="20"/>
        </w:rPr>
        <w:t>Efektívna verejná správa a digitalizácia</w:t>
      </w:r>
    </w:p>
    <w:p w:rsidR="00AA17E3" w:rsidRPr="00E836C5" w:rsidRDefault="00AA17E3" w:rsidP="00AA17E3">
      <w:pPr>
        <w:spacing w:after="0" w:line="240" w:lineRule="auto"/>
        <w:jc w:val="both"/>
        <w:rPr>
          <w:rFonts w:ascii="Times New Roman" w:eastAsia="Calibri" w:hAnsi="Times New Roman" w:cs="Times New Roman"/>
          <w:b/>
          <w:color w:val="5B9BD5"/>
          <w:szCs w:val="21"/>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Times New Roman" w:hAnsi="Times New Roman" w:cs="Times New Roman"/>
          <w:bCs/>
          <w:color w:val="000000"/>
          <w:sz w:val="24"/>
          <w:szCs w:val="24"/>
          <w:lang w:eastAsia="en-GB"/>
        </w:rPr>
        <w:t>Efektívna verejná správa a digitalizácia sú dôležitými faktormi, ktoré ovplyvňujú podnikateľské prostredie a kvalitu života.</w:t>
      </w:r>
      <w:r w:rsidRPr="00E836C5">
        <w:rPr>
          <w:rFonts w:ascii="Times New Roman" w:eastAsia="Times New Roman" w:hAnsi="Times New Roman" w:cs="Times New Roman"/>
          <w:sz w:val="24"/>
          <w:szCs w:val="24"/>
          <w:lang w:eastAsia="en-GB"/>
        </w:rPr>
        <w:t xml:space="preserve"> </w:t>
      </w:r>
      <w:r w:rsidRPr="00E836C5">
        <w:rPr>
          <w:rFonts w:ascii="Times New Roman" w:eastAsia="Calibri" w:hAnsi="Times New Roman" w:cs="Times New Roman"/>
          <w:sz w:val="24"/>
          <w:szCs w:val="24"/>
        </w:rPr>
        <w:t xml:space="preserve">Zavedením efektívnych nástrojov a elektronických služieb vo verejnej správe, vytvorením predpokladov pre digitálnu transformáciu priemyslu a ďalších podnikov a tiež podporou digitálneho ekosystému sa podporí hospodársky rast a vytváranie nových pracovných miest v odvetviach, ktoré budú menej citlivé na prebiehajúcu digitalizáciu ovplyvňujúcu trh práce, najmä v sektore informatiky a informačných technológií, ktorý má dlhodobo vysokú pridanú hodnotu.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bCs/>
          <w:iCs/>
          <w:sz w:val="24"/>
          <w:szCs w:val="24"/>
        </w:rPr>
      </w:pPr>
      <w:r w:rsidRPr="00E836C5">
        <w:rPr>
          <w:rFonts w:ascii="Times New Roman" w:eastAsia="Calibri" w:hAnsi="Times New Roman" w:cs="Times New Roman"/>
          <w:sz w:val="24"/>
          <w:szCs w:val="24"/>
        </w:rPr>
        <w:t xml:space="preserve">Zníženie regulačného zaťaženia podnikania, prostredníctvom </w:t>
      </w:r>
      <w:r w:rsidRPr="00E836C5">
        <w:rPr>
          <w:rFonts w:ascii="Times New Roman" w:eastAsia="Calibri" w:hAnsi="Times New Roman" w:cs="Times New Roman"/>
          <w:bCs/>
          <w:iCs/>
          <w:sz w:val="24"/>
          <w:szCs w:val="24"/>
        </w:rPr>
        <w:t>ex-post hodnotenia účelnosti regulácií a pravidelného prijímania antibyrokratických balíkov prispeje k celkovému zlepšeniu podnikateľského prostredia.</w:t>
      </w:r>
    </w:p>
    <w:p w:rsidR="00AA17E3" w:rsidRPr="00E836C5" w:rsidRDefault="00AA17E3" w:rsidP="00AA17E3">
      <w:pPr>
        <w:spacing w:after="0" w:line="240" w:lineRule="auto"/>
        <w:jc w:val="both"/>
        <w:rPr>
          <w:rFonts w:ascii="Times New Roman" w:eastAsia="Times New Roman" w:hAnsi="Times New Roman" w:cs="Times New Roman"/>
          <w:sz w:val="24"/>
          <w:szCs w:val="24"/>
          <w:lang w:eastAsia="en-GB"/>
        </w:rPr>
      </w:pPr>
      <w:r w:rsidRPr="00E836C5">
        <w:rPr>
          <w:rFonts w:ascii="Times New Roman" w:eastAsia="Calibri" w:hAnsi="Times New Roman" w:cs="Times New Roman"/>
          <w:bCs/>
          <w:iCs/>
          <w:sz w:val="24"/>
          <w:szCs w:val="24"/>
        </w:rPr>
        <w:t xml:space="preserve"> </w:t>
      </w: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bCs/>
          <w:sz w:val="24"/>
          <w:szCs w:val="24"/>
        </w:rPr>
        <w:t>Vyššia transparentnosť procesov vo verejnej správe, boj proti korupcii</w:t>
      </w:r>
      <w:r w:rsidR="004E46D3">
        <w:rPr>
          <w:rFonts w:ascii="Times New Roman" w:eastAsia="Calibri" w:hAnsi="Times New Roman" w:cs="Times New Roman"/>
          <w:bCs/>
          <w:sz w:val="24"/>
          <w:szCs w:val="24"/>
        </w:rPr>
        <w:t>, kvalitnejšie verejné služby a</w:t>
      </w:r>
      <w:r w:rsidRPr="00E836C5">
        <w:rPr>
          <w:rFonts w:ascii="Times New Roman" w:eastAsia="Calibri" w:hAnsi="Times New Roman" w:cs="Times New Roman"/>
          <w:bCs/>
          <w:sz w:val="24"/>
          <w:szCs w:val="24"/>
        </w:rPr>
        <w:t xml:space="preserve"> znižovanie byrokracie umožnia znížiť náklady podnikateľského sektora, čo povedie k zvýšeniu produktivity a konkurencieschopnosti slovenských podnikov.</w:t>
      </w:r>
      <w:r w:rsidRPr="00E836C5">
        <w:rPr>
          <w:rFonts w:ascii="Times New Roman" w:eastAsia="Calibri" w:hAnsi="Times New Roman" w:cs="Times New Roman"/>
          <w:sz w:val="24"/>
          <w:szCs w:val="24"/>
        </w:rPr>
        <w:t xml:space="preserve"> Reformou verejného obstarávania sa podporí súťaživosť o verejné zákazky.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contextualSpacing/>
        <w:jc w:val="both"/>
        <w:rPr>
          <w:rFonts w:ascii="Times New Roman" w:eastAsia="Times New Roman" w:hAnsi="Times New Roman" w:cs="Times New Roman"/>
          <w:color w:val="000000"/>
          <w:sz w:val="24"/>
          <w:szCs w:val="24"/>
          <w:lang w:eastAsia="en-GB"/>
        </w:rPr>
      </w:pPr>
      <w:r w:rsidRPr="00E836C5">
        <w:rPr>
          <w:rFonts w:ascii="Times New Roman" w:eastAsia="Times New Roman" w:hAnsi="Times New Roman" w:cs="Times New Roman"/>
          <w:bCs/>
          <w:color w:val="000000"/>
          <w:sz w:val="24"/>
          <w:szCs w:val="24"/>
          <w:lang w:eastAsia="en-GB"/>
        </w:rPr>
        <w:t xml:space="preserve">Investície do nových užívateľsky prívetivých informačných systémov napomôžu modernizácii a skvalitňovaniu služieb justície, polície, hasičského a záchranného systému, čím prispejú </w:t>
      </w:r>
      <w:r w:rsidRPr="00E836C5">
        <w:rPr>
          <w:rFonts w:ascii="Times New Roman" w:eastAsia="Times New Roman" w:hAnsi="Times New Roman" w:cs="Times New Roman"/>
          <w:color w:val="000000"/>
          <w:sz w:val="24"/>
          <w:szCs w:val="24"/>
          <w:lang w:eastAsia="en-GB"/>
        </w:rPr>
        <w:t>k lepším službám verejnej správy občanom a firmám. Digitalizácia a nový transparentný procesný rámec pre priebeh likvidačných a reštrukturalizačných konaní budú priaznivo pôsobiť na rozhodnutie začať s podnikaním, prispejú k urýchleniu uzavretia určitej životnej kapitoly podnikateľa, pomôžu veriteľom získať dôveru v transparentnosť procesu a znížia výdavky.</w:t>
      </w:r>
    </w:p>
    <w:p w:rsidR="00AA17E3" w:rsidRPr="00E836C5" w:rsidRDefault="00AA17E3" w:rsidP="00AA17E3">
      <w:pPr>
        <w:spacing w:after="200" w:line="240" w:lineRule="auto"/>
        <w:contextualSpacing/>
        <w:jc w:val="both"/>
        <w:rPr>
          <w:rFonts w:ascii="Times New Roman" w:eastAsia="Times New Roman" w:hAnsi="Times New Roman" w:cs="Times New Roman"/>
          <w:color w:val="000000"/>
          <w:sz w:val="24"/>
          <w:szCs w:val="24"/>
          <w:lang w:eastAsia="en-GB"/>
        </w:rPr>
      </w:pPr>
    </w:p>
    <w:p w:rsidR="00AA17E3" w:rsidRPr="00E836C5" w:rsidRDefault="00AA17E3" w:rsidP="00AA17E3">
      <w:pPr>
        <w:spacing w:after="200" w:line="240" w:lineRule="auto"/>
        <w:contextualSpacing/>
        <w:jc w:val="both"/>
        <w:rPr>
          <w:rFonts w:ascii="Times New Roman" w:eastAsia="Times New Roman" w:hAnsi="Times New Roman" w:cs="Times New Roman"/>
          <w:sz w:val="24"/>
          <w:szCs w:val="24"/>
        </w:rPr>
      </w:pPr>
      <w:r w:rsidRPr="00E836C5">
        <w:rPr>
          <w:rFonts w:ascii="Times New Roman" w:eastAsia="Times New Roman" w:hAnsi="Times New Roman" w:cs="Times New Roman"/>
          <w:color w:val="000000"/>
          <w:sz w:val="24"/>
          <w:szCs w:val="24"/>
          <w:lang w:eastAsia="en-GB"/>
        </w:rPr>
        <w:t xml:space="preserve">Súčasťou digitalizácie verejnej správy implementovanej v rokoch 2022 - 2024 je aj </w:t>
      </w:r>
      <w:r w:rsidRPr="00E836C5">
        <w:rPr>
          <w:rFonts w:ascii="Times New Roman" w:eastAsia="Times New Roman" w:hAnsi="Times New Roman" w:cs="Times New Roman"/>
          <w:sz w:val="24"/>
          <w:szCs w:val="24"/>
        </w:rPr>
        <w:t xml:space="preserve">vytvorenie a schválenie investičného plánu prioritných životných situácií, ktoré je dostupné pre občana a podnikateľa na jednom mieste (eGovernment). Zavedením balíka legislatívnych zmien sa dosiahne budovanie nových digitálnych služieb štátu postavených na jednotnom dizajne a založených na potrebách zákazníkov. </w:t>
      </w:r>
    </w:p>
    <w:p w:rsidR="00AA17E3" w:rsidRPr="00E836C5" w:rsidRDefault="00AA17E3" w:rsidP="00AA17E3">
      <w:pPr>
        <w:spacing w:after="200" w:line="240" w:lineRule="auto"/>
        <w:contextualSpacing/>
        <w:jc w:val="both"/>
        <w:rPr>
          <w:rFonts w:ascii="Times New Roman" w:eastAsia="Times New Roman"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color w:val="000000"/>
          <w:sz w:val="24"/>
          <w:szCs w:val="24"/>
        </w:rPr>
      </w:pPr>
      <w:r w:rsidRPr="00E836C5">
        <w:rPr>
          <w:rFonts w:ascii="Times New Roman" w:eastAsia="Calibri" w:hAnsi="Times New Roman" w:cs="Times New Roman"/>
          <w:bCs/>
          <w:color w:val="000000"/>
          <w:sz w:val="24"/>
          <w:szCs w:val="24"/>
        </w:rPr>
        <w:t>Kľúčovou reformou v oblasti justície sa stane reforma a prekreslenie tzv. súdnej mapy</w:t>
      </w:r>
      <w:r w:rsidRPr="00E836C5">
        <w:rPr>
          <w:rFonts w:ascii="Times New Roman" w:eastAsia="Calibri" w:hAnsi="Times New Roman" w:cs="Times New Roman"/>
          <w:color w:val="000000"/>
          <w:sz w:val="24"/>
          <w:szCs w:val="24"/>
        </w:rPr>
        <w:t xml:space="preserve"> – rozloženie a reorganizácia súdnej sústavy v Slovenskej republike, plánovaná na začiatok roka </w:t>
      </w:r>
      <w:r w:rsidRPr="00E836C5">
        <w:rPr>
          <w:rFonts w:ascii="Times New Roman" w:eastAsia="Calibri" w:hAnsi="Times New Roman" w:cs="Times New Roman"/>
          <w:bCs/>
          <w:color w:val="000000"/>
          <w:sz w:val="24"/>
          <w:szCs w:val="24"/>
        </w:rPr>
        <w:t>2023.</w:t>
      </w:r>
      <w:r w:rsidRPr="00E836C5">
        <w:rPr>
          <w:rFonts w:ascii="Times New Roman" w:eastAsia="Calibri" w:hAnsi="Times New Roman" w:cs="Times New Roman"/>
          <w:color w:val="000000"/>
          <w:sz w:val="24"/>
          <w:szCs w:val="24"/>
        </w:rPr>
        <w:t xml:space="preserve"> </w:t>
      </w:r>
    </w:p>
    <w:p w:rsidR="00AA17E3" w:rsidRPr="00E836C5" w:rsidRDefault="00AA17E3" w:rsidP="00AA17E3">
      <w:pPr>
        <w:spacing w:after="0" w:line="240" w:lineRule="auto"/>
        <w:jc w:val="both"/>
        <w:rPr>
          <w:rFonts w:ascii="Times New Roman" w:eastAsia="Calibri" w:hAnsi="Times New Roman" w:cs="Times New Roman"/>
          <w:color w:val="000000"/>
          <w:sz w:val="24"/>
          <w:szCs w:val="24"/>
        </w:rPr>
      </w:pPr>
    </w:p>
    <w:p w:rsidR="00AA17E3" w:rsidRPr="00E836C5" w:rsidRDefault="00AA17E3" w:rsidP="00AA17E3">
      <w:pPr>
        <w:spacing w:after="0" w:line="240" w:lineRule="auto"/>
        <w:jc w:val="both"/>
        <w:rPr>
          <w:rFonts w:ascii="Times New Roman" w:eastAsia="Calibri" w:hAnsi="Times New Roman" w:cs="Times New Roman"/>
          <w:color w:val="000000"/>
          <w:sz w:val="24"/>
          <w:szCs w:val="24"/>
        </w:rPr>
      </w:pPr>
      <w:r w:rsidRPr="00E836C5">
        <w:rPr>
          <w:rFonts w:ascii="Times New Roman" w:eastAsia="Calibri" w:hAnsi="Times New Roman" w:cs="Times New Roman"/>
          <w:color w:val="000000"/>
          <w:sz w:val="24"/>
          <w:szCs w:val="24"/>
        </w:rPr>
        <w:t>S cieľom zefektívniť zásahy na ochranu života, zdravia a majetku sa prostredníctvom optimalizácie riadenia krízových situácií (COVID-19, zmeny klímy a iné hrozby veľkého rozsahu) zjednotia postupy pri riešení mimoriadnych udalostí a</w:t>
      </w:r>
      <w:r w:rsidRPr="00E836C5" w:rsidDel="00294C7C">
        <w:rPr>
          <w:rFonts w:ascii="Times New Roman" w:eastAsia="Calibri" w:hAnsi="Times New Roman" w:cs="Times New Roman"/>
          <w:color w:val="000000"/>
          <w:sz w:val="24"/>
          <w:szCs w:val="24"/>
        </w:rPr>
        <w:t xml:space="preserve"> </w:t>
      </w:r>
      <w:r w:rsidRPr="00E836C5">
        <w:rPr>
          <w:rFonts w:ascii="Times New Roman" w:eastAsia="Calibri" w:hAnsi="Times New Roman" w:cs="Times New Roman"/>
          <w:color w:val="000000"/>
          <w:sz w:val="24"/>
          <w:szCs w:val="24"/>
        </w:rPr>
        <w:t>optimálne sa rozmiestnia záchranné sily a prostriedky tak, aby zodpovedali aktuálnym potrebám.</w:t>
      </w:r>
    </w:p>
    <w:p w:rsidR="00AA17E3" w:rsidRPr="00E836C5" w:rsidRDefault="00AA17E3" w:rsidP="00AA17E3">
      <w:pPr>
        <w:spacing w:after="0" w:line="240" w:lineRule="auto"/>
        <w:jc w:val="both"/>
        <w:rPr>
          <w:rFonts w:ascii="Times New Roman" w:eastAsia="Calibri" w:hAnsi="Times New Roman" w:cs="Times New Roman"/>
          <w:color w:val="000000"/>
          <w:sz w:val="24"/>
          <w:szCs w:val="24"/>
        </w:rPr>
      </w:pPr>
    </w:p>
    <w:p w:rsidR="00AA17E3" w:rsidRDefault="00AA17E3" w:rsidP="00935574">
      <w:pPr>
        <w:spacing w:after="0" w:line="240" w:lineRule="auto"/>
        <w:jc w:val="both"/>
        <w:rPr>
          <w:rFonts w:ascii="Times New Roman" w:eastAsia="Times New Roman" w:hAnsi="Times New Roman" w:cs="Times New Roman"/>
          <w:sz w:val="24"/>
          <w:szCs w:val="24"/>
        </w:rPr>
      </w:pPr>
      <w:r w:rsidRPr="00E836C5">
        <w:rPr>
          <w:rFonts w:ascii="Times New Roman" w:eastAsia="Calibri" w:hAnsi="Times New Roman" w:cs="Times New Roman"/>
          <w:color w:val="000000"/>
          <w:sz w:val="24"/>
          <w:szCs w:val="24"/>
        </w:rPr>
        <w:t>Reformy a investície implementované v rokoch 2022 - 2024 prispievajú k naplneniu cieľov vo viacerých kľúčových oblastiach: efektívna verejná správa a poskytovanie služieb občanom, budovanie digitálnych zručností, využívanie pokročilých technológií a ich interoperabilita. Financovanie z plánu obnovy vytvára podmienky pre digitálnu transformáciu ekonomiky, zlepšovanie digitálnych zručností s prioritným zameraním na seniorov, ktorým sa budú distribuovať prispôsobené tablety s vybranými aplikáciami, ktoré im umožnia využívanie digitálnych nástrojov. </w:t>
      </w:r>
      <w:r w:rsidRPr="00E836C5">
        <w:rPr>
          <w:rFonts w:ascii="Times New Roman" w:eastAsia="Times New Roman" w:hAnsi="Times New Roman" w:cs="Times New Roman"/>
          <w:sz w:val="24"/>
          <w:szCs w:val="24"/>
        </w:rPr>
        <w:t xml:space="preserve"> </w:t>
      </w:r>
    </w:p>
    <w:p w:rsidR="00935574" w:rsidRPr="00E836C5" w:rsidRDefault="00935574" w:rsidP="00935574">
      <w:pPr>
        <w:spacing w:after="0" w:line="240" w:lineRule="auto"/>
        <w:jc w:val="both"/>
        <w:rPr>
          <w:rFonts w:ascii="Times New Roman" w:eastAsia="Times New Roman" w:hAnsi="Times New Roman" w:cs="Times New Roman"/>
          <w:sz w:val="24"/>
          <w:szCs w:val="24"/>
        </w:rPr>
      </w:pPr>
    </w:p>
    <w:p w:rsidR="00AA17E3" w:rsidRDefault="00AA17E3" w:rsidP="00935574">
      <w:pPr>
        <w:pStyle w:val="Nadpis2"/>
        <w:spacing w:before="0" w:after="0"/>
        <w:rPr>
          <w:rFonts w:ascii="Times New Roman" w:hAnsi="Times New Roman"/>
          <w:bCs w:val="0"/>
          <w:i w:val="0"/>
          <w:color w:val="5B9BD5" w:themeColor="accent1"/>
          <w:sz w:val="24"/>
          <w:szCs w:val="24"/>
        </w:rPr>
      </w:pPr>
      <w:bookmarkStart w:id="173" w:name="_Toc53084672"/>
      <w:bookmarkStart w:id="174" w:name="_Toc84528337"/>
      <w:bookmarkStart w:id="175" w:name="_Toc84684760"/>
      <w:r w:rsidRPr="006B209A">
        <w:rPr>
          <w:rFonts w:ascii="Times New Roman" w:hAnsi="Times New Roman"/>
          <w:bCs w:val="0"/>
          <w:i w:val="0"/>
          <w:color w:val="5B9BD5" w:themeColor="accent1"/>
          <w:sz w:val="24"/>
          <w:szCs w:val="24"/>
        </w:rPr>
        <w:t>4.4. Vzdelávanie, vrátane vedy, výskumu a</w:t>
      </w:r>
      <w:r w:rsidR="004F568C">
        <w:rPr>
          <w:rFonts w:ascii="Times New Roman" w:hAnsi="Times New Roman"/>
          <w:bCs w:val="0"/>
          <w:i w:val="0"/>
          <w:color w:val="5B9BD5" w:themeColor="accent1"/>
          <w:sz w:val="24"/>
          <w:szCs w:val="24"/>
        </w:rPr>
        <w:t> </w:t>
      </w:r>
      <w:r w:rsidRPr="006B209A">
        <w:rPr>
          <w:rFonts w:ascii="Times New Roman" w:hAnsi="Times New Roman"/>
          <w:bCs w:val="0"/>
          <w:i w:val="0"/>
          <w:color w:val="5B9BD5" w:themeColor="accent1"/>
          <w:sz w:val="24"/>
          <w:szCs w:val="24"/>
        </w:rPr>
        <w:t>športu</w:t>
      </w:r>
      <w:bookmarkEnd w:id="158"/>
      <w:bookmarkEnd w:id="173"/>
      <w:bookmarkEnd w:id="174"/>
      <w:bookmarkEnd w:id="175"/>
    </w:p>
    <w:p w:rsidR="004F568C" w:rsidRPr="004F568C" w:rsidRDefault="004F568C" w:rsidP="004F568C">
      <w:pPr>
        <w:spacing w:after="0"/>
        <w:rPr>
          <w:lang w:eastAsia="cs-CZ"/>
        </w:rPr>
      </w:pPr>
    </w:p>
    <w:p w:rsidR="00AA17E3" w:rsidRPr="006B209A" w:rsidRDefault="00AA17E3" w:rsidP="004F568C">
      <w:pPr>
        <w:spacing w:after="0" w:line="240" w:lineRule="auto"/>
        <w:ind w:right="-23"/>
        <w:jc w:val="both"/>
        <w:rPr>
          <w:rFonts w:ascii="Times New Roman" w:hAnsi="Times New Roman" w:cs="Times New Roman"/>
          <w:sz w:val="24"/>
          <w:szCs w:val="24"/>
        </w:rPr>
      </w:pPr>
      <w:r w:rsidRPr="006B209A">
        <w:rPr>
          <w:rFonts w:ascii="Times New Roman" w:hAnsi="Times New Roman" w:cs="Times New Roman"/>
          <w:sz w:val="24"/>
          <w:szCs w:val="24"/>
        </w:rPr>
        <w:t>Hlavným cieľom vzdelávacej politiky je umožniť žiakom bez ohľadu na ich sociálnu situáciu získať plnohodnotné vzdelanie vrátane pripravenosti na účasť v demokratickej spoločnosti, ktoré zároveň zvyšuje uplatnenie na trhu práce a prispieva k vyššej kvalite života. Podpora vedy, výskumu a inovácií v rámci vysokoškolského prostredia je nevyhnutným predpokladom efektívnej ekonomiky. V športe je cieľom podporovať šport pre všetkých ako odporúčaný spôsob aktívneho životného štýlu širokej verejnosti, najmä detí a mládeže.</w:t>
      </w:r>
    </w:p>
    <w:p w:rsidR="00AA17E3" w:rsidRPr="006B209A" w:rsidRDefault="00AA17E3" w:rsidP="00AA17E3">
      <w:pPr>
        <w:spacing w:after="0" w:line="240" w:lineRule="auto"/>
        <w:ind w:right="-23"/>
        <w:jc w:val="both"/>
        <w:rPr>
          <w:rFonts w:ascii="Times New Roman" w:hAnsi="Times New Roman" w:cs="Times New Roman"/>
          <w:sz w:val="24"/>
          <w:szCs w:val="24"/>
        </w:rPr>
      </w:pPr>
    </w:p>
    <w:p w:rsidR="004F568C" w:rsidRDefault="00AA17E3" w:rsidP="00AA17E3">
      <w:pPr>
        <w:spacing w:after="0" w:line="240" w:lineRule="auto"/>
        <w:ind w:right="-23"/>
        <w:jc w:val="both"/>
        <w:rPr>
          <w:rFonts w:ascii="Times New Roman" w:hAnsi="Times New Roman" w:cs="Times New Roman"/>
          <w:sz w:val="24"/>
          <w:szCs w:val="24"/>
        </w:rPr>
      </w:pPr>
      <w:bookmarkStart w:id="176" w:name="_Toc53046651"/>
      <w:bookmarkStart w:id="177" w:name="_Toc53054875"/>
      <w:bookmarkStart w:id="178" w:name="_Toc53077951"/>
      <w:bookmarkStart w:id="179" w:name="_Toc53086284"/>
      <w:r w:rsidRPr="006B209A">
        <w:rPr>
          <w:rFonts w:ascii="Times New Roman" w:hAnsi="Times New Roman" w:cs="Times New Roman"/>
          <w:sz w:val="24"/>
          <w:szCs w:val="24"/>
        </w:rPr>
        <w:t>V porovnaní s krajinami EÚ sú verejné zdroje vynakladané na vzdelávanie, vedu a šport podpriemerné. Výdavky na vzdelávanie, vedu, výskum a šport patria stále medzi najnižšie v EÚ ako podiel na HDP a aj ako podiel na celkových verejných výdavkoch. Porovnanie výdavkov však neodhaľuje efektívnosť vynaložených prostriedkov. Ďalšie zvyšovanie zdrojov do vzdelávania by malo byť preto sprevádzané dôslednou kontrolou nákladovej efektívnosti.</w:t>
      </w:r>
    </w:p>
    <w:p w:rsidR="004F568C" w:rsidRDefault="004F568C" w:rsidP="00AA17E3">
      <w:pPr>
        <w:spacing w:after="0" w:line="240" w:lineRule="auto"/>
        <w:ind w:right="-23"/>
        <w:jc w:val="both"/>
        <w:rPr>
          <w:rFonts w:ascii="Times New Roman" w:hAnsi="Times New Roman" w:cs="Times New Roman"/>
          <w:sz w:val="24"/>
          <w:szCs w:val="24"/>
        </w:rPr>
      </w:pPr>
    </w:p>
    <w:p w:rsidR="004F568C" w:rsidRDefault="004F568C" w:rsidP="00AA17E3">
      <w:pPr>
        <w:spacing w:after="0" w:line="240" w:lineRule="auto"/>
        <w:ind w:right="-23"/>
        <w:jc w:val="both"/>
        <w:rPr>
          <w:rFonts w:ascii="Times New Roman" w:hAnsi="Times New Roman" w:cs="Times New Roman"/>
          <w:sz w:val="24"/>
          <w:szCs w:val="24"/>
        </w:rPr>
      </w:pPr>
    </w:p>
    <w:p w:rsidR="004F568C" w:rsidRDefault="004F568C" w:rsidP="00AA17E3">
      <w:pPr>
        <w:spacing w:after="0" w:line="240" w:lineRule="auto"/>
        <w:ind w:right="-23"/>
        <w:jc w:val="both"/>
        <w:rPr>
          <w:rFonts w:ascii="Times New Roman" w:hAnsi="Times New Roman" w:cs="Times New Roman"/>
          <w:sz w:val="24"/>
          <w:szCs w:val="24"/>
        </w:rPr>
      </w:pPr>
    </w:p>
    <w:p w:rsidR="004F568C" w:rsidRDefault="004F568C" w:rsidP="00AA17E3">
      <w:pPr>
        <w:spacing w:after="0" w:line="240" w:lineRule="auto"/>
        <w:ind w:right="-23"/>
        <w:jc w:val="both"/>
        <w:rPr>
          <w:rFonts w:ascii="Times New Roman" w:hAnsi="Times New Roman" w:cs="Times New Roman"/>
          <w:sz w:val="24"/>
          <w:szCs w:val="24"/>
        </w:rPr>
      </w:pPr>
    </w:p>
    <w:p w:rsidR="00AA17E3" w:rsidRDefault="00AA17E3" w:rsidP="00AA17E3">
      <w:pPr>
        <w:spacing w:after="0" w:line="240" w:lineRule="auto"/>
        <w:ind w:right="-23"/>
        <w:jc w:val="both"/>
        <w:rPr>
          <w:rFonts w:ascii="Times New Roman" w:hAnsi="Times New Roman" w:cs="Times New Roman"/>
          <w:sz w:val="24"/>
          <w:szCs w:val="24"/>
        </w:rPr>
      </w:pPr>
      <w:r w:rsidRPr="006B209A">
        <w:rPr>
          <w:rFonts w:ascii="Times New Roman" w:hAnsi="Times New Roman" w:cs="Times New Roman"/>
          <w:sz w:val="24"/>
          <w:szCs w:val="24"/>
        </w:rPr>
        <w:t xml:space="preserve"> </w:t>
      </w:r>
    </w:p>
    <w:p w:rsidR="00FA7DE1" w:rsidRDefault="00FA7DE1" w:rsidP="00AA17E3">
      <w:pPr>
        <w:spacing w:after="0" w:line="240" w:lineRule="auto"/>
        <w:ind w:right="-23"/>
        <w:jc w:val="both"/>
        <w:rPr>
          <w:rFonts w:ascii="Times New Roman" w:hAnsi="Times New Roman" w:cs="Times New Roman"/>
          <w:sz w:val="24"/>
          <w:szCs w:val="24"/>
        </w:rPr>
      </w:pPr>
    </w:p>
    <w:p w:rsidR="00FA7DE1" w:rsidRDefault="00FA7DE1" w:rsidP="00AA17E3">
      <w:pPr>
        <w:spacing w:after="0" w:line="240" w:lineRule="auto"/>
        <w:ind w:right="-23"/>
        <w:jc w:val="both"/>
        <w:rPr>
          <w:rFonts w:ascii="Times New Roman" w:hAnsi="Times New Roman" w:cs="Times New Roman"/>
          <w:sz w:val="24"/>
          <w:szCs w:val="24"/>
        </w:rPr>
      </w:pPr>
    </w:p>
    <w:p w:rsidR="00FA7DE1" w:rsidRPr="006B209A" w:rsidRDefault="00FA7DE1" w:rsidP="00AA17E3">
      <w:pPr>
        <w:spacing w:after="0" w:line="240" w:lineRule="auto"/>
        <w:ind w:right="-23"/>
        <w:jc w:val="both"/>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180" w:name="_Toc84528522"/>
      <w:bookmarkStart w:id="181" w:name="_Toc84848013"/>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22</w:t>
      </w:r>
      <w:r w:rsidRPr="006B209A">
        <w:rPr>
          <w:rFonts w:ascii="Times New Roman" w:hAnsi="Times New Roman" w:cs="Times New Roman"/>
          <w:b/>
          <w:iCs/>
          <w:color w:val="5B9BD5" w:themeColor="accent1"/>
          <w:sz w:val="20"/>
          <w:szCs w:val="20"/>
        </w:rPr>
        <w:fldChar w:fldCharType="end"/>
      </w:r>
      <w:r w:rsidR="00804037">
        <w:rPr>
          <w:rFonts w:ascii="Times New Roman" w:hAnsi="Times New Roman" w:cs="Times New Roman"/>
          <w:b/>
          <w:iCs/>
          <w:color w:val="5B9BD5" w:themeColor="accent1"/>
          <w:sz w:val="20"/>
          <w:szCs w:val="20"/>
        </w:rPr>
        <w:t xml:space="preserve"> -</w:t>
      </w:r>
      <w:r w:rsidRPr="006B209A">
        <w:rPr>
          <w:rFonts w:ascii="Times New Roman" w:hAnsi="Times New Roman" w:cs="Times New Roman"/>
          <w:b/>
          <w:iCs/>
          <w:color w:val="5B9BD5" w:themeColor="accent1"/>
          <w:sz w:val="20"/>
          <w:szCs w:val="20"/>
        </w:rPr>
        <w:t xml:space="preserve"> Výdavky na vzdelávanie, vedu, výskum a šport</w:t>
      </w:r>
      <w:bookmarkEnd w:id="176"/>
      <w:bookmarkEnd w:id="177"/>
      <w:bookmarkEnd w:id="178"/>
      <w:bookmarkEnd w:id="179"/>
      <w:bookmarkEnd w:id="180"/>
      <w:bookmarkEnd w:id="181"/>
    </w:p>
    <w:tbl>
      <w:tblPr>
        <w:tblW w:w="9069" w:type="dxa"/>
        <w:tblBorders>
          <w:top w:val="single" w:sz="4" w:space="0" w:color="auto"/>
        </w:tblBorders>
        <w:tblLayout w:type="fixed"/>
        <w:tblLook w:val="04A0" w:firstRow="1" w:lastRow="0" w:firstColumn="1" w:lastColumn="0" w:noHBand="0" w:noVBand="1"/>
      </w:tblPr>
      <w:tblGrid>
        <w:gridCol w:w="4253"/>
        <w:gridCol w:w="114"/>
        <w:gridCol w:w="160"/>
        <w:gridCol w:w="26"/>
        <w:gridCol w:w="50"/>
        <w:gridCol w:w="4390"/>
        <w:gridCol w:w="70"/>
        <w:gridCol w:w="6"/>
      </w:tblGrid>
      <w:tr w:rsidR="001505F4" w:rsidRPr="00FA4CB6" w:rsidTr="00011315">
        <w:trPr>
          <w:gridAfter w:val="1"/>
          <w:wAfter w:w="6" w:type="dxa"/>
          <w:trHeight w:val="291"/>
        </w:trPr>
        <w:tc>
          <w:tcPr>
            <w:tcW w:w="4253" w:type="dxa"/>
          </w:tcPr>
          <w:p w:rsidR="001505F4" w:rsidRPr="00FA4CB6" w:rsidRDefault="001505F4" w:rsidP="00011315">
            <w:pPr>
              <w:spacing w:after="0" w:line="240" w:lineRule="auto"/>
              <w:rPr>
                <w:rFonts w:ascii="Times New Roman" w:hAnsi="Times New Roman" w:cs="Times New Roman"/>
                <w:b/>
                <w:bCs/>
                <w:sz w:val="20"/>
                <w:szCs w:val="20"/>
                <w:lang w:eastAsia="sk-SK"/>
              </w:rPr>
            </w:pPr>
            <w:r w:rsidRPr="00FA4CB6">
              <w:rPr>
                <w:rFonts w:ascii="Times New Roman" w:hAnsi="Times New Roman" w:cs="Times New Roman"/>
                <w:b/>
                <w:bCs/>
                <w:sz w:val="20"/>
                <w:szCs w:val="20"/>
                <w:lang w:eastAsia="sk-SK"/>
              </w:rPr>
              <w:t xml:space="preserve">Výdavky na vzdelávanie, vedu, výskum a šport </w:t>
            </w:r>
            <w:r>
              <w:rPr>
                <w:rFonts w:ascii="Times New Roman" w:hAnsi="Times New Roman" w:cs="Times New Roman"/>
                <w:b/>
                <w:bCs/>
                <w:sz w:val="20"/>
                <w:szCs w:val="20"/>
                <w:lang w:eastAsia="sk-SK"/>
              </w:rPr>
              <w:t xml:space="preserve">  </w:t>
            </w:r>
            <w:r w:rsidRPr="00FA4CB6">
              <w:rPr>
                <w:rFonts w:ascii="Times New Roman" w:hAnsi="Times New Roman" w:cs="Times New Roman"/>
                <w:b/>
                <w:bCs/>
                <w:sz w:val="20"/>
                <w:szCs w:val="20"/>
                <w:lang w:eastAsia="sk-SK"/>
              </w:rPr>
              <w:t>(COFOG, % verejných výdavkov; 201</w:t>
            </w:r>
            <w:r>
              <w:rPr>
                <w:rFonts w:ascii="Times New Roman" w:hAnsi="Times New Roman" w:cs="Times New Roman"/>
                <w:b/>
                <w:bCs/>
                <w:sz w:val="20"/>
                <w:szCs w:val="20"/>
                <w:lang w:eastAsia="sk-SK"/>
              </w:rPr>
              <w:t>9</w:t>
            </w:r>
            <w:r w:rsidRPr="00FA4CB6">
              <w:rPr>
                <w:rFonts w:ascii="Times New Roman" w:hAnsi="Times New Roman" w:cs="Times New Roman"/>
                <w:b/>
                <w:bCs/>
                <w:sz w:val="20"/>
                <w:szCs w:val="20"/>
                <w:lang w:eastAsia="sk-SK"/>
              </w:rPr>
              <w:t>)</w:t>
            </w:r>
          </w:p>
        </w:tc>
        <w:tc>
          <w:tcPr>
            <w:tcW w:w="300" w:type="dxa"/>
            <w:gridSpan w:val="3"/>
          </w:tcPr>
          <w:p w:rsidR="001505F4" w:rsidRPr="00FA4CB6" w:rsidRDefault="001505F4" w:rsidP="00011315">
            <w:pPr>
              <w:spacing w:after="0" w:line="240" w:lineRule="auto"/>
              <w:jc w:val="center"/>
              <w:rPr>
                <w:rFonts w:ascii="Times New Roman" w:eastAsia="Calibri" w:hAnsi="Times New Roman" w:cs="Times New Roman"/>
                <w:b/>
                <w:iCs/>
                <w:sz w:val="20"/>
                <w:szCs w:val="20"/>
              </w:rPr>
            </w:pPr>
          </w:p>
        </w:tc>
        <w:tc>
          <w:tcPr>
            <w:tcW w:w="4510" w:type="dxa"/>
            <w:gridSpan w:val="3"/>
          </w:tcPr>
          <w:p w:rsidR="001505F4" w:rsidRPr="00FA4CB6" w:rsidRDefault="001505F4" w:rsidP="00011315">
            <w:pPr>
              <w:spacing w:after="0" w:line="240" w:lineRule="auto"/>
              <w:rPr>
                <w:rFonts w:ascii="Times New Roman" w:eastAsia="Calibri" w:hAnsi="Times New Roman" w:cs="Times New Roman"/>
                <w:b/>
                <w:iCs/>
                <w:sz w:val="20"/>
                <w:szCs w:val="20"/>
              </w:rPr>
            </w:pPr>
            <w:r w:rsidRPr="00672118">
              <w:rPr>
                <w:rFonts w:ascii="Times New Roman" w:eastAsia="Calibri" w:hAnsi="Times New Roman" w:cs="Times New Roman"/>
                <w:b/>
                <w:iCs/>
                <w:sz w:val="20"/>
                <w:szCs w:val="20"/>
              </w:rPr>
              <w:t>Výdavky na vzdelávanie (COFOG</w:t>
            </w:r>
            <w:r w:rsidRPr="00672118">
              <w:rPr>
                <w:rFonts w:ascii="Times New Roman" w:eastAsia="Calibri" w:hAnsi="Times New Roman" w:cs="Times New Roman"/>
                <w:b/>
                <w:iCs/>
                <w:sz w:val="20"/>
                <w:szCs w:val="20"/>
                <w:vertAlign w:val="superscript"/>
              </w:rPr>
              <w:footnoteReference w:id="35"/>
            </w:r>
            <w:r w:rsidRPr="00672118">
              <w:rPr>
                <w:rFonts w:ascii="Times New Roman" w:eastAsia="Calibri" w:hAnsi="Times New Roman" w:cs="Times New Roman"/>
                <w:b/>
                <w:iCs/>
                <w:sz w:val="20"/>
                <w:szCs w:val="20"/>
              </w:rPr>
              <w:t>, % ver. výd, 2015-2019, odh</w:t>
            </w:r>
            <w:r>
              <w:rPr>
                <w:rFonts w:ascii="Times New Roman" w:eastAsia="Calibri" w:hAnsi="Times New Roman" w:cs="Times New Roman"/>
                <w:b/>
                <w:iCs/>
                <w:sz w:val="20"/>
                <w:szCs w:val="20"/>
              </w:rPr>
              <w:t>ad 2020-2021, rozpočet 2022-2024</w:t>
            </w:r>
          </w:p>
        </w:tc>
      </w:tr>
      <w:tr w:rsidR="001505F4" w:rsidRPr="001C38C8" w:rsidTr="00011315">
        <w:tblPrEx>
          <w:tblBorders>
            <w:top w:val="none" w:sz="0" w:space="0" w:color="auto"/>
          </w:tblBorders>
          <w:tblCellMar>
            <w:left w:w="70" w:type="dxa"/>
            <w:right w:w="70" w:type="dxa"/>
          </w:tblCellMar>
        </w:tblPrEx>
        <w:trPr>
          <w:gridAfter w:val="2"/>
          <w:wAfter w:w="76" w:type="dxa"/>
        </w:trPr>
        <w:tc>
          <w:tcPr>
            <w:tcW w:w="4367" w:type="dxa"/>
            <w:gridSpan w:val="2"/>
            <w:tcBorders>
              <w:top w:val="single" w:sz="4" w:space="0" w:color="auto"/>
              <w:left w:val="nil"/>
              <w:bottom w:val="single" w:sz="4" w:space="0" w:color="auto"/>
              <w:right w:val="nil"/>
            </w:tcBorders>
            <w:hideMark/>
          </w:tcPr>
          <w:p w:rsidR="001505F4" w:rsidRPr="00A9300A" w:rsidRDefault="001505F4" w:rsidP="00011315">
            <w:pPr>
              <w:spacing w:after="0"/>
              <w:jc w:val="right"/>
              <w:rPr>
                <w:rFonts w:ascii="Times New Roman" w:hAnsi="Times New Roman"/>
                <w:i/>
                <w:sz w:val="16"/>
              </w:rPr>
            </w:pPr>
            <w:r>
              <w:rPr>
                <w:noProof/>
                <w:lang w:eastAsia="sk-SK"/>
              </w:rPr>
              <w:drawing>
                <wp:inline distT="0" distB="0" distL="0" distR="0" wp14:anchorId="0F972604" wp14:editId="349A1948">
                  <wp:extent cx="2809875" cy="2409825"/>
                  <wp:effectExtent l="0" t="0" r="0" b="0"/>
                  <wp:docPr id="225" name="Graf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60" w:type="dxa"/>
            <w:tcBorders>
              <w:top w:val="single" w:sz="4" w:space="0" w:color="auto"/>
              <w:left w:val="nil"/>
              <w:bottom w:val="single" w:sz="4" w:space="0" w:color="auto"/>
              <w:right w:val="nil"/>
            </w:tcBorders>
          </w:tcPr>
          <w:p w:rsidR="001505F4" w:rsidRPr="00AC3DF3" w:rsidRDefault="001505F4" w:rsidP="00011315">
            <w:pPr>
              <w:spacing w:after="0"/>
              <w:jc w:val="right"/>
              <w:rPr>
                <w:rFonts w:ascii="Times New Roman" w:hAnsi="Times New Roman"/>
                <w:i/>
                <w:sz w:val="16"/>
                <w:highlight w:val="yellow"/>
              </w:rPr>
            </w:pPr>
          </w:p>
        </w:tc>
        <w:tc>
          <w:tcPr>
            <w:tcW w:w="4466" w:type="dxa"/>
            <w:gridSpan w:val="3"/>
            <w:tcBorders>
              <w:top w:val="single" w:sz="4" w:space="0" w:color="auto"/>
              <w:left w:val="nil"/>
              <w:bottom w:val="single" w:sz="4" w:space="0" w:color="auto"/>
              <w:right w:val="nil"/>
            </w:tcBorders>
          </w:tcPr>
          <w:p w:rsidR="001505F4" w:rsidRDefault="001505F4" w:rsidP="00011315">
            <w:pPr>
              <w:spacing w:after="0"/>
              <w:jc w:val="right"/>
              <w:rPr>
                <w:rFonts w:ascii="Times New Roman" w:hAnsi="Times New Roman"/>
                <w:i/>
                <w:sz w:val="16"/>
              </w:rPr>
            </w:pPr>
          </w:p>
          <w:p w:rsidR="001505F4" w:rsidRPr="001C38C8" w:rsidRDefault="001505F4" w:rsidP="00011315">
            <w:pPr>
              <w:spacing w:after="0"/>
              <w:jc w:val="right"/>
              <w:rPr>
                <w:rFonts w:ascii="Times New Roman" w:hAnsi="Times New Roman"/>
                <w:i/>
                <w:sz w:val="16"/>
              </w:rPr>
            </w:pPr>
            <w:r>
              <w:rPr>
                <w:noProof/>
                <w:lang w:eastAsia="sk-SK"/>
              </w:rPr>
              <w:drawing>
                <wp:inline distT="0" distB="0" distL="0" distR="0" wp14:anchorId="16C8B0FB" wp14:editId="2C3A4E26">
                  <wp:extent cx="2876550" cy="2286000"/>
                  <wp:effectExtent l="0" t="0" r="0" b="0"/>
                  <wp:docPr id="226" name="Graf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505F4" w:rsidRPr="001C38C8" w:rsidTr="00011315">
        <w:tblPrEx>
          <w:tblBorders>
            <w:top w:val="none" w:sz="0" w:space="0" w:color="auto"/>
          </w:tblBorders>
        </w:tblPrEx>
        <w:tc>
          <w:tcPr>
            <w:tcW w:w="4367" w:type="dxa"/>
            <w:gridSpan w:val="2"/>
            <w:tcBorders>
              <w:top w:val="single" w:sz="4" w:space="0" w:color="auto"/>
              <w:left w:val="nil"/>
              <w:bottom w:val="nil"/>
              <w:right w:val="nil"/>
            </w:tcBorders>
          </w:tcPr>
          <w:p w:rsidR="001505F4" w:rsidRPr="00E44110" w:rsidRDefault="001505F4" w:rsidP="00F23BFD">
            <w:pPr>
              <w:spacing w:after="0"/>
              <w:jc w:val="right"/>
            </w:pPr>
            <w:r w:rsidRPr="00A9300A">
              <w:rPr>
                <w:rFonts w:ascii="Times New Roman" w:hAnsi="Times New Roman"/>
                <w:i/>
                <w:sz w:val="16"/>
              </w:rPr>
              <w:t>Zdroj: Eurostat</w:t>
            </w:r>
          </w:p>
        </w:tc>
        <w:tc>
          <w:tcPr>
            <w:tcW w:w="236" w:type="dxa"/>
            <w:gridSpan w:val="3"/>
            <w:tcBorders>
              <w:top w:val="single" w:sz="4" w:space="0" w:color="auto"/>
              <w:left w:val="nil"/>
              <w:bottom w:val="nil"/>
              <w:right w:val="nil"/>
            </w:tcBorders>
          </w:tcPr>
          <w:p w:rsidR="001505F4" w:rsidRPr="00AC3DF3" w:rsidRDefault="001505F4" w:rsidP="00F23BFD">
            <w:pPr>
              <w:spacing w:after="0"/>
              <w:jc w:val="right"/>
              <w:rPr>
                <w:rFonts w:ascii="Times New Roman" w:hAnsi="Times New Roman"/>
                <w:i/>
                <w:sz w:val="16"/>
                <w:highlight w:val="yellow"/>
              </w:rPr>
            </w:pPr>
          </w:p>
        </w:tc>
        <w:tc>
          <w:tcPr>
            <w:tcW w:w="4466" w:type="dxa"/>
            <w:gridSpan w:val="3"/>
            <w:tcBorders>
              <w:top w:val="single" w:sz="4" w:space="0" w:color="auto"/>
              <w:left w:val="nil"/>
              <w:bottom w:val="nil"/>
              <w:right w:val="nil"/>
            </w:tcBorders>
          </w:tcPr>
          <w:p w:rsidR="001505F4" w:rsidRDefault="001505F4" w:rsidP="00F23BFD">
            <w:pPr>
              <w:spacing w:after="0"/>
              <w:jc w:val="right"/>
              <w:rPr>
                <w:rFonts w:ascii="Times New Roman" w:hAnsi="Times New Roman"/>
                <w:i/>
                <w:sz w:val="16"/>
              </w:rPr>
            </w:pPr>
            <w:r w:rsidRPr="001C38C8">
              <w:rPr>
                <w:rFonts w:ascii="Times New Roman" w:hAnsi="Times New Roman"/>
                <w:i/>
                <w:sz w:val="16"/>
              </w:rPr>
              <w:t>Zdroj: Eurostat, MF SR</w:t>
            </w:r>
          </w:p>
        </w:tc>
      </w:tr>
    </w:tbl>
    <w:p w:rsidR="00F23BFD" w:rsidRDefault="00F23BFD" w:rsidP="00F23BFD">
      <w:pPr>
        <w:spacing w:after="0" w:line="240" w:lineRule="auto"/>
        <w:ind w:right="-23"/>
        <w:jc w:val="both"/>
        <w:rPr>
          <w:rFonts w:ascii="Times New Roman" w:hAnsi="Times New Roman" w:cs="Times New Roman"/>
          <w:sz w:val="24"/>
        </w:rPr>
      </w:pPr>
    </w:p>
    <w:p w:rsidR="00AA17E3" w:rsidRPr="006B209A" w:rsidRDefault="00AA17E3" w:rsidP="00F23BFD">
      <w:pPr>
        <w:spacing w:after="0" w:line="240" w:lineRule="auto"/>
        <w:ind w:right="-23"/>
        <w:jc w:val="both"/>
        <w:rPr>
          <w:rFonts w:ascii="Times New Roman" w:hAnsi="Times New Roman" w:cs="Times New Roman"/>
          <w:sz w:val="24"/>
        </w:rPr>
      </w:pPr>
      <w:r w:rsidRPr="006B209A">
        <w:rPr>
          <w:rFonts w:ascii="Times New Roman" w:hAnsi="Times New Roman" w:cs="Times New Roman"/>
          <w:sz w:val="24"/>
        </w:rPr>
        <w:t xml:space="preserve">Výdavky na žiaka sú nižšie ako v krajinách OECD, pri porovnaní s V3 sú vyššie na primárnom stupni (prvý stupeň ZŠ) a na vysokých školách, nižšie na sekundárnom stupni. Výdavky sú merané metodikou OECD, ktorá zahŕňa všetky výdavky súvisiace so vzdelávaním na danom stupni (teda aj ubytovanie, stravu či dopravu študentov, pokiaľ tieto služby zabezpečuje škola). Vyššie výdavky oproti krajinám V3 môžu naznačovať neefektivitu v  systéme - príkladom môže byť nadmerný počet škôl v sieti ZŠ. </w:t>
      </w:r>
    </w:p>
    <w:p w:rsidR="00AA17E3" w:rsidRPr="006B209A" w:rsidRDefault="00AA17E3" w:rsidP="00AA17E3">
      <w:pPr>
        <w:spacing w:after="0" w:line="240" w:lineRule="auto"/>
        <w:ind w:right="-23"/>
        <w:jc w:val="both"/>
        <w:rPr>
          <w:rFonts w:ascii="Times New Roman" w:hAnsi="Times New Roman" w:cs="Times New Roman"/>
          <w:sz w:val="24"/>
        </w:rPr>
      </w:pPr>
    </w:p>
    <w:p w:rsidR="00AA17E3" w:rsidRPr="006B209A" w:rsidRDefault="00AA17E3" w:rsidP="00AA17E3">
      <w:pPr>
        <w:keepNext/>
        <w:spacing w:after="0" w:line="240" w:lineRule="auto"/>
        <w:rPr>
          <w:i/>
          <w:iCs/>
          <w:color w:val="44546A" w:themeColor="text2"/>
          <w:sz w:val="18"/>
          <w:szCs w:val="18"/>
        </w:rPr>
      </w:pPr>
      <w:bookmarkStart w:id="182" w:name="_Toc84528523"/>
      <w:bookmarkStart w:id="183" w:name="_Toc84848014"/>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23</w:t>
      </w:r>
      <w:r w:rsidRPr="006B209A">
        <w:rPr>
          <w:rFonts w:ascii="Times New Roman" w:hAnsi="Times New Roman" w:cs="Times New Roman"/>
          <w:b/>
          <w:iCs/>
          <w:color w:val="5B9BD5" w:themeColor="accent1"/>
          <w:sz w:val="20"/>
          <w:szCs w:val="20"/>
        </w:rPr>
        <w:fldChar w:fldCharType="end"/>
      </w:r>
      <w:r w:rsidR="00804037">
        <w:rPr>
          <w:rFonts w:ascii="Times New Roman" w:hAnsi="Times New Roman" w:cs="Times New Roman"/>
          <w:b/>
          <w:iCs/>
          <w:color w:val="5B9BD5" w:themeColor="accent1"/>
          <w:sz w:val="20"/>
          <w:szCs w:val="20"/>
        </w:rPr>
        <w:t xml:space="preserve"> -</w:t>
      </w:r>
      <w:r w:rsidRPr="006B209A">
        <w:rPr>
          <w:rFonts w:ascii="Times New Roman" w:hAnsi="Times New Roman" w:cs="Times New Roman"/>
          <w:b/>
          <w:iCs/>
          <w:color w:val="5B9BD5" w:themeColor="accent1"/>
          <w:sz w:val="20"/>
          <w:szCs w:val="20"/>
        </w:rPr>
        <w:t xml:space="preserve"> Ročné výdavky na študenta (v tis. PPP USD, 2018)</w:t>
      </w:r>
      <w:bookmarkEnd w:id="182"/>
      <w:bookmarkEnd w:id="183"/>
    </w:p>
    <w:tbl>
      <w:tblPr>
        <w:tblW w:w="9023" w:type="dxa"/>
        <w:tblBorders>
          <w:top w:val="single" w:sz="4" w:space="0" w:color="auto"/>
        </w:tblBorders>
        <w:tblLayout w:type="fixed"/>
        <w:tblLook w:val="04A0" w:firstRow="1" w:lastRow="0" w:firstColumn="1" w:lastColumn="0" w:noHBand="0" w:noVBand="1"/>
      </w:tblPr>
      <w:tblGrid>
        <w:gridCol w:w="4375"/>
        <w:gridCol w:w="273"/>
        <w:gridCol w:w="4375"/>
      </w:tblGrid>
      <w:tr w:rsidR="00AA17E3" w:rsidRPr="006B209A" w:rsidTr="00AA17E3">
        <w:trPr>
          <w:trHeight w:val="273"/>
        </w:trPr>
        <w:tc>
          <w:tcPr>
            <w:tcW w:w="4375" w:type="dxa"/>
          </w:tcPr>
          <w:p w:rsidR="00AA17E3" w:rsidRPr="006B209A" w:rsidRDefault="00AA17E3" w:rsidP="00AA17E3">
            <w:pPr>
              <w:spacing w:after="0" w:line="240" w:lineRule="auto"/>
              <w:jc w:val="center"/>
              <w:rPr>
                <w:rFonts w:ascii="Times New Roman" w:hAnsi="Times New Roman" w:cs="Times New Roman"/>
                <w:bCs/>
                <w:sz w:val="20"/>
                <w:szCs w:val="20"/>
                <w:lang w:eastAsia="sk-SK"/>
              </w:rPr>
            </w:pPr>
            <w:r w:rsidRPr="006B209A">
              <w:rPr>
                <w:rFonts w:ascii="Times New Roman" w:hAnsi="Times New Roman" w:cs="Times New Roman"/>
                <w:bCs/>
                <w:sz w:val="20"/>
                <w:szCs w:val="20"/>
                <w:lang w:eastAsia="sk-SK"/>
              </w:rPr>
              <w:t>Primárne a sekundárne vzdelávanie</w:t>
            </w:r>
          </w:p>
        </w:tc>
        <w:tc>
          <w:tcPr>
            <w:tcW w:w="273" w:type="dxa"/>
          </w:tcPr>
          <w:p w:rsidR="00AA17E3" w:rsidRPr="006B209A" w:rsidRDefault="00AA17E3" w:rsidP="00AA17E3">
            <w:pPr>
              <w:spacing w:after="0" w:line="240" w:lineRule="auto"/>
              <w:jc w:val="center"/>
              <w:rPr>
                <w:rFonts w:ascii="Times New Roman" w:eastAsia="Calibri" w:hAnsi="Times New Roman" w:cs="Times New Roman"/>
                <w:iCs/>
                <w:sz w:val="20"/>
                <w:szCs w:val="20"/>
              </w:rPr>
            </w:pPr>
          </w:p>
        </w:tc>
        <w:tc>
          <w:tcPr>
            <w:tcW w:w="4375" w:type="dxa"/>
          </w:tcPr>
          <w:p w:rsidR="00AA17E3" w:rsidRPr="006B209A" w:rsidRDefault="00AA17E3" w:rsidP="00AA17E3">
            <w:pPr>
              <w:spacing w:after="0" w:line="240" w:lineRule="auto"/>
              <w:jc w:val="center"/>
              <w:rPr>
                <w:rFonts w:ascii="Times New Roman" w:eastAsia="Calibri" w:hAnsi="Times New Roman" w:cs="Times New Roman"/>
                <w:iCs/>
                <w:sz w:val="20"/>
                <w:szCs w:val="20"/>
              </w:rPr>
            </w:pPr>
            <w:r w:rsidRPr="006B209A">
              <w:rPr>
                <w:rFonts w:ascii="Times New Roman" w:eastAsia="Calibri" w:hAnsi="Times New Roman" w:cs="Times New Roman"/>
                <w:iCs/>
                <w:sz w:val="20"/>
                <w:szCs w:val="20"/>
              </w:rPr>
              <w:t>Terciárne vzdelávanie</w:t>
            </w:r>
          </w:p>
        </w:tc>
      </w:tr>
      <w:tr w:rsidR="00AA17E3" w:rsidRPr="006B209A" w:rsidTr="00AA17E3">
        <w:tblPrEx>
          <w:tblCellMar>
            <w:left w:w="70" w:type="dxa"/>
            <w:right w:w="70" w:type="dxa"/>
          </w:tblCellMar>
        </w:tblPrEx>
        <w:trPr>
          <w:trHeight w:val="273"/>
        </w:trPr>
        <w:tc>
          <w:tcPr>
            <w:tcW w:w="4375" w:type="dxa"/>
            <w:tcBorders>
              <w:bottom w:val="single" w:sz="4" w:space="0" w:color="auto"/>
            </w:tcBorders>
          </w:tcPr>
          <w:p w:rsidR="00AA17E3" w:rsidRPr="006B209A" w:rsidRDefault="00FD03EA" w:rsidP="00AA17E3">
            <w:pPr>
              <w:spacing w:after="0" w:line="240" w:lineRule="auto"/>
              <w:jc w:val="center"/>
              <w:rPr>
                <w:rFonts w:ascii="Times New Roman" w:hAnsi="Times New Roman" w:cs="Times New Roman"/>
                <w:bCs/>
                <w:sz w:val="20"/>
                <w:szCs w:val="20"/>
                <w:lang w:eastAsia="sk-SK"/>
              </w:rPr>
            </w:pPr>
            <w:r w:rsidRPr="000474EC">
              <w:rPr>
                <w:rFonts w:ascii="Times New Roman" w:hAnsi="Times New Roman" w:cs="Times New Roman"/>
                <w:noProof/>
                <w:lang w:eastAsia="sk-SK"/>
              </w:rPr>
              <w:drawing>
                <wp:inline distT="0" distB="0" distL="0" distR="0" wp14:anchorId="0F164E7A" wp14:editId="65CD5371">
                  <wp:extent cx="2640965" cy="1980565"/>
                  <wp:effectExtent l="0" t="0" r="0" b="635"/>
                  <wp:docPr id="228" name="Graf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73" w:type="dxa"/>
            <w:tcBorders>
              <w:bottom w:val="single" w:sz="4" w:space="0" w:color="auto"/>
            </w:tcBorders>
          </w:tcPr>
          <w:p w:rsidR="00AA17E3" w:rsidRPr="006B209A" w:rsidRDefault="00AA17E3" w:rsidP="00AA17E3">
            <w:pPr>
              <w:spacing w:after="0" w:line="240" w:lineRule="auto"/>
              <w:jc w:val="center"/>
              <w:rPr>
                <w:rFonts w:ascii="Times New Roman" w:eastAsia="Calibri" w:hAnsi="Times New Roman" w:cs="Times New Roman"/>
                <w:iCs/>
                <w:sz w:val="20"/>
                <w:szCs w:val="20"/>
              </w:rPr>
            </w:pPr>
          </w:p>
        </w:tc>
        <w:tc>
          <w:tcPr>
            <w:tcW w:w="4375" w:type="dxa"/>
            <w:tcBorders>
              <w:bottom w:val="single" w:sz="4" w:space="0" w:color="auto"/>
            </w:tcBorders>
          </w:tcPr>
          <w:p w:rsidR="00AA17E3" w:rsidRPr="006B209A" w:rsidRDefault="00AA17E3" w:rsidP="00AA17E3">
            <w:pPr>
              <w:spacing w:after="0" w:line="240" w:lineRule="auto"/>
              <w:jc w:val="center"/>
              <w:rPr>
                <w:rFonts w:ascii="Arial Narrow" w:eastAsia="Calibri" w:hAnsi="Arial Narrow" w:cs="Times New Roman"/>
                <w:iCs/>
                <w:sz w:val="20"/>
                <w:szCs w:val="20"/>
              </w:rPr>
            </w:pPr>
            <w:r w:rsidRPr="006B209A">
              <w:rPr>
                <w:rFonts w:ascii="Arial Narrow" w:hAnsi="Arial Narrow"/>
                <w:noProof/>
                <w:sz w:val="18"/>
                <w:lang w:eastAsia="sk-SK"/>
              </w:rPr>
              <w:drawing>
                <wp:inline distT="0" distB="0" distL="0" distR="0" wp14:anchorId="06FA8F88" wp14:editId="556119F0">
                  <wp:extent cx="2746375" cy="2061845"/>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AA17E3" w:rsidRPr="006B209A" w:rsidTr="00AA17E3">
        <w:trPr>
          <w:trHeight w:val="273"/>
        </w:trPr>
        <w:tc>
          <w:tcPr>
            <w:tcW w:w="4375" w:type="dxa"/>
            <w:tcBorders>
              <w:top w:val="single" w:sz="4" w:space="0" w:color="auto"/>
            </w:tcBorders>
          </w:tcPr>
          <w:p w:rsidR="00AA17E3" w:rsidRPr="006B209A" w:rsidRDefault="00AA17E3" w:rsidP="00AA17E3">
            <w:pPr>
              <w:spacing w:after="0" w:line="240" w:lineRule="auto"/>
              <w:jc w:val="center"/>
              <w:rPr>
                <w:rFonts w:ascii="Times New Roman" w:hAnsi="Times New Roman" w:cs="Times New Roman"/>
                <w:bCs/>
                <w:sz w:val="20"/>
                <w:szCs w:val="20"/>
                <w:lang w:eastAsia="sk-SK"/>
              </w:rPr>
            </w:pPr>
          </w:p>
        </w:tc>
        <w:tc>
          <w:tcPr>
            <w:tcW w:w="273" w:type="dxa"/>
            <w:tcBorders>
              <w:top w:val="single" w:sz="4" w:space="0" w:color="auto"/>
            </w:tcBorders>
          </w:tcPr>
          <w:p w:rsidR="00AA17E3" w:rsidRPr="006B209A" w:rsidRDefault="00AA17E3" w:rsidP="00AA17E3">
            <w:pPr>
              <w:spacing w:after="0" w:line="240" w:lineRule="auto"/>
              <w:jc w:val="center"/>
              <w:rPr>
                <w:rFonts w:ascii="Times New Roman" w:eastAsia="Calibri" w:hAnsi="Times New Roman" w:cs="Times New Roman"/>
                <w:iCs/>
                <w:sz w:val="20"/>
                <w:szCs w:val="20"/>
              </w:rPr>
            </w:pPr>
          </w:p>
        </w:tc>
        <w:tc>
          <w:tcPr>
            <w:tcW w:w="4375" w:type="dxa"/>
            <w:tcBorders>
              <w:top w:val="single" w:sz="4" w:space="0" w:color="auto"/>
            </w:tcBorders>
          </w:tcPr>
          <w:p w:rsidR="00AA17E3" w:rsidRPr="006B209A" w:rsidRDefault="00AA17E3" w:rsidP="00AA17E3">
            <w:pPr>
              <w:spacing w:after="0" w:line="240" w:lineRule="auto"/>
              <w:jc w:val="right"/>
              <w:rPr>
                <w:rFonts w:ascii="Times New Roman" w:hAnsi="Times New Roman" w:cs="Times New Roman"/>
                <w:bCs/>
                <w:i/>
                <w:sz w:val="16"/>
                <w:szCs w:val="16"/>
                <w:highlight w:val="yellow"/>
                <w:lang w:eastAsia="sk-SK"/>
              </w:rPr>
            </w:pPr>
            <w:r w:rsidRPr="006B209A">
              <w:rPr>
                <w:rFonts w:ascii="Times New Roman" w:hAnsi="Times New Roman" w:cs="Times New Roman"/>
                <w:bCs/>
                <w:i/>
                <w:sz w:val="16"/>
                <w:szCs w:val="16"/>
                <w:lang w:eastAsia="sk-SK"/>
              </w:rPr>
              <w:t>Zdroj: OECD EAG 2021</w:t>
            </w:r>
          </w:p>
        </w:tc>
      </w:tr>
    </w:tbl>
    <w:p w:rsidR="00F23BFD" w:rsidRDefault="00F23BFD" w:rsidP="00AA17E3">
      <w:pPr>
        <w:spacing w:after="0" w:line="240" w:lineRule="auto"/>
        <w:jc w:val="both"/>
        <w:rPr>
          <w:rFonts w:ascii="Times New Roman" w:hAnsi="Times New Roman" w:cs="Times New Roman"/>
          <w:bCs/>
          <w:sz w:val="24"/>
          <w:szCs w:val="24"/>
          <w:lang w:eastAsia="sk-SK"/>
        </w:rPr>
      </w:pPr>
      <w:bookmarkStart w:id="184" w:name="_Toc53046653"/>
      <w:bookmarkStart w:id="185" w:name="_Toc53054877"/>
      <w:bookmarkStart w:id="186" w:name="_Toc53077953"/>
      <w:bookmarkStart w:id="187" w:name="_Toc53086286"/>
    </w:p>
    <w:p w:rsidR="00AA17E3" w:rsidRPr="006B209A" w:rsidRDefault="00AA17E3" w:rsidP="00AA17E3">
      <w:pPr>
        <w:spacing w:after="0" w:line="240" w:lineRule="auto"/>
        <w:jc w:val="both"/>
        <w:rPr>
          <w:rFonts w:ascii="Times New Roman" w:hAnsi="Times New Roman" w:cs="Times New Roman"/>
          <w:bCs/>
          <w:sz w:val="24"/>
          <w:szCs w:val="24"/>
          <w:lang w:eastAsia="sk-SK"/>
        </w:rPr>
      </w:pPr>
      <w:r w:rsidRPr="006B209A">
        <w:rPr>
          <w:rFonts w:ascii="Times New Roman" w:hAnsi="Times New Roman" w:cs="Times New Roman"/>
          <w:bCs/>
          <w:sz w:val="24"/>
          <w:szCs w:val="24"/>
          <w:lang w:eastAsia="sk-SK"/>
        </w:rPr>
        <w:t>Približne 70 % výdavkov v  regionálnom školstve tvoria mzdy a odvody pedagogických a odborných zamestnancov. Platy slovenských učiteľov sa v ostatných rokoch zvyšujú, stále však v medzinárodnom porovnaní zaostávajú. Pedagogickí zamestnanci v nižšom sekundárom vzdelávaní zarábali v roku 2019 aj so všetkými príplatkami 72 % priemerného platu zamestnancov s vysokoškolským vzdelaním druhého stupňa, v 2020 by mali dosiahnuť 75 %. Priemer krajín OECD ako aj 22 krajín EÚ v OECD s dostupnými údajmi je 90 %. Slovenskí učitelia skončili v rebríčku zárobkov medzi krajinami EÚ v OECD tretí od konca pred Maďarskom a Talianskom.</w:t>
      </w:r>
    </w:p>
    <w:p w:rsidR="00AA17E3" w:rsidRPr="006B209A" w:rsidRDefault="00AA17E3" w:rsidP="00AA17E3">
      <w:pPr>
        <w:spacing w:after="0" w:line="240" w:lineRule="auto"/>
        <w:jc w:val="both"/>
        <w:rPr>
          <w:rFonts w:ascii="Times New Roman" w:eastAsia="Times New Roman" w:hAnsi="Times New Roman" w:cs="Times New Roman"/>
          <w:bCs/>
          <w:color w:val="000000"/>
          <w:sz w:val="24"/>
          <w:szCs w:val="24"/>
          <w:lang w:eastAsia="cs-CZ"/>
        </w:rPr>
      </w:pPr>
    </w:p>
    <w:p w:rsidR="00AA17E3" w:rsidRPr="006B209A" w:rsidRDefault="00AA17E3" w:rsidP="00AA17E3">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6B209A">
        <w:rPr>
          <w:rFonts w:ascii="Times New Roman" w:eastAsia="Times New Roman" w:hAnsi="Times New Roman" w:cs="Times New Roman"/>
          <w:bCs/>
          <w:color w:val="000000"/>
          <w:sz w:val="24"/>
          <w:szCs w:val="24"/>
          <w:lang w:eastAsia="cs-CZ"/>
        </w:rPr>
        <w:t>Nárast výdavkov na vedu a výskum počas dočerpávania prostriedkov z fondov EÚ v roku 2015 bol nasledovaný poklesom a následnou stagnáciou v rokoch 2016</w:t>
      </w:r>
      <w:r w:rsidR="00BB5A0E">
        <w:rPr>
          <w:rFonts w:ascii="Times New Roman" w:eastAsia="Times New Roman" w:hAnsi="Times New Roman" w:cs="Times New Roman"/>
          <w:bCs/>
          <w:color w:val="000000"/>
          <w:sz w:val="24"/>
          <w:szCs w:val="24"/>
          <w:lang w:eastAsia="cs-CZ"/>
        </w:rPr>
        <w:t xml:space="preserve"> </w:t>
      </w:r>
      <w:r w:rsidRPr="006B209A">
        <w:rPr>
          <w:rFonts w:ascii="Times New Roman" w:eastAsia="Times New Roman" w:hAnsi="Times New Roman" w:cs="Times New Roman"/>
          <w:bCs/>
          <w:color w:val="000000"/>
          <w:sz w:val="24"/>
          <w:szCs w:val="24"/>
          <w:lang w:eastAsia="cs-CZ"/>
        </w:rPr>
        <w:t>-</w:t>
      </w:r>
      <w:r w:rsidR="00BB5A0E">
        <w:rPr>
          <w:rFonts w:ascii="Times New Roman" w:eastAsia="Times New Roman" w:hAnsi="Times New Roman" w:cs="Times New Roman"/>
          <w:bCs/>
          <w:color w:val="000000"/>
          <w:sz w:val="24"/>
          <w:szCs w:val="24"/>
          <w:lang w:eastAsia="cs-CZ"/>
        </w:rPr>
        <w:t xml:space="preserve"> </w:t>
      </w:r>
      <w:r w:rsidRPr="006B209A">
        <w:rPr>
          <w:rFonts w:ascii="Times New Roman" w:eastAsia="Times New Roman" w:hAnsi="Times New Roman" w:cs="Times New Roman"/>
          <w:bCs/>
          <w:color w:val="000000"/>
          <w:sz w:val="24"/>
          <w:szCs w:val="24"/>
          <w:lang w:eastAsia="cs-CZ"/>
        </w:rPr>
        <w:t>2019, keď</w:t>
      </w:r>
      <w:r w:rsidRPr="006B209A">
        <w:rPr>
          <w:rFonts w:ascii="Times New Roman" w:eastAsia="Times New Roman" w:hAnsi="Times New Roman" w:cs="Times New Roman"/>
          <w:sz w:val="24"/>
          <w:szCs w:val="24"/>
          <w:lang w:eastAsia="cs-CZ"/>
        </w:rPr>
        <w:t xml:space="preserve"> výdavky na vývoj a výskum tvorili opäť iba približne 0,8 % HDP, krajiny EÚ a V3 dávajú približne dvojnásobok. </w:t>
      </w:r>
    </w:p>
    <w:p w:rsidR="00AA17E3" w:rsidRPr="006B209A" w:rsidRDefault="00AA17E3" w:rsidP="00AA17E3">
      <w:pPr>
        <w:autoSpaceDE w:val="0"/>
        <w:autoSpaceDN w:val="0"/>
        <w:adjustRightInd w:val="0"/>
        <w:spacing w:after="0" w:line="240" w:lineRule="auto"/>
        <w:jc w:val="both"/>
        <w:rPr>
          <w:rFonts w:ascii="Times New Roman" w:eastAsia="Times New Roman" w:hAnsi="Times New Roman" w:cs="Times New Roman"/>
          <w:sz w:val="24"/>
          <w:szCs w:val="24"/>
          <w:lang w:eastAsia="cs-CZ"/>
        </w:rPr>
      </w:pPr>
    </w:p>
    <w:p w:rsidR="00AA17E3" w:rsidRPr="006B209A" w:rsidRDefault="00AA17E3" w:rsidP="00AA17E3">
      <w:pPr>
        <w:keepNext/>
        <w:spacing w:after="0" w:line="240" w:lineRule="auto"/>
        <w:rPr>
          <w:iCs/>
          <w:color w:val="44546A" w:themeColor="text2"/>
          <w:sz w:val="18"/>
          <w:szCs w:val="18"/>
        </w:rPr>
      </w:pPr>
      <w:bookmarkStart w:id="188" w:name="_Toc84528524"/>
      <w:bookmarkStart w:id="189" w:name="_Toc84848015"/>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24</w:t>
      </w:r>
      <w:r w:rsidRPr="006B209A">
        <w:rPr>
          <w:rFonts w:ascii="Times New Roman" w:hAnsi="Times New Roman" w:cs="Times New Roman"/>
          <w:b/>
          <w:iCs/>
          <w:color w:val="5B9BD5" w:themeColor="accent1"/>
          <w:sz w:val="20"/>
          <w:szCs w:val="20"/>
        </w:rPr>
        <w:fldChar w:fldCharType="end"/>
      </w:r>
      <w:r w:rsidR="00804037">
        <w:rPr>
          <w:rFonts w:ascii="Times New Roman" w:hAnsi="Times New Roman" w:cs="Times New Roman"/>
          <w:b/>
          <w:iCs/>
          <w:color w:val="5B9BD5" w:themeColor="accent1"/>
          <w:sz w:val="20"/>
          <w:szCs w:val="20"/>
        </w:rPr>
        <w:t xml:space="preserve"> -</w:t>
      </w:r>
      <w:r w:rsidRPr="006B209A">
        <w:rPr>
          <w:rFonts w:ascii="Times New Roman" w:hAnsi="Times New Roman" w:cs="Times New Roman"/>
          <w:b/>
          <w:iCs/>
          <w:color w:val="5B9BD5" w:themeColor="accent1"/>
          <w:sz w:val="20"/>
          <w:szCs w:val="20"/>
        </w:rPr>
        <w:t xml:space="preserve"> Platy učiteľov a výdavky na výskum a vývoj</w:t>
      </w:r>
      <w:bookmarkEnd w:id="188"/>
      <w:bookmarkEnd w:id="189"/>
    </w:p>
    <w:tbl>
      <w:tblPr>
        <w:tblW w:w="5000" w:type="pct"/>
        <w:tblBorders>
          <w:top w:val="single" w:sz="4" w:space="0" w:color="auto"/>
        </w:tblBorders>
        <w:tblCellMar>
          <w:left w:w="70" w:type="dxa"/>
          <w:right w:w="70" w:type="dxa"/>
        </w:tblCellMar>
        <w:tblLook w:val="04A0" w:firstRow="1" w:lastRow="0" w:firstColumn="1" w:lastColumn="0" w:noHBand="0" w:noVBand="1"/>
      </w:tblPr>
      <w:tblGrid>
        <w:gridCol w:w="4492"/>
        <w:gridCol w:w="146"/>
        <w:gridCol w:w="4434"/>
      </w:tblGrid>
      <w:tr w:rsidR="00AA17E3" w:rsidRPr="006B209A" w:rsidTr="00AA17E3">
        <w:trPr>
          <w:trHeight w:val="434"/>
        </w:trPr>
        <w:tc>
          <w:tcPr>
            <w:tcW w:w="2459" w:type="pct"/>
            <w:vAlign w:val="center"/>
          </w:tcPr>
          <w:p w:rsidR="00AA17E3" w:rsidRPr="006B209A" w:rsidRDefault="00AA17E3" w:rsidP="00AA17E3">
            <w:pPr>
              <w:keepNext/>
              <w:spacing w:after="0" w:line="240" w:lineRule="auto"/>
              <w:ind w:right="-23"/>
              <w:rPr>
                <w:rFonts w:ascii="Times New Roman" w:eastAsia="Calibri" w:hAnsi="Times New Roman" w:cs="Times New Roman"/>
                <w:b/>
                <w:iCs/>
                <w:noProof/>
                <w:color w:val="1F497D"/>
                <w:sz w:val="20"/>
                <w:szCs w:val="18"/>
              </w:rPr>
            </w:pPr>
            <w:r w:rsidRPr="006B209A">
              <w:rPr>
                <w:rFonts w:ascii="Times New Roman" w:eastAsia="Arial" w:hAnsi="Times New Roman" w:cs="Arial"/>
                <w:b/>
                <w:iCs/>
                <w:sz w:val="18"/>
                <w:szCs w:val="19"/>
                <w:lang w:val="fr-FR" w:eastAsia="fr-FR" w:bidi="fr-FR"/>
              </w:rPr>
              <w:t>Graf: Platy učiteľov v pomere ku platom VŠ vzdelaných zamestnancov (2019</w:t>
            </w:r>
            <w:r w:rsidR="00BB5A0E">
              <w:rPr>
                <w:rFonts w:ascii="Times New Roman" w:eastAsia="Arial" w:hAnsi="Times New Roman" w:cs="Arial"/>
                <w:b/>
                <w:iCs/>
                <w:sz w:val="18"/>
                <w:szCs w:val="19"/>
                <w:lang w:val="fr-FR" w:eastAsia="fr-FR" w:bidi="fr-FR"/>
              </w:rPr>
              <w:t xml:space="preserve"> </w:t>
            </w:r>
            <w:r w:rsidRPr="006B209A">
              <w:rPr>
                <w:rFonts w:ascii="Times New Roman" w:eastAsia="Arial" w:hAnsi="Times New Roman" w:cs="Arial"/>
                <w:b/>
                <w:iCs/>
                <w:sz w:val="18"/>
                <w:szCs w:val="19"/>
                <w:lang w:val="fr-FR" w:eastAsia="fr-FR" w:bidi="fr-FR"/>
              </w:rPr>
              <w:t>-</w:t>
            </w:r>
            <w:r w:rsidR="00BB5A0E">
              <w:rPr>
                <w:rFonts w:ascii="Times New Roman" w:eastAsia="Arial" w:hAnsi="Times New Roman" w:cs="Arial"/>
                <w:b/>
                <w:iCs/>
                <w:sz w:val="18"/>
                <w:szCs w:val="19"/>
                <w:lang w:val="fr-FR" w:eastAsia="fr-FR" w:bidi="fr-FR"/>
              </w:rPr>
              <w:t xml:space="preserve"> </w:t>
            </w:r>
            <w:r w:rsidRPr="006B209A">
              <w:rPr>
                <w:rFonts w:ascii="Times New Roman" w:eastAsia="Arial" w:hAnsi="Times New Roman" w:cs="Arial"/>
                <w:b/>
                <w:iCs/>
                <w:sz w:val="18"/>
                <w:szCs w:val="19"/>
                <w:lang w:val="fr-FR" w:eastAsia="fr-FR" w:bidi="fr-FR"/>
              </w:rPr>
              <w:t>2020)</w:t>
            </w:r>
          </w:p>
        </w:tc>
        <w:tc>
          <w:tcPr>
            <w:tcW w:w="136" w:type="pct"/>
          </w:tcPr>
          <w:p w:rsidR="00AA17E3" w:rsidRPr="006B209A" w:rsidRDefault="00AA17E3" w:rsidP="00AA17E3">
            <w:pPr>
              <w:keepNext/>
              <w:spacing w:after="0" w:line="240" w:lineRule="auto"/>
              <w:ind w:right="-23"/>
              <w:rPr>
                <w:rFonts w:ascii="Times New Roman" w:eastAsia="Calibri" w:hAnsi="Times New Roman" w:cs="Times New Roman"/>
                <w:b/>
                <w:iCs/>
                <w:sz w:val="18"/>
                <w:szCs w:val="18"/>
              </w:rPr>
            </w:pPr>
          </w:p>
        </w:tc>
        <w:tc>
          <w:tcPr>
            <w:tcW w:w="2406" w:type="pct"/>
          </w:tcPr>
          <w:p w:rsidR="00AA17E3" w:rsidRPr="006B209A" w:rsidRDefault="00AA17E3" w:rsidP="00AA17E3">
            <w:pPr>
              <w:keepNext/>
              <w:spacing w:after="0" w:line="240" w:lineRule="auto"/>
              <w:ind w:right="-23"/>
              <w:rPr>
                <w:rFonts w:ascii="Times New Roman" w:eastAsia="Calibri" w:hAnsi="Times New Roman" w:cs="Times New Roman"/>
                <w:b/>
                <w:iCs/>
                <w:sz w:val="18"/>
                <w:szCs w:val="18"/>
              </w:rPr>
            </w:pPr>
            <w:r w:rsidRPr="006B209A">
              <w:rPr>
                <w:rFonts w:ascii="Times New Roman" w:eastAsia="Calibri" w:hAnsi="Times New Roman" w:cs="Times New Roman"/>
                <w:b/>
                <w:iCs/>
                <w:sz w:val="18"/>
                <w:szCs w:val="18"/>
              </w:rPr>
              <w:t>Graf</w:t>
            </w:r>
            <w:r w:rsidRPr="006B209A">
              <w:rPr>
                <w:rFonts w:ascii="Times New Roman" w:eastAsia="Arial" w:hAnsi="Times New Roman" w:cs="Arial"/>
                <w:b/>
                <w:iCs/>
                <w:sz w:val="18"/>
                <w:szCs w:val="19"/>
                <w:lang w:val="fr-FR" w:eastAsia="fr-FR" w:bidi="fr-FR"/>
              </w:rPr>
              <w:t>: Výdavky na výskum a vývoj na VŠ (% HDP</w:t>
            </w:r>
            <w:r w:rsidRPr="006B209A">
              <w:rPr>
                <w:rFonts w:ascii="Times New Roman" w:eastAsia="Arial" w:hAnsi="Times New Roman" w:cs="Arial"/>
                <w:i/>
                <w:iCs/>
                <w:color w:val="000000"/>
                <w:sz w:val="20"/>
                <w:szCs w:val="19"/>
                <w:lang w:val="fr-FR" w:eastAsia="fr-FR" w:bidi="fr-FR"/>
              </w:rPr>
              <w:t>)</w:t>
            </w:r>
          </w:p>
        </w:tc>
      </w:tr>
      <w:tr w:rsidR="00AA17E3" w:rsidRPr="006B209A" w:rsidTr="00AA17E3">
        <w:trPr>
          <w:trHeight w:val="434"/>
        </w:trPr>
        <w:tc>
          <w:tcPr>
            <w:tcW w:w="2459" w:type="pct"/>
            <w:tcBorders>
              <w:bottom w:val="single" w:sz="4" w:space="0" w:color="auto"/>
            </w:tcBorders>
            <w:vAlign w:val="center"/>
          </w:tcPr>
          <w:p w:rsidR="00AA17E3" w:rsidRPr="006B209A" w:rsidRDefault="00AA17E3" w:rsidP="00AA17E3">
            <w:pPr>
              <w:keepNext/>
              <w:spacing w:after="0" w:line="240" w:lineRule="auto"/>
              <w:ind w:right="-23"/>
              <w:rPr>
                <w:rFonts w:ascii="Times New Roman" w:eastAsia="Arial" w:hAnsi="Times New Roman" w:cs="Arial"/>
                <w:b/>
                <w:iCs/>
                <w:sz w:val="18"/>
                <w:szCs w:val="19"/>
                <w:lang w:val="fr-FR" w:eastAsia="fr-FR" w:bidi="fr-FR"/>
              </w:rPr>
            </w:pPr>
            <w:r w:rsidRPr="006B209A">
              <w:rPr>
                <w:noProof/>
                <w:lang w:eastAsia="sk-SK"/>
              </w:rPr>
              <w:drawing>
                <wp:inline distT="0" distB="0" distL="0" distR="0" wp14:anchorId="092CFB9C" wp14:editId="1DBD46F9">
                  <wp:extent cx="2847975" cy="1962149"/>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36" w:type="pct"/>
            <w:tcBorders>
              <w:bottom w:val="single" w:sz="4" w:space="0" w:color="auto"/>
            </w:tcBorders>
          </w:tcPr>
          <w:p w:rsidR="00AA17E3" w:rsidRPr="006B209A" w:rsidRDefault="00AA17E3" w:rsidP="00AA17E3">
            <w:pPr>
              <w:keepNext/>
              <w:spacing w:after="0" w:line="240" w:lineRule="auto"/>
              <w:ind w:right="-23"/>
              <w:rPr>
                <w:rFonts w:ascii="Times New Roman" w:eastAsia="Calibri" w:hAnsi="Times New Roman" w:cs="Times New Roman"/>
                <w:b/>
                <w:iCs/>
                <w:sz w:val="18"/>
                <w:szCs w:val="18"/>
              </w:rPr>
            </w:pPr>
          </w:p>
        </w:tc>
        <w:tc>
          <w:tcPr>
            <w:tcW w:w="2406" w:type="pct"/>
            <w:tcBorders>
              <w:bottom w:val="single" w:sz="4" w:space="0" w:color="auto"/>
            </w:tcBorders>
          </w:tcPr>
          <w:p w:rsidR="00AA17E3" w:rsidRPr="006B209A" w:rsidRDefault="00AA17E3" w:rsidP="00AA17E3">
            <w:pPr>
              <w:keepNext/>
              <w:spacing w:after="0" w:line="240" w:lineRule="auto"/>
              <w:ind w:right="-23"/>
              <w:rPr>
                <w:rFonts w:ascii="Times New Roman" w:eastAsia="Calibri" w:hAnsi="Times New Roman" w:cs="Times New Roman"/>
                <w:b/>
                <w:iCs/>
                <w:sz w:val="18"/>
                <w:szCs w:val="18"/>
              </w:rPr>
            </w:pPr>
            <w:r w:rsidRPr="006B209A">
              <w:rPr>
                <w:noProof/>
                <w:lang w:eastAsia="sk-SK"/>
              </w:rPr>
              <w:drawing>
                <wp:inline distT="0" distB="0" distL="0" distR="0" wp14:anchorId="015873E3" wp14:editId="39626C22">
                  <wp:extent cx="2810510" cy="2447925"/>
                  <wp:effectExtent l="0" t="0" r="0" b="0"/>
                  <wp:docPr id="192" name="Graf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AA17E3" w:rsidRPr="006B209A" w:rsidTr="00AA17E3">
        <w:trPr>
          <w:trHeight w:val="434"/>
        </w:trPr>
        <w:tc>
          <w:tcPr>
            <w:tcW w:w="2459" w:type="pct"/>
            <w:tcBorders>
              <w:top w:val="single" w:sz="4" w:space="0" w:color="auto"/>
            </w:tcBorders>
          </w:tcPr>
          <w:p w:rsidR="00AA17E3" w:rsidRPr="00BB5A0E" w:rsidRDefault="00AA17E3" w:rsidP="00935574">
            <w:pPr>
              <w:keepNext/>
              <w:spacing w:after="0" w:line="240" w:lineRule="auto"/>
              <w:ind w:right="-23"/>
              <w:jc w:val="right"/>
              <w:rPr>
                <w:rFonts w:ascii="Times New Roman" w:eastAsia="Arial" w:hAnsi="Times New Roman" w:cs="Arial"/>
                <w:b/>
                <w:iCs/>
                <w:sz w:val="16"/>
                <w:szCs w:val="16"/>
                <w:lang w:val="fr-FR" w:eastAsia="fr-FR" w:bidi="fr-FR"/>
              </w:rPr>
            </w:pPr>
            <w:r w:rsidRPr="00BB5A0E">
              <w:rPr>
                <w:rFonts w:ascii="Times New Roman" w:eastAsia="Calibri" w:hAnsi="Times New Roman" w:cs="Times New Roman"/>
                <w:bCs/>
                <w:i/>
                <w:sz w:val="16"/>
                <w:szCs w:val="16"/>
                <w:lang w:eastAsia="zh-TW"/>
              </w:rPr>
              <w:t>Zdroj: OECD Education at a Glance 2021</w:t>
            </w:r>
          </w:p>
        </w:tc>
        <w:tc>
          <w:tcPr>
            <w:tcW w:w="136" w:type="pct"/>
            <w:tcBorders>
              <w:top w:val="single" w:sz="4" w:space="0" w:color="auto"/>
            </w:tcBorders>
          </w:tcPr>
          <w:p w:rsidR="00AA17E3" w:rsidRPr="00BB5A0E" w:rsidRDefault="00AA17E3" w:rsidP="00935574">
            <w:pPr>
              <w:keepNext/>
              <w:spacing w:after="0" w:line="240" w:lineRule="auto"/>
              <w:ind w:right="-23"/>
              <w:jc w:val="right"/>
              <w:rPr>
                <w:rFonts w:ascii="Times New Roman" w:eastAsia="Calibri" w:hAnsi="Times New Roman" w:cs="Times New Roman"/>
                <w:b/>
                <w:iCs/>
                <w:sz w:val="16"/>
                <w:szCs w:val="16"/>
              </w:rPr>
            </w:pPr>
          </w:p>
        </w:tc>
        <w:tc>
          <w:tcPr>
            <w:tcW w:w="2406" w:type="pct"/>
            <w:tcBorders>
              <w:top w:val="single" w:sz="4" w:space="0" w:color="auto"/>
            </w:tcBorders>
          </w:tcPr>
          <w:p w:rsidR="00AA17E3" w:rsidRPr="00BB5A0E" w:rsidRDefault="00AA17E3" w:rsidP="00935574">
            <w:pPr>
              <w:keepNext/>
              <w:spacing w:after="0" w:line="240" w:lineRule="auto"/>
              <w:ind w:right="-23"/>
              <w:jc w:val="right"/>
              <w:rPr>
                <w:rFonts w:ascii="Times New Roman" w:eastAsia="Calibri" w:hAnsi="Times New Roman" w:cs="Times New Roman"/>
                <w:b/>
                <w:iCs/>
                <w:sz w:val="16"/>
                <w:szCs w:val="16"/>
              </w:rPr>
            </w:pPr>
            <w:r w:rsidRPr="00BB5A0E">
              <w:rPr>
                <w:rFonts w:ascii="Times New Roman" w:eastAsia="Calibri" w:hAnsi="Times New Roman" w:cs="Times New Roman"/>
                <w:bCs/>
                <w:i/>
                <w:sz w:val="16"/>
                <w:szCs w:val="16"/>
                <w:lang w:eastAsia="zh-TW"/>
              </w:rPr>
              <w:t>Zdroj: Eurostat</w:t>
            </w:r>
          </w:p>
        </w:tc>
      </w:tr>
    </w:tbl>
    <w:bookmarkEnd w:id="184"/>
    <w:bookmarkEnd w:id="185"/>
    <w:bookmarkEnd w:id="186"/>
    <w:bookmarkEnd w:id="187"/>
    <w:p w:rsidR="00AA17E3" w:rsidRPr="006B209A" w:rsidRDefault="00AA17E3" w:rsidP="00935574">
      <w:pPr>
        <w:spacing w:after="0" w:line="240" w:lineRule="auto"/>
        <w:jc w:val="both"/>
        <w:rPr>
          <w:rFonts w:ascii="Times New Roman" w:hAnsi="Times New Roman" w:cs="Times New Roman"/>
          <w:bCs/>
          <w:sz w:val="24"/>
          <w:szCs w:val="24"/>
          <w:lang w:eastAsia="sk-SK"/>
        </w:rPr>
      </w:pPr>
      <w:r w:rsidRPr="006B209A">
        <w:rPr>
          <w:rFonts w:ascii="Times New Roman" w:hAnsi="Times New Roman" w:cs="Times New Roman"/>
          <w:bCs/>
          <w:sz w:val="24"/>
          <w:szCs w:val="24"/>
          <w:lang w:eastAsia="sk-SK"/>
        </w:rPr>
        <w:t>Kľúčovými piliermi vzdelávacích politík 21. stor</w:t>
      </w:r>
      <w:r w:rsidR="00BB5A0E">
        <w:rPr>
          <w:rFonts w:ascii="Times New Roman" w:hAnsi="Times New Roman" w:cs="Times New Roman"/>
          <w:bCs/>
          <w:sz w:val="24"/>
          <w:szCs w:val="24"/>
          <w:lang w:eastAsia="sk-SK"/>
        </w:rPr>
        <w:t>očia sú zabezpečenie prístupu k</w:t>
      </w:r>
      <w:r w:rsidRPr="006B209A">
        <w:rPr>
          <w:rFonts w:ascii="Times New Roman" w:hAnsi="Times New Roman" w:cs="Times New Roman"/>
          <w:bCs/>
          <w:sz w:val="24"/>
          <w:szCs w:val="24"/>
          <w:lang w:eastAsia="sk-SK"/>
        </w:rPr>
        <w:t xml:space="preserve"> vzdelávaniu pre všetkých (dostupnosť) a  spravodlivejší prístup vo vzdelávaní zohľadňujúci individuálne potreby (inklúzia). V obidvoch pilieroch Slovensko zaostáva.  Verejné politiky vo vzdelávaní kladú malý dôraz na vzdelávacie výstupy. Napriek miernemu nárastu zaškolenosti v škôlkach patrí Slovensko medzi krajiny s najmenej dostupným predprimárnym vzdelávaním</w:t>
      </w:r>
      <w:r w:rsidRPr="004F0A0C">
        <w:rPr>
          <w:rFonts w:ascii="Times New Roman" w:hAnsi="Times New Roman" w:cs="Times New Roman"/>
          <w:bCs/>
          <w:sz w:val="24"/>
          <w:szCs w:val="24"/>
          <w:lang w:eastAsia="sk-SK"/>
        </w:rPr>
        <w:t>. Celkové výsledky testovania 15-ročných PISA, ako aj vysoký podiel žiakov nedosahujúcich v ňom funkčnú gramotnosť</w:t>
      </w:r>
      <w:r w:rsidR="00D72568" w:rsidRPr="004F0A0C">
        <w:rPr>
          <w:rFonts w:ascii="Times New Roman" w:hAnsi="Times New Roman" w:cs="Times New Roman"/>
          <w:bCs/>
          <w:sz w:val="24"/>
          <w:szCs w:val="24"/>
          <w:lang w:eastAsia="sk-SK"/>
        </w:rPr>
        <w:t>,</w:t>
      </w:r>
      <w:r w:rsidRPr="004F0A0C">
        <w:rPr>
          <w:rFonts w:ascii="Times New Roman" w:hAnsi="Times New Roman" w:cs="Times New Roman"/>
          <w:bCs/>
          <w:sz w:val="24"/>
          <w:szCs w:val="24"/>
          <w:lang w:eastAsia="sk-SK"/>
        </w:rPr>
        <w:t xml:space="preserve"> a podiel mladých končiacich vzdelávanie s najviac ZŠ vzdelaním</w:t>
      </w:r>
      <w:r w:rsidR="00D72568" w:rsidRPr="004F0A0C">
        <w:rPr>
          <w:rFonts w:ascii="Times New Roman" w:hAnsi="Times New Roman" w:cs="Times New Roman"/>
          <w:bCs/>
          <w:sz w:val="24"/>
          <w:szCs w:val="24"/>
          <w:lang w:eastAsia="sk-SK"/>
        </w:rPr>
        <w:t>,</w:t>
      </w:r>
      <w:r w:rsidRPr="004F0A0C">
        <w:rPr>
          <w:rFonts w:ascii="Times New Roman" w:hAnsi="Times New Roman" w:cs="Times New Roman"/>
          <w:bCs/>
          <w:sz w:val="24"/>
          <w:szCs w:val="24"/>
          <w:lang w:eastAsia="sk-SK"/>
        </w:rPr>
        <w:t xml:space="preserve"> odhaľujú medzery v zavádzaní inkluzívneho prístupu.</w:t>
      </w:r>
      <w:r w:rsidRPr="006B209A">
        <w:rPr>
          <w:rFonts w:ascii="Times New Roman" w:hAnsi="Times New Roman" w:cs="Times New Roman"/>
          <w:bCs/>
          <w:sz w:val="24"/>
          <w:szCs w:val="24"/>
          <w:lang w:eastAsia="sk-SK"/>
        </w:rPr>
        <w:t xml:space="preserve"> </w:t>
      </w:r>
    </w:p>
    <w:p w:rsidR="00AA17E3" w:rsidRPr="006B209A" w:rsidRDefault="00AA17E3" w:rsidP="00AA17E3">
      <w:pPr>
        <w:spacing w:after="0" w:line="240" w:lineRule="auto"/>
        <w:jc w:val="both"/>
        <w:rPr>
          <w:rFonts w:ascii="Times New Roman" w:hAnsi="Times New Roman" w:cs="Times New Roman"/>
          <w:bCs/>
          <w:sz w:val="24"/>
          <w:szCs w:val="24"/>
          <w:lang w:eastAsia="sk-SK"/>
        </w:rPr>
      </w:pPr>
    </w:p>
    <w:p w:rsidR="00AA17E3" w:rsidRDefault="00AA17E3" w:rsidP="00AA17E3">
      <w:pPr>
        <w:spacing w:after="0" w:line="240" w:lineRule="auto"/>
        <w:jc w:val="both"/>
        <w:rPr>
          <w:rFonts w:ascii="Times New Roman" w:hAnsi="Times New Roman" w:cs="Times New Roman"/>
          <w:sz w:val="24"/>
          <w:szCs w:val="24"/>
          <w:lang w:eastAsia="sk-SK"/>
        </w:rPr>
      </w:pPr>
      <w:r w:rsidRPr="006B209A">
        <w:rPr>
          <w:rFonts w:ascii="Times New Roman" w:hAnsi="Times New Roman" w:cs="Times New Roman"/>
          <w:bCs/>
          <w:sz w:val="24"/>
          <w:szCs w:val="24"/>
          <w:lang w:eastAsia="sk-SK"/>
        </w:rPr>
        <w:t>Na Slovensku prišlo v poslednom období k výraznému zvýšeniu podielu mladých ľudí s ukončeným VŠ vzdelaním, ale kvalita slovenských VŠ, meraná umiestnením v medzinárodných rebríčkoch, výrazne zaostáva za susedmi z V3. Celoživotné vzdelávanie s nástrojmi na udržiavanie a zvyšovanie zručností dospelej populácie nedostáva dostatočnú podporu zo strany verejných politík.</w:t>
      </w:r>
      <w:r w:rsidRPr="006B209A">
        <w:rPr>
          <w:rFonts w:ascii="Times New Roman" w:hAnsi="Times New Roman" w:cs="Times New Roman"/>
          <w:sz w:val="24"/>
          <w:szCs w:val="24"/>
          <w:lang w:eastAsia="sk-SK"/>
        </w:rPr>
        <w:t xml:space="preserve"> Nedostatok popularity športu ako aktívneho životného štýlu sa prejavuje v nízkej miere rekreačného športovania.</w:t>
      </w:r>
    </w:p>
    <w:p w:rsidR="004F568C" w:rsidRDefault="004F568C" w:rsidP="00AA17E3">
      <w:pPr>
        <w:spacing w:after="0" w:line="240" w:lineRule="auto"/>
        <w:jc w:val="both"/>
        <w:rPr>
          <w:rFonts w:ascii="Times New Roman" w:hAnsi="Times New Roman" w:cs="Times New Roman"/>
          <w:sz w:val="24"/>
          <w:szCs w:val="24"/>
          <w:lang w:eastAsia="sk-SK"/>
        </w:rPr>
      </w:pPr>
    </w:p>
    <w:p w:rsidR="004F568C" w:rsidRDefault="004F568C" w:rsidP="00AA17E3">
      <w:pPr>
        <w:spacing w:after="0" w:line="240" w:lineRule="auto"/>
        <w:jc w:val="both"/>
        <w:rPr>
          <w:rFonts w:ascii="Times New Roman" w:hAnsi="Times New Roman" w:cs="Times New Roman"/>
          <w:sz w:val="24"/>
          <w:szCs w:val="24"/>
          <w:lang w:eastAsia="sk-SK"/>
        </w:rPr>
      </w:pPr>
    </w:p>
    <w:p w:rsidR="004F568C" w:rsidRDefault="004F568C" w:rsidP="00AA17E3">
      <w:pPr>
        <w:spacing w:after="0" w:line="240" w:lineRule="auto"/>
        <w:jc w:val="both"/>
        <w:rPr>
          <w:rFonts w:ascii="Times New Roman" w:hAnsi="Times New Roman" w:cs="Times New Roman"/>
          <w:sz w:val="24"/>
          <w:szCs w:val="24"/>
          <w:lang w:eastAsia="sk-SK"/>
        </w:rPr>
      </w:pPr>
    </w:p>
    <w:p w:rsidR="004F568C" w:rsidRDefault="004F568C" w:rsidP="00AA17E3">
      <w:pPr>
        <w:spacing w:after="0" w:line="240" w:lineRule="auto"/>
        <w:jc w:val="both"/>
        <w:rPr>
          <w:rFonts w:ascii="Times New Roman" w:hAnsi="Times New Roman" w:cs="Times New Roman"/>
          <w:sz w:val="24"/>
          <w:szCs w:val="24"/>
          <w:lang w:eastAsia="sk-SK"/>
        </w:rPr>
      </w:pPr>
    </w:p>
    <w:p w:rsidR="004F568C" w:rsidRDefault="004F568C" w:rsidP="00AA17E3">
      <w:pPr>
        <w:spacing w:after="0" w:line="240" w:lineRule="auto"/>
        <w:jc w:val="both"/>
        <w:rPr>
          <w:rFonts w:ascii="Times New Roman" w:hAnsi="Times New Roman" w:cs="Times New Roman"/>
          <w:sz w:val="24"/>
          <w:szCs w:val="24"/>
          <w:lang w:eastAsia="sk-SK"/>
        </w:rPr>
      </w:pPr>
    </w:p>
    <w:p w:rsidR="004F568C" w:rsidRPr="006B209A" w:rsidRDefault="004F568C" w:rsidP="00AA17E3">
      <w:pPr>
        <w:spacing w:after="0" w:line="240" w:lineRule="auto"/>
        <w:jc w:val="both"/>
        <w:rPr>
          <w:rFonts w:ascii="Times New Roman" w:hAnsi="Times New Roman" w:cs="Times New Roman"/>
          <w:sz w:val="24"/>
          <w:szCs w:val="24"/>
          <w:lang w:eastAsia="sk-SK"/>
        </w:rPr>
      </w:pPr>
    </w:p>
    <w:p w:rsidR="00AA17E3" w:rsidRPr="006B209A" w:rsidRDefault="00AA17E3" w:rsidP="00AA17E3">
      <w:pPr>
        <w:spacing w:after="0" w:line="240" w:lineRule="auto"/>
        <w:jc w:val="both"/>
        <w:rPr>
          <w:rFonts w:ascii="Times New Roman" w:hAnsi="Times New Roman" w:cs="Times New Roman"/>
          <w:b/>
          <w:bCs/>
          <w:sz w:val="24"/>
          <w:szCs w:val="24"/>
          <w:highlight w:val="yellow"/>
          <w:lang w:eastAsia="sk-SK"/>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190" w:name="_Toc84528401"/>
      <w:bookmarkStart w:id="191" w:name="_Toc84845277"/>
      <w:r w:rsidRPr="0078257F">
        <w:rPr>
          <w:rFonts w:ascii="Times New Roman" w:hAnsi="Times New Roman" w:cs="Times New Roman"/>
          <w:b/>
          <w:color w:val="5B9BD5" w:themeColor="accent1"/>
          <w:sz w:val="20"/>
          <w:szCs w:val="20"/>
        </w:rPr>
        <w:t xml:space="preserve">Tabuľka </w:t>
      </w:r>
      <w:r w:rsidRPr="0078257F">
        <w:rPr>
          <w:rFonts w:ascii="Times New Roman" w:hAnsi="Times New Roman" w:cs="Times New Roman"/>
          <w:b/>
          <w:color w:val="5B9BD5" w:themeColor="accent1"/>
          <w:sz w:val="20"/>
          <w:szCs w:val="20"/>
        </w:rPr>
        <w:fldChar w:fldCharType="begin"/>
      </w:r>
      <w:r w:rsidRPr="0078257F">
        <w:rPr>
          <w:rFonts w:ascii="Times New Roman" w:hAnsi="Times New Roman" w:cs="Times New Roman"/>
          <w:b/>
          <w:color w:val="5B9BD5" w:themeColor="accent1"/>
          <w:sz w:val="20"/>
          <w:szCs w:val="20"/>
        </w:rPr>
        <w:instrText xml:space="preserve"> SEQ Tabuľka \* ARABIC </w:instrText>
      </w:r>
      <w:r w:rsidRPr="0078257F">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53</w:t>
      </w:r>
      <w:r w:rsidRPr="0078257F">
        <w:rPr>
          <w:rFonts w:ascii="Times New Roman" w:hAnsi="Times New Roman" w:cs="Times New Roman"/>
          <w:b/>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Kľúčové ukazovatele vzdelávania, vedy, výskumu a športu</w:t>
      </w:r>
      <w:bookmarkEnd w:id="190"/>
      <w:bookmarkEnd w:id="191"/>
    </w:p>
    <w:tbl>
      <w:tblPr>
        <w:tblW w:w="9394" w:type="dxa"/>
        <w:tblCellMar>
          <w:left w:w="70" w:type="dxa"/>
          <w:right w:w="70" w:type="dxa"/>
        </w:tblCellMar>
        <w:tblLook w:val="04A0" w:firstRow="1" w:lastRow="0" w:firstColumn="1" w:lastColumn="0" w:noHBand="0" w:noVBand="1"/>
      </w:tblPr>
      <w:tblGrid>
        <w:gridCol w:w="1103"/>
        <w:gridCol w:w="1302"/>
        <w:gridCol w:w="1316"/>
        <w:gridCol w:w="657"/>
        <w:gridCol w:w="503"/>
        <w:gridCol w:w="559"/>
        <w:gridCol w:w="565"/>
        <w:gridCol w:w="503"/>
        <w:gridCol w:w="503"/>
        <w:gridCol w:w="548"/>
        <w:gridCol w:w="967"/>
        <w:gridCol w:w="868"/>
      </w:tblGrid>
      <w:tr w:rsidR="00AA17E3" w:rsidRPr="006B209A" w:rsidTr="00414428">
        <w:trPr>
          <w:trHeight w:val="148"/>
        </w:trPr>
        <w:tc>
          <w:tcPr>
            <w:tcW w:w="1103"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Oblasť</w:t>
            </w:r>
          </w:p>
        </w:tc>
        <w:tc>
          <w:tcPr>
            <w:tcW w:w="2618" w:type="dxa"/>
            <w:gridSpan w:val="2"/>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Indikátor</w:t>
            </w:r>
          </w:p>
        </w:tc>
        <w:tc>
          <w:tcPr>
            <w:tcW w:w="657" w:type="dxa"/>
            <w:tcBorders>
              <w:top w:val="single" w:sz="4" w:space="0" w:color="auto"/>
              <w:bottom w:val="single" w:sz="4" w:space="0" w:color="auto"/>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 </w:t>
            </w:r>
          </w:p>
        </w:tc>
        <w:tc>
          <w:tcPr>
            <w:tcW w:w="503"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2015</w:t>
            </w:r>
          </w:p>
        </w:tc>
        <w:tc>
          <w:tcPr>
            <w:tcW w:w="559"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2016</w:t>
            </w:r>
          </w:p>
        </w:tc>
        <w:tc>
          <w:tcPr>
            <w:tcW w:w="565"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2017</w:t>
            </w:r>
          </w:p>
        </w:tc>
        <w:tc>
          <w:tcPr>
            <w:tcW w:w="503"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2018</w:t>
            </w:r>
          </w:p>
        </w:tc>
        <w:tc>
          <w:tcPr>
            <w:tcW w:w="503"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2019</w:t>
            </w:r>
          </w:p>
        </w:tc>
        <w:tc>
          <w:tcPr>
            <w:tcW w:w="548"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2020</w:t>
            </w:r>
          </w:p>
        </w:tc>
        <w:tc>
          <w:tcPr>
            <w:tcW w:w="967"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Cieľ 2024</w:t>
            </w:r>
          </w:p>
        </w:tc>
        <w:tc>
          <w:tcPr>
            <w:tcW w:w="868" w:type="dxa"/>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Cieľ 2030</w:t>
            </w:r>
          </w:p>
        </w:tc>
      </w:tr>
      <w:tr w:rsidR="00AA17E3" w:rsidRPr="006B209A" w:rsidTr="00414428">
        <w:trPr>
          <w:trHeight w:val="271"/>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MŠ</w:t>
            </w:r>
          </w:p>
        </w:tc>
        <w:tc>
          <w:tcPr>
            <w:tcW w:w="2618" w:type="dxa"/>
            <w:gridSpan w:val="2"/>
            <w:vMerge w:val="restart"/>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Podiel detí v predškolskom vzdelávaní (od 4 rokov po začiatok povinného primárneho vzdelávania)</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78,4</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76,5</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78,2</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82,2</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82,6</w:t>
            </w:r>
          </w:p>
        </w:tc>
        <w:tc>
          <w:tcPr>
            <w:tcW w:w="548" w:type="dxa"/>
            <w:tcBorders>
              <w:top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88,6</w:t>
            </w:r>
          </w:p>
        </w:tc>
        <w:tc>
          <w:tcPr>
            <w:tcW w:w="868" w:type="dxa"/>
            <w:tcBorders>
              <w:top w:val="single" w:sz="4" w:space="0" w:color="auto"/>
            </w:tcBorders>
            <w:shd w:val="clear" w:color="auto" w:fill="auto"/>
            <w:noWrap/>
            <w:vAlign w:val="center"/>
            <w:hideMark/>
          </w:tcPr>
          <w:p w:rsidR="00AA17E3" w:rsidRPr="006B209A" w:rsidRDefault="009810DC" w:rsidP="00AA17E3">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95</w:t>
            </w:r>
          </w:p>
        </w:tc>
      </w:tr>
      <w:tr w:rsidR="00AA17E3" w:rsidRPr="006B209A" w:rsidTr="00414428">
        <w:trPr>
          <w:trHeight w:val="271"/>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92,1</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92,3</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93</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92,8</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93,4</w:t>
            </w:r>
          </w:p>
        </w:tc>
        <w:tc>
          <w:tcPr>
            <w:tcW w:w="548" w:type="dxa"/>
            <w:tcBorders>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414428">
        <w:trPr>
          <w:trHeight w:val="234"/>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ZŠ</w:t>
            </w:r>
          </w:p>
        </w:tc>
        <w:tc>
          <w:tcPr>
            <w:tcW w:w="2618" w:type="dxa"/>
            <w:gridSpan w:val="2"/>
            <w:vMerge w:val="restart"/>
            <w:tcBorders>
              <w:top w:val="single" w:sz="4" w:space="0" w:color="auto"/>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PISA (priemer dosiahnutých bodov)</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463</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466</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465*</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473*</w:t>
            </w:r>
          </w:p>
        </w:tc>
      </w:tr>
      <w:tr w:rsidR="00AA17E3" w:rsidRPr="006B209A" w:rsidTr="00414428">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486</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484</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414428">
        <w:trPr>
          <w:trHeight w:val="271"/>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ZŠ</w:t>
            </w:r>
          </w:p>
        </w:tc>
        <w:tc>
          <w:tcPr>
            <w:tcW w:w="2618" w:type="dxa"/>
            <w:gridSpan w:val="2"/>
            <w:vMerge w:val="restart"/>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Podiel žiakov nedosahujúcich základnú úroveň v čitateľskej gramotnosti PISA</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32,1</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31,4</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30,9</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28,0</w:t>
            </w:r>
          </w:p>
        </w:tc>
      </w:tr>
      <w:tr w:rsidR="00AA17E3" w:rsidRPr="006B209A" w:rsidTr="00414428">
        <w:trPr>
          <w:trHeight w:val="271"/>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22,1</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24,3</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414428">
        <w:trPr>
          <w:trHeight w:val="234"/>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ZŠ a SŠ</w:t>
            </w:r>
          </w:p>
        </w:tc>
        <w:tc>
          <w:tcPr>
            <w:tcW w:w="2618" w:type="dxa"/>
            <w:gridSpan w:val="2"/>
            <w:vMerge w:val="restart"/>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Predčasné ukončenie vzdelávania (% vo vekovej skupine 18 – 24 rokov)</w:t>
            </w:r>
            <w:r w:rsidRPr="006B209A">
              <w:rPr>
                <w:rFonts w:ascii="Times New Roman" w:eastAsia="Times New Roman" w:hAnsi="Times New Roman" w:cs="Times New Roman"/>
                <w:color w:val="000000"/>
                <w:sz w:val="16"/>
                <w:szCs w:val="16"/>
                <w:vertAlign w:val="superscript"/>
                <w:lang w:eastAsia="sk-SK"/>
              </w:rPr>
              <w:footnoteReference w:id="36"/>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6,9</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7,4</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9,3</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8,6</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8,3</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7,6</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6,8</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4,6</w:t>
            </w:r>
          </w:p>
        </w:tc>
      </w:tr>
      <w:tr w:rsidR="00AA17E3" w:rsidRPr="006B209A" w:rsidTr="00414428">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9,8</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9,4</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9,4</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9,1</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8,9</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9,9</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r>
      <w:tr w:rsidR="00AA17E3" w:rsidRPr="006B209A" w:rsidTr="00414428">
        <w:trPr>
          <w:trHeight w:val="271"/>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VŠ</w:t>
            </w:r>
          </w:p>
        </w:tc>
        <w:tc>
          <w:tcPr>
            <w:tcW w:w="2618" w:type="dxa"/>
            <w:gridSpan w:val="2"/>
            <w:vMerge w:val="restart"/>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Miera vysokoškolsky vzdelanej populácie (% vo vekovej skupine 30 – 34 rokov)</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28,4</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31,5</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34,3</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37,7</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40,1</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39,7</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43,2%</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47%</w:t>
            </w:r>
          </w:p>
        </w:tc>
      </w:tr>
      <w:tr w:rsidR="00AA17E3" w:rsidRPr="006B209A" w:rsidTr="00414428">
        <w:trPr>
          <w:trHeight w:val="271"/>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40,3</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41,2</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41,8</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42,6</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43,5</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41,0</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563C1"/>
                <w:sz w:val="16"/>
                <w:szCs w:val="16"/>
                <w:u w:val="single"/>
                <w:lang w:eastAsia="sk-SK"/>
              </w:rPr>
            </w:pPr>
          </w:p>
        </w:tc>
      </w:tr>
      <w:tr w:rsidR="009810DC" w:rsidRPr="006B209A" w:rsidTr="009810DC">
        <w:trPr>
          <w:trHeight w:val="271"/>
        </w:trPr>
        <w:tc>
          <w:tcPr>
            <w:tcW w:w="1103" w:type="dxa"/>
            <w:vMerge w:val="restart"/>
            <w:tcBorders>
              <w:top w:val="nil"/>
              <w:bottom w:val="single" w:sz="4" w:space="0" w:color="auto"/>
            </w:tcBorders>
            <w:shd w:val="clear" w:color="auto" w:fill="auto"/>
            <w:noWrap/>
            <w:vAlign w:val="center"/>
            <w:hideMark/>
          </w:tcPr>
          <w:p w:rsidR="009810DC" w:rsidRPr="006B209A" w:rsidRDefault="009810DC" w:rsidP="009810DC">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VŠ</w:t>
            </w:r>
          </w:p>
        </w:tc>
        <w:tc>
          <w:tcPr>
            <w:tcW w:w="2618" w:type="dxa"/>
            <w:gridSpan w:val="2"/>
            <w:vMerge w:val="restart"/>
            <w:tcBorders>
              <w:top w:val="single" w:sz="4" w:space="0" w:color="auto"/>
              <w:bottom w:val="single" w:sz="4" w:space="0" w:color="auto"/>
            </w:tcBorders>
            <w:shd w:val="clear" w:color="auto" w:fill="auto"/>
            <w:vAlign w:val="center"/>
            <w:hideMark/>
          </w:tcPr>
          <w:p w:rsidR="009810DC" w:rsidRPr="006B209A" w:rsidRDefault="009810DC" w:rsidP="009810DC">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Priemerné umiestnenie najlepšej univerzity v medzinárodných rebríčkoch kvality</w:t>
            </w:r>
          </w:p>
        </w:tc>
        <w:tc>
          <w:tcPr>
            <w:tcW w:w="657" w:type="dxa"/>
            <w:tcBorders>
              <w:top w:val="single" w:sz="4" w:space="0" w:color="auto"/>
            </w:tcBorders>
            <w:shd w:val="clear" w:color="auto" w:fill="auto"/>
            <w:noWrap/>
            <w:vAlign w:val="center"/>
            <w:hideMark/>
          </w:tcPr>
          <w:p w:rsidR="009810DC" w:rsidRPr="006B209A" w:rsidRDefault="009810DC" w:rsidP="009810DC">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tcPr>
          <w:p w:rsidR="009810DC" w:rsidRPr="006B209A" w:rsidRDefault="009810DC" w:rsidP="009810DC">
            <w:pPr>
              <w:spacing w:after="0"/>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TBD</w:t>
            </w:r>
          </w:p>
        </w:tc>
        <w:tc>
          <w:tcPr>
            <w:tcW w:w="559" w:type="dxa"/>
            <w:tcBorders>
              <w:top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65" w:type="dxa"/>
            <w:tcBorders>
              <w:top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03" w:type="dxa"/>
            <w:tcBorders>
              <w:top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03" w:type="dxa"/>
            <w:tcBorders>
              <w:top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48" w:type="dxa"/>
            <w:tcBorders>
              <w:top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967" w:type="dxa"/>
            <w:tcBorders>
              <w:top w:val="single" w:sz="4" w:space="0" w:color="auto"/>
            </w:tcBorders>
            <w:shd w:val="clear" w:color="auto" w:fill="auto"/>
            <w:noWrap/>
            <w:vAlign w:val="center"/>
          </w:tcPr>
          <w:p w:rsidR="009810DC" w:rsidRPr="006B209A" w:rsidRDefault="009810DC" w:rsidP="009810DC">
            <w:pPr>
              <w:spacing w:after="0"/>
              <w:jc w:val="center"/>
              <w:rPr>
                <w:rFonts w:ascii="Times New Roman" w:hAnsi="Times New Roman" w:cs="Times New Roman"/>
                <w:sz w:val="16"/>
                <w:szCs w:val="16"/>
              </w:rPr>
            </w:pPr>
            <w:r w:rsidRPr="006B209A">
              <w:rPr>
                <w:rFonts w:ascii="Times New Roman" w:eastAsia="Times New Roman" w:hAnsi="Times New Roman" w:cs="Times New Roman"/>
                <w:color w:val="000000"/>
                <w:sz w:val="16"/>
                <w:szCs w:val="16"/>
                <w:lang w:eastAsia="sk-SK"/>
              </w:rPr>
              <w:t>TBD</w:t>
            </w:r>
          </w:p>
        </w:tc>
        <w:tc>
          <w:tcPr>
            <w:tcW w:w="868" w:type="dxa"/>
            <w:tcBorders>
              <w:top w:val="single" w:sz="4" w:space="0" w:color="auto"/>
            </w:tcBorders>
            <w:shd w:val="clear" w:color="auto" w:fill="auto"/>
            <w:noWrap/>
            <w:vAlign w:val="center"/>
          </w:tcPr>
          <w:p w:rsidR="009810DC" w:rsidRPr="006B209A" w:rsidRDefault="009810DC" w:rsidP="009810DC">
            <w:pPr>
              <w:spacing w:after="0"/>
              <w:jc w:val="center"/>
              <w:rPr>
                <w:rFonts w:ascii="Times New Roman" w:hAnsi="Times New Roman" w:cs="Times New Roman"/>
                <w:sz w:val="16"/>
                <w:szCs w:val="16"/>
              </w:rPr>
            </w:pPr>
            <w:r w:rsidRPr="006B209A">
              <w:rPr>
                <w:rFonts w:ascii="Times New Roman" w:eastAsia="Times New Roman" w:hAnsi="Times New Roman" w:cs="Times New Roman"/>
                <w:color w:val="000000"/>
                <w:sz w:val="16"/>
                <w:szCs w:val="16"/>
                <w:lang w:eastAsia="sk-SK"/>
              </w:rPr>
              <w:t>TBD</w:t>
            </w:r>
          </w:p>
        </w:tc>
      </w:tr>
      <w:tr w:rsidR="009810DC" w:rsidRPr="006B209A" w:rsidTr="009810DC">
        <w:trPr>
          <w:trHeight w:val="271"/>
        </w:trPr>
        <w:tc>
          <w:tcPr>
            <w:tcW w:w="1103" w:type="dxa"/>
            <w:vMerge/>
            <w:tcBorders>
              <w:top w:val="nil"/>
              <w:bottom w:val="single" w:sz="4" w:space="0" w:color="auto"/>
            </w:tcBorders>
            <w:vAlign w:val="center"/>
            <w:hideMark/>
          </w:tcPr>
          <w:p w:rsidR="009810DC" w:rsidRPr="006B209A" w:rsidRDefault="009810DC" w:rsidP="009810DC">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9810DC" w:rsidRPr="006B209A" w:rsidRDefault="009810DC" w:rsidP="009810DC">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9810DC" w:rsidRPr="006B209A" w:rsidRDefault="009810DC" w:rsidP="009810DC">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59"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65"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03"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03"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548" w:type="dxa"/>
            <w:tcBorders>
              <w:bottom w:val="single" w:sz="4" w:space="0" w:color="auto"/>
            </w:tcBorders>
            <w:shd w:val="clear" w:color="auto" w:fill="auto"/>
            <w:noWrap/>
            <w:vAlign w:val="center"/>
          </w:tcPr>
          <w:p w:rsidR="009810DC" w:rsidRPr="006B209A" w:rsidRDefault="009810DC" w:rsidP="009810DC">
            <w:pPr>
              <w:spacing w:after="0"/>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TBD</w:t>
            </w:r>
          </w:p>
        </w:tc>
        <w:tc>
          <w:tcPr>
            <w:tcW w:w="967"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c>
          <w:tcPr>
            <w:tcW w:w="868" w:type="dxa"/>
            <w:tcBorders>
              <w:bottom w:val="single" w:sz="4" w:space="0" w:color="auto"/>
            </w:tcBorders>
            <w:shd w:val="clear" w:color="auto" w:fill="auto"/>
            <w:noWrap/>
            <w:vAlign w:val="center"/>
          </w:tcPr>
          <w:p w:rsidR="009810DC" w:rsidRPr="006B209A" w:rsidRDefault="009810DC" w:rsidP="009810DC">
            <w:pPr>
              <w:spacing w:after="0"/>
              <w:jc w:val="center"/>
            </w:pPr>
            <w:r w:rsidRPr="006B209A">
              <w:rPr>
                <w:rFonts w:ascii="Times New Roman" w:eastAsia="Times New Roman" w:hAnsi="Times New Roman" w:cs="Times New Roman"/>
                <w:color w:val="000000"/>
                <w:sz w:val="16"/>
                <w:szCs w:val="16"/>
                <w:lang w:eastAsia="sk-SK"/>
              </w:rPr>
              <w:t>TBD</w:t>
            </w:r>
          </w:p>
        </w:tc>
      </w:tr>
      <w:tr w:rsidR="00AA17E3" w:rsidRPr="006B209A" w:rsidTr="009810DC">
        <w:trPr>
          <w:trHeight w:val="234"/>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SŠ a VŠ</w:t>
            </w:r>
          </w:p>
        </w:tc>
        <w:tc>
          <w:tcPr>
            <w:tcW w:w="1302" w:type="dxa"/>
            <w:vMerge w:val="restart"/>
            <w:tcBorders>
              <w:top w:val="nil"/>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Odborový nesúlad (v %)</w:t>
            </w:r>
          </w:p>
        </w:tc>
        <w:tc>
          <w:tcPr>
            <w:tcW w:w="1316" w:type="dxa"/>
            <w:vMerge w:val="restart"/>
            <w:tcBorders>
              <w:top w:val="nil"/>
              <w:bottom w:val="single" w:sz="4" w:space="0" w:color="000000"/>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SŠ a VŠ (ISCED 3-8)</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39,7</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40,4</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38,2</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39,2</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37,6</w:t>
            </w:r>
          </w:p>
        </w:tc>
        <w:tc>
          <w:tcPr>
            <w:tcW w:w="548" w:type="dxa"/>
            <w:tcBorders>
              <w:top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35,5</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32,0</w:t>
            </w:r>
          </w:p>
        </w:tc>
      </w:tr>
      <w:tr w:rsidR="00AA17E3" w:rsidRPr="006B209A" w:rsidTr="00414428">
        <w:trPr>
          <w:trHeight w:val="138"/>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02"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16" w:type="dxa"/>
            <w:vMerge/>
            <w:tcBorders>
              <w:bottom w:val="single" w:sz="4" w:space="0" w:color="000000"/>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27,8</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28,6</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28,0</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28,2</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27,9</w:t>
            </w:r>
          </w:p>
        </w:tc>
        <w:tc>
          <w:tcPr>
            <w:tcW w:w="548" w:type="dxa"/>
            <w:tcBorders>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r>
      <w:tr w:rsidR="00AA17E3" w:rsidRPr="006B209A" w:rsidTr="00414428">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02"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16" w:type="dxa"/>
            <w:vMerge w:val="restart"/>
            <w:tcBorders>
              <w:top w:val="nil"/>
              <w:bottom w:val="single" w:sz="4" w:space="0" w:color="000000"/>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VŠ (ISCED 5-8)</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36,6</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35,7</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31,8</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31,8</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30,9</w:t>
            </w:r>
          </w:p>
        </w:tc>
        <w:tc>
          <w:tcPr>
            <w:tcW w:w="548" w:type="dxa"/>
            <w:tcBorders>
              <w:top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28,9</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26,4</w:t>
            </w:r>
          </w:p>
        </w:tc>
      </w:tr>
      <w:tr w:rsidR="00AA17E3" w:rsidRPr="006B209A" w:rsidTr="00414428">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02"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16" w:type="dxa"/>
            <w:vMerge/>
            <w:tcBorders>
              <w:top w:val="nil"/>
              <w:bottom w:val="single" w:sz="4" w:space="0" w:color="000000"/>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27,4</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27,4</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27,2</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27,8</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27,5</w:t>
            </w:r>
          </w:p>
        </w:tc>
        <w:tc>
          <w:tcPr>
            <w:tcW w:w="548" w:type="dxa"/>
            <w:tcBorders>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sz w:val="16"/>
                <w:szCs w:val="16"/>
                <w:lang w:eastAsia="sk-SK"/>
              </w:rPr>
            </w:pPr>
          </w:p>
        </w:tc>
      </w:tr>
      <w:tr w:rsidR="00AA17E3" w:rsidRPr="006B209A" w:rsidTr="00414428">
        <w:trPr>
          <w:trHeight w:val="234"/>
        </w:trPr>
        <w:tc>
          <w:tcPr>
            <w:tcW w:w="1103" w:type="dxa"/>
            <w:vMerge w:val="restart"/>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SŠ a VŠ</w:t>
            </w:r>
          </w:p>
        </w:tc>
        <w:tc>
          <w:tcPr>
            <w:tcW w:w="1302" w:type="dxa"/>
            <w:vMerge w:val="restart"/>
            <w:tcBorders>
              <w:top w:val="nil"/>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 xml:space="preserve">Zamestnanosť absolventov </w:t>
            </w:r>
          </w:p>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 vo vekovej skupine 20-34)</w:t>
            </w:r>
          </w:p>
        </w:tc>
        <w:tc>
          <w:tcPr>
            <w:tcW w:w="1316" w:type="dxa"/>
            <w:vMerge w:val="restart"/>
            <w:tcBorders>
              <w:top w:val="nil"/>
              <w:bottom w:val="single" w:sz="4" w:space="0" w:color="000000"/>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SŠ (ISCED 3-4)</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69,3</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75,9</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80,7</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84,6</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84,8</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80</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85,3</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92,0</w:t>
            </w:r>
          </w:p>
        </w:tc>
      </w:tr>
      <w:tr w:rsidR="00AA17E3" w:rsidRPr="006B209A" w:rsidTr="00414428">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02"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16" w:type="dxa"/>
            <w:vMerge/>
            <w:tcBorders>
              <w:top w:val="nil"/>
              <w:bottom w:val="single" w:sz="4" w:space="0" w:color="000000"/>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68,0</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71,8</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73,2</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75,7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75,5</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72,4</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9810DC">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02"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16" w:type="dxa"/>
            <w:vMerge w:val="restart"/>
            <w:tcBorders>
              <w:top w:val="nil"/>
              <w:bottom w:val="single" w:sz="4" w:space="0" w:color="000000"/>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VŠ (ISCED 5-8)</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80,3</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82,5</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82,1</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82,4</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83,4</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84,9</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88,4</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94,0</w:t>
            </w:r>
          </w:p>
        </w:tc>
      </w:tr>
      <w:tr w:rsidR="00AA17E3" w:rsidRPr="006B209A" w:rsidTr="009810DC">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02"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316" w:type="dxa"/>
            <w:vMerge/>
            <w:tcBorders>
              <w:top w:val="nil"/>
              <w:bottom w:val="single" w:sz="4" w:space="0" w:color="000000"/>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81,6</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82,7</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84,2</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86,2</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86,8</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83,7</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9810DC">
        <w:trPr>
          <w:trHeight w:val="278"/>
        </w:trPr>
        <w:tc>
          <w:tcPr>
            <w:tcW w:w="1103" w:type="dxa"/>
            <w:vMerge w:val="restart"/>
            <w:tcBorders>
              <w:top w:val="nil"/>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Celoživotné vzdelávanie</w:t>
            </w:r>
          </w:p>
        </w:tc>
        <w:tc>
          <w:tcPr>
            <w:tcW w:w="2618" w:type="dxa"/>
            <w:gridSpan w:val="2"/>
            <w:vMerge w:val="restart"/>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Účasť dospelých na vzdelávaní (% vo vekovej skupine 25 - 64 rokov)</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3,1</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2,9</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3,4</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3,6</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2,8</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4,2</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7,0</w:t>
            </w:r>
          </w:p>
        </w:tc>
      </w:tr>
      <w:tr w:rsidR="00AA17E3" w:rsidRPr="006B209A" w:rsidTr="00414428">
        <w:trPr>
          <w:trHeight w:val="278"/>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10,6</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10,7</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11,2</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11,5</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11,7</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414428">
        <w:trPr>
          <w:trHeight w:val="234"/>
        </w:trPr>
        <w:tc>
          <w:tcPr>
            <w:tcW w:w="1103" w:type="dxa"/>
            <w:vMerge w:val="restart"/>
            <w:tcBorders>
              <w:top w:val="nil"/>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Veda, výskum</w:t>
            </w:r>
          </w:p>
        </w:tc>
        <w:tc>
          <w:tcPr>
            <w:tcW w:w="2618" w:type="dxa"/>
            <w:gridSpan w:val="2"/>
            <w:vMerge w:val="restart"/>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European innovation scoreboard (relatívny výkon voči EÚ v %)</w:t>
            </w:r>
          </w:p>
        </w:tc>
        <w:tc>
          <w:tcPr>
            <w:tcW w:w="657" w:type="dxa"/>
            <w:tcBorders>
              <w:top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67,1</w:t>
            </w:r>
          </w:p>
        </w:tc>
        <w:tc>
          <w:tcPr>
            <w:tcW w:w="559"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68,3</w:t>
            </w:r>
          </w:p>
        </w:tc>
        <w:tc>
          <w:tcPr>
            <w:tcW w:w="565"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69,4</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65,0</w:t>
            </w:r>
          </w:p>
        </w:tc>
        <w:tc>
          <w:tcPr>
            <w:tcW w:w="503"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68,6</w:t>
            </w:r>
          </w:p>
        </w:tc>
        <w:tc>
          <w:tcPr>
            <w:tcW w:w="54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71,6</w:t>
            </w:r>
          </w:p>
        </w:tc>
        <w:tc>
          <w:tcPr>
            <w:tcW w:w="967"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79%</w:t>
            </w:r>
          </w:p>
        </w:tc>
        <w:tc>
          <w:tcPr>
            <w:tcW w:w="868" w:type="dxa"/>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r>
      <w:tr w:rsidR="00AA17E3" w:rsidRPr="006B209A" w:rsidTr="00414428">
        <w:trPr>
          <w:trHeight w:val="234"/>
        </w:trPr>
        <w:tc>
          <w:tcPr>
            <w:tcW w:w="1103" w:type="dxa"/>
            <w:vMerge/>
            <w:tcBorders>
              <w:top w:val="nil"/>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2618" w:type="dxa"/>
            <w:gridSpan w:val="2"/>
            <w:vMerge/>
            <w:tcBorders>
              <w:top w:val="single" w:sz="4" w:space="0" w:color="auto"/>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657" w:type="dxa"/>
            <w:tcBorders>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EÚ 27</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c>
          <w:tcPr>
            <w:tcW w:w="559"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c>
          <w:tcPr>
            <w:tcW w:w="565"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c>
          <w:tcPr>
            <w:tcW w:w="503"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c>
          <w:tcPr>
            <w:tcW w:w="54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100</w:t>
            </w:r>
          </w:p>
        </w:tc>
        <w:tc>
          <w:tcPr>
            <w:tcW w:w="967"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868" w:type="dxa"/>
            <w:tcBorders>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6B209A" w:rsidTr="00AA17E3">
        <w:trPr>
          <w:trHeight w:val="234"/>
        </w:trPr>
        <w:tc>
          <w:tcPr>
            <w:tcW w:w="1103" w:type="dxa"/>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Šport</w:t>
            </w:r>
          </w:p>
        </w:tc>
        <w:tc>
          <w:tcPr>
            <w:tcW w:w="2618" w:type="dxa"/>
            <w:gridSpan w:val="2"/>
            <w:tcBorders>
              <w:top w:val="single" w:sz="4" w:space="0" w:color="auto"/>
              <w:bottom w:val="single" w:sz="4" w:space="0" w:color="auto"/>
            </w:tcBorders>
            <w:shd w:val="clear" w:color="auto" w:fill="auto"/>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Podiel ľudí reportujúcich rekreačný šport v typický týždeň</w:t>
            </w:r>
          </w:p>
        </w:tc>
        <w:tc>
          <w:tcPr>
            <w:tcW w:w="657" w:type="dxa"/>
            <w:tcBorders>
              <w:top w:val="nil"/>
              <w:bottom w:val="single" w:sz="4" w:space="0" w:color="auto"/>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SK</w:t>
            </w:r>
          </w:p>
        </w:tc>
        <w:tc>
          <w:tcPr>
            <w:tcW w:w="503" w:type="dxa"/>
            <w:tcBorders>
              <w:top w:val="nil"/>
              <w:bottom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59"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65"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03"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03"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548"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p>
        </w:tc>
        <w:tc>
          <w:tcPr>
            <w:tcW w:w="967"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TBD</w:t>
            </w:r>
          </w:p>
        </w:tc>
        <w:tc>
          <w:tcPr>
            <w:tcW w:w="868" w:type="dxa"/>
            <w:tcBorders>
              <w:top w:val="nil"/>
              <w:bottom w:val="single" w:sz="4" w:space="0" w:color="auto"/>
            </w:tcBorders>
            <w:shd w:val="clear" w:color="auto" w:fill="auto"/>
            <w:noWrap/>
            <w:vAlign w:val="center"/>
          </w:tcPr>
          <w:p w:rsidR="00AA17E3" w:rsidRPr="006B209A"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TBD</w:t>
            </w:r>
          </w:p>
        </w:tc>
      </w:tr>
    </w:tbl>
    <w:p w:rsidR="00AA17E3" w:rsidRPr="006B209A" w:rsidRDefault="00AA17E3" w:rsidP="00AA17E3">
      <w:pPr>
        <w:spacing w:after="0" w:line="240" w:lineRule="auto"/>
        <w:ind w:right="-23"/>
        <w:jc w:val="both"/>
        <w:rPr>
          <w:rFonts w:ascii="Times New Roman" w:hAnsi="Times New Roman" w:cs="Times New Roman"/>
          <w:bCs/>
          <w:i/>
          <w:sz w:val="16"/>
          <w:szCs w:val="24"/>
          <w:lang w:eastAsia="sk-SK"/>
        </w:rPr>
      </w:pPr>
      <w:r w:rsidRPr="006B209A">
        <w:rPr>
          <w:rFonts w:ascii="Times New Roman" w:hAnsi="Times New Roman" w:cs="Times New Roman"/>
          <w:bCs/>
          <w:i/>
          <w:sz w:val="16"/>
          <w:szCs w:val="24"/>
          <w:lang w:eastAsia="sk-SK"/>
        </w:rPr>
        <w:t>* Stanovený cieľ na rok 2024 a 2030 pre výsledky z PISA sa môže indikatívne zmeniť na iný rok, podľa uskutočnenia PISA testovania, ktoré by malo byť posunuté na rok 2025 a následne sa zvažuje zmena z 3 ročnej frekvencie na dlhšiu.</w:t>
      </w:r>
    </w:p>
    <w:p w:rsidR="00AA17E3" w:rsidRPr="004F0A0C" w:rsidRDefault="00AA17E3" w:rsidP="00AA17E3">
      <w:pPr>
        <w:spacing w:after="0" w:line="240" w:lineRule="auto"/>
        <w:ind w:right="-23"/>
        <w:jc w:val="both"/>
        <w:rPr>
          <w:rFonts w:ascii="Times New Roman" w:hAnsi="Times New Roman" w:cs="Times New Roman"/>
          <w:bCs/>
          <w:i/>
          <w:sz w:val="20"/>
          <w:szCs w:val="20"/>
          <w:lang w:eastAsia="sk-SK"/>
        </w:rPr>
      </w:pP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r w:rsidRPr="006B209A">
        <w:rPr>
          <w:rFonts w:ascii="Times New Roman" w:hAnsi="Times New Roman" w:cs="Times New Roman"/>
          <w:bCs/>
          <w:sz w:val="24"/>
          <w:szCs w:val="24"/>
          <w:lang w:eastAsia="sk-SK"/>
        </w:rPr>
        <w:t>Slovensko potre</w:t>
      </w:r>
      <w:r w:rsidR="00AC2B52">
        <w:rPr>
          <w:rFonts w:ascii="Times New Roman" w:hAnsi="Times New Roman" w:cs="Times New Roman"/>
          <w:bCs/>
          <w:sz w:val="24"/>
          <w:szCs w:val="24"/>
          <w:lang w:eastAsia="sk-SK"/>
        </w:rPr>
        <w:t>buje zlepšiť rovnosť prístupu ku</w:t>
      </w:r>
      <w:r w:rsidRPr="006B209A">
        <w:rPr>
          <w:rFonts w:ascii="Times New Roman" w:hAnsi="Times New Roman" w:cs="Times New Roman"/>
          <w:bCs/>
          <w:sz w:val="24"/>
          <w:szCs w:val="24"/>
          <w:lang w:eastAsia="sk-SK"/>
        </w:rPr>
        <w:t xml:space="preserve"> vzdelávaniu.</w:t>
      </w:r>
      <w:r w:rsidRPr="006B209A">
        <w:rPr>
          <w:rFonts w:ascii="Times New Roman" w:hAnsi="Times New Roman" w:cs="Times New Roman"/>
          <w:b/>
          <w:bCs/>
          <w:sz w:val="24"/>
          <w:szCs w:val="24"/>
          <w:lang w:eastAsia="sk-SK"/>
        </w:rPr>
        <w:t xml:space="preserve"> </w:t>
      </w:r>
      <w:r w:rsidRPr="006B209A">
        <w:rPr>
          <w:rFonts w:ascii="Times New Roman" w:hAnsi="Times New Roman" w:cs="Times New Roman"/>
          <w:sz w:val="24"/>
          <w:szCs w:val="24"/>
          <w:lang w:eastAsia="sk-SK"/>
        </w:rPr>
        <w:t xml:space="preserve">Vo všeobecnosti je slovenský vzdelávací systém </w:t>
      </w:r>
      <w:r w:rsidRPr="00AC2B52">
        <w:rPr>
          <w:rFonts w:ascii="Times New Roman" w:hAnsi="Times New Roman" w:cs="Times New Roman"/>
          <w:sz w:val="24"/>
          <w:szCs w:val="24"/>
          <w:lang w:eastAsia="sk-SK"/>
        </w:rPr>
        <w:t>dostupný</w:t>
      </w:r>
      <w:r w:rsidRPr="00AC2B52">
        <w:rPr>
          <w:rFonts w:ascii="Times New Roman" w:hAnsi="Times New Roman" w:cs="Times New Roman"/>
          <w:sz w:val="24"/>
          <w:szCs w:val="24"/>
          <w:vertAlign w:val="superscript"/>
          <w:lang w:eastAsia="sk-SK"/>
        </w:rPr>
        <w:footnoteReference w:id="37"/>
      </w:r>
      <w:r w:rsidRPr="00AC2B52">
        <w:rPr>
          <w:rFonts w:ascii="Times New Roman" w:hAnsi="Times New Roman" w:cs="Times New Roman"/>
          <w:sz w:val="24"/>
          <w:szCs w:val="24"/>
          <w:lang w:eastAsia="sk-SK"/>
        </w:rPr>
        <w:t>,</w:t>
      </w:r>
      <w:r w:rsidRPr="006B209A">
        <w:rPr>
          <w:rFonts w:ascii="Times New Roman" w:hAnsi="Times New Roman" w:cs="Times New Roman"/>
          <w:sz w:val="24"/>
          <w:szCs w:val="24"/>
          <w:lang w:eastAsia="sk-SK"/>
        </w:rPr>
        <w:t xml:space="preserve"> existuje však značný podiel detí a žiakov, ktorých prístup ku vzdelávaniu je obmedzený. Nízky podiel zaškolenosti detí v predprimárnom vzdelávaní sa týka hlavne detí zo sociálne znevýhodneného prostredia, detí z marginalizovaných skupín a detí so zdravotným znevýhodnením</w:t>
      </w:r>
      <w:r w:rsidRPr="00AC2B52">
        <w:rPr>
          <w:rFonts w:ascii="Times New Roman" w:hAnsi="Times New Roman" w:cs="Times New Roman"/>
          <w:sz w:val="24"/>
          <w:szCs w:val="24"/>
          <w:vertAlign w:val="superscript"/>
          <w:lang w:eastAsia="sk-SK"/>
        </w:rPr>
        <w:footnoteReference w:id="38"/>
      </w:r>
      <w:r w:rsidRPr="00AC2B52">
        <w:rPr>
          <w:rFonts w:ascii="Times New Roman" w:hAnsi="Times New Roman" w:cs="Times New Roman"/>
          <w:sz w:val="24"/>
          <w:szCs w:val="24"/>
          <w:lang w:eastAsia="sk-SK"/>
        </w:rPr>
        <w:t>.</w:t>
      </w:r>
      <w:r w:rsidRPr="006B209A">
        <w:rPr>
          <w:rFonts w:ascii="Times New Roman" w:hAnsi="Times New Roman" w:cs="Times New Roman"/>
          <w:sz w:val="24"/>
          <w:szCs w:val="24"/>
          <w:lang w:eastAsia="sk-SK"/>
        </w:rPr>
        <w:t xml:space="preserve"> </w:t>
      </w: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r w:rsidRPr="006B209A">
        <w:rPr>
          <w:rFonts w:ascii="Times New Roman" w:hAnsi="Times New Roman" w:cs="Times New Roman"/>
          <w:sz w:val="24"/>
          <w:szCs w:val="24"/>
          <w:lang w:eastAsia="sk-SK"/>
        </w:rPr>
        <w:t xml:space="preserve">Žiakom slabšie pripraveným pri vstupe na povinnú školskú dochádzku nevie vzdelávací systém v súčasnosti dostatočne pomôcť dobehnúť rovesníkov – naopak, až približne tretina žiakov nedosahuje základnú úroveň čitateľskej gramotnosti v testovaní  PISA. Podiel mladých ľudí predčasne ukončujúcich vzdelávanie sa po náraste od roku 2010 v posledných rokoch stabilizoval a zostáva pod úrovňou priemeru EÚ. Títo následne čelia nízkemu uplatneniu na trhu práce a vo všeobecnosti nižšej kvalite života. </w:t>
      </w: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r w:rsidRPr="006B209A">
        <w:rPr>
          <w:rFonts w:ascii="Times New Roman" w:hAnsi="Times New Roman" w:cs="Times New Roman"/>
          <w:bCs/>
          <w:sz w:val="24"/>
          <w:szCs w:val="24"/>
          <w:lang w:eastAsia="sk-SK"/>
        </w:rPr>
        <w:t>Napriek uspokojivej zamestnanosti absolventov stredných škôl pretrváva relatívne vysoký odborový nesúlad</w:t>
      </w:r>
      <w:r w:rsidRPr="00935574">
        <w:rPr>
          <w:rFonts w:ascii="Times New Roman" w:hAnsi="Times New Roman" w:cs="Times New Roman"/>
          <w:sz w:val="24"/>
          <w:szCs w:val="24"/>
          <w:vertAlign w:val="superscript"/>
          <w:lang w:eastAsia="sk-SK"/>
        </w:rPr>
        <w:footnoteReference w:id="39"/>
      </w:r>
      <w:r w:rsidRPr="006B209A">
        <w:rPr>
          <w:rFonts w:ascii="Times New Roman" w:hAnsi="Times New Roman" w:cs="Times New Roman"/>
          <w:sz w:val="24"/>
          <w:szCs w:val="24"/>
          <w:lang w:eastAsia="sk-SK"/>
        </w:rPr>
        <w:t>.</w:t>
      </w:r>
      <w:r w:rsidRPr="006B209A">
        <w:rPr>
          <w:rFonts w:ascii="Times New Roman" w:hAnsi="Times New Roman" w:cs="Times New Roman"/>
          <w:bCs/>
          <w:sz w:val="24"/>
          <w:szCs w:val="24"/>
          <w:lang w:eastAsia="sk-SK"/>
        </w:rPr>
        <w:t xml:space="preserve"> Na Slovensku pretrvávajúca slabá</w:t>
      </w:r>
      <w:r w:rsidRPr="006B209A">
        <w:rPr>
          <w:rFonts w:ascii="Times New Roman" w:hAnsi="Times New Roman" w:cs="Times New Roman"/>
          <w:sz w:val="24"/>
          <w:szCs w:val="24"/>
          <w:lang w:eastAsia="sk-SK"/>
        </w:rPr>
        <w:t xml:space="preserve"> podpora kariérového poradenstva ústi do nedostatočnej pomoci školám, žiakom a rodičom zorientovať sa v trendoch na trhu práce a následne pri kvalitnom výbere strednej školy. </w:t>
      </w: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r w:rsidRPr="006B209A">
        <w:rPr>
          <w:rFonts w:ascii="Times New Roman" w:hAnsi="Times New Roman" w:cs="Times New Roman"/>
          <w:bCs/>
          <w:sz w:val="24"/>
          <w:szCs w:val="24"/>
          <w:lang w:eastAsia="sk-SK"/>
        </w:rPr>
        <w:t>Motivácie na získanie vysokoškolského štúdia sú deformované orientáciou študentov a zamestnávateľov na stupeň vzdelania a nie reálne vedomosti a schopnosti</w:t>
      </w:r>
      <w:r w:rsidRPr="006B209A">
        <w:rPr>
          <w:rFonts w:ascii="Times New Roman" w:hAnsi="Times New Roman" w:cs="Times New Roman"/>
          <w:sz w:val="24"/>
          <w:szCs w:val="24"/>
          <w:lang w:eastAsia="sk-SK"/>
        </w:rPr>
        <w:t>. Za poslednú dekádu sa podiel vysokoškolsky vzdelanej populácie mladých zdvojnásobil</w:t>
      </w:r>
      <w:r w:rsidRPr="00AC2B52">
        <w:rPr>
          <w:rFonts w:ascii="Times New Roman" w:hAnsi="Times New Roman" w:cs="Times New Roman"/>
          <w:sz w:val="24"/>
          <w:szCs w:val="24"/>
          <w:vertAlign w:val="superscript"/>
          <w:lang w:eastAsia="sk-SK"/>
        </w:rPr>
        <w:footnoteReference w:id="40"/>
      </w:r>
      <w:r w:rsidRPr="00AC2B52">
        <w:rPr>
          <w:rFonts w:ascii="Times New Roman" w:hAnsi="Times New Roman" w:cs="Times New Roman"/>
          <w:sz w:val="24"/>
          <w:szCs w:val="24"/>
          <w:lang w:eastAsia="sk-SK"/>
        </w:rPr>
        <w:t>.</w:t>
      </w:r>
      <w:r w:rsidRPr="006B209A">
        <w:rPr>
          <w:rFonts w:ascii="Times New Roman" w:hAnsi="Times New Roman" w:cs="Times New Roman"/>
          <w:sz w:val="24"/>
          <w:szCs w:val="24"/>
          <w:lang w:eastAsia="sk-SK"/>
        </w:rPr>
        <w:t xml:space="preserve"> Nadmerné požiadavky vysokoškolské vzdelávanie druhého stupňa pre väčšinu povolaní vyústili do jedného z najväčších podielov magisterských absolventov na Slovensku v medzinárodnom </w:t>
      </w:r>
      <w:r w:rsidRPr="00DD6AD9">
        <w:rPr>
          <w:rFonts w:ascii="Times New Roman" w:hAnsi="Times New Roman" w:cs="Times New Roman"/>
          <w:sz w:val="24"/>
          <w:szCs w:val="24"/>
          <w:lang w:eastAsia="sk-SK"/>
        </w:rPr>
        <w:t>porovnaní</w:t>
      </w:r>
      <w:r w:rsidRPr="00DD6AD9">
        <w:rPr>
          <w:rFonts w:ascii="Times New Roman" w:hAnsi="Times New Roman" w:cs="Times New Roman"/>
          <w:sz w:val="24"/>
          <w:szCs w:val="24"/>
          <w:vertAlign w:val="superscript"/>
          <w:lang w:eastAsia="sk-SK"/>
        </w:rPr>
        <w:footnoteReference w:id="41"/>
      </w:r>
      <w:r w:rsidRPr="006B209A">
        <w:rPr>
          <w:rFonts w:ascii="Times New Roman" w:hAnsi="Times New Roman" w:cs="Times New Roman"/>
          <w:sz w:val="24"/>
          <w:szCs w:val="24"/>
          <w:lang w:eastAsia="sk-SK"/>
        </w:rPr>
        <w:t xml:space="preserve">. Nízke pozície slovenských vysokých škôl v medzinárodných rebríčkoch ovplyvňujú aj správanie sa študentov, veľké </w:t>
      </w:r>
      <w:r w:rsidRPr="00DD6AD9">
        <w:rPr>
          <w:rFonts w:ascii="Times New Roman" w:hAnsi="Times New Roman" w:cs="Times New Roman"/>
          <w:sz w:val="24"/>
          <w:szCs w:val="24"/>
          <w:lang w:eastAsia="sk-SK"/>
        </w:rPr>
        <w:t>percento</w:t>
      </w:r>
      <w:r w:rsidRPr="00DD6AD9">
        <w:rPr>
          <w:rFonts w:ascii="Times New Roman" w:hAnsi="Times New Roman" w:cs="Times New Roman"/>
          <w:sz w:val="24"/>
          <w:szCs w:val="24"/>
          <w:vertAlign w:val="superscript"/>
          <w:lang w:eastAsia="sk-SK"/>
        </w:rPr>
        <w:footnoteReference w:id="42"/>
      </w:r>
      <w:r w:rsidRPr="006B209A">
        <w:rPr>
          <w:rFonts w:ascii="Times New Roman" w:hAnsi="Times New Roman" w:cs="Times New Roman"/>
          <w:sz w:val="24"/>
          <w:szCs w:val="24"/>
          <w:lang w:eastAsia="sk-SK"/>
        </w:rPr>
        <w:t xml:space="preserve"> najmä najlepších maturantov si volí vysokoškolské štúdium v zahraničí. </w:t>
      </w: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r w:rsidRPr="006B209A">
        <w:rPr>
          <w:rFonts w:ascii="Times New Roman" w:hAnsi="Times New Roman" w:cs="Times New Roman"/>
          <w:bCs/>
          <w:sz w:val="24"/>
          <w:szCs w:val="24"/>
          <w:lang w:eastAsia="sk-SK"/>
        </w:rPr>
        <w:t xml:space="preserve">Základný výskum na vysokých školách je nedostatočne prepojený s aplikovaným výskumom v spolupráci so súkromným sektorom. </w:t>
      </w:r>
      <w:r w:rsidRPr="006B209A">
        <w:rPr>
          <w:rFonts w:ascii="Times New Roman" w:hAnsi="Times New Roman" w:cs="Times New Roman"/>
          <w:sz w:val="24"/>
          <w:szCs w:val="24"/>
          <w:lang w:eastAsia="sk-SK"/>
        </w:rPr>
        <w:t xml:space="preserve">Súčasný systém financovania vedy a výskumu sa nedostatočne sústreďuje na kvalitné vedecké výstupy a zároveň nemotivuje vysoké školy k ich profilácii na iné strategické ciele, ako napríklad ponuka profesijne orientovaných študijných programov. Kvalita vedy a výskumu, meraná indexom „European innovation scoreboard“, je približne na 72 % priemerného výkonu EÚ. </w:t>
      </w:r>
    </w:p>
    <w:p w:rsidR="00AA17E3" w:rsidRPr="006B209A" w:rsidRDefault="00AA17E3" w:rsidP="00AA17E3">
      <w:pPr>
        <w:spacing w:after="0" w:line="240" w:lineRule="auto"/>
        <w:ind w:right="-23"/>
        <w:jc w:val="both"/>
        <w:rPr>
          <w:rFonts w:ascii="Times New Roman" w:hAnsi="Times New Roman" w:cs="Times New Roman"/>
          <w:sz w:val="24"/>
          <w:szCs w:val="24"/>
          <w:lang w:eastAsia="sk-SK"/>
        </w:rPr>
      </w:pPr>
    </w:p>
    <w:p w:rsidR="00AA17E3" w:rsidRDefault="00AA17E3" w:rsidP="00877233">
      <w:pPr>
        <w:spacing w:after="0"/>
        <w:jc w:val="both"/>
        <w:rPr>
          <w:rFonts w:ascii="Times New Roman" w:hAnsi="Times New Roman" w:cs="Times New Roman"/>
          <w:sz w:val="24"/>
          <w:szCs w:val="24"/>
          <w:lang w:eastAsia="sk-SK"/>
        </w:rPr>
      </w:pPr>
      <w:r w:rsidRPr="006B209A">
        <w:rPr>
          <w:rFonts w:ascii="Times New Roman" w:hAnsi="Times New Roman" w:cs="Times New Roman"/>
          <w:sz w:val="24"/>
          <w:szCs w:val="24"/>
          <w:lang w:eastAsia="sk-SK"/>
        </w:rPr>
        <w:t>Miera účasti dospelých na vzdelávaní je v európskom porovnaní nízka, dominujú menej časté a krátke vzdelávacie aktivity prevažne u zamestnávateľov. Motivácie jednotlivcov pre kontinuálne vzdelávanie nad rámec získania stupňa vzdelania sú v porovnaní s OECD krajinami veľmi nízke</w:t>
      </w:r>
      <w:r w:rsidRPr="006B209A">
        <w:rPr>
          <w:rFonts w:ascii="Times New Roman" w:hAnsi="Times New Roman" w:cs="Times New Roman"/>
          <w:sz w:val="24"/>
          <w:szCs w:val="24"/>
          <w:vertAlign w:val="superscript"/>
          <w:lang w:eastAsia="sk-SK"/>
        </w:rPr>
        <w:footnoteReference w:id="43"/>
      </w:r>
      <w:r w:rsidRPr="006B209A">
        <w:rPr>
          <w:rFonts w:ascii="Times New Roman" w:hAnsi="Times New Roman" w:cs="Times New Roman"/>
          <w:sz w:val="24"/>
          <w:szCs w:val="24"/>
          <w:lang w:eastAsia="sk-SK"/>
        </w:rPr>
        <w:t xml:space="preserve">. Súčasná štruktúra vzdelávacieho systému nedostatočne reflektuje potreby dospelej populácie o udržanie, dopĺňanie a zvyšovanie zručností počas celého produktívneho života. Nedostatočné základné zručnosti nízkovzdelaných dospelých bránia v ich účasti na existujúcich intervenciách zo strany štátu. </w:t>
      </w:r>
    </w:p>
    <w:p w:rsidR="00877233" w:rsidRPr="006B209A" w:rsidRDefault="00877233" w:rsidP="00877233">
      <w:pPr>
        <w:spacing w:after="0"/>
        <w:jc w:val="both"/>
        <w:rPr>
          <w:rFonts w:ascii="Times New Roman" w:hAnsi="Times New Roman" w:cs="Times New Roman"/>
          <w:sz w:val="24"/>
          <w:szCs w:val="24"/>
          <w:lang w:eastAsia="sk-SK"/>
        </w:rPr>
      </w:pPr>
    </w:p>
    <w:p w:rsidR="00AA17E3" w:rsidRPr="006B209A" w:rsidRDefault="00AA17E3" w:rsidP="00877233">
      <w:pPr>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Výdavky zo štátneho rozpočtu do vzdelávania, vedy, výskumu a športu zahŕňajú výdavky kapitol Ministerstva školstva, vedy, výskumu a športu SR, Ministerstva vnútra SR, Ministerstva obrany SR, Ministerstva zdravotníctva SR, Slovenskej akadémie vied a subjektov verejnej správy – verejné vysoké školy, Fond na podporu vzdelávania a Fond na podporu športu. </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192" w:name="_Toc53054784"/>
      <w:bookmarkStart w:id="193" w:name="_Toc53077976"/>
      <w:bookmarkStart w:id="194" w:name="_Toc53086378"/>
      <w:bookmarkStart w:id="195" w:name="_Toc84528402"/>
      <w:bookmarkStart w:id="196" w:name="_Toc84845278"/>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54</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vzdelávanie, vedu, výskum a šport</w:t>
      </w:r>
      <w:bookmarkEnd w:id="192"/>
      <w:bookmarkEnd w:id="193"/>
      <w:bookmarkEnd w:id="194"/>
      <w:bookmarkEnd w:id="195"/>
      <w:bookmarkEnd w:id="196"/>
    </w:p>
    <w:tbl>
      <w:tblPr>
        <w:tblW w:w="5000" w:type="pct"/>
        <w:tblCellMar>
          <w:left w:w="70" w:type="dxa"/>
          <w:right w:w="70" w:type="dxa"/>
        </w:tblCellMar>
        <w:tblLook w:val="04A0" w:firstRow="1" w:lastRow="0" w:firstColumn="1" w:lastColumn="0" w:noHBand="0" w:noVBand="1"/>
      </w:tblPr>
      <w:tblGrid>
        <w:gridCol w:w="3341"/>
        <w:gridCol w:w="890"/>
        <w:gridCol w:w="807"/>
        <w:gridCol w:w="807"/>
        <w:gridCol w:w="807"/>
        <w:gridCol w:w="807"/>
        <w:gridCol w:w="807"/>
        <w:gridCol w:w="806"/>
      </w:tblGrid>
      <w:tr w:rsidR="00AA17E3" w:rsidRPr="006B209A" w:rsidTr="00AA17E3">
        <w:trPr>
          <w:trHeight w:val="255"/>
        </w:trPr>
        <w:tc>
          <w:tcPr>
            <w:tcW w:w="176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502"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Výdavky na vzdelávanie, vedu, výskum a šport</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3 267 558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3 515 068</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3 571 296</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3 930 756</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4 029 854</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3 943 757</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3 425 449</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Výdavky na regionálne školstvo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1 979 443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2 202 546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2 282 783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2 296 006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2 568 164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2 462 036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2 221 600</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na vysoké školstvo*</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871 565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904 757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863 000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1 101 968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923 619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992 029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884 879</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na vedu a techniku**</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241 897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224 375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208 602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241 331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237 253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209 741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169 796</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Výdavky na šport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109 757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97 581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135 557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146 285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120 985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105 030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105 030</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na administratívu</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33 384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34 897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38 595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40 707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55 380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56 214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44 139</w:t>
            </w:r>
          </w:p>
        </w:tc>
      </w:tr>
      <w:tr w:rsidR="00AA17E3" w:rsidRPr="006B209A" w:rsidTr="00AA17E3">
        <w:trPr>
          <w:trHeight w:val="255"/>
        </w:trPr>
        <w:tc>
          <w:tcPr>
            <w:tcW w:w="176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z EÚ a SP neuvádzané v oblastiach</w:t>
            </w:r>
          </w:p>
        </w:tc>
        <w:tc>
          <w:tcPr>
            <w:tcW w:w="50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31 511</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50 912</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42 753</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104 452</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124 448</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118 704</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r>
    </w:tbl>
    <w:p w:rsidR="00AA17E3" w:rsidRPr="006B209A" w:rsidRDefault="00AA17E3" w:rsidP="00AA17E3">
      <w:pPr>
        <w:spacing w:after="0" w:line="240" w:lineRule="auto"/>
        <w:rPr>
          <w:rFonts w:ascii="Times New Roman" w:hAnsi="Times New Roman" w:cs="Times New Roman"/>
          <w:i/>
          <w:sz w:val="16"/>
          <w:szCs w:val="16"/>
        </w:rPr>
      </w:pPr>
      <w:r w:rsidRPr="006B209A">
        <w:rPr>
          <w:rFonts w:ascii="Times New Roman" w:hAnsi="Times New Roman" w:cs="Times New Roman"/>
          <w:i/>
          <w:sz w:val="14"/>
          <w:szCs w:val="14"/>
        </w:rPr>
        <w:t xml:space="preserve">* s výdavkami APVV určenými pre VVŠ a EÚ a SP pre VVŠ z vedy a techniky </w:t>
      </w:r>
      <w:r w:rsidR="001D68BE">
        <w:rPr>
          <w:rFonts w:ascii="Times New Roman" w:hAnsi="Times New Roman" w:cs="Times New Roman"/>
          <w:i/>
          <w:sz w:val="14"/>
          <w:szCs w:val="14"/>
        </w:rPr>
        <w:t>a POO</w:t>
      </w:r>
      <w:r w:rsidRPr="006B209A">
        <w:rPr>
          <w:rFonts w:ascii="Times New Roman" w:hAnsi="Times New Roman" w:cs="Times New Roman"/>
          <w:i/>
          <w:sz w:val="14"/>
          <w:szCs w:val="14"/>
        </w:rPr>
        <w:t xml:space="preserve">                                                                     </w:t>
      </w:r>
      <w:r w:rsidR="001D68BE">
        <w:rPr>
          <w:rFonts w:ascii="Times New Roman" w:hAnsi="Times New Roman" w:cs="Times New Roman"/>
          <w:i/>
          <w:sz w:val="14"/>
          <w:szCs w:val="14"/>
        </w:rPr>
        <w:t xml:space="preserve">                         </w:t>
      </w:r>
      <w:r w:rsidRPr="006B209A">
        <w:rPr>
          <w:rFonts w:ascii="Times New Roman" w:hAnsi="Times New Roman" w:cs="Times New Roman"/>
          <w:i/>
          <w:sz w:val="14"/>
          <w:szCs w:val="14"/>
        </w:rPr>
        <w:t xml:space="preserve">   </w:t>
      </w:r>
      <w:r w:rsidRPr="006B209A">
        <w:rPr>
          <w:rFonts w:ascii="Times New Roman" w:hAnsi="Times New Roman" w:cs="Times New Roman"/>
          <w:i/>
          <w:sz w:val="16"/>
          <w:szCs w:val="16"/>
        </w:rPr>
        <w:t>Zdroj: MF SR</w:t>
      </w:r>
    </w:p>
    <w:p w:rsidR="00AA17E3" w:rsidRPr="006B209A" w:rsidRDefault="00AA17E3" w:rsidP="001D68BE">
      <w:pPr>
        <w:spacing w:after="0" w:line="240" w:lineRule="auto"/>
        <w:rPr>
          <w:rFonts w:ascii="Times New Roman" w:hAnsi="Times New Roman" w:cs="Times New Roman"/>
          <w:i/>
          <w:sz w:val="14"/>
          <w:szCs w:val="14"/>
        </w:rPr>
      </w:pPr>
      <w:r w:rsidRPr="006B209A">
        <w:rPr>
          <w:rFonts w:ascii="Times New Roman" w:hAnsi="Times New Roman" w:cs="Times New Roman"/>
          <w:i/>
          <w:sz w:val="14"/>
          <w:szCs w:val="14"/>
        </w:rPr>
        <w:t>** bez vysokoškolskej vedy, bez výdavkov z APVV pre VVŠ a bez EÚ a SP pre VVŠ</w:t>
      </w:r>
    </w:p>
    <w:p w:rsidR="001D68BE" w:rsidRDefault="001D68BE" w:rsidP="001D68BE">
      <w:pPr>
        <w:spacing w:after="0"/>
        <w:rPr>
          <w:rFonts w:ascii="Times New Roman" w:hAnsi="Times New Roman" w:cs="Times New Roman"/>
          <w:color w:val="000000"/>
          <w:lang w:eastAsia="sk-SK"/>
        </w:rPr>
      </w:pPr>
    </w:p>
    <w:p w:rsidR="00AA17E3" w:rsidRPr="006B209A" w:rsidRDefault="00AA17E3" w:rsidP="00935574">
      <w:pPr>
        <w:spacing w:after="0" w:line="240" w:lineRule="auto"/>
        <w:rPr>
          <w:rFonts w:ascii="Times New Roman" w:hAnsi="Times New Roman" w:cs="Times New Roman"/>
          <w:color w:val="000000"/>
          <w:sz w:val="24"/>
          <w:szCs w:val="24"/>
          <w:lang w:eastAsia="sk-SK"/>
        </w:rPr>
      </w:pPr>
      <w:r w:rsidRPr="006B209A">
        <w:rPr>
          <w:rFonts w:ascii="Times New Roman" w:hAnsi="Times New Roman" w:cs="Times New Roman"/>
          <w:color w:val="000000"/>
          <w:sz w:val="24"/>
          <w:szCs w:val="24"/>
          <w:lang w:eastAsia="sk-SK"/>
        </w:rPr>
        <w:t>V uvedených výdavkoch na rok 2022 je premietnuté nasledujúce zvýšenie výdavkov:</w:t>
      </w:r>
    </w:p>
    <w:p w:rsidR="00AA17E3" w:rsidRPr="006B209A" w:rsidRDefault="00AA17E3" w:rsidP="00935574">
      <w:pPr>
        <w:numPr>
          <w:ilvl w:val="0"/>
          <w:numId w:val="16"/>
        </w:numPr>
        <w:spacing w:after="200" w:line="240" w:lineRule="auto"/>
        <w:contextualSpacing/>
        <w:jc w:val="both"/>
        <w:rPr>
          <w:rFonts w:ascii="Times New Roman" w:eastAsia="Times New Roman" w:hAnsi="Times New Roman" w:cs="Courier"/>
          <w:bCs/>
          <w:sz w:val="24"/>
          <w:szCs w:val="24"/>
          <w:lang w:eastAsia="cs-CZ"/>
        </w:rPr>
      </w:pPr>
      <w:r w:rsidRPr="006B209A">
        <w:rPr>
          <w:rFonts w:ascii="Times New Roman" w:eastAsia="Times New Roman" w:hAnsi="Times New Roman" w:cs="Courier"/>
          <w:bCs/>
          <w:sz w:val="24"/>
          <w:szCs w:val="24"/>
          <w:lang w:eastAsia="cs-CZ"/>
        </w:rPr>
        <w:t>390 mil. eur z Plánu obnovy a odolnosti Slovenskej republiky,</w:t>
      </w:r>
    </w:p>
    <w:p w:rsidR="00AA17E3" w:rsidRPr="006B209A" w:rsidRDefault="00AA17E3" w:rsidP="00935574">
      <w:pPr>
        <w:numPr>
          <w:ilvl w:val="0"/>
          <w:numId w:val="16"/>
        </w:numPr>
        <w:spacing w:after="200" w:line="240" w:lineRule="auto"/>
        <w:contextualSpacing/>
        <w:jc w:val="both"/>
        <w:rPr>
          <w:rFonts w:ascii="Times New Roman" w:eastAsia="Times New Roman" w:hAnsi="Times New Roman" w:cs="Courier"/>
          <w:bCs/>
          <w:sz w:val="24"/>
          <w:szCs w:val="24"/>
          <w:lang w:eastAsia="cs-CZ"/>
        </w:rPr>
      </w:pPr>
      <w:r w:rsidRPr="006B209A">
        <w:rPr>
          <w:rFonts w:ascii="Times New Roman" w:eastAsia="Times New Roman" w:hAnsi="Times New Roman" w:cs="Courier"/>
          <w:bCs/>
          <w:sz w:val="24"/>
          <w:szCs w:val="24"/>
          <w:lang w:eastAsia="cs-CZ"/>
        </w:rPr>
        <w:t>141 mil. eur zo štrukturálnych fondov EÚ vrátane spolufinancovania,</w:t>
      </w:r>
    </w:p>
    <w:p w:rsidR="00AA17E3" w:rsidRPr="006B209A" w:rsidRDefault="00AA17E3" w:rsidP="00935574">
      <w:pPr>
        <w:numPr>
          <w:ilvl w:val="0"/>
          <w:numId w:val="16"/>
        </w:numPr>
        <w:spacing w:after="200" w:line="240" w:lineRule="auto"/>
        <w:contextualSpacing/>
        <w:jc w:val="both"/>
        <w:rPr>
          <w:rFonts w:ascii="Times New Roman" w:eastAsia="Times New Roman" w:hAnsi="Times New Roman" w:cs="Courier"/>
          <w:bCs/>
          <w:sz w:val="24"/>
          <w:szCs w:val="24"/>
          <w:lang w:eastAsia="cs-CZ"/>
        </w:rPr>
      </w:pPr>
      <w:r w:rsidRPr="006B209A">
        <w:rPr>
          <w:rFonts w:ascii="Times New Roman" w:eastAsia="Times New Roman" w:hAnsi="Times New Roman" w:cs="Courier"/>
          <w:bCs/>
          <w:sz w:val="24"/>
          <w:szCs w:val="24"/>
          <w:lang w:eastAsia="cs-CZ"/>
        </w:rPr>
        <w:t>11,5 mil. eur na financovanie športovej infraštruktúry prostredníctvom Fondu na podporu športu, ktoré nie sú rozpočtované na roky 2023 a 2024,</w:t>
      </w:r>
    </w:p>
    <w:p w:rsidR="00AA17E3" w:rsidRPr="006B209A" w:rsidRDefault="00AA17E3" w:rsidP="00935574">
      <w:pPr>
        <w:numPr>
          <w:ilvl w:val="0"/>
          <w:numId w:val="16"/>
        </w:numPr>
        <w:spacing w:after="200" w:line="240" w:lineRule="auto"/>
        <w:contextualSpacing/>
        <w:jc w:val="both"/>
        <w:rPr>
          <w:rFonts w:ascii="Times New Roman" w:eastAsia="Times New Roman" w:hAnsi="Times New Roman" w:cs="Courier"/>
          <w:bCs/>
          <w:sz w:val="24"/>
          <w:szCs w:val="24"/>
          <w:lang w:eastAsia="cs-CZ"/>
        </w:rPr>
      </w:pPr>
      <w:r w:rsidRPr="006B209A">
        <w:rPr>
          <w:rFonts w:ascii="Times New Roman" w:eastAsia="Times New Roman" w:hAnsi="Times New Roman" w:cs="Courier"/>
          <w:bCs/>
          <w:sz w:val="24"/>
          <w:szCs w:val="24"/>
          <w:lang w:eastAsia="cs-CZ"/>
        </w:rPr>
        <w:t>10,9 mil. eur na financovanie povinného predprimárneho vzdelávania v materských školách,</w:t>
      </w:r>
    </w:p>
    <w:p w:rsidR="00AA17E3" w:rsidRPr="006B209A" w:rsidRDefault="00AA17E3" w:rsidP="00935574">
      <w:pPr>
        <w:numPr>
          <w:ilvl w:val="0"/>
          <w:numId w:val="16"/>
        </w:numPr>
        <w:spacing w:after="200" w:line="240" w:lineRule="auto"/>
        <w:contextualSpacing/>
        <w:jc w:val="both"/>
        <w:rPr>
          <w:rFonts w:ascii="Times New Roman" w:eastAsia="Times New Roman" w:hAnsi="Times New Roman" w:cs="Courier"/>
          <w:bCs/>
          <w:sz w:val="24"/>
          <w:szCs w:val="24"/>
          <w:lang w:eastAsia="cs-CZ"/>
        </w:rPr>
      </w:pPr>
      <w:r w:rsidRPr="006B209A">
        <w:rPr>
          <w:rFonts w:ascii="Times New Roman" w:eastAsia="Times New Roman" w:hAnsi="Times New Roman" w:cs="Courier"/>
          <w:bCs/>
          <w:sz w:val="24"/>
          <w:szCs w:val="24"/>
          <w:lang w:eastAsia="cs-CZ"/>
        </w:rPr>
        <w:t>3,76 mil. eur kapitálové výdavky.</w:t>
      </w:r>
    </w:p>
    <w:p w:rsidR="00AA17E3" w:rsidRDefault="00AA17E3" w:rsidP="00AA17E3">
      <w:pPr>
        <w:spacing w:after="0"/>
        <w:rPr>
          <w:rFonts w:ascii="Times New Roman" w:hAnsi="Times New Roman" w:cs="Times New Roman"/>
          <w:b/>
          <w:color w:val="5B9BD5" w:themeColor="accent1"/>
          <w:sz w:val="24"/>
          <w:szCs w:val="24"/>
        </w:rPr>
      </w:pPr>
    </w:p>
    <w:p w:rsidR="00AA17E3" w:rsidRPr="006B209A" w:rsidRDefault="00AA17E3" w:rsidP="00AA17E3">
      <w:pPr>
        <w:spacing w:after="0"/>
        <w:rPr>
          <w:rFonts w:ascii="Times New Roman" w:hAnsi="Times New Roman" w:cs="Times New Roman"/>
          <w:b/>
          <w:color w:val="5B9BD5" w:themeColor="accent1"/>
          <w:sz w:val="24"/>
          <w:szCs w:val="24"/>
        </w:rPr>
      </w:pPr>
      <w:r w:rsidRPr="006B209A">
        <w:rPr>
          <w:rFonts w:ascii="Times New Roman" w:hAnsi="Times New Roman" w:cs="Times New Roman"/>
          <w:b/>
          <w:color w:val="5B9BD5" w:themeColor="accent1"/>
          <w:sz w:val="24"/>
          <w:szCs w:val="24"/>
        </w:rPr>
        <w:t>Regionálne školstvo</w:t>
      </w:r>
    </w:p>
    <w:p w:rsidR="00AA17E3" w:rsidRPr="006B209A" w:rsidRDefault="00AA17E3" w:rsidP="00AA17E3">
      <w:pPr>
        <w:spacing w:after="0"/>
        <w:rPr>
          <w:rFonts w:ascii="Times New Roman" w:hAnsi="Times New Roman" w:cs="Times New Roman"/>
          <w:b/>
          <w:color w:val="5B9BD5" w:themeColor="accent1"/>
          <w:sz w:val="24"/>
          <w:szCs w:val="24"/>
        </w:rPr>
      </w:pPr>
    </w:p>
    <w:p w:rsidR="00AA17E3" w:rsidRPr="006B209A" w:rsidRDefault="00AA17E3" w:rsidP="00AA17E3">
      <w:pPr>
        <w:keepNext/>
        <w:spacing w:after="0"/>
        <w:jc w:val="both"/>
        <w:rPr>
          <w:rFonts w:ascii="Times New Roman" w:hAnsi="Times New Roman" w:cs="Times New Roman"/>
          <w:sz w:val="24"/>
          <w:szCs w:val="24"/>
        </w:rPr>
      </w:pPr>
      <w:bookmarkStart w:id="197" w:name="_Toc53054785"/>
      <w:bookmarkStart w:id="198" w:name="_Toc53077977"/>
      <w:bookmarkStart w:id="199" w:name="_Toc53086379"/>
      <w:r w:rsidRPr="006B209A">
        <w:rPr>
          <w:rFonts w:ascii="Times New Roman" w:hAnsi="Times New Roman" w:cs="Times New Roman"/>
          <w:sz w:val="24"/>
          <w:szCs w:val="24"/>
        </w:rPr>
        <w:t xml:space="preserve">Výdavky na regionálne školstvo Ministerstva školstva, </w:t>
      </w:r>
      <w:r w:rsidRPr="006B209A">
        <w:rPr>
          <w:rFonts w:ascii="Times New Roman" w:hAnsi="Times New Roman" w:cs="Times New Roman"/>
          <w:iCs/>
          <w:sz w:val="24"/>
          <w:szCs w:val="24"/>
        </w:rPr>
        <w:t>vedy, výskumu a športu SR</w:t>
      </w:r>
      <w:r w:rsidRPr="006B209A">
        <w:rPr>
          <w:rFonts w:ascii="Times New Roman" w:hAnsi="Times New Roman" w:cs="Times New Roman"/>
          <w:sz w:val="24"/>
          <w:szCs w:val="24"/>
        </w:rPr>
        <w:t xml:space="preserve"> na rok 2022 predstavujú sumu 2,57 mld. eur. Medziročne rastú z dôvodu rozpočtovania finančných prostriedkov na rozvoj regionálneho školstva z Plánu obnovy a odolnosti (ďalej len „plán obnovy“) vrátane DPH v sume 343 mil. eur. Výdavky z plánu obnovy sú určené na dostupnosť, rozvoj, a kvalitu inkluzívneho vzdelávania na všetkých stupňoch a na vzdelávania. Tieto výdavky budú slúžiť na posilnenie inklúzie sociálne a zdravotne znevýhodnených detí vo vzdelávaní, prispejú na rozšírenie kapacít materských škôl a zavedenie právneho nároku na predprimárne vzdelávanie od troch rokov. Kurikulárna reforma základnej školy vytvorí nový obsah vzdelávania usporiadaný do troch viacročných cyklov, čo bude vyžadovať zabezpečenie nových učebníc a zmenu v príprave a profesionálnom rozvoji učiteľov. V medziročnom náraste sú zabezpečené zvýšené výdavky na príspevok na výchovu a vzdelávanie detí v materských školách o sumu 10,9 mil. eur na celkovú sumu 26,1 mil. eur, na podporu výkonu kompetencií stavovských profesijných organizácií podľa zákona č. 61/2015 Z. z. o odbornom vzdelávaní o sumu 0,22 mil. eur ako aj výdavkov na tehotenské štipendiá pre stredoškoláčky vyplývajúce z novely zákona o finančnej podpore detí a rodín o sumu 0,20 mil. eur. Aj v roku 2022 sú rozpočtované výdavky na osobné výdavky pre asistentov učiteľa, na elektronické testovanie žiakov a dofinancovanie národných meraní Maturita, Testovanie 9 a Testovanie 5. Na financovanie regionálneho školstva budú slúžiť aj výdavky zo štrukturálnych fondov EÚ vrátane spolufinancovania.</w:t>
      </w:r>
    </w:p>
    <w:p w:rsidR="00AA17E3" w:rsidRPr="006B209A" w:rsidRDefault="00AA17E3" w:rsidP="00AA17E3">
      <w:pPr>
        <w:keepNext/>
        <w:spacing w:after="0" w:line="240" w:lineRule="auto"/>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200" w:name="_Toc84528403"/>
      <w:bookmarkStart w:id="201" w:name="_Toc84845279"/>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55</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regionálne školstvo</w:t>
      </w:r>
      <w:bookmarkEnd w:id="197"/>
      <w:bookmarkEnd w:id="198"/>
      <w:bookmarkEnd w:id="199"/>
      <w:bookmarkEnd w:id="200"/>
      <w:bookmarkEnd w:id="201"/>
    </w:p>
    <w:tbl>
      <w:tblPr>
        <w:tblW w:w="5000" w:type="pct"/>
        <w:tblCellMar>
          <w:left w:w="70" w:type="dxa"/>
          <w:right w:w="70" w:type="dxa"/>
        </w:tblCellMar>
        <w:tblLook w:val="04A0" w:firstRow="1" w:lastRow="0" w:firstColumn="1" w:lastColumn="0" w:noHBand="0" w:noVBand="1"/>
      </w:tblPr>
      <w:tblGrid>
        <w:gridCol w:w="3202"/>
        <w:gridCol w:w="911"/>
        <w:gridCol w:w="827"/>
        <w:gridCol w:w="827"/>
        <w:gridCol w:w="827"/>
        <w:gridCol w:w="827"/>
        <w:gridCol w:w="827"/>
        <w:gridCol w:w="824"/>
      </w:tblGrid>
      <w:tr w:rsidR="00AA17E3" w:rsidRPr="006B209A" w:rsidTr="001D68BE">
        <w:trPr>
          <w:trHeight w:val="255"/>
        </w:trPr>
        <w:tc>
          <w:tcPr>
            <w:tcW w:w="1764"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502"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6"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5"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Regionálne školstvo MŠVVŠ SR a MV SR</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1 979 443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2 202 546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2 282 783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2 296 006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2 568 164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2 462 036</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2 221 600</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      Normatívne výdavky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1 768 754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1 983 627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1 942 279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1 970 217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1 940 871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1 940 871</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1 940 871</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      Nenormatívne výdavky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94 608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110 146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223 898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203 622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136 245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133 949</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133 949</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      Ostatné nenormatívne výdavky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21 910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9 052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11 088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18 799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12 980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12 980</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12 980</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      Administratívne výdavky</w:t>
            </w:r>
            <w:r w:rsidR="001D68BE">
              <w:rPr>
                <w:rFonts w:ascii="Times New Roman" w:eastAsia="Times New Roman" w:hAnsi="Times New Roman" w:cs="Times New Roman"/>
                <w:sz w:val="16"/>
                <w:szCs w:val="16"/>
                <w:lang w:eastAsia="sk-SK"/>
              </w:rPr>
              <w:t>*</w:t>
            </w:r>
            <w:r w:rsidRPr="006B209A">
              <w:rPr>
                <w:rFonts w:ascii="Times New Roman" w:eastAsia="Times New Roman" w:hAnsi="Times New Roman" w:cs="Times New Roman"/>
                <w:sz w:val="16"/>
                <w:szCs w:val="16"/>
                <w:lang w:eastAsia="sk-SK"/>
              </w:rPr>
              <w:t xml:space="preserve">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37 995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33 879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37 180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38 542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37 472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37 472</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37 472</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      Informačné technológie v RŠ</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16 911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22 014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13 221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17 047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14 411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14 411</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14 711</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      Výdavky na štipendiá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2 387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2 568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3 190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3 190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3 290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3 290</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3 290</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Ostatné kapitoly (MV SR)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9 254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16 652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14 149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14 991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16 164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16 164</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16 164</w:t>
            </w:r>
          </w:p>
        </w:tc>
      </w:tr>
      <w:tr w:rsidR="00AA17E3" w:rsidRPr="006B209A" w:rsidTr="001D68BE">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EÚ a spolufinancovanie zo ŠR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27 622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24 606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37 777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29 599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63 361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19 307</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r>
      <w:tr w:rsidR="00AA17E3" w:rsidRPr="006B209A" w:rsidTr="001D68BE">
        <w:trPr>
          <w:trHeight w:val="255"/>
        </w:trPr>
        <w:tc>
          <w:tcPr>
            <w:tcW w:w="176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Plán obnovy a odolnosti</w:t>
            </w:r>
          </w:p>
        </w:tc>
        <w:tc>
          <w:tcPr>
            <w:tcW w:w="50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343 371</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283 593</w:t>
            </w:r>
          </w:p>
        </w:tc>
        <w:tc>
          <w:tcPr>
            <w:tcW w:w="455"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62 164</w:t>
            </w:r>
          </w:p>
        </w:tc>
      </w:tr>
    </w:tbl>
    <w:p w:rsidR="00935574" w:rsidRPr="00935574" w:rsidRDefault="001D68BE" w:rsidP="00935574">
      <w:pPr>
        <w:tabs>
          <w:tab w:val="left" w:pos="312"/>
          <w:tab w:val="right" w:pos="9072"/>
        </w:tabs>
        <w:spacing w:after="0"/>
        <w:rPr>
          <w:rFonts w:ascii="Times New Roman" w:hAnsi="Times New Roman" w:cs="Times New Roman"/>
          <w:i/>
          <w:sz w:val="16"/>
          <w:szCs w:val="16"/>
        </w:rPr>
      </w:pPr>
      <w:r>
        <w:rPr>
          <w:rFonts w:ascii="Times New Roman" w:hAnsi="Times New Roman" w:cs="Times New Roman"/>
          <w:i/>
          <w:sz w:val="16"/>
          <w:szCs w:val="16"/>
        </w:rPr>
        <w:t xml:space="preserve">*vrátane vlastných zdrojov PO                                                                                                                                                        </w:t>
      </w:r>
      <w:r w:rsidR="00AA17E3" w:rsidRPr="001D68BE">
        <w:rPr>
          <w:rFonts w:ascii="Times New Roman" w:hAnsi="Times New Roman" w:cs="Times New Roman"/>
          <w:i/>
          <w:sz w:val="16"/>
          <w:szCs w:val="16"/>
        </w:rPr>
        <w:t>Zdroj: MF SR</w:t>
      </w:r>
    </w:p>
    <w:p w:rsidR="00935574" w:rsidRDefault="00935574" w:rsidP="00935574">
      <w:pPr>
        <w:spacing w:after="0"/>
        <w:jc w:val="both"/>
        <w:rPr>
          <w:rFonts w:ascii="Times New Roman" w:hAnsi="Times New Roman" w:cs="Times New Roman"/>
          <w:sz w:val="24"/>
          <w:szCs w:val="24"/>
        </w:rPr>
      </w:pPr>
    </w:p>
    <w:p w:rsidR="00AA17E3" w:rsidRPr="006B209A" w:rsidRDefault="00AA17E3" w:rsidP="00935574">
      <w:pPr>
        <w:spacing w:after="0"/>
        <w:jc w:val="both"/>
        <w:rPr>
          <w:rFonts w:ascii="Times New Roman" w:hAnsi="Times New Roman" w:cs="Times New Roman"/>
          <w:sz w:val="24"/>
          <w:szCs w:val="24"/>
        </w:rPr>
      </w:pPr>
      <w:r w:rsidRPr="006B209A">
        <w:rPr>
          <w:rFonts w:ascii="Times New Roman" w:hAnsi="Times New Roman" w:cs="Times New Roman"/>
          <w:sz w:val="24"/>
          <w:szCs w:val="24"/>
        </w:rPr>
        <w:t>Pri financovaní  regionálneho školstva sa uplatňuje financovanie prostredníctvom normatívu na žiaka, z ktorého je zabezpečené odmeňovanie pedagogických, odborných</w:t>
      </w:r>
      <w:r w:rsidR="005D3543">
        <w:rPr>
          <w:rFonts w:ascii="Times New Roman" w:hAnsi="Times New Roman" w:cs="Times New Roman"/>
          <w:sz w:val="24"/>
          <w:szCs w:val="24"/>
        </w:rPr>
        <w:t xml:space="preserve"> a nepedagogických zamestnancov a</w:t>
      </w:r>
      <w:r w:rsidRPr="006B209A">
        <w:rPr>
          <w:rFonts w:ascii="Times New Roman" w:hAnsi="Times New Roman" w:cs="Times New Roman"/>
          <w:sz w:val="24"/>
          <w:szCs w:val="24"/>
        </w:rPr>
        <w:t xml:space="preserve"> prevádzka všetkých typov škôl a školských zariadení. Ďalej vo výdavkoch sú zahrnuté nenormatívne výdavky, z ktorých sú kryté výdavky na financovanie škôl v prírode a lyžiarskych kurzov, </w:t>
      </w:r>
      <w:r w:rsidR="008058F2">
        <w:rPr>
          <w:rFonts w:ascii="Times New Roman" w:hAnsi="Times New Roman" w:cs="Times New Roman"/>
          <w:sz w:val="24"/>
          <w:szCs w:val="24"/>
        </w:rPr>
        <w:t>príspevok na bezplatnú výchovu</w:t>
      </w:r>
      <w:r w:rsidRPr="006B209A">
        <w:rPr>
          <w:rFonts w:ascii="Times New Roman" w:hAnsi="Times New Roman" w:cs="Times New Roman"/>
          <w:sz w:val="24"/>
          <w:szCs w:val="24"/>
        </w:rPr>
        <w:t xml:space="preserve"> detí od 5 rokov v materských školách, dopravné žiakom, asistenti učiteľa</w:t>
      </w:r>
      <w:r w:rsidR="005D3543">
        <w:rPr>
          <w:rFonts w:ascii="Times New Roman" w:hAnsi="Times New Roman" w:cs="Times New Roman"/>
          <w:sz w:val="24"/>
          <w:szCs w:val="24"/>
        </w:rPr>
        <w:t xml:space="preserve"> pre žiakov so zdravotným znevýhodnením</w:t>
      </w:r>
      <w:r w:rsidRPr="006B209A">
        <w:rPr>
          <w:rFonts w:ascii="Times New Roman" w:hAnsi="Times New Roman" w:cs="Times New Roman"/>
          <w:sz w:val="24"/>
          <w:szCs w:val="24"/>
        </w:rPr>
        <w:t>, odchodné, vzdelávacie poukazy, mimoriadne výsledky žiakov, výdavky pre žiakov zo sociálne znevýhodneného prostredia, havárie, výdavky na nákup a distribúciu učebníc a učebných textov, súťaže žiakov a rozvojové projekty.</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V limite výdavkov sú zabezpečené aj administratívne výdavky pre rozpočtové a príspevkové organizácie kapitoly na plnenie úloh, ktoré súvisia s regionálnym školstvom, výdavky na informačné technológie financované zo štátneho rozpočtu podporujúce zber a spracovanie dát za účelom zefektívnenia a transparentnosti financovania regionálneho školstva, </w:t>
      </w:r>
      <w:r w:rsidR="00403BB6">
        <w:rPr>
          <w:rFonts w:ascii="Times New Roman" w:hAnsi="Times New Roman" w:cs="Times New Roman"/>
          <w:sz w:val="24"/>
          <w:szCs w:val="24"/>
        </w:rPr>
        <w:t xml:space="preserve">internetové a dátové pripojenia škôl </w:t>
      </w:r>
      <w:r w:rsidRPr="006B209A">
        <w:rPr>
          <w:rFonts w:ascii="Times New Roman" w:hAnsi="Times New Roman" w:cs="Times New Roman"/>
          <w:sz w:val="24"/>
          <w:szCs w:val="24"/>
        </w:rPr>
        <w:t>a výdavky na štipendiá pre študentov stredných škôl.</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spacing w:after="0"/>
        <w:jc w:val="both"/>
        <w:rPr>
          <w:rFonts w:ascii="Times New Roman" w:hAnsi="Times New Roman" w:cs="Times New Roman"/>
          <w:sz w:val="24"/>
          <w:szCs w:val="24"/>
        </w:rPr>
      </w:pPr>
      <w:r w:rsidRPr="006B209A">
        <w:rPr>
          <w:rFonts w:ascii="Times New Roman" w:hAnsi="Times New Roman" w:cs="Times New Roman"/>
          <w:sz w:val="24"/>
          <w:szCs w:val="24"/>
        </w:rPr>
        <w:t>Financovanie regionálneho školstva je zabezpečované okrem výdavkov štátneho rozpočtu aj verejnými zdrojmi získanými z výnosu daňových príjmov fyzických osôb, z ktorých sú financované originálne kompetencie obcí a VÚC.</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202" w:name="_Toc53054786"/>
      <w:bookmarkStart w:id="203" w:name="_Toc53077978"/>
      <w:bookmarkStart w:id="204" w:name="_Toc53086380"/>
      <w:bookmarkStart w:id="205" w:name="_Toc84528404"/>
      <w:bookmarkStart w:id="206" w:name="_Toc84845280"/>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56</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Prehľad počtu žiakov ZŠ a SŠ a výdavkov na jedného žiaka</w:t>
      </w:r>
      <w:bookmarkEnd w:id="202"/>
      <w:bookmarkEnd w:id="203"/>
      <w:bookmarkEnd w:id="204"/>
      <w:bookmarkEnd w:id="205"/>
      <w:bookmarkEnd w:id="206"/>
    </w:p>
    <w:tbl>
      <w:tblPr>
        <w:tblW w:w="5000" w:type="pct"/>
        <w:tblCellMar>
          <w:left w:w="70" w:type="dxa"/>
          <w:right w:w="70" w:type="dxa"/>
        </w:tblCellMar>
        <w:tblLook w:val="04A0" w:firstRow="1" w:lastRow="0" w:firstColumn="1" w:lastColumn="0" w:noHBand="0" w:noVBand="1"/>
      </w:tblPr>
      <w:tblGrid>
        <w:gridCol w:w="3200"/>
        <w:gridCol w:w="911"/>
        <w:gridCol w:w="827"/>
        <w:gridCol w:w="827"/>
        <w:gridCol w:w="827"/>
        <w:gridCol w:w="827"/>
        <w:gridCol w:w="827"/>
        <w:gridCol w:w="826"/>
      </w:tblGrid>
      <w:tr w:rsidR="00AA17E3" w:rsidRPr="006B209A" w:rsidTr="00AA17E3">
        <w:trPr>
          <w:trHeight w:val="255"/>
        </w:trPr>
        <w:tc>
          <w:tcPr>
            <w:tcW w:w="1763"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 </w:t>
            </w:r>
          </w:p>
        </w:tc>
        <w:tc>
          <w:tcPr>
            <w:tcW w:w="502"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255"/>
        </w:trPr>
        <w:tc>
          <w:tcPr>
            <w:tcW w:w="176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Počet žiakov v školách*</w:t>
            </w:r>
          </w:p>
        </w:tc>
        <w:tc>
          <w:tcPr>
            <w:tcW w:w="502"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685 163</w:t>
            </w:r>
          </w:p>
        </w:tc>
        <w:tc>
          <w:tcPr>
            <w:tcW w:w="456"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691 521</w:t>
            </w:r>
          </w:p>
        </w:tc>
        <w:tc>
          <w:tcPr>
            <w:tcW w:w="456"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699 521</w:t>
            </w:r>
          </w:p>
        </w:tc>
        <w:tc>
          <w:tcPr>
            <w:tcW w:w="456"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699 303</w:t>
            </w:r>
          </w:p>
        </w:tc>
        <w:tc>
          <w:tcPr>
            <w:tcW w:w="456"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711 297</w:t>
            </w:r>
          </w:p>
        </w:tc>
        <w:tc>
          <w:tcPr>
            <w:tcW w:w="456"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723 694</w:t>
            </w:r>
          </w:p>
        </w:tc>
        <w:tc>
          <w:tcPr>
            <w:tcW w:w="456"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736 515</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medziročná zmena v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0,28%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0,93%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1,74%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1,77%</w:t>
            </w:r>
          </w:p>
        </w:tc>
      </w:tr>
      <w:tr w:rsidR="00AA17E3" w:rsidRPr="006B209A" w:rsidTr="00AA17E3">
        <w:trPr>
          <w:trHeight w:val="255"/>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kapitoly na žiaka školy v eurách</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2 827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3 125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3 189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3 213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3 498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3 353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2 994</w:t>
            </w:r>
          </w:p>
        </w:tc>
      </w:tr>
      <w:tr w:rsidR="00AA17E3" w:rsidRPr="006B209A" w:rsidTr="00AA17E3">
        <w:trPr>
          <w:trHeight w:val="255"/>
        </w:trPr>
        <w:tc>
          <w:tcPr>
            <w:tcW w:w="176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medziročná zmena v %</w:t>
            </w:r>
          </w:p>
        </w:tc>
        <w:tc>
          <w:tcPr>
            <w:tcW w:w="50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10,43%</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10,53%</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4,28%</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2,81%</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9,71%</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5,14%</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-10,70%</w:t>
            </w:r>
          </w:p>
        </w:tc>
      </w:tr>
    </w:tbl>
    <w:p w:rsidR="00AA17E3" w:rsidRPr="006B209A" w:rsidRDefault="00AA17E3" w:rsidP="00935574">
      <w:pPr>
        <w:spacing w:after="0"/>
        <w:jc w:val="right"/>
        <w:rPr>
          <w:rFonts w:ascii="Times New Roman" w:hAnsi="Times New Roman" w:cs="Times New Roman"/>
          <w:sz w:val="14"/>
          <w:szCs w:val="14"/>
        </w:rPr>
      </w:pPr>
      <w:r w:rsidRPr="006B209A">
        <w:rPr>
          <w:rFonts w:ascii="Times New Roman" w:hAnsi="Times New Roman" w:cs="Times New Roman"/>
          <w:sz w:val="14"/>
          <w:szCs w:val="14"/>
        </w:rPr>
        <w:t xml:space="preserve">* </w:t>
      </w:r>
      <w:r w:rsidRPr="006B209A">
        <w:rPr>
          <w:rFonts w:ascii="Times New Roman" w:hAnsi="Times New Roman" w:cs="Times New Roman"/>
          <w:i/>
          <w:sz w:val="16"/>
          <w:szCs w:val="16"/>
        </w:rPr>
        <w:t>Zdroj: MŠVVŠ SR a MF SR</w:t>
      </w:r>
    </w:p>
    <w:p w:rsidR="00935574" w:rsidRDefault="00935574" w:rsidP="00935574">
      <w:pPr>
        <w:spacing w:after="0"/>
        <w:jc w:val="both"/>
        <w:rPr>
          <w:rFonts w:ascii="Times New Roman" w:hAnsi="Times New Roman" w:cs="Times New Roman"/>
          <w:b/>
          <w:color w:val="5B9BD5" w:themeColor="accent1"/>
          <w:sz w:val="24"/>
          <w:szCs w:val="24"/>
        </w:rPr>
      </w:pPr>
    </w:p>
    <w:p w:rsidR="00AA17E3" w:rsidRPr="006B209A" w:rsidRDefault="00AA17E3" w:rsidP="00935574">
      <w:pPr>
        <w:spacing w:after="0"/>
        <w:jc w:val="both"/>
        <w:rPr>
          <w:rFonts w:ascii="Times New Roman" w:hAnsi="Times New Roman" w:cs="Times New Roman"/>
          <w:b/>
          <w:color w:val="5B9BD5" w:themeColor="accent1"/>
          <w:sz w:val="24"/>
          <w:szCs w:val="24"/>
        </w:rPr>
      </w:pPr>
      <w:r w:rsidRPr="006B209A">
        <w:rPr>
          <w:rFonts w:ascii="Times New Roman" w:hAnsi="Times New Roman" w:cs="Times New Roman"/>
          <w:b/>
          <w:color w:val="5B9BD5" w:themeColor="accent1"/>
          <w:sz w:val="24"/>
          <w:szCs w:val="24"/>
        </w:rPr>
        <w:t>Osobné výdavky zamestnancov regionálneho školstva financovaného zo štátneho rozpočtu</w:t>
      </w:r>
    </w:p>
    <w:p w:rsidR="00AA17E3" w:rsidRPr="006B209A" w:rsidRDefault="00AA17E3" w:rsidP="00AA17E3">
      <w:pPr>
        <w:spacing w:after="0"/>
        <w:jc w:val="both"/>
        <w:rPr>
          <w:rFonts w:ascii="Times New Roman" w:hAnsi="Times New Roman" w:cs="Times New Roman"/>
          <w:sz w:val="24"/>
          <w:szCs w:val="24"/>
          <w:highlight w:val="yellow"/>
        </w:rPr>
      </w:pPr>
    </w:p>
    <w:p w:rsidR="00AA17E3" w:rsidRPr="006B209A" w:rsidRDefault="00AA17E3" w:rsidP="00AA17E3">
      <w:pPr>
        <w:keepNext/>
        <w:spacing w:after="0" w:line="240" w:lineRule="auto"/>
        <w:jc w:val="both"/>
        <w:rPr>
          <w:rFonts w:ascii="Times New Roman" w:hAnsi="Times New Roman" w:cs="Times New Roman"/>
          <w:sz w:val="24"/>
          <w:szCs w:val="24"/>
        </w:rPr>
      </w:pPr>
      <w:bookmarkStart w:id="207" w:name="_Toc53054787"/>
      <w:bookmarkStart w:id="208" w:name="_Toc53077979"/>
      <w:bookmarkStart w:id="209" w:name="_Toc53086381"/>
      <w:r w:rsidRPr="006B209A">
        <w:rPr>
          <w:rFonts w:ascii="Times New Roman" w:hAnsi="Times New Roman" w:cs="Times New Roman"/>
          <w:sz w:val="24"/>
          <w:szCs w:val="24"/>
        </w:rPr>
        <w:t>Novelou zákona č. 596/2003 Z. z. o štátnej správe v školstve a školskej samospráve dochádza</w:t>
      </w:r>
      <w:r w:rsidR="00030793">
        <w:rPr>
          <w:rFonts w:ascii="Times New Roman" w:hAnsi="Times New Roman" w:cs="Times New Roman"/>
          <w:sz w:val="24"/>
          <w:szCs w:val="24"/>
        </w:rPr>
        <w:t xml:space="preserve"> </w:t>
      </w:r>
      <w:r w:rsidRPr="006B209A">
        <w:rPr>
          <w:rFonts w:ascii="Times New Roman" w:hAnsi="Times New Roman" w:cs="Times New Roman"/>
          <w:sz w:val="24"/>
          <w:szCs w:val="24"/>
        </w:rPr>
        <w:t xml:space="preserve">od 1.1.2022 k presunu kompetencií v oblasti regionálneho školstva z kapitoly Ministerstva vnútra SR do kapitoly Ministerstva školstva, vedy, výskumu a športu SR. Pre zamestnancov regionálneho školstva financovaného z kapitoly Ministerstvo školstva, vedy, výskumu a športu SR sa na rok 2022 navrhujú osobné výdavky v sume 1,76 mld. eur, v tom mzdy v sume </w:t>
      </w:r>
      <w:r w:rsidR="00030793">
        <w:rPr>
          <w:rFonts w:ascii="Times New Roman" w:hAnsi="Times New Roman" w:cs="Times New Roman"/>
          <w:sz w:val="24"/>
          <w:szCs w:val="24"/>
        </w:rPr>
        <w:br/>
      </w:r>
      <w:r w:rsidRPr="006B209A">
        <w:rPr>
          <w:rFonts w:ascii="Times New Roman" w:hAnsi="Times New Roman" w:cs="Times New Roman"/>
          <w:sz w:val="24"/>
          <w:szCs w:val="24"/>
        </w:rPr>
        <w:t xml:space="preserve">1,31 mld. eur pre 83 731 zamestnancov. Návrh rozpočtu osobných výdavkov vychádza z úrovne schváleného rozpočtu roku 2021 a je zvýšený o 4,29 mil. eur, z toho mzdy v sume 3,18 mil. eur na realizáciu plánu obnovy. Súčasne sa zvyšuje počet </w:t>
      </w:r>
      <w:r w:rsidR="005D3543">
        <w:rPr>
          <w:rFonts w:ascii="Times New Roman" w:hAnsi="Times New Roman" w:cs="Times New Roman"/>
          <w:sz w:val="24"/>
          <w:szCs w:val="24"/>
        </w:rPr>
        <w:t xml:space="preserve">nepedagogických a </w:t>
      </w:r>
      <w:r w:rsidRPr="006B209A">
        <w:rPr>
          <w:rFonts w:ascii="Times New Roman" w:hAnsi="Times New Roman" w:cs="Times New Roman"/>
          <w:sz w:val="24"/>
          <w:szCs w:val="24"/>
        </w:rPr>
        <w:t xml:space="preserve">odborných zamestnancov o 390 osôb na pozíciách </w:t>
      </w:r>
      <w:r w:rsidR="005D3543">
        <w:rPr>
          <w:rFonts w:ascii="Times New Roman" w:hAnsi="Times New Roman" w:cs="Times New Roman"/>
          <w:sz w:val="24"/>
          <w:szCs w:val="24"/>
        </w:rPr>
        <w:t xml:space="preserve">pomocný </w:t>
      </w:r>
      <w:r w:rsidRPr="006B209A">
        <w:rPr>
          <w:rFonts w:ascii="Times New Roman" w:hAnsi="Times New Roman" w:cs="Times New Roman"/>
          <w:sz w:val="24"/>
          <w:szCs w:val="24"/>
        </w:rPr>
        <w:t>vychovávateľ a školská zdravotná sestra, ktorí budú prijatí na obdobie implementácie plánu obnovy.</w:t>
      </w:r>
    </w:p>
    <w:p w:rsidR="00AA17E3" w:rsidRPr="006B209A" w:rsidRDefault="00AA17E3" w:rsidP="00AA17E3">
      <w:pPr>
        <w:keepNext/>
        <w:spacing w:after="0" w:line="240" w:lineRule="auto"/>
        <w:jc w:val="both"/>
        <w:rPr>
          <w:rFonts w:ascii="Times New Roman" w:hAnsi="Times New Roman" w:cs="Times New Roman"/>
          <w:sz w:val="24"/>
          <w:szCs w:val="24"/>
        </w:rPr>
      </w:pPr>
    </w:p>
    <w:p w:rsidR="00AA17E3" w:rsidRDefault="00AA17E3" w:rsidP="00C4680B">
      <w:pPr>
        <w:widowControl w:val="0"/>
        <w:spacing w:after="0" w:line="240" w:lineRule="auto"/>
        <w:jc w:val="both"/>
        <w:rPr>
          <w:rFonts w:ascii="Times New Roman" w:hAnsi="Times New Roman" w:cs="Times New Roman"/>
          <w:sz w:val="24"/>
          <w:szCs w:val="24"/>
        </w:rPr>
      </w:pPr>
      <w:r w:rsidRPr="006B209A">
        <w:rPr>
          <w:rFonts w:ascii="Times New Roman" w:hAnsi="Times New Roman" w:cs="Times New Roman"/>
          <w:sz w:val="24"/>
          <w:szCs w:val="24"/>
        </w:rPr>
        <w:t>Rozdelenie objemu finančných prostriedkov určených na platy pedagogických, odborných a nepedagogických zamestnancov regionálneho školstva je v kompetencii zriaďovateľov.</w:t>
      </w:r>
    </w:p>
    <w:p w:rsidR="0065737E" w:rsidRDefault="0065737E" w:rsidP="00C4680B">
      <w:pPr>
        <w:widowControl w:val="0"/>
        <w:spacing w:after="0" w:line="240" w:lineRule="auto"/>
        <w:jc w:val="both"/>
        <w:rPr>
          <w:rFonts w:ascii="Times New Roman" w:hAnsi="Times New Roman" w:cs="Times New Roman"/>
          <w:sz w:val="24"/>
          <w:szCs w:val="24"/>
        </w:rPr>
      </w:pPr>
    </w:p>
    <w:p w:rsidR="0065737E" w:rsidRDefault="0065737E" w:rsidP="00C4680B">
      <w:pPr>
        <w:widowControl w:val="0"/>
        <w:spacing w:after="0" w:line="240" w:lineRule="auto"/>
        <w:jc w:val="both"/>
        <w:rPr>
          <w:rFonts w:ascii="Times New Roman" w:hAnsi="Times New Roman" w:cs="Times New Roman"/>
          <w:sz w:val="24"/>
          <w:szCs w:val="24"/>
        </w:rPr>
      </w:pPr>
    </w:p>
    <w:p w:rsidR="00C4680B" w:rsidRDefault="00C4680B" w:rsidP="00C4680B">
      <w:pPr>
        <w:widowControl w:val="0"/>
        <w:spacing w:after="0" w:line="240" w:lineRule="auto"/>
        <w:jc w:val="both"/>
        <w:rPr>
          <w:rFonts w:ascii="Times New Roman" w:hAnsi="Times New Roman" w:cs="Times New Roman"/>
          <w:sz w:val="24"/>
          <w:szCs w:val="24"/>
        </w:rPr>
      </w:pPr>
    </w:p>
    <w:p w:rsidR="00C4680B" w:rsidRDefault="00C4680B" w:rsidP="00C4680B">
      <w:pPr>
        <w:widowControl w:val="0"/>
        <w:spacing w:after="0" w:line="240" w:lineRule="auto"/>
        <w:jc w:val="both"/>
        <w:rPr>
          <w:rFonts w:ascii="Times New Roman" w:hAnsi="Times New Roman" w:cs="Times New Roman"/>
          <w:sz w:val="24"/>
          <w:szCs w:val="24"/>
        </w:rPr>
      </w:pPr>
    </w:p>
    <w:p w:rsidR="00C4680B" w:rsidRDefault="00C4680B" w:rsidP="00C4680B">
      <w:pPr>
        <w:widowControl w:val="0"/>
        <w:spacing w:after="0" w:line="240" w:lineRule="auto"/>
        <w:jc w:val="both"/>
        <w:rPr>
          <w:rFonts w:ascii="Times New Roman" w:hAnsi="Times New Roman" w:cs="Times New Roman"/>
          <w:sz w:val="24"/>
          <w:szCs w:val="24"/>
        </w:rPr>
      </w:pPr>
    </w:p>
    <w:p w:rsidR="00C4680B" w:rsidRDefault="00C4680B" w:rsidP="00C4680B">
      <w:pPr>
        <w:widowControl w:val="0"/>
        <w:spacing w:after="0" w:line="240" w:lineRule="auto"/>
        <w:jc w:val="both"/>
        <w:rPr>
          <w:rFonts w:ascii="Times New Roman" w:hAnsi="Times New Roman" w:cs="Times New Roman"/>
          <w:sz w:val="24"/>
          <w:szCs w:val="24"/>
        </w:rPr>
      </w:pPr>
    </w:p>
    <w:p w:rsidR="00C4680B" w:rsidRDefault="00C4680B" w:rsidP="00C4680B">
      <w:pPr>
        <w:widowControl w:val="0"/>
        <w:spacing w:after="0" w:line="240" w:lineRule="auto"/>
        <w:jc w:val="both"/>
        <w:rPr>
          <w:rFonts w:ascii="Times New Roman" w:hAnsi="Times New Roman" w:cs="Times New Roman"/>
          <w:sz w:val="24"/>
          <w:szCs w:val="24"/>
        </w:rPr>
      </w:pPr>
    </w:p>
    <w:p w:rsidR="00C4680B" w:rsidRDefault="00C4680B" w:rsidP="00C4680B">
      <w:pPr>
        <w:widowControl w:val="0"/>
        <w:spacing w:after="0" w:line="240" w:lineRule="auto"/>
        <w:jc w:val="both"/>
        <w:rPr>
          <w:rFonts w:ascii="Times New Roman" w:hAnsi="Times New Roman" w:cs="Times New Roman"/>
          <w:sz w:val="24"/>
          <w:szCs w:val="24"/>
        </w:rPr>
      </w:pPr>
    </w:p>
    <w:p w:rsidR="00C4680B" w:rsidRPr="006B209A" w:rsidRDefault="00C4680B" w:rsidP="00C4680B">
      <w:pPr>
        <w:widowControl w:val="0"/>
        <w:spacing w:after="0" w:line="240" w:lineRule="auto"/>
        <w:jc w:val="both"/>
        <w:rPr>
          <w:rFonts w:ascii="Times New Roman" w:hAnsi="Times New Roman" w:cs="Times New Roman"/>
          <w:sz w:val="24"/>
          <w:szCs w:val="24"/>
        </w:rPr>
      </w:pPr>
    </w:p>
    <w:p w:rsidR="00AA17E3" w:rsidRPr="006B209A" w:rsidRDefault="00AA17E3" w:rsidP="00C4680B">
      <w:pPr>
        <w:widowControl w:val="0"/>
        <w:spacing w:after="0" w:line="240" w:lineRule="auto"/>
        <w:jc w:val="both"/>
        <w:rPr>
          <w:rFonts w:ascii="Times New Roman" w:hAnsi="Times New Roman" w:cs="Times New Roman"/>
          <w:b/>
          <w:iCs/>
          <w:color w:val="FF0000"/>
          <w:sz w:val="20"/>
          <w:szCs w:val="20"/>
        </w:rPr>
      </w:pPr>
      <w:bookmarkStart w:id="210" w:name="_Toc84528405"/>
      <w:bookmarkStart w:id="211" w:name="_Toc84845281"/>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57</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Zamestnanosť v regionálnom školstve</w:t>
      </w:r>
      <w:bookmarkEnd w:id="207"/>
      <w:bookmarkEnd w:id="208"/>
      <w:bookmarkEnd w:id="209"/>
      <w:bookmarkEnd w:id="210"/>
      <w:bookmarkEnd w:id="211"/>
      <w:r w:rsidRPr="006B209A">
        <w:rPr>
          <w:rFonts w:ascii="Times New Roman" w:hAnsi="Times New Roman" w:cs="Times New Roman"/>
          <w:b/>
          <w:iCs/>
          <w:color w:val="5B9BD5" w:themeColor="accent1"/>
          <w:sz w:val="20"/>
          <w:szCs w:val="20"/>
        </w:rPr>
        <w:t xml:space="preserve"> </w:t>
      </w:r>
    </w:p>
    <w:tbl>
      <w:tblPr>
        <w:tblW w:w="8984" w:type="dxa"/>
        <w:tblCellMar>
          <w:left w:w="70" w:type="dxa"/>
          <w:right w:w="70" w:type="dxa"/>
        </w:tblCellMar>
        <w:tblLook w:val="04A0" w:firstRow="1" w:lastRow="0" w:firstColumn="1" w:lastColumn="0" w:noHBand="0" w:noVBand="1"/>
      </w:tblPr>
      <w:tblGrid>
        <w:gridCol w:w="2096"/>
        <w:gridCol w:w="756"/>
        <w:gridCol w:w="876"/>
        <w:gridCol w:w="876"/>
        <w:gridCol w:w="876"/>
        <w:gridCol w:w="876"/>
        <w:gridCol w:w="876"/>
        <w:gridCol w:w="876"/>
        <w:gridCol w:w="876"/>
      </w:tblGrid>
      <w:tr w:rsidR="00AA17E3" w:rsidRPr="006B209A" w:rsidTr="00AA17E3">
        <w:trPr>
          <w:trHeight w:val="300"/>
        </w:trPr>
        <w:tc>
          <w:tcPr>
            <w:tcW w:w="209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Regionálne školstvo</w:t>
            </w:r>
          </w:p>
        </w:tc>
        <w:tc>
          <w:tcPr>
            <w:tcW w:w="75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 </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2019  S</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2020  S</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R</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OS</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2022  N</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2023  N</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2024  N</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Počet zamestnancov</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(osoby)</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83 714</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85 005</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83 341</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83 253</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83 731</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83 731</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83 341</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 xml:space="preserve">Osobné výdavky </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tis. eur</w:t>
            </w:r>
            <w:r w:rsidRPr="006B209A">
              <w:rPr>
                <w:rFonts w:ascii="Times New Roman" w:eastAsia="Times New Roman" w:hAnsi="Times New Roman" w:cs="Times New Roman"/>
                <w:color w:val="000000"/>
                <w:sz w:val="16"/>
                <w:szCs w:val="16"/>
                <w:lang w:eastAsia="sk-SK"/>
              </w:rPr>
              <w:t>)</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1 632 424</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1 823 923</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1 759 863</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1 773 018</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1 764 155</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1 762 852</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1 759 863</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 toho: mzdové výdavky</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(tis. eur)</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1 207 414</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1 349 055</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1 301 824</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1 311 713</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1 305 004</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1 304 038</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1 301 824</w:t>
            </w:r>
          </w:p>
        </w:tc>
      </w:tr>
      <w:tr w:rsidR="00AA17E3" w:rsidRPr="006B209A" w:rsidTr="00AA17E3">
        <w:trPr>
          <w:trHeight w:val="300"/>
        </w:trPr>
        <w:tc>
          <w:tcPr>
            <w:tcW w:w="209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Priemerný mzdový výdavok</w:t>
            </w:r>
          </w:p>
        </w:tc>
        <w:tc>
          <w:tcPr>
            <w:tcW w:w="75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eur</w:t>
            </w:r>
            <w:r w:rsidRPr="006B209A">
              <w:rPr>
                <w:rFonts w:ascii="Times New Roman" w:eastAsia="Times New Roman" w:hAnsi="Times New Roman" w:cs="Times New Roman"/>
                <w:color w:val="000000"/>
                <w:sz w:val="16"/>
                <w:szCs w:val="16"/>
                <w:lang w:eastAsia="sk-SK"/>
              </w:rPr>
              <w:t>)</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1 201,92</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1 322,53</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1 301,70</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1 312,98</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1 298,81</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1 297,85</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1 301,70</w:t>
            </w:r>
          </w:p>
        </w:tc>
      </w:tr>
      <w:tr w:rsidR="00AA17E3" w:rsidRPr="006B209A" w:rsidTr="00AA17E3">
        <w:trPr>
          <w:trHeight w:val="300"/>
        </w:trPr>
        <w:tc>
          <w:tcPr>
            <w:tcW w:w="209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ind w:firstLineChars="200" w:firstLine="280"/>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z toho:</w:t>
            </w:r>
          </w:p>
        </w:tc>
        <w:tc>
          <w:tcPr>
            <w:tcW w:w="75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r>
      <w:tr w:rsidR="00AA17E3" w:rsidRPr="006B209A" w:rsidTr="00AA17E3">
        <w:trPr>
          <w:trHeight w:val="300"/>
        </w:trPr>
        <w:tc>
          <w:tcPr>
            <w:tcW w:w="2852" w:type="dxa"/>
            <w:gridSpan w:val="2"/>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Pedagogickí a odborní zamestnanci</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2019  S</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2020  S</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R</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OS</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2022  N</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2023  N</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2024  N</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Počet zamestnancov</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(osoby)</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64 525</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65 838</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64 141</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64 053</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64 141</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64 141</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64 141</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Osobné výdavky</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tis. eur</w:t>
            </w:r>
            <w:r w:rsidRPr="006B209A">
              <w:rPr>
                <w:rFonts w:ascii="Times New Roman" w:eastAsia="Times New Roman" w:hAnsi="Times New Roman" w:cs="Times New Roman"/>
                <w:color w:val="000000"/>
                <w:sz w:val="16"/>
                <w:szCs w:val="16"/>
                <w:lang w:eastAsia="sk-SK"/>
              </w:rPr>
              <w:t>)</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1 385 970</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1 553 568</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1 508 003</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1 518 619</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1 508 003</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1 508 003</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1 508 003</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 toho: mzdové výdavky</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(tis. eur)</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1 025 126</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1 149 089</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1 115 499</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1 123 494</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1 115 499</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1 115 499</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1 115 499</w:t>
            </w:r>
          </w:p>
        </w:tc>
      </w:tr>
      <w:tr w:rsidR="00AA17E3" w:rsidRPr="006B209A" w:rsidTr="00AA17E3">
        <w:trPr>
          <w:trHeight w:val="300"/>
        </w:trPr>
        <w:tc>
          <w:tcPr>
            <w:tcW w:w="209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Priemerný mzdový výdavok</w:t>
            </w:r>
          </w:p>
        </w:tc>
        <w:tc>
          <w:tcPr>
            <w:tcW w:w="75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eur</w:t>
            </w:r>
            <w:r w:rsidRPr="006B209A">
              <w:rPr>
                <w:rFonts w:ascii="Times New Roman" w:eastAsia="Times New Roman" w:hAnsi="Times New Roman" w:cs="Times New Roman"/>
                <w:color w:val="000000"/>
                <w:sz w:val="16"/>
                <w:szCs w:val="16"/>
                <w:lang w:eastAsia="sk-SK"/>
              </w:rPr>
              <w:t>)</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1 323,94</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1 454,44</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1 449,28</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1 461,67</w:t>
            </w:r>
          </w:p>
        </w:tc>
        <w:tc>
          <w:tcPr>
            <w:tcW w:w="876" w:type="dxa"/>
            <w:tcBorders>
              <w:top w:val="nil"/>
              <w:left w:val="nil"/>
              <w:bottom w:val="single" w:sz="4" w:space="0" w:color="auto"/>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1 449,28</w:t>
            </w:r>
          </w:p>
        </w:tc>
        <w:tc>
          <w:tcPr>
            <w:tcW w:w="876" w:type="dxa"/>
            <w:tcBorders>
              <w:top w:val="nil"/>
              <w:left w:val="nil"/>
              <w:bottom w:val="single" w:sz="4" w:space="0" w:color="auto"/>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1 449,28</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1 449,28</w:t>
            </w:r>
          </w:p>
        </w:tc>
      </w:tr>
      <w:tr w:rsidR="00AA17E3" w:rsidRPr="006B209A" w:rsidTr="00AA17E3">
        <w:trPr>
          <w:trHeight w:val="300"/>
        </w:trPr>
        <w:tc>
          <w:tcPr>
            <w:tcW w:w="209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ind w:firstLineChars="100" w:firstLine="140"/>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75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 </w:t>
            </w:r>
          </w:p>
        </w:tc>
      </w:tr>
      <w:tr w:rsidR="00AA17E3" w:rsidRPr="006B209A" w:rsidTr="00AA17E3">
        <w:trPr>
          <w:trHeight w:val="300"/>
        </w:trPr>
        <w:tc>
          <w:tcPr>
            <w:tcW w:w="2852" w:type="dxa"/>
            <w:gridSpan w:val="2"/>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Nepedagogickí zamestnanci</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2019  S</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2020  S</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R</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OS</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2022  N</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2023  N</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2024  N</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Počet zamestnancov</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(osoby)</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19 189</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19 167</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19 200</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19 200</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19 590</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19 590</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19 200</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Osobné výdavky</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tis. eur</w:t>
            </w:r>
            <w:r w:rsidRPr="006B209A">
              <w:rPr>
                <w:rFonts w:ascii="Times New Roman" w:eastAsia="Times New Roman" w:hAnsi="Times New Roman" w:cs="Times New Roman"/>
                <w:color w:val="000000"/>
                <w:sz w:val="16"/>
                <w:szCs w:val="16"/>
                <w:lang w:eastAsia="sk-SK"/>
              </w:rPr>
              <w:t>)</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246 454</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270 355</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251 860</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254 399</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256 152</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254 849</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251 860</w:t>
            </w:r>
          </w:p>
        </w:tc>
      </w:tr>
      <w:tr w:rsidR="00AA17E3" w:rsidRPr="006B209A" w:rsidTr="00AA17E3">
        <w:trPr>
          <w:trHeight w:val="300"/>
        </w:trPr>
        <w:tc>
          <w:tcPr>
            <w:tcW w:w="209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 toho: mzdové výdavky</w:t>
            </w:r>
          </w:p>
        </w:tc>
        <w:tc>
          <w:tcPr>
            <w:tcW w:w="75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(tis. eur)</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182 288</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199 966</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186 325</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188 219</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189 505</w:t>
            </w:r>
          </w:p>
        </w:tc>
        <w:tc>
          <w:tcPr>
            <w:tcW w:w="876" w:type="dxa"/>
            <w:tcBorders>
              <w:top w:val="nil"/>
              <w:left w:val="nil"/>
              <w:bottom w:val="nil"/>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188 539</w:t>
            </w:r>
          </w:p>
        </w:tc>
        <w:tc>
          <w:tcPr>
            <w:tcW w:w="876"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186 325</w:t>
            </w:r>
          </w:p>
        </w:tc>
      </w:tr>
      <w:tr w:rsidR="00AA17E3" w:rsidRPr="006B209A" w:rsidTr="00AA17E3">
        <w:trPr>
          <w:trHeight w:val="300"/>
        </w:trPr>
        <w:tc>
          <w:tcPr>
            <w:tcW w:w="209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Priemerný mzdový výdavok</w:t>
            </w:r>
          </w:p>
        </w:tc>
        <w:tc>
          <w:tcPr>
            <w:tcW w:w="75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eur</w:t>
            </w:r>
            <w:r w:rsidRPr="006B209A">
              <w:rPr>
                <w:rFonts w:ascii="Times New Roman" w:eastAsia="Times New Roman" w:hAnsi="Times New Roman" w:cs="Times New Roman"/>
                <w:color w:val="000000"/>
                <w:sz w:val="16"/>
                <w:szCs w:val="16"/>
                <w:lang w:eastAsia="sk-SK"/>
              </w:rPr>
              <w:t>)</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791,64</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869,40</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808,70</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816,92</w:t>
            </w:r>
          </w:p>
        </w:tc>
        <w:tc>
          <w:tcPr>
            <w:tcW w:w="876" w:type="dxa"/>
            <w:tcBorders>
              <w:top w:val="nil"/>
              <w:left w:val="nil"/>
              <w:bottom w:val="single" w:sz="4" w:space="0" w:color="auto"/>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806,13</w:t>
            </w:r>
          </w:p>
        </w:tc>
        <w:tc>
          <w:tcPr>
            <w:tcW w:w="876" w:type="dxa"/>
            <w:tcBorders>
              <w:top w:val="nil"/>
              <w:left w:val="nil"/>
              <w:bottom w:val="single" w:sz="4" w:space="0" w:color="auto"/>
              <w:right w:val="nil"/>
            </w:tcBorders>
            <w:shd w:val="clear" w:color="auto" w:fill="auto"/>
            <w:noWrap/>
            <w:vAlign w:val="center"/>
            <w:hideMark/>
          </w:tcPr>
          <w:p w:rsidR="00AA17E3" w:rsidRPr="006B209A" w:rsidRDefault="00C422FB"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802,02</w:t>
            </w:r>
          </w:p>
        </w:tc>
        <w:tc>
          <w:tcPr>
            <w:tcW w:w="876"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808,70</w:t>
            </w:r>
          </w:p>
        </w:tc>
      </w:tr>
      <w:tr w:rsidR="00AA17E3" w:rsidRPr="006B209A" w:rsidTr="00AA17E3">
        <w:trPr>
          <w:trHeight w:val="795"/>
        </w:trPr>
        <w:tc>
          <w:tcPr>
            <w:tcW w:w="8984" w:type="dxa"/>
            <w:gridSpan w:val="9"/>
            <w:tcBorders>
              <w:top w:val="nil"/>
              <w:left w:val="nil"/>
              <w:bottom w:val="nil"/>
              <w:right w:val="nil"/>
            </w:tcBorders>
            <w:shd w:val="clear" w:color="auto" w:fill="auto"/>
            <w:hideMark/>
          </w:tcPr>
          <w:p w:rsidR="00AA17E3" w:rsidRPr="006B209A" w:rsidRDefault="00AA17E3" w:rsidP="00AA17E3">
            <w:pPr>
              <w:spacing w:after="0" w:line="240" w:lineRule="auto"/>
              <w:jc w:val="both"/>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S 2019 a 2020 v osobných výdavkoch je uvedená vrátane zdrojov EÚ a spolufinancovania a samostatných účtov, poistné na úrovni 35,2 % (odhad). OS 2021 počtu zamestnancov vychádza z podkladu MŠVVŠ SR.  OS 2021 a NRVS 2022 až 2024 nezohľadňuje zdroje EÚ a spolufinancovania zo ŠR.  NRVS v</w:t>
            </w:r>
            <w:r w:rsidR="00935574">
              <w:rPr>
                <w:rFonts w:ascii="Times New Roman" w:eastAsia="Times New Roman" w:hAnsi="Times New Roman" w:cs="Times New Roman"/>
                <w:color w:val="000000"/>
                <w:sz w:val="14"/>
                <w:szCs w:val="14"/>
                <w:lang w:eastAsia="sk-SK"/>
              </w:rPr>
              <w:t> rokoch 2022 a 2023 je vrátane P</w:t>
            </w:r>
            <w:r w:rsidRPr="006B209A">
              <w:rPr>
                <w:rFonts w:ascii="Times New Roman" w:eastAsia="Times New Roman" w:hAnsi="Times New Roman" w:cs="Times New Roman"/>
                <w:color w:val="000000"/>
                <w:sz w:val="14"/>
                <w:szCs w:val="14"/>
                <w:lang w:eastAsia="sk-SK"/>
              </w:rPr>
              <w:t>lánu obnovy a odolnosti.</w:t>
            </w:r>
            <w:r w:rsidRPr="006B209A">
              <w:rPr>
                <w:rFonts w:ascii="Times New Roman" w:eastAsia="Times New Roman" w:hAnsi="Times New Roman" w:cs="Times New Roman"/>
                <w:color w:val="000000"/>
                <w:sz w:val="14"/>
                <w:szCs w:val="14"/>
                <w:lang w:eastAsia="sk-SK"/>
              </w:rPr>
              <w:tab/>
              <w:t xml:space="preserve">                                                                                                                                                     </w:t>
            </w:r>
            <w:r w:rsidRPr="006B209A">
              <w:rPr>
                <w:rFonts w:ascii="Times New Roman" w:eastAsia="Times New Roman" w:hAnsi="Times New Roman" w:cs="Times New Roman"/>
                <w:i/>
                <w:color w:val="000000"/>
                <w:sz w:val="14"/>
                <w:szCs w:val="14"/>
                <w:lang w:eastAsia="sk-SK"/>
              </w:rPr>
              <w:t>Zdroj: MF SR</w:t>
            </w:r>
            <w:r w:rsidRPr="006B209A">
              <w:rPr>
                <w:rFonts w:ascii="Times New Roman" w:eastAsia="Times New Roman" w:hAnsi="Times New Roman" w:cs="Times New Roman"/>
                <w:color w:val="000000"/>
                <w:sz w:val="14"/>
                <w:szCs w:val="14"/>
                <w:lang w:eastAsia="sk-SK"/>
              </w:rPr>
              <w:tab/>
            </w:r>
            <w:r w:rsidRPr="006B209A">
              <w:rPr>
                <w:rFonts w:ascii="Times New Roman" w:eastAsia="Times New Roman" w:hAnsi="Times New Roman" w:cs="Times New Roman"/>
                <w:color w:val="000000"/>
                <w:sz w:val="14"/>
                <w:szCs w:val="14"/>
                <w:lang w:eastAsia="sk-SK"/>
              </w:rPr>
              <w:tab/>
            </w:r>
            <w:r w:rsidRPr="006B209A">
              <w:rPr>
                <w:rFonts w:ascii="Times New Roman" w:eastAsia="Times New Roman" w:hAnsi="Times New Roman" w:cs="Times New Roman"/>
                <w:color w:val="000000"/>
                <w:sz w:val="14"/>
                <w:szCs w:val="14"/>
                <w:lang w:eastAsia="sk-SK"/>
              </w:rPr>
              <w:tab/>
            </w:r>
            <w:r w:rsidRPr="006B209A">
              <w:rPr>
                <w:rFonts w:ascii="Times New Roman" w:eastAsia="Times New Roman" w:hAnsi="Times New Roman" w:cs="Times New Roman"/>
                <w:color w:val="000000"/>
                <w:sz w:val="14"/>
                <w:szCs w:val="14"/>
                <w:lang w:eastAsia="sk-SK"/>
              </w:rPr>
              <w:tab/>
              <w:t xml:space="preserve">                                                                                                </w:t>
            </w:r>
          </w:p>
        </w:tc>
      </w:tr>
    </w:tbl>
    <w:p w:rsidR="00AA17E3" w:rsidRPr="006B209A" w:rsidRDefault="00AA17E3" w:rsidP="00AA17E3">
      <w:pPr>
        <w:spacing w:after="0"/>
        <w:rPr>
          <w:rFonts w:ascii="Times New Roman" w:eastAsia="Times New Roman" w:hAnsi="Times New Roman" w:cs="Times New Roman"/>
          <w:b/>
          <w:color w:val="5B9BD5" w:themeColor="accent1"/>
          <w:sz w:val="24"/>
          <w:szCs w:val="24"/>
        </w:rPr>
      </w:pPr>
      <w:r w:rsidRPr="006B209A">
        <w:rPr>
          <w:rFonts w:ascii="Times New Roman" w:eastAsia="Times New Roman" w:hAnsi="Times New Roman" w:cs="Times New Roman"/>
          <w:b/>
          <w:color w:val="5B9BD5" w:themeColor="accent1"/>
          <w:sz w:val="24"/>
          <w:szCs w:val="24"/>
        </w:rPr>
        <w:t xml:space="preserve">Vysoké školstvo vrátane rezortného vysokého školstva </w:t>
      </w:r>
    </w:p>
    <w:p w:rsidR="00AA17E3" w:rsidRPr="006B209A" w:rsidRDefault="00AA17E3" w:rsidP="00AA17E3">
      <w:pPr>
        <w:spacing w:after="0"/>
        <w:jc w:val="both"/>
        <w:rPr>
          <w:rFonts w:ascii="Times New Roman" w:eastAsia="Times New Roman" w:hAnsi="Times New Roman" w:cs="Times New Roman"/>
          <w:b/>
          <w:color w:val="5B9BD5" w:themeColor="accent1"/>
          <w:sz w:val="24"/>
          <w:szCs w:val="24"/>
        </w:rPr>
      </w:pPr>
    </w:p>
    <w:p w:rsidR="00AA17E3" w:rsidRPr="006B209A" w:rsidRDefault="00AA17E3" w:rsidP="00AA17E3">
      <w:pPr>
        <w:keepNext/>
        <w:spacing w:after="0"/>
        <w:jc w:val="both"/>
        <w:rPr>
          <w:rFonts w:ascii="Times New Roman" w:hAnsi="Times New Roman" w:cs="Times New Roman"/>
          <w:sz w:val="24"/>
          <w:szCs w:val="24"/>
        </w:rPr>
      </w:pPr>
      <w:bookmarkStart w:id="212" w:name="_Toc53054788"/>
      <w:bookmarkStart w:id="213" w:name="_Toc53077980"/>
      <w:bookmarkStart w:id="214" w:name="_Toc53086382"/>
      <w:r w:rsidRPr="006B209A">
        <w:rPr>
          <w:rFonts w:ascii="Times New Roman" w:hAnsi="Times New Roman" w:cs="Times New Roman"/>
          <w:sz w:val="24"/>
          <w:szCs w:val="24"/>
        </w:rPr>
        <w:t xml:space="preserve">Vysoké školstvo je financované viacerými kapitolami štátneho rozpočtu. V kapitole </w:t>
      </w:r>
      <w:r w:rsidR="00030793">
        <w:rPr>
          <w:rFonts w:ascii="Times New Roman" w:hAnsi="Times New Roman" w:cs="Times New Roman"/>
          <w:sz w:val="24"/>
          <w:szCs w:val="24"/>
        </w:rPr>
        <w:br/>
      </w:r>
      <w:r w:rsidRPr="006B209A">
        <w:rPr>
          <w:rFonts w:ascii="Times New Roman" w:hAnsi="Times New Roman" w:cs="Times New Roman"/>
          <w:sz w:val="24"/>
          <w:szCs w:val="24"/>
        </w:rPr>
        <w:t xml:space="preserve">MŠVVŠ SR sú rozpočtované prostriedky pre 20 verejných vysokých škôl (ďalej len „VVŠ“), v kapitolách  Ministerstva vnútra SR, Ministerstva obrany SR a Ministerstva zdravotníctva SR, pre 3 štátne vysoké školy, z ktorých dve hospodária ako štátne rozpočtové organizácie a jedna štátna príspevková organizácia. V celkových zdrojoch sú zahrnuté aj výdavky Fondu na podporu vzdelávania a výdavky Slovenskej akadémie vied, ktoré sú rozpočtované na financovanie 3. stupňa vysokoškolského vzdelávania. Slovenská akadémia vied ako externá vzdelávacia inštitúcia sa podieľa na výchove nových generácií vedeckých pracovníkov v širokej palete vedných odborov. </w:t>
      </w:r>
    </w:p>
    <w:p w:rsidR="00AA17E3" w:rsidRPr="006B209A" w:rsidRDefault="00AA17E3" w:rsidP="00AA17E3">
      <w:pPr>
        <w:keepNext/>
        <w:spacing w:after="0"/>
        <w:jc w:val="both"/>
        <w:rPr>
          <w:rFonts w:ascii="Times New Roman" w:hAnsi="Times New Roman" w:cs="Times New Roman"/>
          <w:sz w:val="24"/>
          <w:szCs w:val="24"/>
        </w:rPr>
      </w:pPr>
    </w:p>
    <w:p w:rsidR="00AA17E3" w:rsidRPr="006B209A" w:rsidRDefault="00AA17E3" w:rsidP="00AA17E3">
      <w:pPr>
        <w:keepNext/>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V návrhu rozpočtu sú zapracované tiež výdavky spojené s návrhom zákona o finančnej podpore detí a rodín vo vzťahu k vysokoškolským študentkám, tzv. tehotenské štipendiá v sume </w:t>
      </w:r>
      <w:r w:rsidR="00030793">
        <w:rPr>
          <w:rFonts w:ascii="Times New Roman" w:hAnsi="Times New Roman" w:cs="Times New Roman"/>
          <w:sz w:val="24"/>
          <w:szCs w:val="24"/>
        </w:rPr>
        <w:br/>
      </w:r>
      <w:r w:rsidRPr="006B209A">
        <w:rPr>
          <w:rFonts w:ascii="Times New Roman" w:hAnsi="Times New Roman" w:cs="Times New Roman"/>
          <w:sz w:val="24"/>
          <w:szCs w:val="24"/>
        </w:rPr>
        <w:t xml:space="preserve">1,20 mil. eur, vládne štipendiá ako podpora bieloruskej občianskej spoločnosti v sume </w:t>
      </w:r>
      <w:r w:rsidR="00030793">
        <w:rPr>
          <w:rFonts w:ascii="Times New Roman" w:hAnsi="Times New Roman" w:cs="Times New Roman"/>
          <w:sz w:val="24"/>
          <w:szCs w:val="24"/>
        </w:rPr>
        <w:br/>
      </w:r>
      <w:r w:rsidRPr="006B209A">
        <w:rPr>
          <w:rFonts w:ascii="Times New Roman" w:hAnsi="Times New Roman" w:cs="Times New Roman"/>
          <w:sz w:val="24"/>
          <w:szCs w:val="24"/>
        </w:rPr>
        <w:t xml:space="preserve">90,4 tis. eur ale aj výdavky na štipendiá Martina Filka v sume 200 tis. eur a finančné prostriedky z plánu obnovy vrátane DPH v sume 30,7 mil. eur. Výdavky z plánu obnovy majú slúžiť na kapitálové investície vysokých škôl, ako napríklad modernizácia budov a internátov. Dlhodobým cieľom je, aby sa aspoň jedna slovenská vysoká škola umiestnila medzi TOP500 vysokými školami sveta  v renomovaných akademických rebríčkoch a ďalšie vysoké školy sa pravidelne umiestňovali v TOP1000. Prostriedky na oblasť vysokého školstva na rok 2022 predstavujú sumu 924 mil. eur. </w:t>
      </w:r>
    </w:p>
    <w:p w:rsidR="00AA17E3" w:rsidRPr="006B209A" w:rsidRDefault="00AA17E3" w:rsidP="00AA17E3">
      <w:pPr>
        <w:spacing w:after="0" w:line="240" w:lineRule="auto"/>
      </w:pPr>
    </w:p>
    <w:p w:rsidR="00AA17E3" w:rsidRPr="006B209A" w:rsidRDefault="00AA17E3" w:rsidP="00AA17E3">
      <w:pPr>
        <w:spacing w:after="0" w:line="240" w:lineRule="auto"/>
        <w:jc w:val="both"/>
        <w:rPr>
          <w:rFonts w:ascii="Times New Roman" w:hAnsi="Times New Roman" w:cs="Times New Roman"/>
          <w:sz w:val="24"/>
          <w:szCs w:val="24"/>
        </w:rPr>
      </w:pPr>
      <w:r w:rsidRPr="006B209A">
        <w:rPr>
          <w:rFonts w:ascii="Times New Roman" w:hAnsi="Times New Roman" w:cs="Times New Roman"/>
          <w:sz w:val="24"/>
          <w:szCs w:val="24"/>
        </w:rPr>
        <w:t xml:space="preserve">Verejné vysoké školy sú vrcholné vzdelávacie, vedecké a umelecké inštitúcie. Ich hlavnou úlohou je poskytovanie vysokoškolského vzdelávania a tvorivé bádanie alebo tvorivá umelecká činnosť. Činnosť VVŠ je financovaná z dotácie zo štátneho rozpočtu, z vlastných zdrojov, zo zdrojov získaných z verejných výziev na projekty vedy a výskumu, zo štrukturálnych fondov EÚ vrátane spolufinancovania ako aj z medzinárodných programov a grantov. Zároveň VVŠ vykonávajú aj podnikateľskú činnosť, z ktorej po zdanení finančné prostriedky používajú </w:t>
      </w:r>
      <w:r w:rsidR="00352781">
        <w:rPr>
          <w:rFonts w:ascii="Times New Roman" w:hAnsi="Times New Roman" w:cs="Times New Roman"/>
          <w:sz w:val="24"/>
          <w:szCs w:val="24"/>
        </w:rPr>
        <w:t xml:space="preserve">na </w:t>
      </w:r>
      <w:r w:rsidR="00352781" w:rsidRPr="00FA7DE1">
        <w:rPr>
          <w:rFonts w:ascii="Times New Roman" w:hAnsi="Times New Roman" w:cs="Times New Roman"/>
          <w:sz w:val="24"/>
          <w:szCs w:val="24"/>
        </w:rPr>
        <w:t>financovanie hlavnej činnosti.</w:t>
      </w:r>
      <w:r w:rsidRPr="006B209A">
        <w:rPr>
          <w:rFonts w:ascii="Times New Roman" w:hAnsi="Times New Roman" w:cs="Times New Roman"/>
          <w:sz w:val="24"/>
          <w:szCs w:val="24"/>
        </w:rPr>
        <w:t xml:space="preserve"> </w:t>
      </w:r>
    </w:p>
    <w:p w:rsidR="00AA17E3" w:rsidRPr="006B209A" w:rsidRDefault="00AA17E3" w:rsidP="00AA17E3">
      <w:pPr>
        <w:keepNext/>
        <w:spacing w:after="0" w:line="240" w:lineRule="auto"/>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215" w:name="_Toc84528406"/>
      <w:bookmarkStart w:id="216" w:name="_Toc84845282"/>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58</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vysoké školstvo</w:t>
      </w:r>
      <w:bookmarkEnd w:id="212"/>
      <w:bookmarkEnd w:id="213"/>
      <w:bookmarkEnd w:id="214"/>
      <w:bookmarkEnd w:id="215"/>
      <w:bookmarkEnd w:id="216"/>
    </w:p>
    <w:tbl>
      <w:tblPr>
        <w:tblW w:w="5000" w:type="pct"/>
        <w:tblCellMar>
          <w:left w:w="70" w:type="dxa"/>
          <w:right w:w="70" w:type="dxa"/>
        </w:tblCellMar>
        <w:tblLook w:val="04A0" w:firstRow="1" w:lastRow="0" w:firstColumn="1" w:lastColumn="0" w:noHBand="0" w:noVBand="1"/>
      </w:tblPr>
      <w:tblGrid>
        <w:gridCol w:w="3318"/>
        <w:gridCol w:w="894"/>
        <w:gridCol w:w="810"/>
        <w:gridCol w:w="810"/>
        <w:gridCol w:w="810"/>
        <w:gridCol w:w="810"/>
        <w:gridCol w:w="810"/>
        <w:gridCol w:w="810"/>
      </w:tblGrid>
      <w:tr w:rsidR="00AA17E3" w:rsidRPr="006B209A" w:rsidTr="00AA17E3">
        <w:trPr>
          <w:trHeight w:val="301"/>
        </w:trPr>
        <w:tc>
          <w:tcPr>
            <w:tcW w:w="1763"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502"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Výdavky na vysoké školstvo</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871 565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904 757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863 000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1 101 968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923 619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992 029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884 879</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C166DE">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verejných vysokých škôl*</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810 648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836 959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796 699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997 592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840 001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875 888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806 463</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Výdavky pre VVŠ spolu cez MŠVVaŠ SR**</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9 931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7 819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9 713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10 357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12 957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13 509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12 680</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Rezortné vysokoškolské vzdelávanie***</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40 726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48 179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42 698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54 857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46 479</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47 792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48 315</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Zdroje EÚ vrátane spolufinancovania</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1 103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24 936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7 754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37 395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Fond na podporu vzdelávanie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6 596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6 476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8 987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9 536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8 295</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8 290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8 290</w:t>
            </w:r>
          </w:p>
        </w:tc>
      </w:tr>
      <w:tr w:rsidR="00AA17E3" w:rsidRPr="006B209A" w:rsidTr="00AA17E3">
        <w:trPr>
          <w:trHeight w:val="301"/>
        </w:trPr>
        <w:tc>
          <w:tcPr>
            <w:tcW w:w="176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Slovenská akadémia vied - doktorandské štúdium</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3 664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4 221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4 904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4 690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5 068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5 068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5 068</w:t>
            </w:r>
          </w:p>
        </w:tc>
      </w:tr>
      <w:tr w:rsidR="00AA17E3" w:rsidRPr="006B209A" w:rsidTr="00AA17E3">
        <w:trPr>
          <w:trHeight w:val="301"/>
        </w:trPr>
        <w:tc>
          <w:tcPr>
            <w:tcW w:w="176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POO bez transferov pre VVŠ</w:t>
            </w:r>
          </w:p>
        </w:tc>
        <w:tc>
          <w:tcPr>
            <w:tcW w:w="50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3 065</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4 087</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4 065</w:t>
            </w:r>
          </w:p>
        </w:tc>
      </w:tr>
    </w:tbl>
    <w:p w:rsidR="00AA17E3" w:rsidRPr="006B209A" w:rsidRDefault="00AA17E3" w:rsidP="00AA17E3">
      <w:pPr>
        <w:spacing w:after="0" w:line="240" w:lineRule="auto"/>
        <w:jc w:val="both"/>
        <w:rPr>
          <w:rFonts w:ascii="Times New Roman" w:eastAsia="Times New Roman" w:hAnsi="Times New Roman" w:cs="Times New Roman"/>
          <w:i/>
          <w:color w:val="000000"/>
          <w:sz w:val="14"/>
          <w:szCs w:val="14"/>
          <w:lang w:eastAsia="sk-SK"/>
        </w:rPr>
      </w:pPr>
      <w:r w:rsidRPr="006B209A">
        <w:rPr>
          <w:rFonts w:ascii="Times New Roman" w:eastAsia="Times New Roman" w:hAnsi="Times New Roman" w:cs="Times New Roman"/>
          <w:i/>
          <w:color w:val="000000"/>
          <w:sz w:val="14"/>
          <w:szCs w:val="14"/>
          <w:lang w:eastAsia="sk-SK"/>
        </w:rPr>
        <w:t xml:space="preserve">* výdavky vrátane výdavkov z APVV, EÚ a SP a POO                                                                                                                                                    </w:t>
      </w:r>
      <w:r w:rsidRPr="006B209A">
        <w:rPr>
          <w:rFonts w:ascii="Times New Roman" w:eastAsia="Times New Roman" w:hAnsi="Times New Roman" w:cs="Times New Roman"/>
          <w:i/>
          <w:color w:val="000000"/>
          <w:sz w:val="16"/>
          <w:szCs w:val="16"/>
          <w:lang w:eastAsia="sk-SK"/>
        </w:rPr>
        <w:t>Zdroj: MF SR</w:t>
      </w:r>
    </w:p>
    <w:p w:rsidR="00AA17E3" w:rsidRPr="006B209A" w:rsidRDefault="00AA17E3" w:rsidP="00AA17E3">
      <w:pPr>
        <w:spacing w:after="0" w:line="240" w:lineRule="auto"/>
        <w:jc w:val="both"/>
        <w:rPr>
          <w:rFonts w:ascii="Times New Roman" w:eastAsia="Times New Roman" w:hAnsi="Times New Roman" w:cs="Times New Roman"/>
          <w:i/>
          <w:color w:val="000000"/>
          <w:sz w:val="14"/>
          <w:szCs w:val="14"/>
          <w:lang w:eastAsia="sk-SK"/>
        </w:rPr>
      </w:pPr>
      <w:r w:rsidRPr="006B209A">
        <w:rPr>
          <w:rFonts w:ascii="Times New Roman" w:eastAsia="Times New Roman" w:hAnsi="Times New Roman" w:cs="Times New Roman"/>
          <w:i/>
          <w:color w:val="000000"/>
          <w:sz w:val="14"/>
          <w:szCs w:val="14"/>
          <w:lang w:eastAsia="sk-SK"/>
        </w:rPr>
        <w:t>** výdavky bez transferov pre VVŠ</w:t>
      </w:r>
    </w:p>
    <w:p w:rsidR="00AA17E3" w:rsidRPr="006B209A" w:rsidRDefault="00AA17E3" w:rsidP="00AA17E3">
      <w:pPr>
        <w:spacing w:after="0" w:line="240" w:lineRule="auto"/>
        <w:jc w:val="both"/>
        <w:rPr>
          <w:rFonts w:ascii="Times New Roman" w:hAnsi="Times New Roman" w:cs="Times New Roman"/>
          <w:i/>
          <w:sz w:val="14"/>
          <w:szCs w:val="14"/>
        </w:rPr>
      </w:pPr>
      <w:r w:rsidRPr="006B209A">
        <w:rPr>
          <w:rFonts w:ascii="Times New Roman" w:eastAsia="Times New Roman" w:hAnsi="Times New Roman" w:cs="Times New Roman"/>
          <w:i/>
          <w:color w:val="000000"/>
          <w:sz w:val="14"/>
          <w:szCs w:val="14"/>
          <w:lang w:eastAsia="sk-SK"/>
        </w:rPr>
        <w:t>**</w:t>
      </w:r>
      <w:r w:rsidRPr="006B209A">
        <w:rPr>
          <w:rFonts w:ascii="Times New Roman" w:hAnsi="Times New Roman" w:cs="Times New Roman"/>
          <w:i/>
          <w:sz w:val="14"/>
          <w:szCs w:val="14"/>
        </w:rPr>
        <w:t>* vysoké školy MO SR, MV SR a MZ SR</w:t>
      </w:r>
    </w:p>
    <w:p w:rsidR="00AA17E3" w:rsidRPr="006B209A" w:rsidRDefault="00AA17E3" w:rsidP="00AA17E3">
      <w:pPr>
        <w:spacing w:after="0" w:line="240" w:lineRule="auto"/>
        <w:jc w:val="both"/>
        <w:rPr>
          <w:rFonts w:ascii="Times New Roman" w:hAnsi="Times New Roman" w:cs="Times New Roman"/>
          <w:i/>
          <w:sz w:val="14"/>
          <w:szCs w:val="14"/>
        </w:rPr>
      </w:pPr>
      <w:r w:rsidRPr="006B209A">
        <w:rPr>
          <w:rFonts w:ascii="Times New Roman" w:hAnsi="Times New Roman" w:cs="Times New Roman"/>
          <w:i/>
          <w:sz w:val="14"/>
          <w:szCs w:val="14"/>
        </w:rPr>
        <w:t>V skutočnosti za roky 2019 a 2020 a očakávanej skutočnosti 2021 sú zahrnuté použité výdavky z predchádzajúcich rokov ako aj výdavky z podnikateľskej činnosti, ktorá sa nerozpočtuje.</w:t>
      </w:r>
    </w:p>
    <w:p w:rsidR="00AA17E3" w:rsidRPr="00935574" w:rsidRDefault="00AA17E3" w:rsidP="00AA17E3">
      <w:pPr>
        <w:spacing w:after="0" w:line="240" w:lineRule="auto"/>
        <w:jc w:val="both"/>
        <w:rPr>
          <w:rFonts w:ascii="Times New Roman" w:hAnsi="Times New Roman" w:cs="Times New Roman"/>
          <w:i/>
          <w:sz w:val="24"/>
          <w:szCs w:val="14"/>
        </w:rPr>
      </w:pPr>
    </w:p>
    <w:p w:rsidR="00AA17E3" w:rsidRDefault="00AA17E3" w:rsidP="00935574">
      <w:pPr>
        <w:spacing w:after="0"/>
        <w:rPr>
          <w:rFonts w:ascii="Times New Roman" w:hAnsi="Times New Roman" w:cs="Times New Roman"/>
          <w:b/>
          <w:color w:val="5B9BD5" w:themeColor="accent1"/>
          <w:sz w:val="24"/>
          <w:szCs w:val="24"/>
        </w:rPr>
      </w:pPr>
      <w:r w:rsidRPr="006B209A">
        <w:rPr>
          <w:rFonts w:ascii="Times New Roman" w:hAnsi="Times New Roman" w:cs="Times New Roman"/>
          <w:b/>
          <w:color w:val="5B9BD5" w:themeColor="accent1"/>
          <w:sz w:val="24"/>
          <w:szCs w:val="24"/>
        </w:rPr>
        <w:t>Osobné výdavky zamestnancov verejných vysokých škôl</w:t>
      </w:r>
    </w:p>
    <w:p w:rsidR="00935574" w:rsidRPr="006B209A" w:rsidRDefault="00935574" w:rsidP="00935574">
      <w:pPr>
        <w:spacing w:after="0"/>
        <w:rPr>
          <w:rFonts w:ascii="Times New Roman" w:hAnsi="Times New Roman" w:cs="Times New Roman"/>
          <w:b/>
          <w:color w:val="5B9BD5" w:themeColor="accent1"/>
          <w:sz w:val="24"/>
          <w:szCs w:val="24"/>
        </w:rPr>
      </w:pPr>
    </w:p>
    <w:p w:rsidR="00AA17E3" w:rsidRPr="006B209A" w:rsidRDefault="00AA17E3" w:rsidP="00935574">
      <w:pPr>
        <w:spacing w:after="0"/>
        <w:jc w:val="both"/>
        <w:rPr>
          <w:rFonts w:ascii="Times New Roman" w:hAnsi="Times New Roman" w:cs="Times New Roman"/>
          <w:sz w:val="24"/>
          <w:szCs w:val="24"/>
          <w:highlight w:val="yellow"/>
        </w:rPr>
      </w:pPr>
      <w:r w:rsidRPr="006B209A">
        <w:rPr>
          <w:rFonts w:ascii="Times New Roman" w:hAnsi="Times New Roman" w:cs="Times New Roman"/>
          <w:sz w:val="24"/>
          <w:szCs w:val="24"/>
        </w:rPr>
        <w:t>Osobné výdavky zamestnancov verejných vysokých škôl vychádzajú z transferu rozpísaného kapitolou Ministerstva školstva, vedy, výskumu a športu SR na rok 2022 v sume 474 mil. eur, v tom mzdy 354 mil. eur s priemerným mzdovým výdavkom 1 562,71 eur.</w:t>
      </w:r>
    </w:p>
    <w:p w:rsidR="00AA17E3" w:rsidRPr="00935574" w:rsidRDefault="00AA17E3" w:rsidP="00AA17E3">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2C9ADC"/>
          <w:sz w:val="24"/>
          <w:szCs w:val="24"/>
          <w:highlight w:val="yellow"/>
          <w:bdr w:val="nil"/>
          <w:lang w:eastAsia="sk-SK"/>
        </w:rPr>
      </w:pPr>
    </w:p>
    <w:p w:rsidR="00AA17E3" w:rsidRPr="006B209A" w:rsidRDefault="00AA17E3" w:rsidP="00AA17E3">
      <w:pPr>
        <w:keepNext/>
        <w:spacing w:after="0" w:line="240" w:lineRule="auto"/>
        <w:rPr>
          <w:rFonts w:ascii="Times New Roman" w:hAnsi="Times New Roman" w:cs="Times New Roman"/>
          <w:b/>
          <w:iCs/>
          <w:noProof/>
          <w:color w:val="5B9BD5" w:themeColor="accent1"/>
          <w:sz w:val="20"/>
          <w:szCs w:val="20"/>
        </w:rPr>
      </w:pPr>
      <w:bookmarkStart w:id="217" w:name="_Toc53054789"/>
      <w:bookmarkStart w:id="218" w:name="_Toc53077981"/>
      <w:bookmarkStart w:id="219" w:name="_Toc53086383"/>
      <w:bookmarkStart w:id="220" w:name="_Toc84528407"/>
      <w:bookmarkStart w:id="221" w:name="_Toc84845283"/>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59</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Zamestnanosť</w:t>
      </w:r>
      <w:r w:rsidRPr="006B209A">
        <w:rPr>
          <w:rFonts w:ascii="Times New Roman" w:hAnsi="Times New Roman" w:cs="Times New Roman"/>
          <w:b/>
          <w:iCs/>
          <w:noProof/>
          <w:color w:val="5B9BD5" w:themeColor="accent1"/>
          <w:sz w:val="20"/>
          <w:szCs w:val="20"/>
        </w:rPr>
        <w:t xml:space="preserve"> vo verejných vysokých školách</w:t>
      </w:r>
      <w:bookmarkEnd w:id="217"/>
      <w:bookmarkEnd w:id="218"/>
      <w:bookmarkEnd w:id="219"/>
      <w:bookmarkEnd w:id="220"/>
      <w:bookmarkEnd w:id="221"/>
    </w:p>
    <w:tbl>
      <w:tblPr>
        <w:tblW w:w="9072" w:type="dxa"/>
        <w:tblCellMar>
          <w:left w:w="70" w:type="dxa"/>
          <w:right w:w="70" w:type="dxa"/>
        </w:tblCellMar>
        <w:tblLook w:val="04A0" w:firstRow="1" w:lastRow="0" w:firstColumn="1" w:lastColumn="0" w:noHBand="0" w:noVBand="1"/>
      </w:tblPr>
      <w:tblGrid>
        <w:gridCol w:w="2153"/>
        <w:gridCol w:w="829"/>
        <w:gridCol w:w="870"/>
        <w:gridCol w:w="870"/>
        <w:gridCol w:w="870"/>
        <w:gridCol w:w="870"/>
        <w:gridCol w:w="870"/>
        <w:gridCol w:w="870"/>
        <w:gridCol w:w="870"/>
      </w:tblGrid>
      <w:tr w:rsidR="00AA17E3" w:rsidRPr="006B209A" w:rsidTr="00AA17E3">
        <w:trPr>
          <w:trHeight w:val="300"/>
        </w:trPr>
        <w:tc>
          <w:tcPr>
            <w:tcW w:w="2153"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Verejné vysoké školy</w:t>
            </w:r>
          </w:p>
        </w:tc>
        <w:tc>
          <w:tcPr>
            <w:tcW w:w="829"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 </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2019  S</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2020  S</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R</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OS</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2022  N</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2023  N</w:t>
            </w:r>
          </w:p>
        </w:tc>
        <w:tc>
          <w:tcPr>
            <w:tcW w:w="870" w:type="dxa"/>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2024  N</w:t>
            </w:r>
          </w:p>
        </w:tc>
      </w:tr>
      <w:tr w:rsidR="00AA17E3" w:rsidRPr="006B209A" w:rsidTr="00AA17E3">
        <w:trPr>
          <w:trHeight w:val="300"/>
        </w:trPr>
        <w:tc>
          <w:tcPr>
            <w:tcW w:w="2153"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Počet zamestnancov</w:t>
            </w:r>
          </w:p>
        </w:tc>
        <w:tc>
          <w:tcPr>
            <w:tcW w:w="829"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(osoby)</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20 409</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20 155</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20 195</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19 858</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18 861</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17 526</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17 526</w:t>
            </w:r>
          </w:p>
        </w:tc>
      </w:tr>
      <w:tr w:rsidR="00AA17E3" w:rsidRPr="006B209A" w:rsidTr="00AA17E3">
        <w:trPr>
          <w:trHeight w:val="300"/>
        </w:trPr>
        <w:tc>
          <w:tcPr>
            <w:tcW w:w="2153"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Osobné výdavky</w:t>
            </w:r>
          </w:p>
        </w:tc>
        <w:tc>
          <w:tcPr>
            <w:tcW w:w="829"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tis. eur</w:t>
            </w:r>
            <w:r w:rsidRPr="006B209A">
              <w:rPr>
                <w:rFonts w:ascii="Times New Roman" w:eastAsia="Times New Roman" w:hAnsi="Times New Roman" w:cs="Times New Roman"/>
                <w:color w:val="000000"/>
                <w:sz w:val="16"/>
                <w:szCs w:val="16"/>
                <w:lang w:eastAsia="sk-SK"/>
              </w:rPr>
              <w:t>)</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465 560</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503 866</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512 502</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603 412</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473 802</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453 079</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452 874</w:t>
            </w:r>
          </w:p>
        </w:tc>
      </w:tr>
      <w:tr w:rsidR="00AA17E3" w:rsidRPr="006B209A" w:rsidTr="00AA17E3">
        <w:trPr>
          <w:trHeight w:val="300"/>
        </w:trPr>
        <w:tc>
          <w:tcPr>
            <w:tcW w:w="2153"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ind w:firstLineChars="200" w:firstLine="320"/>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z toho: mzdové výdavky</w:t>
            </w:r>
          </w:p>
        </w:tc>
        <w:tc>
          <w:tcPr>
            <w:tcW w:w="829"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(tis. eur)</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342 728</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372 217</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379 287</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445 452</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353 691</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337 625</w:t>
            </w:r>
          </w:p>
        </w:tc>
        <w:tc>
          <w:tcPr>
            <w:tcW w:w="870" w:type="dxa"/>
            <w:tcBorders>
              <w:top w:val="nil"/>
              <w:left w:val="nil"/>
              <w:bottom w:val="nil"/>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337 471</w:t>
            </w:r>
          </w:p>
        </w:tc>
      </w:tr>
      <w:tr w:rsidR="00AA17E3" w:rsidRPr="006B209A" w:rsidTr="00AA17E3">
        <w:trPr>
          <w:trHeight w:val="300"/>
        </w:trPr>
        <w:tc>
          <w:tcPr>
            <w:tcW w:w="2153"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Priemerný mzdový výdavok</w:t>
            </w:r>
          </w:p>
        </w:tc>
        <w:tc>
          <w:tcPr>
            <w:tcW w:w="829"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w:t>
            </w:r>
            <w:r w:rsidRPr="006B209A">
              <w:rPr>
                <w:rFonts w:ascii="Times New Roman" w:eastAsia="Times New Roman" w:hAnsi="Times New Roman" w:cs="Times New Roman"/>
                <w:b/>
                <w:bCs/>
                <w:color w:val="000000"/>
                <w:sz w:val="16"/>
                <w:szCs w:val="16"/>
                <w:lang w:eastAsia="sk-SK"/>
              </w:rPr>
              <w:t>tis. eur</w:t>
            </w:r>
            <w:r w:rsidRPr="006B209A">
              <w:rPr>
                <w:rFonts w:ascii="Times New Roman" w:eastAsia="Times New Roman" w:hAnsi="Times New Roman" w:cs="Times New Roman"/>
                <w:color w:val="000000"/>
                <w:sz w:val="16"/>
                <w:szCs w:val="16"/>
                <w:lang w:eastAsia="sk-SK"/>
              </w:rPr>
              <w:t>)</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1 399,42</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1 538,98</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1 565,10</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1869,32</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1 562,71</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1605,35</w:t>
            </w:r>
          </w:p>
        </w:tc>
        <w:tc>
          <w:tcPr>
            <w:tcW w:w="870" w:type="dxa"/>
            <w:tcBorders>
              <w:top w:val="nil"/>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1604,62</w:t>
            </w:r>
          </w:p>
        </w:tc>
      </w:tr>
      <w:tr w:rsidR="00AA17E3" w:rsidRPr="006B209A" w:rsidTr="00AA17E3">
        <w:trPr>
          <w:trHeight w:val="840"/>
        </w:trPr>
        <w:tc>
          <w:tcPr>
            <w:tcW w:w="9072" w:type="dxa"/>
            <w:gridSpan w:val="9"/>
            <w:tcBorders>
              <w:top w:val="single" w:sz="4" w:space="0" w:color="auto"/>
              <w:left w:val="nil"/>
              <w:bottom w:val="nil"/>
              <w:right w:val="nil"/>
            </w:tcBorders>
            <w:shd w:val="clear" w:color="auto" w:fill="auto"/>
            <w:hideMark/>
          </w:tcPr>
          <w:p w:rsidR="00AA17E3" w:rsidRPr="006B209A" w:rsidRDefault="00AA17E3" w:rsidP="00935574">
            <w:pPr>
              <w:spacing w:after="0" w:line="240" w:lineRule="auto"/>
              <w:jc w:val="both"/>
              <w:rPr>
                <w:rFonts w:ascii="Times New Roman" w:eastAsia="Times New Roman" w:hAnsi="Times New Roman" w:cs="Times New Roman"/>
                <w:color w:val="000000"/>
                <w:sz w:val="14"/>
                <w:szCs w:val="14"/>
                <w:lang w:eastAsia="sk-SK"/>
              </w:rPr>
            </w:pPr>
            <w:r w:rsidRPr="006B209A">
              <w:rPr>
                <w:rFonts w:ascii="Times New Roman" w:eastAsia="Times New Roman" w:hAnsi="Times New Roman" w:cs="Times New Roman"/>
                <w:color w:val="000000"/>
                <w:sz w:val="14"/>
                <w:szCs w:val="14"/>
                <w:lang w:eastAsia="sk-SK"/>
              </w:rPr>
              <w:t>S 2019 a 2020 (hlavná a podnikateľská činnosť) z výkazu FIN 1-04. OS 2021 v počtoch zamestnancov zohľadňuje údaje zo štatistiky za 1. polrok 2021. Počty zamestnancov v NRVS 2022 až 2024 (zdroj MŠVVŠ SR) sú orientačné a ich plnenie bude závisieť od čerpania zdrojov EÚ a spolufinancovania zo ŠR, čo ovplyvní výšku priemerného mzdového výdavku, v osobných výdavkoch zohľadňuje zdroje EÚ a spolufinancovania zo ŠR a výdavky POO.</w:t>
            </w:r>
          </w:p>
          <w:p w:rsidR="00AA17E3" w:rsidRPr="006B209A" w:rsidRDefault="00AA17E3" w:rsidP="00935574">
            <w:pPr>
              <w:spacing w:after="0" w:line="240" w:lineRule="auto"/>
              <w:jc w:val="both"/>
              <w:rPr>
                <w:rFonts w:ascii="Times New Roman" w:eastAsia="Times New Roman" w:hAnsi="Times New Roman" w:cs="Times New Roman"/>
                <w:i/>
                <w:color w:val="000000"/>
                <w:sz w:val="14"/>
                <w:szCs w:val="14"/>
                <w:lang w:eastAsia="sk-SK"/>
              </w:rPr>
            </w:pPr>
            <w:r w:rsidRPr="006B209A">
              <w:rPr>
                <w:rFonts w:ascii="Times New Roman" w:eastAsia="Times New Roman" w:hAnsi="Times New Roman" w:cs="Times New Roman"/>
                <w:i/>
                <w:color w:val="000000"/>
                <w:sz w:val="14"/>
                <w:szCs w:val="14"/>
                <w:lang w:eastAsia="sk-SK"/>
              </w:rPr>
              <w:t xml:space="preserve">                                                                                                                                                                                                                                       Zdroj: MF SR</w:t>
            </w:r>
          </w:p>
        </w:tc>
      </w:tr>
    </w:tbl>
    <w:p w:rsidR="00935574" w:rsidRPr="00935574" w:rsidRDefault="00935574" w:rsidP="00935574">
      <w:pPr>
        <w:spacing w:after="0"/>
        <w:jc w:val="both"/>
        <w:rPr>
          <w:rFonts w:ascii="Times New Roman" w:hAnsi="Times New Roman" w:cs="Times New Roman"/>
          <w:sz w:val="10"/>
          <w:szCs w:val="24"/>
        </w:rPr>
      </w:pPr>
    </w:p>
    <w:p w:rsidR="00AA17E3" w:rsidRPr="006B209A" w:rsidRDefault="00AA17E3" w:rsidP="00935574">
      <w:pPr>
        <w:spacing w:after="0"/>
        <w:jc w:val="both"/>
        <w:rPr>
          <w:rFonts w:ascii="Times New Roman" w:hAnsi="Times New Roman" w:cs="Times New Roman"/>
          <w:sz w:val="24"/>
          <w:szCs w:val="24"/>
        </w:rPr>
      </w:pPr>
      <w:r w:rsidRPr="006B209A">
        <w:rPr>
          <w:rFonts w:ascii="Times New Roman" w:hAnsi="Times New Roman" w:cs="Times New Roman"/>
          <w:sz w:val="24"/>
          <w:szCs w:val="24"/>
        </w:rPr>
        <w:t>Medziročný pokles výdavkov a počtu zamestnancov verejných vysokých škôl oproti roku 2021 zohľadňuje opatrenia z Revízie výdavkov zamestnanosti a odmeňovania vo verejnej správe, ktoré spočívajú v optimalizácii počtu nepedagogických zamestnancov rozloženej na viacero rokov (816 osôb) a postupné znižovanie počtu učiteľov verejných vysokých škôl (518 osôb), s čím súvisí aj zníženie osobných výdavkov v roku 2022 o sumu 27,2 mil. eur. Rozpočet osobných výdavkov zohľadňuje výdavky z POO v sume 1,8 mil. eur, ktoré sa premietajú aj do nasledujúcich rokov.</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jc w:val="both"/>
      </w:pPr>
      <w:r w:rsidRPr="006B209A">
        <w:rPr>
          <w:rFonts w:ascii="Times New Roman" w:hAnsi="Times New Roman" w:cs="Times New Roman"/>
          <w:sz w:val="24"/>
          <w:szCs w:val="24"/>
        </w:rPr>
        <w:t xml:space="preserve">V návrhu rozpočtu verejnej správy sa na rok 2023 rozpočtujú osobné výdavky v sume  </w:t>
      </w:r>
      <w:r w:rsidRPr="006B209A">
        <w:rPr>
          <w:rFonts w:ascii="Times New Roman" w:hAnsi="Times New Roman" w:cs="Times New Roman"/>
          <w:sz w:val="24"/>
          <w:szCs w:val="24"/>
        </w:rPr>
        <w:br/>
        <w:t xml:space="preserve">453 mil. eur, z toho mzdy 338 mil. eur s priemerným mzdovým výdavkom 1 605,35 eur </w:t>
      </w:r>
      <w:r w:rsidRPr="006B209A">
        <w:rPr>
          <w:rFonts w:ascii="Times New Roman" w:hAnsi="Times New Roman" w:cs="Times New Roman"/>
          <w:sz w:val="24"/>
          <w:szCs w:val="24"/>
        </w:rPr>
        <w:br/>
        <w:t>pre 17 526 zamestnancov a v roku 2024 v sume 453 mil. eur, z toho mzdy 337 mil. eur s priemerným mzdovým výdavkom 1 604,62 eur pre 17 526 zamestnancov.</w:t>
      </w:r>
    </w:p>
    <w:p w:rsidR="00AA17E3" w:rsidRPr="006B209A" w:rsidRDefault="00AA17E3" w:rsidP="00AA17E3">
      <w:pPr>
        <w:contextualSpacing/>
        <w:jc w:val="both"/>
        <w:rPr>
          <w:rFonts w:ascii="Times New Roman" w:hAnsi="Times New Roman" w:cs="Times New Roman"/>
          <w:sz w:val="24"/>
          <w:szCs w:val="24"/>
        </w:rPr>
      </w:pPr>
      <w:r w:rsidRPr="006B209A">
        <w:rPr>
          <w:rFonts w:ascii="Times New Roman" w:hAnsi="Times New Roman" w:cs="Times New Roman"/>
          <w:sz w:val="24"/>
          <w:szCs w:val="24"/>
        </w:rPr>
        <w:t xml:space="preserve">Z výdavkov štátneho rozpočtu poskytovaných prostredníctvom kapitoly Ministerstva školstva, vedy, výskumu a športu SR verejným vysokým školám sa zabezpečuje vzdelávanie študentov, veda a výskum na školách, sociálna podpora pre študentov vysokých škôl ako sú štipendiá, podpora stravovania, ubytovania, športových a kultúrnych aktivít. V nadväznosti na Revíziu výdavkov zamestnanosti a odmeňovania vo verejnej správe sú rozpočtované výdavky na roky 2022 až 2024 každoročne v sume 9,06 mil. eur na vyplatenie odstupného a odchodného. Ďalej sú rozpočtované výdavky na činnosť Slovenskej akreditačnej agentúry pre vysoké školy, výdavky určené pre zahraničných študentov vrátane štipendií, výdavky na oficiálnu rozvojovú pomoc a výdavky na informačné technológie. </w:t>
      </w:r>
    </w:p>
    <w:p w:rsidR="00AA17E3" w:rsidRPr="006B209A" w:rsidRDefault="00AA17E3" w:rsidP="00AA17E3">
      <w:pPr>
        <w:contextualSpacing/>
        <w:jc w:val="both"/>
        <w:rPr>
          <w:rFonts w:ascii="Times New Roman" w:hAnsi="Times New Roman" w:cs="Times New Roman"/>
          <w:sz w:val="24"/>
          <w:szCs w:val="24"/>
        </w:rPr>
      </w:pPr>
    </w:p>
    <w:p w:rsidR="00AA17E3" w:rsidRPr="006B209A" w:rsidRDefault="00AA17E3" w:rsidP="00AA17E3">
      <w:pPr>
        <w:spacing w:after="200"/>
        <w:contextualSpacing/>
        <w:jc w:val="both"/>
        <w:rPr>
          <w:rFonts w:ascii="Times New Roman" w:hAnsi="Times New Roman" w:cs="Times New Roman"/>
          <w:sz w:val="24"/>
          <w:szCs w:val="24"/>
        </w:rPr>
      </w:pPr>
      <w:r w:rsidRPr="006B209A">
        <w:rPr>
          <w:rFonts w:ascii="Times New Roman" w:hAnsi="Times New Roman" w:cs="Times New Roman"/>
          <w:sz w:val="24"/>
          <w:szCs w:val="24"/>
        </w:rPr>
        <w:t>Verejné vysoké školy budú používať na financovanie svojej hlavnej činnosti okrem prostriedkov poskytnutých Ministerstvom školstva, vedy, výskumu a športu SR aj vlastné zdroje a zdroje získané z podnikateľskej činnosti, ktorá sa podľa vysokoškolského zákona nerozpočtuje. V roku 2020 výdavky z podnikateľskej činnosti tvorili sumu 29,6 mil. eur.</w:t>
      </w:r>
    </w:p>
    <w:p w:rsidR="00AA17E3" w:rsidRPr="006B209A" w:rsidRDefault="00AA17E3" w:rsidP="00AA17E3">
      <w:pPr>
        <w:spacing w:after="200"/>
        <w:contextualSpacing/>
        <w:jc w:val="both"/>
        <w:rPr>
          <w:rFonts w:ascii="Times New Roman" w:hAnsi="Times New Roman" w:cs="Times New Roman"/>
          <w:sz w:val="24"/>
          <w:szCs w:val="24"/>
          <w:highlight w:val="yellow"/>
        </w:rPr>
      </w:pPr>
    </w:p>
    <w:p w:rsidR="00AA17E3" w:rsidRPr="006B209A" w:rsidRDefault="00AA17E3" w:rsidP="00AA17E3">
      <w:pPr>
        <w:contextualSpacing/>
        <w:jc w:val="both"/>
        <w:rPr>
          <w:rFonts w:ascii="Times New Roman" w:hAnsi="Times New Roman" w:cs="Times New Roman"/>
          <w:sz w:val="24"/>
          <w:szCs w:val="24"/>
        </w:rPr>
      </w:pPr>
      <w:r w:rsidRPr="006B209A">
        <w:rPr>
          <w:rFonts w:ascii="Times New Roman" w:hAnsi="Times New Roman" w:cs="Times New Roman"/>
          <w:sz w:val="24"/>
          <w:szCs w:val="24"/>
        </w:rPr>
        <w:t>Verejné vysoké školy môžu v priebehu roku získať z Agentúry na podporu výskumu a vývoja (ďalej len “APVV“) a sekcie vedy a techniky Ministerstva školstva, vedy, výskumu a športu SR ďalšie disponibilné zdroje na financovanie projektov vedy a výskumu na základe vyhlásených verejných výziev. Okrem prostriedkov štátneho rozpočtu poskytnutých z Ministerstva školstva, vedy, výskumu a športu SR sa verejné vysoké školy budú môcť uchádzať aj o zdroje zo štrukturálnych fondov vrátane spolufinancovania zo štátneho rozpočtu z operačných programov, ktoré budú slúžiť na projekty v oblasti ľudských zdrojov ako aj projekty súvisiace s výskumom a vývojom.</w:t>
      </w:r>
    </w:p>
    <w:p w:rsidR="00AA17E3" w:rsidRPr="006B209A" w:rsidRDefault="00AA17E3" w:rsidP="00AA17E3">
      <w:pPr>
        <w:spacing w:after="200"/>
        <w:contextualSpacing/>
        <w:jc w:val="both"/>
        <w:rPr>
          <w:rFonts w:ascii="Times New Roman" w:hAnsi="Times New Roman" w:cs="Times New Roman"/>
          <w:sz w:val="24"/>
          <w:szCs w:val="24"/>
        </w:rPr>
      </w:pPr>
    </w:p>
    <w:p w:rsidR="00AA17E3" w:rsidRDefault="00AA17E3" w:rsidP="00AA17E3">
      <w:pPr>
        <w:spacing w:after="200"/>
        <w:contextualSpacing/>
        <w:jc w:val="both"/>
        <w:rPr>
          <w:rFonts w:ascii="Times New Roman" w:hAnsi="Times New Roman" w:cs="Times New Roman"/>
          <w:sz w:val="24"/>
          <w:szCs w:val="24"/>
        </w:rPr>
      </w:pPr>
      <w:r w:rsidRPr="006B209A">
        <w:rPr>
          <w:rFonts w:ascii="Times New Roman" w:hAnsi="Times New Roman" w:cs="Times New Roman"/>
          <w:sz w:val="24"/>
          <w:szCs w:val="24"/>
        </w:rPr>
        <w:t xml:space="preserve">Do oblasti vysokého školstva patria aj výdavky </w:t>
      </w:r>
      <w:r w:rsidRPr="00C166DE">
        <w:rPr>
          <w:rFonts w:ascii="Times New Roman" w:hAnsi="Times New Roman" w:cs="Times New Roman"/>
          <w:sz w:val="24"/>
          <w:szCs w:val="24"/>
        </w:rPr>
        <w:t xml:space="preserve">rozpočtované v kapitole </w:t>
      </w:r>
      <w:r w:rsidRPr="00C166DE">
        <w:rPr>
          <w:rFonts w:ascii="Times New Roman" w:eastAsia="Times New Roman" w:hAnsi="Times New Roman" w:cs="Times New Roman"/>
          <w:sz w:val="24"/>
          <w:szCs w:val="24"/>
          <w:lang w:eastAsia="sk-SK"/>
        </w:rPr>
        <w:t xml:space="preserve"> Ministerstva obrany </w:t>
      </w:r>
      <w:r w:rsidRPr="00C166DE">
        <w:rPr>
          <w:rFonts w:ascii="Times New Roman" w:hAnsi="Times New Roman" w:cs="Times New Roman"/>
          <w:sz w:val="24"/>
          <w:szCs w:val="24"/>
        </w:rPr>
        <w:t xml:space="preserve"> SR pre rozpočtovú organizáciu Akadémiu ozbrojených síl g</w:t>
      </w:r>
      <w:r w:rsidRPr="006B209A">
        <w:rPr>
          <w:rFonts w:ascii="Times New Roman" w:hAnsi="Times New Roman" w:cs="Times New Roman"/>
          <w:sz w:val="24"/>
          <w:szCs w:val="24"/>
        </w:rPr>
        <w:t>en. M. R. Štefánika v Liptovskom Mikuláši, Ministerstva vnútra SR pre rozpočtovú organizáciu Akadémiu policajného zboru v Bratislave a Ministerstva zdravotníctva SR pre príspevkovú organizáciu Slovenskú zdravotnícku univerzitu v Bratislave vrátane vlastných zdrojov.</w:t>
      </w:r>
    </w:p>
    <w:p w:rsidR="00AA17E3" w:rsidRPr="006B209A" w:rsidRDefault="00AA17E3" w:rsidP="00AA17E3">
      <w:pPr>
        <w:spacing w:after="200"/>
        <w:contextualSpacing/>
        <w:jc w:val="both"/>
        <w:rPr>
          <w:rFonts w:ascii="Times New Roman" w:hAnsi="Times New Roman" w:cs="Times New Roman"/>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222" w:name="_Toc53054790"/>
      <w:bookmarkStart w:id="223" w:name="_Toc53077982"/>
      <w:bookmarkStart w:id="224" w:name="_Toc53086384"/>
      <w:bookmarkStart w:id="225" w:name="_Toc84528408"/>
      <w:bookmarkStart w:id="226" w:name="_Toc84845284"/>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60</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rezortné vysoké školstvo</w:t>
      </w:r>
      <w:bookmarkEnd w:id="222"/>
      <w:bookmarkEnd w:id="223"/>
      <w:bookmarkEnd w:id="224"/>
      <w:bookmarkEnd w:id="225"/>
      <w:bookmarkEnd w:id="226"/>
    </w:p>
    <w:tbl>
      <w:tblPr>
        <w:tblW w:w="5000" w:type="pct"/>
        <w:tblCellMar>
          <w:left w:w="70" w:type="dxa"/>
          <w:right w:w="70" w:type="dxa"/>
        </w:tblCellMar>
        <w:tblLook w:val="04A0" w:firstRow="1" w:lastRow="0" w:firstColumn="1" w:lastColumn="0" w:noHBand="0" w:noVBand="1"/>
      </w:tblPr>
      <w:tblGrid>
        <w:gridCol w:w="3223"/>
        <w:gridCol w:w="909"/>
        <w:gridCol w:w="824"/>
        <w:gridCol w:w="824"/>
        <w:gridCol w:w="824"/>
        <w:gridCol w:w="824"/>
        <w:gridCol w:w="824"/>
        <w:gridCol w:w="820"/>
      </w:tblGrid>
      <w:tr w:rsidR="00AA17E3" w:rsidRPr="006B209A" w:rsidTr="00AA17E3">
        <w:trPr>
          <w:trHeight w:val="301"/>
        </w:trPr>
        <w:tc>
          <w:tcPr>
            <w:tcW w:w="1777"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501"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301"/>
        </w:trPr>
        <w:tc>
          <w:tcPr>
            <w:tcW w:w="1777"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Rezortné vysokoškolské vzdelávanie</w:t>
            </w:r>
          </w:p>
        </w:tc>
        <w:tc>
          <w:tcPr>
            <w:tcW w:w="501"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40 726</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48 179</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42 698</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54 781</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46 479</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47 792</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48 315</w:t>
            </w:r>
          </w:p>
        </w:tc>
      </w:tr>
      <w:tr w:rsidR="00AA17E3" w:rsidRPr="006B209A" w:rsidTr="00AA17E3">
        <w:trPr>
          <w:trHeight w:val="301"/>
        </w:trPr>
        <w:tc>
          <w:tcPr>
            <w:tcW w:w="1777"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Ministerstvo obrany SR</w:t>
            </w:r>
          </w:p>
        </w:tc>
        <w:tc>
          <w:tcPr>
            <w:tcW w:w="501"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18 951</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21 974</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24 622</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30 876</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25 982</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27 294</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27 818</w:t>
            </w:r>
          </w:p>
        </w:tc>
      </w:tr>
      <w:tr w:rsidR="00AA17E3" w:rsidRPr="006B209A" w:rsidTr="00AA17E3">
        <w:trPr>
          <w:trHeight w:val="301"/>
        </w:trPr>
        <w:tc>
          <w:tcPr>
            <w:tcW w:w="1777"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Ministerstvo vnútra SR</w:t>
            </w:r>
          </w:p>
        </w:tc>
        <w:tc>
          <w:tcPr>
            <w:tcW w:w="501"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9 139</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9 218</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7 933</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9 717</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9 155</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9 155</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9 155</w:t>
            </w:r>
          </w:p>
        </w:tc>
      </w:tr>
      <w:tr w:rsidR="00AA17E3" w:rsidRPr="006B209A" w:rsidTr="00AA17E3">
        <w:trPr>
          <w:trHeight w:val="301"/>
        </w:trPr>
        <w:tc>
          <w:tcPr>
            <w:tcW w:w="1777"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Ministerstvo zdravotníctva SR*</w:t>
            </w:r>
          </w:p>
        </w:tc>
        <w:tc>
          <w:tcPr>
            <w:tcW w:w="501"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12 636</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16 988</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10 142</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14 187</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11 342</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11 342</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11 342</w:t>
            </w:r>
          </w:p>
        </w:tc>
      </w:tr>
    </w:tbl>
    <w:p w:rsidR="00AA17E3" w:rsidRPr="006B209A" w:rsidRDefault="00AA17E3" w:rsidP="00AA17E3">
      <w:pPr>
        <w:tabs>
          <w:tab w:val="left" w:pos="320"/>
          <w:tab w:val="right" w:pos="9072"/>
        </w:tabs>
        <w:contextualSpacing/>
        <w:rPr>
          <w:rFonts w:ascii="Times New Roman" w:hAnsi="Times New Roman" w:cs="Times New Roman"/>
          <w:i/>
          <w:sz w:val="16"/>
          <w:szCs w:val="16"/>
        </w:rPr>
      </w:pPr>
      <w:r w:rsidRPr="006B209A">
        <w:rPr>
          <w:rFonts w:ascii="Times New Roman" w:hAnsi="Times New Roman" w:cs="Times New Roman"/>
          <w:i/>
          <w:sz w:val="16"/>
          <w:szCs w:val="16"/>
        </w:rPr>
        <w:t>*vrátane vlastných zdrojov</w:t>
      </w:r>
      <w:r w:rsidRPr="006B209A">
        <w:rPr>
          <w:rFonts w:ascii="Times New Roman" w:hAnsi="Times New Roman" w:cs="Times New Roman"/>
          <w:i/>
          <w:sz w:val="16"/>
          <w:szCs w:val="16"/>
        </w:rPr>
        <w:tab/>
        <w:t>Zdroj: MF SR</w:t>
      </w:r>
    </w:p>
    <w:p w:rsidR="00AA17E3" w:rsidRPr="00935574" w:rsidRDefault="00AA17E3" w:rsidP="00AA17E3">
      <w:pPr>
        <w:tabs>
          <w:tab w:val="left" w:pos="320"/>
          <w:tab w:val="right" w:pos="9072"/>
        </w:tabs>
        <w:contextualSpacing/>
        <w:rPr>
          <w:rFonts w:ascii="Times New Roman" w:hAnsi="Times New Roman" w:cs="Times New Roman"/>
          <w:i/>
          <w:sz w:val="24"/>
          <w:szCs w:val="16"/>
        </w:rPr>
      </w:pPr>
    </w:p>
    <w:p w:rsidR="00AA17E3" w:rsidRPr="006B209A" w:rsidRDefault="00AA17E3" w:rsidP="00277478">
      <w:pPr>
        <w:widowControl w:val="0"/>
        <w:spacing w:after="0"/>
        <w:jc w:val="both"/>
        <w:rPr>
          <w:rFonts w:ascii="Times New Roman" w:hAnsi="Times New Roman" w:cs="Times New Roman"/>
          <w:sz w:val="24"/>
          <w:szCs w:val="24"/>
        </w:rPr>
      </w:pPr>
      <w:bookmarkStart w:id="227" w:name="_Toc53054791"/>
      <w:bookmarkStart w:id="228" w:name="_Toc53077983"/>
      <w:bookmarkStart w:id="229" w:name="_Toc53086385"/>
      <w:r w:rsidRPr="006B209A">
        <w:rPr>
          <w:rFonts w:ascii="Times New Roman" w:hAnsi="Times New Roman" w:cs="Times New Roman"/>
          <w:sz w:val="24"/>
          <w:szCs w:val="24"/>
        </w:rPr>
        <w:t>Študenti počas vysokoškolského štúdia môžu získať pôžičku z Fondu na podporu vzdelávania, študenti ošetrovateľstva navyše aj stabilizačnú pôžičku. V roku 2022 sa predpokladá alokácia zdrojov na pôžičky pre študentov v celkovej sume 7,37 mil. eur, z toho 2,66 mil. eur pre študentov odboru ošetrovateľstva.</w:t>
      </w:r>
    </w:p>
    <w:p w:rsidR="00AA17E3" w:rsidRDefault="00AA17E3" w:rsidP="00277478">
      <w:pPr>
        <w:widowControl w:val="0"/>
        <w:spacing w:after="0" w:line="240" w:lineRule="auto"/>
        <w:rPr>
          <w:rFonts w:ascii="Times New Roman" w:hAnsi="Times New Roman" w:cs="Times New Roman"/>
          <w:sz w:val="24"/>
          <w:szCs w:val="24"/>
        </w:rPr>
      </w:pPr>
    </w:p>
    <w:p w:rsidR="00277478" w:rsidRDefault="00277478" w:rsidP="00277478">
      <w:pPr>
        <w:widowControl w:val="0"/>
        <w:spacing w:after="0" w:line="240" w:lineRule="auto"/>
        <w:rPr>
          <w:rFonts w:ascii="Times New Roman" w:hAnsi="Times New Roman" w:cs="Times New Roman"/>
          <w:sz w:val="24"/>
          <w:szCs w:val="24"/>
        </w:rPr>
      </w:pPr>
    </w:p>
    <w:p w:rsidR="00277478" w:rsidRDefault="00277478" w:rsidP="00277478">
      <w:pPr>
        <w:widowControl w:val="0"/>
        <w:spacing w:after="0" w:line="240" w:lineRule="auto"/>
        <w:rPr>
          <w:rFonts w:ascii="Times New Roman" w:hAnsi="Times New Roman" w:cs="Times New Roman"/>
          <w:sz w:val="24"/>
          <w:szCs w:val="24"/>
        </w:rPr>
      </w:pPr>
    </w:p>
    <w:p w:rsidR="00277478" w:rsidRDefault="00277478" w:rsidP="00277478">
      <w:pPr>
        <w:widowControl w:val="0"/>
        <w:spacing w:after="0" w:line="240" w:lineRule="auto"/>
        <w:rPr>
          <w:rFonts w:ascii="Times New Roman" w:hAnsi="Times New Roman" w:cs="Times New Roman"/>
          <w:sz w:val="24"/>
          <w:szCs w:val="24"/>
        </w:rPr>
      </w:pPr>
    </w:p>
    <w:p w:rsidR="00277478" w:rsidRPr="006B209A" w:rsidRDefault="00277478" w:rsidP="00277478">
      <w:pPr>
        <w:widowControl w:val="0"/>
        <w:spacing w:after="0" w:line="240" w:lineRule="auto"/>
        <w:rPr>
          <w:rFonts w:ascii="Times New Roman" w:hAnsi="Times New Roman" w:cs="Times New Roman"/>
          <w:sz w:val="24"/>
          <w:szCs w:val="24"/>
        </w:rPr>
      </w:pPr>
    </w:p>
    <w:p w:rsidR="00AA17E3" w:rsidRPr="006B209A" w:rsidRDefault="00AA17E3" w:rsidP="00277478">
      <w:pPr>
        <w:widowControl w:val="0"/>
        <w:spacing w:after="0" w:line="240" w:lineRule="auto"/>
        <w:rPr>
          <w:rFonts w:ascii="Times New Roman" w:hAnsi="Times New Roman" w:cs="Times New Roman"/>
          <w:b/>
          <w:iCs/>
          <w:color w:val="5B9BD5" w:themeColor="accent1"/>
          <w:sz w:val="20"/>
          <w:szCs w:val="20"/>
        </w:rPr>
      </w:pPr>
      <w:bookmarkStart w:id="230" w:name="_Toc84528409"/>
      <w:bookmarkStart w:id="231" w:name="_Toc84845285"/>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61</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Prehľad počtu študentov verejných vysokých škôl</w:t>
      </w:r>
      <w:bookmarkEnd w:id="227"/>
      <w:bookmarkEnd w:id="228"/>
      <w:bookmarkEnd w:id="229"/>
      <w:bookmarkEnd w:id="230"/>
      <w:bookmarkEnd w:id="231"/>
    </w:p>
    <w:tbl>
      <w:tblPr>
        <w:tblW w:w="5000" w:type="pct"/>
        <w:tblCellMar>
          <w:left w:w="70" w:type="dxa"/>
          <w:right w:w="70" w:type="dxa"/>
        </w:tblCellMar>
        <w:tblLook w:val="04A0" w:firstRow="1" w:lastRow="0" w:firstColumn="1" w:lastColumn="0" w:noHBand="0" w:noVBand="1"/>
      </w:tblPr>
      <w:tblGrid>
        <w:gridCol w:w="1731"/>
        <w:gridCol w:w="1048"/>
        <w:gridCol w:w="1048"/>
        <w:gridCol w:w="1049"/>
        <w:gridCol w:w="1049"/>
        <w:gridCol w:w="1049"/>
        <w:gridCol w:w="1049"/>
        <w:gridCol w:w="1049"/>
      </w:tblGrid>
      <w:tr w:rsidR="00AA17E3" w:rsidRPr="006B209A" w:rsidTr="00AA17E3">
        <w:trPr>
          <w:trHeight w:val="330"/>
        </w:trPr>
        <w:tc>
          <w:tcPr>
            <w:tcW w:w="1731" w:type="dxa"/>
            <w:vMerge w:val="restart"/>
            <w:tcBorders>
              <w:top w:val="single" w:sz="4" w:space="0" w:color="auto"/>
            </w:tcBorders>
            <w:shd w:val="clear" w:color="auto" w:fill="auto"/>
            <w:noWrap/>
            <w:vAlign w:val="center"/>
            <w:hideMark/>
          </w:tcPr>
          <w:p w:rsidR="00AA17E3" w:rsidRPr="006B209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Forma štúdia</w:t>
            </w:r>
          </w:p>
        </w:tc>
        <w:tc>
          <w:tcPr>
            <w:tcW w:w="2096" w:type="dxa"/>
            <w:gridSpan w:val="2"/>
            <w:tcBorders>
              <w:top w:val="single" w:sz="4" w:space="0" w:color="auto"/>
              <w:left w:val="nil"/>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 xml:space="preserve">    prehľad študentov v roku</w:t>
            </w:r>
          </w:p>
        </w:tc>
        <w:tc>
          <w:tcPr>
            <w:tcW w:w="5245" w:type="dxa"/>
            <w:gridSpan w:val="5"/>
            <w:tcBorders>
              <w:top w:val="single" w:sz="4" w:space="0" w:color="auto"/>
              <w:lef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Prognóza počtu študentov</w:t>
            </w:r>
          </w:p>
        </w:tc>
      </w:tr>
      <w:tr w:rsidR="00AA17E3" w:rsidRPr="006B209A" w:rsidTr="00AA17E3">
        <w:trPr>
          <w:trHeight w:val="330"/>
        </w:trPr>
        <w:tc>
          <w:tcPr>
            <w:tcW w:w="1731" w:type="dxa"/>
            <w:vMerge/>
            <w:tcBorders>
              <w:bottom w:val="single" w:sz="4" w:space="0" w:color="auto"/>
            </w:tcBorders>
            <w:vAlign w:val="center"/>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p>
        </w:tc>
        <w:tc>
          <w:tcPr>
            <w:tcW w:w="1048"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2019 S</w:t>
            </w:r>
          </w:p>
        </w:tc>
        <w:tc>
          <w:tcPr>
            <w:tcW w:w="1048"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2020 S</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2021 OS</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2022</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2023</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2024</w:t>
            </w:r>
          </w:p>
        </w:tc>
      </w:tr>
      <w:tr w:rsidR="00AA17E3" w:rsidRPr="006B209A" w:rsidTr="00AA17E3">
        <w:trPr>
          <w:trHeight w:val="330"/>
        </w:trPr>
        <w:tc>
          <w:tcPr>
            <w:tcW w:w="1731" w:type="dxa"/>
            <w:tcBorders>
              <w:top w:val="single" w:sz="4" w:space="0" w:color="auto"/>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denné</w:t>
            </w:r>
          </w:p>
        </w:tc>
        <w:tc>
          <w:tcPr>
            <w:tcW w:w="1048"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94 121</w:t>
            </w:r>
          </w:p>
        </w:tc>
        <w:tc>
          <w:tcPr>
            <w:tcW w:w="1048"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96 003</w:t>
            </w:r>
          </w:p>
        </w:tc>
        <w:tc>
          <w:tcPr>
            <w:tcW w:w="1049"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92 295</w:t>
            </w:r>
          </w:p>
        </w:tc>
        <w:tc>
          <w:tcPr>
            <w:tcW w:w="1049"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92 295</w:t>
            </w:r>
          </w:p>
        </w:tc>
        <w:tc>
          <w:tcPr>
            <w:tcW w:w="1049"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90 737</w:t>
            </w:r>
          </w:p>
        </w:tc>
        <w:tc>
          <w:tcPr>
            <w:tcW w:w="1049"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89 232</w:t>
            </w:r>
          </w:p>
        </w:tc>
        <w:tc>
          <w:tcPr>
            <w:tcW w:w="1049" w:type="dxa"/>
            <w:tcBorders>
              <w:top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88 546</w:t>
            </w:r>
          </w:p>
        </w:tc>
      </w:tr>
      <w:tr w:rsidR="00AA17E3" w:rsidRPr="006B209A" w:rsidTr="00AA17E3">
        <w:trPr>
          <w:trHeight w:val="330"/>
        </w:trPr>
        <w:tc>
          <w:tcPr>
            <w:tcW w:w="1731" w:type="dxa"/>
            <w:tcBorders>
              <w:top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externé</w:t>
            </w:r>
          </w:p>
        </w:tc>
        <w:tc>
          <w:tcPr>
            <w:tcW w:w="1048" w:type="dxa"/>
            <w:tcBorders>
              <w:top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21 648</w:t>
            </w:r>
          </w:p>
        </w:tc>
        <w:tc>
          <w:tcPr>
            <w:tcW w:w="1048" w:type="dxa"/>
            <w:tcBorders>
              <w:top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22 121</w:t>
            </w:r>
          </w:p>
        </w:tc>
        <w:tc>
          <w:tcPr>
            <w:tcW w:w="1049" w:type="dxa"/>
            <w:tcBorders>
              <w:top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20 264</w:t>
            </w:r>
          </w:p>
        </w:tc>
        <w:tc>
          <w:tcPr>
            <w:tcW w:w="1049" w:type="dxa"/>
            <w:tcBorders>
              <w:top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20 264</w:t>
            </w:r>
          </w:p>
        </w:tc>
        <w:tc>
          <w:tcPr>
            <w:tcW w:w="1049" w:type="dxa"/>
            <w:tcBorders>
              <w:top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19 922</w:t>
            </w:r>
          </w:p>
        </w:tc>
        <w:tc>
          <w:tcPr>
            <w:tcW w:w="1049" w:type="dxa"/>
            <w:tcBorders>
              <w:top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19 591</w:t>
            </w:r>
          </w:p>
        </w:tc>
        <w:tc>
          <w:tcPr>
            <w:tcW w:w="1049" w:type="dxa"/>
            <w:tcBorders>
              <w:top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19 441</w:t>
            </w:r>
          </w:p>
        </w:tc>
      </w:tr>
      <w:tr w:rsidR="00AA17E3" w:rsidRPr="006B209A" w:rsidTr="00AA17E3">
        <w:trPr>
          <w:trHeight w:val="330"/>
        </w:trPr>
        <w:tc>
          <w:tcPr>
            <w:tcW w:w="1731" w:type="dxa"/>
            <w:tcBorders>
              <w:top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 xml:space="preserve">Študenti spolu </w:t>
            </w:r>
          </w:p>
        </w:tc>
        <w:tc>
          <w:tcPr>
            <w:tcW w:w="1048"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115 769</w:t>
            </w:r>
          </w:p>
        </w:tc>
        <w:tc>
          <w:tcPr>
            <w:tcW w:w="1048"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116 124</w:t>
            </w:r>
          </w:p>
        </w:tc>
        <w:tc>
          <w:tcPr>
            <w:tcW w:w="1049"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112 559</w:t>
            </w:r>
          </w:p>
        </w:tc>
        <w:tc>
          <w:tcPr>
            <w:tcW w:w="1049"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112 559</w:t>
            </w:r>
          </w:p>
        </w:tc>
        <w:tc>
          <w:tcPr>
            <w:tcW w:w="1049"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110 659</w:t>
            </w:r>
          </w:p>
        </w:tc>
        <w:tc>
          <w:tcPr>
            <w:tcW w:w="1049"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108 823</w:t>
            </w:r>
          </w:p>
        </w:tc>
        <w:tc>
          <w:tcPr>
            <w:tcW w:w="1049" w:type="dxa"/>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6B209A">
              <w:rPr>
                <w:rFonts w:ascii="Times New Roman" w:eastAsia="Times New Roman" w:hAnsi="Times New Roman" w:cs="Times New Roman"/>
                <w:b/>
                <w:bCs/>
                <w:color w:val="000000"/>
                <w:sz w:val="16"/>
                <w:szCs w:val="16"/>
                <w:lang w:eastAsia="sk-SK"/>
              </w:rPr>
              <w:t>107 987</w:t>
            </w:r>
          </w:p>
        </w:tc>
      </w:tr>
      <w:tr w:rsidR="00AA17E3" w:rsidRPr="006B209A" w:rsidTr="00AA17E3">
        <w:trPr>
          <w:trHeight w:val="330"/>
        </w:trPr>
        <w:tc>
          <w:tcPr>
            <w:tcW w:w="1731"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medziročná zmena v %</w:t>
            </w:r>
          </w:p>
        </w:tc>
        <w:tc>
          <w:tcPr>
            <w:tcW w:w="1048"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-1,782</w:t>
            </w:r>
            <w:r w:rsidR="001126CB">
              <w:rPr>
                <w:rFonts w:ascii="Times New Roman" w:eastAsia="Times New Roman" w:hAnsi="Times New Roman" w:cs="Times New Roman"/>
                <w:color w:val="000000"/>
                <w:sz w:val="16"/>
                <w:szCs w:val="16"/>
                <w:lang w:eastAsia="sk-SK"/>
              </w:rPr>
              <w:t xml:space="preserve"> </w:t>
            </w:r>
            <w:r w:rsidRPr="006B209A">
              <w:rPr>
                <w:rFonts w:ascii="Times New Roman" w:eastAsia="Times New Roman" w:hAnsi="Times New Roman" w:cs="Times New Roman"/>
                <w:color w:val="000000"/>
                <w:sz w:val="16"/>
                <w:szCs w:val="16"/>
                <w:lang w:eastAsia="sk-SK"/>
              </w:rPr>
              <w:t>%</w:t>
            </w:r>
          </w:p>
        </w:tc>
        <w:tc>
          <w:tcPr>
            <w:tcW w:w="1048" w:type="dxa"/>
            <w:tcBorders>
              <w:top w:val="nil"/>
              <w:bottom w:val="single" w:sz="4" w:space="0" w:color="auto"/>
            </w:tcBorders>
            <w:shd w:val="clear" w:color="auto" w:fill="auto"/>
            <w:noWrap/>
            <w:vAlign w:val="bottom"/>
            <w:hideMark/>
          </w:tcPr>
          <w:p w:rsidR="00AA17E3" w:rsidRPr="006B209A" w:rsidRDefault="001126C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0,31 </w:t>
            </w:r>
            <w:r w:rsidR="00AA17E3" w:rsidRPr="006B209A">
              <w:rPr>
                <w:rFonts w:ascii="Times New Roman" w:eastAsia="Times New Roman" w:hAnsi="Times New Roman" w:cs="Times New Roman"/>
                <w:color w:val="000000"/>
                <w:sz w:val="16"/>
                <w:szCs w:val="16"/>
                <w:lang w:eastAsia="sk-SK"/>
              </w:rPr>
              <w:t>%</w:t>
            </w:r>
          </w:p>
        </w:tc>
        <w:tc>
          <w:tcPr>
            <w:tcW w:w="1049" w:type="dxa"/>
            <w:tcBorders>
              <w:top w:val="nil"/>
              <w:bottom w:val="single" w:sz="4" w:space="0" w:color="auto"/>
            </w:tcBorders>
            <w:shd w:val="clear" w:color="auto" w:fill="auto"/>
            <w:noWrap/>
            <w:vAlign w:val="bottom"/>
            <w:hideMark/>
          </w:tcPr>
          <w:p w:rsidR="00AA17E3" w:rsidRPr="006B209A" w:rsidRDefault="001126CB"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1,08 </w:t>
            </w:r>
            <w:r w:rsidR="00AA17E3" w:rsidRPr="006B209A">
              <w:rPr>
                <w:rFonts w:ascii="Times New Roman" w:eastAsia="Times New Roman" w:hAnsi="Times New Roman" w:cs="Times New Roman"/>
                <w:color w:val="000000"/>
                <w:sz w:val="16"/>
                <w:szCs w:val="16"/>
                <w:lang w:eastAsia="sk-SK"/>
              </w:rPr>
              <w:t>%</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-3,077</w:t>
            </w:r>
            <w:r w:rsidR="001126CB">
              <w:rPr>
                <w:rFonts w:ascii="Times New Roman" w:eastAsia="Times New Roman" w:hAnsi="Times New Roman" w:cs="Times New Roman"/>
                <w:color w:val="000000"/>
                <w:sz w:val="16"/>
                <w:szCs w:val="16"/>
                <w:lang w:eastAsia="sk-SK"/>
              </w:rPr>
              <w:t xml:space="preserve"> </w:t>
            </w:r>
            <w:r w:rsidRPr="006B209A">
              <w:rPr>
                <w:rFonts w:ascii="Times New Roman" w:eastAsia="Times New Roman" w:hAnsi="Times New Roman" w:cs="Times New Roman"/>
                <w:color w:val="000000"/>
                <w:sz w:val="16"/>
                <w:szCs w:val="16"/>
                <w:lang w:eastAsia="sk-SK"/>
              </w:rPr>
              <w:t>%</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-1,69</w:t>
            </w:r>
            <w:r w:rsidR="001126CB">
              <w:rPr>
                <w:rFonts w:ascii="Times New Roman" w:eastAsia="Times New Roman" w:hAnsi="Times New Roman" w:cs="Times New Roman"/>
                <w:color w:val="000000"/>
                <w:sz w:val="16"/>
                <w:szCs w:val="16"/>
                <w:lang w:eastAsia="sk-SK"/>
              </w:rPr>
              <w:t xml:space="preserve"> </w:t>
            </w:r>
            <w:r w:rsidRPr="006B209A">
              <w:rPr>
                <w:rFonts w:ascii="Times New Roman" w:eastAsia="Times New Roman" w:hAnsi="Times New Roman" w:cs="Times New Roman"/>
                <w:color w:val="000000"/>
                <w:sz w:val="16"/>
                <w:szCs w:val="16"/>
                <w:lang w:eastAsia="sk-SK"/>
              </w:rPr>
              <w:t>%</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-1,66</w:t>
            </w:r>
            <w:r w:rsidR="001126CB">
              <w:rPr>
                <w:rFonts w:ascii="Times New Roman" w:eastAsia="Times New Roman" w:hAnsi="Times New Roman" w:cs="Times New Roman"/>
                <w:color w:val="000000"/>
                <w:sz w:val="16"/>
                <w:szCs w:val="16"/>
                <w:lang w:eastAsia="sk-SK"/>
              </w:rPr>
              <w:t xml:space="preserve"> </w:t>
            </w:r>
            <w:r w:rsidRPr="006B209A">
              <w:rPr>
                <w:rFonts w:ascii="Times New Roman" w:eastAsia="Times New Roman" w:hAnsi="Times New Roman" w:cs="Times New Roman"/>
                <w:color w:val="000000"/>
                <w:sz w:val="16"/>
                <w:szCs w:val="16"/>
                <w:lang w:eastAsia="sk-SK"/>
              </w:rPr>
              <w:t>%</w:t>
            </w:r>
          </w:p>
        </w:tc>
        <w:tc>
          <w:tcPr>
            <w:tcW w:w="1049" w:type="dxa"/>
            <w:tcBorders>
              <w:top w:val="nil"/>
              <w:bottom w:val="single" w:sz="4" w:space="0" w:color="auto"/>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6B209A">
              <w:rPr>
                <w:rFonts w:ascii="Times New Roman" w:eastAsia="Times New Roman" w:hAnsi="Times New Roman" w:cs="Times New Roman"/>
                <w:color w:val="000000"/>
                <w:sz w:val="16"/>
                <w:szCs w:val="16"/>
                <w:lang w:eastAsia="sk-SK"/>
              </w:rPr>
              <w:t>-0,77</w:t>
            </w:r>
            <w:r w:rsidR="001126CB">
              <w:rPr>
                <w:rFonts w:ascii="Times New Roman" w:eastAsia="Times New Roman" w:hAnsi="Times New Roman" w:cs="Times New Roman"/>
                <w:color w:val="000000"/>
                <w:sz w:val="16"/>
                <w:szCs w:val="16"/>
                <w:lang w:eastAsia="sk-SK"/>
              </w:rPr>
              <w:t xml:space="preserve"> </w:t>
            </w:r>
            <w:r w:rsidRPr="006B209A">
              <w:rPr>
                <w:rFonts w:ascii="Times New Roman" w:eastAsia="Times New Roman" w:hAnsi="Times New Roman" w:cs="Times New Roman"/>
                <w:color w:val="000000"/>
                <w:sz w:val="16"/>
                <w:szCs w:val="16"/>
                <w:lang w:eastAsia="sk-SK"/>
              </w:rPr>
              <w:t>%</w:t>
            </w:r>
          </w:p>
        </w:tc>
      </w:tr>
    </w:tbl>
    <w:p w:rsidR="00FA7DE1" w:rsidRPr="00935574" w:rsidRDefault="00935574" w:rsidP="00935574">
      <w:pPr>
        <w:spacing w:after="0"/>
        <w:jc w:val="right"/>
        <w:rPr>
          <w:rFonts w:ascii="Times New Roman" w:hAnsi="Times New Roman" w:cs="Times New Roman"/>
          <w:i/>
          <w:sz w:val="16"/>
          <w:szCs w:val="16"/>
        </w:rPr>
      </w:pPr>
      <w:r>
        <w:rPr>
          <w:rFonts w:ascii="Times New Roman" w:hAnsi="Times New Roman" w:cs="Times New Roman"/>
          <w:i/>
          <w:sz w:val="16"/>
          <w:szCs w:val="16"/>
        </w:rPr>
        <w:t>Zdroj: MŠVVŠ SR</w:t>
      </w:r>
    </w:p>
    <w:p w:rsidR="00935574" w:rsidRDefault="00935574" w:rsidP="00935574">
      <w:pPr>
        <w:spacing w:after="0"/>
        <w:rPr>
          <w:rFonts w:ascii="Times New Roman" w:hAnsi="Times New Roman" w:cs="Times New Roman"/>
          <w:b/>
          <w:color w:val="5B9BD5" w:themeColor="accent1"/>
          <w:sz w:val="24"/>
          <w:szCs w:val="24"/>
        </w:rPr>
      </w:pPr>
    </w:p>
    <w:p w:rsidR="00AA17E3" w:rsidRDefault="00AA17E3" w:rsidP="00935574">
      <w:pPr>
        <w:spacing w:after="0"/>
        <w:rPr>
          <w:rFonts w:ascii="Times New Roman" w:hAnsi="Times New Roman" w:cs="Times New Roman"/>
          <w:b/>
          <w:color w:val="5B9BD5" w:themeColor="accent1"/>
          <w:sz w:val="24"/>
          <w:szCs w:val="24"/>
        </w:rPr>
      </w:pPr>
      <w:r w:rsidRPr="006B209A">
        <w:rPr>
          <w:rFonts w:ascii="Times New Roman" w:hAnsi="Times New Roman" w:cs="Times New Roman"/>
          <w:b/>
          <w:color w:val="5B9BD5" w:themeColor="accent1"/>
          <w:sz w:val="24"/>
          <w:szCs w:val="24"/>
        </w:rPr>
        <w:t xml:space="preserve">Veda a technika </w:t>
      </w:r>
    </w:p>
    <w:p w:rsidR="00935574" w:rsidRPr="006B209A" w:rsidRDefault="00935574" w:rsidP="00935574">
      <w:pPr>
        <w:spacing w:after="0"/>
        <w:rPr>
          <w:rFonts w:ascii="Times New Roman" w:hAnsi="Times New Roman" w:cs="Times New Roman"/>
          <w:b/>
          <w:color w:val="5B9BD5" w:themeColor="accent1"/>
          <w:sz w:val="24"/>
          <w:szCs w:val="24"/>
        </w:rPr>
      </w:pPr>
    </w:p>
    <w:p w:rsidR="00AA17E3" w:rsidRDefault="00AA17E3" w:rsidP="00935574">
      <w:pPr>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Verejné výdavky na vedu a techniku pozostávajú zo zdrojov štátneho rozpočtu z kapitoly Ministerstva školstva, vedy, výskumu a športu SR, zo štrukturálnych fondov vrátane spolufinancovania, z kapitoly Slovenskej akadémie vied a ostatných kapitol. Vo výdavkoch na vedu a techniku sú zapracované výdavky z titulu financovania členských príspevkov do medzinárodných organizácií a časť výdavkov na kreovanie Vesmírnej kancelárie. Oblasť vedy a techniky bude v roku 2022 disponovať zdrojmi vo výške 478 mil. eur. </w:t>
      </w:r>
    </w:p>
    <w:p w:rsidR="00935574" w:rsidRPr="006B209A" w:rsidRDefault="00935574" w:rsidP="00935574">
      <w:pPr>
        <w:spacing w:after="0"/>
        <w:jc w:val="both"/>
        <w:rPr>
          <w:rFonts w:ascii="Times New Roman" w:hAnsi="Times New Roman" w:cs="Times New Roman"/>
          <w:sz w:val="24"/>
          <w:szCs w:val="24"/>
        </w:rPr>
      </w:pPr>
    </w:p>
    <w:p w:rsidR="00AA17E3" w:rsidRPr="006B209A" w:rsidRDefault="00AA17E3" w:rsidP="00935574">
      <w:pPr>
        <w:keepNext/>
        <w:spacing w:after="0" w:line="240" w:lineRule="auto"/>
        <w:rPr>
          <w:rFonts w:ascii="Times New Roman" w:hAnsi="Times New Roman" w:cs="Times New Roman"/>
          <w:b/>
          <w:iCs/>
          <w:color w:val="5B9BD5" w:themeColor="accent1"/>
          <w:sz w:val="20"/>
          <w:szCs w:val="20"/>
        </w:rPr>
      </w:pPr>
      <w:bookmarkStart w:id="232" w:name="_Toc53054792"/>
      <w:bookmarkStart w:id="233" w:name="_Toc53077984"/>
      <w:bookmarkStart w:id="234" w:name="_Toc53086386"/>
      <w:bookmarkStart w:id="235" w:name="_Toc84528410"/>
      <w:bookmarkStart w:id="236" w:name="_Toc84845286"/>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62</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vedu a techniku</w:t>
      </w:r>
      <w:bookmarkEnd w:id="232"/>
      <w:bookmarkEnd w:id="233"/>
      <w:bookmarkEnd w:id="234"/>
      <w:bookmarkEnd w:id="235"/>
      <w:bookmarkEnd w:id="236"/>
    </w:p>
    <w:tbl>
      <w:tblPr>
        <w:tblW w:w="5000" w:type="pct"/>
        <w:tblCellMar>
          <w:left w:w="70" w:type="dxa"/>
          <w:right w:w="70" w:type="dxa"/>
        </w:tblCellMar>
        <w:tblLook w:val="04A0" w:firstRow="1" w:lastRow="0" w:firstColumn="1" w:lastColumn="0" w:noHBand="0" w:noVBand="1"/>
      </w:tblPr>
      <w:tblGrid>
        <w:gridCol w:w="3989"/>
        <w:gridCol w:w="797"/>
        <w:gridCol w:w="714"/>
        <w:gridCol w:w="714"/>
        <w:gridCol w:w="714"/>
        <w:gridCol w:w="714"/>
        <w:gridCol w:w="715"/>
        <w:gridCol w:w="715"/>
      </w:tblGrid>
      <w:tr w:rsidR="00AA17E3" w:rsidRPr="006B209A" w:rsidTr="00AA17E3">
        <w:trPr>
          <w:trHeight w:val="255"/>
        </w:trPr>
        <w:tc>
          <w:tcPr>
            <w:tcW w:w="1782"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499"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3"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255"/>
        </w:trPr>
        <w:tc>
          <w:tcPr>
            <w:tcW w:w="1782"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Výdavky na vedu a techniku celkom</w:t>
            </w:r>
          </w:p>
        </w:tc>
        <w:tc>
          <w:tcPr>
            <w:tcW w:w="499"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438 787</w:t>
            </w:r>
          </w:p>
        </w:tc>
        <w:tc>
          <w:tcPr>
            <w:tcW w:w="45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492 381</w:t>
            </w:r>
          </w:p>
        </w:tc>
        <w:tc>
          <w:tcPr>
            <w:tcW w:w="45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441 078</w:t>
            </w:r>
          </w:p>
        </w:tc>
        <w:tc>
          <w:tcPr>
            <w:tcW w:w="45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531 498</w:t>
            </w:r>
          </w:p>
        </w:tc>
        <w:tc>
          <w:tcPr>
            <w:tcW w:w="45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477 802</w:t>
            </w:r>
          </w:p>
        </w:tc>
        <w:tc>
          <w:tcPr>
            <w:tcW w:w="45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441 066</w:t>
            </w:r>
          </w:p>
        </w:tc>
        <w:tc>
          <w:tcPr>
            <w:tcW w:w="453"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354 270</w:t>
            </w:r>
          </w:p>
        </w:tc>
      </w:tr>
      <w:tr w:rsidR="00AA17E3" w:rsidRPr="006B209A" w:rsidTr="00AA17E3">
        <w:trPr>
          <w:trHeight w:val="255"/>
        </w:trPr>
        <w:tc>
          <w:tcPr>
            <w:tcW w:w="1782" w:type="pct"/>
            <w:tcBorders>
              <w:top w:val="nil"/>
              <w:left w:val="nil"/>
              <w:bottom w:val="nil"/>
              <w:right w:val="nil"/>
            </w:tcBorders>
            <w:shd w:val="clear" w:color="auto" w:fill="auto"/>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Veda a technika v MŠVVŠ SR zo štátneho rozpočtu *</w:t>
            </w:r>
          </w:p>
        </w:tc>
        <w:tc>
          <w:tcPr>
            <w:tcW w:w="49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251 599</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252 527</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251 536</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254 545</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248 079</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243 489</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243 489</w:t>
            </w:r>
          </w:p>
        </w:tc>
      </w:tr>
      <w:tr w:rsidR="00AA17E3" w:rsidRPr="006B209A" w:rsidTr="00AA17E3">
        <w:trPr>
          <w:trHeight w:val="255"/>
        </w:trPr>
        <w:tc>
          <w:tcPr>
            <w:tcW w:w="178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Prostriedky EÚ a spolufinancovanie zo ŠR v MŠVVŠ SR**</w:t>
            </w:r>
          </w:p>
        </w:tc>
        <w:tc>
          <w:tcPr>
            <w:tcW w:w="49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4 687</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72 934</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87 822</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123 027</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113 796</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87 905</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r>
      <w:tr w:rsidR="00AA17E3" w:rsidRPr="006B209A" w:rsidTr="00AA17E3">
        <w:trPr>
          <w:trHeight w:val="255"/>
        </w:trPr>
        <w:tc>
          <w:tcPr>
            <w:tcW w:w="178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Plán obnovy a odolnosti </w:t>
            </w:r>
          </w:p>
        </w:tc>
        <w:tc>
          <w:tcPr>
            <w:tcW w:w="49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3 770</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649</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596</w:t>
            </w:r>
          </w:p>
        </w:tc>
      </w:tr>
      <w:tr w:rsidR="00AA17E3" w:rsidRPr="006B209A" w:rsidTr="00AA17E3">
        <w:trPr>
          <w:trHeight w:val="255"/>
        </w:trPr>
        <w:tc>
          <w:tcPr>
            <w:tcW w:w="178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Slovenská akadémia vied***</w:t>
            </w:r>
          </w:p>
        </w:tc>
        <w:tc>
          <w:tcPr>
            <w:tcW w:w="49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100 308</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92 897</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82 793</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82 793</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83 903</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83 903</w:t>
            </w:r>
          </w:p>
        </w:tc>
        <w:tc>
          <w:tcPr>
            <w:tcW w:w="45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83 903</w:t>
            </w:r>
          </w:p>
        </w:tc>
      </w:tr>
      <w:tr w:rsidR="00AA17E3" w:rsidRPr="006B209A" w:rsidTr="00AA17E3">
        <w:trPr>
          <w:trHeight w:val="255"/>
        </w:trPr>
        <w:tc>
          <w:tcPr>
            <w:tcW w:w="178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Rezortná veda </w:t>
            </w:r>
          </w:p>
        </w:tc>
        <w:tc>
          <w:tcPr>
            <w:tcW w:w="499"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82 193</w:t>
            </w:r>
          </w:p>
        </w:tc>
        <w:tc>
          <w:tcPr>
            <w:tcW w:w="45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74 024</w:t>
            </w:r>
          </w:p>
        </w:tc>
        <w:tc>
          <w:tcPr>
            <w:tcW w:w="45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18 926</w:t>
            </w:r>
          </w:p>
        </w:tc>
        <w:tc>
          <w:tcPr>
            <w:tcW w:w="45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71 132</w:t>
            </w:r>
          </w:p>
        </w:tc>
        <w:tc>
          <w:tcPr>
            <w:tcW w:w="45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28 254</w:t>
            </w:r>
          </w:p>
        </w:tc>
        <w:tc>
          <w:tcPr>
            <w:tcW w:w="45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25 120</w:t>
            </w:r>
          </w:p>
        </w:tc>
        <w:tc>
          <w:tcPr>
            <w:tcW w:w="45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26 282</w:t>
            </w:r>
          </w:p>
        </w:tc>
      </w:tr>
    </w:tbl>
    <w:p w:rsidR="00AA17E3" w:rsidRPr="006B209A" w:rsidRDefault="00AA17E3" w:rsidP="00AA17E3">
      <w:pPr>
        <w:spacing w:after="0" w:line="240" w:lineRule="auto"/>
        <w:rPr>
          <w:rFonts w:ascii="Times New Roman" w:hAnsi="Times New Roman" w:cs="Times New Roman"/>
          <w:i/>
          <w:sz w:val="16"/>
          <w:szCs w:val="16"/>
        </w:rPr>
      </w:pPr>
      <w:r w:rsidRPr="006B209A">
        <w:rPr>
          <w:rFonts w:ascii="Times New Roman" w:hAnsi="Times New Roman" w:cs="Times New Roman"/>
          <w:i/>
          <w:sz w:val="16"/>
          <w:szCs w:val="16"/>
        </w:rPr>
        <w:t>*vrátane vysokoškolskej vedy                                                                                                                                                           Zdroj: MF SR</w:t>
      </w:r>
    </w:p>
    <w:p w:rsidR="00AA17E3" w:rsidRPr="006B209A" w:rsidRDefault="00AA17E3" w:rsidP="00AA17E3">
      <w:pPr>
        <w:spacing w:after="0" w:line="240" w:lineRule="auto"/>
        <w:rPr>
          <w:rFonts w:ascii="Times New Roman" w:hAnsi="Times New Roman" w:cs="Times New Roman"/>
          <w:i/>
          <w:sz w:val="16"/>
          <w:szCs w:val="16"/>
        </w:rPr>
      </w:pPr>
      <w:r w:rsidRPr="006B209A">
        <w:rPr>
          <w:rFonts w:ascii="Times New Roman" w:hAnsi="Times New Roman" w:cs="Times New Roman"/>
          <w:i/>
          <w:sz w:val="16"/>
          <w:szCs w:val="16"/>
        </w:rPr>
        <w:t>**vrátane výdavkov štrukturálnych fondov EÚ a spolufinancovania pre VVŠ</w:t>
      </w:r>
    </w:p>
    <w:p w:rsidR="00AA17E3" w:rsidRPr="006B209A" w:rsidRDefault="00AA17E3" w:rsidP="00AA17E3">
      <w:pPr>
        <w:spacing w:after="0" w:line="240" w:lineRule="auto"/>
        <w:rPr>
          <w:rFonts w:ascii="Times New Roman" w:hAnsi="Times New Roman" w:cs="Times New Roman"/>
          <w:i/>
          <w:sz w:val="16"/>
          <w:szCs w:val="16"/>
        </w:rPr>
      </w:pPr>
      <w:r w:rsidRPr="006B209A">
        <w:rPr>
          <w:rFonts w:ascii="Times New Roman" w:hAnsi="Times New Roman" w:cs="Times New Roman"/>
          <w:i/>
          <w:sz w:val="16"/>
          <w:szCs w:val="16"/>
        </w:rPr>
        <w:t>*** vrátan</w:t>
      </w:r>
      <w:r w:rsidR="00935574">
        <w:rPr>
          <w:rFonts w:ascii="Times New Roman" w:hAnsi="Times New Roman" w:cs="Times New Roman"/>
          <w:i/>
          <w:sz w:val="16"/>
          <w:szCs w:val="16"/>
        </w:rPr>
        <w:t>e vlastných zdrojov ústavov SAV</w:t>
      </w:r>
    </w:p>
    <w:p w:rsidR="00AA17E3" w:rsidRPr="00935574" w:rsidRDefault="00AA17E3" w:rsidP="00AA17E3">
      <w:pPr>
        <w:spacing w:after="0" w:line="240" w:lineRule="auto"/>
        <w:rPr>
          <w:rFonts w:ascii="Times New Roman" w:hAnsi="Times New Roman" w:cs="Times New Roman"/>
          <w:i/>
          <w:sz w:val="24"/>
          <w:szCs w:val="16"/>
        </w:rPr>
      </w:pPr>
    </w:p>
    <w:p w:rsidR="00AA17E3" w:rsidRDefault="00AA17E3" w:rsidP="00FA7DE1">
      <w:pPr>
        <w:spacing w:after="0"/>
        <w:jc w:val="both"/>
        <w:rPr>
          <w:rFonts w:ascii="Times New Roman" w:hAnsi="Times New Roman" w:cs="Times New Roman"/>
          <w:sz w:val="24"/>
          <w:szCs w:val="24"/>
        </w:rPr>
      </w:pPr>
      <w:r w:rsidRPr="006B209A">
        <w:rPr>
          <w:rFonts w:ascii="Times New Roman" w:hAnsi="Times New Roman" w:cs="Times New Roman"/>
          <w:sz w:val="24"/>
          <w:szCs w:val="24"/>
        </w:rPr>
        <w:t>Ministerstvo školstva, vedy, výskumu a športu SR ako ústredný orgán štátnej správy je najvýznamnejším poskytovateľom verejných zdrojov na vedu a techniku. Podporuje projekty výskumu a vývoja realizované na verejných vysokých školách. Prostredníctvom Agentúry na podporu výskumu a vývoja sú poskytované finančné prostriedky na projekty výskumu a vývoja na základe verejných výziev, na projekty dvojstranných alebo mnohostranných zmlúv o medzinárodnej vedecko-technickej spolupráci. Ďalej zabezpečuje finančné zdroje na členské príspevky v medzinárodných organizáciách. Na riešení projektov výskumu a vývoja sa podieľajú aj rozpočtové organizácie a príspevkové organizácie kapitoly.</w:t>
      </w:r>
    </w:p>
    <w:p w:rsidR="00FA7DE1" w:rsidRPr="006B209A" w:rsidRDefault="00FA7DE1" w:rsidP="00FA7DE1">
      <w:pPr>
        <w:spacing w:after="0"/>
        <w:jc w:val="both"/>
        <w:rPr>
          <w:rFonts w:ascii="Times New Roman" w:hAnsi="Times New Roman" w:cs="Times New Roman"/>
          <w:sz w:val="24"/>
          <w:szCs w:val="24"/>
        </w:rPr>
      </w:pPr>
    </w:p>
    <w:p w:rsidR="00AA17E3" w:rsidRDefault="00AA17E3" w:rsidP="00FA7DE1">
      <w:pPr>
        <w:spacing w:after="0"/>
        <w:jc w:val="both"/>
        <w:rPr>
          <w:rFonts w:ascii="Times New Roman" w:hAnsi="Times New Roman" w:cs="Times New Roman"/>
          <w:sz w:val="24"/>
          <w:szCs w:val="24"/>
        </w:rPr>
      </w:pPr>
      <w:r w:rsidRPr="006B209A">
        <w:rPr>
          <w:rFonts w:ascii="Times New Roman" w:hAnsi="Times New Roman" w:cs="Times New Roman"/>
          <w:sz w:val="24"/>
          <w:szCs w:val="24"/>
        </w:rPr>
        <w:t>Významným zdrojom financovania vedy a techniky z verejných zdrojov v kapitole Ministerstva školstva, vedy, výskumu a športu SR sú aj finančné prostriedky štrukturálnych fondov EÚ vrátane spolufinancovania. O finančné prostriedky z týchto zdrojov sa môžu riešitelia výskumných úloh uchádzať na základe vyhlásených výziev. Okrem týchto zdrojov môžu slovenské subjekty čerpať na výskumno-vývojové projekty zdroje aj z medzinárodných projektov EÚ,  napr. Horizont 2020, COST a ďalších projektov z Európskej komisie.</w:t>
      </w:r>
    </w:p>
    <w:p w:rsidR="00FA7DE1" w:rsidRPr="006B209A" w:rsidRDefault="00FA7DE1" w:rsidP="00FA7DE1">
      <w:pPr>
        <w:spacing w:after="0"/>
        <w:jc w:val="both"/>
        <w:rPr>
          <w:rFonts w:ascii="Times New Roman" w:hAnsi="Times New Roman" w:cs="Times New Roman"/>
          <w:sz w:val="24"/>
          <w:szCs w:val="24"/>
        </w:rPr>
      </w:pPr>
    </w:p>
    <w:p w:rsidR="00AA17E3" w:rsidRDefault="00AA17E3" w:rsidP="00FA7DE1">
      <w:pPr>
        <w:spacing w:after="0"/>
        <w:jc w:val="both"/>
        <w:rPr>
          <w:rFonts w:ascii="Times New Roman" w:hAnsi="Times New Roman" w:cs="Times New Roman"/>
          <w:sz w:val="24"/>
          <w:szCs w:val="24"/>
        </w:rPr>
      </w:pPr>
      <w:r w:rsidRPr="006B209A">
        <w:rPr>
          <w:rFonts w:ascii="Times New Roman" w:hAnsi="Times New Roman" w:cs="Times New Roman"/>
          <w:sz w:val="24"/>
          <w:szCs w:val="24"/>
        </w:rPr>
        <w:t>Ďalším zdrojom financovania výdavky sú aj finančné prostriedky z plán obnovy na efektívnejšie riadenie a posilnenie financovania výskumu, vývoja a inovácií. Prioritou tejto oblasti je posilnenie a profesionalizácia nadrezortnej koordinácie politiky výskumu a inovácií a vyriešenie súčasnej roztrieštenosti a nekoncepčnosti jej riadenia s nedostatočnými väzbami na ekonomickú a spoločenskú prax.</w:t>
      </w:r>
    </w:p>
    <w:p w:rsidR="00FA7DE1" w:rsidRPr="006B209A" w:rsidRDefault="00FA7DE1" w:rsidP="00FA7DE1">
      <w:pPr>
        <w:spacing w:after="0"/>
        <w:jc w:val="both"/>
        <w:rPr>
          <w:rFonts w:ascii="Times New Roman" w:hAnsi="Times New Roman" w:cs="Times New Roman"/>
          <w:sz w:val="24"/>
          <w:szCs w:val="24"/>
        </w:rPr>
      </w:pPr>
    </w:p>
    <w:p w:rsidR="00AA17E3" w:rsidRPr="006B209A" w:rsidRDefault="00AA17E3" w:rsidP="00FA7DE1">
      <w:pPr>
        <w:spacing w:after="0"/>
        <w:contextualSpacing/>
        <w:jc w:val="both"/>
        <w:rPr>
          <w:rFonts w:ascii="Times New Roman" w:hAnsi="Times New Roman" w:cs="Times New Roman"/>
          <w:sz w:val="24"/>
          <w:szCs w:val="24"/>
        </w:rPr>
      </w:pPr>
      <w:r w:rsidRPr="006B209A">
        <w:rPr>
          <w:rFonts w:ascii="Times New Roman" w:hAnsi="Times New Roman" w:cs="Times New Roman"/>
          <w:sz w:val="24"/>
          <w:szCs w:val="24"/>
        </w:rPr>
        <w:t>Slovenská akadémia vied predstavuje druhého najväčšieho podporovateľa vedy a výskumu. Výdavky rozpočtované pre Slovenskú akadémie vied sú určené na podporu základného výskumu a aplikovaného výskumu. Slovenská akadémie vied prostredníctvom 47 rozpočtových a príspevkových organizácií a Úradu predsedníctva SAV zabezpečuje riešenie výskumných úloh a činnosť organizácií. V limite výdavkov kapitoly je zapracované zvýšenie výdavkov na projekty výskumu a vývoja vyplývajúce z makroprognóz.</w:t>
      </w:r>
    </w:p>
    <w:p w:rsidR="00AA17E3" w:rsidRPr="006B209A" w:rsidRDefault="00AA17E3" w:rsidP="00AA17E3">
      <w:pPr>
        <w:spacing w:after="0"/>
        <w:contextualSpacing/>
        <w:jc w:val="both"/>
        <w:rPr>
          <w:rFonts w:ascii="Times New Roman" w:hAnsi="Times New Roman" w:cs="Times New Roman"/>
          <w:sz w:val="24"/>
          <w:szCs w:val="24"/>
        </w:rPr>
      </w:pPr>
    </w:p>
    <w:p w:rsidR="00AA17E3" w:rsidRPr="006B209A" w:rsidRDefault="00AA17E3" w:rsidP="00AA17E3">
      <w:pPr>
        <w:spacing w:after="200"/>
        <w:contextualSpacing/>
        <w:jc w:val="both"/>
        <w:rPr>
          <w:rFonts w:ascii="Times New Roman" w:hAnsi="Times New Roman" w:cs="Times New Roman"/>
          <w:sz w:val="24"/>
          <w:szCs w:val="24"/>
        </w:rPr>
      </w:pPr>
      <w:r w:rsidRPr="006B209A">
        <w:rPr>
          <w:rFonts w:ascii="Times New Roman" w:hAnsi="Times New Roman" w:cs="Times New Roman"/>
          <w:sz w:val="24"/>
          <w:szCs w:val="24"/>
        </w:rPr>
        <w:t xml:space="preserve">Projekty vedy a techniky sú realizované prostredníctvom podriadených rozpočtových organizácií a príspevkových organizácií aj z ďalších kapitol ako sú Ministerstvo obrany SR, Ministerstvo pôdohospodárstva a rozvoja vidieka SR, Ministerstvo dopravy a výstavby SR, Úrad jadrového dozoru SR, atď. </w:t>
      </w:r>
    </w:p>
    <w:p w:rsidR="00AA17E3" w:rsidRPr="006B209A" w:rsidRDefault="00AA17E3" w:rsidP="00AA17E3">
      <w:pPr>
        <w:spacing w:after="200"/>
        <w:contextualSpacing/>
        <w:jc w:val="both"/>
        <w:rPr>
          <w:rFonts w:ascii="Times New Roman" w:hAnsi="Times New Roman" w:cs="Times New Roman"/>
          <w:sz w:val="24"/>
          <w:szCs w:val="24"/>
        </w:rPr>
      </w:pPr>
    </w:p>
    <w:p w:rsidR="00AA17E3" w:rsidRDefault="00AA17E3" w:rsidP="001E50EB">
      <w:pPr>
        <w:spacing w:after="0"/>
        <w:jc w:val="both"/>
        <w:rPr>
          <w:rFonts w:ascii="Times New Roman" w:hAnsi="Times New Roman" w:cs="Times New Roman"/>
          <w:b/>
          <w:color w:val="5B9BD5" w:themeColor="accent1"/>
          <w:sz w:val="24"/>
          <w:szCs w:val="24"/>
        </w:rPr>
      </w:pPr>
      <w:r w:rsidRPr="006B209A">
        <w:rPr>
          <w:rFonts w:ascii="Times New Roman" w:hAnsi="Times New Roman" w:cs="Times New Roman"/>
          <w:b/>
          <w:color w:val="5B9BD5" w:themeColor="accent1"/>
          <w:sz w:val="24"/>
          <w:szCs w:val="24"/>
        </w:rPr>
        <w:t xml:space="preserve">Podpora športu </w:t>
      </w:r>
    </w:p>
    <w:p w:rsidR="001E50EB" w:rsidRPr="006B209A" w:rsidRDefault="001E50EB" w:rsidP="001E50EB">
      <w:pPr>
        <w:spacing w:after="0"/>
        <w:jc w:val="both"/>
        <w:rPr>
          <w:rFonts w:ascii="Times New Roman" w:hAnsi="Times New Roman" w:cs="Times New Roman"/>
          <w:b/>
          <w:color w:val="5B9BD5" w:themeColor="accent1"/>
          <w:sz w:val="24"/>
          <w:szCs w:val="24"/>
        </w:rPr>
      </w:pPr>
    </w:p>
    <w:p w:rsidR="00AA17E3" w:rsidRDefault="00AA17E3" w:rsidP="001E50EB">
      <w:pPr>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Celkové výdavky na šport sú rozpočtované na rok 2022 v sume 121 mil. eur. Tieto smerujú na financovanie športu prostredníctvom troch kapitol a Fondu na podporu športu (ďalej len „fond“). </w:t>
      </w:r>
    </w:p>
    <w:p w:rsidR="0040790F" w:rsidRPr="006B209A" w:rsidRDefault="0040790F" w:rsidP="0040790F">
      <w:pPr>
        <w:spacing w:after="0"/>
        <w:jc w:val="both"/>
        <w:rPr>
          <w:rFonts w:ascii="Times New Roman" w:hAnsi="Times New Roman" w:cs="Times New Roman"/>
          <w:sz w:val="24"/>
          <w:szCs w:val="24"/>
        </w:rPr>
      </w:pPr>
    </w:p>
    <w:p w:rsidR="00AA17E3" w:rsidRPr="006B209A" w:rsidRDefault="00AA17E3" w:rsidP="0040790F">
      <w:pPr>
        <w:keepNext/>
        <w:spacing w:after="0" w:line="240" w:lineRule="auto"/>
        <w:rPr>
          <w:rFonts w:ascii="Times New Roman" w:hAnsi="Times New Roman" w:cs="Times New Roman"/>
          <w:b/>
          <w:iCs/>
          <w:color w:val="5B9BD5" w:themeColor="accent1"/>
          <w:sz w:val="20"/>
          <w:szCs w:val="20"/>
        </w:rPr>
      </w:pPr>
      <w:bookmarkStart w:id="237" w:name="_Toc53054793"/>
      <w:bookmarkStart w:id="238" w:name="_Toc53077985"/>
      <w:bookmarkStart w:id="239" w:name="_Toc53086387"/>
      <w:bookmarkStart w:id="240" w:name="_Toc84528411"/>
      <w:bookmarkStart w:id="241" w:name="_Toc84845287"/>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63</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šport</w:t>
      </w:r>
      <w:bookmarkEnd w:id="237"/>
      <w:bookmarkEnd w:id="238"/>
      <w:bookmarkEnd w:id="239"/>
      <w:bookmarkEnd w:id="240"/>
      <w:bookmarkEnd w:id="241"/>
    </w:p>
    <w:tbl>
      <w:tblPr>
        <w:tblW w:w="5000" w:type="pct"/>
        <w:tblCellMar>
          <w:left w:w="70" w:type="dxa"/>
          <w:right w:w="70" w:type="dxa"/>
        </w:tblCellMar>
        <w:tblLook w:val="04A0" w:firstRow="1" w:lastRow="0" w:firstColumn="1" w:lastColumn="0" w:noHBand="0" w:noVBand="1"/>
      </w:tblPr>
      <w:tblGrid>
        <w:gridCol w:w="3397"/>
        <w:gridCol w:w="735"/>
        <w:gridCol w:w="824"/>
        <w:gridCol w:w="824"/>
        <w:gridCol w:w="824"/>
        <w:gridCol w:w="824"/>
        <w:gridCol w:w="824"/>
        <w:gridCol w:w="820"/>
      </w:tblGrid>
      <w:tr w:rsidR="00AA17E3" w:rsidRPr="006B209A" w:rsidTr="00AA17E3">
        <w:trPr>
          <w:trHeight w:val="301"/>
        </w:trPr>
        <w:tc>
          <w:tcPr>
            <w:tcW w:w="1873" w:type="pct"/>
            <w:tcBorders>
              <w:top w:val="single" w:sz="4" w:space="0" w:color="auto"/>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405"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2"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301"/>
        </w:trPr>
        <w:tc>
          <w:tcPr>
            <w:tcW w:w="187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Výdavky na šport</w:t>
            </w:r>
          </w:p>
        </w:tc>
        <w:tc>
          <w:tcPr>
            <w:tcW w:w="405"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109 757</w:t>
            </w:r>
          </w:p>
        </w:tc>
        <w:tc>
          <w:tcPr>
            <w:tcW w:w="454"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97 581</w:t>
            </w:r>
          </w:p>
        </w:tc>
        <w:tc>
          <w:tcPr>
            <w:tcW w:w="454"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135 557</w:t>
            </w:r>
          </w:p>
        </w:tc>
        <w:tc>
          <w:tcPr>
            <w:tcW w:w="454"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146 285</w:t>
            </w:r>
          </w:p>
        </w:tc>
        <w:tc>
          <w:tcPr>
            <w:tcW w:w="454"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120 985</w:t>
            </w:r>
          </w:p>
        </w:tc>
        <w:tc>
          <w:tcPr>
            <w:tcW w:w="454"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105 030</w:t>
            </w:r>
          </w:p>
        </w:tc>
        <w:tc>
          <w:tcPr>
            <w:tcW w:w="452" w:type="pct"/>
            <w:tcBorders>
              <w:top w:val="single" w:sz="4" w:space="0" w:color="auto"/>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105 030</w:t>
            </w:r>
          </w:p>
        </w:tc>
      </w:tr>
      <w:tr w:rsidR="00AA17E3" w:rsidRPr="006B209A" w:rsidTr="00AA17E3">
        <w:trPr>
          <w:trHeight w:val="301"/>
        </w:trPr>
        <w:tc>
          <w:tcPr>
            <w:tcW w:w="1873" w:type="pct"/>
            <w:tcBorders>
              <w:top w:val="nil"/>
              <w:left w:val="nil"/>
              <w:bottom w:val="nil"/>
              <w:right w:val="nil"/>
            </w:tcBorders>
            <w:shd w:val="clear" w:color="auto" w:fill="auto"/>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Ministerstvo školstva, vedy, výskumu a športu SR</w:t>
            </w:r>
          </w:p>
        </w:tc>
        <w:tc>
          <w:tcPr>
            <w:tcW w:w="40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99 357</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78 907</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78 916</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80 873</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78 939</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74 439</w:t>
            </w:r>
          </w:p>
        </w:tc>
        <w:tc>
          <w:tcPr>
            <w:tcW w:w="45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74 439</w:t>
            </w:r>
          </w:p>
        </w:tc>
      </w:tr>
      <w:tr w:rsidR="00AA17E3" w:rsidRPr="006B209A" w:rsidTr="00AA17E3">
        <w:trPr>
          <w:trHeight w:val="301"/>
        </w:trPr>
        <w:tc>
          <w:tcPr>
            <w:tcW w:w="187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Ministerstvo obrany SR</w:t>
            </w:r>
          </w:p>
        </w:tc>
        <w:tc>
          <w:tcPr>
            <w:tcW w:w="40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6 863</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15 088</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7 232</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16 362</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7 736</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7 781</w:t>
            </w:r>
          </w:p>
        </w:tc>
        <w:tc>
          <w:tcPr>
            <w:tcW w:w="45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7 781</w:t>
            </w:r>
          </w:p>
        </w:tc>
      </w:tr>
      <w:tr w:rsidR="00AA17E3" w:rsidRPr="006B209A" w:rsidTr="00AA17E3">
        <w:trPr>
          <w:trHeight w:val="301"/>
        </w:trPr>
        <w:tc>
          <w:tcPr>
            <w:tcW w:w="1873"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Ministerstvo vnútra SR</w:t>
            </w:r>
          </w:p>
        </w:tc>
        <w:tc>
          <w:tcPr>
            <w:tcW w:w="40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3 538</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3 208</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2 709</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3 251</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2 709</w:t>
            </w:r>
          </w:p>
        </w:tc>
        <w:tc>
          <w:tcPr>
            <w:tcW w:w="45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2 709</w:t>
            </w:r>
          </w:p>
        </w:tc>
        <w:tc>
          <w:tcPr>
            <w:tcW w:w="45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2 709</w:t>
            </w:r>
          </w:p>
        </w:tc>
      </w:tr>
      <w:tr w:rsidR="00AA17E3" w:rsidRPr="006B209A" w:rsidTr="00AA17E3">
        <w:trPr>
          <w:trHeight w:val="301"/>
        </w:trPr>
        <w:tc>
          <w:tcPr>
            <w:tcW w:w="1873"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Fond na podporu športu</w:t>
            </w:r>
          </w:p>
        </w:tc>
        <w:tc>
          <w:tcPr>
            <w:tcW w:w="405"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377</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46 700</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45 800</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31 600</w:t>
            </w:r>
          </w:p>
        </w:tc>
        <w:tc>
          <w:tcPr>
            <w:tcW w:w="45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20 100</w:t>
            </w:r>
          </w:p>
        </w:tc>
        <w:tc>
          <w:tcPr>
            <w:tcW w:w="45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20 100</w:t>
            </w:r>
          </w:p>
        </w:tc>
      </w:tr>
    </w:tbl>
    <w:p w:rsidR="00AA17E3" w:rsidRPr="006B209A" w:rsidRDefault="00AA17E3" w:rsidP="001E50EB">
      <w:pPr>
        <w:spacing w:after="0"/>
        <w:jc w:val="right"/>
        <w:rPr>
          <w:rFonts w:ascii="Times New Roman" w:hAnsi="Times New Roman" w:cs="Times New Roman"/>
          <w:i/>
          <w:sz w:val="16"/>
          <w:szCs w:val="16"/>
        </w:rPr>
      </w:pPr>
      <w:r w:rsidRPr="006B209A">
        <w:rPr>
          <w:rFonts w:ascii="Times New Roman" w:hAnsi="Times New Roman" w:cs="Times New Roman"/>
          <w:i/>
          <w:sz w:val="16"/>
          <w:szCs w:val="16"/>
        </w:rPr>
        <w:t>Zdroj: MF SR</w:t>
      </w:r>
    </w:p>
    <w:p w:rsidR="001E50EB" w:rsidRDefault="001E50EB" w:rsidP="001E50EB">
      <w:pPr>
        <w:spacing w:after="0"/>
        <w:jc w:val="both"/>
        <w:rPr>
          <w:rFonts w:ascii="Times New Roman" w:hAnsi="Times New Roman" w:cs="Times New Roman"/>
          <w:sz w:val="24"/>
          <w:szCs w:val="24"/>
        </w:rPr>
      </w:pPr>
    </w:p>
    <w:p w:rsidR="00AA17E3" w:rsidRDefault="00AA17E3" w:rsidP="001E50EB">
      <w:pPr>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Výdavky na šport z kapitoly Ministerstva školstva, vedy, výskumu a športu SR sú určené na financovanie športu pre všetkých, školského športu a univerzitného športu,  športu zdravotne znevýhodnených, výdavky súvisiace s reprezentáciou SR na medzinárodných športových podujatiach, národné športové projekty a športovú infraštruktúru. Vo výdavkoch na šport sú zapracované výdavky na rekonštrukcie futbalových štadiónov v sume 4,5 mil. eur, ktoré na roky 2023 a 2024 nie sú rozpočtované. Ďalej vo výdavkoch fondu na rok 2022 sú rozpočtované finančné prostriedky na dobudovanie športovej infraštruktúry národného významu v sume </w:t>
      </w:r>
      <w:r w:rsidR="00E327F8">
        <w:rPr>
          <w:rFonts w:ascii="Times New Roman" w:hAnsi="Times New Roman" w:cs="Times New Roman"/>
          <w:sz w:val="24"/>
          <w:szCs w:val="24"/>
        </w:rPr>
        <w:br/>
      </w:r>
      <w:r w:rsidRPr="006B209A">
        <w:rPr>
          <w:rFonts w:ascii="Times New Roman" w:hAnsi="Times New Roman" w:cs="Times New Roman"/>
          <w:sz w:val="24"/>
          <w:szCs w:val="24"/>
        </w:rPr>
        <w:t xml:space="preserve">11,5 mil. eur. Významným zdrojom určeným na financovanie športu je odvod z prevádzkovania lotériových hier vo výške 45,0 mil. eur  každoročne na roky 2022 až 2024. V roku 2022 fond disponuje s prostriedkami v sume 31,6 mil. eur, ktoré budú poskytované vo forme dotácií. </w:t>
      </w:r>
    </w:p>
    <w:p w:rsidR="001E50EB" w:rsidRPr="006B209A" w:rsidRDefault="001E50EB" w:rsidP="001E50EB">
      <w:pPr>
        <w:spacing w:after="0"/>
        <w:jc w:val="both"/>
        <w:rPr>
          <w:rFonts w:ascii="Times New Roman" w:hAnsi="Times New Roman" w:cs="Times New Roman"/>
          <w:sz w:val="24"/>
          <w:szCs w:val="24"/>
        </w:rPr>
      </w:pPr>
    </w:p>
    <w:p w:rsidR="00AA17E3" w:rsidRDefault="00AA17E3" w:rsidP="0040790F">
      <w:pPr>
        <w:spacing w:after="0"/>
        <w:jc w:val="both"/>
        <w:rPr>
          <w:rFonts w:ascii="Times New Roman" w:hAnsi="Times New Roman" w:cs="Times New Roman"/>
          <w:sz w:val="24"/>
          <w:szCs w:val="24"/>
        </w:rPr>
      </w:pPr>
      <w:r w:rsidRPr="006B209A">
        <w:rPr>
          <w:rFonts w:ascii="Times New Roman" w:hAnsi="Times New Roman" w:cs="Times New Roman"/>
          <w:sz w:val="24"/>
          <w:szCs w:val="24"/>
        </w:rPr>
        <w:t>V rozpočtoch kapitol Ministerstva vnútra SR a Ministerstva obrany SR sú rozpočtované výdavky na športovú reprezentáciu SR. Z uvedených výdavkov sa zabezpečuje činnosť Vojenského športového centra DUKLA Banská Bystrica, Armádneho športového klubu Dukla Trenčín a Športového centra polície.</w:t>
      </w:r>
    </w:p>
    <w:p w:rsidR="00403BB6" w:rsidRPr="006B209A" w:rsidRDefault="00403BB6" w:rsidP="0040790F">
      <w:pPr>
        <w:spacing w:after="0"/>
        <w:jc w:val="both"/>
        <w:rPr>
          <w:rFonts w:ascii="Times New Roman" w:hAnsi="Times New Roman" w:cs="Times New Roman"/>
          <w:sz w:val="24"/>
          <w:szCs w:val="24"/>
        </w:rPr>
      </w:pPr>
    </w:p>
    <w:p w:rsidR="001E50EB" w:rsidRDefault="001E50EB" w:rsidP="0040790F">
      <w:pPr>
        <w:spacing w:after="0"/>
        <w:rPr>
          <w:rFonts w:ascii="Times New Roman" w:hAnsi="Times New Roman" w:cs="Times New Roman"/>
          <w:b/>
          <w:color w:val="5B9BD5" w:themeColor="accent1"/>
          <w:sz w:val="24"/>
          <w:szCs w:val="24"/>
        </w:rPr>
      </w:pPr>
    </w:p>
    <w:p w:rsidR="00AA17E3" w:rsidRDefault="00AA17E3" w:rsidP="0040790F">
      <w:pPr>
        <w:spacing w:after="0"/>
        <w:rPr>
          <w:rFonts w:ascii="Times New Roman" w:hAnsi="Times New Roman" w:cs="Times New Roman"/>
          <w:b/>
          <w:color w:val="5B9BD5" w:themeColor="accent1"/>
          <w:sz w:val="24"/>
          <w:szCs w:val="24"/>
        </w:rPr>
      </w:pPr>
      <w:r w:rsidRPr="006B209A">
        <w:rPr>
          <w:rFonts w:ascii="Times New Roman" w:hAnsi="Times New Roman" w:cs="Times New Roman"/>
          <w:b/>
          <w:color w:val="5B9BD5" w:themeColor="accent1"/>
          <w:sz w:val="24"/>
          <w:szCs w:val="24"/>
        </w:rPr>
        <w:t>Administratíva a iné výdavky</w:t>
      </w:r>
    </w:p>
    <w:p w:rsidR="0040790F" w:rsidRPr="006B209A" w:rsidRDefault="0040790F" w:rsidP="0040790F">
      <w:pPr>
        <w:spacing w:after="0"/>
        <w:rPr>
          <w:rFonts w:ascii="Times New Roman" w:hAnsi="Times New Roman" w:cs="Times New Roman"/>
          <w:b/>
          <w:color w:val="5B9BD5" w:themeColor="accent1"/>
          <w:sz w:val="24"/>
          <w:szCs w:val="24"/>
        </w:rPr>
      </w:pPr>
    </w:p>
    <w:p w:rsidR="00AA17E3" w:rsidRPr="006B209A" w:rsidRDefault="00AA17E3" w:rsidP="00AA17E3">
      <w:pPr>
        <w:keepNext/>
        <w:spacing w:after="0" w:line="240" w:lineRule="auto"/>
        <w:rPr>
          <w:rFonts w:ascii="Times New Roman" w:hAnsi="Times New Roman" w:cs="Times New Roman"/>
          <w:b/>
          <w:iCs/>
          <w:color w:val="5B9BD5" w:themeColor="accent1"/>
          <w:sz w:val="20"/>
          <w:szCs w:val="20"/>
        </w:rPr>
      </w:pPr>
      <w:bookmarkStart w:id="242" w:name="_Toc53054794"/>
      <w:bookmarkStart w:id="243" w:name="_Toc53077986"/>
      <w:bookmarkStart w:id="244" w:name="_Toc53086388"/>
      <w:bookmarkStart w:id="245" w:name="_Toc84528412"/>
      <w:bookmarkStart w:id="246" w:name="_Toc84845288"/>
      <w:r w:rsidRPr="006B209A">
        <w:rPr>
          <w:rFonts w:ascii="Times New Roman" w:hAnsi="Times New Roman" w:cs="Times New Roman"/>
          <w:b/>
          <w:iCs/>
          <w:color w:val="5B9BD5" w:themeColor="accent1"/>
          <w:sz w:val="20"/>
          <w:szCs w:val="20"/>
        </w:rPr>
        <w:t xml:space="preserve">Tabuľka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Tabuľka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64</w:t>
      </w:r>
      <w:r w:rsidRPr="006B209A">
        <w:rPr>
          <w:rFonts w:ascii="Times New Roman" w:hAnsi="Times New Roman" w:cs="Times New Roman"/>
          <w:b/>
          <w:iCs/>
          <w:color w:val="5B9BD5" w:themeColor="accent1"/>
          <w:sz w:val="20"/>
          <w:szCs w:val="20"/>
        </w:rPr>
        <w:fldChar w:fldCharType="end"/>
      </w:r>
      <w:r w:rsidRPr="006B209A">
        <w:rPr>
          <w:rFonts w:ascii="Times New Roman" w:hAnsi="Times New Roman" w:cs="Times New Roman"/>
          <w:b/>
          <w:iCs/>
          <w:color w:val="5B9BD5" w:themeColor="accent1"/>
          <w:sz w:val="20"/>
          <w:szCs w:val="20"/>
        </w:rPr>
        <w:t xml:space="preserve"> - Výdavky na administratívu</w:t>
      </w:r>
      <w:bookmarkEnd w:id="242"/>
      <w:bookmarkEnd w:id="243"/>
      <w:bookmarkEnd w:id="244"/>
      <w:r w:rsidRPr="006B209A">
        <w:rPr>
          <w:rFonts w:ascii="Times New Roman" w:hAnsi="Times New Roman" w:cs="Times New Roman"/>
          <w:b/>
          <w:iCs/>
          <w:color w:val="5B9BD5" w:themeColor="accent1"/>
          <w:sz w:val="20"/>
          <w:szCs w:val="20"/>
        </w:rPr>
        <w:t xml:space="preserve"> a ostatné činnosti</w:t>
      </w:r>
      <w:bookmarkEnd w:id="245"/>
      <w:bookmarkEnd w:id="246"/>
    </w:p>
    <w:tbl>
      <w:tblPr>
        <w:tblW w:w="5000" w:type="pct"/>
        <w:tblCellMar>
          <w:left w:w="70" w:type="dxa"/>
          <w:right w:w="70" w:type="dxa"/>
        </w:tblCellMar>
        <w:tblLook w:val="04A0" w:firstRow="1" w:lastRow="0" w:firstColumn="1" w:lastColumn="0" w:noHBand="0" w:noVBand="1"/>
      </w:tblPr>
      <w:tblGrid>
        <w:gridCol w:w="3202"/>
        <w:gridCol w:w="911"/>
        <w:gridCol w:w="827"/>
        <w:gridCol w:w="827"/>
        <w:gridCol w:w="827"/>
        <w:gridCol w:w="827"/>
        <w:gridCol w:w="827"/>
        <w:gridCol w:w="824"/>
      </w:tblGrid>
      <w:tr w:rsidR="00AA17E3" w:rsidRPr="006B209A" w:rsidTr="00DD6AD9">
        <w:trPr>
          <w:trHeight w:val="255"/>
        </w:trPr>
        <w:tc>
          <w:tcPr>
            <w:tcW w:w="1764"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502"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56"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55"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3B5140">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DD6AD9">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Výdavky na administratívu</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33 384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34 897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38 606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40 718</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55 385</w:t>
            </w:r>
          </w:p>
        </w:tc>
        <w:tc>
          <w:tcPr>
            <w:tcW w:w="456" w:type="pct"/>
            <w:tcBorders>
              <w:top w:val="nil"/>
              <w:left w:val="nil"/>
              <w:bottom w:val="nil"/>
              <w:right w:val="nil"/>
            </w:tcBorders>
            <w:shd w:val="clear" w:color="auto" w:fill="auto"/>
            <w:noWrap/>
            <w:vAlign w:val="bottom"/>
            <w:hideMark/>
          </w:tcPr>
          <w:p w:rsidR="00AA17E3" w:rsidRPr="006B209A" w:rsidRDefault="003B5140"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56 219</w:t>
            </w:r>
          </w:p>
        </w:tc>
        <w:tc>
          <w:tcPr>
            <w:tcW w:w="455" w:type="pct"/>
            <w:tcBorders>
              <w:top w:val="nil"/>
              <w:left w:val="nil"/>
              <w:bottom w:val="nil"/>
              <w:right w:val="nil"/>
            </w:tcBorders>
            <w:shd w:val="clear" w:color="auto" w:fill="auto"/>
            <w:noWrap/>
            <w:vAlign w:val="bottom"/>
            <w:hideMark/>
          </w:tcPr>
          <w:p w:rsidR="00AA17E3" w:rsidRPr="006B209A" w:rsidRDefault="00DD6AD9"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44 1</w:t>
            </w:r>
            <w:r w:rsidR="003B5140">
              <w:rPr>
                <w:rFonts w:ascii="Times New Roman" w:eastAsia="Times New Roman" w:hAnsi="Times New Roman" w:cs="Times New Roman"/>
                <w:b/>
                <w:bCs/>
                <w:sz w:val="16"/>
                <w:szCs w:val="16"/>
                <w:lang w:eastAsia="sk-SK"/>
              </w:rPr>
              <w:t>44</w:t>
            </w:r>
          </w:p>
        </w:tc>
      </w:tr>
      <w:tr w:rsidR="00AA17E3" w:rsidRPr="006B209A" w:rsidTr="00DD6AD9">
        <w:trPr>
          <w:trHeight w:val="255"/>
        </w:trPr>
        <w:tc>
          <w:tcPr>
            <w:tcW w:w="1764" w:type="pct"/>
            <w:tcBorders>
              <w:top w:val="nil"/>
              <w:left w:val="nil"/>
              <w:bottom w:val="nil"/>
              <w:right w:val="nil"/>
            </w:tcBorders>
            <w:shd w:val="clear" w:color="auto" w:fill="auto"/>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Inštitucionálna podpora  MŠVVŠ SR</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26 347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27 722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29 384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30 431</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33 084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33 029</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25 609</w:t>
            </w:r>
          </w:p>
        </w:tc>
      </w:tr>
      <w:tr w:rsidR="00AA17E3" w:rsidRPr="006B209A" w:rsidTr="00DD6AD9">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IT financované zo ŠR administratíva</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2 493</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2 298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3 374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4 438</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4 052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4 052</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4 010</w:t>
            </w:r>
          </w:p>
        </w:tc>
      </w:tr>
      <w:tr w:rsidR="00AA17E3" w:rsidRPr="006B209A" w:rsidTr="00DD6AD9">
        <w:trPr>
          <w:trHeight w:val="255"/>
        </w:trPr>
        <w:tc>
          <w:tcPr>
            <w:tcW w:w="1764" w:type="pct"/>
            <w:tcBorders>
              <w:top w:val="nil"/>
              <w:left w:val="nil"/>
              <w:bottom w:val="nil"/>
              <w:right w:val="nil"/>
            </w:tcBorders>
            <w:shd w:val="clear" w:color="auto" w:fill="auto"/>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Podpora detí a mládeže</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4 544</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4 852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4 957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4 957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4 957</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4 957</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4 957</w:t>
            </w:r>
          </w:p>
        </w:tc>
      </w:tr>
      <w:tr w:rsidR="00AA17E3" w:rsidRPr="006B209A" w:rsidTr="00DD6AD9">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 xml:space="preserve">Výdavky na koordináciu prierezových aktivít </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850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850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752</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752</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752</w:t>
            </w:r>
          </w:p>
        </w:tc>
      </w:tr>
      <w:tr w:rsidR="00AA17E3" w:rsidRPr="006B209A" w:rsidTr="00DD6AD9">
        <w:trPr>
          <w:trHeight w:val="255"/>
        </w:trPr>
        <w:tc>
          <w:tcPr>
            <w:tcW w:w="176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MŠVVŠ SR protidrogová politika</w:t>
            </w:r>
          </w:p>
        </w:tc>
        <w:tc>
          <w:tcPr>
            <w:tcW w:w="502"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36</w:t>
            </w:r>
          </w:p>
        </w:tc>
        <w:tc>
          <w:tcPr>
            <w:tcW w:w="456"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36</w:t>
            </w:r>
          </w:p>
        </w:tc>
        <w:tc>
          <w:tcPr>
            <w:tcW w:w="45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36</w:t>
            </w:r>
          </w:p>
        </w:tc>
      </w:tr>
      <w:tr w:rsidR="00AA17E3" w:rsidRPr="006B209A" w:rsidTr="00DD6AD9">
        <w:trPr>
          <w:trHeight w:val="255"/>
        </w:trPr>
        <w:tc>
          <w:tcPr>
            <w:tcW w:w="176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Plán obnovy a odolnosti</w:t>
            </w:r>
          </w:p>
        </w:tc>
        <w:tc>
          <w:tcPr>
            <w:tcW w:w="502"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12 505</w:t>
            </w:r>
          </w:p>
        </w:tc>
        <w:tc>
          <w:tcPr>
            <w:tcW w:w="456"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13 394</w:t>
            </w:r>
          </w:p>
        </w:tc>
        <w:tc>
          <w:tcPr>
            <w:tcW w:w="455"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8 780</w:t>
            </w:r>
          </w:p>
        </w:tc>
      </w:tr>
    </w:tbl>
    <w:p w:rsidR="00AA17E3" w:rsidRPr="006B209A" w:rsidRDefault="00AA17E3" w:rsidP="001E50EB">
      <w:pPr>
        <w:spacing w:after="0"/>
        <w:jc w:val="right"/>
        <w:rPr>
          <w:rFonts w:ascii="Times New Roman" w:hAnsi="Times New Roman" w:cs="Times New Roman"/>
          <w:i/>
          <w:sz w:val="16"/>
          <w:szCs w:val="16"/>
        </w:rPr>
      </w:pPr>
      <w:r w:rsidRPr="006B209A">
        <w:rPr>
          <w:rFonts w:ascii="Times New Roman" w:hAnsi="Times New Roman" w:cs="Times New Roman"/>
          <w:i/>
          <w:sz w:val="16"/>
          <w:szCs w:val="16"/>
        </w:rPr>
        <w:t>Zdroj: MF SR</w:t>
      </w:r>
    </w:p>
    <w:p w:rsidR="001E50EB" w:rsidRDefault="001E50EB" w:rsidP="001E50EB">
      <w:pPr>
        <w:spacing w:after="0"/>
        <w:jc w:val="both"/>
        <w:rPr>
          <w:rFonts w:ascii="Times New Roman" w:hAnsi="Times New Roman" w:cs="Times New Roman"/>
          <w:sz w:val="24"/>
          <w:szCs w:val="24"/>
        </w:rPr>
      </w:pPr>
    </w:p>
    <w:p w:rsidR="00AA17E3" w:rsidRPr="006B209A" w:rsidRDefault="00AA17E3" w:rsidP="001E50EB">
      <w:pPr>
        <w:spacing w:after="0"/>
        <w:jc w:val="both"/>
        <w:rPr>
          <w:rFonts w:ascii="Times New Roman" w:hAnsi="Times New Roman" w:cs="Times New Roman"/>
          <w:sz w:val="24"/>
          <w:szCs w:val="24"/>
        </w:rPr>
      </w:pPr>
      <w:r w:rsidRPr="006B209A">
        <w:rPr>
          <w:rFonts w:ascii="Times New Roman" w:hAnsi="Times New Roman" w:cs="Times New Roman"/>
          <w:sz w:val="24"/>
          <w:szCs w:val="24"/>
        </w:rPr>
        <w:t xml:space="preserve">Pre fungovanie systému je dôležitá aj dostatočná inštitucionálna podpora. Tú tvorí najmä činnosť samotného úradu ministerstva, ale aj niektorých podriadených rozpočtových organizácií a príspevkových organizácií. Do tejto kategórie sú zaradené tiež výdavky na – celoživotné vzdelávanie (v rámci programu Tvorba a implementácia politík), podporu mládeže či protidrogovú politiku. Okrem týchto výdavkov sem patria prostriedky určené na podporu a údržbu IT systémov. </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spacing w:after="0"/>
        <w:jc w:val="both"/>
        <w:rPr>
          <w:rFonts w:ascii="Times New Roman" w:hAnsi="Times New Roman" w:cs="Times New Roman"/>
          <w:sz w:val="24"/>
          <w:szCs w:val="24"/>
        </w:rPr>
      </w:pPr>
      <w:r w:rsidRPr="006B209A">
        <w:rPr>
          <w:rFonts w:ascii="Times New Roman" w:hAnsi="Times New Roman" w:cs="Times New Roman"/>
          <w:sz w:val="24"/>
          <w:szCs w:val="24"/>
        </w:rPr>
        <w:t>V návrhu rozpočtu na administratívne výdavky je zabezpečené dofinancovanie administratívnych kapacít vo Výskumnej agentúre a sekcii štrukturálnych fondov EÚ Ministerstva školstva, vedy, výskumu a športu SR v sume 8,33 mil. eur, z toho osobné výdavky 7,47 mil. eur z dôvodu absencie zdrojov z Technickej pomoci financovanej zo štrukturálnych fondov z programového obdobia 2014 – 2020, výdavky na činnosť Vesmírnej kancelárie v zmysle pokračovania spolupráce s Európskou vesmírnou agentúrou a výdavky na príspevok za zásluhy v športovej oblasti (renta pre medailistov) v sume 1,36 mil. eur. Ďalej sú rozpočtované výdavky na dofinancovanie platov lektorov a učiteľov v cudzine a výdavky na  analytické  jednotky vytvorené na kapitolách. V tejto oblasti sú zahrnuté aj výdavky z plánu obnovy v sume 12,5 mil. eur, ktoré sú určené na osobné výdavky pre zahraničných hodnotiteľov</w:t>
      </w:r>
      <w:r w:rsidR="00403BB6">
        <w:rPr>
          <w:rFonts w:ascii="Times New Roman" w:hAnsi="Times New Roman" w:cs="Times New Roman"/>
          <w:sz w:val="24"/>
          <w:szCs w:val="24"/>
        </w:rPr>
        <w:t>, pre implementačnú jednotku</w:t>
      </w:r>
      <w:r w:rsidRPr="006B209A">
        <w:rPr>
          <w:rFonts w:ascii="Times New Roman" w:hAnsi="Times New Roman" w:cs="Times New Roman"/>
          <w:sz w:val="24"/>
          <w:szCs w:val="24"/>
        </w:rPr>
        <w:t xml:space="preserve">, na vytvorenie tímov pre tvorbu kurikula a sprievodných materiálov, tlač a ich distribúciu, na vytvorenie testov gramotnosti a kompetencií  pre základné školy a vyhodnocovanie v cykloch podľa kurikulárnej reformy, na služby súvisiace s dodávkou IS eTest </w:t>
      </w:r>
      <w:r w:rsidR="00403BB6">
        <w:rPr>
          <w:rFonts w:ascii="Times New Roman" w:hAnsi="Times New Roman" w:cs="Times New Roman"/>
          <w:sz w:val="24"/>
          <w:szCs w:val="24"/>
        </w:rPr>
        <w:t xml:space="preserve">2.0 a jeho údržbou a prevádzkou a na ďalšie reformy a investície. </w:t>
      </w:r>
    </w:p>
    <w:p w:rsidR="00AA17E3" w:rsidRPr="006B209A" w:rsidRDefault="00AA17E3" w:rsidP="00AA17E3">
      <w:pPr>
        <w:spacing w:after="0"/>
        <w:jc w:val="both"/>
        <w:rPr>
          <w:rFonts w:ascii="Times New Roman" w:hAnsi="Times New Roman" w:cs="Times New Roman"/>
          <w:sz w:val="24"/>
          <w:szCs w:val="24"/>
        </w:rPr>
      </w:pPr>
    </w:p>
    <w:p w:rsidR="00AA17E3" w:rsidRPr="006B209A" w:rsidRDefault="00AA17E3" w:rsidP="00AA17E3">
      <w:pPr>
        <w:keepNext/>
        <w:spacing w:after="0"/>
        <w:rPr>
          <w:rFonts w:ascii="Times New Roman" w:hAnsi="Times New Roman" w:cs="Times New Roman"/>
          <w:b/>
          <w:iCs/>
          <w:color w:val="5B9BD5" w:themeColor="accent1"/>
          <w:sz w:val="20"/>
          <w:szCs w:val="20"/>
        </w:rPr>
      </w:pPr>
      <w:bookmarkStart w:id="247" w:name="_Toc84528413"/>
      <w:bookmarkStart w:id="248" w:name="_Toc84845289"/>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65</w:t>
      </w:r>
      <w:r w:rsidRPr="007E7AFC">
        <w:rPr>
          <w:rFonts w:ascii="Times New Roman" w:hAnsi="Times New Roman" w:cs="Times New Roman"/>
          <w:b/>
          <w:color w:val="5B9BD5" w:themeColor="accent1"/>
          <w:sz w:val="20"/>
          <w:szCs w:val="20"/>
        </w:rPr>
        <w:fldChar w:fldCharType="end"/>
      </w:r>
      <w:r w:rsidRPr="006B209A">
        <w:rPr>
          <w:rFonts w:ascii="Times New Roman" w:hAnsi="Times New Roman" w:cs="Times New Roman"/>
          <w:b/>
          <w:iCs/>
          <w:color w:val="5B9BD5" w:themeColor="accent1"/>
          <w:sz w:val="20"/>
          <w:szCs w:val="20"/>
        </w:rPr>
        <w:t>- Výdavky zo štrukturálnych fondov vrátane spolufinancovania zo štátneho rozpočtu</w:t>
      </w:r>
      <w:bookmarkEnd w:id="247"/>
      <w:bookmarkEnd w:id="248"/>
    </w:p>
    <w:tbl>
      <w:tblPr>
        <w:tblW w:w="5000" w:type="pct"/>
        <w:tblCellMar>
          <w:left w:w="70" w:type="dxa"/>
          <w:right w:w="70" w:type="dxa"/>
        </w:tblCellMar>
        <w:tblLook w:val="04A0" w:firstRow="1" w:lastRow="0" w:firstColumn="1" w:lastColumn="0" w:noHBand="0" w:noVBand="1"/>
      </w:tblPr>
      <w:tblGrid>
        <w:gridCol w:w="3420"/>
        <w:gridCol w:w="877"/>
        <w:gridCol w:w="794"/>
        <w:gridCol w:w="795"/>
        <w:gridCol w:w="797"/>
        <w:gridCol w:w="797"/>
        <w:gridCol w:w="797"/>
        <w:gridCol w:w="795"/>
      </w:tblGrid>
      <w:tr w:rsidR="00AA17E3" w:rsidRPr="006B209A" w:rsidTr="00AA17E3">
        <w:trPr>
          <w:trHeight w:val="255"/>
        </w:trPr>
        <w:tc>
          <w:tcPr>
            <w:tcW w:w="1885" w:type="pct"/>
            <w:tcBorders>
              <w:top w:val="single" w:sz="4" w:space="0" w:color="auto"/>
              <w:left w:val="nil"/>
              <w:bottom w:val="single" w:sz="4" w:space="0" w:color="auto"/>
              <w:right w:val="nil"/>
            </w:tcBorders>
            <w:shd w:val="clear" w:color="auto" w:fill="auto"/>
            <w:noWrap/>
            <w:vAlign w:val="center"/>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 tis. eur</w:t>
            </w:r>
          </w:p>
        </w:tc>
        <w:tc>
          <w:tcPr>
            <w:tcW w:w="484"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2019 S</w:t>
            </w:r>
          </w:p>
        </w:tc>
        <w:tc>
          <w:tcPr>
            <w:tcW w:w="438"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2020 S</w:t>
            </w:r>
          </w:p>
        </w:tc>
        <w:tc>
          <w:tcPr>
            <w:tcW w:w="438"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R</w:t>
            </w:r>
          </w:p>
        </w:tc>
        <w:tc>
          <w:tcPr>
            <w:tcW w:w="439"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2021 OS</w:t>
            </w:r>
          </w:p>
        </w:tc>
        <w:tc>
          <w:tcPr>
            <w:tcW w:w="439"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2022 N</w:t>
            </w:r>
          </w:p>
        </w:tc>
        <w:tc>
          <w:tcPr>
            <w:tcW w:w="439"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2023 N</w:t>
            </w:r>
          </w:p>
        </w:tc>
        <w:tc>
          <w:tcPr>
            <w:tcW w:w="438" w:type="pct"/>
            <w:tcBorders>
              <w:top w:val="single" w:sz="4" w:space="0" w:color="auto"/>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center"/>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2024 N</w:t>
            </w:r>
          </w:p>
        </w:tc>
      </w:tr>
      <w:tr w:rsidR="00AA17E3" w:rsidRPr="006B209A" w:rsidTr="00AA17E3">
        <w:trPr>
          <w:trHeight w:val="255"/>
        </w:trPr>
        <w:tc>
          <w:tcPr>
            <w:tcW w:w="1885"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Výdavky z EÚ a SP neuvádzané v oblastiach</w:t>
            </w:r>
          </w:p>
        </w:tc>
        <w:tc>
          <w:tcPr>
            <w:tcW w:w="48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31 511</w:t>
            </w:r>
          </w:p>
        </w:tc>
        <w:tc>
          <w:tcPr>
            <w:tcW w:w="438"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50 912</w:t>
            </w:r>
          </w:p>
        </w:tc>
        <w:tc>
          <w:tcPr>
            <w:tcW w:w="438"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42 753</w:t>
            </w:r>
          </w:p>
        </w:tc>
        <w:tc>
          <w:tcPr>
            <w:tcW w:w="43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104 452</w:t>
            </w:r>
          </w:p>
        </w:tc>
        <w:tc>
          <w:tcPr>
            <w:tcW w:w="43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124 448</w:t>
            </w:r>
          </w:p>
        </w:tc>
        <w:tc>
          <w:tcPr>
            <w:tcW w:w="43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118 704</w:t>
            </w:r>
          </w:p>
        </w:tc>
        <w:tc>
          <w:tcPr>
            <w:tcW w:w="438"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b/>
                <w:bCs/>
                <w:sz w:val="16"/>
                <w:szCs w:val="16"/>
                <w:lang w:eastAsia="sk-SK"/>
              </w:rPr>
            </w:pPr>
            <w:r w:rsidRPr="006B209A">
              <w:rPr>
                <w:rFonts w:ascii="Times New Roman" w:eastAsia="Times New Roman" w:hAnsi="Times New Roman" w:cs="Times New Roman"/>
                <w:b/>
                <w:bCs/>
                <w:sz w:val="16"/>
                <w:szCs w:val="16"/>
                <w:lang w:eastAsia="sk-SK"/>
              </w:rPr>
              <w:t>0</w:t>
            </w:r>
          </w:p>
        </w:tc>
      </w:tr>
      <w:tr w:rsidR="00AA17E3" w:rsidRPr="006B209A" w:rsidTr="00AA17E3">
        <w:trPr>
          <w:trHeight w:val="255"/>
        </w:trPr>
        <w:tc>
          <w:tcPr>
            <w:tcW w:w="1885" w:type="pct"/>
            <w:tcBorders>
              <w:top w:val="nil"/>
              <w:left w:val="nil"/>
              <w:bottom w:val="nil"/>
              <w:right w:val="nil"/>
            </w:tcBorders>
            <w:shd w:val="clear" w:color="auto" w:fill="auto"/>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OP Ľudské zdroje - Vzdelávanie</w:t>
            </w:r>
          </w:p>
        </w:tc>
        <w:tc>
          <w:tcPr>
            <w:tcW w:w="484"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27 553</w:t>
            </w:r>
          </w:p>
        </w:tc>
        <w:tc>
          <w:tcPr>
            <w:tcW w:w="438"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43 435</w:t>
            </w:r>
          </w:p>
        </w:tc>
        <w:tc>
          <w:tcPr>
            <w:tcW w:w="438"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26 777</w:t>
            </w:r>
          </w:p>
        </w:tc>
        <w:tc>
          <w:tcPr>
            <w:tcW w:w="43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83 295</w:t>
            </w:r>
          </w:p>
        </w:tc>
        <w:tc>
          <w:tcPr>
            <w:tcW w:w="43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65 988</w:t>
            </w:r>
          </w:p>
        </w:tc>
        <w:tc>
          <w:tcPr>
            <w:tcW w:w="439"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32 675</w:t>
            </w:r>
          </w:p>
        </w:tc>
        <w:tc>
          <w:tcPr>
            <w:tcW w:w="438" w:type="pct"/>
            <w:tcBorders>
              <w:top w:val="nil"/>
              <w:left w:val="nil"/>
              <w:bottom w:val="nil"/>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r>
      <w:tr w:rsidR="00AA17E3" w:rsidRPr="006B209A" w:rsidTr="00AA17E3">
        <w:trPr>
          <w:trHeight w:val="255"/>
        </w:trPr>
        <w:tc>
          <w:tcPr>
            <w:tcW w:w="1885"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OP Integrovaná infraštruktúra v gescii MŠVVŠ SR</w:t>
            </w:r>
          </w:p>
        </w:tc>
        <w:tc>
          <w:tcPr>
            <w:tcW w:w="484"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3 959</w:t>
            </w:r>
          </w:p>
        </w:tc>
        <w:tc>
          <w:tcPr>
            <w:tcW w:w="438"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7 477</w:t>
            </w:r>
          </w:p>
        </w:tc>
        <w:tc>
          <w:tcPr>
            <w:tcW w:w="438"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15 976</w:t>
            </w:r>
          </w:p>
        </w:tc>
        <w:tc>
          <w:tcPr>
            <w:tcW w:w="439"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21 157</w:t>
            </w:r>
          </w:p>
        </w:tc>
        <w:tc>
          <w:tcPr>
            <w:tcW w:w="439"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58 459</w:t>
            </w:r>
          </w:p>
        </w:tc>
        <w:tc>
          <w:tcPr>
            <w:tcW w:w="439"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86 028</w:t>
            </w:r>
          </w:p>
        </w:tc>
        <w:tc>
          <w:tcPr>
            <w:tcW w:w="438" w:type="pct"/>
            <w:tcBorders>
              <w:top w:val="nil"/>
              <w:left w:val="nil"/>
              <w:bottom w:val="single" w:sz="4" w:space="0" w:color="auto"/>
              <w:right w:val="nil"/>
            </w:tcBorders>
            <w:shd w:val="clear" w:color="auto" w:fill="auto"/>
            <w:noWrap/>
            <w:vAlign w:val="bottom"/>
            <w:hideMark/>
          </w:tcPr>
          <w:p w:rsidR="00AA17E3" w:rsidRPr="006B209A" w:rsidRDefault="00AA17E3" w:rsidP="00AA17E3">
            <w:pPr>
              <w:spacing w:after="0" w:line="240" w:lineRule="auto"/>
              <w:jc w:val="right"/>
              <w:rPr>
                <w:rFonts w:ascii="Times New Roman" w:eastAsia="Times New Roman" w:hAnsi="Times New Roman" w:cs="Times New Roman"/>
                <w:sz w:val="16"/>
                <w:szCs w:val="16"/>
                <w:lang w:eastAsia="sk-SK"/>
              </w:rPr>
            </w:pPr>
            <w:r w:rsidRPr="006B209A">
              <w:rPr>
                <w:rFonts w:ascii="Times New Roman" w:eastAsia="Times New Roman" w:hAnsi="Times New Roman" w:cs="Times New Roman"/>
                <w:sz w:val="16"/>
                <w:szCs w:val="16"/>
                <w:lang w:eastAsia="sk-SK"/>
              </w:rPr>
              <w:t>0</w:t>
            </w:r>
          </w:p>
        </w:tc>
      </w:tr>
    </w:tbl>
    <w:p w:rsidR="00AA17E3" w:rsidRPr="006B209A" w:rsidRDefault="00AA17E3" w:rsidP="001E50EB">
      <w:pPr>
        <w:spacing w:after="0"/>
        <w:jc w:val="right"/>
        <w:rPr>
          <w:rFonts w:ascii="Times New Roman" w:hAnsi="Times New Roman" w:cs="Times New Roman"/>
          <w:i/>
          <w:sz w:val="16"/>
          <w:szCs w:val="16"/>
        </w:rPr>
      </w:pPr>
      <w:r w:rsidRPr="006B209A">
        <w:rPr>
          <w:rFonts w:ascii="Times New Roman" w:hAnsi="Times New Roman" w:cs="Times New Roman"/>
          <w:i/>
          <w:sz w:val="16"/>
          <w:szCs w:val="16"/>
        </w:rPr>
        <w:t>Zdroj: MF SR</w:t>
      </w:r>
    </w:p>
    <w:p w:rsidR="001E50EB" w:rsidRDefault="001E50EB" w:rsidP="001E50EB">
      <w:pPr>
        <w:spacing w:after="0"/>
        <w:ind w:right="-23"/>
        <w:jc w:val="both"/>
        <w:rPr>
          <w:rFonts w:ascii="Times New Roman" w:hAnsi="Times New Roman" w:cs="Times New Roman"/>
          <w:sz w:val="24"/>
          <w:szCs w:val="24"/>
        </w:rPr>
      </w:pPr>
    </w:p>
    <w:p w:rsidR="00AA17E3" w:rsidRDefault="00AA17E3" w:rsidP="001E50EB">
      <w:pPr>
        <w:spacing w:after="0"/>
        <w:ind w:right="-23"/>
        <w:jc w:val="both"/>
        <w:rPr>
          <w:rFonts w:ascii="Times New Roman" w:hAnsi="Times New Roman" w:cs="Times New Roman"/>
          <w:sz w:val="24"/>
          <w:szCs w:val="24"/>
        </w:rPr>
      </w:pPr>
      <w:r w:rsidRPr="006B209A">
        <w:rPr>
          <w:rFonts w:ascii="Times New Roman" w:hAnsi="Times New Roman" w:cs="Times New Roman"/>
          <w:sz w:val="24"/>
          <w:szCs w:val="24"/>
        </w:rPr>
        <w:t>Prehľad podľa tabuľky zahŕňa výdavky zo štrukturálnych fondov vrátane spolufinancovania zo štátneho rozpočtu, ktoré neboli rozpísané pre jednotlivé vyššie uvedené oblasti. Disponibilné zdroje z operačného programu Ľudské zdroje a operačného programu Integrovaná infraštruktúra v gescii Ministerstva školstva, vedy, výskumu a športu SR budú realizované v priebehu roku 2022 na základe vyhlásených výziev pre ďalšie subjekty a</w:t>
      </w:r>
      <w:r w:rsidR="0040790F">
        <w:rPr>
          <w:rFonts w:ascii="Times New Roman" w:hAnsi="Times New Roman" w:cs="Times New Roman"/>
          <w:sz w:val="24"/>
          <w:szCs w:val="24"/>
        </w:rPr>
        <w:t xml:space="preserve">j mimo sektor verejnej správy. </w:t>
      </w:r>
    </w:p>
    <w:p w:rsidR="00FA7DE1" w:rsidRPr="0040790F" w:rsidRDefault="00FA7DE1" w:rsidP="0040790F">
      <w:pPr>
        <w:spacing w:after="0"/>
        <w:ind w:right="-23"/>
        <w:jc w:val="both"/>
        <w:rPr>
          <w:rFonts w:ascii="Times New Roman" w:hAnsi="Times New Roman" w:cs="Times New Roman"/>
          <w:sz w:val="24"/>
          <w:szCs w:val="24"/>
        </w:rPr>
      </w:pPr>
    </w:p>
    <w:p w:rsidR="00AA17E3" w:rsidRDefault="00AA17E3" w:rsidP="0040790F">
      <w:pPr>
        <w:pStyle w:val="Nadpis2"/>
        <w:spacing w:after="0"/>
        <w:rPr>
          <w:rFonts w:ascii="Times New Roman" w:hAnsi="Times New Roman"/>
          <w:i w:val="0"/>
          <w:color w:val="5B9BD5" w:themeColor="accent1"/>
          <w:sz w:val="24"/>
        </w:rPr>
      </w:pPr>
      <w:bookmarkStart w:id="249" w:name="_Toc53062615"/>
      <w:bookmarkStart w:id="250" w:name="_Toc53084673"/>
      <w:bookmarkStart w:id="251" w:name="_Toc84528338"/>
      <w:bookmarkStart w:id="252" w:name="_Toc84684761"/>
      <w:r w:rsidRPr="006B209A">
        <w:rPr>
          <w:rFonts w:ascii="Times New Roman" w:hAnsi="Times New Roman"/>
          <w:i w:val="0"/>
          <w:color w:val="5B9BD5" w:themeColor="accent1"/>
          <w:sz w:val="24"/>
        </w:rPr>
        <w:t>4.5. Doprava a</w:t>
      </w:r>
      <w:r>
        <w:rPr>
          <w:rFonts w:ascii="Times New Roman" w:hAnsi="Times New Roman"/>
          <w:i w:val="0"/>
          <w:color w:val="5B9BD5" w:themeColor="accent1"/>
          <w:sz w:val="24"/>
        </w:rPr>
        <w:t> </w:t>
      </w:r>
      <w:r w:rsidRPr="006B209A">
        <w:rPr>
          <w:rFonts w:ascii="Times New Roman" w:hAnsi="Times New Roman"/>
          <w:i w:val="0"/>
          <w:color w:val="5B9BD5" w:themeColor="accent1"/>
          <w:sz w:val="24"/>
        </w:rPr>
        <w:t>bývani</w:t>
      </w:r>
      <w:bookmarkEnd w:id="249"/>
      <w:bookmarkEnd w:id="250"/>
      <w:r w:rsidRPr="006B209A">
        <w:rPr>
          <w:rFonts w:ascii="Times New Roman" w:hAnsi="Times New Roman"/>
          <w:i w:val="0"/>
          <w:color w:val="5B9BD5" w:themeColor="accent1"/>
          <w:sz w:val="24"/>
        </w:rPr>
        <w:t>e</w:t>
      </w:r>
      <w:bookmarkEnd w:id="251"/>
      <w:bookmarkEnd w:id="252"/>
    </w:p>
    <w:p w:rsidR="00AA17E3" w:rsidRPr="00435C12" w:rsidRDefault="00AA17E3" w:rsidP="0040790F">
      <w:pPr>
        <w:spacing w:after="0"/>
        <w:rPr>
          <w:lang w:eastAsia="cs-CZ"/>
        </w:rPr>
      </w:pPr>
    </w:p>
    <w:p w:rsidR="00AA17E3" w:rsidRDefault="00AA17E3" w:rsidP="0040790F">
      <w:pPr>
        <w:spacing w:after="0"/>
        <w:jc w:val="both"/>
        <w:rPr>
          <w:rFonts w:ascii="Times New Roman" w:hAnsi="Times New Roman" w:cs="Times New Roman"/>
          <w:bCs/>
          <w:sz w:val="24"/>
        </w:rPr>
      </w:pPr>
      <w:bookmarkStart w:id="253" w:name="_Toc53048372"/>
      <w:r w:rsidRPr="00BD25A1">
        <w:rPr>
          <w:rFonts w:ascii="Times New Roman" w:hAnsi="Times New Roman" w:cs="Times New Roman"/>
          <w:bCs/>
          <w:sz w:val="24"/>
        </w:rPr>
        <w:t>Cieľom verejných investícií a politík v doprave je rozvíjať ju tak, aby umožnila prepravu tovarov a osôb rýchlo, kvalitne, bezpečne, s čo najnižšími negatívnymi externalitami a za  primeranú cenu v oblastiach, kde to súkromný sektor najmä pre ekonomickú nevýhodnosť nezabezpečuje vôbec, resp. v požadovanom rozsahu alebo kvalite alebo za požadované cestovné. V oblasti rozvoja bývania sú cieľmi zlepšovanie kvalitatívnych podmienok existujúceho bytového fondu a zvýšenie počtu dokončovaných bytov, ako aj rozvoj dostupného nájomného bývania.</w:t>
      </w:r>
    </w:p>
    <w:p w:rsidR="00AA17E3" w:rsidRDefault="00AA17E3" w:rsidP="00AA17E3">
      <w:pPr>
        <w:spacing w:after="0"/>
        <w:jc w:val="both"/>
        <w:rPr>
          <w:rFonts w:ascii="Times New Roman" w:hAnsi="Times New Roman" w:cs="Times New Roman"/>
          <w:bCs/>
          <w:sz w:val="24"/>
        </w:rPr>
      </w:pPr>
    </w:p>
    <w:p w:rsidR="00AA17E3" w:rsidRPr="00BD25A1" w:rsidRDefault="00AA17E3" w:rsidP="00AA17E3">
      <w:pPr>
        <w:pStyle w:val="Popis"/>
        <w:keepNext/>
        <w:spacing w:after="0"/>
        <w:jc w:val="both"/>
        <w:rPr>
          <w:rFonts w:ascii="Times New Roman" w:hAnsi="Times New Roman" w:cs="Times New Roman"/>
          <w:b/>
          <w:i w:val="0"/>
          <w:color w:val="5B9BD5" w:themeColor="accent1"/>
          <w:sz w:val="20"/>
          <w:szCs w:val="20"/>
        </w:rPr>
      </w:pPr>
      <w:bookmarkStart w:id="254" w:name="_Toc84528414"/>
      <w:bookmarkStart w:id="255" w:name="_Toc84845290"/>
      <w:r w:rsidRPr="00BD25A1">
        <w:rPr>
          <w:rFonts w:ascii="Times New Roman" w:hAnsi="Times New Roman" w:cs="Times New Roman"/>
          <w:b/>
          <w:i w:val="0"/>
          <w:color w:val="5B9BD5" w:themeColor="accent1"/>
          <w:sz w:val="20"/>
          <w:szCs w:val="20"/>
        </w:rPr>
        <w:t xml:space="preserve">Tabuľka </w:t>
      </w:r>
      <w:r w:rsidRPr="00BD25A1">
        <w:rPr>
          <w:rFonts w:ascii="Times New Roman" w:hAnsi="Times New Roman" w:cs="Times New Roman"/>
          <w:b/>
          <w:i w:val="0"/>
          <w:color w:val="5B9BD5" w:themeColor="accent1"/>
          <w:sz w:val="20"/>
          <w:szCs w:val="20"/>
        </w:rPr>
        <w:fldChar w:fldCharType="begin"/>
      </w:r>
      <w:r w:rsidRPr="00BD25A1">
        <w:rPr>
          <w:rFonts w:ascii="Times New Roman" w:hAnsi="Times New Roman" w:cs="Times New Roman"/>
          <w:b/>
          <w:i w:val="0"/>
          <w:color w:val="5B9BD5" w:themeColor="accent1"/>
          <w:sz w:val="20"/>
          <w:szCs w:val="20"/>
        </w:rPr>
        <w:instrText xml:space="preserve"> SEQ Tabuľka \* ARABIC </w:instrText>
      </w:r>
      <w:r w:rsidRPr="00BD25A1">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66</w:t>
      </w:r>
      <w:r w:rsidRPr="00BD25A1">
        <w:rPr>
          <w:rFonts w:ascii="Times New Roman" w:hAnsi="Times New Roman" w:cs="Times New Roman"/>
          <w:b/>
          <w:i w:val="0"/>
          <w:color w:val="5B9BD5" w:themeColor="accent1"/>
          <w:sz w:val="20"/>
          <w:szCs w:val="20"/>
        </w:rPr>
        <w:fldChar w:fldCharType="end"/>
      </w:r>
      <w:r w:rsidRPr="00BD25A1">
        <w:rPr>
          <w:rFonts w:ascii="Times New Roman" w:hAnsi="Times New Roman" w:cs="Times New Roman"/>
          <w:b/>
          <w:i w:val="0"/>
          <w:color w:val="5B9BD5" w:themeColor="accent1"/>
          <w:sz w:val="20"/>
          <w:szCs w:val="20"/>
        </w:rPr>
        <w:t xml:space="preserve"> - Kľúčové ukazovatele v oblasti dopravy</w:t>
      </w:r>
      <w:bookmarkEnd w:id="254"/>
      <w:r w:rsidR="00BD773F">
        <w:rPr>
          <w:rFonts w:ascii="Times New Roman" w:hAnsi="Times New Roman" w:cs="Times New Roman"/>
          <w:b/>
          <w:i w:val="0"/>
          <w:color w:val="5B9BD5" w:themeColor="accent1"/>
          <w:sz w:val="20"/>
          <w:szCs w:val="20"/>
        </w:rPr>
        <w:t>, bývania a cestovného ruchu</w:t>
      </w:r>
      <w:bookmarkEnd w:id="255"/>
    </w:p>
    <w:tbl>
      <w:tblPr>
        <w:tblStyle w:val="Mriekatabuky"/>
        <w:tblW w:w="9109" w:type="dxa"/>
        <w:tblBorders>
          <w:left w:val="none" w:sz="0" w:space="0" w:color="auto"/>
          <w:right w:val="none" w:sz="0" w:space="0" w:color="auto"/>
          <w:insideV w:val="none" w:sz="0" w:space="0" w:color="auto"/>
        </w:tblBorders>
        <w:tblLook w:val="04A0" w:firstRow="1" w:lastRow="0" w:firstColumn="1" w:lastColumn="0" w:noHBand="0" w:noVBand="1"/>
      </w:tblPr>
      <w:tblGrid>
        <w:gridCol w:w="1544"/>
        <w:gridCol w:w="4262"/>
        <w:gridCol w:w="678"/>
        <w:gridCol w:w="623"/>
        <w:gridCol w:w="623"/>
        <w:gridCol w:w="623"/>
        <w:gridCol w:w="756"/>
      </w:tblGrid>
      <w:tr w:rsidR="00AA17E3" w:rsidRPr="00DE5DD6" w:rsidTr="00414428">
        <w:trPr>
          <w:trHeight w:val="180"/>
        </w:trPr>
        <w:tc>
          <w:tcPr>
            <w:tcW w:w="1544" w:type="dxa"/>
            <w:tcBorders>
              <w:bottom w:val="single" w:sz="4" w:space="0" w:color="auto"/>
            </w:tcBorders>
            <w:shd w:val="clear" w:color="auto" w:fill="auto"/>
            <w:vAlign w:val="center"/>
          </w:tcPr>
          <w:p w:rsidR="00AA17E3" w:rsidRPr="00DE5DD6" w:rsidRDefault="00AA17E3" w:rsidP="00AA17E3">
            <w:pPr>
              <w:rPr>
                <w:rFonts w:ascii="Times New Roman" w:hAnsi="Times New Roman"/>
                <w:b/>
                <w:sz w:val="16"/>
              </w:rPr>
            </w:pPr>
            <w:r w:rsidRPr="00DE5DD6">
              <w:rPr>
                <w:rFonts w:ascii="Times New Roman" w:hAnsi="Times New Roman"/>
                <w:b/>
                <w:sz w:val="16"/>
              </w:rPr>
              <w:t>Oblasť</w:t>
            </w:r>
          </w:p>
        </w:tc>
        <w:tc>
          <w:tcPr>
            <w:tcW w:w="4262" w:type="dxa"/>
            <w:tcBorders>
              <w:bottom w:val="single" w:sz="4" w:space="0" w:color="auto"/>
            </w:tcBorders>
            <w:shd w:val="clear" w:color="auto" w:fill="auto"/>
            <w:vAlign w:val="center"/>
          </w:tcPr>
          <w:p w:rsidR="00AA17E3" w:rsidRPr="00DE5DD6" w:rsidRDefault="00AA17E3" w:rsidP="00AA17E3">
            <w:pPr>
              <w:rPr>
                <w:rFonts w:ascii="Times New Roman" w:hAnsi="Times New Roman"/>
                <w:b/>
                <w:sz w:val="16"/>
              </w:rPr>
            </w:pPr>
            <w:r w:rsidRPr="00DE5DD6">
              <w:rPr>
                <w:rFonts w:ascii="Times New Roman" w:hAnsi="Times New Roman"/>
                <w:b/>
                <w:sz w:val="16"/>
              </w:rPr>
              <w:t>Indikátor</w:t>
            </w:r>
          </w:p>
        </w:tc>
        <w:tc>
          <w:tcPr>
            <w:tcW w:w="678" w:type="dxa"/>
            <w:tcBorders>
              <w:bottom w:val="single" w:sz="4" w:space="0" w:color="auto"/>
            </w:tcBorders>
            <w:shd w:val="clear" w:color="auto" w:fill="auto"/>
            <w:vAlign w:val="center"/>
          </w:tcPr>
          <w:p w:rsidR="00AA17E3" w:rsidRPr="00DE5DD6" w:rsidRDefault="00AA17E3" w:rsidP="00AA17E3">
            <w:pPr>
              <w:jc w:val="right"/>
              <w:rPr>
                <w:rFonts w:ascii="Times New Roman" w:hAnsi="Times New Roman"/>
                <w:b/>
                <w:sz w:val="16"/>
              </w:rPr>
            </w:pPr>
            <w:r w:rsidRPr="00DE5DD6">
              <w:rPr>
                <w:rFonts w:ascii="Times New Roman" w:hAnsi="Times New Roman"/>
                <w:b/>
                <w:sz w:val="16"/>
              </w:rPr>
              <w:t>2017</w:t>
            </w:r>
          </w:p>
        </w:tc>
        <w:tc>
          <w:tcPr>
            <w:tcW w:w="623" w:type="dxa"/>
            <w:tcBorders>
              <w:bottom w:val="single" w:sz="4" w:space="0" w:color="auto"/>
            </w:tcBorders>
            <w:shd w:val="clear" w:color="auto" w:fill="auto"/>
            <w:vAlign w:val="center"/>
          </w:tcPr>
          <w:p w:rsidR="00AA17E3" w:rsidRPr="00DE5DD6" w:rsidRDefault="00AA17E3" w:rsidP="00AA17E3">
            <w:pPr>
              <w:jc w:val="right"/>
              <w:rPr>
                <w:rFonts w:ascii="Times New Roman" w:hAnsi="Times New Roman"/>
                <w:b/>
                <w:sz w:val="16"/>
              </w:rPr>
            </w:pPr>
            <w:r w:rsidRPr="00DE5DD6">
              <w:rPr>
                <w:rFonts w:ascii="Times New Roman" w:hAnsi="Times New Roman"/>
                <w:b/>
                <w:sz w:val="16"/>
              </w:rPr>
              <w:t>2018</w:t>
            </w:r>
          </w:p>
        </w:tc>
        <w:tc>
          <w:tcPr>
            <w:tcW w:w="623" w:type="dxa"/>
            <w:tcBorders>
              <w:bottom w:val="single" w:sz="4" w:space="0" w:color="auto"/>
            </w:tcBorders>
            <w:shd w:val="clear" w:color="auto" w:fill="auto"/>
            <w:vAlign w:val="center"/>
          </w:tcPr>
          <w:p w:rsidR="00AA17E3" w:rsidRPr="00DE5DD6" w:rsidRDefault="00AA17E3" w:rsidP="00AA17E3">
            <w:pPr>
              <w:jc w:val="right"/>
              <w:rPr>
                <w:rFonts w:ascii="Times New Roman" w:hAnsi="Times New Roman"/>
                <w:b/>
                <w:sz w:val="16"/>
              </w:rPr>
            </w:pPr>
            <w:r w:rsidRPr="00DE5DD6">
              <w:rPr>
                <w:rFonts w:ascii="Times New Roman" w:hAnsi="Times New Roman"/>
                <w:b/>
                <w:sz w:val="16"/>
              </w:rPr>
              <w:t>2019</w:t>
            </w:r>
          </w:p>
        </w:tc>
        <w:tc>
          <w:tcPr>
            <w:tcW w:w="623" w:type="dxa"/>
            <w:tcBorders>
              <w:bottom w:val="single" w:sz="4" w:space="0" w:color="auto"/>
            </w:tcBorders>
            <w:shd w:val="clear" w:color="auto" w:fill="auto"/>
            <w:vAlign w:val="center"/>
          </w:tcPr>
          <w:p w:rsidR="00AA17E3" w:rsidRPr="004770DC" w:rsidRDefault="00AA17E3" w:rsidP="00AA17E3">
            <w:pPr>
              <w:jc w:val="right"/>
              <w:rPr>
                <w:rFonts w:ascii="Times New Roman" w:hAnsi="Times New Roman"/>
                <w:b/>
                <w:color w:val="000000" w:themeColor="text1"/>
                <w:sz w:val="16"/>
              </w:rPr>
            </w:pPr>
            <w:r>
              <w:rPr>
                <w:rFonts w:ascii="Times New Roman" w:hAnsi="Times New Roman"/>
                <w:b/>
                <w:color w:val="000000" w:themeColor="text1"/>
                <w:sz w:val="16"/>
              </w:rPr>
              <w:t xml:space="preserve">Cieľ </w:t>
            </w:r>
            <w:r w:rsidRPr="004770DC">
              <w:rPr>
                <w:rFonts w:ascii="Times New Roman" w:hAnsi="Times New Roman"/>
                <w:b/>
                <w:color w:val="000000" w:themeColor="text1"/>
                <w:sz w:val="16"/>
              </w:rPr>
              <w:t>2024</w:t>
            </w:r>
          </w:p>
        </w:tc>
        <w:tc>
          <w:tcPr>
            <w:tcW w:w="756" w:type="dxa"/>
            <w:tcBorders>
              <w:bottom w:val="single" w:sz="4" w:space="0" w:color="auto"/>
            </w:tcBorders>
            <w:shd w:val="clear" w:color="auto" w:fill="auto"/>
            <w:vAlign w:val="center"/>
          </w:tcPr>
          <w:p w:rsidR="00AA17E3" w:rsidRDefault="00AA17E3" w:rsidP="00AA17E3">
            <w:pPr>
              <w:jc w:val="right"/>
              <w:rPr>
                <w:rFonts w:ascii="Times New Roman" w:hAnsi="Times New Roman"/>
                <w:b/>
                <w:color w:val="000000" w:themeColor="text1"/>
                <w:sz w:val="16"/>
              </w:rPr>
            </w:pPr>
            <w:r>
              <w:rPr>
                <w:rFonts w:ascii="Times New Roman" w:hAnsi="Times New Roman"/>
                <w:b/>
                <w:color w:val="000000" w:themeColor="text1"/>
                <w:sz w:val="16"/>
              </w:rPr>
              <w:t>Cieľ</w:t>
            </w:r>
          </w:p>
          <w:p w:rsidR="00AA17E3" w:rsidRPr="004770DC" w:rsidRDefault="00AA17E3" w:rsidP="00AA17E3">
            <w:pPr>
              <w:jc w:val="right"/>
              <w:rPr>
                <w:rFonts w:ascii="Times New Roman" w:hAnsi="Times New Roman"/>
                <w:b/>
                <w:color w:val="000000" w:themeColor="text1"/>
                <w:sz w:val="16"/>
              </w:rPr>
            </w:pPr>
            <w:r w:rsidRPr="004770DC">
              <w:rPr>
                <w:rFonts w:ascii="Times New Roman" w:hAnsi="Times New Roman"/>
                <w:b/>
                <w:color w:val="000000" w:themeColor="text1"/>
                <w:sz w:val="16"/>
              </w:rPr>
              <w:t>2030</w:t>
            </w:r>
          </w:p>
        </w:tc>
      </w:tr>
      <w:tr w:rsidR="00AA17E3" w:rsidRPr="00DE5DD6" w:rsidTr="00414428">
        <w:trPr>
          <w:trHeight w:val="361"/>
        </w:trPr>
        <w:tc>
          <w:tcPr>
            <w:tcW w:w="1544" w:type="dxa"/>
            <w:tcBorders>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Železnice</w:t>
            </w:r>
          </w:p>
        </w:tc>
        <w:tc>
          <w:tcPr>
            <w:tcW w:w="4262" w:type="dxa"/>
            <w:tcBorders>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Využitie železničnej dopravy</w:t>
            </w:r>
          </w:p>
          <w:p w:rsidR="00AA17E3" w:rsidRPr="00DE5DD6" w:rsidRDefault="00AA17E3" w:rsidP="00AA17E3">
            <w:pPr>
              <w:rPr>
                <w:rFonts w:ascii="Times New Roman" w:hAnsi="Times New Roman"/>
                <w:sz w:val="16"/>
                <w:szCs w:val="20"/>
              </w:rPr>
            </w:pPr>
            <w:r w:rsidRPr="00DE5DD6">
              <w:rPr>
                <w:rFonts w:ascii="Times New Roman" w:hAnsi="Times New Roman"/>
                <w:sz w:val="16"/>
                <w:szCs w:val="20"/>
              </w:rPr>
              <w:t>(km najazdené vlakom / obyvateľ)</w:t>
            </w:r>
          </w:p>
        </w:tc>
        <w:tc>
          <w:tcPr>
            <w:tcW w:w="678" w:type="dxa"/>
            <w:tcBorders>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690</w:t>
            </w:r>
          </w:p>
        </w:tc>
        <w:tc>
          <w:tcPr>
            <w:tcW w:w="623" w:type="dxa"/>
            <w:tcBorders>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696</w:t>
            </w:r>
          </w:p>
        </w:tc>
        <w:tc>
          <w:tcPr>
            <w:tcW w:w="623" w:type="dxa"/>
            <w:tcBorders>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726</w:t>
            </w:r>
          </w:p>
        </w:tc>
        <w:tc>
          <w:tcPr>
            <w:tcW w:w="623" w:type="dxa"/>
            <w:tcBorders>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847</w:t>
            </w:r>
          </w:p>
        </w:tc>
        <w:tc>
          <w:tcPr>
            <w:tcW w:w="756" w:type="dxa"/>
            <w:tcBorders>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1065</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Cesty</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 xml:space="preserve">Počet úmrtí v cestnej doprave </w:t>
            </w:r>
          </w:p>
          <w:p w:rsidR="00AA17E3" w:rsidRPr="00DE5DD6" w:rsidRDefault="00AA17E3" w:rsidP="00AA17E3">
            <w:pPr>
              <w:rPr>
                <w:rFonts w:ascii="Times New Roman" w:hAnsi="Times New Roman"/>
                <w:sz w:val="16"/>
                <w:szCs w:val="20"/>
              </w:rPr>
            </w:pPr>
            <w:r w:rsidRPr="00DE5DD6">
              <w:rPr>
                <w:rFonts w:ascii="Times New Roman" w:hAnsi="Times New Roman"/>
                <w:sz w:val="16"/>
                <w:szCs w:val="20"/>
              </w:rPr>
              <w:t>(počet osôb)</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250</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229</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245</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179</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112</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Cesty</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Podiel ciest 1. triedy v nevyhovujúcom alebo havarijnom stave (%)</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39,4</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40,8</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40,7</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30,5</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17,5</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Environmentálne aspekty dopravy</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Podiel verejnej osobnej dopravy na celkovom počte prepravených osôb vo vnútroštátnej a medzinárodnej doprave (%)</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25,6</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26,1</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26,2</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26</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26</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Environmentálne aspekty dopravy</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Emisie znečisťovateľov z dopravy</w:t>
            </w:r>
          </w:p>
          <w:p w:rsidR="00AA17E3" w:rsidRPr="00DE5DD6" w:rsidRDefault="00AA17E3" w:rsidP="00AA17E3">
            <w:pPr>
              <w:rPr>
                <w:rFonts w:ascii="Times New Roman" w:hAnsi="Times New Roman"/>
                <w:sz w:val="16"/>
                <w:szCs w:val="20"/>
              </w:rPr>
            </w:pPr>
            <w:r w:rsidRPr="00DE5DD6">
              <w:rPr>
                <w:rFonts w:ascii="Times New Roman" w:hAnsi="Times New Roman"/>
                <w:sz w:val="16"/>
                <w:szCs w:val="20"/>
              </w:rPr>
              <w:t>(% hodnoty roku 2000, NOx)</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73,4</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74,2</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x</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63</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59</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Bývanie</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Podiel populácie žijúcej v podnájme za zníženú alebo nulovú hodnotu</w:t>
            </w:r>
            <w:r w:rsidRPr="00DE5DD6">
              <w:rPr>
                <w:rStyle w:val="Odkaznapoznmkupodiarou"/>
                <w:rFonts w:ascii="Times New Roman" w:hAnsi="Times New Roman"/>
                <w:sz w:val="16"/>
                <w:szCs w:val="20"/>
              </w:rPr>
              <w:footnoteReference w:id="44"/>
            </w:r>
            <w:r w:rsidRPr="00DE5DD6">
              <w:rPr>
                <w:rFonts w:ascii="Times New Roman" w:hAnsi="Times New Roman"/>
                <w:sz w:val="16"/>
                <w:szCs w:val="20"/>
              </w:rPr>
              <w:t xml:space="preserve"> (% populácie)</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1,5</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1,2</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1,4</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1,8</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4,2</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Bývanie</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Výdavky domácnosti súvisiace s bývaním</w:t>
            </w:r>
            <w:r w:rsidRPr="00DE5DD6">
              <w:rPr>
                <w:rStyle w:val="Odkaznapoznmkupodiarou"/>
                <w:rFonts w:ascii="Times New Roman" w:hAnsi="Times New Roman"/>
                <w:sz w:val="16"/>
                <w:szCs w:val="20"/>
              </w:rPr>
              <w:footnoteReference w:id="45"/>
            </w:r>
            <w:r w:rsidRPr="00DE5DD6">
              <w:rPr>
                <w:rFonts w:ascii="Times New Roman" w:hAnsi="Times New Roman"/>
                <w:sz w:val="16"/>
                <w:szCs w:val="20"/>
              </w:rPr>
              <w:t xml:space="preserve"> </w:t>
            </w:r>
          </w:p>
          <w:p w:rsidR="00AA17E3" w:rsidRPr="00DE5DD6" w:rsidRDefault="00AA17E3" w:rsidP="00AA17E3">
            <w:pPr>
              <w:rPr>
                <w:rFonts w:ascii="Times New Roman" w:hAnsi="Times New Roman"/>
                <w:sz w:val="16"/>
                <w:szCs w:val="20"/>
              </w:rPr>
            </w:pPr>
            <w:r w:rsidRPr="00DE5DD6">
              <w:rPr>
                <w:rFonts w:ascii="Times New Roman" w:hAnsi="Times New Roman"/>
                <w:sz w:val="16"/>
                <w:szCs w:val="20"/>
              </w:rPr>
              <w:t>(% z celkových výdavkov domácností)</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28,5</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28,2</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28,4</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29,7</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27,9</w:t>
            </w:r>
          </w:p>
        </w:tc>
      </w:tr>
      <w:tr w:rsidR="00AA17E3" w:rsidRPr="00DE5DD6" w:rsidTr="00414428">
        <w:trPr>
          <w:trHeight w:val="361"/>
        </w:trPr>
        <w:tc>
          <w:tcPr>
            <w:tcW w:w="1544"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Bývanie</w:t>
            </w:r>
          </w:p>
        </w:tc>
        <w:tc>
          <w:tcPr>
            <w:tcW w:w="4262" w:type="dxa"/>
            <w:tcBorders>
              <w:top w:val="nil"/>
              <w:bottom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Počet bytov na 1 000 obyvateľov*</w:t>
            </w:r>
          </w:p>
        </w:tc>
        <w:tc>
          <w:tcPr>
            <w:tcW w:w="678"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375</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378</w:t>
            </w:r>
          </w:p>
        </w:tc>
        <w:tc>
          <w:tcPr>
            <w:tcW w:w="623" w:type="dxa"/>
            <w:tcBorders>
              <w:top w:val="nil"/>
              <w:bottom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381</w:t>
            </w:r>
          </w:p>
        </w:tc>
        <w:tc>
          <w:tcPr>
            <w:tcW w:w="623"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TBD</w:t>
            </w:r>
          </w:p>
        </w:tc>
        <w:tc>
          <w:tcPr>
            <w:tcW w:w="756" w:type="dxa"/>
            <w:tcBorders>
              <w:top w:val="nil"/>
              <w:bottom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TBD</w:t>
            </w:r>
          </w:p>
        </w:tc>
      </w:tr>
      <w:tr w:rsidR="00AA17E3" w:rsidRPr="00DE5DD6" w:rsidTr="00414428">
        <w:trPr>
          <w:trHeight w:val="361"/>
        </w:trPr>
        <w:tc>
          <w:tcPr>
            <w:tcW w:w="1544" w:type="dxa"/>
            <w:tcBorders>
              <w:top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Cestovný ruch</w:t>
            </w:r>
          </w:p>
        </w:tc>
        <w:tc>
          <w:tcPr>
            <w:tcW w:w="4262" w:type="dxa"/>
            <w:tcBorders>
              <w:top w:val="nil"/>
            </w:tcBorders>
            <w:vAlign w:val="center"/>
          </w:tcPr>
          <w:p w:rsidR="00AA17E3" w:rsidRPr="00DE5DD6" w:rsidRDefault="00AA17E3" w:rsidP="00AA17E3">
            <w:pPr>
              <w:rPr>
                <w:rFonts w:ascii="Times New Roman" w:hAnsi="Times New Roman"/>
                <w:sz w:val="16"/>
                <w:szCs w:val="20"/>
              </w:rPr>
            </w:pPr>
            <w:r w:rsidRPr="00DE5DD6">
              <w:rPr>
                <w:rFonts w:ascii="Times New Roman" w:hAnsi="Times New Roman"/>
                <w:sz w:val="16"/>
                <w:szCs w:val="20"/>
              </w:rPr>
              <w:t>Počet prenocovaní zahraničných turistov na Slovensku (mil.)</w:t>
            </w:r>
          </w:p>
        </w:tc>
        <w:tc>
          <w:tcPr>
            <w:tcW w:w="678" w:type="dxa"/>
            <w:tcBorders>
              <w:top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5,4</w:t>
            </w:r>
          </w:p>
        </w:tc>
        <w:tc>
          <w:tcPr>
            <w:tcW w:w="623" w:type="dxa"/>
            <w:tcBorders>
              <w:top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5,7</w:t>
            </w:r>
          </w:p>
        </w:tc>
        <w:tc>
          <w:tcPr>
            <w:tcW w:w="623" w:type="dxa"/>
            <w:tcBorders>
              <w:top w:val="nil"/>
            </w:tcBorders>
            <w:vAlign w:val="center"/>
          </w:tcPr>
          <w:p w:rsidR="00AA17E3" w:rsidRPr="00DE5DD6" w:rsidRDefault="00AA17E3" w:rsidP="00AA17E3">
            <w:pPr>
              <w:jc w:val="right"/>
              <w:rPr>
                <w:rFonts w:ascii="Times New Roman" w:hAnsi="Times New Roman"/>
                <w:sz w:val="16"/>
              </w:rPr>
            </w:pPr>
            <w:r w:rsidRPr="00DE5DD6">
              <w:rPr>
                <w:rFonts w:ascii="Times New Roman" w:hAnsi="Times New Roman"/>
                <w:sz w:val="16"/>
              </w:rPr>
              <w:t>6,3</w:t>
            </w:r>
          </w:p>
        </w:tc>
        <w:tc>
          <w:tcPr>
            <w:tcW w:w="623" w:type="dxa"/>
            <w:tcBorders>
              <w:top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6,7</w:t>
            </w:r>
          </w:p>
        </w:tc>
        <w:tc>
          <w:tcPr>
            <w:tcW w:w="756" w:type="dxa"/>
            <w:tcBorders>
              <w:top w:val="nil"/>
            </w:tcBorders>
            <w:vAlign w:val="center"/>
          </w:tcPr>
          <w:p w:rsidR="00AA17E3" w:rsidRPr="00942F36" w:rsidRDefault="00AA17E3" w:rsidP="00AA17E3">
            <w:pPr>
              <w:jc w:val="right"/>
              <w:rPr>
                <w:rFonts w:ascii="Times New Roman" w:hAnsi="Times New Roman"/>
                <w:color w:val="000000" w:themeColor="text1"/>
                <w:sz w:val="16"/>
              </w:rPr>
            </w:pPr>
            <w:r w:rsidRPr="00942F36">
              <w:rPr>
                <w:rFonts w:ascii="Times New Roman" w:hAnsi="Times New Roman"/>
                <w:color w:val="000000" w:themeColor="text1"/>
                <w:sz w:val="16"/>
              </w:rPr>
              <w:t>8,2</w:t>
            </w:r>
          </w:p>
        </w:tc>
      </w:tr>
    </w:tbl>
    <w:p w:rsidR="00AA17E3" w:rsidRPr="00ED32A4" w:rsidRDefault="00AA17E3" w:rsidP="00AA17E3">
      <w:pPr>
        <w:spacing w:after="0" w:line="240" w:lineRule="auto"/>
        <w:jc w:val="right"/>
        <w:rPr>
          <w:rFonts w:ascii="Times New Roman" w:hAnsi="Times New Roman" w:cs="Times New Roman"/>
          <w:bCs/>
          <w:i/>
          <w:color w:val="FF0000"/>
          <w:sz w:val="16"/>
          <w:szCs w:val="16"/>
        </w:rPr>
      </w:pPr>
      <w:r w:rsidRPr="00F811D0">
        <w:rPr>
          <w:rFonts w:ascii="Times New Roman" w:hAnsi="Times New Roman" w:cs="Times New Roman"/>
          <w:bCs/>
          <w:i/>
          <w:color w:val="000000" w:themeColor="text1"/>
          <w:sz w:val="16"/>
          <w:szCs w:val="16"/>
        </w:rPr>
        <w:t>Zdroj:</w:t>
      </w:r>
      <w:r>
        <w:rPr>
          <w:rFonts w:ascii="Times New Roman" w:hAnsi="Times New Roman" w:cs="Times New Roman"/>
          <w:bCs/>
          <w:i/>
          <w:color w:val="000000" w:themeColor="text1"/>
          <w:sz w:val="16"/>
          <w:szCs w:val="16"/>
        </w:rPr>
        <w:t xml:space="preserve"> </w:t>
      </w:r>
      <w:r w:rsidRPr="00F811D0">
        <w:rPr>
          <w:rFonts w:ascii="Times New Roman" w:hAnsi="Times New Roman" w:cs="Times New Roman"/>
          <w:bCs/>
          <w:i/>
          <w:color w:val="000000" w:themeColor="text1"/>
          <w:sz w:val="16"/>
          <w:szCs w:val="16"/>
        </w:rPr>
        <w:t>MF SR, MDV SR</w:t>
      </w:r>
      <w:r w:rsidRPr="00ED32A4">
        <w:rPr>
          <w:rFonts w:ascii="Times New Roman" w:hAnsi="Times New Roman" w:cs="Times New Roman"/>
          <w:bCs/>
          <w:i/>
          <w:color w:val="FF0000"/>
          <w:sz w:val="16"/>
          <w:szCs w:val="16"/>
        </w:rPr>
        <w:t xml:space="preserve"> </w:t>
      </w:r>
    </w:p>
    <w:bookmarkEnd w:id="253"/>
    <w:p w:rsidR="00AA17E3" w:rsidRPr="00AE6989" w:rsidRDefault="00AA17E3" w:rsidP="00AA17E3">
      <w:pPr>
        <w:spacing w:after="0" w:line="240" w:lineRule="auto"/>
        <w:rPr>
          <w:rFonts w:ascii="Times New Roman" w:hAnsi="Times New Roman" w:cs="Times New Roman"/>
          <w:bCs/>
          <w:sz w:val="24"/>
        </w:rPr>
      </w:pPr>
      <w:r>
        <w:rPr>
          <w:rFonts w:ascii="Times New Roman" w:hAnsi="Times New Roman" w:cs="Times New Roman"/>
          <w:b/>
          <w:color w:val="1F4E79" w:themeColor="accent1" w:themeShade="80"/>
          <w:u w:val="single"/>
        </w:rPr>
        <w:t xml:space="preserve">                           </w:t>
      </w:r>
      <w:r>
        <w:rPr>
          <w:rFonts w:ascii="Times New Roman" w:hAnsi="Times New Roman" w:cs="Times New Roman"/>
          <w:bCs/>
          <w:sz w:val="24"/>
        </w:rPr>
        <w:t xml:space="preserve">                                                                                                                                     </w:t>
      </w:r>
    </w:p>
    <w:p w:rsidR="00AA17E3" w:rsidRPr="000010E0" w:rsidRDefault="00AA17E3" w:rsidP="00AA17E3">
      <w:pPr>
        <w:spacing w:after="0"/>
        <w:jc w:val="both"/>
        <w:rPr>
          <w:rFonts w:ascii="Times New Roman" w:hAnsi="Times New Roman"/>
          <w:sz w:val="24"/>
        </w:rPr>
      </w:pPr>
      <w:r w:rsidRPr="000010E0">
        <w:rPr>
          <w:rFonts w:ascii="Times New Roman" w:hAnsi="Times New Roman"/>
          <w:sz w:val="24"/>
        </w:rPr>
        <w:t xml:space="preserve">Podiel verejnej osobnej dopravy na celkovej preprave osôb stagnuje napriek zvýšením investíciám. Verejnej doprave chýba ucelený plán dopravnej obslužnosti, ktorý by integroval autobusovú, vlakovú a mestskú hromadnú dopravu. Na Slovensku naďalej prebieha trend nárastu počtu automobilov na obyvateľa. Pokračovanie tohto trendu bez reformy verejnej osobnej dopravy povedie k ďalšiemu poklesu jej relatívneho zastúpenia. </w:t>
      </w:r>
    </w:p>
    <w:p w:rsidR="00AA17E3" w:rsidRPr="000010E0" w:rsidRDefault="00AA17E3" w:rsidP="00AA17E3">
      <w:pPr>
        <w:spacing w:after="0"/>
        <w:jc w:val="both"/>
        <w:rPr>
          <w:rFonts w:ascii="Times New Roman" w:hAnsi="Times New Roman" w:cs="Times New Roman"/>
          <w:sz w:val="24"/>
        </w:rPr>
      </w:pPr>
    </w:p>
    <w:p w:rsidR="00AA17E3" w:rsidRPr="000010E0" w:rsidRDefault="00AA17E3" w:rsidP="00AA17E3">
      <w:pPr>
        <w:spacing w:after="0"/>
        <w:jc w:val="both"/>
        <w:rPr>
          <w:rFonts w:ascii="Times New Roman" w:hAnsi="Times New Roman" w:cs="Times New Roman"/>
          <w:sz w:val="24"/>
        </w:rPr>
      </w:pPr>
      <w:r w:rsidRPr="000010E0">
        <w:rPr>
          <w:rFonts w:ascii="Times New Roman" w:hAnsi="Times New Roman" w:cs="Times New Roman"/>
          <w:sz w:val="24"/>
        </w:rPr>
        <w:t xml:space="preserve">Slovensko dosahuje v intenzite využívania osobnej železničnej dopravy priemerné hodnoty EÚ. Vzhľadom na hustú železničnú sieť má Slovensko potenciál zvýšiť počet najazdených kilometrov na obyvateľa na úroveň približne </w:t>
      </w:r>
      <w:r>
        <w:rPr>
          <w:rFonts w:ascii="Times New Roman" w:hAnsi="Times New Roman" w:cs="Times New Roman"/>
          <w:sz w:val="24"/>
        </w:rPr>
        <w:t>1 0</w:t>
      </w:r>
      <w:r w:rsidRPr="006A53AB">
        <w:rPr>
          <w:rFonts w:ascii="Times New Roman" w:hAnsi="Times New Roman" w:cs="Times New Roman"/>
          <w:sz w:val="24"/>
        </w:rPr>
        <w:t xml:space="preserve">00 km ročne. </w:t>
      </w:r>
    </w:p>
    <w:p w:rsidR="00AA17E3" w:rsidRDefault="00AA17E3" w:rsidP="00AA17E3">
      <w:pPr>
        <w:spacing w:after="0"/>
        <w:jc w:val="both"/>
        <w:rPr>
          <w:rFonts w:ascii="Times New Roman" w:hAnsi="Times New Roman"/>
          <w:sz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222"/>
        <w:gridCol w:w="4482"/>
      </w:tblGrid>
      <w:tr w:rsidR="00AA17E3" w:rsidRPr="000010E0" w:rsidTr="00AA17E3">
        <w:tc>
          <w:tcPr>
            <w:tcW w:w="4363" w:type="dxa"/>
            <w:tcBorders>
              <w:bottom w:val="single" w:sz="4" w:space="0" w:color="auto"/>
            </w:tcBorders>
          </w:tcPr>
          <w:p w:rsidR="00AA17E3" w:rsidRPr="00EB5271" w:rsidRDefault="00AA17E3" w:rsidP="00AA17E3">
            <w:pPr>
              <w:keepNext/>
              <w:keepLines/>
              <w:jc w:val="both"/>
              <w:rPr>
                <w:rFonts w:ascii="Times New Roman" w:hAnsi="Times New Roman"/>
                <w:sz w:val="24"/>
              </w:rPr>
            </w:pPr>
            <w:bookmarkStart w:id="256" w:name="_Toc84528525"/>
            <w:bookmarkStart w:id="257" w:name="_Toc84848016"/>
            <w:r w:rsidRPr="006B209A">
              <w:rPr>
                <w:rFonts w:ascii="Times New Roman" w:hAnsi="Times New Roman"/>
                <w:b/>
                <w:iCs/>
                <w:color w:val="5B9BD5" w:themeColor="accent1"/>
                <w:sz w:val="20"/>
                <w:szCs w:val="20"/>
              </w:rPr>
              <w:t xml:space="preserve">Graf </w:t>
            </w:r>
            <w:r w:rsidRPr="006B209A">
              <w:rPr>
                <w:rFonts w:ascii="Times New Roman" w:hAnsi="Times New Roman"/>
                <w:b/>
                <w:iCs/>
                <w:color w:val="5B9BD5" w:themeColor="accent1"/>
                <w:sz w:val="20"/>
                <w:szCs w:val="20"/>
              </w:rPr>
              <w:fldChar w:fldCharType="begin"/>
            </w:r>
            <w:r w:rsidRPr="006B209A">
              <w:rPr>
                <w:rFonts w:ascii="Times New Roman" w:hAnsi="Times New Roman"/>
                <w:b/>
                <w:iCs/>
                <w:color w:val="5B9BD5" w:themeColor="accent1"/>
                <w:sz w:val="20"/>
                <w:szCs w:val="20"/>
              </w:rPr>
              <w:instrText xml:space="preserve"> SEQ Obrázok \* ARABIC </w:instrText>
            </w:r>
            <w:r w:rsidRPr="006B209A">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25</w:t>
            </w:r>
            <w:r w:rsidRPr="006B209A">
              <w:rPr>
                <w:rFonts w:ascii="Times New Roman" w:hAnsi="Times New Roman"/>
                <w:b/>
                <w:iCs/>
                <w:color w:val="5B9BD5" w:themeColor="accent1"/>
                <w:sz w:val="20"/>
                <w:szCs w:val="20"/>
              </w:rPr>
              <w:fldChar w:fldCharType="end"/>
            </w:r>
            <w:r w:rsidR="00804037">
              <w:rPr>
                <w:rFonts w:ascii="Times New Roman" w:hAnsi="Times New Roman"/>
                <w:b/>
                <w:iCs/>
                <w:color w:val="5B9BD5" w:themeColor="accent1"/>
                <w:sz w:val="20"/>
                <w:szCs w:val="20"/>
              </w:rPr>
              <w:t xml:space="preserve"> -</w:t>
            </w:r>
            <w:r w:rsidRPr="00EB5271">
              <w:rPr>
                <w:rFonts w:ascii="Times New Roman" w:hAnsi="Times New Roman"/>
                <w:b/>
                <w:iCs/>
                <w:color w:val="5B9BD5" w:themeColor="accent1"/>
                <w:sz w:val="20"/>
                <w:szCs w:val="20"/>
              </w:rPr>
              <w:t xml:space="preserve"> Kilometre najazdené vlakom ročne na </w:t>
            </w:r>
            <w:r w:rsidRPr="00EB5271">
              <w:rPr>
                <w:rFonts w:ascii="Times New Roman" w:eastAsiaTheme="minorHAnsi" w:hAnsi="Times New Roman"/>
                <w:b/>
                <w:iCs/>
                <w:color w:val="5B9BD5" w:themeColor="accent1"/>
                <w:sz w:val="20"/>
                <w:szCs w:val="20"/>
              </w:rPr>
              <w:t xml:space="preserve">jedného </w:t>
            </w:r>
            <w:r w:rsidRPr="00EB5271">
              <w:rPr>
                <w:rFonts w:ascii="Times New Roman" w:hAnsi="Times New Roman"/>
                <w:b/>
                <w:iCs/>
                <w:color w:val="5B9BD5" w:themeColor="accent1"/>
                <w:sz w:val="20"/>
                <w:szCs w:val="20"/>
              </w:rPr>
              <w:t>obyvateľa</w:t>
            </w:r>
            <w:bookmarkEnd w:id="256"/>
            <w:bookmarkEnd w:id="257"/>
          </w:p>
        </w:tc>
        <w:tc>
          <w:tcPr>
            <w:tcW w:w="222" w:type="dxa"/>
            <w:tcBorders>
              <w:bottom w:val="single" w:sz="4" w:space="0" w:color="auto"/>
            </w:tcBorders>
          </w:tcPr>
          <w:p w:rsidR="00AA17E3" w:rsidRPr="00EB5271" w:rsidRDefault="00AA17E3" w:rsidP="00AA17E3">
            <w:pPr>
              <w:keepNext/>
              <w:keepLines/>
              <w:jc w:val="both"/>
              <w:rPr>
                <w:rFonts w:ascii="Times New Roman" w:hAnsi="Times New Roman"/>
                <w:sz w:val="24"/>
              </w:rPr>
            </w:pPr>
          </w:p>
        </w:tc>
        <w:tc>
          <w:tcPr>
            <w:tcW w:w="4477" w:type="dxa"/>
            <w:tcBorders>
              <w:bottom w:val="single" w:sz="4" w:space="0" w:color="auto"/>
            </w:tcBorders>
          </w:tcPr>
          <w:p w:rsidR="00AA17E3" w:rsidRPr="00EB5271" w:rsidRDefault="00AA17E3" w:rsidP="00AA17E3">
            <w:pPr>
              <w:keepNext/>
              <w:keepLines/>
              <w:jc w:val="both"/>
              <w:rPr>
                <w:rFonts w:ascii="Times New Roman" w:hAnsi="Times New Roman"/>
                <w:sz w:val="24"/>
              </w:rPr>
            </w:pPr>
            <w:bookmarkStart w:id="258" w:name="_Toc84528526"/>
            <w:bookmarkStart w:id="259" w:name="_Toc84848017"/>
            <w:r w:rsidRPr="006B209A">
              <w:rPr>
                <w:rFonts w:ascii="Times New Roman" w:hAnsi="Times New Roman"/>
                <w:b/>
                <w:iCs/>
                <w:color w:val="5B9BD5" w:themeColor="accent1"/>
                <w:sz w:val="20"/>
                <w:szCs w:val="20"/>
              </w:rPr>
              <w:t xml:space="preserve">Graf </w:t>
            </w:r>
            <w:r w:rsidRPr="006B209A">
              <w:rPr>
                <w:rFonts w:ascii="Times New Roman" w:hAnsi="Times New Roman"/>
                <w:b/>
                <w:iCs/>
                <w:color w:val="5B9BD5" w:themeColor="accent1"/>
                <w:sz w:val="20"/>
                <w:szCs w:val="20"/>
              </w:rPr>
              <w:fldChar w:fldCharType="begin"/>
            </w:r>
            <w:r w:rsidRPr="006B209A">
              <w:rPr>
                <w:rFonts w:ascii="Times New Roman" w:hAnsi="Times New Roman"/>
                <w:b/>
                <w:iCs/>
                <w:color w:val="5B9BD5" w:themeColor="accent1"/>
                <w:sz w:val="20"/>
                <w:szCs w:val="20"/>
              </w:rPr>
              <w:instrText xml:space="preserve"> SEQ Obrázok \* ARABIC </w:instrText>
            </w:r>
            <w:r w:rsidRPr="006B209A">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26</w:t>
            </w:r>
            <w:r w:rsidRPr="006B209A">
              <w:rPr>
                <w:rFonts w:ascii="Times New Roman" w:hAnsi="Times New Roman"/>
                <w:b/>
                <w:iCs/>
                <w:color w:val="5B9BD5" w:themeColor="accent1"/>
                <w:sz w:val="20"/>
                <w:szCs w:val="20"/>
              </w:rPr>
              <w:fldChar w:fldCharType="end"/>
            </w:r>
            <w:r w:rsidR="00804037">
              <w:rPr>
                <w:rFonts w:ascii="Times New Roman" w:hAnsi="Times New Roman"/>
                <w:b/>
                <w:color w:val="5B9BD5" w:themeColor="accent1"/>
                <w:sz w:val="20"/>
                <w:szCs w:val="20"/>
              </w:rPr>
              <w:t xml:space="preserve"> -</w:t>
            </w:r>
            <w:r w:rsidRPr="00EB5271">
              <w:rPr>
                <w:rFonts w:ascii="Times New Roman" w:hAnsi="Times New Roman"/>
                <w:b/>
                <w:color w:val="5B9BD5" w:themeColor="accent1"/>
                <w:sz w:val="20"/>
                <w:szCs w:val="20"/>
              </w:rPr>
              <w:t xml:space="preserve"> Stav ciest I. triedy</w:t>
            </w:r>
            <w:bookmarkEnd w:id="258"/>
            <w:bookmarkEnd w:id="259"/>
          </w:p>
        </w:tc>
      </w:tr>
      <w:tr w:rsidR="00AA17E3" w:rsidRPr="000010E0" w:rsidTr="00AA17E3">
        <w:tc>
          <w:tcPr>
            <w:tcW w:w="4363" w:type="dxa"/>
            <w:tcBorders>
              <w:top w:val="single" w:sz="4" w:space="0" w:color="auto"/>
              <w:bottom w:val="single" w:sz="4" w:space="0" w:color="auto"/>
            </w:tcBorders>
          </w:tcPr>
          <w:p w:rsidR="00AA17E3" w:rsidRPr="000010E0" w:rsidRDefault="00AA17E3" w:rsidP="00AA17E3">
            <w:pPr>
              <w:keepNext/>
              <w:keepLines/>
              <w:jc w:val="both"/>
              <w:rPr>
                <w:rFonts w:ascii="Times New Roman" w:hAnsi="Times New Roman"/>
                <w:sz w:val="24"/>
              </w:rPr>
            </w:pPr>
            <w:r w:rsidRPr="000010E0">
              <w:rPr>
                <w:noProof/>
                <w:lang w:eastAsia="sk-SK"/>
              </w:rPr>
              <w:drawing>
                <wp:inline distT="0" distB="0" distL="0" distR="0" wp14:anchorId="0FDB35B0" wp14:editId="67A75E01">
                  <wp:extent cx="2762250" cy="2486025"/>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22" w:type="dxa"/>
            <w:tcBorders>
              <w:top w:val="single" w:sz="4" w:space="0" w:color="auto"/>
              <w:bottom w:val="single" w:sz="4" w:space="0" w:color="auto"/>
            </w:tcBorders>
          </w:tcPr>
          <w:p w:rsidR="00AA17E3" w:rsidRPr="000010E0" w:rsidRDefault="00AA17E3" w:rsidP="00AA17E3">
            <w:pPr>
              <w:keepNext/>
              <w:keepLines/>
              <w:jc w:val="both"/>
              <w:rPr>
                <w:rFonts w:ascii="Times New Roman" w:hAnsi="Times New Roman"/>
                <w:sz w:val="24"/>
              </w:rPr>
            </w:pPr>
          </w:p>
        </w:tc>
        <w:tc>
          <w:tcPr>
            <w:tcW w:w="4477" w:type="dxa"/>
            <w:tcBorders>
              <w:top w:val="single" w:sz="4" w:space="0" w:color="auto"/>
              <w:bottom w:val="single" w:sz="4" w:space="0" w:color="auto"/>
            </w:tcBorders>
          </w:tcPr>
          <w:p w:rsidR="00AA17E3" w:rsidRPr="000010E0" w:rsidRDefault="00AA17E3" w:rsidP="00AA17E3">
            <w:pPr>
              <w:keepNext/>
              <w:keepLines/>
              <w:jc w:val="both"/>
              <w:rPr>
                <w:rFonts w:asciiTheme="majorBidi" w:hAnsiTheme="majorBidi" w:cstheme="majorBidi"/>
                <w:sz w:val="24"/>
              </w:rPr>
            </w:pPr>
            <w:r w:rsidRPr="000010E0">
              <w:rPr>
                <w:rFonts w:asciiTheme="majorBidi" w:hAnsiTheme="majorBidi" w:cstheme="majorBidi"/>
                <w:noProof/>
                <w:lang w:eastAsia="sk-SK"/>
              </w:rPr>
              <w:drawing>
                <wp:inline distT="0" distB="0" distL="0" distR="0" wp14:anchorId="1ACE27A1" wp14:editId="71D3081A">
                  <wp:extent cx="2838450" cy="24384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AA17E3" w:rsidRPr="000010E0" w:rsidTr="00AA17E3">
        <w:tc>
          <w:tcPr>
            <w:tcW w:w="4363" w:type="dxa"/>
            <w:tcBorders>
              <w:top w:val="single" w:sz="4" w:space="0" w:color="auto"/>
            </w:tcBorders>
          </w:tcPr>
          <w:p w:rsidR="00AA17E3" w:rsidRPr="000010E0" w:rsidRDefault="00AA17E3" w:rsidP="00AA17E3">
            <w:pPr>
              <w:keepNext/>
              <w:keepLines/>
              <w:jc w:val="right"/>
              <w:rPr>
                <w:rFonts w:ascii="Times New Roman" w:hAnsi="Times New Roman"/>
                <w:sz w:val="24"/>
              </w:rPr>
            </w:pPr>
            <w:r w:rsidRPr="000010E0">
              <w:rPr>
                <w:rFonts w:ascii="Times New Roman" w:hAnsi="Times New Roman"/>
                <w:bCs/>
                <w:i/>
                <w:sz w:val="16"/>
              </w:rPr>
              <w:t>Zdroj: Eurostat</w:t>
            </w:r>
          </w:p>
        </w:tc>
        <w:tc>
          <w:tcPr>
            <w:tcW w:w="222" w:type="dxa"/>
            <w:tcBorders>
              <w:top w:val="single" w:sz="4" w:space="0" w:color="auto"/>
            </w:tcBorders>
          </w:tcPr>
          <w:p w:rsidR="00AA17E3" w:rsidRPr="000010E0" w:rsidRDefault="00AA17E3" w:rsidP="00AA17E3">
            <w:pPr>
              <w:keepNext/>
              <w:keepLines/>
              <w:jc w:val="right"/>
              <w:rPr>
                <w:rFonts w:ascii="Times New Roman" w:hAnsi="Times New Roman"/>
                <w:sz w:val="24"/>
              </w:rPr>
            </w:pPr>
          </w:p>
        </w:tc>
        <w:tc>
          <w:tcPr>
            <w:tcW w:w="4477" w:type="dxa"/>
            <w:tcBorders>
              <w:top w:val="single" w:sz="4" w:space="0" w:color="auto"/>
            </w:tcBorders>
          </w:tcPr>
          <w:p w:rsidR="00AA17E3" w:rsidRPr="000010E0" w:rsidRDefault="00AA17E3" w:rsidP="00AA17E3">
            <w:pPr>
              <w:keepNext/>
              <w:keepLines/>
              <w:jc w:val="right"/>
              <w:rPr>
                <w:rFonts w:ascii="Times New Roman" w:hAnsi="Times New Roman"/>
                <w:sz w:val="24"/>
              </w:rPr>
            </w:pPr>
            <w:r w:rsidRPr="000010E0">
              <w:rPr>
                <w:rFonts w:ascii="Times New Roman" w:hAnsi="Times New Roman"/>
                <w:bCs/>
                <w:i/>
                <w:sz w:val="16"/>
              </w:rPr>
              <w:t>Zdroj: SSC</w:t>
            </w:r>
          </w:p>
        </w:tc>
      </w:tr>
    </w:tbl>
    <w:p w:rsidR="00AA17E3" w:rsidRPr="000010E0" w:rsidRDefault="00AA17E3" w:rsidP="00AA17E3">
      <w:pPr>
        <w:spacing w:after="0"/>
        <w:jc w:val="both"/>
        <w:rPr>
          <w:rFonts w:ascii="Times New Roman" w:hAnsi="Times New Roman"/>
          <w:sz w:val="24"/>
        </w:rPr>
      </w:pPr>
    </w:p>
    <w:p w:rsidR="00AA17E3" w:rsidRPr="000010E0" w:rsidRDefault="00AA17E3" w:rsidP="00AA17E3">
      <w:pPr>
        <w:spacing w:after="0"/>
        <w:jc w:val="both"/>
        <w:rPr>
          <w:rFonts w:ascii="Times New Roman" w:hAnsi="Times New Roman"/>
          <w:sz w:val="24"/>
        </w:rPr>
      </w:pPr>
      <w:r w:rsidRPr="000010E0">
        <w:rPr>
          <w:rFonts w:ascii="Times New Roman" w:hAnsi="Times New Roman"/>
          <w:sz w:val="24"/>
        </w:rPr>
        <w:t xml:space="preserve">Prioritou v prevádzke cestnej infraštruktúre je oprava ciest I. triedy vzhľadom na ich zlý stav (až 40 % ciest I triedy je v nevyhovujúcom stave) a potrebu zabezpečiť základný dopravný štandard. </w:t>
      </w:r>
    </w:p>
    <w:p w:rsidR="00AA17E3" w:rsidRPr="000010E0" w:rsidRDefault="00AA17E3" w:rsidP="00AA17E3">
      <w:pPr>
        <w:spacing w:after="0"/>
        <w:jc w:val="both"/>
        <w:rPr>
          <w:rFonts w:ascii="Times New Roman" w:hAnsi="Times New Roman"/>
          <w:sz w:val="24"/>
        </w:rPr>
      </w:pPr>
    </w:p>
    <w:p w:rsidR="00AA17E3" w:rsidRPr="000010E0" w:rsidRDefault="00AA17E3" w:rsidP="00AA17E3">
      <w:pPr>
        <w:spacing w:after="0"/>
        <w:jc w:val="both"/>
        <w:rPr>
          <w:rFonts w:ascii="Times New Roman" w:hAnsi="Times New Roman"/>
          <w:sz w:val="24"/>
        </w:rPr>
      </w:pPr>
      <w:r w:rsidRPr="000010E0">
        <w:rPr>
          <w:rFonts w:ascii="Times New Roman" w:hAnsi="Times New Roman"/>
          <w:sz w:val="24"/>
        </w:rPr>
        <w:t xml:space="preserve">Opatrenie smerujúce k zvyšovaniu bezpečnosti na cestách priniesli od roku 2010 do roku 2020 zníženie počtu úmrtí v cestnej doprave o 33 % a priblížili Slovensko k priemeru EÚ. Pokles úmrtnosti voči krajinám EÚ s najnižšou úmrtnosťou sa </w:t>
      </w:r>
      <w:r>
        <w:rPr>
          <w:rFonts w:ascii="Times New Roman" w:hAnsi="Times New Roman"/>
          <w:sz w:val="24"/>
        </w:rPr>
        <w:t xml:space="preserve">však </w:t>
      </w:r>
      <w:r w:rsidRPr="000010E0">
        <w:rPr>
          <w:rFonts w:ascii="Times New Roman" w:hAnsi="Times New Roman"/>
          <w:sz w:val="24"/>
        </w:rPr>
        <w:t xml:space="preserve">v posledných rokoch spomalil. </w:t>
      </w:r>
    </w:p>
    <w:p w:rsidR="00AA17E3" w:rsidRPr="000010E0" w:rsidRDefault="00AA17E3" w:rsidP="00AA17E3">
      <w:pPr>
        <w:spacing w:after="0"/>
        <w:jc w:val="both"/>
        <w:rPr>
          <w:rFonts w:ascii="Times New Roman" w:hAnsi="Times New Roman"/>
          <w:sz w:val="24"/>
        </w:rPr>
      </w:pPr>
    </w:p>
    <w:p w:rsidR="00AA17E3" w:rsidRPr="000010E0" w:rsidRDefault="00AA17E3" w:rsidP="00AA17E3">
      <w:pPr>
        <w:spacing w:after="0"/>
        <w:jc w:val="both"/>
        <w:rPr>
          <w:rFonts w:ascii="Times New Roman" w:hAnsi="Times New Roman"/>
          <w:sz w:val="24"/>
        </w:rPr>
      </w:pPr>
      <w:r w:rsidRPr="000010E0">
        <w:rPr>
          <w:rFonts w:ascii="Times New Roman" w:hAnsi="Times New Roman"/>
          <w:sz w:val="24"/>
        </w:rPr>
        <w:t>Nárast počtu automobilov, pomalý rozvoj alternatívnych pohonov individuálnej dopravy</w:t>
      </w:r>
      <w:r>
        <w:rPr>
          <w:rFonts w:ascii="Times New Roman" w:hAnsi="Times New Roman"/>
          <w:sz w:val="24"/>
        </w:rPr>
        <w:br/>
      </w:r>
      <w:r w:rsidRPr="000010E0">
        <w:rPr>
          <w:rFonts w:ascii="Times New Roman" w:hAnsi="Times New Roman"/>
          <w:sz w:val="24"/>
        </w:rPr>
        <w:t xml:space="preserve">a nízky podiel verejnej osobnej dopravy viedli k nárastu emisií skleníkových plynov z dopravy. </w:t>
      </w:r>
      <w:r>
        <w:rPr>
          <w:rFonts w:ascii="Times New Roman" w:hAnsi="Times New Roman"/>
          <w:sz w:val="24"/>
        </w:rPr>
        <w:t>E</w:t>
      </w:r>
      <w:r w:rsidRPr="000010E0">
        <w:rPr>
          <w:rFonts w:ascii="Times New Roman" w:hAnsi="Times New Roman"/>
          <w:sz w:val="24"/>
        </w:rPr>
        <w:t xml:space="preserve">misie skleníkových plynov novoregistrovaných vozidiel stúpajú a vzďaľujú sa plneniu cieľov EÚ. Slovensku sa nedarí znižovať ani emisie ostatných znečisťujúcich látok z dopravy, ktoré spôsobujú respiračné a kardiovaskulárne ochorenia. </w:t>
      </w:r>
    </w:p>
    <w:p w:rsidR="00AA17E3" w:rsidRPr="000010E0" w:rsidRDefault="00AA17E3" w:rsidP="00AA17E3">
      <w:pPr>
        <w:spacing w:after="0"/>
        <w:jc w:val="both"/>
        <w:rPr>
          <w:rFonts w:ascii="Times New Roman" w:hAnsi="Times New Roman"/>
          <w:sz w:val="24"/>
        </w:rPr>
      </w:pPr>
    </w:p>
    <w:p w:rsidR="00AA17E3" w:rsidRDefault="00AA17E3" w:rsidP="00AA17E3">
      <w:pPr>
        <w:widowControl w:val="0"/>
        <w:spacing w:after="0"/>
        <w:jc w:val="both"/>
        <w:rPr>
          <w:rFonts w:ascii="Times New Roman" w:hAnsi="Times New Roman" w:cs="Times New Roman"/>
          <w:sz w:val="24"/>
        </w:rPr>
      </w:pPr>
      <w:r w:rsidRPr="000010E0">
        <w:rPr>
          <w:rFonts w:ascii="Times New Roman" w:hAnsi="Times New Roman" w:cs="Times New Roman"/>
          <w:sz w:val="24"/>
        </w:rPr>
        <w:t xml:space="preserve">Zlepšovanie kvalitatívnych podmienok existujúceho bytového fondu a rozvoj dostupného nájomného bývania prinesie sociálno-spoločenské benefity. </w:t>
      </w:r>
      <w:r>
        <w:rPr>
          <w:rFonts w:ascii="Times New Roman" w:hAnsi="Times New Roman" w:cs="Times New Roman"/>
          <w:sz w:val="24"/>
        </w:rPr>
        <w:t>Na trhu s nehnuteľnosťami je vysoký podiel</w:t>
      </w:r>
      <w:r w:rsidRPr="000010E0">
        <w:rPr>
          <w:rFonts w:ascii="Times New Roman" w:hAnsi="Times New Roman" w:cs="Times New Roman"/>
          <w:sz w:val="24"/>
        </w:rPr>
        <w:t xml:space="preserve"> bytov obývaných vlastníkmi. Na druhej strane takmer neexistuje trh s</w:t>
      </w:r>
      <w:r>
        <w:rPr>
          <w:rFonts w:ascii="Times New Roman" w:hAnsi="Times New Roman" w:cs="Times New Roman"/>
          <w:sz w:val="24"/>
        </w:rPr>
        <w:t> </w:t>
      </w:r>
      <w:r w:rsidRPr="000010E0">
        <w:rPr>
          <w:rFonts w:ascii="Times New Roman" w:hAnsi="Times New Roman" w:cs="Times New Roman"/>
          <w:sz w:val="24"/>
        </w:rPr>
        <w:t>regulovaným nájomným bývaním. V regulovanom nájomnom bývaní žije 1,5 % populácie SR, čo tvorí takmer 3 % bytového fondu Slovenska. Podiel populácie žijúcej v bytoch s trhovým nájmom je tiež značne pod priemerom v porovnaní s krajinami EÚ. Nízka dostupnosť nájomného bývania je jedným z faktorov nízkej regionálnej mobility pracovnej sily na</w:t>
      </w:r>
      <w:r>
        <w:rPr>
          <w:rFonts w:ascii="Times New Roman" w:hAnsi="Times New Roman" w:cs="Times New Roman"/>
          <w:sz w:val="24"/>
        </w:rPr>
        <w:t> </w:t>
      </w:r>
      <w:r w:rsidRPr="000010E0">
        <w:rPr>
          <w:rFonts w:ascii="Times New Roman" w:hAnsi="Times New Roman" w:cs="Times New Roman"/>
          <w:sz w:val="24"/>
        </w:rPr>
        <w:t>Slovensku.</w:t>
      </w:r>
    </w:p>
    <w:p w:rsidR="00AA17E3" w:rsidRDefault="00AA17E3" w:rsidP="00AA17E3">
      <w:pPr>
        <w:widowControl w:val="0"/>
        <w:spacing w:after="0"/>
        <w:jc w:val="both"/>
        <w:rPr>
          <w:rFonts w:ascii="Times New Roman" w:hAnsi="Times New Roman" w:cs="Times New Roman"/>
          <w:sz w:val="24"/>
        </w:rPr>
      </w:pPr>
    </w:p>
    <w:p w:rsidR="00AA17E3" w:rsidRDefault="00AA17E3" w:rsidP="00AA17E3">
      <w:pPr>
        <w:spacing w:after="0" w:line="240" w:lineRule="auto"/>
        <w:jc w:val="both"/>
        <w:rPr>
          <w:rFonts w:ascii="Times New Roman" w:hAnsi="Times New Roman" w:cs="Times New Roman"/>
          <w:bCs/>
          <w:sz w:val="24"/>
        </w:rPr>
      </w:pPr>
      <w:r w:rsidRPr="00ED32A4">
        <w:rPr>
          <w:rFonts w:ascii="Times New Roman" w:hAnsi="Times New Roman" w:cs="Times New Roman"/>
          <w:bCs/>
          <w:sz w:val="24"/>
        </w:rPr>
        <w:t xml:space="preserve">Výdavky </w:t>
      </w:r>
      <w:r>
        <w:rPr>
          <w:rFonts w:ascii="Times New Roman" w:hAnsi="Times New Roman" w:cs="Times New Roman"/>
          <w:bCs/>
          <w:sz w:val="24"/>
        </w:rPr>
        <w:t xml:space="preserve">na </w:t>
      </w:r>
      <w:r w:rsidRPr="00ED32A4">
        <w:rPr>
          <w:rFonts w:ascii="Times New Roman" w:hAnsi="Times New Roman" w:cs="Times New Roman"/>
          <w:bCs/>
          <w:sz w:val="24"/>
        </w:rPr>
        <w:t>doprav</w:t>
      </w:r>
      <w:r>
        <w:rPr>
          <w:rFonts w:ascii="Times New Roman" w:hAnsi="Times New Roman" w:cs="Times New Roman"/>
          <w:bCs/>
          <w:sz w:val="24"/>
        </w:rPr>
        <w:t>u</w:t>
      </w:r>
      <w:r w:rsidRPr="00ED32A4">
        <w:rPr>
          <w:rFonts w:ascii="Times New Roman" w:hAnsi="Times New Roman" w:cs="Times New Roman"/>
          <w:bCs/>
          <w:sz w:val="24"/>
        </w:rPr>
        <w:t xml:space="preserve"> a rozvoj bývania sa v roku 2022 budú realizovať prostredníctvom úradu Ministerstva dopravy a výstavby SR, ako aj organizácií v zriaďovateľskej a zakladateľskej pôsobnosti </w:t>
      </w:r>
      <w:r>
        <w:rPr>
          <w:rFonts w:ascii="Times New Roman" w:hAnsi="Times New Roman" w:cs="Times New Roman"/>
          <w:bCs/>
          <w:sz w:val="24"/>
        </w:rPr>
        <w:t>kapitoly</w:t>
      </w:r>
      <w:r w:rsidRPr="00ED32A4">
        <w:rPr>
          <w:rFonts w:ascii="Times New Roman" w:hAnsi="Times New Roman" w:cs="Times New Roman"/>
          <w:bCs/>
          <w:sz w:val="24"/>
        </w:rPr>
        <w:t>, a to Národne</w:t>
      </w:r>
      <w:r>
        <w:rPr>
          <w:rFonts w:ascii="Times New Roman" w:hAnsi="Times New Roman" w:cs="Times New Roman"/>
          <w:bCs/>
          <w:sz w:val="24"/>
        </w:rPr>
        <w:t>j diaľničnej spoločnosti, a. s.</w:t>
      </w:r>
      <w:r w:rsidRPr="00ED32A4">
        <w:rPr>
          <w:rFonts w:ascii="Times New Roman" w:hAnsi="Times New Roman" w:cs="Times New Roman"/>
          <w:bCs/>
          <w:sz w:val="24"/>
        </w:rPr>
        <w:t>, Železníc SR</w:t>
      </w:r>
      <w:r>
        <w:rPr>
          <w:rFonts w:ascii="Times New Roman" w:hAnsi="Times New Roman" w:cs="Times New Roman"/>
          <w:bCs/>
          <w:sz w:val="24"/>
        </w:rPr>
        <w:t>,</w:t>
      </w:r>
      <w:r w:rsidRPr="00ED32A4">
        <w:rPr>
          <w:rFonts w:ascii="Times New Roman" w:hAnsi="Times New Roman" w:cs="Times New Roman"/>
          <w:bCs/>
          <w:sz w:val="24"/>
        </w:rPr>
        <w:t xml:space="preserve">  Železničnej spoločnosti Slovensko,</w:t>
      </w:r>
      <w:r>
        <w:rPr>
          <w:rFonts w:ascii="Times New Roman" w:hAnsi="Times New Roman" w:cs="Times New Roman"/>
          <w:bCs/>
          <w:sz w:val="24"/>
        </w:rPr>
        <w:t xml:space="preserve"> </w:t>
      </w:r>
      <w:r w:rsidRPr="00ED32A4">
        <w:rPr>
          <w:rFonts w:ascii="Times New Roman" w:hAnsi="Times New Roman" w:cs="Times New Roman"/>
          <w:bCs/>
          <w:sz w:val="24"/>
        </w:rPr>
        <w:t>a. s., Štátneho fondu rozvoja bývania</w:t>
      </w:r>
      <w:r>
        <w:rPr>
          <w:rFonts w:ascii="Times New Roman" w:hAnsi="Times New Roman" w:cs="Times New Roman"/>
          <w:bCs/>
          <w:sz w:val="24"/>
        </w:rPr>
        <w:t xml:space="preserve"> a Slovenskej správy ciest</w:t>
      </w:r>
      <w:r w:rsidRPr="00ED32A4">
        <w:rPr>
          <w:rFonts w:ascii="Times New Roman" w:hAnsi="Times New Roman" w:cs="Times New Roman"/>
          <w:bCs/>
          <w:sz w:val="24"/>
        </w:rPr>
        <w:t>.</w:t>
      </w:r>
      <w:r w:rsidRPr="00733A4D">
        <w:rPr>
          <w:rFonts w:ascii="Times New Roman" w:hAnsi="Times New Roman" w:cs="Times New Roman"/>
          <w:bCs/>
          <w:sz w:val="24"/>
        </w:rPr>
        <w:t xml:space="preserve"> </w:t>
      </w:r>
    </w:p>
    <w:p w:rsidR="00AA17E3" w:rsidRDefault="00AA17E3" w:rsidP="00AA17E3">
      <w:pPr>
        <w:spacing w:after="0" w:line="240" w:lineRule="auto"/>
        <w:jc w:val="both"/>
        <w:rPr>
          <w:rFonts w:ascii="Times New Roman" w:hAnsi="Times New Roman" w:cs="Times New Roman"/>
          <w:bCs/>
          <w:sz w:val="24"/>
        </w:rPr>
      </w:pPr>
    </w:p>
    <w:p w:rsidR="00AA17E3" w:rsidRDefault="00AA17E3" w:rsidP="00AA17E3">
      <w:pPr>
        <w:spacing w:after="0"/>
        <w:jc w:val="both"/>
        <w:rPr>
          <w:rFonts w:ascii="Times New Roman" w:hAnsi="Times New Roman"/>
          <w:sz w:val="24"/>
        </w:rPr>
      </w:pPr>
      <w:r w:rsidRPr="00CB562B">
        <w:rPr>
          <w:rFonts w:ascii="Times New Roman" w:hAnsi="Times New Roman" w:cs="Times New Roman"/>
          <w:bCs/>
          <w:sz w:val="24"/>
        </w:rPr>
        <w:t>Výstavba ciest I. triedy sa realizuje p</w:t>
      </w:r>
      <w:r w:rsidRPr="00CB562B">
        <w:rPr>
          <w:rFonts w:ascii="Times New Roman" w:hAnsi="Times New Roman" w:cs="Times New Roman"/>
          <w:sz w:val="24"/>
        </w:rPr>
        <w:t>rostredníctvom</w:t>
      </w:r>
      <w:r>
        <w:rPr>
          <w:rFonts w:ascii="Times New Roman" w:hAnsi="Times New Roman" w:cs="Times New Roman"/>
          <w:sz w:val="24"/>
        </w:rPr>
        <w:t xml:space="preserve"> rozpočtovej organizácie</w:t>
      </w:r>
      <w:r w:rsidRPr="00CB562B">
        <w:rPr>
          <w:rFonts w:ascii="Times New Roman" w:hAnsi="Times New Roman" w:cs="Times New Roman"/>
          <w:sz w:val="24"/>
        </w:rPr>
        <w:t xml:space="preserve"> S</w:t>
      </w:r>
      <w:r>
        <w:rPr>
          <w:rFonts w:ascii="Times New Roman" w:hAnsi="Times New Roman" w:cs="Times New Roman"/>
          <w:sz w:val="24"/>
        </w:rPr>
        <w:t>lovenskej správy ciest</w:t>
      </w:r>
      <w:r w:rsidRPr="00CB562B">
        <w:rPr>
          <w:rFonts w:ascii="Times New Roman" w:hAnsi="Times New Roman" w:cs="Times New Roman"/>
          <w:sz w:val="24"/>
        </w:rPr>
        <w:t xml:space="preserve">, ktorá </w:t>
      </w:r>
      <w:r w:rsidRPr="00CB562B">
        <w:rPr>
          <w:rFonts w:ascii="Times New Roman" w:hAnsi="Times New Roman" w:cs="Times New Roman"/>
          <w:bCs/>
          <w:sz w:val="24"/>
        </w:rPr>
        <w:t>zabezpečuje dopravné plánovanie v cestnom hospodárstve, výkon správcovskej</w:t>
      </w:r>
      <w:r>
        <w:rPr>
          <w:rFonts w:ascii="Times New Roman" w:hAnsi="Times New Roman" w:cs="Times New Roman"/>
          <w:bCs/>
          <w:sz w:val="24"/>
        </w:rPr>
        <w:br/>
      </w:r>
      <w:r w:rsidRPr="00CB562B">
        <w:rPr>
          <w:rFonts w:ascii="Times New Roman" w:hAnsi="Times New Roman" w:cs="Times New Roman"/>
          <w:bCs/>
          <w:sz w:val="24"/>
        </w:rPr>
        <w:t>a investorskej činnosti pre cesty I. triedy na území SR, plní úlohy</w:t>
      </w:r>
      <w:r>
        <w:rPr>
          <w:rFonts w:ascii="Times New Roman" w:hAnsi="Times New Roman" w:cs="Times New Roman"/>
          <w:bCs/>
          <w:sz w:val="24"/>
        </w:rPr>
        <w:t xml:space="preserve"> zabezpečenia</w:t>
      </w:r>
      <w:r w:rsidRPr="00CB562B">
        <w:rPr>
          <w:rFonts w:ascii="Times New Roman" w:hAnsi="Times New Roman" w:cs="Times New Roman"/>
          <w:bCs/>
          <w:sz w:val="24"/>
        </w:rPr>
        <w:t xml:space="preserve"> rozvoja ciest, úlohy dopravného inžinierstva. </w:t>
      </w:r>
    </w:p>
    <w:p w:rsidR="00AA17E3" w:rsidRPr="00CB562B" w:rsidRDefault="00AA17E3" w:rsidP="00AA17E3">
      <w:pPr>
        <w:spacing w:after="0"/>
        <w:jc w:val="both"/>
        <w:rPr>
          <w:rFonts w:ascii="Times New Roman" w:hAnsi="Times New Roman" w:cs="Times New Roman"/>
          <w:bCs/>
          <w:sz w:val="24"/>
        </w:rPr>
      </w:pPr>
    </w:p>
    <w:p w:rsidR="00AA17E3" w:rsidRDefault="00AA17E3" w:rsidP="00AA17E3">
      <w:pPr>
        <w:spacing w:after="0"/>
        <w:jc w:val="both"/>
        <w:rPr>
          <w:rFonts w:ascii="Times New Roman" w:hAnsi="Times New Roman"/>
          <w:sz w:val="24"/>
        </w:rPr>
      </w:pPr>
      <w:r w:rsidRPr="00CB562B">
        <w:rPr>
          <w:rFonts w:ascii="Times New Roman" w:hAnsi="Times New Roman" w:cs="Times New Roman"/>
          <w:bCs/>
          <w:sz w:val="24"/>
        </w:rPr>
        <w:t>Výstavbu diaľnic a rýchlostných ciest realizuje N</w:t>
      </w:r>
      <w:r>
        <w:rPr>
          <w:rFonts w:ascii="Times New Roman" w:hAnsi="Times New Roman" w:cs="Times New Roman"/>
          <w:bCs/>
          <w:sz w:val="24"/>
        </w:rPr>
        <w:t>árodná diaľničná spoločnosť, a. s.</w:t>
      </w:r>
      <w:r w:rsidRPr="00CB562B">
        <w:rPr>
          <w:rFonts w:ascii="Times New Roman" w:hAnsi="Times New Roman" w:cs="Times New Roman"/>
          <w:bCs/>
          <w:sz w:val="24"/>
        </w:rPr>
        <w:t>, ktorá zabezpečuje prípravu</w:t>
      </w:r>
      <w:r>
        <w:rPr>
          <w:rFonts w:ascii="Times New Roman" w:hAnsi="Times New Roman" w:cs="Times New Roman"/>
          <w:bCs/>
          <w:sz w:val="24"/>
        </w:rPr>
        <w:t xml:space="preserve"> a</w:t>
      </w:r>
      <w:r w:rsidRPr="00CB562B">
        <w:rPr>
          <w:rFonts w:ascii="Times New Roman" w:hAnsi="Times New Roman" w:cs="Times New Roman"/>
          <w:bCs/>
          <w:sz w:val="24"/>
        </w:rPr>
        <w:t xml:space="preserve"> realizáciu opráv</w:t>
      </w:r>
      <w:r>
        <w:rPr>
          <w:rFonts w:ascii="Times New Roman" w:hAnsi="Times New Roman" w:cs="Times New Roman"/>
          <w:bCs/>
          <w:sz w:val="24"/>
        </w:rPr>
        <w:t>,</w:t>
      </w:r>
      <w:r w:rsidRPr="00CB562B">
        <w:rPr>
          <w:rFonts w:ascii="Times New Roman" w:hAnsi="Times New Roman" w:cs="Times New Roman"/>
          <w:bCs/>
          <w:sz w:val="24"/>
        </w:rPr>
        <w:t xml:space="preserve"> výstavbu diaľnic a rýchlostných ciest na základe programov ministerstva, programov schválených vládou vrátane spoločných programov Slovenskej republiky a Európskej únie</w:t>
      </w:r>
      <w:r>
        <w:rPr>
          <w:rFonts w:ascii="Times New Roman" w:hAnsi="Times New Roman" w:cs="Times New Roman"/>
          <w:bCs/>
          <w:sz w:val="24"/>
        </w:rPr>
        <w:t xml:space="preserve"> </w:t>
      </w:r>
      <w:r w:rsidRPr="00CB562B">
        <w:rPr>
          <w:rFonts w:ascii="Times New Roman" w:hAnsi="Times New Roman" w:cs="Times New Roman"/>
          <w:bCs/>
          <w:sz w:val="24"/>
        </w:rPr>
        <w:t>a medzinárodných zmlúv. Taktiež zabezpečuje predaj</w:t>
      </w:r>
      <w:r>
        <w:rPr>
          <w:rFonts w:ascii="Times New Roman" w:hAnsi="Times New Roman" w:cs="Times New Roman"/>
          <w:bCs/>
          <w:sz w:val="24"/>
        </w:rPr>
        <w:t xml:space="preserve"> elektronických diaľničných známok </w:t>
      </w:r>
      <w:r w:rsidRPr="00CB562B">
        <w:rPr>
          <w:rFonts w:ascii="Times New Roman" w:hAnsi="Times New Roman" w:cs="Times New Roman"/>
          <w:bCs/>
          <w:sz w:val="24"/>
        </w:rPr>
        <w:t>za používanie vymedzených úsekov diaľnic a vyberanie poplatkov za používanie týchto komunikácií pre niektoré motorové vozidlá podľa osobitného predpisu. N</w:t>
      </w:r>
      <w:r>
        <w:rPr>
          <w:rFonts w:ascii="Times New Roman" w:hAnsi="Times New Roman" w:cs="Times New Roman"/>
          <w:bCs/>
          <w:sz w:val="24"/>
        </w:rPr>
        <w:t>árodná diaľničná spoločnosť, a. s.</w:t>
      </w:r>
      <w:r w:rsidRPr="00CB562B">
        <w:rPr>
          <w:rFonts w:ascii="Times New Roman" w:hAnsi="Times New Roman" w:cs="Times New Roman"/>
          <w:bCs/>
          <w:sz w:val="24"/>
        </w:rPr>
        <w:t xml:space="preserve"> je i správcom elektronického výberu mýta pre vozidlá nad 3,5 t celkovej hmotnosti na diaľniciach, rýchlostných cestách a vybraných úsekoch ciest</w:t>
      </w:r>
      <w:r>
        <w:rPr>
          <w:rFonts w:ascii="Times New Roman" w:hAnsi="Times New Roman" w:cs="Times New Roman"/>
          <w:bCs/>
          <w:sz w:val="24"/>
        </w:rPr>
        <w:t xml:space="preserve"> </w:t>
      </w:r>
      <w:r w:rsidRPr="00CB562B">
        <w:rPr>
          <w:rFonts w:ascii="Times New Roman" w:hAnsi="Times New Roman" w:cs="Times New Roman"/>
          <w:bCs/>
          <w:sz w:val="24"/>
        </w:rPr>
        <w:t xml:space="preserve">I. triedy. Za účelom rozvoja cestnej infraštruktúry spoplatňuje diaľnice a rýchlostné cesty. </w:t>
      </w:r>
    </w:p>
    <w:p w:rsidR="00AA17E3" w:rsidRDefault="00AA17E3" w:rsidP="00AA17E3">
      <w:pPr>
        <w:spacing w:after="0" w:line="240" w:lineRule="auto"/>
        <w:jc w:val="both"/>
        <w:rPr>
          <w:rFonts w:ascii="Times New Roman" w:hAnsi="Times New Roman" w:cs="Times New Roman"/>
          <w:bCs/>
          <w:sz w:val="24"/>
        </w:rPr>
      </w:pPr>
    </w:p>
    <w:p w:rsidR="00AA17E3" w:rsidRDefault="00AA17E3" w:rsidP="00AA17E3">
      <w:pPr>
        <w:autoSpaceDE w:val="0"/>
        <w:autoSpaceDN w:val="0"/>
        <w:adjustRightInd w:val="0"/>
        <w:spacing w:after="0"/>
        <w:jc w:val="both"/>
        <w:rPr>
          <w:rFonts w:ascii="Times New Roman" w:hAnsi="Times New Roman" w:cs="Times New Roman"/>
          <w:sz w:val="24"/>
        </w:rPr>
      </w:pPr>
      <w:r w:rsidRPr="00CB562B">
        <w:rPr>
          <w:rFonts w:ascii="Times New Roman" w:hAnsi="Times New Roman" w:cs="Times New Roman"/>
          <w:sz w:val="24"/>
        </w:rPr>
        <w:t>Ž</w:t>
      </w:r>
      <w:r>
        <w:rPr>
          <w:rFonts w:ascii="Times New Roman" w:hAnsi="Times New Roman" w:cs="Times New Roman"/>
          <w:sz w:val="24"/>
        </w:rPr>
        <w:t xml:space="preserve">eleznice </w:t>
      </w:r>
      <w:r w:rsidRPr="00CB562B">
        <w:rPr>
          <w:rFonts w:ascii="Times New Roman" w:hAnsi="Times New Roman" w:cs="Times New Roman"/>
          <w:sz w:val="24"/>
        </w:rPr>
        <w:t xml:space="preserve">SR spravujú železničnú infraštruktúru vo vlastníctve štátu a </w:t>
      </w:r>
      <w:r>
        <w:rPr>
          <w:rFonts w:ascii="Times New Roman" w:hAnsi="Times New Roman" w:cs="Times New Roman"/>
          <w:sz w:val="24"/>
        </w:rPr>
        <w:t>vykonávajú</w:t>
      </w:r>
      <w:r w:rsidRPr="00CB562B">
        <w:rPr>
          <w:rFonts w:ascii="Times New Roman" w:hAnsi="Times New Roman" w:cs="Times New Roman"/>
          <w:sz w:val="24"/>
        </w:rPr>
        <w:t xml:space="preserve"> funkciu manažéra infraštruktúry, z ktorej vyplýva povinnosť pre Ž</w:t>
      </w:r>
      <w:r>
        <w:rPr>
          <w:rFonts w:ascii="Times New Roman" w:hAnsi="Times New Roman" w:cs="Times New Roman"/>
          <w:sz w:val="24"/>
        </w:rPr>
        <w:t xml:space="preserve">eleznice </w:t>
      </w:r>
      <w:r w:rsidRPr="00CB562B">
        <w:rPr>
          <w:rFonts w:ascii="Times New Roman" w:hAnsi="Times New Roman" w:cs="Times New Roman"/>
          <w:sz w:val="24"/>
        </w:rPr>
        <w:t>SR organizovať a</w:t>
      </w:r>
      <w:r>
        <w:rPr>
          <w:rFonts w:ascii="Times New Roman" w:hAnsi="Times New Roman" w:cs="Times New Roman"/>
          <w:sz w:val="24"/>
        </w:rPr>
        <w:t> </w:t>
      </w:r>
      <w:r w:rsidRPr="00CB562B">
        <w:rPr>
          <w:rFonts w:ascii="Times New Roman" w:hAnsi="Times New Roman" w:cs="Times New Roman"/>
          <w:sz w:val="24"/>
        </w:rPr>
        <w:t>zabezpečovať</w:t>
      </w:r>
      <w:r>
        <w:rPr>
          <w:rFonts w:ascii="Times New Roman" w:hAnsi="Times New Roman" w:cs="Times New Roman"/>
          <w:sz w:val="24"/>
        </w:rPr>
        <w:t xml:space="preserve"> </w:t>
      </w:r>
      <w:r w:rsidRPr="00CB562B">
        <w:rPr>
          <w:rFonts w:ascii="Times New Roman" w:hAnsi="Times New Roman" w:cs="Times New Roman"/>
          <w:sz w:val="24"/>
        </w:rPr>
        <w:t>prevádzkyschopnosť celoštátnych a regionálnych tratí a organizovať na nich vlakovú dopravu pre všetkých dopravcov na nediskriminačnom princípe.</w:t>
      </w:r>
    </w:p>
    <w:p w:rsidR="00AA17E3" w:rsidRPr="00CB562B" w:rsidRDefault="00AA17E3" w:rsidP="00AA17E3">
      <w:pPr>
        <w:autoSpaceDE w:val="0"/>
        <w:autoSpaceDN w:val="0"/>
        <w:adjustRightInd w:val="0"/>
        <w:spacing w:after="0"/>
        <w:jc w:val="both"/>
        <w:rPr>
          <w:rFonts w:ascii="Times New Roman" w:hAnsi="Times New Roman" w:cs="Times New Roman"/>
          <w:sz w:val="24"/>
        </w:rPr>
      </w:pPr>
    </w:p>
    <w:p w:rsidR="00AA17E3" w:rsidRDefault="00AA17E3" w:rsidP="00AA17E3">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Železničná spoločnosť Slovensko, a. s.</w:t>
      </w:r>
      <w:r w:rsidRPr="00CB562B">
        <w:rPr>
          <w:rFonts w:ascii="Times New Roman" w:hAnsi="Times New Roman" w:cs="Times New Roman"/>
          <w:sz w:val="24"/>
        </w:rPr>
        <w:t xml:space="preserve"> je</w:t>
      </w:r>
      <w:r>
        <w:rPr>
          <w:rFonts w:ascii="Times New Roman" w:hAnsi="Times New Roman" w:cs="Times New Roman"/>
          <w:sz w:val="24"/>
        </w:rPr>
        <w:t xml:space="preserve"> dopravcom zabezpečujúcim osobnú železničnú dopravu vo verejnom záujme a </w:t>
      </w:r>
      <w:r w:rsidRPr="00CB562B">
        <w:rPr>
          <w:rFonts w:ascii="Times New Roman" w:hAnsi="Times New Roman" w:cs="Times New Roman"/>
          <w:sz w:val="24"/>
        </w:rPr>
        <w:t>zabezpečuje dopravné a prepravné služby, zodpovedajúce záujmom dopravnej politiky štátu a požiadavkám trhu.</w:t>
      </w:r>
    </w:p>
    <w:p w:rsidR="00AA17E3" w:rsidRDefault="00AA17E3" w:rsidP="00AA17E3">
      <w:pPr>
        <w:spacing w:after="0" w:line="240" w:lineRule="auto"/>
        <w:jc w:val="both"/>
        <w:rPr>
          <w:rFonts w:ascii="Times New Roman" w:hAnsi="Times New Roman" w:cs="Times New Roman"/>
          <w:bCs/>
          <w:sz w:val="24"/>
        </w:rPr>
      </w:pPr>
    </w:p>
    <w:p w:rsidR="00AA17E3" w:rsidRDefault="00AA17E3" w:rsidP="00AA17E3">
      <w:pPr>
        <w:pStyle w:val="Popis"/>
        <w:keepNext/>
        <w:spacing w:after="0"/>
        <w:rPr>
          <w:rFonts w:ascii="Times New Roman" w:hAnsi="Times New Roman" w:cs="Times New Roman"/>
          <w:b/>
          <w:i w:val="0"/>
          <w:color w:val="5B9BD5" w:themeColor="accent1"/>
          <w:sz w:val="20"/>
          <w:szCs w:val="20"/>
        </w:rPr>
      </w:pPr>
      <w:bookmarkStart w:id="260" w:name="_Toc53048373"/>
      <w:bookmarkStart w:id="261" w:name="_Toc53054796"/>
      <w:bookmarkStart w:id="262" w:name="_Toc53077988"/>
      <w:bookmarkStart w:id="263" w:name="_Toc53086390"/>
      <w:bookmarkStart w:id="264" w:name="_Toc84528415"/>
      <w:bookmarkStart w:id="265" w:name="_Toc84845291"/>
      <w:r w:rsidRPr="004D5FF5">
        <w:rPr>
          <w:rFonts w:ascii="Times New Roman" w:hAnsi="Times New Roman" w:cs="Times New Roman"/>
          <w:b/>
          <w:i w:val="0"/>
          <w:color w:val="5B9BD5" w:themeColor="accent1"/>
          <w:sz w:val="20"/>
          <w:szCs w:val="20"/>
        </w:rPr>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67</w:t>
      </w:r>
      <w:r w:rsidRPr="004D5FF5">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00BD773F">
        <w:rPr>
          <w:rFonts w:ascii="Times New Roman" w:hAnsi="Times New Roman" w:cs="Times New Roman"/>
          <w:b/>
          <w:i w:val="0"/>
          <w:color w:val="5B9BD5" w:themeColor="accent1"/>
          <w:sz w:val="20"/>
          <w:szCs w:val="20"/>
        </w:rPr>
        <w:t>–</w:t>
      </w:r>
      <w:r>
        <w:rPr>
          <w:rFonts w:ascii="Times New Roman" w:hAnsi="Times New Roman" w:cs="Times New Roman"/>
          <w:b/>
          <w:i w:val="0"/>
          <w:color w:val="5B9BD5" w:themeColor="accent1"/>
          <w:sz w:val="20"/>
          <w:szCs w:val="20"/>
        </w:rPr>
        <w:t xml:space="preserve"> </w:t>
      </w:r>
      <w:r w:rsidR="00BD773F">
        <w:rPr>
          <w:rFonts w:ascii="Times New Roman" w:hAnsi="Times New Roman" w:cs="Times New Roman"/>
          <w:b/>
          <w:i w:val="0"/>
          <w:color w:val="5B9BD5" w:themeColor="accent1"/>
          <w:sz w:val="20"/>
          <w:szCs w:val="20"/>
        </w:rPr>
        <w:t>Výdavky na dopravu</w:t>
      </w:r>
      <w:r w:rsidRPr="004D5FF5">
        <w:rPr>
          <w:rFonts w:ascii="Times New Roman" w:hAnsi="Times New Roman" w:cs="Times New Roman"/>
          <w:b/>
          <w:i w:val="0"/>
          <w:color w:val="5B9BD5" w:themeColor="accent1"/>
          <w:sz w:val="20"/>
          <w:szCs w:val="20"/>
        </w:rPr>
        <w:t xml:space="preserve"> a</w:t>
      </w:r>
      <w:r>
        <w:rPr>
          <w:rFonts w:ascii="Times New Roman" w:hAnsi="Times New Roman" w:cs="Times New Roman"/>
          <w:b/>
          <w:i w:val="0"/>
          <w:color w:val="5B9BD5" w:themeColor="accent1"/>
          <w:sz w:val="20"/>
          <w:szCs w:val="20"/>
        </w:rPr>
        <w:t> </w:t>
      </w:r>
      <w:bookmarkEnd w:id="260"/>
      <w:bookmarkEnd w:id="261"/>
      <w:bookmarkEnd w:id="262"/>
      <w:r>
        <w:rPr>
          <w:rFonts w:ascii="Times New Roman" w:hAnsi="Times New Roman" w:cs="Times New Roman"/>
          <w:b/>
          <w:i w:val="0"/>
          <w:color w:val="5B9BD5" w:themeColor="accent1"/>
          <w:sz w:val="20"/>
          <w:szCs w:val="20"/>
        </w:rPr>
        <w:t>bývani</w:t>
      </w:r>
      <w:bookmarkEnd w:id="263"/>
      <w:r>
        <w:rPr>
          <w:rFonts w:ascii="Times New Roman" w:hAnsi="Times New Roman" w:cs="Times New Roman"/>
          <w:b/>
          <w:i w:val="0"/>
          <w:color w:val="5B9BD5" w:themeColor="accent1"/>
          <w:sz w:val="20"/>
          <w:szCs w:val="20"/>
        </w:rPr>
        <w:t>e</w:t>
      </w:r>
      <w:bookmarkEnd w:id="264"/>
      <w:bookmarkEnd w:id="265"/>
      <w:r>
        <w:rPr>
          <w:rFonts w:ascii="Times New Roman" w:hAnsi="Times New Roman" w:cs="Times New Roman"/>
          <w:b/>
          <w:i w:val="0"/>
          <w:color w:val="5B9BD5" w:themeColor="accent1"/>
          <w:sz w:val="20"/>
          <w:szCs w:val="20"/>
        </w:rPr>
        <w:t xml:space="preserve"> </w:t>
      </w:r>
    </w:p>
    <w:tbl>
      <w:tblPr>
        <w:tblW w:w="5000" w:type="pct"/>
        <w:tblCellMar>
          <w:left w:w="70" w:type="dxa"/>
          <w:right w:w="70" w:type="dxa"/>
        </w:tblCellMar>
        <w:tblLook w:val="04A0" w:firstRow="1" w:lastRow="0" w:firstColumn="1" w:lastColumn="0" w:noHBand="0" w:noVBand="1"/>
      </w:tblPr>
      <w:tblGrid>
        <w:gridCol w:w="2562"/>
        <w:gridCol w:w="930"/>
        <w:gridCol w:w="930"/>
        <w:gridCol w:w="930"/>
        <w:gridCol w:w="930"/>
        <w:gridCol w:w="930"/>
        <w:gridCol w:w="930"/>
        <w:gridCol w:w="930"/>
      </w:tblGrid>
      <w:tr w:rsidR="00AA17E3" w:rsidRPr="007A1CCB" w:rsidTr="00AA17E3">
        <w:trPr>
          <w:trHeight w:val="300"/>
        </w:trPr>
        <w:tc>
          <w:tcPr>
            <w:tcW w:w="1010" w:type="pct"/>
            <w:tcBorders>
              <w:top w:val="single" w:sz="4" w:space="0" w:color="auto"/>
              <w:left w:val="nil"/>
              <w:bottom w:val="single" w:sz="4" w:space="0" w:color="auto"/>
              <w:right w:val="nil"/>
            </w:tcBorders>
            <w:shd w:val="clear" w:color="000000" w:fill="FFFFFF"/>
            <w:noWrap/>
            <w:vAlign w:val="center"/>
            <w:hideMark/>
          </w:tcPr>
          <w:p w:rsidR="00AA17E3" w:rsidRPr="007A1CCB" w:rsidRDefault="00AA17E3" w:rsidP="00AA17E3">
            <w:pPr>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lang w:eastAsia="sk-SK"/>
              </w:rPr>
              <w:t>v tis. eur</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2019 S</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2020 S</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2021 R</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2021 OS</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2022 N</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2023 N</w:t>
            </w:r>
          </w:p>
        </w:tc>
        <w:tc>
          <w:tcPr>
            <w:tcW w:w="570" w:type="pct"/>
            <w:tcBorders>
              <w:top w:val="single" w:sz="4" w:space="0" w:color="auto"/>
              <w:left w:val="nil"/>
              <w:bottom w:val="single" w:sz="4" w:space="0" w:color="auto"/>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rPr>
              <w:t>2024 N</w:t>
            </w:r>
          </w:p>
        </w:tc>
      </w:tr>
      <w:tr w:rsidR="00AA17E3" w:rsidRPr="007A1CCB" w:rsidTr="00AA17E3">
        <w:trPr>
          <w:trHeight w:val="300"/>
        </w:trPr>
        <w:tc>
          <w:tcPr>
            <w:tcW w:w="1010" w:type="pct"/>
            <w:tcBorders>
              <w:top w:val="nil"/>
              <w:left w:val="nil"/>
              <w:bottom w:val="nil"/>
              <w:right w:val="nil"/>
            </w:tcBorders>
            <w:shd w:val="clear" w:color="000000" w:fill="FFFFFF"/>
            <w:noWrap/>
            <w:vAlign w:val="bottom"/>
            <w:hideMark/>
          </w:tcPr>
          <w:p w:rsidR="00AA17E3" w:rsidRPr="007A1CCB" w:rsidRDefault="00AA17E3" w:rsidP="00AA17E3">
            <w:pPr>
              <w:rPr>
                <w:rFonts w:ascii="Times New Roman" w:hAnsi="Times New Roman" w:cs="Times New Roman"/>
                <w:b/>
                <w:bCs/>
                <w:color w:val="000000"/>
                <w:sz w:val="16"/>
                <w:szCs w:val="16"/>
                <w:lang w:eastAsia="sk-SK"/>
              </w:rPr>
            </w:pPr>
            <w:r w:rsidRPr="007A1CCB">
              <w:rPr>
                <w:rFonts w:ascii="Times New Roman" w:hAnsi="Times New Roman" w:cs="Times New Roman"/>
                <w:b/>
                <w:bCs/>
                <w:color w:val="000000"/>
                <w:sz w:val="16"/>
                <w:szCs w:val="16"/>
                <w:lang w:eastAsia="sk-SK"/>
              </w:rPr>
              <w:t>Doprava a bývanie</w:t>
            </w:r>
          </w:p>
        </w:tc>
        <w:tc>
          <w:tcPr>
            <w:tcW w:w="570" w:type="pct"/>
            <w:tcBorders>
              <w:top w:val="nil"/>
              <w:left w:val="nil"/>
              <w:bottom w:val="nil"/>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ED32A4">
              <w:rPr>
                <w:rFonts w:ascii="Times New Roman" w:hAnsi="Times New Roman" w:cs="Times New Roman"/>
                <w:b/>
                <w:bCs/>
                <w:color w:val="000000"/>
                <w:sz w:val="16"/>
                <w:szCs w:val="16"/>
              </w:rPr>
              <w:t>2 668 453</w:t>
            </w:r>
          </w:p>
        </w:tc>
        <w:tc>
          <w:tcPr>
            <w:tcW w:w="570" w:type="pct"/>
            <w:tcBorders>
              <w:top w:val="nil"/>
              <w:left w:val="nil"/>
              <w:bottom w:val="nil"/>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ED32A4">
              <w:rPr>
                <w:rFonts w:ascii="Times New Roman" w:hAnsi="Times New Roman" w:cs="Times New Roman"/>
                <w:b/>
                <w:bCs/>
                <w:color w:val="000000"/>
                <w:sz w:val="16"/>
                <w:szCs w:val="16"/>
              </w:rPr>
              <w:t>2 701 805</w:t>
            </w:r>
          </w:p>
        </w:tc>
        <w:tc>
          <w:tcPr>
            <w:tcW w:w="570" w:type="pct"/>
            <w:tcBorders>
              <w:top w:val="nil"/>
              <w:left w:val="nil"/>
              <w:bottom w:val="nil"/>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ED32A4">
              <w:rPr>
                <w:rFonts w:ascii="Times New Roman" w:hAnsi="Times New Roman" w:cs="Times New Roman"/>
                <w:b/>
                <w:bCs/>
                <w:color w:val="000000"/>
                <w:sz w:val="16"/>
                <w:szCs w:val="16"/>
              </w:rPr>
              <w:t xml:space="preserve">3 </w:t>
            </w:r>
            <w:r>
              <w:rPr>
                <w:rFonts w:ascii="Times New Roman" w:hAnsi="Times New Roman" w:cs="Times New Roman"/>
                <w:b/>
                <w:bCs/>
                <w:color w:val="000000"/>
                <w:sz w:val="16"/>
                <w:szCs w:val="16"/>
              </w:rPr>
              <w:t>09</w:t>
            </w:r>
            <w:r w:rsidRPr="00ED32A4">
              <w:rPr>
                <w:rFonts w:ascii="Times New Roman" w:hAnsi="Times New Roman" w:cs="Times New Roman"/>
                <w:b/>
                <w:bCs/>
                <w:color w:val="000000"/>
                <w:sz w:val="16"/>
                <w:szCs w:val="16"/>
              </w:rPr>
              <w:t>2 020</w:t>
            </w:r>
          </w:p>
        </w:tc>
        <w:tc>
          <w:tcPr>
            <w:tcW w:w="570" w:type="pct"/>
            <w:tcBorders>
              <w:top w:val="nil"/>
              <w:left w:val="nil"/>
              <w:bottom w:val="nil"/>
              <w:right w:val="nil"/>
            </w:tcBorders>
            <w:shd w:val="clear" w:color="000000" w:fill="FFFFFF"/>
            <w:noWrap/>
            <w:vAlign w:val="bottom"/>
            <w:hideMark/>
          </w:tcPr>
          <w:p w:rsidR="00AA17E3" w:rsidRPr="007A1CCB" w:rsidRDefault="00AA17E3" w:rsidP="00AA17E3">
            <w:pPr>
              <w:jc w:val="right"/>
              <w:rPr>
                <w:rFonts w:ascii="Times New Roman" w:hAnsi="Times New Roman" w:cs="Times New Roman"/>
                <w:b/>
                <w:bCs/>
                <w:color w:val="000000"/>
                <w:sz w:val="16"/>
                <w:szCs w:val="16"/>
                <w:lang w:eastAsia="sk-SK"/>
              </w:rPr>
            </w:pPr>
            <w:r w:rsidRPr="00ED32A4">
              <w:rPr>
                <w:rFonts w:ascii="Times New Roman" w:hAnsi="Times New Roman" w:cs="Times New Roman"/>
                <w:b/>
                <w:bCs/>
                <w:color w:val="000000"/>
                <w:sz w:val="16"/>
                <w:szCs w:val="16"/>
              </w:rPr>
              <w:t>3 466 680</w:t>
            </w:r>
          </w:p>
        </w:tc>
        <w:tc>
          <w:tcPr>
            <w:tcW w:w="570" w:type="pct"/>
            <w:tcBorders>
              <w:top w:val="nil"/>
              <w:left w:val="nil"/>
              <w:bottom w:val="nil"/>
              <w:right w:val="nil"/>
            </w:tcBorders>
            <w:shd w:val="clear" w:color="000000" w:fill="FFFFFF"/>
            <w:noWrap/>
            <w:vAlign w:val="bottom"/>
            <w:hideMark/>
          </w:tcPr>
          <w:p w:rsidR="00AA17E3" w:rsidRPr="00ED32A4" w:rsidRDefault="00AA17E3" w:rsidP="00AA17E3">
            <w:pPr>
              <w:jc w:val="right"/>
              <w:rPr>
                <w:rFonts w:ascii="Times New Roman" w:hAnsi="Times New Roman" w:cs="Times New Roman"/>
                <w:b/>
                <w:bCs/>
                <w:color w:val="000000"/>
                <w:sz w:val="16"/>
                <w:szCs w:val="16"/>
              </w:rPr>
            </w:pPr>
            <w:r w:rsidRPr="00ED32A4">
              <w:rPr>
                <w:rFonts w:ascii="Times New Roman" w:hAnsi="Times New Roman" w:cs="Times New Roman"/>
                <w:b/>
                <w:bCs/>
                <w:color w:val="000000"/>
                <w:sz w:val="16"/>
                <w:szCs w:val="16"/>
              </w:rPr>
              <w:t>3 702 313</w:t>
            </w:r>
          </w:p>
        </w:tc>
        <w:tc>
          <w:tcPr>
            <w:tcW w:w="570" w:type="pct"/>
            <w:tcBorders>
              <w:top w:val="nil"/>
              <w:left w:val="nil"/>
              <w:bottom w:val="nil"/>
              <w:right w:val="nil"/>
            </w:tcBorders>
            <w:shd w:val="clear" w:color="000000" w:fill="FFFFFF"/>
            <w:noWrap/>
            <w:vAlign w:val="bottom"/>
            <w:hideMark/>
          </w:tcPr>
          <w:p w:rsidR="00AA17E3" w:rsidRPr="00ED32A4" w:rsidRDefault="00AA17E3" w:rsidP="00AA17E3">
            <w:pPr>
              <w:jc w:val="right"/>
              <w:rPr>
                <w:rFonts w:ascii="Times New Roman" w:hAnsi="Times New Roman" w:cs="Times New Roman"/>
                <w:b/>
                <w:bCs/>
                <w:color w:val="000000"/>
                <w:sz w:val="16"/>
                <w:szCs w:val="16"/>
              </w:rPr>
            </w:pPr>
            <w:r w:rsidRPr="00ED32A4">
              <w:rPr>
                <w:rFonts w:ascii="Times New Roman" w:hAnsi="Times New Roman" w:cs="Times New Roman"/>
                <w:b/>
                <w:bCs/>
                <w:color w:val="000000"/>
                <w:sz w:val="16"/>
                <w:szCs w:val="16"/>
              </w:rPr>
              <w:t>3 029 705</w:t>
            </w:r>
          </w:p>
        </w:tc>
        <w:tc>
          <w:tcPr>
            <w:tcW w:w="570" w:type="pct"/>
            <w:tcBorders>
              <w:top w:val="nil"/>
              <w:left w:val="nil"/>
              <w:bottom w:val="nil"/>
              <w:right w:val="nil"/>
            </w:tcBorders>
            <w:shd w:val="clear" w:color="000000" w:fill="FFFFFF"/>
            <w:noWrap/>
            <w:vAlign w:val="bottom"/>
            <w:hideMark/>
          </w:tcPr>
          <w:p w:rsidR="00AA17E3" w:rsidRPr="00ED32A4" w:rsidRDefault="00AA17E3" w:rsidP="00AA17E3">
            <w:pPr>
              <w:jc w:val="right"/>
              <w:rPr>
                <w:rFonts w:ascii="Times New Roman" w:hAnsi="Times New Roman" w:cs="Times New Roman"/>
                <w:b/>
                <w:bCs/>
                <w:color w:val="000000"/>
                <w:sz w:val="16"/>
                <w:szCs w:val="16"/>
              </w:rPr>
            </w:pPr>
            <w:r w:rsidRPr="00ED32A4">
              <w:rPr>
                <w:rFonts w:ascii="Times New Roman" w:hAnsi="Times New Roman" w:cs="Times New Roman"/>
                <w:b/>
                <w:bCs/>
                <w:color w:val="000000"/>
                <w:sz w:val="16"/>
                <w:szCs w:val="16"/>
              </w:rPr>
              <w:t>2 903 232</w:t>
            </w:r>
          </w:p>
        </w:tc>
      </w:tr>
      <w:tr w:rsidR="00AA17E3" w:rsidRPr="007A1CCB" w:rsidTr="00AA17E3">
        <w:trPr>
          <w:trHeight w:val="300"/>
        </w:trPr>
        <w:tc>
          <w:tcPr>
            <w:tcW w:w="1010" w:type="pct"/>
            <w:tcBorders>
              <w:top w:val="nil"/>
              <w:left w:val="nil"/>
              <w:bottom w:val="nil"/>
              <w:right w:val="nil"/>
            </w:tcBorders>
            <w:shd w:val="clear" w:color="auto" w:fill="auto"/>
            <w:noWrap/>
            <w:vAlign w:val="bottom"/>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Investície do dopravnej infraštruktúry</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1 003 640</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1 031 394</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1 359 300</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1 327 205</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1 706 459</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1 147 478</w:t>
            </w:r>
          </w:p>
        </w:tc>
        <w:tc>
          <w:tcPr>
            <w:tcW w:w="570" w:type="pct"/>
            <w:tcBorders>
              <w:top w:val="nil"/>
              <w:left w:val="nil"/>
              <w:bottom w:val="nil"/>
              <w:right w:val="nil"/>
            </w:tcBorders>
            <w:shd w:val="clear" w:color="000000" w:fill="FFFFFF"/>
            <w:noWrap/>
            <w:vAlign w:val="bottom"/>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829 753</w:t>
            </w:r>
          </w:p>
        </w:tc>
      </w:tr>
      <w:tr w:rsidR="00AA17E3" w:rsidRPr="007A1CCB" w:rsidTr="00AA17E3">
        <w:trPr>
          <w:trHeight w:val="300"/>
        </w:trPr>
        <w:tc>
          <w:tcPr>
            <w:tcW w:w="1010" w:type="pct"/>
            <w:tcBorders>
              <w:top w:val="nil"/>
              <w:left w:val="nil"/>
              <w:bottom w:val="nil"/>
              <w:right w:val="nil"/>
            </w:tcBorders>
            <w:shd w:val="clear" w:color="auto" w:fill="auto"/>
            <w:noWrap/>
            <w:vAlign w:val="bottom"/>
            <w:hideMark/>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 xml:space="preserve">Cestná doprava </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324 324</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300 674</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408 424</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527 049</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398 212</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360 668</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350 785</w:t>
            </w:r>
          </w:p>
        </w:tc>
      </w:tr>
      <w:tr w:rsidR="00AA17E3" w:rsidRPr="007A1CCB" w:rsidTr="00AA17E3">
        <w:trPr>
          <w:trHeight w:val="300"/>
        </w:trPr>
        <w:tc>
          <w:tcPr>
            <w:tcW w:w="1010" w:type="pct"/>
            <w:tcBorders>
              <w:top w:val="nil"/>
              <w:left w:val="nil"/>
              <w:bottom w:val="nil"/>
              <w:right w:val="nil"/>
            </w:tcBorders>
            <w:shd w:val="clear" w:color="auto" w:fill="auto"/>
            <w:noWrap/>
            <w:vAlign w:val="bottom"/>
            <w:hideMark/>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Železničná doprava</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951 128</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998 566</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924 475</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1 153 073</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1 017 228</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956 118</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1 006 548</w:t>
            </w:r>
          </w:p>
        </w:tc>
      </w:tr>
      <w:tr w:rsidR="00AA17E3" w:rsidRPr="007A1CCB" w:rsidTr="00AA17E3">
        <w:trPr>
          <w:trHeight w:val="300"/>
        </w:trPr>
        <w:tc>
          <w:tcPr>
            <w:tcW w:w="1010" w:type="pct"/>
            <w:tcBorders>
              <w:top w:val="nil"/>
              <w:left w:val="nil"/>
              <w:bottom w:val="nil"/>
              <w:right w:val="nil"/>
            </w:tcBorders>
            <w:shd w:val="clear" w:color="auto" w:fill="auto"/>
            <w:noWrap/>
            <w:vAlign w:val="bottom"/>
            <w:hideMark/>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 xml:space="preserve">Letecká doprava </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7 500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8 091</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6 000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17 804</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6 000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6 000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6 000</w:t>
            </w:r>
          </w:p>
        </w:tc>
      </w:tr>
      <w:tr w:rsidR="00AA17E3" w:rsidRPr="007A1CCB" w:rsidTr="00AA17E3">
        <w:trPr>
          <w:trHeight w:val="300"/>
        </w:trPr>
        <w:tc>
          <w:tcPr>
            <w:tcW w:w="1010" w:type="pct"/>
            <w:tcBorders>
              <w:top w:val="nil"/>
              <w:left w:val="nil"/>
              <w:bottom w:val="nil"/>
              <w:right w:val="nil"/>
            </w:tcBorders>
            <w:shd w:val="clear" w:color="auto" w:fill="auto"/>
            <w:noWrap/>
            <w:vAlign w:val="bottom"/>
            <w:hideMark/>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Vodná doprava</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38</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670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0</w:t>
            </w:r>
          </w:p>
        </w:tc>
        <w:tc>
          <w:tcPr>
            <w:tcW w:w="570" w:type="pct"/>
            <w:tcBorders>
              <w:top w:val="nil"/>
              <w:left w:val="nil"/>
              <w:bottom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0</w:t>
            </w:r>
          </w:p>
        </w:tc>
      </w:tr>
      <w:tr w:rsidR="00AA17E3" w:rsidRPr="007A1CCB" w:rsidTr="00AA17E3">
        <w:trPr>
          <w:trHeight w:val="300"/>
        </w:trPr>
        <w:tc>
          <w:tcPr>
            <w:tcW w:w="1010" w:type="pct"/>
            <w:tcBorders>
              <w:top w:val="nil"/>
              <w:left w:val="nil"/>
              <w:right w:val="nil"/>
            </w:tcBorders>
            <w:shd w:val="clear" w:color="auto" w:fill="auto"/>
            <w:noWrap/>
            <w:vAlign w:val="bottom"/>
            <w:hideMark/>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Podpora rozvoja bývania</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239 602</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230 589</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287 361</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302 692</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312 725</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317 920</w:t>
            </w:r>
          </w:p>
        </w:tc>
        <w:tc>
          <w:tcPr>
            <w:tcW w:w="570" w:type="pct"/>
            <w:tcBorders>
              <w:top w:val="nil"/>
              <w:left w:val="nil"/>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315 531</w:t>
            </w:r>
          </w:p>
        </w:tc>
      </w:tr>
      <w:tr w:rsidR="00AA17E3" w:rsidRPr="007A1CCB" w:rsidTr="00AA17E3">
        <w:trPr>
          <w:trHeight w:val="300"/>
        </w:trPr>
        <w:tc>
          <w:tcPr>
            <w:tcW w:w="1010" w:type="pct"/>
            <w:tcBorders>
              <w:top w:val="nil"/>
              <w:left w:val="nil"/>
              <w:bottom w:val="single" w:sz="4" w:space="0" w:color="auto"/>
              <w:right w:val="nil"/>
            </w:tcBorders>
            <w:shd w:val="clear" w:color="auto" w:fill="auto"/>
            <w:noWrap/>
            <w:vAlign w:val="bottom"/>
            <w:hideMark/>
          </w:tcPr>
          <w:p w:rsidR="00AA17E3" w:rsidRPr="00445CF0" w:rsidRDefault="00AA17E3" w:rsidP="00AA17E3">
            <w:pPr>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lang w:eastAsia="sk-SK"/>
              </w:rPr>
              <w:t>Ostatné činnosti</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142 220</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131 822</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lang w:eastAsia="sk-SK"/>
              </w:rPr>
            </w:pPr>
            <w:r w:rsidRPr="00445CF0">
              <w:rPr>
                <w:rFonts w:ascii="Times New Roman" w:hAnsi="Times New Roman" w:cs="Times New Roman"/>
                <w:color w:val="000000"/>
                <w:sz w:val="16"/>
                <w:szCs w:val="16"/>
              </w:rPr>
              <w:t>106 459</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138 858</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261 689</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241 521</w:t>
            </w:r>
          </w:p>
        </w:tc>
        <w:tc>
          <w:tcPr>
            <w:tcW w:w="570" w:type="pct"/>
            <w:tcBorders>
              <w:top w:val="nil"/>
              <w:left w:val="nil"/>
              <w:bottom w:val="single" w:sz="4" w:space="0" w:color="auto"/>
              <w:right w:val="nil"/>
            </w:tcBorders>
            <w:shd w:val="clear" w:color="000000" w:fill="FFFFFF"/>
            <w:noWrap/>
            <w:vAlign w:val="bottom"/>
            <w:hideMark/>
          </w:tcPr>
          <w:p w:rsidR="00AA17E3" w:rsidRPr="00445CF0" w:rsidRDefault="00AA17E3" w:rsidP="00AA17E3">
            <w:pPr>
              <w:jc w:val="right"/>
              <w:rPr>
                <w:rFonts w:ascii="Times New Roman" w:hAnsi="Times New Roman" w:cs="Times New Roman"/>
                <w:color w:val="000000"/>
                <w:sz w:val="16"/>
                <w:szCs w:val="16"/>
              </w:rPr>
            </w:pPr>
            <w:r w:rsidRPr="00445CF0">
              <w:rPr>
                <w:rFonts w:ascii="Times New Roman" w:hAnsi="Times New Roman" w:cs="Times New Roman"/>
                <w:color w:val="000000"/>
                <w:sz w:val="16"/>
                <w:szCs w:val="16"/>
              </w:rPr>
              <w:t>394 615</w:t>
            </w:r>
          </w:p>
        </w:tc>
      </w:tr>
    </w:tbl>
    <w:p w:rsidR="00AA17E3" w:rsidRPr="00EC52F2" w:rsidRDefault="00AA17E3" w:rsidP="001E50EB">
      <w:pPr>
        <w:spacing w:after="0"/>
        <w:ind w:left="7788"/>
        <w:jc w:val="both"/>
        <w:rPr>
          <w:rFonts w:ascii="Times New Roman" w:hAnsi="Times New Roman" w:cs="Times New Roman"/>
          <w:i/>
          <w:color w:val="000000"/>
          <w:sz w:val="16"/>
          <w:szCs w:val="16"/>
          <w:lang w:eastAsia="sk-SK"/>
        </w:rPr>
      </w:pPr>
      <w:r>
        <w:rPr>
          <w:rFonts w:ascii="Times New Roman" w:hAnsi="Times New Roman" w:cs="Times New Roman"/>
          <w:color w:val="000000"/>
          <w:sz w:val="16"/>
          <w:szCs w:val="16"/>
          <w:lang w:eastAsia="sk-SK"/>
        </w:rPr>
        <w:t xml:space="preserve">         </w:t>
      </w:r>
      <w:r w:rsidRPr="00EC52F2">
        <w:rPr>
          <w:rFonts w:ascii="Times New Roman" w:hAnsi="Times New Roman" w:cs="Times New Roman"/>
          <w:i/>
          <w:color w:val="000000"/>
          <w:sz w:val="16"/>
          <w:szCs w:val="16"/>
          <w:lang w:eastAsia="sk-SK"/>
        </w:rPr>
        <w:t>Zdroj</w:t>
      </w:r>
      <w:r>
        <w:rPr>
          <w:rFonts w:ascii="Times New Roman" w:hAnsi="Times New Roman" w:cs="Times New Roman"/>
          <w:i/>
          <w:color w:val="000000"/>
          <w:sz w:val="16"/>
          <w:szCs w:val="16"/>
          <w:lang w:eastAsia="sk-SK"/>
        </w:rPr>
        <w:t>:</w:t>
      </w:r>
      <w:r w:rsidRPr="00EC52F2">
        <w:rPr>
          <w:rFonts w:ascii="Times New Roman" w:hAnsi="Times New Roman" w:cs="Times New Roman"/>
          <w:i/>
          <w:color w:val="000000"/>
          <w:sz w:val="16"/>
          <w:szCs w:val="16"/>
          <w:lang w:eastAsia="sk-SK"/>
        </w:rPr>
        <w:t xml:space="preserve"> MF SR</w:t>
      </w:r>
    </w:p>
    <w:p w:rsidR="001E50EB" w:rsidRDefault="001E50EB" w:rsidP="001E50EB">
      <w:pPr>
        <w:spacing w:after="0"/>
        <w:rPr>
          <w:rFonts w:ascii="Times New Roman" w:hAnsi="Times New Roman" w:cs="Times New Roman"/>
          <w:color w:val="000000"/>
          <w:sz w:val="24"/>
          <w:szCs w:val="24"/>
          <w:lang w:eastAsia="sk-SK"/>
        </w:rPr>
      </w:pPr>
    </w:p>
    <w:p w:rsidR="00AA17E3" w:rsidRPr="00A81FC2" w:rsidRDefault="00AA17E3" w:rsidP="001E50EB">
      <w:pPr>
        <w:spacing w:after="0"/>
        <w:rPr>
          <w:rFonts w:ascii="Times New Roman" w:hAnsi="Times New Roman" w:cs="Times New Roman"/>
          <w:color w:val="000000"/>
          <w:sz w:val="24"/>
          <w:szCs w:val="24"/>
          <w:lang w:eastAsia="sk-SK"/>
        </w:rPr>
      </w:pPr>
      <w:r w:rsidRPr="00A81FC2">
        <w:rPr>
          <w:rFonts w:ascii="Times New Roman" w:hAnsi="Times New Roman" w:cs="Times New Roman"/>
          <w:color w:val="000000"/>
          <w:sz w:val="24"/>
          <w:szCs w:val="24"/>
          <w:lang w:eastAsia="sk-SK"/>
        </w:rPr>
        <w:t>V uvedených výdavkoch na rok 2022 sú premietnuté tieto nasledujúce tituly:</w:t>
      </w:r>
    </w:p>
    <w:p w:rsidR="00AA17E3" w:rsidRPr="005A71DF" w:rsidRDefault="00AA17E3" w:rsidP="00A44B10">
      <w:pPr>
        <w:pStyle w:val="Odsekzoznamu"/>
        <w:numPr>
          <w:ilvl w:val="0"/>
          <w:numId w:val="16"/>
        </w:numPr>
        <w:spacing w:after="200" w:line="276" w:lineRule="auto"/>
        <w:jc w:val="both"/>
        <w:rPr>
          <w:rFonts w:ascii="Times New Roman" w:hAnsi="Times New Roman"/>
          <w:bCs/>
        </w:rPr>
      </w:pPr>
      <w:r>
        <w:rPr>
          <w:rFonts w:ascii="Times New Roman" w:hAnsi="Times New Roman"/>
          <w:bCs/>
        </w:rPr>
        <w:t>503 mil. eur na pokračujúce investície v doprave, z toho 100 mil. eur rozpočtovaných v kapitole Ministerstva dopravy a výstavby SR a 403 mil. eur rozpočtovaných v kapitole Všeobecná pokladničná správa,</w:t>
      </w:r>
    </w:p>
    <w:p w:rsidR="00AA17E3" w:rsidRPr="005A71DF" w:rsidRDefault="00AA17E3" w:rsidP="00A44B10">
      <w:pPr>
        <w:pStyle w:val="Odsekzoznamu"/>
        <w:numPr>
          <w:ilvl w:val="0"/>
          <w:numId w:val="16"/>
        </w:numPr>
        <w:spacing w:after="200" w:line="276" w:lineRule="auto"/>
        <w:rPr>
          <w:rFonts w:ascii="Times New Roman" w:hAnsi="Times New Roman"/>
          <w:bCs/>
        </w:rPr>
      </w:pPr>
      <w:r w:rsidRPr="00B2222F">
        <w:rPr>
          <w:rFonts w:ascii="Times New Roman" w:hAnsi="Times New Roman"/>
          <w:bCs/>
        </w:rPr>
        <w:t xml:space="preserve">175 mil. eur </w:t>
      </w:r>
      <w:r>
        <w:rPr>
          <w:rFonts w:ascii="Times New Roman" w:hAnsi="Times New Roman"/>
          <w:bCs/>
        </w:rPr>
        <w:t>na Plán obnovy a odolnosti Slovenskej republiky,</w:t>
      </w:r>
    </w:p>
    <w:p w:rsidR="00AA17E3" w:rsidRPr="00ED32A4" w:rsidRDefault="00AA17E3" w:rsidP="00A44B10">
      <w:pPr>
        <w:pStyle w:val="Odsekzoznamu"/>
        <w:numPr>
          <w:ilvl w:val="0"/>
          <w:numId w:val="16"/>
        </w:numPr>
        <w:spacing w:after="200" w:line="276" w:lineRule="auto"/>
        <w:jc w:val="both"/>
        <w:rPr>
          <w:rFonts w:ascii="Times New Roman" w:hAnsi="Times New Roman"/>
          <w:bCs/>
        </w:rPr>
      </w:pPr>
      <w:r>
        <w:rPr>
          <w:rFonts w:ascii="Times New Roman" w:hAnsi="Times New Roman"/>
          <w:bCs/>
        </w:rPr>
        <w:t>90,5 mil. eur na údržbu ciest I. triedy a pokračujúcu veľkoplošnú opravu a údržbu ciest I. triedy v súlade s Memorandom o Veľkoplošných opravách a údržbe</w:t>
      </w:r>
      <w:r w:rsidRPr="00C031C5">
        <w:rPr>
          <w:rFonts w:ascii="Times New Roman" w:hAnsi="Times New Roman"/>
          <w:bCs/>
        </w:rPr>
        <w:t xml:space="preserve"> ciest I. triedy</w:t>
      </w:r>
      <w:r>
        <w:rPr>
          <w:rStyle w:val="Odkaznapoznmkupodiarou"/>
          <w:rFonts w:ascii="Times New Roman" w:hAnsi="Times New Roman"/>
          <w:bCs/>
        </w:rPr>
        <w:footnoteReference w:id="46"/>
      </w:r>
      <w:r>
        <w:rPr>
          <w:rFonts w:ascii="Times New Roman" w:hAnsi="Times New Roman"/>
          <w:bCs/>
        </w:rPr>
        <w:t>,</w:t>
      </w:r>
    </w:p>
    <w:p w:rsidR="00AA17E3" w:rsidRDefault="00AA17E3" w:rsidP="00A44B10">
      <w:pPr>
        <w:pStyle w:val="Odsekzoznamu"/>
        <w:numPr>
          <w:ilvl w:val="0"/>
          <w:numId w:val="16"/>
        </w:numPr>
        <w:spacing w:after="200" w:line="276" w:lineRule="auto"/>
        <w:jc w:val="both"/>
        <w:rPr>
          <w:rFonts w:ascii="Times New Roman" w:hAnsi="Times New Roman"/>
          <w:bCs/>
        </w:rPr>
      </w:pPr>
      <w:r>
        <w:rPr>
          <w:rFonts w:ascii="Times New Roman" w:hAnsi="Times New Roman"/>
          <w:bCs/>
        </w:rPr>
        <w:t>98,6 mil. eur zvýšenie bežného transferu pre Železničnú spoločnosť Slovensko, a. s. v porovnaní so schváleným rozpočtom roku 2021,</w:t>
      </w:r>
    </w:p>
    <w:p w:rsidR="00AA17E3" w:rsidRDefault="00AA17E3" w:rsidP="001E50EB">
      <w:pPr>
        <w:pStyle w:val="Odsekzoznamu"/>
        <w:numPr>
          <w:ilvl w:val="0"/>
          <w:numId w:val="16"/>
        </w:numPr>
        <w:spacing w:line="276" w:lineRule="auto"/>
        <w:jc w:val="both"/>
        <w:rPr>
          <w:rFonts w:ascii="Times New Roman" w:hAnsi="Times New Roman"/>
          <w:bCs/>
        </w:rPr>
      </w:pPr>
      <w:r>
        <w:rPr>
          <w:rFonts w:ascii="Times New Roman" w:hAnsi="Times New Roman"/>
          <w:bCs/>
        </w:rPr>
        <w:t>2,48 mil. eur zvýšenie výdavkov na informačné technológie financované zo zdrojov štátneho rozpočtu v porovnaní so schváleným rozpočtom roku 2021.</w:t>
      </w:r>
    </w:p>
    <w:p w:rsidR="001E50EB" w:rsidRDefault="001E50EB" w:rsidP="001E50EB">
      <w:pPr>
        <w:spacing w:after="0"/>
        <w:jc w:val="both"/>
        <w:rPr>
          <w:rFonts w:ascii="Times New Roman" w:hAnsi="Times New Roman" w:cs="Times New Roman"/>
          <w:b/>
          <w:bCs/>
          <w:color w:val="5B9BD5" w:themeColor="accent1"/>
          <w:sz w:val="24"/>
        </w:rPr>
      </w:pPr>
    </w:p>
    <w:p w:rsidR="00AA17E3" w:rsidRDefault="00AA17E3" w:rsidP="001E50EB">
      <w:pPr>
        <w:spacing w:after="0"/>
        <w:jc w:val="both"/>
        <w:rPr>
          <w:rFonts w:ascii="Times New Roman" w:hAnsi="Times New Roman" w:cs="Times New Roman"/>
          <w:b/>
          <w:bCs/>
          <w:color w:val="5B9BD5" w:themeColor="accent1"/>
          <w:sz w:val="24"/>
        </w:rPr>
      </w:pPr>
      <w:r>
        <w:rPr>
          <w:rFonts w:ascii="Times New Roman" w:hAnsi="Times New Roman" w:cs="Times New Roman"/>
          <w:b/>
          <w:bCs/>
          <w:color w:val="5B9BD5" w:themeColor="accent1"/>
          <w:sz w:val="24"/>
        </w:rPr>
        <w:t>Investície do dopravnej infraštruktúry</w:t>
      </w:r>
    </w:p>
    <w:p w:rsidR="001E50EB" w:rsidRDefault="001E50EB" w:rsidP="001E50EB">
      <w:pPr>
        <w:spacing w:after="0"/>
        <w:jc w:val="both"/>
        <w:rPr>
          <w:rFonts w:ascii="Times New Roman" w:hAnsi="Times New Roman" w:cs="Times New Roman"/>
          <w:bCs/>
          <w:sz w:val="24"/>
        </w:rPr>
      </w:pPr>
    </w:p>
    <w:p w:rsidR="00AA17E3" w:rsidRDefault="00AA17E3" w:rsidP="001E50EB">
      <w:pPr>
        <w:spacing w:after="0"/>
        <w:jc w:val="both"/>
        <w:rPr>
          <w:rFonts w:ascii="Times New Roman" w:hAnsi="Times New Roman" w:cs="Times New Roman"/>
          <w:bCs/>
          <w:sz w:val="24"/>
        </w:rPr>
      </w:pPr>
      <w:r>
        <w:rPr>
          <w:rFonts w:ascii="Times New Roman" w:hAnsi="Times New Roman" w:cs="Times New Roman"/>
          <w:bCs/>
          <w:sz w:val="24"/>
        </w:rPr>
        <w:t xml:space="preserve">Výdavky na investície do dopravnej infraštruktúry na rok 2022 predstavujú </w:t>
      </w:r>
      <w:r w:rsidRPr="00733A4D">
        <w:rPr>
          <w:rFonts w:ascii="Times New Roman" w:hAnsi="Times New Roman" w:cs="Times New Roman"/>
          <w:b/>
          <w:bCs/>
          <w:color w:val="5B9BD5" w:themeColor="accent1"/>
          <w:sz w:val="24"/>
        </w:rPr>
        <w:t xml:space="preserve"> </w:t>
      </w:r>
      <w:r w:rsidRPr="00ED32A4">
        <w:rPr>
          <w:rFonts w:ascii="Times New Roman" w:hAnsi="Times New Roman" w:cs="Times New Roman"/>
          <w:bCs/>
          <w:sz w:val="24"/>
        </w:rPr>
        <w:t>1,71</w:t>
      </w:r>
      <w:r>
        <w:rPr>
          <w:rFonts w:ascii="Times New Roman" w:hAnsi="Times New Roman" w:cs="Times New Roman"/>
          <w:bCs/>
          <w:sz w:val="24"/>
        </w:rPr>
        <w:t xml:space="preserve"> mld. eur, z toho 696 mil. eur z prostriedkov EÚ, 111 mil. eur zo zdrojov spolufinanc</w:t>
      </w:r>
      <w:r w:rsidR="001E6B9B">
        <w:rPr>
          <w:rFonts w:ascii="Times New Roman" w:hAnsi="Times New Roman" w:cs="Times New Roman"/>
          <w:bCs/>
          <w:sz w:val="24"/>
        </w:rPr>
        <w:t>ovania zo štátneho rozpočtu, 722</w:t>
      </w:r>
      <w:r>
        <w:rPr>
          <w:rFonts w:ascii="Times New Roman" w:hAnsi="Times New Roman" w:cs="Times New Roman"/>
          <w:bCs/>
          <w:sz w:val="24"/>
        </w:rPr>
        <w:t xml:space="preserve"> mil. eur zo zdrojov štátneho rozpočtu rozpočtovaný</w:t>
      </w:r>
      <w:r w:rsidR="001E6B9B">
        <w:rPr>
          <w:rFonts w:ascii="Times New Roman" w:hAnsi="Times New Roman" w:cs="Times New Roman"/>
          <w:bCs/>
          <w:sz w:val="24"/>
        </w:rPr>
        <w:t>ch v kapitole MDV SR a VPS a 177</w:t>
      </w:r>
      <w:r>
        <w:rPr>
          <w:rFonts w:ascii="Times New Roman" w:hAnsi="Times New Roman" w:cs="Times New Roman"/>
          <w:bCs/>
          <w:sz w:val="24"/>
        </w:rPr>
        <w:t xml:space="preserve"> mil. eur zo zdrojov CEF a vlastných zdrojov </w:t>
      </w:r>
      <w:r w:rsidRPr="00ED32A4">
        <w:rPr>
          <w:rFonts w:ascii="Times New Roman" w:hAnsi="Times New Roman" w:cs="Times New Roman"/>
          <w:bCs/>
          <w:sz w:val="24"/>
        </w:rPr>
        <w:t>Národne</w:t>
      </w:r>
      <w:r>
        <w:rPr>
          <w:rFonts w:ascii="Times New Roman" w:hAnsi="Times New Roman" w:cs="Times New Roman"/>
          <w:bCs/>
          <w:sz w:val="24"/>
        </w:rPr>
        <w:t>j diaľničnej spoločnosti, a. s.</w:t>
      </w:r>
      <w:r w:rsidRPr="00ED32A4">
        <w:rPr>
          <w:rFonts w:ascii="Times New Roman" w:hAnsi="Times New Roman" w:cs="Times New Roman"/>
          <w:bCs/>
          <w:sz w:val="24"/>
        </w:rPr>
        <w:t>, Železníc SR</w:t>
      </w:r>
      <w:r>
        <w:rPr>
          <w:rFonts w:ascii="Times New Roman" w:hAnsi="Times New Roman" w:cs="Times New Roman"/>
          <w:bCs/>
          <w:sz w:val="24"/>
        </w:rPr>
        <w:t>,</w:t>
      </w:r>
      <w:r w:rsidRPr="00ED32A4">
        <w:rPr>
          <w:rFonts w:ascii="Times New Roman" w:hAnsi="Times New Roman" w:cs="Times New Roman"/>
          <w:bCs/>
          <w:sz w:val="24"/>
        </w:rPr>
        <w:t xml:space="preserve">  Železničnej spoločnosti Slovensko,</w:t>
      </w:r>
      <w:r>
        <w:rPr>
          <w:rFonts w:ascii="Times New Roman" w:hAnsi="Times New Roman" w:cs="Times New Roman"/>
          <w:bCs/>
          <w:sz w:val="24"/>
        </w:rPr>
        <w:t xml:space="preserve"> </w:t>
      </w:r>
      <w:r w:rsidR="00D31A29">
        <w:rPr>
          <w:rFonts w:ascii="Times New Roman" w:hAnsi="Times New Roman" w:cs="Times New Roman"/>
          <w:bCs/>
          <w:sz w:val="24"/>
        </w:rPr>
        <w:t>a. s.</w:t>
      </w:r>
      <w:r>
        <w:rPr>
          <w:rFonts w:ascii="Times New Roman" w:hAnsi="Times New Roman" w:cs="Times New Roman"/>
          <w:bCs/>
          <w:sz w:val="24"/>
        </w:rPr>
        <w:t xml:space="preserve"> Uvedenými výdavkami sa zabezpečí financovanie výstavby ciest I. triedy, diaľnic a rýchlostných ciest,  nadradenej cestnej siete formou PPP projektov, modernizácia železničnej infraštruktúry, obnova mobilných prostriedkov a modernizácia verejnej osobnej dopravy. </w:t>
      </w:r>
    </w:p>
    <w:p w:rsidR="001E50EB" w:rsidRDefault="001E50EB" w:rsidP="001E50EB">
      <w:pPr>
        <w:spacing w:after="0"/>
        <w:jc w:val="both"/>
        <w:rPr>
          <w:rFonts w:ascii="Times New Roman" w:hAnsi="Times New Roman" w:cs="Times New Roman"/>
          <w:bCs/>
          <w:sz w:val="24"/>
        </w:rPr>
      </w:pPr>
    </w:p>
    <w:p w:rsidR="00AA17E3" w:rsidRDefault="00AA17E3" w:rsidP="00AA17E3">
      <w:pPr>
        <w:spacing w:after="0"/>
        <w:jc w:val="both"/>
        <w:rPr>
          <w:rFonts w:ascii="Times New Roman" w:hAnsi="Times New Roman" w:cs="Times New Roman"/>
          <w:bCs/>
          <w:sz w:val="24"/>
        </w:rPr>
      </w:pPr>
      <w:r w:rsidRPr="00984FA5">
        <w:rPr>
          <w:rFonts w:ascii="Times New Roman" w:hAnsi="Times New Roman" w:cs="Times New Roman"/>
          <w:bCs/>
          <w:sz w:val="24"/>
        </w:rPr>
        <w:t>Investície M</w:t>
      </w:r>
      <w:r>
        <w:rPr>
          <w:rFonts w:ascii="Times New Roman" w:hAnsi="Times New Roman" w:cs="Times New Roman"/>
          <w:bCs/>
          <w:sz w:val="24"/>
        </w:rPr>
        <w:t>inisterstva dopravy a výstavby</w:t>
      </w:r>
      <w:r w:rsidRPr="00984FA5">
        <w:rPr>
          <w:rFonts w:ascii="Times New Roman" w:hAnsi="Times New Roman" w:cs="Times New Roman"/>
          <w:bCs/>
          <w:sz w:val="24"/>
        </w:rPr>
        <w:t xml:space="preserve"> SR do ciest sú prehľadnejšie vďaka vytvoreniu metodiky priorít a zverejnenému investičnému plánu pre cesty. Zlepšenie procesu prípravy a plánovania projektov a ich priorizácia z pohľadu spoločenského a ekonomického prínosu zabezpečí lepšie dosahovanie cieľov dopravnej politiky. Slovensko má  v porovnaní s krajinami z EÚ 15 menej diaľnic a rýchlostných ciest, čo je typické pre konvergujúce krajiny</w:t>
      </w:r>
      <w:r>
        <w:rPr>
          <w:rFonts w:ascii="Times New Roman" w:hAnsi="Times New Roman" w:cs="Times New Roman"/>
          <w:bCs/>
          <w:sz w:val="24"/>
        </w:rPr>
        <w:t xml:space="preserve"> a zámerom je dobudovať cestnú infraštruktúru</w:t>
      </w:r>
      <w:r w:rsidRPr="00984FA5">
        <w:rPr>
          <w:rFonts w:ascii="Times New Roman" w:hAnsi="Times New Roman" w:cs="Times New Roman"/>
          <w:bCs/>
          <w:sz w:val="24"/>
        </w:rPr>
        <w:t xml:space="preserve">. </w:t>
      </w:r>
    </w:p>
    <w:p w:rsidR="00AA17E3" w:rsidRDefault="00AA17E3" w:rsidP="00AA17E3">
      <w:pPr>
        <w:spacing w:after="0"/>
        <w:jc w:val="both"/>
        <w:rPr>
          <w:rFonts w:ascii="Times New Roman" w:hAnsi="Times New Roman" w:cs="Times New Roman"/>
          <w:bCs/>
          <w:sz w:val="24"/>
        </w:rPr>
      </w:pPr>
    </w:p>
    <w:p w:rsidR="00AA17E3" w:rsidRDefault="00AA17E3" w:rsidP="00AA17E3">
      <w:pPr>
        <w:spacing w:after="0"/>
        <w:jc w:val="both"/>
        <w:rPr>
          <w:rFonts w:ascii="Times New Roman" w:hAnsi="Times New Roman" w:cs="Times New Roman"/>
          <w:b/>
          <w:iCs/>
          <w:color w:val="5B9BD5" w:themeColor="accent1"/>
          <w:sz w:val="24"/>
        </w:rPr>
      </w:pPr>
      <w:r w:rsidRPr="00CB562B">
        <w:rPr>
          <w:rFonts w:ascii="Times New Roman" w:hAnsi="Times New Roman" w:cs="Times New Roman"/>
          <w:b/>
          <w:iCs/>
          <w:color w:val="5B9BD5" w:themeColor="accent1"/>
          <w:sz w:val="24"/>
        </w:rPr>
        <w:t>Železničná infraštruktúra</w:t>
      </w:r>
    </w:p>
    <w:p w:rsidR="00AA17E3" w:rsidRDefault="00AA17E3" w:rsidP="00AA17E3">
      <w:pPr>
        <w:spacing w:after="0"/>
        <w:jc w:val="both"/>
        <w:rPr>
          <w:rFonts w:ascii="Times New Roman" w:hAnsi="Times New Roman" w:cs="Times New Roman"/>
          <w:b/>
          <w:iCs/>
          <w:color w:val="5B9BD5" w:themeColor="accent1"/>
          <w:sz w:val="24"/>
        </w:rPr>
      </w:pPr>
    </w:p>
    <w:p w:rsidR="00AA17E3" w:rsidRPr="00D55907" w:rsidRDefault="00AA17E3" w:rsidP="00AA17E3">
      <w:pPr>
        <w:spacing w:after="0"/>
        <w:jc w:val="both"/>
        <w:rPr>
          <w:rFonts w:ascii="Times New Roman" w:hAnsi="Times New Roman" w:cs="Times New Roman"/>
          <w:sz w:val="24"/>
        </w:rPr>
      </w:pPr>
      <w:r>
        <w:rPr>
          <w:rFonts w:asciiTheme="majorBidi" w:hAnsiTheme="majorBidi" w:cstheme="majorBidi"/>
          <w:sz w:val="24"/>
        </w:rPr>
        <w:t>V roku 2020 bola z</w:t>
      </w:r>
      <w:r w:rsidRPr="00D55907">
        <w:rPr>
          <w:rFonts w:asciiTheme="majorBidi" w:hAnsiTheme="majorBidi" w:cstheme="majorBidi"/>
          <w:sz w:val="24"/>
        </w:rPr>
        <w:t>verejnená metodika určovania priorít investícií</w:t>
      </w:r>
      <w:r>
        <w:rPr>
          <w:rFonts w:asciiTheme="majorBidi" w:hAnsiTheme="majorBidi" w:cstheme="majorBidi"/>
          <w:sz w:val="24"/>
        </w:rPr>
        <w:t xml:space="preserve"> v železničnej infraštruktúre</w:t>
      </w:r>
      <w:r w:rsidRPr="00D55907">
        <w:rPr>
          <w:rFonts w:asciiTheme="majorBidi" w:hAnsiTheme="majorBidi" w:cstheme="majorBidi"/>
          <w:sz w:val="24"/>
        </w:rPr>
        <w:t>, na ktorú bude nadväzovať investičný plán a zavedenie štandardov údržby</w:t>
      </w:r>
      <w:r w:rsidR="00352781">
        <w:rPr>
          <w:rFonts w:asciiTheme="majorBidi" w:hAnsiTheme="majorBidi" w:cstheme="majorBidi"/>
          <w:sz w:val="24"/>
        </w:rPr>
        <w:t>, čo</w:t>
      </w:r>
      <w:r w:rsidRPr="00D55907">
        <w:rPr>
          <w:rFonts w:asciiTheme="majorBidi" w:hAnsiTheme="majorBidi" w:cstheme="majorBidi"/>
          <w:sz w:val="24"/>
        </w:rPr>
        <w:t xml:space="preserve"> v budúcnosti bude mať vplyv na zlepšenie stavu nosných železničných tratí s cieľom výrazného minimalizovania meškania vlakov a výlukových prác na týchto tratiach. Financovanie údržby tratí je </w:t>
      </w:r>
      <w:r w:rsidRPr="00D55907">
        <w:rPr>
          <w:rFonts w:ascii="Times New Roman" w:hAnsi="Times New Roman" w:cs="Times New Roman"/>
          <w:sz w:val="24"/>
        </w:rPr>
        <w:t xml:space="preserve">nedostatočné a rozptýlené na veľký počet tratí. </w:t>
      </w:r>
      <w:r w:rsidRPr="00D55907">
        <w:rPr>
          <w:rFonts w:asciiTheme="majorBidi" w:hAnsiTheme="majorBidi" w:cstheme="majorBidi"/>
          <w:sz w:val="24"/>
        </w:rPr>
        <w:t xml:space="preserve">Zvyšuje sa dĺžka tratí v nevyhovujúcom stave a akumuluje sa prevádzkový a údržbový dlh. </w:t>
      </w:r>
      <w:r w:rsidRPr="00D55907">
        <w:rPr>
          <w:rFonts w:ascii="Times New Roman" w:hAnsi="Times New Roman" w:cs="Times New Roman"/>
          <w:sz w:val="24"/>
        </w:rPr>
        <w:t>Prioritnou oblasťou pre investície preto bude zavádzanie diaľkového a zjednodušeného riadenia dopravy a rekonštrukcia najviac vyťažených tratí.</w:t>
      </w:r>
    </w:p>
    <w:p w:rsidR="00AA17E3" w:rsidRPr="00D55907" w:rsidRDefault="00AA17E3" w:rsidP="00AA17E3">
      <w:pPr>
        <w:spacing w:after="0"/>
        <w:jc w:val="both"/>
        <w:rPr>
          <w:rFonts w:asciiTheme="majorBidi" w:hAnsiTheme="majorBidi" w:cstheme="majorBidi"/>
          <w:sz w:val="24"/>
        </w:rPr>
      </w:pPr>
    </w:p>
    <w:p w:rsidR="00AA17E3" w:rsidRDefault="00AA17E3" w:rsidP="00AA17E3">
      <w:pPr>
        <w:spacing w:after="0"/>
        <w:jc w:val="both"/>
        <w:rPr>
          <w:rFonts w:asciiTheme="majorBidi" w:hAnsiTheme="majorBidi" w:cstheme="majorBidi"/>
          <w:sz w:val="24"/>
        </w:rPr>
      </w:pPr>
      <w:r w:rsidRPr="00D55907">
        <w:rPr>
          <w:rFonts w:asciiTheme="majorBidi" w:hAnsiTheme="majorBidi" w:cstheme="majorBidi"/>
          <w:sz w:val="24"/>
        </w:rPr>
        <w:t>Zlepšiť prehľadnosť a zvýšiť efektivitu vynaložených prostriedkov je možné oddelením prevádzkovej a investičnej dotácie. Je potrebné jasne definovať potrebnú úroveň prevádzkových nákladov a investičnú činnosť financovať samostatne na základe verejného a priorizovaného investičného plánu po vzore cestnej infraštruktúry.</w:t>
      </w:r>
      <w:r w:rsidRPr="00CB562B">
        <w:rPr>
          <w:rFonts w:asciiTheme="majorBidi" w:hAnsiTheme="majorBidi" w:cstheme="majorBidi"/>
          <w:sz w:val="24"/>
        </w:rPr>
        <w:t xml:space="preserve">  </w:t>
      </w:r>
    </w:p>
    <w:p w:rsidR="00EE11DA" w:rsidRPr="00CB562B" w:rsidRDefault="00EE11DA" w:rsidP="00AA17E3">
      <w:pPr>
        <w:spacing w:after="0"/>
        <w:jc w:val="both"/>
        <w:rPr>
          <w:rFonts w:asciiTheme="majorBidi" w:hAnsiTheme="majorBidi" w:cstheme="majorBidi"/>
          <w:sz w:val="24"/>
        </w:rPr>
      </w:pPr>
    </w:p>
    <w:tbl>
      <w:tblPr>
        <w:tblW w:w="5000" w:type="pct"/>
        <w:tblLook w:val="04A0" w:firstRow="1" w:lastRow="0" w:firstColumn="1" w:lastColumn="0" w:noHBand="0" w:noVBand="1"/>
      </w:tblPr>
      <w:tblGrid>
        <w:gridCol w:w="4380"/>
        <w:gridCol w:w="151"/>
        <w:gridCol w:w="104"/>
        <w:gridCol w:w="3007"/>
        <w:gridCol w:w="1430"/>
      </w:tblGrid>
      <w:tr w:rsidR="00AA17E3" w:rsidRPr="00C81CE8" w:rsidTr="00AA17E3">
        <w:trPr>
          <w:tblHeader/>
        </w:trPr>
        <w:tc>
          <w:tcPr>
            <w:tcW w:w="5000" w:type="pct"/>
            <w:gridSpan w:val="5"/>
            <w:hideMark/>
          </w:tcPr>
          <w:p w:rsidR="00AA17E3" w:rsidRPr="00CB562B" w:rsidRDefault="00AA17E3" w:rsidP="00216910">
            <w:pPr>
              <w:spacing w:after="0"/>
              <w:rPr>
                <w:rFonts w:ascii="Times New Roman" w:hAnsi="Times New Roman" w:cs="Times New Roman"/>
                <w:b/>
                <w:sz w:val="16"/>
                <w:szCs w:val="16"/>
              </w:rPr>
            </w:pPr>
            <w:bookmarkStart w:id="266" w:name="_Toc84528527"/>
            <w:bookmarkStart w:id="267" w:name="_Toc84848018"/>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27</w:t>
            </w:r>
            <w:r w:rsidRPr="006B209A">
              <w:rPr>
                <w:rFonts w:ascii="Times New Roman" w:hAnsi="Times New Roman" w:cs="Times New Roman"/>
                <w:b/>
                <w:iCs/>
                <w:color w:val="5B9BD5" w:themeColor="accent1"/>
                <w:sz w:val="20"/>
                <w:szCs w:val="20"/>
              </w:rPr>
              <w:fldChar w:fldCharType="end"/>
            </w:r>
            <w:r w:rsidR="00804037">
              <w:rPr>
                <w:rFonts w:ascii="Times New Roman" w:hAnsi="Times New Roman" w:cs="Times New Roman"/>
                <w:b/>
                <w:color w:val="5B9BD5" w:themeColor="accent1"/>
                <w:sz w:val="20"/>
                <w:szCs w:val="20"/>
              </w:rPr>
              <w:t xml:space="preserve"> -</w:t>
            </w:r>
            <w:r w:rsidRPr="00CB562B">
              <w:rPr>
                <w:rFonts w:ascii="Times New Roman" w:hAnsi="Times New Roman" w:cs="Times New Roman"/>
              </w:rPr>
              <w:t xml:space="preserve"> </w:t>
            </w:r>
            <w:r w:rsidRPr="00CB562B">
              <w:rPr>
                <w:rFonts w:ascii="Times New Roman" w:hAnsi="Times New Roman" w:cs="Times New Roman"/>
                <w:b/>
                <w:color w:val="5B9BD5" w:themeColor="accent1"/>
                <w:sz w:val="20"/>
                <w:szCs w:val="20"/>
              </w:rPr>
              <w:t xml:space="preserve">Štruktúra nákladov (1000 ur/stav.  km) </w:t>
            </w:r>
            <w:r w:rsidR="00216910">
              <w:rPr>
                <w:rFonts w:ascii="Times New Roman" w:hAnsi="Times New Roman" w:cs="Times New Roman"/>
                <w:b/>
                <w:color w:val="5B9BD5" w:themeColor="accent1"/>
                <w:sz w:val="20"/>
                <w:szCs w:val="20"/>
              </w:rPr>
              <w:t>a s</w:t>
            </w:r>
            <w:r w:rsidRPr="00CB562B">
              <w:rPr>
                <w:rFonts w:ascii="Times New Roman" w:hAnsi="Times New Roman" w:cs="Times New Roman"/>
                <w:b/>
                <w:color w:val="5B9BD5" w:themeColor="accent1"/>
                <w:sz w:val="20"/>
                <w:szCs w:val="20"/>
              </w:rPr>
              <w:t>tav tratí (% tratí v určitom stave podľa ACK</w:t>
            </w:r>
            <w:r w:rsidRPr="00CB562B">
              <w:rPr>
                <w:rStyle w:val="Odkaznapoznmkupodiarou"/>
                <w:rFonts w:ascii="Times New Roman" w:hAnsi="Times New Roman"/>
                <w:color w:val="5B9BD5" w:themeColor="accent1"/>
              </w:rPr>
              <w:footnoteReference w:id="47"/>
            </w:r>
            <w:bookmarkEnd w:id="266"/>
            <w:bookmarkEnd w:id="267"/>
          </w:p>
        </w:tc>
      </w:tr>
      <w:tr w:rsidR="00AA17E3" w:rsidRPr="00C81CE8" w:rsidTr="00AA17E3">
        <w:tblPrEx>
          <w:tblCellMar>
            <w:left w:w="70" w:type="dxa"/>
            <w:right w:w="70" w:type="dxa"/>
          </w:tblCellMar>
        </w:tblPrEx>
        <w:trPr>
          <w:tblHeader/>
        </w:trPr>
        <w:tc>
          <w:tcPr>
            <w:tcW w:w="2415" w:type="pct"/>
            <w:tcBorders>
              <w:top w:val="single" w:sz="4" w:space="0" w:color="auto"/>
              <w:bottom w:val="single" w:sz="4" w:space="0" w:color="auto"/>
            </w:tcBorders>
            <w:hideMark/>
          </w:tcPr>
          <w:p w:rsidR="00AA17E3" w:rsidRPr="00C81CE8" w:rsidRDefault="00AA17E3" w:rsidP="00AA17E3">
            <w:pPr>
              <w:rPr>
                <w:rFonts w:asciiTheme="majorBidi" w:hAnsiTheme="majorBidi" w:cstheme="majorBidi"/>
              </w:rPr>
            </w:pPr>
            <w:r>
              <w:rPr>
                <w:noProof/>
                <w:lang w:eastAsia="sk-SK"/>
              </w:rPr>
              <w:drawing>
                <wp:inline distT="0" distB="0" distL="0" distR="0" wp14:anchorId="47EACBA0" wp14:editId="15928E79">
                  <wp:extent cx="2889250" cy="180467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83" w:type="pct"/>
          </w:tcPr>
          <w:p w:rsidR="00AA17E3" w:rsidRPr="00C81CE8" w:rsidRDefault="00AA17E3" w:rsidP="00AA17E3">
            <w:pPr>
              <w:rPr>
                <w:rFonts w:asciiTheme="majorBidi" w:hAnsiTheme="majorBidi" w:cstheme="majorBidi"/>
              </w:rPr>
            </w:pPr>
          </w:p>
        </w:tc>
        <w:tc>
          <w:tcPr>
            <w:tcW w:w="2502" w:type="pct"/>
            <w:gridSpan w:val="3"/>
            <w:tcBorders>
              <w:top w:val="single" w:sz="4" w:space="0" w:color="auto"/>
            </w:tcBorders>
            <w:hideMark/>
          </w:tcPr>
          <w:p w:rsidR="00AA17E3" w:rsidRPr="00C81CE8" w:rsidRDefault="00AA17E3" w:rsidP="00AA17E3">
            <w:pPr>
              <w:rPr>
                <w:rFonts w:asciiTheme="majorBidi" w:hAnsiTheme="majorBidi" w:cstheme="majorBidi"/>
              </w:rPr>
            </w:pPr>
            <w:r>
              <w:rPr>
                <w:noProof/>
                <w:lang w:eastAsia="sk-SK"/>
              </w:rPr>
              <w:drawing>
                <wp:inline distT="0" distB="0" distL="0" distR="0" wp14:anchorId="3270672A" wp14:editId="1D327A5F">
                  <wp:extent cx="2981325" cy="1804946"/>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AA17E3" w:rsidRPr="00C81CE8" w:rsidTr="00AA17E3">
        <w:trPr>
          <w:tblHeader/>
        </w:trPr>
        <w:tc>
          <w:tcPr>
            <w:tcW w:w="2415" w:type="pct"/>
            <w:tcBorders>
              <w:top w:val="single" w:sz="4" w:space="0" w:color="auto"/>
            </w:tcBorders>
            <w:hideMark/>
          </w:tcPr>
          <w:p w:rsidR="00AA17E3" w:rsidRPr="002B073A" w:rsidRDefault="00AA17E3" w:rsidP="001E50EB">
            <w:pPr>
              <w:spacing w:after="0"/>
              <w:jc w:val="right"/>
              <w:rPr>
                <w:rFonts w:asciiTheme="majorBidi" w:hAnsiTheme="majorBidi" w:cstheme="majorBidi"/>
                <w:i/>
                <w:sz w:val="16"/>
                <w:szCs w:val="16"/>
              </w:rPr>
            </w:pPr>
            <w:r w:rsidRPr="002B073A">
              <w:rPr>
                <w:rFonts w:asciiTheme="majorBidi" w:hAnsiTheme="majorBidi" w:cstheme="majorBidi"/>
                <w:i/>
                <w:sz w:val="16"/>
                <w:szCs w:val="16"/>
              </w:rPr>
              <w:t xml:space="preserve">Zdroj: </w:t>
            </w:r>
            <w:r>
              <w:rPr>
                <w:rFonts w:asciiTheme="majorBidi" w:hAnsiTheme="majorBidi" w:cstheme="majorBidi"/>
                <w:i/>
                <w:sz w:val="16"/>
                <w:szCs w:val="16"/>
              </w:rPr>
              <w:t>MF SR (2019)</w:t>
            </w:r>
          </w:p>
        </w:tc>
        <w:tc>
          <w:tcPr>
            <w:tcW w:w="135" w:type="pct"/>
            <w:gridSpan w:val="2"/>
          </w:tcPr>
          <w:p w:rsidR="00AA17E3" w:rsidRPr="00C81CE8" w:rsidRDefault="00AA17E3" w:rsidP="001E50EB">
            <w:pPr>
              <w:spacing w:after="0"/>
              <w:jc w:val="right"/>
              <w:rPr>
                <w:rFonts w:asciiTheme="majorBidi" w:hAnsiTheme="majorBidi" w:cstheme="majorBidi"/>
                <w:i/>
                <w:sz w:val="18"/>
              </w:rPr>
            </w:pPr>
          </w:p>
        </w:tc>
        <w:tc>
          <w:tcPr>
            <w:tcW w:w="1663" w:type="pct"/>
            <w:tcBorders>
              <w:top w:val="single" w:sz="4" w:space="0" w:color="auto"/>
            </w:tcBorders>
            <w:hideMark/>
          </w:tcPr>
          <w:p w:rsidR="00AA17E3" w:rsidRPr="00C81CE8" w:rsidRDefault="00AA17E3" w:rsidP="001E50EB">
            <w:pPr>
              <w:spacing w:after="0"/>
              <w:rPr>
                <w:rFonts w:asciiTheme="majorBidi" w:hAnsiTheme="majorBidi" w:cstheme="majorBidi"/>
                <w:i/>
                <w:sz w:val="18"/>
              </w:rPr>
            </w:pPr>
            <w:r w:rsidRPr="00C81CE8">
              <w:rPr>
                <w:rFonts w:asciiTheme="majorBidi" w:hAnsiTheme="majorBidi" w:cstheme="majorBidi"/>
                <w:i/>
                <w:sz w:val="18"/>
              </w:rPr>
              <w:t>*53 % tratí v stave dobrý v r. 2019</w:t>
            </w:r>
          </w:p>
        </w:tc>
        <w:tc>
          <w:tcPr>
            <w:tcW w:w="787" w:type="pct"/>
            <w:tcBorders>
              <w:top w:val="single" w:sz="4" w:space="0" w:color="auto"/>
            </w:tcBorders>
          </w:tcPr>
          <w:p w:rsidR="00AA17E3" w:rsidRPr="002B073A" w:rsidRDefault="00AA17E3" w:rsidP="001E50EB">
            <w:pPr>
              <w:spacing w:after="0"/>
              <w:jc w:val="right"/>
              <w:rPr>
                <w:rFonts w:asciiTheme="majorBidi" w:hAnsiTheme="majorBidi" w:cstheme="majorBidi"/>
                <w:i/>
                <w:sz w:val="16"/>
                <w:szCs w:val="16"/>
              </w:rPr>
            </w:pPr>
            <w:r w:rsidRPr="002B073A">
              <w:rPr>
                <w:rFonts w:asciiTheme="majorBidi" w:hAnsiTheme="majorBidi" w:cstheme="majorBidi"/>
                <w:i/>
                <w:sz w:val="16"/>
                <w:szCs w:val="16"/>
              </w:rPr>
              <w:t>Zdroj: ZSR</w:t>
            </w:r>
          </w:p>
        </w:tc>
      </w:tr>
    </w:tbl>
    <w:p w:rsidR="00AA17E3" w:rsidRDefault="00AA17E3" w:rsidP="001E50EB">
      <w:pPr>
        <w:spacing w:after="0"/>
        <w:jc w:val="both"/>
        <w:rPr>
          <w:rFonts w:ascii="Times New Roman" w:hAnsi="Times New Roman" w:cs="Times New Roman"/>
          <w:b/>
          <w:iCs/>
          <w:color w:val="5B9BD5" w:themeColor="accent1"/>
          <w:sz w:val="24"/>
        </w:rPr>
      </w:pPr>
    </w:p>
    <w:p w:rsidR="00AA17E3" w:rsidRPr="00476EE9" w:rsidRDefault="00AA17E3" w:rsidP="00AA17E3">
      <w:pPr>
        <w:spacing w:after="0"/>
        <w:jc w:val="both"/>
        <w:rPr>
          <w:rFonts w:asciiTheme="majorBidi" w:hAnsiTheme="majorBidi" w:cstheme="majorBidi"/>
          <w:sz w:val="24"/>
        </w:rPr>
      </w:pPr>
      <w:r w:rsidRPr="00476EE9">
        <w:rPr>
          <w:rFonts w:asciiTheme="majorBidi" w:hAnsiTheme="majorBidi" w:cstheme="majorBidi"/>
          <w:bCs/>
          <w:sz w:val="24"/>
        </w:rPr>
        <w:t>Zlepšenie hospodárenia Ž</w:t>
      </w:r>
      <w:r>
        <w:rPr>
          <w:rFonts w:asciiTheme="majorBidi" w:hAnsiTheme="majorBidi" w:cstheme="majorBidi"/>
          <w:bCs/>
          <w:sz w:val="24"/>
        </w:rPr>
        <w:t xml:space="preserve">elezníc </w:t>
      </w:r>
      <w:r w:rsidRPr="00476EE9">
        <w:rPr>
          <w:rFonts w:asciiTheme="majorBidi" w:hAnsiTheme="majorBidi" w:cstheme="majorBidi"/>
          <w:bCs/>
          <w:sz w:val="24"/>
        </w:rPr>
        <w:t>SR je možné dosiahnuť</w:t>
      </w:r>
      <w:r w:rsidRPr="00476EE9">
        <w:rPr>
          <w:rFonts w:asciiTheme="majorBidi" w:hAnsiTheme="majorBidi" w:cstheme="majorBidi"/>
          <w:sz w:val="24"/>
        </w:rPr>
        <w:t xml:space="preserve"> zlepšením v riadení d</w:t>
      </w:r>
      <w:r>
        <w:rPr>
          <w:rFonts w:asciiTheme="majorBidi" w:hAnsiTheme="majorBidi" w:cstheme="majorBidi"/>
          <w:sz w:val="24"/>
        </w:rPr>
        <w:t>opravy</w:t>
      </w:r>
      <w:r w:rsidRPr="00476EE9">
        <w:rPr>
          <w:rFonts w:asciiTheme="majorBidi" w:hAnsiTheme="majorBidi" w:cstheme="majorBidi"/>
          <w:sz w:val="24"/>
        </w:rPr>
        <w:t xml:space="preserve"> zefektívnením interných procesov, obmedzením výdavkov do tratí s minimálnou dopravou, zefektívnením údržby a odpredajom nepotrebného majetku. Zmysluplná investícia do zabezpečovacích zariadení, najmä v oblasti diaľkového riadenia dopravy, prinášajúcich úsporu mzdových nákladov spolu s predchádzajúcimi opatreniami budú prinášať pri predpokladanej jednorazovej investícií v objeme 300 mil. eur odhadovanú úsporu 77 mil. eur každý nasledujúci rok. </w:t>
      </w:r>
    </w:p>
    <w:p w:rsidR="00AA17E3" w:rsidRPr="000450DF" w:rsidRDefault="00AA17E3" w:rsidP="00AA17E3">
      <w:pPr>
        <w:spacing w:after="0"/>
        <w:jc w:val="both"/>
        <w:rPr>
          <w:rFonts w:asciiTheme="majorBidi" w:hAnsiTheme="majorBidi" w:cstheme="majorBidi"/>
          <w:sz w:val="24"/>
          <w:highlight w:val="yellow"/>
        </w:rPr>
      </w:pPr>
    </w:p>
    <w:p w:rsidR="00AA17E3" w:rsidRDefault="00AA17E3" w:rsidP="00AA17E3">
      <w:pPr>
        <w:spacing w:after="0"/>
        <w:jc w:val="both"/>
        <w:rPr>
          <w:rFonts w:ascii="Times New Roman" w:hAnsi="Times New Roman"/>
          <w:sz w:val="24"/>
        </w:rPr>
      </w:pPr>
      <w:r w:rsidRPr="00476EE9">
        <w:rPr>
          <w:rFonts w:asciiTheme="majorBidi" w:hAnsiTheme="majorBidi" w:cstheme="majorBidi"/>
          <w:bCs/>
          <w:sz w:val="24"/>
        </w:rPr>
        <w:t>Ďalším nástrojom na zefektívnenie fungovania je zmluva Ž</w:t>
      </w:r>
      <w:r>
        <w:rPr>
          <w:rFonts w:asciiTheme="majorBidi" w:hAnsiTheme="majorBidi" w:cstheme="majorBidi"/>
          <w:bCs/>
          <w:sz w:val="24"/>
        </w:rPr>
        <w:t xml:space="preserve">elezníc </w:t>
      </w:r>
      <w:r w:rsidRPr="00476EE9">
        <w:rPr>
          <w:rFonts w:asciiTheme="majorBidi" w:hAnsiTheme="majorBidi" w:cstheme="majorBidi"/>
          <w:bCs/>
          <w:sz w:val="24"/>
        </w:rPr>
        <w:t xml:space="preserve">SR </w:t>
      </w:r>
      <w:r w:rsidRPr="00476EE9">
        <w:rPr>
          <w:rFonts w:asciiTheme="majorBidi" w:hAnsiTheme="majorBidi" w:cstheme="majorBidi"/>
          <w:sz w:val="24"/>
        </w:rPr>
        <w:t>s</w:t>
      </w:r>
      <w:r>
        <w:rPr>
          <w:rFonts w:asciiTheme="majorBidi" w:hAnsiTheme="majorBidi" w:cstheme="majorBidi"/>
          <w:sz w:val="24"/>
        </w:rPr>
        <w:t> </w:t>
      </w:r>
      <w:r w:rsidRPr="00476EE9">
        <w:rPr>
          <w:rFonts w:asciiTheme="majorBidi" w:hAnsiTheme="majorBidi" w:cstheme="majorBidi"/>
          <w:sz w:val="24"/>
        </w:rPr>
        <w:t>M</w:t>
      </w:r>
      <w:r>
        <w:rPr>
          <w:rFonts w:asciiTheme="majorBidi" w:hAnsiTheme="majorBidi" w:cstheme="majorBidi"/>
          <w:sz w:val="24"/>
        </w:rPr>
        <w:t xml:space="preserve">inisterstva dopravy a výstavby </w:t>
      </w:r>
      <w:r w:rsidRPr="00476EE9">
        <w:rPr>
          <w:rFonts w:asciiTheme="majorBidi" w:hAnsiTheme="majorBidi" w:cstheme="majorBidi"/>
          <w:sz w:val="24"/>
        </w:rPr>
        <w:t>SR</w:t>
      </w:r>
      <w:r w:rsidRPr="00476EE9">
        <w:rPr>
          <w:rFonts w:asciiTheme="majorBidi" w:hAnsiTheme="majorBidi" w:cstheme="majorBidi"/>
          <w:bCs/>
          <w:sz w:val="24"/>
        </w:rPr>
        <w:t xml:space="preserve">, ktorej </w:t>
      </w:r>
      <w:r w:rsidRPr="00476EE9">
        <w:rPr>
          <w:rFonts w:asciiTheme="majorBidi" w:hAnsiTheme="majorBidi" w:cstheme="majorBidi"/>
          <w:sz w:val="24"/>
        </w:rPr>
        <w:t>systémové zmeny posilnia motiváciu manažmentu znižovať náklady, zlepšovať stav infraštruktúry a vytvoriť priestor na realizovanie ozdravných opatrení. Do zmluvy budú zahrnuté relevantné kľúčové výsledkové ukazovatele (KPI), ktorých plnenie bude naviazané na financovanie. Doplnkové výsledkové ukazovatele rozlíšia trate podľa ich využitia, čo vytvorí priestor pre cielený rozvoj významných tratí. Z dôvodu plynulého prechodu na nový model od roku 2022 je vhodné, aby dodatok na rok 2021 obsahoval už nové KPI.</w:t>
      </w:r>
      <w:r w:rsidRPr="00476EE9">
        <w:rPr>
          <w:rFonts w:asciiTheme="majorBidi" w:hAnsiTheme="majorBidi" w:cstheme="majorBidi"/>
          <w:b/>
          <w:sz w:val="24"/>
        </w:rPr>
        <w:t xml:space="preserve">   </w:t>
      </w:r>
    </w:p>
    <w:p w:rsidR="00AA17E3" w:rsidRPr="00BD25A1" w:rsidRDefault="00AA17E3" w:rsidP="00AA17E3">
      <w:pPr>
        <w:spacing w:after="0"/>
        <w:jc w:val="both"/>
        <w:rPr>
          <w:rFonts w:ascii="Times New Roman" w:hAnsi="Times New Roman" w:cs="Times New Roman"/>
          <w:bCs/>
          <w:sz w:val="24"/>
        </w:rPr>
      </w:pPr>
    </w:p>
    <w:p w:rsidR="00AA17E3" w:rsidRDefault="00AA17E3" w:rsidP="001E50EB">
      <w:pPr>
        <w:spacing w:after="0"/>
        <w:jc w:val="both"/>
        <w:rPr>
          <w:rFonts w:ascii="Times New Roman" w:hAnsi="Times New Roman" w:cs="Times New Roman"/>
          <w:b/>
          <w:bCs/>
          <w:color w:val="5B9BD5" w:themeColor="accent1"/>
          <w:sz w:val="24"/>
        </w:rPr>
      </w:pPr>
      <w:r w:rsidRPr="00733A4D">
        <w:rPr>
          <w:rFonts w:ascii="Times New Roman" w:hAnsi="Times New Roman" w:cs="Times New Roman"/>
          <w:b/>
          <w:bCs/>
          <w:color w:val="5B9BD5" w:themeColor="accent1"/>
          <w:sz w:val="24"/>
        </w:rPr>
        <w:t xml:space="preserve">Cestná doprava </w:t>
      </w:r>
    </w:p>
    <w:p w:rsidR="001E50EB" w:rsidRDefault="001E50EB" w:rsidP="001E50EB">
      <w:pPr>
        <w:spacing w:after="0"/>
        <w:jc w:val="both"/>
        <w:rPr>
          <w:rFonts w:ascii="Times New Roman" w:hAnsi="Times New Roman" w:cs="Times New Roman"/>
          <w:b/>
          <w:bCs/>
          <w:color w:val="5B9BD5" w:themeColor="accent1"/>
          <w:sz w:val="24"/>
        </w:rPr>
      </w:pPr>
    </w:p>
    <w:p w:rsidR="00AA17E3" w:rsidRPr="00837A41" w:rsidRDefault="00AA17E3" w:rsidP="001E50EB">
      <w:pPr>
        <w:spacing w:after="0"/>
        <w:jc w:val="both"/>
        <w:rPr>
          <w:rFonts w:ascii="Times New Roman" w:hAnsi="Times New Roman" w:cs="Times New Roman"/>
          <w:bCs/>
          <w:sz w:val="24"/>
        </w:rPr>
      </w:pPr>
      <w:r>
        <w:rPr>
          <w:rFonts w:ascii="Times New Roman" w:hAnsi="Times New Roman"/>
          <w:sz w:val="24"/>
        </w:rPr>
        <w:t xml:space="preserve">Výdavky na cestnú dopravu v roku 2022 v sume 398 mil. eur </w:t>
      </w:r>
      <w:r w:rsidRPr="00ED32A4">
        <w:rPr>
          <w:rFonts w:ascii="Times New Roman" w:hAnsi="Times New Roman"/>
          <w:sz w:val="24"/>
        </w:rPr>
        <w:t>smerujú na s</w:t>
      </w:r>
      <w:r w:rsidRPr="00ED32A4">
        <w:rPr>
          <w:rFonts w:ascii="Times New Roman" w:hAnsi="Times New Roman" w:cs="Times New Roman"/>
          <w:sz w:val="24"/>
        </w:rPr>
        <w:t>právu, údržbu</w:t>
      </w:r>
      <w:r>
        <w:rPr>
          <w:rFonts w:ascii="Times New Roman" w:hAnsi="Times New Roman" w:cs="Times New Roman"/>
          <w:sz w:val="24"/>
        </w:rPr>
        <w:br/>
      </w:r>
      <w:r w:rsidRPr="00ED32A4">
        <w:rPr>
          <w:rFonts w:ascii="Times New Roman" w:hAnsi="Times New Roman" w:cs="Times New Roman"/>
          <w:sz w:val="24"/>
        </w:rPr>
        <w:t>a opravy ciest I. triedy prostredníctvom S</w:t>
      </w:r>
      <w:r>
        <w:rPr>
          <w:rFonts w:ascii="Times New Roman" w:hAnsi="Times New Roman" w:cs="Times New Roman"/>
          <w:sz w:val="24"/>
        </w:rPr>
        <w:t>lovenskej správy ciest</w:t>
      </w:r>
      <w:r w:rsidRPr="00ED32A4">
        <w:rPr>
          <w:rFonts w:ascii="Times New Roman" w:hAnsi="Times New Roman" w:cs="Times New Roman"/>
          <w:sz w:val="24"/>
        </w:rPr>
        <w:t xml:space="preserve"> a na správu, údržbu a opravy diaľnic a rýchlostných ciest prostredníctvom N</w:t>
      </w:r>
      <w:r>
        <w:rPr>
          <w:rFonts w:ascii="Times New Roman" w:hAnsi="Times New Roman" w:cs="Times New Roman"/>
          <w:sz w:val="24"/>
        </w:rPr>
        <w:t>árodnej diaľničnej spoločnosti, a. s</w:t>
      </w:r>
      <w:r w:rsidRPr="00ED32A4">
        <w:rPr>
          <w:rFonts w:ascii="Times New Roman" w:hAnsi="Times New Roman" w:cs="Times New Roman"/>
          <w:sz w:val="24"/>
        </w:rPr>
        <w:t>.</w:t>
      </w:r>
      <w:r>
        <w:rPr>
          <w:rFonts w:ascii="Times New Roman" w:hAnsi="Times New Roman" w:cs="Times New Roman"/>
          <w:sz w:val="24"/>
        </w:rPr>
        <w:t xml:space="preserve"> </w:t>
      </w:r>
      <w:r w:rsidRPr="00ED32A4">
        <w:rPr>
          <w:rFonts w:ascii="Times New Roman" w:hAnsi="Times New Roman" w:cs="Times New Roman"/>
          <w:sz w:val="24"/>
        </w:rPr>
        <w:t xml:space="preserve"> </w:t>
      </w:r>
      <w:r w:rsidRPr="00ED32A4">
        <w:rPr>
          <w:rFonts w:ascii="Times New Roman" w:hAnsi="Times New Roman" w:cs="Times New Roman"/>
          <w:bCs/>
          <w:sz w:val="24"/>
        </w:rPr>
        <w:t>V uvedených výdavkoch je premietnuté zvýšenie výdavkov na</w:t>
      </w:r>
      <w:r w:rsidRPr="00074F4A">
        <w:rPr>
          <w:rFonts w:ascii="Times New Roman" w:hAnsi="Times New Roman" w:cs="Times New Roman"/>
          <w:bCs/>
          <w:sz w:val="24"/>
        </w:rPr>
        <w:t xml:space="preserve"> </w:t>
      </w:r>
      <w:r w:rsidRPr="00ED32A4">
        <w:rPr>
          <w:rFonts w:ascii="Times New Roman" w:hAnsi="Times New Roman" w:cs="Times New Roman"/>
          <w:bCs/>
          <w:sz w:val="24"/>
        </w:rPr>
        <w:t>realizáci</w:t>
      </w:r>
      <w:r>
        <w:rPr>
          <w:rFonts w:ascii="Times New Roman" w:hAnsi="Times New Roman" w:cs="Times New Roman"/>
          <w:bCs/>
          <w:sz w:val="24"/>
        </w:rPr>
        <w:t>u</w:t>
      </w:r>
      <w:r w:rsidRPr="00ED32A4">
        <w:rPr>
          <w:rFonts w:ascii="Times New Roman" w:hAnsi="Times New Roman" w:cs="Times New Roman"/>
          <w:bCs/>
          <w:sz w:val="24"/>
        </w:rPr>
        <w:t xml:space="preserve"> zvýšenej údržby a opravy ciest I. triedy vrátane veľkoplošných opráv.</w:t>
      </w:r>
    </w:p>
    <w:p w:rsidR="00AA17E3" w:rsidRPr="00D55907" w:rsidRDefault="00AA17E3" w:rsidP="00AA17E3">
      <w:pPr>
        <w:spacing w:after="0"/>
        <w:jc w:val="both"/>
        <w:rPr>
          <w:rFonts w:ascii="Times New Roman" w:hAnsi="Times New Roman"/>
          <w:sz w:val="24"/>
        </w:rPr>
      </w:pPr>
    </w:p>
    <w:p w:rsidR="00AA17E3" w:rsidRDefault="00AA17E3" w:rsidP="00AA17E3">
      <w:pPr>
        <w:spacing w:after="0"/>
        <w:jc w:val="both"/>
        <w:rPr>
          <w:rFonts w:ascii="Times New Roman" w:hAnsi="Times New Roman"/>
          <w:sz w:val="24"/>
        </w:rPr>
      </w:pPr>
      <w:r w:rsidRPr="00D55907">
        <w:rPr>
          <w:rFonts w:ascii="Times New Roman" w:hAnsi="Times New Roman"/>
          <w:sz w:val="24"/>
        </w:rPr>
        <w:t>Výdavky na údržbu ciest dosahujú od roku 2021 dostatočnú úroveň vďaka podpísaniu rámcovej zmluvy na celoplošné opravy ciest celkovo za 200 mil. eur. Dokončenie čerpania sa predpokladá v roku 2024.</w:t>
      </w:r>
      <w:r>
        <w:rPr>
          <w:rFonts w:ascii="Times New Roman" w:hAnsi="Times New Roman"/>
          <w:sz w:val="24"/>
        </w:rPr>
        <w:t xml:space="preserve"> V roku 2022 s</w:t>
      </w:r>
      <w:r w:rsidR="00D23D04">
        <w:rPr>
          <w:rFonts w:ascii="Times New Roman" w:hAnsi="Times New Roman"/>
          <w:sz w:val="24"/>
        </w:rPr>
        <w:t>a rozpočtujú výdavky v sume 90,5</w:t>
      </w:r>
      <w:r>
        <w:rPr>
          <w:rFonts w:ascii="Times New Roman" w:hAnsi="Times New Roman"/>
          <w:sz w:val="24"/>
        </w:rPr>
        <w:t xml:space="preserve"> mil. eur, z toho 50,0 mil. eur na celoplošné úpravy.</w:t>
      </w:r>
    </w:p>
    <w:p w:rsidR="00AA17E3" w:rsidRPr="00CB562B" w:rsidRDefault="00AA17E3" w:rsidP="00AA17E3">
      <w:pPr>
        <w:spacing w:after="0"/>
        <w:jc w:val="both"/>
        <w:rPr>
          <w:rFonts w:ascii="Times New Roman" w:hAnsi="Times New Roman" w:cs="Times New Roman"/>
          <w:bCs/>
          <w:sz w:val="24"/>
        </w:rPr>
      </w:pPr>
    </w:p>
    <w:p w:rsidR="00AA17E3" w:rsidRPr="00B70ECA" w:rsidRDefault="00AA17E3" w:rsidP="00AA17E3">
      <w:pPr>
        <w:pStyle w:val="Popis"/>
        <w:keepNext/>
        <w:spacing w:after="0"/>
        <w:rPr>
          <w:rFonts w:ascii="Times New Roman" w:hAnsi="Times New Roman" w:cs="Times New Roman"/>
          <w:b/>
          <w:i w:val="0"/>
          <w:sz w:val="20"/>
          <w:szCs w:val="20"/>
        </w:rPr>
      </w:pPr>
      <w:bookmarkStart w:id="268" w:name="_Toc84528528"/>
      <w:bookmarkStart w:id="269" w:name="_Toc84848019"/>
      <w:r w:rsidRPr="006B209A">
        <w:rPr>
          <w:rFonts w:ascii="Times New Roman" w:hAnsi="Times New Roman" w:cs="Times New Roman"/>
          <w:b/>
          <w:i w:val="0"/>
          <w:color w:val="5B9BD5" w:themeColor="accent1"/>
          <w:sz w:val="20"/>
          <w:szCs w:val="20"/>
        </w:rPr>
        <w:t xml:space="preserve">Graf </w:t>
      </w:r>
      <w:r w:rsidRPr="006B209A">
        <w:rPr>
          <w:rFonts w:ascii="Times New Roman" w:hAnsi="Times New Roman" w:cs="Times New Roman"/>
          <w:b/>
          <w:i w:val="0"/>
          <w:color w:val="5B9BD5" w:themeColor="accent1"/>
          <w:sz w:val="20"/>
          <w:szCs w:val="20"/>
        </w:rPr>
        <w:fldChar w:fldCharType="begin"/>
      </w:r>
      <w:r w:rsidRPr="006B209A">
        <w:rPr>
          <w:rFonts w:ascii="Times New Roman" w:hAnsi="Times New Roman" w:cs="Times New Roman"/>
          <w:b/>
          <w:i w:val="0"/>
          <w:color w:val="5B9BD5" w:themeColor="accent1"/>
          <w:sz w:val="20"/>
          <w:szCs w:val="20"/>
        </w:rPr>
        <w:instrText xml:space="preserve"> SEQ Obrázok \* ARABIC </w:instrText>
      </w:r>
      <w:r w:rsidRPr="006B209A">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28</w:t>
      </w:r>
      <w:r w:rsidRPr="006B209A">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sidRPr="004C1335">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V</w:t>
      </w:r>
      <w:r w:rsidRPr="00F03F3E">
        <w:rPr>
          <w:rFonts w:ascii="Times New Roman" w:hAnsi="Times New Roman" w:cs="Times New Roman"/>
          <w:b/>
          <w:i w:val="0"/>
          <w:color w:val="5B9BD5" w:themeColor="accent1"/>
          <w:sz w:val="20"/>
          <w:szCs w:val="20"/>
        </w:rPr>
        <w:t>ý</w:t>
      </w:r>
      <w:r w:rsidRPr="004D5FF5">
        <w:rPr>
          <w:rFonts w:ascii="Times New Roman" w:hAnsi="Times New Roman" w:cs="Times New Roman"/>
          <w:b/>
          <w:i w:val="0"/>
          <w:color w:val="5B9BD5" w:themeColor="accent1"/>
          <w:sz w:val="20"/>
          <w:szCs w:val="20"/>
        </w:rPr>
        <w:t>davky na údržbu ciest I. triedy (mil. eur)</w:t>
      </w:r>
      <w:bookmarkEnd w:id="268"/>
      <w:bookmarkEnd w:id="269"/>
    </w:p>
    <w:tbl>
      <w:tblPr>
        <w:tblStyle w:val="TableGrid2"/>
        <w:tblW w:w="91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97"/>
      </w:tblGrid>
      <w:tr w:rsidR="00AA17E3" w:rsidRPr="003167C6" w:rsidTr="00AA17E3">
        <w:trPr>
          <w:trHeight w:val="1348"/>
          <w:tblHeader/>
        </w:trPr>
        <w:tc>
          <w:tcPr>
            <w:tcW w:w="9197" w:type="dxa"/>
            <w:tcBorders>
              <w:top w:val="single" w:sz="4" w:space="0" w:color="auto"/>
              <w:bottom w:val="single" w:sz="4" w:space="0" w:color="auto"/>
            </w:tcBorders>
            <w:vAlign w:val="center"/>
          </w:tcPr>
          <w:p w:rsidR="00AA17E3" w:rsidRPr="00074624" w:rsidRDefault="00AA17E3" w:rsidP="00AA17E3">
            <w:pPr>
              <w:jc w:val="center"/>
              <w:rPr>
                <w:rFonts w:asciiTheme="majorBidi" w:hAnsiTheme="majorBidi" w:cstheme="majorBidi"/>
                <w:b/>
                <w:sz w:val="20"/>
                <w:szCs w:val="20"/>
                <w:u w:val="single"/>
                <w:lang w:val="sk-SK"/>
              </w:rPr>
            </w:pPr>
            <w:r>
              <w:rPr>
                <w:noProof/>
                <w:lang w:eastAsia="sk-SK"/>
              </w:rPr>
              <w:drawing>
                <wp:inline distT="0" distB="0" distL="0" distR="0" wp14:anchorId="348D4642" wp14:editId="2ACD3136">
                  <wp:extent cx="5629275" cy="211328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AA17E3" w:rsidRPr="00B70ECA" w:rsidTr="00AA17E3">
        <w:tblPrEx>
          <w:tblCellMar>
            <w:left w:w="108" w:type="dxa"/>
            <w:right w:w="108" w:type="dxa"/>
          </w:tblCellMar>
        </w:tblPrEx>
        <w:trPr>
          <w:trHeight w:val="117"/>
          <w:tblHeader/>
        </w:trPr>
        <w:tc>
          <w:tcPr>
            <w:tcW w:w="9197" w:type="dxa"/>
            <w:tcBorders>
              <w:top w:val="single" w:sz="4" w:space="0" w:color="auto"/>
            </w:tcBorders>
          </w:tcPr>
          <w:p w:rsidR="00AA17E3" w:rsidRPr="00B70ECA" w:rsidRDefault="00AA17E3" w:rsidP="00AA17E3">
            <w:pPr>
              <w:spacing w:before="40" w:after="40"/>
              <w:jc w:val="right"/>
              <w:rPr>
                <w:rFonts w:asciiTheme="majorBidi" w:hAnsiTheme="majorBidi" w:cstheme="majorBidi"/>
                <w:i/>
                <w:sz w:val="16"/>
                <w:szCs w:val="14"/>
                <w:lang w:val="sk-SK"/>
              </w:rPr>
            </w:pPr>
            <w:r w:rsidRPr="00B70ECA">
              <w:rPr>
                <w:rFonts w:asciiTheme="majorBidi" w:hAnsiTheme="majorBidi" w:cstheme="majorBidi"/>
                <w:i/>
                <w:sz w:val="16"/>
                <w:szCs w:val="14"/>
                <w:lang w:val="sk-SK"/>
              </w:rPr>
              <w:t>Zdroj: MF</w:t>
            </w:r>
            <w:r>
              <w:rPr>
                <w:rFonts w:asciiTheme="majorBidi" w:hAnsiTheme="majorBidi" w:cstheme="majorBidi"/>
                <w:i/>
                <w:sz w:val="16"/>
                <w:szCs w:val="14"/>
                <w:lang w:val="sk-SK"/>
              </w:rPr>
              <w:t xml:space="preserve"> </w:t>
            </w:r>
            <w:r w:rsidRPr="00B70ECA">
              <w:rPr>
                <w:rFonts w:asciiTheme="majorBidi" w:hAnsiTheme="majorBidi" w:cstheme="majorBidi"/>
                <w:i/>
                <w:sz w:val="16"/>
                <w:szCs w:val="14"/>
                <w:lang w:val="sk-SK"/>
              </w:rPr>
              <w:t xml:space="preserve">SR </w:t>
            </w:r>
          </w:p>
        </w:tc>
      </w:tr>
    </w:tbl>
    <w:p w:rsidR="00AA17E3" w:rsidRDefault="00AA17E3" w:rsidP="00AA17E3">
      <w:pPr>
        <w:spacing w:after="0"/>
        <w:jc w:val="both"/>
        <w:rPr>
          <w:rFonts w:ascii="Times New Roman" w:hAnsi="Times New Roman"/>
          <w:sz w:val="24"/>
        </w:rPr>
      </w:pPr>
    </w:p>
    <w:p w:rsidR="00AA17E3" w:rsidRDefault="00AA17E3" w:rsidP="00AA17E3">
      <w:pPr>
        <w:spacing w:after="0"/>
        <w:jc w:val="both"/>
        <w:rPr>
          <w:rFonts w:ascii="Times New Roman" w:hAnsi="Times New Roman" w:cs="Times New Roman"/>
          <w:b/>
          <w:color w:val="5B9BD5" w:themeColor="accent1"/>
          <w:sz w:val="24"/>
        </w:rPr>
      </w:pPr>
      <w:r w:rsidRPr="00CB562B">
        <w:rPr>
          <w:rFonts w:ascii="Times New Roman" w:hAnsi="Times New Roman" w:cs="Times New Roman"/>
          <w:b/>
          <w:color w:val="5B9BD5" w:themeColor="accent1"/>
          <w:sz w:val="24"/>
        </w:rPr>
        <w:t>Železničná doprava</w:t>
      </w:r>
    </w:p>
    <w:p w:rsidR="004004BC" w:rsidRPr="00CB562B" w:rsidRDefault="004004BC" w:rsidP="00AA17E3">
      <w:pPr>
        <w:spacing w:after="0"/>
        <w:jc w:val="both"/>
        <w:rPr>
          <w:rFonts w:ascii="Times New Roman" w:hAnsi="Times New Roman" w:cs="Times New Roman"/>
          <w:b/>
          <w:color w:val="5B9BD5" w:themeColor="accent1"/>
          <w:sz w:val="24"/>
        </w:rPr>
      </w:pPr>
    </w:p>
    <w:p w:rsidR="00AA17E3" w:rsidRDefault="00AA17E3" w:rsidP="00AA17E3">
      <w:pPr>
        <w:autoSpaceDE w:val="0"/>
        <w:autoSpaceDN w:val="0"/>
        <w:adjustRightInd w:val="0"/>
        <w:spacing w:after="0"/>
        <w:jc w:val="both"/>
        <w:rPr>
          <w:rFonts w:ascii="Times New Roman" w:hAnsi="Times New Roman" w:cs="Times New Roman"/>
          <w:sz w:val="24"/>
        </w:rPr>
      </w:pPr>
      <w:r w:rsidRPr="00CB562B">
        <w:rPr>
          <w:rFonts w:ascii="Times New Roman" w:hAnsi="Times New Roman" w:cs="Times New Roman"/>
          <w:sz w:val="24"/>
        </w:rPr>
        <w:t>Na železničnú dopravu sú na rok 202</w:t>
      </w:r>
      <w:r>
        <w:rPr>
          <w:rFonts w:ascii="Times New Roman" w:hAnsi="Times New Roman" w:cs="Times New Roman"/>
          <w:sz w:val="24"/>
        </w:rPr>
        <w:t>2</w:t>
      </w:r>
      <w:r w:rsidRPr="00CB562B">
        <w:rPr>
          <w:rFonts w:ascii="Times New Roman" w:hAnsi="Times New Roman" w:cs="Times New Roman"/>
          <w:sz w:val="24"/>
        </w:rPr>
        <w:t xml:space="preserve"> rozpočtované výdavky vrátane výdavko</w:t>
      </w:r>
      <w:r>
        <w:rPr>
          <w:rFonts w:ascii="Times New Roman" w:hAnsi="Times New Roman" w:cs="Times New Roman"/>
          <w:sz w:val="24"/>
        </w:rPr>
        <w:t>v</w:t>
      </w:r>
      <w:r w:rsidRPr="00CB562B">
        <w:rPr>
          <w:rFonts w:ascii="Times New Roman" w:hAnsi="Times New Roman" w:cs="Times New Roman"/>
          <w:sz w:val="24"/>
        </w:rPr>
        <w:t xml:space="preserve"> Ž</w:t>
      </w:r>
      <w:r>
        <w:rPr>
          <w:rFonts w:ascii="Times New Roman" w:hAnsi="Times New Roman" w:cs="Times New Roman"/>
          <w:sz w:val="24"/>
        </w:rPr>
        <w:t xml:space="preserve">elezníc </w:t>
      </w:r>
      <w:r w:rsidRPr="00CB562B">
        <w:rPr>
          <w:rFonts w:ascii="Times New Roman" w:hAnsi="Times New Roman" w:cs="Times New Roman"/>
          <w:sz w:val="24"/>
        </w:rPr>
        <w:t>SR a</w:t>
      </w:r>
      <w:r>
        <w:rPr>
          <w:rFonts w:ascii="Times New Roman" w:hAnsi="Times New Roman" w:cs="Times New Roman"/>
          <w:sz w:val="24"/>
        </w:rPr>
        <w:t xml:space="preserve"> Železničnej spoločnosti </w:t>
      </w:r>
      <w:r w:rsidRPr="00CB562B">
        <w:rPr>
          <w:rFonts w:ascii="Times New Roman" w:hAnsi="Times New Roman" w:cs="Times New Roman"/>
          <w:sz w:val="24"/>
        </w:rPr>
        <w:t>S</w:t>
      </w:r>
      <w:r>
        <w:rPr>
          <w:rFonts w:ascii="Times New Roman" w:hAnsi="Times New Roman" w:cs="Times New Roman"/>
          <w:sz w:val="24"/>
        </w:rPr>
        <w:t>lovensko, a. s.</w:t>
      </w:r>
      <w:r w:rsidRPr="00CB562B">
        <w:rPr>
          <w:rFonts w:ascii="Times New Roman" w:hAnsi="Times New Roman" w:cs="Times New Roman"/>
          <w:sz w:val="24"/>
        </w:rPr>
        <w:t xml:space="preserve"> v sume 1,</w:t>
      </w:r>
      <w:r>
        <w:rPr>
          <w:rFonts w:ascii="Times New Roman" w:hAnsi="Times New Roman" w:cs="Times New Roman"/>
          <w:sz w:val="24"/>
        </w:rPr>
        <w:t>02</w:t>
      </w:r>
      <w:r w:rsidRPr="00CB562B">
        <w:rPr>
          <w:rFonts w:ascii="Times New Roman" w:hAnsi="Times New Roman" w:cs="Times New Roman"/>
          <w:sz w:val="24"/>
        </w:rPr>
        <w:t xml:space="preserve"> mld. eur, čo v porovnaní so schváleným rozpočtom roku 202</w:t>
      </w:r>
      <w:r>
        <w:rPr>
          <w:rFonts w:ascii="Times New Roman" w:hAnsi="Times New Roman" w:cs="Times New Roman"/>
          <w:sz w:val="24"/>
        </w:rPr>
        <w:t>1</w:t>
      </w:r>
      <w:r w:rsidRPr="00CB562B">
        <w:rPr>
          <w:rFonts w:ascii="Times New Roman" w:hAnsi="Times New Roman" w:cs="Times New Roman"/>
          <w:sz w:val="24"/>
        </w:rPr>
        <w:t xml:space="preserve"> predstavuje zvýšenie o</w:t>
      </w:r>
      <w:r>
        <w:rPr>
          <w:rFonts w:ascii="Times New Roman" w:hAnsi="Times New Roman" w:cs="Times New Roman"/>
          <w:sz w:val="24"/>
        </w:rPr>
        <w:t> 92,8</w:t>
      </w:r>
      <w:r w:rsidRPr="00CB562B">
        <w:rPr>
          <w:rFonts w:ascii="Times New Roman" w:hAnsi="Times New Roman" w:cs="Times New Roman"/>
          <w:sz w:val="24"/>
        </w:rPr>
        <w:t xml:space="preserve"> mil. eur</w:t>
      </w:r>
      <w:r>
        <w:rPr>
          <w:rFonts w:ascii="Times New Roman" w:hAnsi="Times New Roman" w:cs="Times New Roman"/>
          <w:sz w:val="24"/>
        </w:rPr>
        <w:t xml:space="preserve">. Z uvedených výdavkov prostriedky zo štátneho rozpočtu predstavujú 264 mil. eur na dotáciu pre Železnice SR a 330 mil. eur na dotáciu pre Železničnú spoločnosti </w:t>
      </w:r>
      <w:r w:rsidRPr="00CB562B">
        <w:rPr>
          <w:rFonts w:ascii="Times New Roman" w:hAnsi="Times New Roman" w:cs="Times New Roman"/>
          <w:sz w:val="24"/>
        </w:rPr>
        <w:t>S</w:t>
      </w:r>
      <w:r>
        <w:rPr>
          <w:rFonts w:ascii="Times New Roman" w:hAnsi="Times New Roman" w:cs="Times New Roman"/>
          <w:sz w:val="24"/>
        </w:rPr>
        <w:t xml:space="preserve">lovensko, a. s. na </w:t>
      </w:r>
      <w:r w:rsidRPr="00476EE9">
        <w:rPr>
          <w:rFonts w:ascii="Times New Roman" w:hAnsi="Times New Roman" w:cs="Times New Roman"/>
          <w:sz w:val="24"/>
        </w:rPr>
        <w:t>úhrad</w:t>
      </w:r>
      <w:r>
        <w:rPr>
          <w:rFonts w:ascii="Times New Roman" w:hAnsi="Times New Roman" w:cs="Times New Roman"/>
          <w:sz w:val="24"/>
        </w:rPr>
        <w:t>u</w:t>
      </w:r>
      <w:r w:rsidRPr="00476EE9">
        <w:rPr>
          <w:rFonts w:ascii="Times New Roman" w:hAnsi="Times New Roman" w:cs="Times New Roman"/>
          <w:sz w:val="24"/>
        </w:rPr>
        <w:t xml:space="preserve"> za dopravné služby vo verejnom záujme</w:t>
      </w:r>
      <w:r>
        <w:rPr>
          <w:rFonts w:ascii="Times New Roman" w:hAnsi="Times New Roman" w:cs="Times New Roman"/>
          <w:sz w:val="24"/>
        </w:rPr>
        <w:t>.</w:t>
      </w:r>
    </w:p>
    <w:p w:rsidR="00AA17E3" w:rsidRPr="000450DF" w:rsidRDefault="00AA17E3" w:rsidP="00AA17E3">
      <w:pPr>
        <w:spacing w:after="0"/>
        <w:jc w:val="both"/>
        <w:rPr>
          <w:rFonts w:asciiTheme="majorBidi" w:hAnsiTheme="majorBidi" w:cstheme="majorBidi"/>
          <w:b/>
          <w:sz w:val="24"/>
          <w:highlight w:val="yellow"/>
        </w:rPr>
      </w:pPr>
    </w:p>
    <w:p w:rsidR="00AA17E3" w:rsidRDefault="00AA17E3" w:rsidP="00AA17E3">
      <w:pPr>
        <w:spacing w:after="0"/>
        <w:jc w:val="both"/>
        <w:rPr>
          <w:rFonts w:ascii="Times New Roman" w:hAnsi="Times New Roman" w:cs="Times New Roman"/>
          <w:b/>
          <w:iCs/>
          <w:color w:val="5B9BD5" w:themeColor="accent1"/>
          <w:sz w:val="24"/>
        </w:rPr>
      </w:pPr>
      <w:r w:rsidRPr="00476EE9">
        <w:rPr>
          <w:rFonts w:ascii="Times New Roman" w:hAnsi="Times New Roman" w:cs="Times New Roman"/>
          <w:b/>
          <w:iCs/>
          <w:color w:val="5B9BD5" w:themeColor="accent1"/>
          <w:sz w:val="24"/>
        </w:rPr>
        <w:t>Osobná železničná doprava</w:t>
      </w:r>
    </w:p>
    <w:p w:rsidR="00AA17E3" w:rsidRPr="00476EE9" w:rsidRDefault="00AA17E3" w:rsidP="00AA17E3">
      <w:pPr>
        <w:spacing w:after="0"/>
        <w:jc w:val="both"/>
        <w:rPr>
          <w:rFonts w:ascii="Times New Roman" w:hAnsi="Times New Roman" w:cs="Times New Roman"/>
          <w:b/>
          <w:iCs/>
          <w:color w:val="5B9BD5" w:themeColor="accent1"/>
          <w:sz w:val="24"/>
        </w:rPr>
      </w:pPr>
    </w:p>
    <w:p w:rsidR="00AA17E3" w:rsidRPr="002D5FA0" w:rsidRDefault="00AA17E3" w:rsidP="00AA17E3">
      <w:pPr>
        <w:spacing w:after="0"/>
        <w:jc w:val="both"/>
        <w:rPr>
          <w:rFonts w:asciiTheme="majorBidi" w:hAnsiTheme="majorBidi" w:cstheme="majorBidi"/>
          <w:sz w:val="24"/>
        </w:rPr>
      </w:pPr>
      <w:r w:rsidRPr="00476EE9">
        <w:rPr>
          <w:rFonts w:asciiTheme="majorBidi" w:hAnsiTheme="majorBidi" w:cstheme="majorBidi"/>
          <w:bCs/>
          <w:sz w:val="24"/>
        </w:rPr>
        <w:t xml:space="preserve">Kľúčový nástroj pre zabezpečenie kvalitného servisu pre občanov v železničnej doprave je zmluva o dopravných službách vo verejnom záujme štátu so </w:t>
      </w:r>
      <w:r>
        <w:rPr>
          <w:rFonts w:ascii="Times New Roman" w:hAnsi="Times New Roman" w:cs="Times New Roman"/>
          <w:sz w:val="24"/>
        </w:rPr>
        <w:t xml:space="preserve">Železničnou spoločnosťou </w:t>
      </w:r>
      <w:r w:rsidRPr="00CB562B">
        <w:rPr>
          <w:rFonts w:ascii="Times New Roman" w:hAnsi="Times New Roman" w:cs="Times New Roman"/>
          <w:sz w:val="24"/>
        </w:rPr>
        <w:t>S</w:t>
      </w:r>
      <w:r>
        <w:rPr>
          <w:rFonts w:ascii="Times New Roman" w:hAnsi="Times New Roman" w:cs="Times New Roman"/>
          <w:sz w:val="24"/>
        </w:rPr>
        <w:t>lovensko, a. s.</w:t>
      </w:r>
      <w:r w:rsidRPr="00476EE9">
        <w:rPr>
          <w:rFonts w:asciiTheme="majorBidi" w:hAnsiTheme="majorBidi" w:cstheme="majorBidi"/>
          <w:bCs/>
          <w:sz w:val="24"/>
        </w:rPr>
        <w:t xml:space="preserve"> </w:t>
      </w:r>
      <w:r w:rsidRPr="00476EE9">
        <w:rPr>
          <w:rFonts w:ascii="Times New Roman" w:hAnsi="Times New Roman" w:cs="Times New Roman"/>
          <w:sz w:val="24"/>
        </w:rPr>
        <w:t xml:space="preserve">Výška úhrady za dopravné služby vo verejnom záujme </w:t>
      </w:r>
      <w:r>
        <w:rPr>
          <w:rFonts w:ascii="Times New Roman" w:hAnsi="Times New Roman" w:cs="Times New Roman"/>
          <w:sz w:val="24"/>
        </w:rPr>
        <w:t xml:space="preserve">Železničnou spoločnosťou </w:t>
      </w:r>
      <w:r w:rsidRPr="00CB562B">
        <w:rPr>
          <w:rFonts w:ascii="Times New Roman" w:hAnsi="Times New Roman" w:cs="Times New Roman"/>
          <w:sz w:val="24"/>
        </w:rPr>
        <w:t>S</w:t>
      </w:r>
      <w:r>
        <w:rPr>
          <w:rFonts w:ascii="Times New Roman" w:hAnsi="Times New Roman" w:cs="Times New Roman"/>
          <w:sz w:val="24"/>
        </w:rPr>
        <w:t xml:space="preserve">lovensko, a. s. </w:t>
      </w:r>
      <w:r w:rsidRPr="00476EE9">
        <w:rPr>
          <w:rFonts w:ascii="Times New Roman" w:hAnsi="Times New Roman" w:cs="Times New Roman"/>
          <w:sz w:val="24"/>
        </w:rPr>
        <w:t xml:space="preserve">vychádza z rozdielu medzi </w:t>
      </w:r>
      <w:r w:rsidRPr="00476EE9">
        <w:rPr>
          <w:rFonts w:asciiTheme="majorBidi" w:hAnsiTheme="majorBidi" w:cstheme="majorBidi"/>
          <w:bCs/>
          <w:sz w:val="24"/>
        </w:rPr>
        <w:t>oprávnenými nákladmi a výnosmi</w:t>
      </w:r>
      <w:r w:rsidRPr="00476EE9">
        <w:rPr>
          <w:rFonts w:asciiTheme="majorBidi" w:hAnsiTheme="majorBidi" w:cstheme="majorBidi"/>
          <w:sz w:val="24"/>
        </w:rPr>
        <w:t>. Dotácia na vlakový kilometer sa od roku 2014 do roku 2019 zvýšila o 35 %. Príčinou sú najmä zrýchľujúci sa rast odpisov ako oprávnených nákladov. Odpisy v prepočte na vlkm narástli v rokoch 2010 až 2019 o 99 % a sú dnes takmer dvojnásobné oproti Českým dráham. Vhodné nastavenie novej zmluvy 2021 – 2030 prispeje ku väčšej efektivite a nastaví lepšie motivácie pre jednotlivých aktérov.</w:t>
      </w:r>
      <w:r w:rsidRPr="002D5FA0">
        <w:rPr>
          <w:rFonts w:asciiTheme="majorBidi" w:hAnsiTheme="majorBidi" w:cstheme="majorBidi"/>
          <w:sz w:val="24"/>
        </w:rPr>
        <w:t xml:space="preserve"> </w:t>
      </w:r>
    </w:p>
    <w:p w:rsidR="00AA17E3" w:rsidRDefault="00AA17E3"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p w:rsidR="004004BC" w:rsidRDefault="004004BC" w:rsidP="00AA17E3">
      <w:pPr>
        <w:spacing w:after="0"/>
        <w:jc w:val="both"/>
        <w:rPr>
          <w:rFonts w:asciiTheme="majorBidi" w:hAnsiTheme="majorBidi" w:cstheme="majorBidi"/>
          <w:sz w:val="24"/>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222"/>
        <w:gridCol w:w="4253"/>
      </w:tblGrid>
      <w:tr w:rsidR="00AA17E3" w:rsidTr="00AA17E3">
        <w:tc>
          <w:tcPr>
            <w:tcW w:w="9062" w:type="dxa"/>
            <w:gridSpan w:val="3"/>
          </w:tcPr>
          <w:p w:rsidR="00AA17E3" w:rsidRDefault="00AA17E3" w:rsidP="00216910">
            <w:pPr>
              <w:jc w:val="both"/>
              <w:rPr>
                <w:rFonts w:asciiTheme="majorBidi" w:hAnsiTheme="majorBidi" w:cstheme="majorBidi"/>
                <w:bCs/>
                <w:sz w:val="24"/>
              </w:rPr>
            </w:pPr>
            <w:bookmarkStart w:id="270" w:name="_Toc84528529"/>
            <w:bookmarkStart w:id="271" w:name="_Toc84848020"/>
            <w:r w:rsidRPr="006B209A">
              <w:rPr>
                <w:rFonts w:ascii="Times New Roman" w:hAnsi="Times New Roman"/>
                <w:b/>
                <w:iCs/>
                <w:color w:val="5B9BD5" w:themeColor="accent1"/>
                <w:sz w:val="20"/>
                <w:szCs w:val="20"/>
              </w:rPr>
              <w:t xml:space="preserve">Graf </w:t>
            </w:r>
            <w:r w:rsidRPr="006B209A">
              <w:rPr>
                <w:rFonts w:ascii="Times New Roman" w:hAnsi="Times New Roman"/>
                <w:b/>
                <w:iCs/>
                <w:color w:val="5B9BD5" w:themeColor="accent1"/>
                <w:sz w:val="20"/>
                <w:szCs w:val="20"/>
              </w:rPr>
              <w:fldChar w:fldCharType="begin"/>
            </w:r>
            <w:r w:rsidRPr="006B209A">
              <w:rPr>
                <w:rFonts w:ascii="Times New Roman" w:hAnsi="Times New Roman"/>
                <w:b/>
                <w:iCs/>
                <w:color w:val="5B9BD5" w:themeColor="accent1"/>
                <w:sz w:val="20"/>
                <w:szCs w:val="20"/>
              </w:rPr>
              <w:instrText xml:space="preserve"> SEQ Obrázok \* ARABIC </w:instrText>
            </w:r>
            <w:r w:rsidRPr="006B209A">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29</w:t>
            </w:r>
            <w:r w:rsidRPr="006B209A">
              <w:rPr>
                <w:rFonts w:ascii="Times New Roman" w:hAnsi="Times New Roman"/>
                <w:b/>
                <w:iCs/>
                <w:color w:val="5B9BD5" w:themeColor="accent1"/>
                <w:sz w:val="20"/>
                <w:szCs w:val="20"/>
              </w:rPr>
              <w:fldChar w:fldCharType="end"/>
            </w:r>
            <w:r w:rsidR="00804037">
              <w:rPr>
                <w:rFonts w:ascii="Times New Roman" w:hAnsi="Times New Roman"/>
                <w:b/>
                <w:color w:val="5B9BD5" w:themeColor="accent1"/>
                <w:sz w:val="20"/>
                <w:szCs w:val="20"/>
              </w:rPr>
              <w:t xml:space="preserve"> -</w:t>
            </w:r>
            <w:r w:rsidRPr="00CB562B">
              <w:rPr>
                <w:rFonts w:ascii="Times New Roman" w:hAnsi="Times New Roman"/>
              </w:rPr>
              <w:t xml:space="preserve"> </w:t>
            </w:r>
            <w:r w:rsidR="00503FEF">
              <w:rPr>
                <w:rFonts w:ascii="Times New Roman" w:hAnsi="Times New Roman"/>
                <w:b/>
                <w:color w:val="5B9BD5" w:themeColor="accent1"/>
                <w:sz w:val="20"/>
                <w:szCs w:val="20"/>
              </w:rPr>
              <w:t>V</w:t>
            </w:r>
            <w:r w:rsidRPr="001650E7">
              <w:rPr>
                <w:rFonts w:ascii="Times New Roman" w:hAnsi="Times New Roman"/>
                <w:b/>
                <w:color w:val="5B9BD5" w:themeColor="accent1"/>
                <w:sz w:val="20"/>
                <w:szCs w:val="20"/>
              </w:rPr>
              <w:t>ýška úhrady za dopravné služby</w:t>
            </w:r>
            <w:r w:rsidR="00216910">
              <w:rPr>
                <w:rFonts w:ascii="Times New Roman" w:hAnsi="Times New Roman"/>
                <w:b/>
                <w:color w:val="5B9BD5" w:themeColor="accent1"/>
                <w:sz w:val="20"/>
                <w:szCs w:val="20"/>
              </w:rPr>
              <w:t xml:space="preserve"> (mil. eur) a p</w:t>
            </w:r>
            <w:r>
              <w:rPr>
                <w:rFonts w:ascii="Times New Roman" w:hAnsi="Times New Roman"/>
                <w:b/>
                <w:color w:val="5B9BD5" w:themeColor="accent1"/>
                <w:sz w:val="20"/>
                <w:szCs w:val="20"/>
              </w:rPr>
              <w:t>omer odpisov ku najazdeným vlkm</w:t>
            </w:r>
            <w:bookmarkEnd w:id="270"/>
            <w:bookmarkEnd w:id="271"/>
          </w:p>
        </w:tc>
      </w:tr>
      <w:tr w:rsidR="00AA17E3" w:rsidTr="00AA17E3">
        <w:tblPrEx>
          <w:tblCellMar>
            <w:left w:w="70" w:type="dxa"/>
            <w:right w:w="70" w:type="dxa"/>
          </w:tblCellMar>
        </w:tblPrEx>
        <w:tc>
          <w:tcPr>
            <w:tcW w:w="4446" w:type="dxa"/>
            <w:tcBorders>
              <w:top w:val="single" w:sz="4" w:space="0" w:color="auto"/>
              <w:bottom w:val="single" w:sz="4" w:space="0" w:color="auto"/>
            </w:tcBorders>
          </w:tcPr>
          <w:p w:rsidR="00AA17E3" w:rsidRDefault="00AA17E3" w:rsidP="00AA17E3">
            <w:pPr>
              <w:jc w:val="both"/>
              <w:rPr>
                <w:rFonts w:asciiTheme="majorBidi" w:hAnsiTheme="majorBidi" w:cstheme="majorBidi"/>
                <w:bCs/>
                <w:sz w:val="24"/>
              </w:rPr>
            </w:pPr>
            <w:r>
              <w:rPr>
                <w:noProof/>
                <w:lang w:eastAsia="sk-SK"/>
              </w:rPr>
              <w:drawing>
                <wp:inline distT="0" distB="0" distL="0" distR="0" wp14:anchorId="1CE5B94A" wp14:editId="3402091A">
                  <wp:extent cx="2907102" cy="19494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235" w:type="dxa"/>
          </w:tcPr>
          <w:p w:rsidR="00AA17E3" w:rsidRDefault="00AA17E3" w:rsidP="00AA17E3">
            <w:pPr>
              <w:jc w:val="both"/>
              <w:rPr>
                <w:rFonts w:asciiTheme="majorBidi" w:hAnsiTheme="majorBidi" w:cstheme="majorBidi"/>
                <w:bCs/>
                <w:sz w:val="24"/>
              </w:rPr>
            </w:pPr>
          </w:p>
        </w:tc>
        <w:tc>
          <w:tcPr>
            <w:tcW w:w="4381" w:type="dxa"/>
            <w:tcBorders>
              <w:top w:val="single" w:sz="4" w:space="0" w:color="auto"/>
              <w:bottom w:val="single" w:sz="4" w:space="0" w:color="auto"/>
            </w:tcBorders>
          </w:tcPr>
          <w:p w:rsidR="00AA17E3" w:rsidRDefault="00AA17E3" w:rsidP="00AA17E3">
            <w:pPr>
              <w:jc w:val="both"/>
              <w:rPr>
                <w:rFonts w:asciiTheme="majorBidi" w:hAnsiTheme="majorBidi" w:cstheme="majorBidi"/>
                <w:bCs/>
                <w:sz w:val="24"/>
              </w:rPr>
            </w:pPr>
            <w:r>
              <w:rPr>
                <w:noProof/>
                <w:lang w:eastAsia="sk-SK"/>
              </w:rPr>
              <w:drawing>
                <wp:inline distT="0" distB="0" distL="0" distR="0" wp14:anchorId="4D23ED48" wp14:editId="7652BDE4">
                  <wp:extent cx="2682240" cy="1897380"/>
                  <wp:effectExtent l="0" t="0" r="0" b="0"/>
                  <wp:docPr id="224" name="Graf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AA17E3" w:rsidTr="00AA17E3">
        <w:tc>
          <w:tcPr>
            <w:tcW w:w="4446" w:type="dxa"/>
            <w:tcBorders>
              <w:top w:val="single" w:sz="4" w:space="0" w:color="auto"/>
            </w:tcBorders>
          </w:tcPr>
          <w:p w:rsidR="00AA17E3" w:rsidRDefault="00AA17E3" w:rsidP="00AA17E3">
            <w:pPr>
              <w:jc w:val="right"/>
              <w:rPr>
                <w:rFonts w:asciiTheme="majorBidi" w:hAnsiTheme="majorBidi" w:cstheme="majorBidi"/>
                <w:bCs/>
                <w:sz w:val="24"/>
              </w:rPr>
            </w:pPr>
            <w:r w:rsidRPr="002B073A">
              <w:rPr>
                <w:rFonts w:asciiTheme="majorBidi" w:hAnsiTheme="majorBidi" w:cstheme="majorBidi"/>
                <w:i/>
                <w:sz w:val="16"/>
                <w:szCs w:val="16"/>
              </w:rPr>
              <w:t xml:space="preserve">Zdroj: </w:t>
            </w:r>
            <w:r>
              <w:rPr>
                <w:rFonts w:asciiTheme="majorBidi" w:hAnsiTheme="majorBidi" w:cstheme="majorBidi"/>
                <w:i/>
                <w:sz w:val="16"/>
                <w:szCs w:val="16"/>
              </w:rPr>
              <w:t>MF SR, ZSSK. ČD</w:t>
            </w:r>
          </w:p>
        </w:tc>
        <w:tc>
          <w:tcPr>
            <w:tcW w:w="235" w:type="dxa"/>
          </w:tcPr>
          <w:p w:rsidR="00AA17E3" w:rsidRDefault="00AA17E3" w:rsidP="00AA17E3">
            <w:pPr>
              <w:jc w:val="both"/>
              <w:rPr>
                <w:rFonts w:asciiTheme="majorBidi" w:hAnsiTheme="majorBidi" w:cstheme="majorBidi"/>
                <w:bCs/>
                <w:sz w:val="24"/>
              </w:rPr>
            </w:pPr>
          </w:p>
        </w:tc>
        <w:tc>
          <w:tcPr>
            <w:tcW w:w="4381" w:type="dxa"/>
            <w:tcBorders>
              <w:top w:val="single" w:sz="4" w:space="0" w:color="auto"/>
            </w:tcBorders>
          </w:tcPr>
          <w:p w:rsidR="00AA17E3" w:rsidRDefault="00AA17E3" w:rsidP="00AA17E3">
            <w:pPr>
              <w:jc w:val="right"/>
              <w:rPr>
                <w:rFonts w:asciiTheme="majorBidi" w:hAnsiTheme="majorBidi" w:cstheme="majorBidi"/>
                <w:bCs/>
                <w:sz w:val="24"/>
              </w:rPr>
            </w:pPr>
            <w:r w:rsidRPr="002B073A">
              <w:rPr>
                <w:rFonts w:asciiTheme="majorBidi" w:hAnsiTheme="majorBidi" w:cstheme="majorBidi"/>
                <w:i/>
                <w:sz w:val="16"/>
                <w:szCs w:val="16"/>
              </w:rPr>
              <w:t xml:space="preserve">Zdroj: </w:t>
            </w:r>
            <w:r>
              <w:rPr>
                <w:rFonts w:asciiTheme="majorBidi" w:hAnsiTheme="majorBidi" w:cstheme="majorBidi"/>
                <w:i/>
                <w:sz w:val="16"/>
                <w:szCs w:val="16"/>
              </w:rPr>
              <w:t>MF SR, ZSSK. ČD</w:t>
            </w:r>
          </w:p>
        </w:tc>
      </w:tr>
    </w:tbl>
    <w:p w:rsidR="004004BC" w:rsidRDefault="004004BC" w:rsidP="00AA17E3">
      <w:pPr>
        <w:spacing w:after="0"/>
        <w:jc w:val="both"/>
        <w:rPr>
          <w:rFonts w:asciiTheme="majorBidi" w:hAnsiTheme="majorBidi" w:cstheme="majorBidi"/>
          <w:bCs/>
          <w:sz w:val="24"/>
        </w:rPr>
      </w:pPr>
    </w:p>
    <w:p w:rsidR="00AA17E3" w:rsidRPr="00476EE9" w:rsidRDefault="00AA17E3" w:rsidP="00AA17E3">
      <w:pPr>
        <w:spacing w:after="0"/>
        <w:jc w:val="both"/>
        <w:rPr>
          <w:rFonts w:asciiTheme="majorBidi" w:hAnsiTheme="majorBidi" w:cstheme="majorBidi"/>
          <w:bCs/>
          <w:sz w:val="24"/>
        </w:rPr>
      </w:pPr>
      <w:r w:rsidRPr="00476EE9">
        <w:rPr>
          <w:rFonts w:asciiTheme="majorBidi" w:hAnsiTheme="majorBidi" w:cstheme="majorBidi"/>
          <w:bCs/>
          <w:sz w:val="24"/>
        </w:rPr>
        <w:t>M</w:t>
      </w:r>
      <w:r>
        <w:rPr>
          <w:rFonts w:asciiTheme="majorBidi" w:hAnsiTheme="majorBidi" w:cstheme="majorBidi"/>
          <w:bCs/>
          <w:sz w:val="24"/>
        </w:rPr>
        <w:t>inisterstvo financií</w:t>
      </w:r>
      <w:r w:rsidRPr="00476EE9">
        <w:rPr>
          <w:rFonts w:asciiTheme="majorBidi" w:hAnsiTheme="majorBidi" w:cstheme="majorBidi"/>
          <w:bCs/>
          <w:sz w:val="24"/>
        </w:rPr>
        <w:t xml:space="preserve"> SR a</w:t>
      </w:r>
      <w:r>
        <w:rPr>
          <w:rFonts w:asciiTheme="majorBidi" w:hAnsiTheme="majorBidi" w:cstheme="majorBidi"/>
          <w:bCs/>
          <w:sz w:val="24"/>
        </w:rPr>
        <w:t> </w:t>
      </w:r>
      <w:r w:rsidRPr="00476EE9">
        <w:rPr>
          <w:rFonts w:asciiTheme="majorBidi" w:hAnsiTheme="majorBidi" w:cstheme="majorBidi"/>
          <w:bCs/>
          <w:sz w:val="24"/>
        </w:rPr>
        <w:t>M</w:t>
      </w:r>
      <w:r>
        <w:rPr>
          <w:rFonts w:asciiTheme="majorBidi" w:hAnsiTheme="majorBidi" w:cstheme="majorBidi"/>
          <w:bCs/>
          <w:sz w:val="24"/>
        </w:rPr>
        <w:t>inisterstvo dopravy a výstavby S</w:t>
      </w:r>
      <w:r w:rsidRPr="00476EE9">
        <w:rPr>
          <w:rFonts w:asciiTheme="majorBidi" w:hAnsiTheme="majorBidi" w:cstheme="majorBidi"/>
          <w:bCs/>
          <w:sz w:val="24"/>
        </w:rPr>
        <w:t>R prijali v auguste 2021 Memorandum o spolupráci pri rozvoji osobnej železničnej dopravy. Hlavným opatrením vyplývajúcim z Memoranda je zavedenie záväzných limitov pre výšku úhrady za dopravné služby vo verejnom záujme. Výška limitov bude vopred stanovená v</w:t>
      </w:r>
      <w:r>
        <w:rPr>
          <w:rFonts w:asciiTheme="majorBidi" w:hAnsiTheme="majorBidi" w:cstheme="majorBidi"/>
          <w:bCs/>
          <w:sz w:val="24"/>
        </w:rPr>
        <w:t> rozpočte verejnej správy</w:t>
      </w:r>
      <w:r w:rsidRPr="00476EE9">
        <w:rPr>
          <w:rFonts w:asciiTheme="majorBidi" w:hAnsiTheme="majorBidi" w:cstheme="majorBidi"/>
          <w:bCs/>
          <w:sz w:val="24"/>
        </w:rPr>
        <w:t xml:space="preserve"> pre dané roky. Transparentne nastavené pravidlá zvýšia dlhodobú udržateľnosť financovania železničnej dopravy a posilnia motiváciu dopravcu zvyšovať prevádzkovú efektívnosť. Strany Memoranda sa dohodli na spolupráci pri vypracovaní nového plánu dopravnej obsluhy (PDO) s optimalizovaným grafikonom.   </w:t>
      </w:r>
    </w:p>
    <w:p w:rsidR="00AA17E3" w:rsidRPr="00476EE9" w:rsidRDefault="00AA17E3" w:rsidP="00AA17E3">
      <w:pPr>
        <w:spacing w:after="0"/>
        <w:jc w:val="both"/>
        <w:rPr>
          <w:rFonts w:asciiTheme="majorBidi" w:hAnsiTheme="majorBidi" w:cstheme="majorBidi"/>
          <w:bCs/>
          <w:sz w:val="24"/>
        </w:rPr>
      </w:pPr>
    </w:p>
    <w:p w:rsidR="00AA17E3" w:rsidRPr="00CB562B" w:rsidRDefault="00AA17E3" w:rsidP="00AA17E3">
      <w:pPr>
        <w:spacing w:after="0"/>
        <w:jc w:val="both"/>
        <w:rPr>
          <w:rFonts w:asciiTheme="majorBidi" w:hAnsiTheme="majorBidi" w:cstheme="majorBidi"/>
          <w:sz w:val="24"/>
        </w:rPr>
      </w:pPr>
      <w:r w:rsidRPr="00476EE9">
        <w:rPr>
          <w:rFonts w:asciiTheme="majorBidi" w:hAnsiTheme="majorBidi" w:cstheme="majorBidi"/>
          <w:bCs/>
          <w:sz w:val="24"/>
        </w:rPr>
        <w:t>Zefektívnením objednávky výkonov je možné pri súčasnej dotácii pridať až 30 % vlakových spojov. Vypracovaním nového PDO sa vytvorí priestor na optimalizáciu objednávky výkonov zo stany M</w:t>
      </w:r>
      <w:r>
        <w:rPr>
          <w:rFonts w:asciiTheme="majorBidi" w:hAnsiTheme="majorBidi" w:cstheme="majorBidi"/>
          <w:bCs/>
          <w:sz w:val="24"/>
        </w:rPr>
        <w:t>inisterstva dopravy a výstavby</w:t>
      </w:r>
      <w:r w:rsidRPr="00476EE9">
        <w:rPr>
          <w:rFonts w:asciiTheme="majorBidi" w:hAnsiTheme="majorBidi" w:cstheme="majorBidi"/>
          <w:bCs/>
          <w:sz w:val="24"/>
        </w:rPr>
        <w:t xml:space="preserve"> SR a nový cestovný poriadok prinesie lepšie využitie vozidiel a personálu. Dotácia na 1 kilometer</w:t>
      </w:r>
      <w:r>
        <w:rPr>
          <w:rFonts w:asciiTheme="majorBidi" w:hAnsiTheme="majorBidi" w:cstheme="majorBidi"/>
          <w:sz w:val="24"/>
        </w:rPr>
        <w:t xml:space="preserve"> objednávaný u Železničnej spoločnosti Slovensko, a. s.</w:t>
      </w:r>
      <w:r w:rsidRPr="00476EE9">
        <w:rPr>
          <w:rFonts w:asciiTheme="majorBidi" w:hAnsiTheme="majorBidi" w:cstheme="majorBidi"/>
          <w:sz w:val="24"/>
        </w:rPr>
        <w:t xml:space="preserve"> je oproti Česku (ČD) vyššia o 60 %.</w:t>
      </w:r>
      <w:r w:rsidRPr="00CB562B">
        <w:rPr>
          <w:rFonts w:asciiTheme="majorBidi" w:hAnsiTheme="majorBidi" w:cstheme="majorBidi"/>
          <w:sz w:val="24"/>
        </w:rPr>
        <w:t xml:space="preserve"> </w:t>
      </w:r>
    </w:p>
    <w:p w:rsidR="00AA17E3" w:rsidRDefault="00AA17E3" w:rsidP="00AA17E3">
      <w:pPr>
        <w:spacing w:after="0" w:line="240" w:lineRule="auto"/>
        <w:jc w:val="both"/>
        <w:rPr>
          <w:rFonts w:ascii="Times New Roman" w:hAnsi="Times New Roman" w:cs="Times New Roman"/>
          <w:b/>
          <w:bCs/>
          <w:color w:val="5B9BD5" w:themeColor="accent1"/>
          <w:sz w:val="24"/>
        </w:rPr>
      </w:pPr>
    </w:p>
    <w:p w:rsidR="00AA17E3" w:rsidRDefault="00AA17E3" w:rsidP="00AA17E3">
      <w:pPr>
        <w:spacing w:after="0" w:line="240" w:lineRule="auto"/>
        <w:jc w:val="both"/>
        <w:rPr>
          <w:rFonts w:ascii="Times New Roman" w:hAnsi="Times New Roman" w:cs="Times New Roman"/>
          <w:b/>
          <w:bCs/>
          <w:color w:val="5B9BD5" w:themeColor="accent1"/>
          <w:sz w:val="24"/>
        </w:rPr>
      </w:pPr>
      <w:r w:rsidRPr="00CB562B">
        <w:rPr>
          <w:rFonts w:ascii="Times New Roman" w:hAnsi="Times New Roman" w:cs="Times New Roman"/>
          <w:b/>
          <w:bCs/>
          <w:color w:val="5B9BD5" w:themeColor="accent1"/>
          <w:sz w:val="24"/>
        </w:rPr>
        <w:t xml:space="preserve">Letecká doprava  </w:t>
      </w:r>
    </w:p>
    <w:p w:rsidR="00AA17E3" w:rsidRDefault="00AA17E3" w:rsidP="00AA17E3">
      <w:pPr>
        <w:spacing w:after="0" w:line="240" w:lineRule="auto"/>
        <w:jc w:val="both"/>
        <w:rPr>
          <w:rFonts w:ascii="Times New Roman" w:hAnsi="Times New Roman" w:cs="Times New Roman"/>
          <w:sz w:val="24"/>
        </w:rPr>
      </w:pPr>
    </w:p>
    <w:p w:rsidR="00AA17E3" w:rsidRDefault="00AA17E3" w:rsidP="00AA17E3">
      <w:pPr>
        <w:spacing w:after="0" w:line="240" w:lineRule="auto"/>
        <w:jc w:val="both"/>
        <w:rPr>
          <w:rFonts w:ascii="Times New Roman" w:hAnsi="Times New Roman" w:cs="Times New Roman"/>
          <w:sz w:val="24"/>
        </w:rPr>
      </w:pPr>
      <w:r>
        <w:rPr>
          <w:rFonts w:ascii="Times New Roman" w:hAnsi="Times New Roman" w:cs="Times New Roman"/>
          <w:sz w:val="24"/>
        </w:rPr>
        <w:t>Na leteckú</w:t>
      </w:r>
      <w:r w:rsidRPr="00CB562B">
        <w:rPr>
          <w:rFonts w:ascii="Times New Roman" w:hAnsi="Times New Roman" w:cs="Times New Roman"/>
          <w:sz w:val="24"/>
        </w:rPr>
        <w:t xml:space="preserve"> d</w:t>
      </w:r>
      <w:r>
        <w:rPr>
          <w:rFonts w:ascii="Times New Roman" w:hAnsi="Times New Roman" w:cs="Times New Roman"/>
          <w:sz w:val="24"/>
        </w:rPr>
        <w:t>opravu</w:t>
      </w:r>
      <w:r w:rsidRPr="00CB562B">
        <w:rPr>
          <w:rFonts w:ascii="Times New Roman" w:hAnsi="Times New Roman" w:cs="Times New Roman"/>
          <w:sz w:val="24"/>
        </w:rPr>
        <w:t xml:space="preserve"> sa na rok 202</w:t>
      </w:r>
      <w:r>
        <w:rPr>
          <w:rFonts w:ascii="Times New Roman" w:hAnsi="Times New Roman" w:cs="Times New Roman"/>
          <w:sz w:val="24"/>
        </w:rPr>
        <w:t>2</w:t>
      </w:r>
      <w:r w:rsidRPr="00CB562B">
        <w:rPr>
          <w:rFonts w:ascii="Times New Roman" w:hAnsi="Times New Roman" w:cs="Times New Roman"/>
          <w:sz w:val="24"/>
        </w:rPr>
        <w:t xml:space="preserve"> rozpočtujú výdavky</w:t>
      </w:r>
      <w:r>
        <w:rPr>
          <w:rFonts w:ascii="Times New Roman" w:hAnsi="Times New Roman" w:cs="Times New Roman"/>
          <w:sz w:val="24"/>
        </w:rPr>
        <w:t xml:space="preserve"> v sume 6,00 mil. eur </w:t>
      </w:r>
      <w:r w:rsidRPr="00CB562B">
        <w:rPr>
          <w:rFonts w:ascii="Times New Roman" w:hAnsi="Times New Roman" w:cs="Times New Roman"/>
          <w:sz w:val="24"/>
        </w:rPr>
        <w:t xml:space="preserve"> </w:t>
      </w:r>
      <w:r>
        <w:rPr>
          <w:rFonts w:ascii="Times New Roman" w:hAnsi="Times New Roman" w:cs="Times New Roman"/>
          <w:sz w:val="24"/>
        </w:rPr>
        <w:t xml:space="preserve">najmä </w:t>
      </w:r>
      <w:r w:rsidRPr="00CB562B">
        <w:rPr>
          <w:rFonts w:ascii="Times New Roman" w:hAnsi="Times New Roman" w:cs="Times New Roman"/>
          <w:sz w:val="24"/>
        </w:rPr>
        <w:t xml:space="preserve">na </w:t>
      </w:r>
      <w:r w:rsidRPr="00CB562B">
        <w:rPr>
          <w:rFonts w:ascii="Times New Roman" w:hAnsi="Times New Roman" w:cs="Times New Roman"/>
          <w:bCs/>
          <w:sz w:val="24"/>
        </w:rPr>
        <w:t>financovanie</w:t>
      </w:r>
      <w:r>
        <w:rPr>
          <w:rFonts w:ascii="Times New Roman" w:hAnsi="Times New Roman" w:cs="Times New Roman"/>
          <w:bCs/>
          <w:sz w:val="24"/>
        </w:rPr>
        <w:t xml:space="preserve"> bezpečnostnej ochrany letiska, výkonu záchranných a hasičských služieb na letisku a na refundáciu výdavkov spojených s</w:t>
      </w:r>
      <w:r w:rsidRPr="00CB562B">
        <w:rPr>
          <w:rFonts w:ascii="Times New Roman" w:hAnsi="Times New Roman" w:cs="Times New Roman"/>
          <w:bCs/>
          <w:sz w:val="24"/>
        </w:rPr>
        <w:t xml:space="preserve"> </w:t>
      </w:r>
      <w:r>
        <w:rPr>
          <w:rFonts w:ascii="Times New Roman" w:hAnsi="Times New Roman" w:cs="Times New Roman"/>
          <w:sz w:val="24"/>
        </w:rPr>
        <w:t>poskytovaním</w:t>
      </w:r>
      <w:r w:rsidRPr="00CB562B">
        <w:rPr>
          <w:rFonts w:ascii="Times New Roman" w:hAnsi="Times New Roman" w:cs="Times New Roman"/>
          <w:sz w:val="24"/>
        </w:rPr>
        <w:t xml:space="preserve"> </w:t>
      </w:r>
      <w:r>
        <w:rPr>
          <w:rFonts w:ascii="Times New Roman" w:hAnsi="Times New Roman" w:cs="Times New Roman"/>
          <w:sz w:val="24"/>
        </w:rPr>
        <w:t xml:space="preserve">letových prevádzkových služieb letom oslobodeným od odplát. </w:t>
      </w:r>
    </w:p>
    <w:p w:rsidR="00AA17E3" w:rsidRDefault="00AA17E3" w:rsidP="00AA17E3">
      <w:pPr>
        <w:spacing w:after="0"/>
        <w:jc w:val="both"/>
        <w:rPr>
          <w:rFonts w:ascii="Times New Roman" w:hAnsi="Times New Roman" w:cs="Times New Roman"/>
          <w:bCs/>
          <w:sz w:val="24"/>
        </w:rPr>
      </w:pPr>
    </w:p>
    <w:p w:rsidR="00AA17E3" w:rsidRDefault="00AA17E3" w:rsidP="00AA17E3">
      <w:pPr>
        <w:spacing w:after="0"/>
        <w:jc w:val="both"/>
        <w:rPr>
          <w:rFonts w:ascii="Times New Roman" w:hAnsi="Times New Roman" w:cs="Times New Roman"/>
          <w:b/>
          <w:bCs/>
          <w:color w:val="5B9BD5" w:themeColor="accent1"/>
          <w:sz w:val="24"/>
        </w:rPr>
      </w:pPr>
      <w:r w:rsidRPr="00CB562B">
        <w:rPr>
          <w:rFonts w:ascii="Times New Roman" w:hAnsi="Times New Roman" w:cs="Times New Roman"/>
          <w:b/>
          <w:bCs/>
          <w:color w:val="5B9BD5" w:themeColor="accent1"/>
          <w:sz w:val="24"/>
        </w:rPr>
        <w:t>Podpora rozvoja bývania</w:t>
      </w:r>
    </w:p>
    <w:p w:rsidR="00AA17E3" w:rsidRPr="00CB562B" w:rsidRDefault="00AA17E3" w:rsidP="00AA17E3">
      <w:pPr>
        <w:spacing w:after="0"/>
        <w:jc w:val="both"/>
        <w:rPr>
          <w:rFonts w:ascii="Times New Roman" w:hAnsi="Times New Roman" w:cs="Times New Roman"/>
          <w:b/>
          <w:bCs/>
          <w:color w:val="5B9BD5" w:themeColor="accent1"/>
          <w:sz w:val="24"/>
        </w:rPr>
      </w:pPr>
    </w:p>
    <w:p w:rsidR="00AA17E3" w:rsidRDefault="00AA17E3" w:rsidP="00AA17E3">
      <w:pPr>
        <w:widowControl w:val="0"/>
        <w:spacing w:after="0"/>
        <w:jc w:val="both"/>
        <w:rPr>
          <w:rFonts w:ascii="Times New Roman" w:hAnsi="Times New Roman" w:cs="Times New Roman"/>
          <w:sz w:val="24"/>
        </w:rPr>
      </w:pPr>
      <w:r w:rsidRPr="00CB562B">
        <w:rPr>
          <w:rFonts w:ascii="Times New Roman" w:hAnsi="Times New Roman" w:cs="Times New Roman"/>
          <w:sz w:val="24"/>
        </w:rPr>
        <w:t>Celkové výdavky smerujúce na podporu rozvoja bývania na rok 202</w:t>
      </w:r>
      <w:r>
        <w:rPr>
          <w:rFonts w:ascii="Times New Roman" w:hAnsi="Times New Roman" w:cs="Times New Roman"/>
          <w:sz w:val="24"/>
        </w:rPr>
        <w:t>2</w:t>
      </w:r>
      <w:r w:rsidRPr="00CB562B">
        <w:rPr>
          <w:rFonts w:ascii="Times New Roman" w:hAnsi="Times New Roman" w:cs="Times New Roman"/>
          <w:sz w:val="24"/>
        </w:rPr>
        <w:t xml:space="preserve"> sa rozpočtujú vo výške  </w:t>
      </w:r>
      <w:r>
        <w:rPr>
          <w:rFonts w:ascii="Times New Roman" w:hAnsi="Times New Roman" w:cs="Times New Roman"/>
          <w:sz w:val="24"/>
        </w:rPr>
        <w:t>313</w:t>
      </w:r>
      <w:r w:rsidRPr="00CB562B">
        <w:rPr>
          <w:rFonts w:ascii="Times New Roman" w:hAnsi="Times New Roman" w:cs="Times New Roman"/>
          <w:sz w:val="24"/>
        </w:rPr>
        <w:t> mil. eur vrátane výdavkov Štátneho fondu rozvoja bývania, ktorý má významnú  úlohu v podpore rozvoja bývania.  Štátn</w:t>
      </w:r>
      <w:r>
        <w:rPr>
          <w:rFonts w:ascii="Times New Roman" w:hAnsi="Times New Roman" w:cs="Times New Roman"/>
          <w:sz w:val="24"/>
        </w:rPr>
        <w:t>y</w:t>
      </w:r>
      <w:r w:rsidRPr="00CB562B">
        <w:rPr>
          <w:rFonts w:ascii="Times New Roman" w:hAnsi="Times New Roman" w:cs="Times New Roman"/>
          <w:sz w:val="24"/>
        </w:rPr>
        <w:t xml:space="preserve"> fond rozvoja bývania je určený na financovanie priorít štátnej bytovej politiky schválených vládou Slovenskej republiky  pri  rozširovaní</w:t>
      </w:r>
      <w:r>
        <w:rPr>
          <w:rFonts w:ascii="Times New Roman" w:hAnsi="Times New Roman" w:cs="Times New Roman"/>
          <w:sz w:val="24"/>
        </w:rPr>
        <w:br/>
      </w:r>
      <w:r w:rsidRPr="00CB562B">
        <w:rPr>
          <w:rFonts w:ascii="Times New Roman" w:hAnsi="Times New Roman" w:cs="Times New Roman"/>
          <w:sz w:val="24"/>
        </w:rPr>
        <w:t>a zveľaďovaní bytového fondu.</w:t>
      </w:r>
    </w:p>
    <w:p w:rsidR="004004BC" w:rsidRDefault="004004BC" w:rsidP="00AA17E3">
      <w:pPr>
        <w:widowControl w:val="0"/>
        <w:spacing w:after="0"/>
        <w:jc w:val="both"/>
        <w:rPr>
          <w:rFonts w:ascii="Times New Roman" w:hAnsi="Times New Roman" w:cs="Times New Roman"/>
          <w:sz w:val="24"/>
        </w:rPr>
      </w:pPr>
    </w:p>
    <w:p w:rsidR="004004BC" w:rsidRDefault="004004BC" w:rsidP="00AA17E3">
      <w:pPr>
        <w:widowControl w:val="0"/>
        <w:spacing w:after="0"/>
        <w:jc w:val="both"/>
        <w:rPr>
          <w:rFonts w:ascii="Times New Roman" w:hAnsi="Times New Roman" w:cs="Times New Roman"/>
          <w:sz w:val="24"/>
        </w:rPr>
      </w:pPr>
    </w:p>
    <w:p w:rsidR="004004BC" w:rsidRDefault="004004BC" w:rsidP="00AA17E3">
      <w:pPr>
        <w:widowControl w:val="0"/>
        <w:spacing w:after="0"/>
        <w:jc w:val="both"/>
        <w:rPr>
          <w:rFonts w:ascii="Times New Roman" w:hAnsi="Times New Roman" w:cs="Times New Roman"/>
          <w:sz w:val="24"/>
        </w:rPr>
      </w:pPr>
    </w:p>
    <w:p w:rsidR="004004BC" w:rsidRDefault="004004BC" w:rsidP="00AA17E3">
      <w:pPr>
        <w:widowControl w:val="0"/>
        <w:spacing w:after="0"/>
        <w:jc w:val="both"/>
        <w:rPr>
          <w:rFonts w:ascii="Times New Roman" w:hAnsi="Times New Roman" w:cs="Times New Roman"/>
          <w:sz w:val="24"/>
        </w:rPr>
      </w:pPr>
    </w:p>
    <w:p w:rsidR="00AA17E3" w:rsidRPr="00CB562B" w:rsidRDefault="00AA17E3" w:rsidP="00AA17E3">
      <w:pPr>
        <w:widowControl w:val="0"/>
        <w:spacing w:after="0"/>
        <w:jc w:val="both"/>
        <w:rPr>
          <w:b/>
          <w:color w:val="5B9BD5" w:themeColor="accent1"/>
        </w:rPr>
      </w:pPr>
      <w:r w:rsidRPr="00CB562B">
        <w:rPr>
          <w:rFonts w:ascii="Times New Roman" w:hAnsi="Times New Roman" w:cs="Times New Roman"/>
        </w:rPr>
        <w:t xml:space="preserve"> </w:t>
      </w:r>
      <w:bookmarkStart w:id="272" w:name="_Toc53048377"/>
      <w:bookmarkStart w:id="273" w:name="_Toc53054800"/>
      <w:bookmarkStart w:id="274" w:name="_Toc53077992"/>
      <w:bookmarkStart w:id="275" w:name="_Toc53086394"/>
      <w:bookmarkStart w:id="276" w:name="_Toc84528416"/>
      <w:bookmarkStart w:id="277" w:name="_Toc84845292"/>
      <w:r w:rsidRPr="00CB562B">
        <w:rPr>
          <w:rFonts w:ascii="Times New Roman" w:hAnsi="Times New Roman" w:cs="Times New Roman"/>
          <w:b/>
          <w:color w:val="5B9BD5" w:themeColor="accent1"/>
          <w:sz w:val="20"/>
          <w:szCs w:val="20"/>
        </w:rPr>
        <w:t xml:space="preserve">Tabuľka </w:t>
      </w:r>
      <w:r w:rsidRPr="00CB562B">
        <w:rPr>
          <w:rFonts w:ascii="Times New Roman" w:hAnsi="Times New Roman" w:cs="Times New Roman"/>
          <w:b/>
          <w:color w:val="5B9BD5" w:themeColor="accent1"/>
          <w:sz w:val="20"/>
          <w:szCs w:val="20"/>
        </w:rPr>
        <w:fldChar w:fldCharType="begin"/>
      </w:r>
      <w:r w:rsidRPr="00CB562B">
        <w:rPr>
          <w:rFonts w:ascii="Times New Roman" w:hAnsi="Times New Roman" w:cs="Times New Roman"/>
          <w:b/>
          <w:color w:val="5B9BD5" w:themeColor="accent1"/>
          <w:sz w:val="20"/>
          <w:szCs w:val="20"/>
        </w:rPr>
        <w:instrText xml:space="preserve"> SEQ Tabuľka \* ARABIC </w:instrText>
      </w:r>
      <w:r w:rsidRPr="00CB562B">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68</w:t>
      </w:r>
      <w:r w:rsidRPr="00CB562B">
        <w:rPr>
          <w:rFonts w:ascii="Times New Roman" w:hAnsi="Times New Roman" w:cs="Times New Roman"/>
          <w:b/>
          <w:color w:val="5B9BD5" w:themeColor="accent1"/>
          <w:sz w:val="20"/>
          <w:szCs w:val="20"/>
        </w:rPr>
        <w:fldChar w:fldCharType="end"/>
      </w:r>
      <w:r w:rsidRPr="00CB562B">
        <w:rPr>
          <w:rFonts w:ascii="Times New Roman" w:hAnsi="Times New Roman" w:cs="Times New Roman"/>
          <w:b/>
          <w:color w:val="5B9BD5" w:themeColor="accent1"/>
          <w:sz w:val="20"/>
          <w:szCs w:val="20"/>
        </w:rPr>
        <w:t xml:space="preserve"> </w:t>
      </w:r>
      <w:r w:rsidR="00BD773F">
        <w:rPr>
          <w:rFonts w:ascii="Times New Roman" w:hAnsi="Times New Roman" w:cs="Times New Roman"/>
          <w:b/>
          <w:color w:val="5B9BD5" w:themeColor="accent1"/>
          <w:sz w:val="20"/>
          <w:szCs w:val="20"/>
        </w:rPr>
        <w:t>–</w:t>
      </w:r>
      <w:r w:rsidRPr="00CB562B">
        <w:rPr>
          <w:rFonts w:ascii="Times New Roman" w:hAnsi="Times New Roman" w:cs="Times New Roman"/>
          <w:b/>
          <w:color w:val="5B9BD5" w:themeColor="accent1"/>
          <w:sz w:val="20"/>
          <w:szCs w:val="20"/>
        </w:rPr>
        <w:t xml:space="preserve"> </w:t>
      </w:r>
      <w:r w:rsidR="00BD773F">
        <w:rPr>
          <w:rFonts w:ascii="Times New Roman" w:hAnsi="Times New Roman" w:cs="Times New Roman"/>
          <w:b/>
          <w:color w:val="5B9BD5" w:themeColor="accent1"/>
          <w:sz w:val="20"/>
          <w:szCs w:val="20"/>
        </w:rPr>
        <w:t>Výdavky na podporu</w:t>
      </w:r>
      <w:r w:rsidRPr="00CB562B">
        <w:rPr>
          <w:rFonts w:ascii="Times New Roman" w:hAnsi="Times New Roman" w:cs="Times New Roman"/>
          <w:b/>
          <w:color w:val="5B9BD5" w:themeColor="accent1"/>
          <w:sz w:val="20"/>
          <w:szCs w:val="20"/>
        </w:rPr>
        <w:t xml:space="preserve"> rozvoja bývania</w:t>
      </w:r>
      <w:bookmarkEnd w:id="272"/>
      <w:bookmarkEnd w:id="273"/>
      <w:bookmarkEnd w:id="274"/>
      <w:bookmarkEnd w:id="275"/>
      <w:bookmarkEnd w:id="276"/>
      <w:bookmarkEnd w:id="277"/>
    </w:p>
    <w:tbl>
      <w:tblPr>
        <w:tblW w:w="5000" w:type="pct"/>
        <w:tblCellMar>
          <w:left w:w="70" w:type="dxa"/>
          <w:right w:w="70" w:type="dxa"/>
        </w:tblCellMar>
        <w:tblLook w:val="04A0" w:firstRow="1" w:lastRow="0" w:firstColumn="1" w:lastColumn="0" w:noHBand="0" w:noVBand="1"/>
      </w:tblPr>
      <w:tblGrid>
        <w:gridCol w:w="2584"/>
        <w:gridCol w:w="927"/>
        <w:gridCol w:w="927"/>
        <w:gridCol w:w="927"/>
        <w:gridCol w:w="927"/>
        <w:gridCol w:w="927"/>
        <w:gridCol w:w="929"/>
        <w:gridCol w:w="924"/>
      </w:tblGrid>
      <w:tr w:rsidR="00AA17E3" w:rsidRPr="003537ED" w:rsidTr="00AA17E3">
        <w:trPr>
          <w:trHeight w:val="300"/>
        </w:trPr>
        <w:tc>
          <w:tcPr>
            <w:tcW w:w="1424" w:type="pct"/>
            <w:tcBorders>
              <w:top w:val="single" w:sz="4" w:space="0" w:color="auto"/>
              <w:left w:val="nil"/>
              <w:bottom w:val="single" w:sz="4" w:space="0" w:color="auto"/>
              <w:right w:val="nil"/>
            </w:tcBorders>
            <w:shd w:val="clear" w:color="000000" w:fill="FFFFFF"/>
            <w:noWrap/>
            <w:vAlign w:val="bottom"/>
            <w:hideMark/>
          </w:tcPr>
          <w:p w:rsidR="00AA17E3" w:rsidRPr="003537ED" w:rsidRDefault="00AA17E3" w:rsidP="00AA17E3">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v tis. eur</w:t>
            </w:r>
          </w:p>
        </w:tc>
        <w:tc>
          <w:tcPr>
            <w:tcW w:w="511"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2019 S</w:t>
            </w:r>
          </w:p>
        </w:tc>
        <w:tc>
          <w:tcPr>
            <w:tcW w:w="511"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2020 S</w:t>
            </w:r>
          </w:p>
        </w:tc>
        <w:tc>
          <w:tcPr>
            <w:tcW w:w="511"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2021 R</w:t>
            </w:r>
          </w:p>
        </w:tc>
        <w:tc>
          <w:tcPr>
            <w:tcW w:w="511"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2021 OS</w:t>
            </w:r>
          </w:p>
        </w:tc>
        <w:tc>
          <w:tcPr>
            <w:tcW w:w="511"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2022 N</w:t>
            </w:r>
          </w:p>
        </w:tc>
        <w:tc>
          <w:tcPr>
            <w:tcW w:w="512"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2023 N</w:t>
            </w:r>
          </w:p>
        </w:tc>
        <w:tc>
          <w:tcPr>
            <w:tcW w:w="509" w:type="pct"/>
            <w:tcBorders>
              <w:top w:val="single" w:sz="4" w:space="0" w:color="auto"/>
              <w:left w:val="nil"/>
              <w:bottom w:val="single" w:sz="4" w:space="0" w:color="auto"/>
              <w:right w:val="nil"/>
            </w:tcBorders>
            <w:shd w:val="clear" w:color="auto" w:fill="auto"/>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2024 N</w:t>
            </w:r>
          </w:p>
        </w:tc>
      </w:tr>
      <w:tr w:rsidR="00AA17E3" w:rsidRPr="003537ED" w:rsidTr="00AA17E3">
        <w:trPr>
          <w:trHeight w:val="300"/>
        </w:trPr>
        <w:tc>
          <w:tcPr>
            <w:tcW w:w="1424" w:type="pct"/>
            <w:tcBorders>
              <w:top w:val="nil"/>
              <w:left w:val="nil"/>
              <w:bottom w:val="nil"/>
              <w:right w:val="nil"/>
            </w:tcBorders>
            <w:shd w:val="clear" w:color="auto" w:fill="auto"/>
            <w:noWrap/>
            <w:vAlign w:val="bottom"/>
            <w:hideMark/>
          </w:tcPr>
          <w:p w:rsidR="00AA17E3" w:rsidRPr="003537ED" w:rsidRDefault="00AA17E3" w:rsidP="00AA17E3">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Podpora rozvoja bývania</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239 602</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230 589</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287 361</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302 692</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312 725</w:t>
            </w:r>
          </w:p>
        </w:tc>
        <w:tc>
          <w:tcPr>
            <w:tcW w:w="512"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317 920</w:t>
            </w:r>
          </w:p>
        </w:tc>
        <w:tc>
          <w:tcPr>
            <w:tcW w:w="509"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b/>
                <w:bCs/>
                <w:color w:val="000000"/>
                <w:sz w:val="16"/>
                <w:szCs w:val="16"/>
                <w:lang w:eastAsia="sk-SK"/>
              </w:rPr>
            </w:pPr>
            <w:r w:rsidRPr="00AC77A8">
              <w:rPr>
                <w:rFonts w:ascii="Times New Roman" w:hAnsi="Times New Roman" w:cs="Times New Roman"/>
                <w:b/>
                <w:bCs/>
                <w:color w:val="000000"/>
                <w:sz w:val="16"/>
                <w:szCs w:val="16"/>
              </w:rPr>
              <w:t>315 531</w:t>
            </w:r>
          </w:p>
        </w:tc>
      </w:tr>
      <w:tr w:rsidR="00AA17E3" w:rsidRPr="003537ED" w:rsidTr="00AA17E3">
        <w:trPr>
          <w:trHeight w:val="300"/>
        </w:trPr>
        <w:tc>
          <w:tcPr>
            <w:tcW w:w="1424" w:type="pct"/>
            <w:tcBorders>
              <w:top w:val="nil"/>
              <w:left w:val="nil"/>
              <w:bottom w:val="nil"/>
              <w:right w:val="nil"/>
            </w:tcBorders>
            <w:shd w:val="clear" w:color="auto" w:fill="auto"/>
            <w:noWrap/>
            <w:vAlign w:val="bottom"/>
            <w:hideMark/>
          </w:tcPr>
          <w:p w:rsidR="00AA17E3" w:rsidRPr="003537ED" w:rsidRDefault="00AA17E3" w:rsidP="00AA17E3">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Dotácie na podporu</w:t>
            </w:r>
            <w:r>
              <w:rPr>
                <w:rFonts w:ascii="Times New Roman" w:hAnsi="Times New Roman" w:cs="Times New Roman"/>
                <w:color w:val="000000"/>
                <w:sz w:val="16"/>
                <w:szCs w:val="16"/>
                <w:lang w:eastAsia="sk-SK"/>
              </w:rPr>
              <w:t xml:space="preserve"> rozvoja</w:t>
            </w:r>
            <w:r w:rsidRPr="003537ED">
              <w:rPr>
                <w:rFonts w:ascii="Times New Roman" w:hAnsi="Times New Roman" w:cs="Times New Roman"/>
                <w:color w:val="000000"/>
                <w:sz w:val="16"/>
                <w:szCs w:val="16"/>
                <w:lang w:eastAsia="sk-SK"/>
              </w:rPr>
              <w:t xml:space="preserve"> bývania</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25 671</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8 118</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20 000</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25 848</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20 000</w:t>
            </w:r>
          </w:p>
        </w:tc>
        <w:tc>
          <w:tcPr>
            <w:tcW w:w="512"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20 000</w:t>
            </w:r>
          </w:p>
        </w:tc>
        <w:tc>
          <w:tcPr>
            <w:tcW w:w="509"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20 000</w:t>
            </w:r>
          </w:p>
        </w:tc>
      </w:tr>
      <w:tr w:rsidR="00AA17E3" w:rsidRPr="003537ED" w:rsidTr="00AA17E3">
        <w:trPr>
          <w:trHeight w:val="300"/>
        </w:trPr>
        <w:tc>
          <w:tcPr>
            <w:tcW w:w="1424" w:type="pct"/>
            <w:tcBorders>
              <w:top w:val="nil"/>
              <w:left w:val="nil"/>
              <w:bottom w:val="nil"/>
              <w:right w:val="nil"/>
            </w:tcBorders>
            <w:shd w:val="clear" w:color="auto" w:fill="auto"/>
            <w:noWrap/>
            <w:vAlign w:val="bottom"/>
            <w:hideMark/>
          </w:tcPr>
          <w:p w:rsidR="00AA17E3" w:rsidRPr="003537ED" w:rsidRDefault="00AA17E3" w:rsidP="00AA17E3">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Štátna prémia k</w:t>
            </w:r>
            <w:r w:rsidRPr="003537ED">
              <w:rPr>
                <w:rFonts w:ascii="Times New Roman" w:hAnsi="Times New Roman" w:cs="Times New Roman"/>
                <w:color w:val="000000"/>
                <w:sz w:val="16"/>
                <w:szCs w:val="16"/>
                <w:lang w:eastAsia="sk-SK"/>
              </w:rPr>
              <w:t xml:space="preserve"> stavebn</w:t>
            </w:r>
            <w:r>
              <w:rPr>
                <w:rFonts w:ascii="Times New Roman" w:hAnsi="Times New Roman" w:cs="Times New Roman"/>
                <w:color w:val="000000"/>
                <w:sz w:val="16"/>
                <w:szCs w:val="16"/>
                <w:lang w:eastAsia="sk-SK"/>
              </w:rPr>
              <w:t>ému</w:t>
            </w:r>
            <w:r w:rsidRPr="003537ED">
              <w:rPr>
                <w:rFonts w:ascii="Times New Roman" w:hAnsi="Times New Roman" w:cs="Times New Roman"/>
                <w:color w:val="000000"/>
                <w:sz w:val="16"/>
                <w:szCs w:val="16"/>
                <w:lang w:eastAsia="sk-SK"/>
              </w:rPr>
              <w:t xml:space="preserve"> sporen</w:t>
            </w:r>
            <w:r>
              <w:rPr>
                <w:rFonts w:ascii="Times New Roman" w:hAnsi="Times New Roman" w:cs="Times New Roman"/>
                <w:color w:val="000000"/>
                <w:sz w:val="16"/>
                <w:szCs w:val="16"/>
                <w:lang w:eastAsia="sk-SK"/>
              </w:rPr>
              <w:t>iu</w:t>
            </w:r>
            <w:r w:rsidRPr="003537ED">
              <w:rPr>
                <w:rFonts w:ascii="Times New Roman" w:hAnsi="Times New Roman" w:cs="Times New Roman"/>
                <w:color w:val="000000"/>
                <w:sz w:val="16"/>
                <w:szCs w:val="16"/>
                <w:lang w:eastAsia="sk-SK"/>
              </w:rPr>
              <w:t xml:space="preserve"> </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19 879</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8 581</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7 000</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6 717</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6 500</w:t>
            </w:r>
          </w:p>
        </w:tc>
        <w:tc>
          <w:tcPr>
            <w:tcW w:w="512"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6 000</w:t>
            </w:r>
          </w:p>
        </w:tc>
        <w:tc>
          <w:tcPr>
            <w:tcW w:w="509"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5 500</w:t>
            </w:r>
          </w:p>
        </w:tc>
      </w:tr>
      <w:tr w:rsidR="00AA17E3" w:rsidRPr="003537ED" w:rsidTr="00AA17E3">
        <w:trPr>
          <w:trHeight w:val="300"/>
        </w:trPr>
        <w:tc>
          <w:tcPr>
            <w:tcW w:w="1424" w:type="pct"/>
            <w:tcBorders>
              <w:top w:val="nil"/>
              <w:left w:val="nil"/>
              <w:bottom w:val="nil"/>
              <w:right w:val="nil"/>
            </w:tcBorders>
            <w:shd w:val="clear" w:color="auto" w:fill="auto"/>
            <w:noWrap/>
            <w:vAlign w:val="bottom"/>
            <w:hideMark/>
          </w:tcPr>
          <w:p w:rsidR="00AA17E3" w:rsidRPr="003537ED" w:rsidRDefault="00AA17E3" w:rsidP="00AA17E3">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Bonifikácia k hypotekárnym   úverom </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25 434</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18 015</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14 000</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14 000</w:t>
            </w:r>
          </w:p>
        </w:tc>
        <w:tc>
          <w:tcPr>
            <w:tcW w:w="511"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6 500</w:t>
            </w:r>
          </w:p>
        </w:tc>
        <w:tc>
          <w:tcPr>
            <w:tcW w:w="512"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2 000</w:t>
            </w:r>
          </w:p>
        </w:tc>
        <w:tc>
          <w:tcPr>
            <w:tcW w:w="509" w:type="pct"/>
            <w:tcBorders>
              <w:top w:val="nil"/>
              <w:left w:val="nil"/>
              <w:bottom w:val="nil"/>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730</w:t>
            </w:r>
          </w:p>
        </w:tc>
      </w:tr>
      <w:tr w:rsidR="00AA17E3" w:rsidRPr="003537ED" w:rsidTr="00AA17E3">
        <w:trPr>
          <w:trHeight w:val="300"/>
        </w:trPr>
        <w:tc>
          <w:tcPr>
            <w:tcW w:w="1424" w:type="pct"/>
            <w:tcBorders>
              <w:top w:val="nil"/>
              <w:left w:val="nil"/>
              <w:bottom w:val="single" w:sz="4" w:space="0" w:color="auto"/>
              <w:right w:val="nil"/>
            </w:tcBorders>
            <w:shd w:val="clear" w:color="auto" w:fill="auto"/>
            <w:noWrap/>
            <w:vAlign w:val="bottom"/>
            <w:hideMark/>
          </w:tcPr>
          <w:p w:rsidR="00AA17E3" w:rsidRPr="003537ED" w:rsidRDefault="00AA17E3" w:rsidP="00AA17E3">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Výdavky ŠFRB </w:t>
            </w:r>
          </w:p>
        </w:tc>
        <w:tc>
          <w:tcPr>
            <w:tcW w:w="511"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168 618</w:t>
            </w:r>
          </w:p>
        </w:tc>
        <w:tc>
          <w:tcPr>
            <w:tcW w:w="511"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195 874</w:t>
            </w:r>
          </w:p>
        </w:tc>
        <w:tc>
          <w:tcPr>
            <w:tcW w:w="511"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246 361</w:t>
            </w:r>
          </w:p>
        </w:tc>
        <w:tc>
          <w:tcPr>
            <w:tcW w:w="511"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256 127</w:t>
            </w:r>
          </w:p>
        </w:tc>
        <w:tc>
          <w:tcPr>
            <w:tcW w:w="511"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279 725</w:t>
            </w:r>
          </w:p>
        </w:tc>
        <w:tc>
          <w:tcPr>
            <w:tcW w:w="512"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289 920</w:t>
            </w:r>
          </w:p>
        </w:tc>
        <w:tc>
          <w:tcPr>
            <w:tcW w:w="509" w:type="pct"/>
            <w:tcBorders>
              <w:top w:val="nil"/>
              <w:left w:val="nil"/>
              <w:bottom w:val="single" w:sz="4" w:space="0" w:color="auto"/>
              <w:right w:val="nil"/>
            </w:tcBorders>
            <w:shd w:val="clear" w:color="000000" w:fill="FFFFFF"/>
            <w:noWrap/>
            <w:vAlign w:val="bottom"/>
            <w:hideMark/>
          </w:tcPr>
          <w:p w:rsidR="00AA17E3" w:rsidRPr="00AC77A8" w:rsidRDefault="00AA17E3" w:rsidP="00AA17E3">
            <w:pPr>
              <w:jc w:val="right"/>
              <w:rPr>
                <w:rFonts w:ascii="Times New Roman" w:hAnsi="Times New Roman" w:cs="Times New Roman"/>
                <w:color w:val="000000"/>
                <w:sz w:val="16"/>
                <w:szCs w:val="16"/>
                <w:lang w:eastAsia="sk-SK"/>
              </w:rPr>
            </w:pPr>
            <w:r w:rsidRPr="00AC77A8">
              <w:rPr>
                <w:rFonts w:ascii="Times New Roman" w:hAnsi="Times New Roman" w:cs="Times New Roman"/>
                <w:color w:val="000000"/>
                <w:sz w:val="16"/>
                <w:szCs w:val="16"/>
              </w:rPr>
              <w:t>289 301</w:t>
            </w:r>
          </w:p>
        </w:tc>
      </w:tr>
    </w:tbl>
    <w:p w:rsidR="00AA17E3" w:rsidRPr="00EC52F2" w:rsidRDefault="00AA17E3" w:rsidP="001E50EB">
      <w:pPr>
        <w:spacing w:after="0"/>
        <w:ind w:left="7788"/>
        <w:jc w:val="both"/>
        <w:rPr>
          <w:rFonts w:ascii="Times New Roman" w:hAnsi="Times New Roman" w:cs="Times New Roman"/>
          <w:i/>
          <w:color w:val="000000"/>
          <w:sz w:val="16"/>
          <w:szCs w:val="16"/>
          <w:lang w:eastAsia="sk-SK"/>
        </w:rPr>
      </w:pPr>
      <w:r>
        <w:rPr>
          <w:rFonts w:ascii="Times New Roman" w:hAnsi="Times New Roman" w:cs="Times New Roman"/>
          <w:color w:val="000000"/>
          <w:sz w:val="16"/>
          <w:szCs w:val="16"/>
          <w:lang w:eastAsia="sk-SK"/>
        </w:rPr>
        <w:t xml:space="preserve">         </w:t>
      </w:r>
      <w:r w:rsidRPr="00EC52F2">
        <w:rPr>
          <w:rFonts w:ascii="Times New Roman" w:hAnsi="Times New Roman" w:cs="Times New Roman"/>
          <w:i/>
          <w:color w:val="000000"/>
          <w:sz w:val="16"/>
          <w:szCs w:val="16"/>
          <w:lang w:eastAsia="sk-SK"/>
        </w:rPr>
        <w:t>Zdroj: MF SR</w:t>
      </w:r>
    </w:p>
    <w:p w:rsidR="001E50EB" w:rsidRDefault="001E50EB" w:rsidP="001E50EB">
      <w:pPr>
        <w:spacing w:after="0"/>
        <w:jc w:val="both"/>
        <w:rPr>
          <w:rFonts w:ascii="Times New Roman" w:hAnsi="Times New Roman" w:cs="Times New Roman"/>
          <w:sz w:val="24"/>
        </w:rPr>
      </w:pPr>
    </w:p>
    <w:p w:rsidR="00AA17E3" w:rsidRPr="000F63C7" w:rsidRDefault="00AA17E3" w:rsidP="001E50EB">
      <w:pPr>
        <w:spacing w:after="0"/>
        <w:jc w:val="both"/>
        <w:rPr>
          <w:rFonts w:ascii="Times New Roman" w:hAnsi="Times New Roman" w:cs="Times New Roman"/>
          <w:sz w:val="24"/>
        </w:rPr>
      </w:pPr>
      <w:r w:rsidRPr="00CB562B">
        <w:rPr>
          <w:rFonts w:ascii="Times New Roman" w:hAnsi="Times New Roman" w:cs="Times New Roman"/>
          <w:sz w:val="24"/>
        </w:rPr>
        <w:t>Uvedené výdavky sú rozpočtované na dotácie na podporu</w:t>
      </w:r>
      <w:r>
        <w:rPr>
          <w:rFonts w:ascii="Times New Roman" w:hAnsi="Times New Roman" w:cs="Times New Roman"/>
          <w:sz w:val="24"/>
        </w:rPr>
        <w:t xml:space="preserve"> rozvoja</w:t>
      </w:r>
      <w:r w:rsidRPr="00CB562B">
        <w:rPr>
          <w:rFonts w:ascii="Times New Roman" w:hAnsi="Times New Roman" w:cs="Times New Roman"/>
          <w:sz w:val="24"/>
        </w:rPr>
        <w:t xml:space="preserve"> bývania</w:t>
      </w:r>
      <w:r>
        <w:rPr>
          <w:rFonts w:ascii="Times New Roman" w:hAnsi="Times New Roman" w:cs="Times New Roman"/>
          <w:sz w:val="24"/>
        </w:rPr>
        <w:t>, na príspevok</w:t>
      </w:r>
      <w:r>
        <w:rPr>
          <w:rFonts w:ascii="Times New Roman" w:hAnsi="Times New Roman" w:cs="Times New Roman"/>
          <w:sz w:val="24"/>
        </w:rPr>
        <w:br/>
        <w:t xml:space="preserve">na zateplenie </w:t>
      </w:r>
      <w:r w:rsidRPr="00CB562B">
        <w:rPr>
          <w:rFonts w:ascii="Times New Roman" w:hAnsi="Times New Roman" w:cs="Times New Roman"/>
          <w:sz w:val="24"/>
        </w:rPr>
        <w:t>rodinn</w:t>
      </w:r>
      <w:r>
        <w:rPr>
          <w:rFonts w:ascii="Times New Roman" w:hAnsi="Times New Roman" w:cs="Times New Roman"/>
          <w:sz w:val="24"/>
        </w:rPr>
        <w:t>ého domu</w:t>
      </w:r>
      <w:r w:rsidRPr="00CB562B">
        <w:rPr>
          <w:rFonts w:ascii="Times New Roman" w:hAnsi="Times New Roman" w:cs="Times New Roman"/>
          <w:sz w:val="24"/>
        </w:rPr>
        <w:t xml:space="preserve">, </w:t>
      </w:r>
      <w:r>
        <w:rPr>
          <w:rFonts w:ascii="Times New Roman" w:hAnsi="Times New Roman" w:cs="Times New Roman"/>
          <w:sz w:val="24"/>
        </w:rPr>
        <w:t xml:space="preserve">na príspevok na rodinný dom s takmer nulovou potrebou energie, na </w:t>
      </w:r>
      <w:r w:rsidRPr="00CB562B">
        <w:rPr>
          <w:rFonts w:ascii="Times New Roman" w:hAnsi="Times New Roman" w:cs="Times New Roman"/>
          <w:sz w:val="24"/>
        </w:rPr>
        <w:t>štátnu prémiu k stavebnému sporeniu,</w:t>
      </w:r>
      <w:r>
        <w:rPr>
          <w:rFonts w:ascii="Times New Roman" w:hAnsi="Times New Roman" w:cs="Times New Roman"/>
          <w:sz w:val="24"/>
        </w:rPr>
        <w:t xml:space="preserve"> na</w:t>
      </w:r>
      <w:r w:rsidRPr="00CB562B">
        <w:rPr>
          <w:rFonts w:ascii="Times New Roman" w:hAnsi="Times New Roman" w:cs="Times New Roman"/>
          <w:sz w:val="24"/>
        </w:rPr>
        <w:t xml:space="preserve"> štátny príspevok</w:t>
      </w:r>
      <w:r>
        <w:rPr>
          <w:rFonts w:ascii="Times New Roman" w:hAnsi="Times New Roman" w:cs="Times New Roman"/>
          <w:sz w:val="24"/>
        </w:rPr>
        <w:t xml:space="preserve"> a štátny príspevok pre mladých </w:t>
      </w:r>
      <w:r w:rsidRPr="00CB562B">
        <w:rPr>
          <w:rFonts w:ascii="Times New Roman" w:hAnsi="Times New Roman" w:cs="Times New Roman"/>
          <w:sz w:val="24"/>
        </w:rPr>
        <w:t xml:space="preserve">k hypotekárnym úverom poskytnutým pred 1. januárom 2018, na úvery </w:t>
      </w:r>
      <w:r>
        <w:rPr>
          <w:rFonts w:ascii="Times New Roman" w:hAnsi="Times New Roman" w:cs="Times New Roman"/>
          <w:sz w:val="24"/>
        </w:rPr>
        <w:t>poskytované prostredníctvom Štátneho fondu rozvoja bývania a na správu fondu.</w:t>
      </w:r>
      <w:r w:rsidRPr="00CB562B">
        <w:rPr>
          <w:rFonts w:ascii="Times New Roman" w:hAnsi="Times New Roman" w:cs="Times New Roman"/>
          <w:sz w:val="24"/>
        </w:rPr>
        <w:t xml:space="preserve"> Výdavky na uvedenú oblasť </w:t>
      </w:r>
      <w:r>
        <w:rPr>
          <w:rFonts w:ascii="Times New Roman" w:hAnsi="Times New Roman" w:cs="Times New Roman"/>
          <w:sz w:val="24"/>
        </w:rPr>
        <w:t>na</w:t>
      </w:r>
      <w:r w:rsidRPr="00CB562B">
        <w:rPr>
          <w:rFonts w:ascii="Times New Roman" w:hAnsi="Times New Roman" w:cs="Times New Roman"/>
          <w:sz w:val="24"/>
        </w:rPr>
        <w:t xml:space="preserve"> rok 202</w:t>
      </w:r>
      <w:r>
        <w:rPr>
          <w:rFonts w:ascii="Times New Roman" w:hAnsi="Times New Roman" w:cs="Times New Roman"/>
          <w:sz w:val="24"/>
        </w:rPr>
        <w:t>2</w:t>
      </w:r>
      <w:r w:rsidRPr="00CB562B">
        <w:rPr>
          <w:rFonts w:ascii="Times New Roman" w:hAnsi="Times New Roman" w:cs="Times New Roman"/>
          <w:sz w:val="24"/>
        </w:rPr>
        <w:t xml:space="preserve"> v porovnaní so schváleným rozpočtom roku </w:t>
      </w:r>
      <w:r>
        <w:rPr>
          <w:rFonts w:ascii="Times New Roman" w:hAnsi="Times New Roman" w:cs="Times New Roman"/>
          <w:sz w:val="24"/>
        </w:rPr>
        <w:t>2021 rastú o 25,4</w:t>
      </w:r>
      <w:r w:rsidRPr="00CB562B">
        <w:rPr>
          <w:rFonts w:ascii="Times New Roman" w:hAnsi="Times New Roman" w:cs="Times New Roman"/>
          <w:sz w:val="24"/>
        </w:rPr>
        <w:t xml:space="preserve"> mil. eur najmä z dôvodu zvýšenia výdavkov Š</w:t>
      </w:r>
      <w:r>
        <w:rPr>
          <w:rFonts w:ascii="Times New Roman" w:hAnsi="Times New Roman" w:cs="Times New Roman"/>
          <w:sz w:val="24"/>
        </w:rPr>
        <w:t>tátneho fondu rozvoja bývania</w:t>
      </w:r>
      <w:r w:rsidRPr="00CB562B">
        <w:rPr>
          <w:rFonts w:ascii="Times New Roman" w:hAnsi="Times New Roman" w:cs="Times New Roman"/>
          <w:sz w:val="24"/>
        </w:rPr>
        <w:t>.</w:t>
      </w:r>
      <w:r>
        <w:rPr>
          <w:rFonts w:ascii="Times New Roman" w:hAnsi="Times New Roman" w:cs="Times New Roman"/>
          <w:sz w:val="24"/>
        </w:rPr>
        <w:t xml:space="preserve"> </w:t>
      </w:r>
    </w:p>
    <w:p w:rsidR="00AA17E3" w:rsidRPr="00CB562B" w:rsidRDefault="00AA17E3" w:rsidP="00AA17E3">
      <w:pPr>
        <w:spacing w:after="0"/>
        <w:jc w:val="both"/>
        <w:rPr>
          <w:rFonts w:ascii="Times New Roman" w:hAnsi="Times New Roman" w:cs="Times New Roman"/>
          <w:sz w:val="24"/>
        </w:rPr>
      </w:pPr>
    </w:p>
    <w:p w:rsidR="00AA17E3" w:rsidRDefault="00AA17E3" w:rsidP="00AA17E3">
      <w:pPr>
        <w:widowControl w:val="0"/>
        <w:spacing w:after="0"/>
        <w:jc w:val="both"/>
        <w:rPr>
          <w:rFonts w:ascii="Times New Roman" w:hAnsi="Times New Roman" w:cs="Times New Roman"/>
          <w:b/>
          <w:color w:val="5B9BD5" w:themeColor="accent1"/>
          <w:sz w:val="24"/>
        </w:rPr>
      </w:pPr>
      <w:r w:rsidRPr="00CB562B">
        <w:rPr>
          <w:rFonts w:ascii="Times New Roman" w:hAnsi="Times New Roman" w:cs="Times New Roman"/>
          <w:b/>
          <w:color w:val="5B9BD5" w:themeColor="accent1"/>
          <w:sz w:val="24"/>
        </w:rPr>
        <w:t>Administratíva a ostatné činnosti</w:t>
      </w:r>
    </w:p>
    <w:p w:rsidR="00AA17E3" w:rsidRPr="00CB562B" w:rsidRDefault="00AA17E3" w:rsidP="00AA17E3">
      <w:pPr>
        <w:widowControl w:val="0"/>
        <w:spacing w:after="0"/>
        <w:jc w:val="both"/>
        <w:rPr>
          <w:rFonts w:ascii="Times New Roman" w:hAnsi="Times New Roman" w:cs="Times New Roman"/>
          <w:b/>
          <w:color w:val="5B9BD5" w:themeColor="accent1"/>
          <w:sz w:val="24"/>
        </w:rPr>
      </w:pPr>
    </w:p>
    <w:p w:rsidR="00AA17E3" w:rsidRPr="004D5FF5" w:rsidRDefault="00AA17E3" w:rsidP="00AA17E3">
      <w:pPr>
        <w:pStyle w:val="Popis"/>
        <w:keepNext/>
        <w:spacing w:after="0"/>
        <w:rPr>
          <w:rFonts w:ascii="Times New Roman" w:hAnsi="Times New Roman" w:cs="Times New Roman"/>
          <w:b/>
          <w:i w:val="0"/>
          <w:color w:val="5B9BD5" w:themeColor="accent1"/>
          <w:sz w:val="20"/>
          <w:szCs w:val="20"/>
        </w:rPr>
      </w:pPr>
      <w:bookmarkStart w:id="278" w:name="_Toc53048378"/>
      <w:bookmarkStart w:id="279" w:name="_Toc53054801"/>
      <w:bookmarkStart w:id="280" w:name="_Toc53077993"/>
      <w:bookmarkStart w:id="281" w:name="_Toc53086395"/>
      <w:bookmarkStart w:id="282" w:name="_Toc84528417"/>
      <w:bookmarkStart w:id="283" w:name="_Toc84845293"/>
      <w:r w:rsidRPr="004D5FF5">
        <w:rPr>
          <w:rFonts w:ascii="Times New Roman" w:hAnsi="Times New Roman" w:cs="Times New Roman"/>
          <w:b/>
          <w:i w:val="0"/>
          <w:color w:val="5B9BD5" w:themeColor="accent1"/>
          <w:sz w:val="20"/>
          <w:szCs w:val="20"/>
        </w:rPr>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69</w:t>
      </w:r>
      <w:r w:rsidRPr="004D5FF5">
        <w:rPr>
          <w:rFonts w:ascii="Times New Roman" w:hAnsi="Times New Roman" w:cs="Times New Roman"/>
          <w:b/>
          <w:i w:val="0"/>
          <w:color w:val="5B9BD5" w:themeColor="accent1"/>
          <w:sz w:val="20"/>
          <w:szCs w:val="20"/>
        </w:rPr>
        <w:fldChar w:fldCharType="end"/>
      </w:r>
      <w:r w:rsidRPr="004D5FF5">
        <w:rPr>
          <w:rFonts w:ascii="Times New Roman" w:hAnsi="Times New Roman" w:cs="Times New Roman"/>
          <w:b/>
          <w:i w:val="0"/>
          <w:color w:val="5B9BD5" w:themeColor="accent1"/>
          <w:sz w:val="20"/>
          <w:szCs w:val="20"/>
        </w:rPr>
        <w:t xml:space="preserve"> </w:t>
      </w:r>
      <w:r w:rsidR="00BD773F">
        <w:rPr>
          <w:rFonts w:ascii="Times New Roman" w:hAnsi="Times New Roman" w:cs="Times New Roman"/>
          <w:b/>
          <w:i w:val="0"/>
          <w:color w:val="5B9BD5" w:themeColor="accent1"/>
          <w:sz w:val="20"/>
          <w:szCs w:val="20"/>
        </w:rPr>
        <w:t>–</w:t>
      </w:r>
      <w:r>
        <w:rPr>
          <w:rFonts w:ascii="Times New Roman" w:hAnsi="Times New Roman" w:cs="Times New Roman"/>
          <w:b/>
          <w:i w:val="0"/>
          <w:color w:val="5B9BD5" w:themeColor="accent1"/>
          <w:sz w:val="20"/>
          <w:szCs w:val="20"/>
        </w:rPr>
        <w:t xml:space="preserve"> </w:t>
      </w:r>
      <w:r w:rsidR="00BD773F">
        <w:rPr>
          <w:rFonts w:ascii="Times New Roman" w:hAnsi="Times New Roman" w:cs="Times New Roman"/>
          <w:b/>
          <w:i w:val="0"/>
          <w:color w:val="5B9BD5" w:themeColor="accent1"/>
          <w:sz w:val="20"/>
          <w:szCs w:val="20"/>
        </w:rPr>
        <w:t>Výdavky na administratívu</w:t>
      </w:r>
      <w:r w:rsidRPr="004D5FF5">
        <w:rPr>
          <w:rFonts w:ascii="Times New Roman" w:hAnsi="Times New Roman" w:cs="Times New Roman"/>
          <w:b/>
          <w:i w:val="0"/>
          <w:color w:val="5B9BD5" w:themeColor="accent1"/>
          <w:sz w:val="20"/>
          <w:szCs w:val="20"/>
        </w:rPr>
        <w:t xml:space="preserve"> a ostatné činnosti</w:t>
      </w:r>
      <w:bookmarkEnd w:id="278"/>
      <w:bookmarkEnd w:id="279"/>
      <w:bookmarkEnd w:id="280"/>
      <w:bookmarkEnd w:id="281"/>
      <w:bookmarkEnd w:id="282"/>
      <w:bookmarkEnd w:id="283"/>
    </w:p>
    <w:tbl>
      <w:tblPr>
        <w:tblW w:w="5000" w:type="pct"/>
        <w:tblCellMar>
          <w:left w:w="70" w:type="dxa"/>
          <w:right w:w="70" w:type="dxa"/>
        </w:tblCellMar>
        <w:tblLook w:val="04A0" w:firstRow="1" w:lastRow="0" w:firstColumn="1" w:lastColumn="0" w:noHBand="0" w:noVBand="1"/>
      </w:tblPr>
      <w:tblGrid>
        <w:gridCol w:w="2980"/>
        <w:gridCol w:w="871"/>
        <w:gridCol w:w="871"/>
        <w:gridCol w:w="870"/>
        <w:gridCol w:w="870"/>
        <w:gridCol w:w="870"/>
        <w:gridCol w:w="870"/>
        <w:gridCol w:w="870"/>
      </w:tblGrid>
      <w:tr w:rsidR="00AA17E3" w:rsidRPr="006E4D2E" w:rsidTr="00AA17E3">
        <w:trPr>
          <w:trHeight w:val="300"/>
        </w:trPr>
        <w:tc>
          <w:tcPr>
            <w:tcW w:w="2980" w:type="dxa"/>
            <w:tcBorders>
              <w:top w:val="single" w:sz="4" w:space="0" w:color="auto"/>
              <w:left w:val="nil"/>
              <w:bottom w:val="nil"/>
              <w:right w:val="nil"/>
            </w:tcBorders>
            <w:shd w:val="clear" w:color="000000" w:fill="FFFFFF"/>
            <w:noWrap/>
            <w:vAlign w:val="bottom"/>
            <w:hideMark/>
          </w:tcPr>
          <w:p w:rsidR="00AA17E3" w:rsidRPr="003537ED" w:rsidRDefault="00AA17E3" w:rsidP="00AA17E3">
            <w:pPr>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v tis. eur</w:t>
            </w:r>
          </w:p>
        </w:tc>
        <w:tc>
          <w:tcPr>
            <w:tcW w:w="871"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2019 S</w:t>
            </w:r>
          </w:p>
        </w:tc>
        <w:tc>
          <w:tcPr>
            <w:tcW w:w="871"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2020 S</w:t>
            </w:r>
          </w:p>
        </w:tc>
        <w:tc>
          <w:tcPr>
            <w:tcW w:w="870"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2021 R</w:t>
            </w:r>
          </w:p>
        </w:tc>
        <w:tc>
          <w:tcPr>
            <w:tcW w:w="870"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2021 OS</w:t>
            </w:r>
          </w:p>
        </w:tc>
        <w:tc>
          <w:tcPr>
            <w:tcW w:w="870"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2022 N</w:t>
            </w:r>
          </w:p>
        </w:tc>
        <w:tc>
          <w:tcPr>
            <w:tcW w:w="870"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2023 N</w:t>
            </w:r>
          </w:p>
        </w:tc>
        <w:tc>
          <w:tcPr>
            <w:tcW w:w="870" w:type="dxa"/>
            <w:tcBorders>
              <w:top w:val="single" w:sz="4" w:space="0" w:color="auto"/>
              <w:left w:val="nil"/>
              <w:bottom w:val="nil"/>
              <w:right w:val="nil"/>
            </w:tcBorders>
            <w:shd w:val="clear" w:color="auto" w:fill="auto"/>
            <w:noWrap/>
            <w:vAlign w:val="bottom"/>
            <w:hideMark/>
          </w:tcPr>
          <w:p w:rsidR="00AA17E3" w:rsidRPr="00AC77A8" w:rsidRDefault="00AA17E3" w:rsidP="00AA17E3">
            <w:pPr>
              <w:jc w:val="right"/>
              <w:rPr>
                <w:rFonts w:ascii="Times New Roman" w:hAnsi="Times New Roman" w:cs="Times New Roman"/>
                <w:b/>
                <w:color w:val="000000"/>
                <w:sz w:val="16"/>
                <w:szCs w:val="16"/>
                <w:lang w:eastAsia="sk-SK"/>
              </w:rPr>
            </w:pPr>
            <w:r w:rsidRPr="00AC77A8">
              <w:rPr>
                <w:rFonts w:ascii="Times New Roman" w:hAnsi="Times New Roman" w:cs="Times New Roman"/>
                <w:b/>
                <w:color w:val="000000"/>
                <w:sz w:val="16"/>
                <w:szCs w:val="16"/>
              </w:rPr>
              <w:t>2024 N</w:t>
            </w:r>
          </w:p>
        </w:tc>
      </w:tr>
      <w:tr w:rsidR="00AA17E3" w:rsidRPr="006E4D2E" w:rsidTr="00AA17E3">
        <w:trPr>
          <w:trHeight w:val="300"/>
        </w:trPr>
        <w:tc>
          <w:tcPr>
            <w:tcW w:w="2980" w:type="dxa"/>
            <w:tcBorders>
              <w:top w:val="single" w:sz="4" w:space="0" w:color="auto"/>
              <w:left w:val="nil"/>
              <w:bottom w:val="nil"/>
              <w:right w:val="nil"/>
            </w:tcBorders>
            <w:shd w:val="clear" w:color="auto" w:fill="auto"/>
            <w:noWrap/>
            <w:vAlign w:val="bottom"/>
            <w:hideMark/>
          </w:tcPr>
          <w:p w:rsidR="00AA17E3" w:rsidRPr="003537ED" w:rsidRDefault="00AA17E3" w:rsidP="00AA17E3">
            <w:pPr>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Ostatné činnosti</w:t>
            </w:r>
          </w:p>
        </w:tc>
        <w:tc>
          <w:tcPr>
            <w:tcW w:w="871" w:type="dxa"/>
            <w:tcBorders>
              <w:top w:val="single" w:sz="4" w:space="0" w:color="auto"/>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b/>
                <w:color w:val="000000"/>
                <w:sz w:val="16"/>
                <w:szCs w:val="16"/>
                <w:lang w:eastAsia="sk-SK"/>
              </w:rPr>
            </w:pPr>
            <w:r w:rsidRPr="001E6EB5">
              <w:rPr>
                <w:rFonts w:ascii="Times New Roman" w:hAnsi="Times New Roman" w:cs="Times New Roman"/>
                <w:b/>
                <w:color w:val="000000"/>
                <w:sz w:val="16"/>
                <w:szCs w:val="16"/>
              </w:rPr>
              <w:t>142 220</w:t>
            </w:r>
          </w:p>
        </w:tc>
        <w:tc>
          <w:tcPr>
            <w:tcW w:w="871" w:type="dxa"/>
            <w:tcBorders>
              <w:top w:val="single" w:sz="4" w:space="0" w:color="auto"/>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b/>
                <w:color w:val="000000"/>
                <w:sz w:val="16"/>
                <w:szCs w:val="16"/>
                <w:lang w:eastAsia="sk-SK"/>
              </w:rPr>
            </w:pPr>
            <w:r w:rsidRPr="001E6EB5">
              <w:rPr>
                <w:rFonts w:ascii="Times New Roman" w:hAnsi="Times New Roman" w:cs="Times New Roman"/>
                <w:b/>
                <w:color w:val="000000"/>
                <w:sz w:val="16"/>
                <w:szCs w:val="16"/>
              </w:rPr>
              <w:t>131 822</w:t>
            </w:r>
          </w:p>
        </w:tc>
        <w:tc>
          <w:tcPr>
            <w:tcW w:w="870" w:type="dxa"/>
            <w:tcBorders>
              <w:top w:val="single" w:sz="4" w:space="0" w:color="auto"/>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b/>
                <w:color w:val="000000"/>
                <w:sz w:val="16"/>
                <w:szCs w:val="16"/>
                <w:lang w:eastAsia="sk-SK"/>
              </w:rPr>
            </w:pPr>
            <w:r w:rsidRPr="001E6EB5">
              <w:rPr>
                <w:rFonts w:ascii="Times New Roman" w:hAnsi="Times New Roman" w:cs="Times New Roman"/>
                <w:b/>
                <w:color w:val="000000"/>
                <w:sz w:val="16"/>
                <w:szCs w:val="16"/>
              </w:rPr>
              <w:t>106 459</w:t>
            </w:r>
          </w:p>
        </w:tc>
        <w:tc>
          <w:tcPr>
            <w:tcW w:w="870" w:type="dxa"/>
            <w:tcBorders>
              <w:top w:val="single" w:sz="4" w:space="0" w:color="auto"/>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b/>
                <w:color w:val="000000"/>
                <w:sz w:val="16"/>
                <w:szCs w:val="16"/>
                <w:lang w:eastAsia="sk-SK"/>
              </w:rPr>
            </w:pPr>
            <w:r w:rsidRPr="001E6EB5">
              <w:rPr>
                <w:rFonts w:ascii="Times New Roman" w:hAnsi="Times New Roman" w:cs="Times New Roman"/>
                <w:b/>
                <w:color w:val="000000"/>
                <w:sz w:val="16"/>
                <w:szCs w:val="16"/>
              </w:rPr>
              <w:t>138 858</w:t>
            </w:r>
          </w:p>
        </w:tc>
        <w:tc>
          <w:tcPr>
            <w:tcW w:w="870" w:type="dxa"/>
            <w:tcBorders>
              <w:top w:val="single" w:sz="4" w:space="0" w:color="auto"/>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b/>
                <w:color w:val="000000"/>
                <w:sz w:val="16"/>
                <w:szCs w:val="16"/>
              </w:rPr>
            </w:pPr>
            <w:r w:rsidRPr="001E6EB5">
              <w:rPr>
                <w:rFonts w:ascii="Times New Roman" w:hAnsi="Times New Roman" w:cs="Times New Roman"/>
                <w:b/>
                <w:color w:val="000000"/>
                <w:sz w:val="16"/>
                <w:szCs w:val="16"/>
              </w:rPr>
              <w:t>261 689</w:t>
            </w:r>
          </w:p>
        </w:tc>
        <w:tc>
          <w:tcPr>
            <w:tcW w:w="870" w:type="dxa"/>
            <w:tcBorders>
              <w:top w:val="single" w:sz="4" w:space="0" w:color="auto"/>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b/>
                <w:color w:val="000000"/>
                <w:sz w:val="16"/>
                <w:szCs w:val="16"/>
              </w:rPr>
            </w:pPr>
            <w:r w:rsidRPr="001E6EB5">
              <w:rPr>
                <w:rFonts w:ascii="Times New Roman" w:hAnsi="Times New Roman" w:cs="Times New Roman"/>
                <w:b/>
                <w:color w:val="000000"/>
                <w:sz w:val="16"/>
                <w:szCs w:val="16"/>
              </w:rPr>
              <w:t>241 521</w:t>
            </w:r>
          </w:p>
        </w:tc>
        <w:tc>
          <w:tcPr>
            <w:tcW w:w="870" w:type="dxa"/>
            <w:tcBorders>
              <w:top w:val="single" w:sz="4" w:space="0" w:color="auto"/>
              <w:left w:val="nil"/>
              <w:bottom w:val="nil"/>
              <w:right w:val="nil"/>
            </w:tcBorders>
            <w:shd w:val="clear" w:color="000000" w:fill="FFFFFF"/>
            <w:noWrap/>
            <w:vAlign w:val="bottom"/>
            <w:hideMark/>
          </w:tcPr>
          <w:p w:rsidR="00AA17E3" w:rsidRPr="001E6EB5" w:rsidRDefault="00403BB6" w:rsidP="00AA17E3">
            <w:pPr>
              <w:jc w:val="right"/>
              <w:rPr>
                <w:rFonts w:ascii="Times New Roman" w:hAnsi="Times New Roman" w:cs="Times New Roman"/>
                <w:b/>
                <w:color w:val="000000"/>
                <w:sz w:val="16"/>
                <w:szCs w:val="16"/>
              </w:rPr>
            </w:pPr>
            <w:r>
              <w:rPr>
                <w:rFonts w:ascii="Times New Roman" w:hAnsi="Times New Roman" w:cs="Times New Roman"/>
                <w:b/>
                <w:color w:val="000000"/>
                <w:sz w:val="16"/>
                <w:szCs w:val="16"/>
              </w:rPr>
              <w:t>394</w:t>
            </w:r>
            <w:r w:rsidR="00AA17E3" w:rsidRPr="001E6EB5">
              <w:rPr>
                <w:rFonts w:ascii="Times New Roman" w:hAnsi="Times New Roman" w:cs="Times New Roman"/>
                <w:b/>
                <w:color w:val="000000"/>
                <w:sz w:val="16"/>
                <w:szCs w:val="16"/>
              </w:rPr>
              <w:t xml:space="preserve"> 615</w:t>
            </w:r>
          </w:p>
        </w:tc>
      </w:tr>
      <w:tr w:rsidR="00AA17E3" w:rsidRPr="006E4D2E" w:rsidTr="00AA17E3">
        <w:trPr>
          <w:trHeight w:val="300"/>
        </w:trPr>
        <w:tc>
          <w:tcPr>
            <w:tcW w:w="2980" w:type="dxa"/>
            <w:tcBorders>
              <w:top w:val="nil"/>
              <w:left w:val="nil"/>
              <w:bottom w:val="nil"/>
              <w:right w:val="nil"/>
            </w:tcBorders>
            <w:shd w:val="clear" w:color="auto" w:fill="auto"/>
            <w:noWrap/>
            <w:vAlign w:val="bottom"/>
            <w:hideMark/>
          </w:tcPr>
          <w:p w:rsidR="00AA17E3" w:rsidRPr="006E4D2E" w:rsidRDefault="00AA17E3" w:rsidP="00AA17E3">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Administratíva</w:t>
            </w:r>
          </w:p>
        </w:tc>
        <w:tc>
          <w:tcPr>
            <w:tcW w:w="871"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68 470</w:t>
            </w:r>
          </w:p>
        </w:tc>
        <w:tc>
          <w:tcPr>
            <w:tcW w:w="871"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70 229</w:t>
            </w:r>
          </w:p>
        </w:tc>
        <w:tc>
          <w:tcPr>
            <w:tcW w:w="870"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47 826</w:t>
            </w:r>
          </w:p>
        </w:tc>
        <w:tc>
          <w:tcPr>
            <w:tcW w:w="870"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51 792</w:t>
            </w:r>
          </w:p>
        </w:tc>
        <w:tc>
          <w:tcPr>
            <w:tcW w:w="870"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47 146</w:t>
            </w:r>
          </w:p>
        </w:tc>
        <w:tc>
          <w:tcPr>
            <w:tcW w:w="870"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47 552</w:t>
            </w:r>
          </w:p>
        </w:tc>
        <w:tc>
          <w:tcPr>
            <w:tcW w:w="870" w:type="dxa"/>
            <w:tcBorders>
              <w:top w:val="nil"/>
              <w:left w:val="nil"/>
              <w:bottom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47 552</w:t>
            </w:r>
          </w:p>
        </w:tc>
      </w:tr>
      <w:tr w:rsidR="00AA17E3" w:rsidRPr="006E4D2E" w:rsidTr="00AA17E3">
        <w:trPr>
          <w:trHeight w:val="300"/>
        </w:trPr>
        <w:tc>
          <w:tcPr>
            <w:tcW w:w="2980" w:type="dxa"/>
            <w:tcBorders>
              <w:top w:val="nil"/>
              <w:left w:val="nil"/>
              <w:bottom w:val="nil"/>
              <w:right w:val="nil"/>
            </w:tcBorders>
            <w:shd w:val="clear" w:color="auto" w:fill="auto"/>
            <w:noWrap/>
            <w:vAlign w:val="bottom"/>
          </w:tcPr>
          <w:p w:rsidR="00AA17E3" w:rsidRPr="006E4D2E" w:rsidRDefault="00AA17E3" w:rsidP="00AA17E3">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Plán obnovy a odolnosti SR</w:t>
            </w:r>
          </w:p>
        </w:tc>
        <w:tc>
          <w:tcPr>
            <w:tcW w:w="871"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0</w:t>
            </w:r>
          </w:p>
        </w:tc>
        <w:tc>
          <w:tcPr>
            <w:tcW w:w="871"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0</w:t>
            </w:r>
          </w:p>
        </w:tc>
        <w:tc>
          <w:tcPr>
            <w:tcW w:w="870"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0</w:t>
            </w:r>
          </w:p>
        </w:tc>
        <w:tc>
          <w:tcPr>
            <w:tcW w:w="870"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0</w:t>
            </w:r>
          </w:p>
        </w:tc>
        <w:tc>
          <w:tcPr>
            <w:tcW w:w="870"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175 132</w:t>
            </w:r>
          </w:p>
        </w:tc>
        <w:tc>
          <w:tcPr>
            <w:tcW w:w="870"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145 828</w:t>
            </w:r>
          </w:p>
        </w:tc>
        <w:tc>
          <w:tcPr>
            <w:tcW w:w="870" w:type="dxa"/>
            <w:tcBorders>
              <w:top w:val="nil"/>
              <w:left w:val="nil"/>
              <w:bottom w:val="nil"/>
              <w:right w:val="nil"/>
            </w:tcBorders>
            <w:shd w:val="clear" w:color="000000" w:fill="FFFFFF"/>
            <w:noWrap/>
            <w:vAlign w:val="bottom"/>
          </w:tcPr>
          <w:p w:rsidR="00AA17E3" w:rsidRPr="001E6EB5" w:rsidRDefault="00AA17E3" w:rsidP="00AA17E3">
            <w:pPr>
              <w:jc w:val="right"/>
              <w:rPr>
                <w:rFonts w:ascii="Times New Roman" w:hAnsi="Times New Roman" w:cs="Times New Roman"/>
                <w:color w:val="000000"/>
                <w:sz w:val="16"/>
                <w:szCs w:val="16"/>
              </w:rPr>
            </w:pPr>
            <w:r w:rsidRPr="001E6EB5">
              <w:rPr>
                <w:rFonts w:ascii="Times New Roman" w:hAnsi="Times New Roman" w:cs="Times New Roman"/>
                <w:color w:val="000000"/>
                <w:sz w:val="16"/>
                <w:szCs w:val="16"/>
              </w:rPr>
              <w:t>317 574</w:t>
            </w:r>
          </w:p>
        </w:tc>
      </w:tr>
      <w:tr w:rsidR="00AA17E3" w:rsidRPr="006E4D2E" w:rsidTr="00AA17E3">
        <w:trPr>
          <w:trHeight w:val="300"/>
        </w:trPr>
        <w:tc>
          <w:tcPr>
            <w:tcW w:w="2980" w:type="dxa"/>
            <w:tcBorders>
              <w:top w:val="nil"/>
              <w:left w:val="nil"/>
              <w:right w:val="nil"/>
            </w:tcBorders>
            <w:shd w:val="clear" w:color="auto" w:fill="auto"/>
            <w:noWrap/>
            <w:vAlign w:val="bottom"/>
            <w:hideMark/>
          </w:tcPr>
          <w:p w:rsidR="00AA17E3" w:rsidRPr="006E4D2E" w:rsidRDefault="00AA17E3" w:rsidP="00AA17E3">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Informačné technológie financované zo ŠR</w:t>
            </w:r>
          </w:p>
        </w:tc>
        <w:tc>
          <w:tcPr>
            <w:tcW w:w="871"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12 155</w:t>
            </w:r>
          </w:p>
        </w:tc>
        <w:tc>
          <w:tcPr>
            <w:tcW w:w="871"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11 951</w:t>
            </w:r>
          </w:p>
        </w:tc>
        <w:tc>
          <w:tcPr>
            <w:tcW w:w="870"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9 321</w:t>
            </w:r>
          </w:p>
        </w:tc>
        <w:tc>
          <w:tcPr>
            <w:tcW w:w="870"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13 155</w:t>
            </w:r>
          </w:p>
        </w:tc>
        <w:tc>
          <w:tcPr>
            <w:tcW w:w="870"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11 796</w:t>
            </w:r>
          </w:p>
        </w:tc>
        <w:tc>
          <w:tcPr>
            <w:tcW w:w="870"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11 468</w:t>
            </w:r>
          </w:p>
        </w:tc>
        <w:tc>
          <w:tcPr>
            <w:tcW w:w="870" w:type="dxa"/>
            <w:tcBorders>
              <w:top w:val="nil"/>
              <w:left w:val="nil"/>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11 468</w:t>
            </w:r>
          </w:p>
        </w:tc>
      </w:tr>
      <w:tr w:rsidR="00AA17E3" w:rsidRPr="006E4D2E" w:rsidTr="00AA17E3">
        <w:trPr>
          <w:trHeight w:val="300"/>
        </w:trPr>
        <w:tc>
          <w:tcPr>
            <w:tcW w:w="2980" w:type="dxa"/>
            <w:tcBorders>
              <w:top w:val="nil"/>
              <w:left w:val="nil"/>
              <w:bottom w:val="single" w:sz="4" w:space="0" w:color="auto"/>
              <w:right w:val="nil"/>
            </w:tcBorders>
            <w:shd w:val="clear" w:color="auto" w:fill="auto"/>
            <w:noWrap/>
            <w:vAlign w:val="bottom"/>
            <w:hideMark/>
          </w:tcPr>
          <w:p w:rsidR="00AA17E3" w:rsidRPr="006E4D2E" w:rsidRDefault="00AA17E3" w:rsidP="00AA17E3">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Zostávajúce činnosti</w:t>
            </w:r>
            <w:r w:rsidRPr="006E4D2E">
              <w:rPr>
                <w:rFonts w:ascii="Times New Roman" w:hAnsi="Times New Roman" w:cs="Times New Roman"/>
                <w:color w:val="000000"/>
                <w:sz w:val="16"/>
                <w:szCs w:val="16"/>
                <w:lang w:eastAsia="sk-SK"/>
              </w:rPr>
              <w:t xml:space="preserve"> </w:t>
            </w:r>
          </w:p>
        </w:tc>
        <w:tc>
          <w:tcPr>
            <w:tcW w:w="871"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61 595</w:t>
            </w:r>
          </w:p>
        </w:tc>
        <w:tc>
          <w:tcPr>
            <w:tcW w:w="871"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49 642</w:t>
            </w:r>
          </w:p>
        </w:tc>
        <w:tc>
          <w:tcPr>
            <w:tcW w:w="870"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49 095</w:t>
            </w:r>
          </w:p>
        </w:tc>
        <w:tc>
          <w:tcPr>
            <w:tcW w:w="870"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73 911</w:t>
            </w:r>
          </w:p>
        </w:tc>
        <w:tc>
          <w:tcPr>
            <w:tcW w:w="870"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27 615</w:t>
            </w:r>
          </w:p>
        </w:tc>
        <w:tc>
          <w:tcPr>
            <w:tcW w:w="870"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36 673</w:t>
            </w:r>
          </w:p>
        </w:tc>
        <w:tc>
          <w:tcPr>
            <w:tcW w:w="870" w:type="dxa"/>
            <w:tcBorders>
              <w:top w:val="nil"/>
              <w:left w:val="nil"/>
              <w:bottom w:val="single" w:sz="4" w:space="0" w:color="auto"/>
              <w:right w:val="nil"/>
            </w:tcBorders>
            <w:shd w:val="clear" w:color="000000" w:fill="FFFFFF"/>
            <w:noWrap/>
            <w:vAlign w:val="bottom"/>
            <w:hideMark/>
          </w:tcPr>
          <w:p w:rsidR="00AA17E3" w:rsidRPr="001E6EB5" w:rsidRDefault="00AA17E3" w:rsidP="00AA17E3">
            <w:pPr>
              <w:jc w:val="right"/>
              <w:rPr>
                <w:rFonts w:ascii="Times New Roman" w:hAnsi="Times New Roman" w:cs="Times New Roman"/>
                <w:color w:val="000000"/>
                <w:sz w:val="16"/>
                <w:szCs w:val="16"/>
                <w:lang w:eastAsia="sk-SK"/>
              </w:rPr>
            </w:pPr>
            <w:r w:rsidRPr="001E6EB5">
              <w:rPr>
                <w:rFonts w:ascii="Times New Roman" w:hAnsi="Times New Roman" w:cs="Times New Roman"/>
                <w:color w:val="000000"/>
                <w:sz w:val="16"/>
                <w:szCs w:val="16"/>
              </w:rPr>
              <w:t>18 021</w:t>
            </w:r>
          </w:p>
        </w:tc>
      </w:tr>
    </w:tbl>
    <w:p w:rsidR="00AA17E3" w:rsidRPr="002B073A" w:rsidRDefault="00AA17E3" w:rsidP="001E50EB">
      <w:pPr>
        <w:spacing w:after="0"/>
        <w:ind w:left="7080" w:firstLine="708"/>
        <w:jc w:val="both"/>
        <w:rPr>
          <w:rFonts w:ascii="Times New Roman" w:hAnsi="Times New Roman" w:cs="Times New Roman"/>
          <w:i/>
          <w:color w:val="000000"/>
          <w:sz w:val="16"/>
          <w:szCs w:val="16"/>
          <w:lang w:eastAsia="sk-SK"/>
        </w:rPr>
      </w:pPr>
      <w:r w:rsidRPr="002B073A">
        <w:rPr>
          <w:rFonts w:ascii="Times New Roman" w:hAnsi="Times New Roman" w:cs="Times New Roman"/>
          <w:i/>
          <w:color w:val="000000"/>
          <w:sz w:val="16"/>
          <w:szCs w:val="16"/>
          <w:lang w:eastAsia="sk-SK"/>
        </w:rPr>
        <w:t xml:space="preserve">        Zdroj: MF SR</w:t>
      </w:r>
    </w:p>
    <w:p w:rsidR="001E50EB" w:rsidRDefault="001E50EB" w:rsidP="001E50EB">
      <w:pPr>
        <w:spacing w:after="0"/>
        <w:jc w:val="both"/>
        <w:rPr>
          <w:rFonts w:ascii="Times New Roman" w:hAnsi="Times New Roman" w:cs="Times New Roman"/>
          <w:sz w:val="24"/>
        </w:rPr>
      </w:pPr>
    </w:p>
    <w:p w:rsidR="00AA17E3" w:rsidRDefault="00AA17E3" w:rsidP="001E50EB">
      <w:pPr>
        <w:spacing w:after="0"/>
        <w:jc w:val="both"/>
        <w:rPr>
          <w:rFonts w:ascii="Times New Roman" w:hAnsi="Times New Roman" w:cs="Times New Roman"/>
          <w:sz w:val="24"/>
        </w:rPr>
      </w:pPr>
      <w:r w:rsidRPr="00CB562B">
        <w:rPr>
          <w:rFonts w:ascii="Times New Roman" w:hAnsi="Times New Roman" w:cs="Times New Roman"/>
          <w:sz w:val="24"/>
        </w:rPr>
        <w:t>Výdavky na  administratívu a ostatné činnosti na rok 202</w:t>
      </w:r>
      <w:r>
        <w:rPr>
          <w:rFonts w:ascii="Times New Roman" w:hAnsi="Times New Roman" w:cs="Times New Roman"/>
          <w:sz w:val="24"/>
        </w:rPr>
        <w:t>2</w:t>
      </w:r>
      <w:r w:rsidRPr="00CB562B">
        <w:rPr>
          <w:rFonts w:ascii="Times New Roman" w:hAnsi="Times New Roman" w:cs="Times New Roman"/>
          <w:sz w:val="24"/>
        </w:rPr>
        <w:t xml:space="preserve"> predstavujú sumu </w:t>
      </w:r>
      <w:r>
        <w:rPr>
          <w:rFonts w:ascii="Times New Roman" w:hAnsi="Times New Roman" w:cs="Times New Roman"/>
          <w:sz w:val="24"/>
        </w:rPr>
        <w:t>262</w:t>
      </w:r>
      <w:r w:rsidRPr="00CB562B">
        <w:rPr>
          <w:rFonts w:ascii="Times New Roman" w:hAnsi="Times New Roman" w:cs="Times New Roman"/>
          <w:sz w:val="24"/>
        </w:rPr>
        <w:t xml:space="preserve"> mil. eur, ktorými sa zabezpečí financovanie úloh samotného úradu M</w:t>
      </w:r>
      <w:r>
        <w:rPr>
          <w:rFonts w:ascii="Times New Roman" w:hAnsi="Times New Roman" w:cs="Times New Roman"/>
          <w:sz w:val="24"/>
        </w:rPr>
        <w:t>inisterstva dopravy a výstavby</w:t>
      </w:r>
      <w:r w:rsidRPr="00CB562B">
        <w:rPr>
          <w:rFonts w:ascii="Times New Roman" w:hAnsi="Times New Roman" w:cs="Times New Roman"/>
          <w:sz w:val="24"/>
        </w:rPr>
        <w:t xml:space="preserve"> SR, Dopravného úradu, ktorý je orgánom štátnej správy s celoslovenskou pôsobnosťou pre oblasť dráh a dopravy na dráhach, civilného letectva a vnútrozemskej plavby, Úradu pre reguláciu elektronických komunikácií</w:t>
      </w:r>
      <w:r>
        <w:rPr>
          <w:rFonts w:ascii="Times New Roman" w:hAnsi="Times New Roman" w:cs="Times New Roman"/>
          <w:sz w:val="24"/>
        </w:rPr>
        <w:t xml:space="preserve"> </w:t>
      </w:r>
      <w:r w:rsidRPr="00CB562B">
        <w:rPr>
          <w:rFonts w:ascii="Times New Roman" w:hAnsi="Times New Roman" w:cs="Times New Roman"/>
          <w:sz w:val="24"/>
        </w:rPr>
        <w:t>a poštových služieb, ktorý je regulačným a cenovým orgánom a vykonáva štátny dohľad</w:t>
      </w:r>
      <w:r>
        <w:rPr>
          <w:rFonts w:ascii="Times New Roman" w:hAnsi="Times New Roman" w:cs="Times New Roman"/>
          <w:sz w:val="24"/>
        </w:rPr>
        <w:t xml:space="preserve"> </w:t>
      </w:r>
      <w:r w:rsidRPr="00CB562B">
        <w:rPr>
          <w:rFonts w:ascii="Times New Roman" w:hAnsi="Times New Roman" w:cs="Times New Roman"/>
          <w:sz w:val="24"/>
        </w:rPr>
        <w:t>v oblasti elektronických komunikácií a poštových služieb, Slovenskej stavebnej inšpekcie, ktorej hlavným poslaním je vykonávanie dohľadu nad dodržiavaním stavebného</w:t>
      </w:r>
      <w:r>
        <w:rPr>
          <w:rFonts w:ascii="Times New Roman" w:hAnsi="Times New Roman" w:cs="Times New Roman"/>
          <w:sz w:val="24"/>
        </w:rPr>
        <w:t xml:space="preserve"> </w:t>
      </w:r>
      <w:r w:rsidRPr="00CB562B">
        <w:rPr>
          <w:rFonts w:ascii="Times New Roman" w:hAnsi="Times New Roman" w:cs="Times New Roman"/>
          <w:sz w:val="24"/>
        </w:rPr>
        <w:t>zákona</w:t>
      </w:r>
      <w:r>
        <w:rPr>
          <w:rFonts w:ascii="Times New Roman" w:hAnsi="Times New Roman" w:cs="Times New Roman"/>
          <w:sz w:val="24"/>
        </w:rPr>
        <w:t xml:space="preserve"> </w:t>
      </w:r>
      <w:r w:rsidRPr="00CB562B">
        <w:rPr>
          <w:rFonts w:ascii="Times New Roman" w:hAnsi="Times New Roman" w:cs="Times New Roman"/>
          <w:sz w:val="24"/>
        </w:rPr>
        <w:t>s cieľom chrániť verejné aj súkromné záujmy všetkých účastníkov výstavby, najmä predchádzať škodám preventívnym a výchovným pôsobením, nariaďovaním nápravy zistených nedostatkov, ich postupovaním stavebným úradom na ďalšie konanie, plnenie úloh vyplývajúcich z rezortných politík, prenesený výkon štátnej správy, technická pomoc, riešenie úloh, ktoré kapitola rieši ako účastník medzirezortných programov.</w:t>
      </w:r>
    </w:p>
    <w:p w:rsidR="00AA17E3" w:rsidRDefault="00AA17E3" w:rsidP="00AA17E3">
      <w:pPr>
        <w:spacing w:after="0"/>
        <w:jc w:val="both"/>
        <w:rPr>
          <w:rFonts w:ascii="Times New Roman" w:hAnsi="Times New Roman" w:cs="Times New Roman"/>
          <w:sz w:val="24"/>
        </w:rPr>
      </w:pPr>
    </w:p>
    <w:p w:rsidR="00AA17E3" w:rsidRDefault="00AA17E3" w:rsidP="00AA17E3">
      <w:pPr>
        <w:spacing w:after="0"/>
        <w:jc w:val="both"/>
        <w:rPr>
          <w:rFonts w:ascii="Times New Roman" w:hAnsi="Times New Roman" w:cs="Times New Roman"/>
          <w:sz w:val="24"/>
        </w:rPr>
      </w:pPr>
      <w:r w:rsidRPr="000F63C7">
        <w:rPr>
          <w:rFonts w:ascii="Times New Roman" w:hAnsi="Times New Roman" w:cs="Times New Roman"/>
          <w:sz w:val="24"/>
        </w:rPr>
        <w:t xml:space="preserve">V tejto oblasti sú rozpočtované aj zvýšené výdavky v sume 175 mil. eur z prostriedkov z Plánu obnovy a odolnosti </w:t>
      </w:r>
      <w:r>
        <w:rPr>
          <w:rFonts w:ascii="Times New Roman" w:hAnsi="Times New Roman" w:cs="Times New Roman"/>
          <w:sz w:val="24"/>
        </w:rPr>
        <w:t>vrátane DPH</w:t>
      </w:r>
      <w:r w:rsidRPr="000F63C7">
        <w:rPr>
          <w:rFonts w:ascii="Times New Roman" w:hAnsi="Times New Roman" w:cs="Times New Roman"/>
          <w:sz w:val="24"/>
        </w:rPr>
        <w:t>, ktoré sú určené na obnovu verejných historických</w:t>
      </w:r>
      <w:r>
        <w:rPr>
          <w:rFonts w:ascii="Times New Roman" w:hAnsi="Times New Roman" w:cs="Times New Roman"/>
          <w:sz w:val="24"/>
        </w:rPr>
        <w:t xml:space="preserve"> </w:t>
      </w:r>
      <w:r w:rsidRPr="000F63C7">
        <w:rPr>
          <w:rFonts w:ascii="Times New Roman" w:hAnsi="Times New Roman" w:cs="Times New Roman"/>
          <w:sz w:val="24"/>
        </w:rPr>
        <w:t>a pamiatkovo chránených budov, na reform</w:t>
      </w:r>
      <w:r>
        <w:rPr>
          <w:rFonts w:ascii="Times New Roman" w:hAnsi="Times New Roman" w:cs="Times New Roman"/>
          <w:sz w:val="24"/>
        </w:rPr>
        <w:t xml:space="preserve">u </w:t>
      </w:r>
      <w:r w:rsidRPr="000F63C7">
        <w:rPr>
          <w:rFonts w:ascii="Times New Roman" w:hAnsi="Times New Roman" w:cs="Times New Roman"/>
          <w:sz w:val="24"/>
        </w:rPr>
        <w:t>verejnej osobnej dopravy, na rozvoj infraštruktúry nízkouhlíkovej dopravy, podporu ekologickej osobnej dopravy</w:t>
      </w:r>
      <w:r>
        <w:rPr>
          <w:rFonts w:ascii="Times New Roman" w:hAnsi="Times New Roman" w:cs="Times New Roman"/>
          <w:sz w:val="24"/>
        </w:rPr>
        <w:t>,</w:t>
      </w:r>
      <w:r w:rsidRPr="000F63C7">
        <w:rPr>
          <w:rFonts w:ascii="Times New Roman" w:hAnsi="Times New Roman" w:cs="Times New Roman"/>
          <w:sz w:val="24"/>
        </w:rPr>
        <w:t xml:space="preserve"> rozvoj intermodálnej nákladnej dopravy a na administratívnu podporu implementačných jednotiek. </w:t>
      </w:r>
    </w:p>
    <w:p w:rsidR="00AA17E3" w:rsidRDefault="00AA17E3" w:rsidP="00AA17E3">
      <w:pPr>
        <w:spacing w:after="0"/>
        <w:jc w:val="both"/>
        <w:rPr>
          <w:rFonts w:ascii="Times New Roman" w:hAnsi="Times New Roman" w:cs="Times New Roman"/>
          <w:sz w:val="24"/>
        </w:rPr>
      </w:pPr>
    </w:p>
    <w:p w:rsidR="00AA17E3" w:rsidRDefault="00AA17E3" w:rsidP="00AA17E3">
      <w:pPr>
        <w:widowControl w:val="0"/>
        <w:spacing w:after="0"/>
        <w:jc w:val="both"/>
        <w:rPr>
          <w:rFonts w:ascii="Times New Roman" w:hAnsi="Times New Roman"/>
          <w:sz w:val="24"/>
        </w:rPr>
      </w:pPr>
      <w:r>
        <w:rPr>
          <w:rFonts w:ascii="Times New Roman" w:hAnsi="Times New Roman"/>
          <w:sz w:val="24"/>
        </w:rPr>
        <w:t>P</w:t>
      </w:r>
      <w:r w:rsidRPr="00CB562B">
        <w:rPr>
          <w:rFonts w:ascii="Times New Roman" w:hAnsi="Times New Roman"/>
          <w:sz w:val="24"/>
        </w:rPr>
        <w:t>rostredníctvom samostatných účtov</w:t>
      </w:r>
      <w:r>
        <w:rPr>
          <w:rFonts w:ascii="Times New Roman" w:hAnsi="Times New Roman" w:cs="Times New Roman"/>
          <w:sz w:val="24"/>
        </w:rPr>
        <w:t xml:space="preserve"> </w:t>
      </w:r>
      <w:r w:rsidRPr="00CB562B">
        <w:rPr>
          <w:rFonts w:ascii="Times New Roman" w:hAnsi="Times New Roman"/>
          <w:sz w:val="24"/>
        </w:rPr>
        <w:t>sa</w:t>
      </w:r>
      <w:r>
        <w:rPr>
          <w:rFonts w:ascii="Times New Roman" w:hAnsi="Times New Roman"/>
          <w:sz w:val="24"/>
        </w:rPr>
        <w:t xml:space="preserve"> </w:t>
      </w:r>
      <w:r w:rsidRPr="00CB562B">
        <w:rPr>
          <w:rFonts w:ascii="Times New Roman" w:hAnsi="Times New Roman"/>
          <w:sz w:val="24"/>
        </w:rPr>
        <w:t>zabezpečí financo</w:t>
      </w:r>
      <w:r>
        <w:rPr>
          <w:rFonts w:ascii="Times New Roman" w:hAnsi="Times New Roman"/>
          <w:sz w:val="24"/>
        </w:rPr>
        <w:t>vanie projektov dopravných sietí</w:t>
      </w:r>
      <w:r w:rsidRPr="00CB562B">
        <w:rPr>
          <w:rFonts w:ascii="Times New Roman" w:hAnsi="Times New Roman"/>
          <w:sz w:val="24"/>
        </w:rPr>
        <w:t xml:space="preserve"> Európy z Nástroja na prepájanie Európy (CEF), kompenzácia rozdielu medzi „čistými nákladmi“ poskytovateľa univerzálnej služby a príspevkov poštových podnikov v zmysle zákona</w:t>
      </w:r>
      <w:r>
        <w:rPr>
          <w:rFonts w:ascii="Times New Roman" w:hAnsi="Times New Roman"/>
          <w:sz w:val="24"/>
        </w:rPr>
        <w:t xml:space="preserve"> </w:t>
      </w:r>
      <w:r w:rsidRPr="00CB562B">
        <w:rPr>
          <w:rFonts w:ascii="Times New Roman" w:hAnsi="Times New Roman"/>
          <w:sz w:val="24"/>
        </w:rPr>
        <w:t>č. 324/2011 Z. z. o poštových službách</w:t>
      </w:r>
      <w:r>
        <w:rPr>
          <w:rFonts w:ascii="Times New Roman" w:hAnsi="Times New Roman"/>
          <w:sz w:val="24"/>
        </w:rPr>
        <w:t xml:space="preserve"> </w:t>
      </w:r>
      <w:r w:rsidRPr="00CB562B">
        <w:rPr>
          <w:rFonts w:ascii="Times New Roman" w:hAnsi="Times New Roman"/>
          <w:sz w:val="24"/>
        </w:rPr>
        <w:t>a o zmene a doplnení niektorých zákonov</w:t>
      </w:r>
      <w:r>
        <w:rPr>
          <w:rFonts w:ascii="Times New Roman" w:hAnsi="Times New Roman"/>
          <w:sz w:val="24"/>
        </w:rPr>
        <w:br/>
      </w:r>
      <w:r w:rsidRPr="00CB562B">
        <w:rPr>
          <w:rFonts w:ascii="Times New Roman" w:hAnsi="Times New Roman"/>
          <w:sz w:val="24"/>
        </w:rPr>
        <w:t>a činností národného dozorného orgánu v zmysle zákona č. 143/1998 Z. z. o civilnom letectve (letecký zákon)  v nadväznosti na článok 4 odseku 4 novelizovaného nariadenia Európskeho parlamentu a Rady (ES) č. 549/2004 z 10. marca 2004 prostredníctvom samostatných účtov.</w:t>
      </w:r>
    </w:p>
    <w:p w:rsidR="00AA17E3" w:rsidRPr="00E836C5" w:rsidRDefault="00AA17E3" w:rsidP="00AA17E3">
      <w:pPr>
        <w:widowControl w:val="0"/>
        <w:spacing w:after="0"/>
        <w:jc w:val="both"/>
        <w:rPr>
          <w:rFonts w:ascii="Times New Roman" w:hAnsi="Times New Roman"/>
          <w:sz w:val="24"/>
          <w:highlight w:val="yellow"/>
        </w:rPr>
      </w:pPr>
    </w:p>
    <w:p w:rsidR="00AA17E3" w:rsidRPr="006B209A" w:rsidRDefault="00AA17E3" w:rsidP="00AA17E3">
      <w:pPr>
        <w:pStyle w:val="Nadpis2"/>
        <w:spacing w:before="0" w:after="0"/>
        <w:rPr>
          <w:rFonts w:ascii="Times New Roman" w:hAnsi="Times New Roman"/>
          <w:bCs w:val="0"/>
          <w:i w:val="0"/>
          <w:color w:val="5B9BD5" w:themeColor="accent1"/>
          <w:sz w:val="24"/>
          <w:szCs w:val="24"/>
        </w:rPr>
      </w:pPr>
      <w:bookmarkStart w:id="284" w:name="_Toc53062616"/>
      <w:bookmarkStart w:id="285" w:name="_Toc53084674"/>
      <w:bookmarkStart w:id="286" w:name="_Toc84528339"/>
      <w:bookmarkStart w:id="287" w:name="_Toc84684762"/>
      <w:r w:rsidRPr="006B209A">
        <w:rPr>
          <w:rFonts w:ascii="Times New Roman" w:hAnsi="Times New Roman"/>
          <w:bCs w:val="0"/>
          <w:i w:val="0"/>
          <w:color w:val="5B9BD5" w:themeColor="accent1"/>
          <w:sz w:val="24"/>
          <w:szCs w:val="24"/>
        </w:rPr>
        <w:t>4.6. Sociálne veci a podpora zamestnanosti</w:t>
      </w:r>
      <w:bookmarkEnd w:id="284"/>
      <w:bookmarkEnd w:id="285"/>
      <w:bookmarkEnd w:id="286"/>
      <w:bookmarkEnd w:id="287"/>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3A5AD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3A5AD0">
        <w:rPr>
          <w:rFonts w:ascii="Times New Roman" w:hAnsi="Times New Roman" w:cs="Times New Roman"/>
          <w:color w:val="000000"/>
          <w:sz w:val="24"/>
          <w:szCs w:val="24"/>
        </w:rPr>
        <w:t xml:space="preserve">Štát poskytuje svojim občanom hmotné zabezpečenie v starobe, pri nespôsobilosti </w:t>
      </w:r>
      <w:r w:rsidRPr="003A5AD0">
        <w:rPr>
          <w:rFonts w:ascii="Times New Roman" w:hAnsi="Times New Roman" w:cs="Times New Roman"/>
          <w:color w:val="000000"/>
          <w:sz w:val="24"/>
          <w:szCs w:val="24"/>
        </w:rPr>
        <w:br/>
        <w:t>na prácu</w:t>
      </w:r>
      <w:r w:rsidR="00AF751E">
        <w:rPr>
          <w:rFonts w:ascii="Times New Roman" w:hAnsi="Times New Roman" w:cs="Times New Roman"/>
          <w:color w:val="000000"/>
          <w:sz w:val="24"/>
          <w:szCs w:val="24"/>
        </w:rPr>
        <w:t xml:space="preserve"> alebo znemožnení jej výkonu</w:t>
      </w:r>
      <w:r w:rsidRPr="003A5AD0">
        <w:rPr>
          <w:rFonts w:ascii="Times New Roman" w:hAnsi="Times New Roman" w:cs="Times New Roman"/>
          <w:color w:val="000000"/>
          <w:sz w:val="24"/>
          <w:szCs w:val="24"/>
        </w:rPr>
        <w:t xml:space="preserve"> a v prípade osirenia alebo ovdovenia. Zároveň dohliada na spravodlivé a uspokojujúce pracovné podmienky, poskytuje osobitnú ochranu v pracovných vzťahoch zraniteľným skupinám a pomoc pri hľadaní práce uchádzačom o zamestnanie. Štát tiež poskytuje podporu pre rodičov, ktorí sa starajú o deti a pomoc občanom v hmotnej núdzi.</w:t>
      </w:r>
    </w:p>
    <w:p w:rsidR="00AA17E3" w:rsidRPr="003A5AD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3A5AD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3A5AD0">
        <w:rPr>
          <w:rFonts w:ascii="Times New Roman" w:hAnsi="Times New Roman" w:cs="Times New Roman"/>
          <w:color w:val="000000"/>
          <w:sz w:val="24"/>
          <w:szCs w:val="24"/>
        </w:rPr>
        <w:t xml:space="preserve">Úlohy štátu v tejto oblasti zabezpečuje najmä Ministerstvo práce, sociálnych vecí a rodiny SR, ktoré zodpovedá za zamestnanosť a pracovnoprávne vzťahy, sociálne poistenie, dôchodkové sporenie, sociálnu inklúziu, rodinnú politiku a sociálno-právnu ochranu detí. </w:t>
      </w:r>
    </w:p>
    <w:p w:rsidR="00AA17E3" w:rsidRPr="001E50EB" w:rsidRDefault="00AA17E3" w:rsidP="00AA17E3">
      <w:pPr>
        <w:pStyle w:val="Popis"/>
        <w:keepNext/>
        <w:spacing w:after="0"/>
        <w:rPr>
          <w:rFonts w:ascii="Times New Roman" w:hAnsi="Times New Roman" w:cs="Times New Roman"/>
          <w:b/>
          <w:i w:val="0"/>
          <w:color w:val="5B9BD5" w:themeColor="accent1"/>
          <w:sz w:val="24"/>
          <w:szCs w:val="20"/>
          <w:highlight w:val="yellow"/>
        </w:rPr>
      </w:pPr>
    </w:p>
    <w:p w:rsidR="00AA17E3" w:rsidRPr="00F81B31" w:rsidRDefault="00AA17E3" w:rsidP="00AA17E3">
      <w:pPr>
        <w:pStyle w:val="Popis"/>
        <w:keepNext/>
        <w:spacing w:after="0"/>
        <w:rPr>
          <w:rFonts w:ascii="Times New Roman" w:hAnsi="Times New Roman" w:cs="Times New Roman"/>
          <w:b/>
          <w:i w:val="0"/>
          <w:color w:val="5B9BD5" w:themeColor="accent1"/>
          <w:sz w:val="20"/>
          <w:szCs w:val="20"/>
        </w:rPr>
      </w:pPr>
      <w:bookmarkStart w:id="288" w:name="_Toc53046866"/>
      <w:bookmarkStart w:id="289" w:name="_Toc53054882"/>
      <w:bookmarkStart w:id="290" w:name="_Toc53077958"/>
      <w:bookmarkStart w:id="291" w:name="_Toc53086291"/>
      <w:bookmarkStart w:id="292" w:name="_Toc84528530"/>
      <w:bookmarkStart w:id="293" w:name="_Toc84848021"/>
      <w:r w:rsidRPr="00F81B31">
        <w:rPr>
          <w:rFonts w:ascii="Times New Roman" w:hAnsi="Times New Roman" w:cs="Times New Roman"/>
          <w:b/>
          <w:i w:val="0"/>
          <w:color w:val="5B9BD5" w:themeColor="accent1"/>
          <w:sz w:val="20"/>
          <w:szCs w:val="20"/>
        </w:rPr>
        <w:t xml:space="preserve">Graf </w:t>
      </w:r>
      <w:r w:rsidRPr="00F81B31">
        <w:rPr>
          <w:rFonts w:ascii="Times New Roman" w:hAnsi="Times New Roman" w:cs="Times New Roman"/>
          <w:b/>
          <w:i w:val="0"/>
          <w:color w:val="5B9BD5" w:themeColor="accent1"/>
          <w:sz w:val="20"/>
          <w:szCs w:val="20"/>
        </w:rPr>
        <w:fldChar w:fldCharType="begin"/>
      </w:r>
      <w:r w:rsidRPr="00F81B31">
        <w:rPr>
          <w:rFonts w:ascii="Times New Roman" w:hAnsi="Times New Roman" w:cs="Times New Roman"/>
          <w:b/>
          <w:i w:val="0"/>
          <w:color w:val="5B9BD5" w:themeColor="accent1"/>
          <w:sz w:val="20"/>
          <w:szCs w:val="20"/>
        </w:rPr>
        <w:instrText xml:space="preserve"> SEQ Obrázok \* ARABIC </w:instrText>
      </w:r>
      <w:r w:rsidRPr="00F81B31">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30</w:t>
      </w:r>
      <w:r w:rsidRPr="00F81B31">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sidRPr="00F81B31">
        <w:rPr>
          <w:rFonts w:ascii="Times New Roman" w:hAnsi="Times New Roman" w:cs="Times New Roman"/>
          <w:b/>
          <w:i w:val="0"/>
          <w:color w:val="5B9BD5" w:themeColor="accent1"/>
          <w:sz w:val="20"/>
          <w:szCs w:val="20"/>
        </w:rPr>
        <w:t xml:space="preserve"> Verejné výdavky na sociálne zabezpečenie a ich štruktúra, 201</w:t>
      </w:r>
      <w:bookmarkEnd w:id="288"/>
      <w:bookmarkEnd w:id="289"/>
      <w:bookmarkEnd w:id="290"/>
      <w:bookmarkEnd w:id="291"/>
      <w:r>
        <w:rPr>
          <w:rFonts w:ascii="Times New Roman" w:hAnsi="Times New Roman" w:cs="Times New Roman"/>
          <w:b/>
          <w:i w:val="0"/>
          <w:color w:val="5B9BD5" w:themeColor="accent1"/>
          <w:sz w:val="20"/>
          <w:szCs w:val="20"/>
        </w:rPr>
        <w:t>9</w:t>
      </w:r>
      <w:bookmarkEnd w:id="292"/>
      <w:bookmarkEnd w:id="293"/>
    </w:p>
    <w:tbl>
      <w:tblPr>
        <w:tblpPr w:leftFromText="141" w:rightFromText="141" w:vertAnchor="text" w:horzAnchor="margin" w:tblpXSpec="center" w:tblpY="19"/>
        <w:tblOverlap w:val="never"/>
        <w:tblW w:w="9072" w:type="dxa"/>
        <w:tblBorders>
          <w:top w:val="single" w:sz="4" w:space="0" w:color="auto"/>
          <w:bottom w:val="single" w:sz="4" w:space="0" w:color="auto"/>
        </w:tblBorders>
        <w:tblCellMar>
          <w:left w:w="70" w:type="dxa"/>
          <w:right w:w="70" w:type="dxa"/>
        </w:tblCellMar>
        <w:tblLook w:val="01E0" w:firstRow="1" w:lastRow="1" w:firstColumn="1" w:lastColumn="1" w:noHBand="0" w:noVBand="0"/>
      </w:tblPr>
      <w:tblGrid>
        <w:gridCol w:w="3530"/>
        <w:gridCol w:w="160"/>
        <w:gridCol w:w="5382"/>
      </w:tblGrid>
      <w:tr w:rsidR="00AA17E3" w:rsidRPr="00594BD7" w:rsidTr="00AA17E3">
        <w:trPr>
          <w:trHeight w:val="178"/>
        </w:trPr>
        <w:tc>
          <w:tcPr>
            <w:tcW w:w="3530" w:type="dxa"/>
            <w:vAlign w:val="bottom"/>
            <w:hideMark/>
          </w:tcPr>
          <w:p w:rsidR="00AA17E3" w:rsidRPr="00594BD7"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
                <w:color w:val="000000"/>
                <w:sz w:val="20"/>
                <w:szCs w:val="20"/>
              </w:rPr>
            </w:pPr>
            <w:r w:rsidRPr="00594BD7">
              <w:rPr>
                <w:rFonts w:ascii="Times New Roman" w:hAnsi="Times New Roman" w:cs="Times New Roman"/>
                <w:b/>
                <w:iCs/>
                <w:color w:val="000000"/>
                <w:sz w:val="20"/>
                <w:szCs w:val="20"/>
              </w:rPr>
              <w:t>Verejné výdavk</w:t>
            </w:r>
            <w:r>
              <w:rPr>
                <w:rFonts w:ascii="Times New Roman" w:hAnsi="Times New Roman" w:cs="Times New Roman"/>
                <w:b/>
                <w:iCs/>
                <w:color w:val="000000"/>
                <w:sz w:val="20"/>
                <w:szCs w:val="20"/>
              </w:rPr>
              <w:t>y na sociálne zabezpečenie, 2019</w:t>
            </w:r>
          </w:p>
        </w:tc>
        <w:tc>
          <w:tcPr>
            <w:tcW w:w="160" w:type="dxa"/>
            <w:vAlign w:val="center"/>
          </w:tcPr>
          <w:p w:rsidR="00AA17E3" w:rsidRPr="00594BD7"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20"/>
                <w:szCs w:val="20"/>
              </w:rPr>
            </w:pPr>
          </w:p>
        </w:tc>
        <w:tc>
          <w:tcPr>
            <w:tcW w:w="5382" w:type="dxa"/>
            <w:vAlign w:val="center"/>
            <w:hideMark/>
          </w:tcPr>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
                <w:iCs/>
                <w:color w:val="000000"/>
                <w:sz w:val="20"/>
                <w:szCs w:val="20"/>
              </w:rPr>
            </w:pPr>
            <w:r w:rsidRPr="00594BD7">
              <w:rPr>
                <w:rFonts w:ascii="Times New Roman" w:hAnsi="Times New Roman" w:cs="Times New Roman"/>
                <w:b/>
                <w:iCs/>
                <w:color w:val="000000"/>
                <w:sz w:val="20"/>
                <w:szCs w:val="20"/>
              </w:rPr>
              <w:t xml:space="preserve">Štruktúra výdavkov na sociálne zabezpečenie, </w:t>
            </w:r>
            <w:r>
              <w:rPr>
                <w:rFonts w:ascii="Times New Roman" w:hAnsi="Times New Roman" w:cs="Times New Roman"/>
                <w:b/>
                <w:iCs/>
                <w:color w:val="000000"/>
                <w:sz w:val="20"/>
                <w:szCs w:val="20"/>
              </w:rPr>
              <w:t xml:space="preserve">2019 </w:t>
            </w:r>
          </w:p>
          <w:p w:rsidR="00AA17E3" w:rsidRPr="00594BD7"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
                <w:color w:val="000000"/>
                <w:sz w:val="20"/>
                <w:szCs w:val="20"/>
              </w:rPr>
            </w:pPr>
            <w:r w:rsidRPr="00594BD7">
              <w:rPr>
                <w:rFonts w:ascii="Times New Roman" w:hAnsi="Times New Roman" w:cs="Times New Roman"/>
                <w:b/>
                <w:iCs/>
                <w:color w:val="000000"/>
                <w:sz w:val="20"/>
                <w:szCs w:val="20"/>
              </w:rPr>
              <w:t>(% výdavkov na sociálne zabezpečenie)</w:t>
            </w:r>
          </w:p>
        </w:tc>
      </w:tr>
    </w:tbl>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sk-SK"/>
        </w:rPr>
        <w:drawing>
          <wp:inline distT="0" distB="0" distL="0" distR="0" wp14:anchorId="5F4BD2C1" wp14:editId="7AE12AEC">
            <wp:extent cx="1981200" cy="2836837"/>
            <wp:effectExtent l="0" t="0" r="0" b="1905"/>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3645" cy="2840338"/>
                    </a:xfrm>
                    <a:prstGeom prst="rect">
                      <a:avLst/>
                    </a:prstGeom>
                    <a:noFill/>
                  </pic:spPr>
                </pic:pic>
              </a:graphicData>
            </a:graphic>
          </wp:inline>
        </w:drawing>
      </w:r>
      <w:r>
        <w:rPr>
          <w:noProof/>
          <w:lang w:eastAsia="sk-SK"/>
        </w:rPr>
        <w:drawing>
          <wp:inline distT="0" distB="0" distL="0" distR="0" wp14:anchorId="2B38A6C2" wp14:editId="3762203E">
            <wp:extent cx="3676650" cy="2743200"/>
            <wp:effectExtent l="0" t="0" r="0" b="0"/>
            <wp:docPr id="245" name="Graf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pPr w:leftFromText="141" w:rightFromText="141" w:vertAnchor="text" w:horzAnchor="margin" w:tblpXSpec="center" w:tblpY="19"/>
        <w:tblOverlap w:val="never"/>
        <w:tblW w:w="9072" w:type="dxa"/>
        <w:tblBorders>
          <w:top w:val="single" w:sz="4" w:space="0" w:color="auto"/>
        </w:tblBorders>
        <w:tblCellMar>
          <w:left w:w="70" w:type="dxa"/>
          <w:right w:w="70" w:type="dxa"/>
        </w:tblCellMar>
        <w:tblLook w:val="01E0" w:firstRow="1" w:lastRow="1" w:firstColumn="1" w:lastColumn="1" w:noHBand="0" w:noVBand="0"/>
      </w:tblPr>
      <w:tblGrid>
        <w:gridCol w:w="6048"/>
        <w:gridCol w:w="3024"/>
      </w:tblGrid>
      <w:tr w:rsidR="00AA17E3" w:rsidRPr="00EE5421" w:rsidTr="00AA17E3">
        <w:trPr>
          <w:trHeight w:val="219"/>
        </w:trPr>
        <w:tc>
          <w:tcPr>
            <w:tcW w:w="6048" w:type="dxa"/>
            <w:hideMark/>
          </w:tcPr>
          <w:p w:rsidR="00AA17E3" w:rsidRPr="00804037" w:rsidRDefault="00AA17E3" w:rsidP="00D71AC9">
            <w:pPr>
              <w:contextualSpacing/>
              <w:rPr>
                <w:rFonts w:ascii="Times New Roman" w:eastAsia="Calibri" w:hAnsi="Times New Roman" w:cs="Times New Roman"/>
                <w:i/>
                <w:sz w:val="16"/>
                <w:szCs w:val="14"/>
              </w:rPr>
            </w:pPr>
            <w:r w:rsidRPr="00804037">
              <w:rPr>
                <w:rFonts w:ascii="Times New Roman" w:eastAsia="Calibri" w:hAnsi="Times New Roman" w:cs="Times New Roman"/>
                <w:i/>
                <w:sz w:val="16"/>
                <w:szCs w:val="16"/>
                <w:lang w:val="en-US"/>
              </w:rPr>
              <w:t xml:space="preserve">* </w:t>
            </w:r>
            <w:r w:rsidRPr="00804037">
              <w:rPr>
                <w:rFonts w:ascii="Times New Roman" w:hAnsi="Times New Roman" w:cs="Times New Roman"/>
                <w:i/>
                <w:sz w:val="16"/>
                <w:szCs w:val="16"/>
                <w:lang w:val="en-US"/>
              </w:rPr>
              <w:t xml:space="preserve"> </w:t>
            </w:r>
            <w:r w:rsidRPr="00804037">
              <w:rPr>
                <w:rFonts w:ascii="Times New Roman" w:hAnsi="Times New Roman" w:cs="Times New Roman"/>
                <w:i/>
                <w:sz w:val="16"/>
                <w:szCs w:val="16"/>
              </w:rPr>
              <w:t xml:space="preserve">Výdavky na rodinu a deti, na starobu a na chorobu, invaliditu </w:t>
            </w:r>
            <w:r w:rsidR="00D71AC9">
              <w:rPr>
                <w:rFonts w:ascii="Times New Roman" w:hAnsi="Times New Roman" w:cs="Times New Roman"/>
                <w:i/>
                <w:sz w:val="16"/>
                <w:szCs w:val="16"/>
              </w:rPr>
              <w:t>a ťažké zdravotné postihnutie v</w:t>
            </w:r>
            <w:r w:rsidRPr="00804037">
              <w:rPr>
                <w:rFonts w:ascii="Times New Roman" w:hAnsi="Times New Roman" w:cs="Times New Roman"/>
                <w:i/>
                <w:sz w:val="16"/>
                <w:szCs w:val="16"/>
              </w:rPr>
              <w:t xml:space="preserve"> boli upravené o rozdiely v podiely populácie vo veku do 15 rokov (rodina) a 65 a viac rokov (staroba, choroba) oproti Slovensku.</w:t>
            </w:r>
          </w:p>
        </w:tc>
        <w:tc>
          <w:tcPr>
            <w:tcW w:w="3024" w:type="dxa"/>
            <w:hideMark/>
          </w:tcPr>
          <w:p w:rsidR="00AA17E3" w:rsidRPr="007B4245" w:rsidRDefault="00AA17E3" w:rsidP="00AA17E3">
            <w:pPr>
              <w:tabs>
                <w:tab w:val="left" w:pos="213"/>
                <w:tab w:val="right" w:pos="4305"/>
              </w:tabs>
              <w:spacing w:before="40" w:after="40"/>
              <w:contextualSpacing/>
              <w:jc w:val="right"/>
              <w:rPr>
                <w:rFonts w:ascii="Times New Roman" w:eastAsia="Calibri" w:hAnsi="Times New Roman" w:cs="Times New Roman"/>
                <w:i/>
                <w:sz w:val="16"/>
                <w:szCs w:val="16"/>
              </w:rPr>
            </w:pPr>
            <w:r w:rsidRPr="00EE5421">
              <w:rPr>
                <w:rFonts w:ascii="Times New Roman" w:eastAsia="Calibri" w:hAnsi="Times New Roman" w:cs="Times New Roman"/>
                <w:bCs/>
                <w:i/>
                <w:sz w:val="18"/>
                <w:szCs w:val="20"/>
                <w:lang w:eastAsia="zh-TW"/>
              </w:rPr>
              <w:tab/>
            </w:r>
            <w:r w:rsidRPr="007B4245">
              <w:rPr>
                <w:rFonts w:ascii="Times New Roman" w:eastAsia="Calibri" w:hAnsi="Times New Roman" w:cs="Times New Roman"/>
                <w:bCs/>
                <w:i/>
                <w:sz w:val="16"/>
                <w:szCs w:val="16"/>
                <w:lang w:eastAsia="zh-TW"/>
              </w:rPr>
              <w:t>Zdroj: Eurostat (COFOG klasifikácia)</w:t>
            </w:r>
            <w:r>
              <w:rPr>
                <w:rFonts w:ascii="Times New Roman" w:eastAsia="Calibri" w:hAnsi="Times New Roman" w:cs="Times New Roman"/>
                <w:bCs/>
                <w:i/>
                <w:sz w:val="16"/>
                <w:szCs w:val="16"/>
                <w:lang w:eastAsia="zh-TW"/>
              </w:rPr>
              <w:t>, výpočet ÚHP</w:t>
            </w:r>
          </w:p>
        </w:tc>
      </w:tr>
    </w:tbl>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CF378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CF3789">
        <w:rPr>
          <w:rFonts w:ascii="Times New Roman" w:hAnsi="Times New Roman" w:cs="Times New Roman"/>
          <w:color w:val="000000"/>
          <w:sz w:val="24"/>
          <w:szCs w:val="24"/>
        </w:rPr>
        <w:t>Verejné výdavky Slovenska na sociálne zabezpečenie ako podiel celkových verejných výdavkov po upravení o rozdiely vo vekovej štruktúre obyvateľstva sú blízko európ</w:t>
      </w:r>
      <w:r>
        <w:rPr>
          <w:rFonts w:ascii="Times New Roman" w:hAnsi="Times New Roman" w:cs="Times New Roman"/>
          <w:color w:val="000000"/>
          <w:sz w:val="24"/>
          <w:szCs w:val="24"/>
        </w:rPr>
        <w:t>skeho priemeru a výrazne vyššie</w:t>
      </w:r>
      <w:r w:rsidRPr="00CF3789">
        <w:rPr>
          <w:rFonts w:ascii="Times New Roman" w:hAnsi="Times New Roman" w:cs="Times New Roman"/>
          <w:color w:val="000000"/>
          <w:sz w:val="24"/>
          <w:szCs w:val="24"/>
        </w:rPr>
        <w:t xml:space="preserve"> ako priemer krajín V3. Výdavky sa líšia aj vo svojej štruktúre. Relatívne vysoký podiel výdavkov je určený na kompenzácie spojené s chorobou, invaliditou a zdravotným postihnutím. Naopak, podiel výdavkov na nezamestnanosť, bývanie a sociálnu pomoc občanom v hmotnej a sociálnej núdzi je menej ako polovičný oproti priemeru EÚ. Starnutie populácie spôsobí výrazný nárast výdavkov, najmä na starobu, chorobu, invaliditu a ťažké zdravotné postihnutie. Je preto potrebné riešiť ich dlhodobú finančnú udržateľnosť.</w:t>
      </w:r>
    </w:p>
    <w:p w:rsidR="00AA17E3" w:rsidRPr="00CF378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CF3789">
        <w:rPr>
          <w:rFonts w:ascii="Times New Roman" w:hAnsi="Times New Roman" w:cs="Times New Roman"/>
          <w:color w:val="000000"/>
          <w:sz w:val="24"/>
          <w:szCs w:val="24"/>
        </w:rPr>
        <w:t>Slovensko zaznamenáva v porovnaní s priemerom krajín EÚ horšie výsledky na trhu práce a lepšie výsledky v sociálnej oblasti.</w:t>
      </w:r>
    </w:p>
    <w:p w:rsidR="00AA17E3" w:rsidRPr="009143A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24"/>
          <w:szCs w:val="24"/>
        </w:rPr>
      </w:pPr>
    </w:p>
    <w:p w:rsidR="00AA17E3" w:rsidRDefault="00AA17E3" w:rsidP="00AA17E3">
      <w:pPr>
        <w:pStyle w:val="Popis"/>
        <w:keepNext/>
        <w:spacing w:after="0"/>
        <w:rPr>
          <w:rFonts w:ascii="Times New Roman" w:hAnsi="Times New Roman" w:cs="Times New Roman"/>
          <w:b/>
          <w:i w:val="0"/>
          <w:color w:val="5B9BD5" w:themeColor="accent1"/>
          <w:sz w:val="20"/>
          <w:szCs w:val="20"/>
        </w:rPr>
      </w:pPr>
      <w:bookmarkStart w:id="294" w:name="_Toc53054802"/>
      <w:bookmarkStart w:id="295" w:name="_Toc53077994"/>
      <w:bookmarkStart w:id="296" w:name="_Toc53086396"/>
      <w:bookmarkStart w:id="297" w:name="_Toc84528418"/>
      <w:bookmarkStart w:id="298" w:name="_Toc84845294"/>
      <w:r w:rsidRPr="00895D6D">
        <w:rPr>
          <w:rFonts w:ascii="Times New Roman" w:hAnsi="Times New Roman" w:cs="Times New Roman"/>
          <w:b/>
          <w:i w:val="0"/>
          <w:color w:val="5B9BD5" w:themeColor="accent1"/>
          <w:sz w:val="20"/>
          <w:szCs w:val="20"/>
        </w:rPr>
        <w:t xml:space="preserve">Tabuľka </w:t>
      </w:r>
      <w:r w:rsidRPr="00895D6D">
        <w:rPr>
          <w:rFonts w:ascii="Times New Roman" w:hAnsi="Times New Roman" w:cs="Times New Roman"/>
          <w:b/>
          <w:i w:val="0"/>
          <w:color w:val="5B9BD5" w:themeColor="accent1"/>
          <w:sz w:val="20"/>
          <w:szCs w:val="20"/>
        </w:rPr>
        <w:fldChar w:fldCharType="begin"/>
      </w:r>
      <w:r w:rsidRPr="00895D6D">
        <w:rPr>
          <w:rFonts w:ascii="Times New Roman" w:hAnsi="Times New Roman" w:cs="Times New Roman"/>
          <w:b/>
          <w:i w:val="0"/>
          <w:color w:val="5B9BD5" w:themeColor="accent1"/>
          <w:sz w:val="20"/>
          <w:szCs w:val="20"/>
        </w:rPr>
        <w:instrText xml:space="preserve"> SEQ Tabuľka \* ARABIC </w:instrText>
      </w:r>
      <w:r w:rsidRPr="00895D6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70</w:t>
      </w:r>
      <w:r w:rsidRPr="00895D6D">
        <w:rPr>
          <w:rFonts w:ascii="Times New Roman" w:hAnsi="Times New Roman" w:cs="Times New Roman"/>
          <w:b/>
          <w:i w:val="0"/>
          <w:color w:val="5B9BD5" w:themeColor="accent1"/>
          <w:sz w:val="20"/>
          <w:szCs w:val="20"/>
        </w:rPr>
        <w:fldChar w:fldCharType="end"/>
      </w:r>
      <w:r w:rsidRPr="00895D6D">
        <w:rPr>
          <w:rFonts w:ascii="Times New Roman" w:hAnsi="Times New Roman" w:cs="Times New Roman"/>
          <w:b/>
          <w:i w:val="0"/>
          <w:color w:val="5B9BD5" w:themeColor="accent1"/>
          <w:sz w:val="20"/>
          <w:szCs w:val="20"/>
        </w:rPr>
        <w:t xml:space="preserve"> - Kľúčové ukazovatele sociálneho zabezpečenia a podpory zamestnanosti</w:t>
      </w:r>
      <w:bookmarkEnd w:id="294"/>
      <w:bookmarkEnd w:id="295"/>
      <w:bookmarkEnd w:id="296"/>
      <w:bookmarkEnd w:id="297"/>
      <w:bookmarkEnd w:id="298"/>
    </w:p>
    <w:tbl>
      <w:tblPr>
        <w:tblW w:w="5000" w:type="pct"/>
        <w:tblCellMar>
          <w:left w:w="70" w:type="dxa"/>
          <w:right w:w="70" w:type="dxa"/>
        </w:tblCellMar>
        <w:tblLook w:val="04A0" w:firstRow="1" w:lastRow="0" w:firstColumn="1" w:lastColumn="0" w:noHBand="0" w:noVBand="1"/>
      </w:tblPr>
      <w:tblGrid>
        <w:gridCol w:w="1215"/>
        <w:gridCol w:w="3132"/>
        <w:gridCol w:w="675"/>
        <w:gridCol w:w="675"/>
        <w:gridCol w:w="675"/>
        <w:gridCol w:w="675"/>
        <w:gridCol w:w="675"/>
        <w:gridCol w:w="675"/>
        <w:gridCol w:w="675"/>
      </w:tblGrid>
      <w:tr w:rsidR="00AA17E3" w:rsidRPr="00525293" w:rsidTr="00AA17E3">
        <w:trPr>
          <w:trHeight w:val="360"/>
        </w:trPr>
        <w:tc>
          <w:tcPr>
            <w:tcW w:w="670" w:type="pct"/>
            <w:tcBorders>
              <w:top w:val="single" w:sz="4" w:space="0" w:color="auto"/>
              <w:bottom w:val="single" w:sz="4" w:space="0" w:color="auto"/>
            </w:tcBorders>
            <w:shd w:val="clear" w:color="auto" w:fill="auto"/>
            <w:vAlign w:val="center"/>
          </w:tcPr>
          <w:p w:rsidR="00AA17E3" w:rsidRPr="00B46D8C" w:rsidRDefault="00AA17E3" w:rsidP="00AA17E3">
            <w:pPr>
              <w:spacing w:after="0" w:line="240" w:lineRule="auto"/>
              <w:rPr>
                <w:rFonts w:ascii="Times New Roman" w:eastAsia="Times New Roman" w:hAnsi="Times New Roman" w:cs="Times New Roman"/>
                <w:b/>
                <w:color w:val="000000"/>
                <w:sz w:val="16"/>
                <w:szCs w:val="16"/>
                <w:lang w:eastAsia="sk-SK"/>
              </w:rPr>
            </w:pPr>
            <w:r w:rsidRPr="00B46D8C">
              <w:rPr>
                <w:rFonts w:ascii="Times New Roman" w:eastAsia="Times New Roman" w:hAnsi="Times New Roman" w:cs="Times New Roman"/>
                <w:b/>
                <w:color w:val="000000"/>
                <w:sz w:val="16"/>
                <w:szCs w:val="16"/>
                <w:lang w:eastAsia="sk-SK"/>
              </w:rPr>
              <w:t>Oblasť</w:t>
            </w:r>
          </w:p>
        </w:tc>
        <w:tc>
          <w:tcPr>
            <w:tcW w:w="1726" w:type="pct"/>
            <w:tcBorders>
              <w:top w:val="single" w:sz="4" w:space="0" w:color="auto"/>
              <w:bottom w:val="single" w:sz="4" w:space="0" w:color="auto"/>
            </w:tcBorders>
            <w:shd w:val="clear" w:color="000000" w:fill="FFFFFF"/>
            <w:vAlign w:val="center"/>
          </w:tcPr>
          <w:p w:rsidR="00AA17E3" w:rsidRPr="00B46D8C" w:rsidRDefault="00AA17E3" w:rsidP="00AA17E3">
            <w:pPr>
              <w:spacing w:after="0" w:line="240" w:lineRule="auto"/>
              <w:rPr>
                <w:rFonts w:ascii="Times New Roman" w:eastAsia="Times New Roman" w:hAnsi="Times New Roman" w:cs="Times New Roman"/>
                <w:b/>
                <w:color w:val="000000"/>
                <w:sz w:val="16"/>
                <w:szCs w:val="16"/>
                <w:lang w:eastAsia="sk-SK"/>
              </w:rPr>
            </w:pPr>
            <w:r w:rsidRPr="00B46D8C">
              <w:rPr>
                <w:rFonts w:ascii="Times New Roman" w:eastAsia="Times New Roman" w:hAnsi="Times New Roman" w:cs="Times New Roman"/>
                <w:b/>
                <w:color w:val="000000"/>
                <w:sz w:val="16"/>
                <w:szCs w:val="16"/>
                <w:lang w:eastAsia="sk-SK"/>
              </w:rPr>
              <w:t>Indikátor</w:t>
            </w:r>
          </w:p>
        </w:tc>
        <w:tc>
          <w:tcPr>
            <w:tcW w:w="372" w:type="pct"/>
            <w:tcBorders>
              <w:top w:val="single" w:sz="4" w:space="0" w:color="auto"/>
              <w:bottom w:val="single" w:sz="4" w:space="0" w:color="auto"/>
            </w:tcBorders>
            <w:shd w:val="clear" w:color="000000" w:fill="FFFFFF"/>
            <w:noWrap/>
            <w:vAlign w:val="center"/>
          </w:tcPr>
          <w:p w:rsidR="00AA17E3" w:rsidRPr="00B46D8C" w:rsidRDefault="00AA17E3" w:rsidP="00AA17E3">
            <w:pPr>
              <w:spacing w:after="0" w:line="240" w:lineRule="auto"/>
              <w:jc w:val="center"/>
              <w:rPr>
                <w:rFonts w:ascii="Times New Roman" w:eastAsia="Times New Roman" w:hAnsi="Times New Roman" w:cs="Times New Roman"/>
                <w:b/>
                <w:color w:val="000000"/>
                <w:sz w:val="16"/>
                <w:szCs w:val="16"/>
                <w:lang w:eastAsia="sk-SK"/>
              </w:rPr>
            </w:pPr>
          </w:p>
        </w:tc>
        <w:tc>
          <w:tcPr>
            <w:tcW w:w="372" w:type="pct"/>
            <w:tcBorders>
              <w:top w:val="single" w:sz="4" w:space="0" w:color="auto"/>
              <w:bottom w:val="single" w:sz="4" w:space="0" w:color="auto"/>
            </w:tcBorders>
            <w:shd w:val="clear" w:color="000000" w:fill="FFFFFF"/>
            <w:noWrap/>
            <w:vAlign w:val="center"/>
          </w:tcPr>
          <w:p w:rsidR="00AA17E3" w:rsidRPr="00B46D8C" w:rsidRDefault="00AA17E3" w:rsidP="00AA17E3">
            <w:pPr>
              <w:spacing w:after="0" w:line="240" w:lineRule="auto"/>
              <w:jc w:val="center"/>
              <w:rPr>
                <w:rFonts w:ascii="Times New Roman" w:eastAsia="Times New Roman" w:hAnsi="Times New Roman" w:cs="Times New Roman"/>
                <w:b/>
                <w:color w:val="000000"/>
                <w:sz w:val="16"/>
                <w:szCs w:val="16"/>
                <w:lang w:eastAsia="sk-SK"/>
              </w:rPr>
            </w:pPr>
            <w:r w:rsidRPr="00B46D8C">
              <w:rPr>
                <w:rFonts w:ascii="Times New Roman" w:eastAsia="Times New Roman" w:hAnsi="Times New Roman" w:cs="Times New Roman"/>
                <w:b/>
                <w:color w:val="000000"/>
                <w:sz w:val="16"/>
                <w:szCs w:val="16"/>
                <w:lang w:eastAsia="sk-SK"/>
              </w:rPr>
              <w:t>2017</w:t>
            </w:r>
          </w:p>
        </w:tc>
        <w:tc>
          <w:tcPr>
            <w:tcW w:w="372" w:type="pct"/>
            <w:tcBorders>
              <w:top w:val="single" w:sz="4" w:space="0" w:color="auto"/>
              <w:bottom w:val="single" w:sz="4" w:space="0" w:color="auto"/>
            </w:tcBorders>
            <w:shd w:val="clear" w:color="000000" w:fill="FFFFFF"/>
            <w:noWrap/>
            <w:vAlign w:val="center"/>
          </w:tcPr>
          <w:p w:rsidR="00AA17E3" w:rsidRPr="00B46D8C" w:rsidRDefault="00AA17E3" w:rsidP="00AA17E3">
            <w:pPr>
              <w:spacing w:after="0" w:line="240" w:lineRule="auto"/>
              <w:jc w:val="center"/>
              <w:rPr>
                <w:rFonts w:ascii="Times New Roman" w:eastAsia="Times New Roman" w:hAnsi="Times New Roman" w:cs="Times New Roman"/>
                <w:b/>
                <w:color w:val="000000"/>
                <w:sz w:val="16"/>
                <w:szCs w:val="16"/>
                <w:lang w:eastAsia="sk-SK"/>
              </w:rPr>
            </w:pPr>
            <w:r w:rsidRPr="00B46D8C">
              <w:rPr>
                <w:rFonts w:ascii="Times New Roman" w:eastAsia="Times New Roman" w:hAnsi="Times New Roman" w:cs="Times New Roman"/>
                <w:b/>
                <w:color w:val="000000"/>
                <w:sz w:val="16"/>
                <w:szCs w:val="16"/>
                <w:lang w:eastAsia="sk-SK"/>
              </w:rPr>
              <w:t>2018</w:t>
            </w:r>
          </w:p>
        </w:tc>
        <w:tc>
          <w:tcPr>
            <w:tcW w:w="372" w:type="pct"/>
            <w:tcBorders>
              <w:top w:val="single" w:sz="4" w:space="0" w:color="auto"/>
              <w:bottom w:val="single" w:sz="4" w:space="0" w:color="auto"/>
            </w:tcBorders>
            <w:shd w:val="clear" w:color="000000" w:fill="FFFFFF"/>
            <w:noWrap/>
            <w:vAlign w:val="center"/>
          </w:tcPr>
          <w:p w:rsidR="00AA17E3" w:rsidRPr="00B46D8C" w:rsidRDefault="00AA17E3" w:rsidP="00AA17E3">
            <w:pPr>
              <w:spacing w:after="0" w:line="240" w:lineRule="auto"/>
              <w:jc w:val="center"/>
              <w:rPr>
                <w:rFonts w:ascii="Times New Roman" w:eastAsia="Times New Roman" w:hAnsi="Times New Roman" w:cs="Times New Roman"/>
                <w:b/>
                <w:color w:val="000000"/>
                <w:sz w:val="16"/>
                <w:szCs w:val="16"/>
                <w:lang w:eastAsia="sk-SK"/>
              </w:rPr>
            </w:pPr>
            <w:r w:rsidRPr="00B46D8C">
              <w:rPr>
                <w:rFonts w:ascii="Times New Roman" w:eastAsia="Times New Roman" w:hAnsi="Times New Roman" w:cs="Times New Roman"/>
                <w:b/>
                <w:color w:val="000000"/>
                <w:sz w:val="16"/>
                <w:szCs w:val="16"/>
                <w:lang w:eastAsia="sk-SK"/>
              </w:rPr>
              <w:t>2019</w:t>
            </w:r>
          </w:p>
        </w:tc>
        <w:tc>
          <w:tcPr>
            <w:tcW w:w="372" w:type="pct"/>
            <w:tcBorders>
              <w:top w:val="single" w:sz="4" w:space="0" w:color="auto"/>
              <w:bottom w:val="single" w:sz="4" w:space="0" w:color="auto"/>
            </w:tcBorders>
            <w:shd w:val="clear" w:color="000000" w:fill="FFFFFF"/>
            <w:noWrap/>
            <w:vAlign w:val="center"/>
          </w:tcPr>
          <w:p w:rsidR="00AA17E3" w:rsidRPr="00B46D8C" w:rsidRDefault="00AA17E3" w:rsidP="00AA17E3">
            <w:pPr>
              <w:spacing w:after="0" w:line="240" w:lineRule="auto"/>
              <w:jc w:val="center"/>
              <w:rPr>
                <w:rFonts w:ascii="Times New Roman" w:eastAsia="Times New Roman" w:hAnsi="Times New Roman" w:cs="Times New Roman"/>
                <w:b/>
                <w:color w:val="000000"/>
                <w:sz w:val="16"/>
                <w:szCs w:val="16"/>
                <w:lang w:eastAsia="sk-SK"/>
              </w:rPr>
            </w:pPr>
            <w:r w:rsidRPr="00B46D8C">
              <w:rPr>
                <w:rFonts w:ascii="Times New Roman" w:eastAsia="Times New Roman" w:hAnsi="Times New Roman" w:cs="Times New Roman"/>
                <w:b/>
                <w:color w:val="000000"/>
                <w:sz w:val="16"/>
                <w:szCs w:val="16"/>
                <w:lang w:eastAsia="sk-SK"/>
              </w:rPr>
              <w:t>2020</w:t>
            </w:r>
          </w:p>
        </w:tc>
        <w:tc>
          <w:tcPr>
            <w:tcW w:w="372" w:type="pct"/>
            <w:tcBorders>
              <w:top w:val="single" w:sz="4" w:space="0" w:color="auto"/>
              <w:bottom w:val="single" w:sz="4" w:space="0" w:color="auto"/>
            </w:tcBorders>
            <w:shd w:val="clear" w:color="000000" w:fill="FFFFFF"/>
            <w:vAlign w:val="center"/>
          </w:tcPr>
          <w:p w:rsidR="00AA17E3" w:rsidRPr="00B46D8C" w:rsidRDefault="00AA17E3" w:rsidP="00AA17E3">
            <w:pPr>
              <w:spacing w:after="0" w:line="240" w:lineRule="auto"/>
              <w:jc w:val="center"/>
              <w:rPr>
                <w:rFonts w:ascii="Times New Roman" w:eastAsia="Times New Roman" w:hAnsi="Times New Roman" w:cs="Times New Roman"/>
                <w:b/>
                <w:sz w:val="16"/>
                <w:szCs w:val="16"/>
                <w:lang w:eastAsia="sk-SK"/>
              </w:rPr>
            </w:pPr>
            <w:r w:rsidRPr="00B46D8C">
              <w:rPr>
                <w:rFonts w:ascii="Times New Roman" w:eastAsia="Times New Roman" w:hAnsi="Times New Roman" w:cs="Times New Roman"/>
                <w:b/>
                <w:sz w:val="16"/>
                <w:szCs w:val="16"/>
                <w:lang w:eastAsia="sk-SK"/>
              </w:rPr>
              <w:t>Cieľ 2024</w:t>
            </w:r>
          </w:p>
        </w:tc>
        <w:tc>
          <w:tcPr>
            <w:tcW w:w="372" w:type="pct"/>
            <w:tcBorders>
              <w:top w:val="single" w:sz="4" w:space="0" w:color="auto"/>
              <w:bottom w:val="single" w:sz="4" w:space="0" w:color="auto"/>
            </w:tcBorders>
            <w:shd w:val="clear" w:color="000000" w:fill="FFFFFF"/>
            <w:vAlign w:val="center"/>
          </w:tcPr>
          <w:p w:rsidR="00AA17E3" w:rsidRPr="00B46D8C" w:rsidRDefault="00AA17E3" w:rsidP="00AA17E3">
            <w:pPr>
              <w:spacing w:after="0" w:line="240" w:lineRule="auto"/>
              <w:jc w:val="center"/>
              <w:rPr>
                <w:rFonts w:ascii="Times New Roman" w:eastAsia="Times New Roman" w:hAnsi="Times New Roman" w:cs="Times New Roman"/>
                <w:b/>
                <w:sz w:val="16"/>
                <w:szCs w:val="16"/>
                <w:lang w:eastAsia="sk-SK"/>
              </w:rPr>
            </w:pPr>
            <w:r w:rsidRPr="00B46D8C">
              <w:rPr>
                <w:rFonts w:ascii="Times New Roman" w:eastAsia="Times New Roman" w:hAnsi="Times New Roman" w:cs="Times New Roman"/>
                <w:b/>
                <w:sz w:val="16"/>
                <w:szCs w:val="16"/>
                <w:lang w:eastAsia="sk-SK"/>
              </w:rPr>
              <w:t>Cieľ 2030</w:t>
            </w:r>
          </w:p>
        </w:tc>
      </w:tr>
      <w:tr w:rsidR="00AA17E3" w:rsidRPr="00525293" w:rsidTr="00AA17E3">
        <w:trPr>
          <w:trHeight w:val="300"/>
        </w:trPr>
        <w:tc>
          <w:tcPr>
            <w:tcW w:w="670" w:type="pct"/>
            <w:vMerge w:val="restart"/>
            <w:tcBorders>
              <w:top w:val="single" w:sz="4" w:space="0" w:color="auto"/>
            </w:tcBorders>
            <w:shd w:val="clear" w:color="auto" w:fill="auto"/>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tc>
        <w:tc>
          <w:tcPr>
            <w:tcW w:w="1726" w:type="pct"/>
            <w:vMerge w:val="restart"/>
            <w:tcBorders>
              <w:top w:val="single" w:sz="4" w:space="0" w:color="auto"/>
            </w:tcBorders>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Miera zamestnanosti (% v skupine 20-64 rokov)</w:t>
            </w:r>
          </w:p>
        </w:tc>
        <w:tc>
          <w:tcPr>
            <w:tcW w:w="372" w:type="pct"/>
            <w:tcBorders>
              <w:top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tcBorders>
              <w:top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71,1</w:t>
            </w:r>
          </w:p>
        </w:tc>
        <w:tc>
          <w:tcPr>
            <w:tcW w:w="372" w:type="pct"/>
            <w:tcBorders>
              <w:top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72,4</w:t>
            </w:r>
          </w:p>
        </w:tc>
        <w:tc>
          <w:tcPr>
            <w:tcW w:w="372" w:type="pct"/>
            <w:tcBorders>
              <w:top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73,4</w:t>
            </w:r>
          </w:p>
        </w:tc>
        <w:tc>
          <w:tcPr>
            <w:tcW w:w="372" w:type="pct"/>
            <w:tcBorders>
              <w:top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72,5</w:t>
            </w:r>
          </w:p>
        </w:tc>
        <w:tc>
          <w:tcPr>
            <w:tcW w:w="372" w:type="pct"/>
            <w:tcBorders>
              <w:top w:val="single" w:sz="4" w:space="0" w:color="auto"/>
            </w:tcBorders>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tcBorders>
              <w:top w:val="single" w:sz="4" w:space="0" w:color="auto"/>
            </w:tcBorders>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76,6</w:t>
            </w:r>
          </w:p>
        </w:tc>
      </w:tr>
      <w:tr w:rsidR="00AA17E3" w:rsidRPr="00525293" w:rsidTr="00AA17E3">
        <w:trPr>
          <w:trHeight w:val="300"/>
        </w:trPr>
        <w:tc>
          <w:tcPr>
            <w:tcW w:w="670" w:type="pct"/>
            <w:vMerge/>
            <w:shd w:val="clear" w:color="auto" w:fill="auto"/>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71,4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72,4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73,2</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72,5</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76,5</w:t>
            </w:r>
          </w:p>
        </w:tc>
      </w:tr>
      <w:tr w:rsidR="00AA17E3" w:rsidRPr="00525293" w:rsidTr="00AA17E3">
        <w:trPr>
          <w:trHeight w:val="300"/>
        </w:trPr>
        <w:tc>
          <w:tcPr>
            <w:tcW w:w="670" w:type="pct"/>
            <w:vMerge w:val="restart"/>
            <w:shd w:val="clear" w:color="auto" w:fill="auto"/>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Miera zamestnanosti nízkokvalifikovaných (ISCED 0-2) (%)</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37,3</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36,4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36,1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34,0</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49,4</w:t>
            </w:r>
          </w:p>
        </w:tc>
      </w:tr>
      <w:tr w:rsidR="00AA17E3" w:rsidRPr="00525293" w:rsidTr="00AA17E3">
        <w:trPr>
          <w:trHeight w:val="300"/>
        </w:trPr>
        <w:tc>
          <w:tcPr>
            <w:tcW w:w="670" w:type="pct"/>
            <w:vMerge/>
            <w:shd w:val="clear" w:color="auto" w:fill="auto"/>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53,9</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55,0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55,7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54,9</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56,7</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Miera zamestnanosti ESA (v %, celá populácia)</w:t>
            </w:r>
          </w:p>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43,6</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44,4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44,8</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43,9</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47,4</w:t>
            </w:r>
          </w:p>
        </w:tc>
      </w:tr>
      <w:tr w:rsidR="00AA17E3" w:rsidRPr="00525293" w:rsidTr="00AA17E3">
        <w:trPr>
          <w:trHeight w:val="300"/>
        </w:trPr>
        <w:tc>
          <w:tcPr>
            <w:tcW w:w="670" w:type="pct"/>
            <w:vMerge/>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1726" w:type="pct"/>
            <w:vMerge/>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45,8</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46,4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46,7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46,0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47,4</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Miera dlhodobej nezamestnanosti (% aktívneho obyvateľstva nad 15 rokov)</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5,1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4,0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3,2</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3,6</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2,6</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2,4</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Miera zamestnanosti žien vo veku 25-45 rokov (%)</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70,0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70,2</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70,9</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69,3</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72,4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73,3</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73,9</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73,2</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NEET - mladí ľudia, ktorí nie sú zamestnaní, nie je im poskytované vzdelávanie alebo tréning (% vo veku 15-29)</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16,0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14,6</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14,5</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15,2</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13,6</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13,0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12,5</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13,6</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Trh práce</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Podiel pracujúcich osôb so závažným z</w:t>
            </w:r>
            <w:r w:rsidR="00B46D8C">
              <w:rPr>
                <w:rFonts w:ascii="Times New Roman" w:eastAsia="Times New Roman" w:hAnsi="Times New Roman" w:cs="Times New Roman"/>
                <w:sz w:val="16"/>
                <w:szCs w:val="16"/>
                <w:lang w:eastAsia="sk-SK"/>
              </w:rPr>
              <w:t>dravotným obmedzením na celkovo</w:t>
            </w:r>
            <w:r w:rsidRPr="00B46D8C">
              <w:rPr>
                <w:rFonts w:ascii="Times New Roman" w:eastAsia="Times New Roman" w:hAnsi="Times New Roman" w:cs="Times New Roman"/>
                <w:sz w:val="16"/>
                <w:szCs w:val="16"/>
                <w:lang w:eastAsia="sk-SK"/>
              </w:rPr>
              <w:t>m počte osôb so závažným zdravotným obmedzením v aktívnom veku</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35,0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31,5</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30,5</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30,6</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28,5</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30,1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Chudoba</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Miera rizika chudoby alebo sociálneho vylúčenia (po transferoch, % populácie)</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15,8</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15,2</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14,9</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22,4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21,7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21,1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Chudoba</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Miera rizika chudoby alebo sociálneho vylúčenia ľudí vo veku 65 a viac rokov (% populácie)</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11,8</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10,3</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12,3</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18,5</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19,1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19,4</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Chudoba</w:t>
            </w:r>
          </w:p>
        </w:tc>
        <w:tc>
          <w:tcPr>
            <w:tcW w:w="1726" w:type="pct"/>
            <w:vMerge w:val="restart"/>
            <w:shd w:val="clear" w:color="000000" w:fill="FFFFFF"/>
            <w:vAlign w:val="center"/>
            <w:hideMark/>
          </w:tcPr>
          <w:p w:rsidR="00AA17E3" w:rsidRPr="00B46D8C" w:rsidRDefault="00B46D8C" w:rsidP="00AA17E3">
            <w:pPr>
              <w:spacing w:after="0" w:line="240" w:lineRule="auto"/>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Miera rizika chudoby alebo so</w:t>
            </w:r>
            <w:r w:rsidR="00AA17E3" w:rsidRPr="00B46D8C">
              <w:rPr>
                <w:rFonts w:ascii="Times New Roman" w:eastAsia="Times New Roman" w:hAnsi="Times New Roman" w:cs="Times New Roman"/>
                <w:sz w:val="16"/>
                <w:szCs w:val="16"/>
                <w:lang w:eastAsia="sk-SK"/>
              </w:rPr>
              <w:t>c</w:t>
            </w:r>
            <w:r>
              <w:rPr>
                <w:rFonts w:ascii="Times New Roman" w:eastAsia="Times New Roman" w:hAnsi="Times New Roman" w:cs="Times New Roman"/>
                <w:sz w:val="16"/>
                <w:szCs w:val="16"/>
                <w:lang w:eastAsia="sk-SK"/>
              </w:rPr>
              <w:t>i</w:t>
            </w:r>
            <w:r w:rsidR="00AA17E3" w:rsidRPr="00B46D8C">
              <w:rPr>
                <w:rFonts w:ascii="Times New Roman" w:eastAsia="Times New Roman" w:hAnsi="Times New Roman" w:cs="Times New Roman"/>
                <w:sz w:val="16"/>
                <w:szCs w:val="16"/>
                <w:lang w:eastAsia="sk-SK"/>
              </w:rPr>
              <w:t>álneho vylúčenia detí (0-17) (% populácie)</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22,9</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23,3</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21,3</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25,2</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24,0</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22,8</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r w:rsidR="00AA17E3" w:rsidRPr="00525293" w:rsidTr="00AA17E3">
        <w:trPr>
          <w:trHeight w:val="300"/>
        </w:trPr>
        <w:tc>
          <w:tcPr>
            <w:tcW w:w="670"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Chudoba</w:t>
            </w:r>
          </w:p>
        </w:tc>
        <w:tc>
          <w:tcPr>
            <w:tcW w:w="1726" w:type="pct"/>
            <w:vMerge w:val="restart"/>
            <w:shd w:val="clear" w:color="000000" w:fill="FFFFFF"/>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Miera rizika chudoby alebo sociálneho vylúčenia detí rodičov s nízkym vzdelaním (% populácie)</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SK</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89,1</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84,7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85,7</w:t>
            </w:r>
          </w:p>
        </w:tc>
        <w:tc>
          <w:tcPr>
            <w:tcW w:w="372" w:type="pct"/>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c>
          <w:tcPr>
            <w:tcW w:w="372" w:type="pct"/>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TBD</w:t>
            </w:r>
          </w:p>
        </w:tc>
      </w:tr>
      <w:tr w:rsidR="00AA17E3" w:rsidRPr="00525293" w:rsidTr="00AA17E3">
        <w:trPr>
          <w:trHeight w:val="300"/>
        </w:trPr>
        <w:tc>
          <w:tcPr>
            <w:tcW w:w="670" w:type="pct"/>
            <w:vMerge/>
            <w:tcBorders>
              <w:bottom w:val="single" w:sz="4" w:space="0" w:color="auto"/>
            </w:tcBorders>
            <w:vAlign w:val="center"/>
            <w:hideMark/>
          </w:tcPr>
          <w:p w:rsidR="00AA17E3" w:rsidRPr="00B46D8C"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1726" w:type="pct"/>
            <w:vMerge/>
            <w:tcBorders>
              <w:bottom w:val="single" w:sz="4" w:space="0" w:color="auto"/>
            </w:tcBorders>
            <w:vAlign w:val="center"/>
            <w:hideMark/>
          </w:tcPr>
          <w:p w:rsidR="00AA17E3" w:rsidRPr="00B46D8C" w:rsidRDefault="00AA17E3" w:rsidP="00AA17E3">
            <w:pPr>
              <w:spacing w:after="0" w:line="240" w:lineRule="auto"/>
              <w:rPr>
                <w:rFonts w:ascii="Times New Roman" w:eastAsia="Times New Roman" w:hAnsi="Times New Roman" w:cs="Times New Roman"/>
                <w:sz w:val="16"/>
                <w:szCs w:val="16"/>
                <w:lang w:eastAsia="sk-SK"/>
              </w:rPr>
            </w:pPr>
          </w:p>
        </w:tc>
        <w:tc>
          <w:tcPr>
            <w:tcW w:w="372" w:type="pct"/>
            <w:tcBorders>
              <w:bottom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EÚ27</w:t>
            </w:r>
          </w:p>
        </w:tc>
        <w:tc>
          <w:tcPr>
            <w:tcW w:w="372" w:type="pct"/>
            <w:tcBorders>
              <w:bottom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tcBorders>
              <w:bottom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tcBorders>
              <w:bottom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tcBorders>
              <w:bottom w:val="single" w:sz="4" w:space="0" w:color="auto"/>
            </w:tcBorders>
            <w:shd w:val="clear" w:color="000000" w:fill="FFFFFF"/>
            <w:noWrap/>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N/A</w:t>
            </w:r>
          </w:p>
        </w:tc>
        <w:tc>
          <w:tcPr>
            <w:tcW w:w="372" w:type="pct"/>
            <w:tcBorders>
              <w:bottom w:val="single" w:sz="4" w:space="0" w:color="auto"/>
            </w:tcBorders>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sz w:val="16"/>
                <w:szCs w:val="16"/>
                <w:lang w:eastAsia="sk-SK"/>
              </w:rPr>
            </w:pPr>
            <w:r w:rsidRPr="00B46D8C">
              <w:rPr>
                <w:rFonts w:ascii="Times New Roman" w:eastAsia="Times New Roman" w:hAnsi="Times New Roman" w:cs="Times New Roman"/>
                <w:sz w:val="16"/>
                <w:szCs w:val="16"/>
                <w:lang w:eastAsia="sk-SK"/>
              </w:rPr>
              <w:t> </w:t>
            </w:r>
          </w:p>
        </w:tc>
        <w:tc>
          <w:tcPr>
            <w:tcW w:w="372" w:type="pct"/>
            <w:tcBorders>
              <w:bottom w:val="single" w:sz="4" w:space="0" w:color="auto"/>
            </w:tcBorders>
            <w:shd w:val="clear" w:color="000000" w:fill="FFFFFF"/>
            <w:vAlign w:val="center"/>
            <w:hideMark/>
          </w:tcPr>
          <w:p w:rsidR="00AA17E3" w:rsidRPr="00B46D8C"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B46D8C">
              <w:rPr>
                <w:rFonts w:ascii="Times New Roman" w:eastAsia="Times New Roman" w:hAnsi="Times New Roman" w:cs="Times New Roman"/>
                <w:color w:val="000000"/>
                <w:sz w:val="16"/>
                <w:szCs w:val="16"/>
                <w:lang w:eastAsia="sk-SK"/>
              </w:rPr>
              <w:t> </w:t>
            </w:r>
          </w:p>
        </w:tc>
      </w:tr>
    </w:tbl>
    <w:p w:rsidR="00AA17E3" w:rsidRPr="001E50EB"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36"/>
          <w:szCs w:val="24"/>
          <w:highlight w:val="cyan"/>
        </w:rPr>
      </w:pPr>
    </w:p>
    <w:p w:rsidR="00AA17E3" w:rsidRPr="00CF378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CF3789">
        <w:rPr>
          <w:rFonts w:ascii="Times New Roman" w:hAnsi="Times New Roman" w:cs="Times New Roman"/>
          <w:color w:val="000000"/>
          <w:sz w:val="24"/>
          <w:szCs w:val="24"/>
        </w:rPr>
        <w:t>Cieľ Slovenskej republiky stanovený v stratégii Európa 2020 dosiahnuť 72 % miery zamestnanosti vo vekovej skupine 20-64 rokov sa podarilo naplniť už v roku 2018. Rast zamestnanosti od roku 2010 bol však pomalší ako v susedných krajinách V4 a pokles v roku 2020 výraznejší. Relatívne nízka miera zamestnanosti v ESA metodike oproti priemeru EÚ naznačuje, že v porovnaní s inými krajinami pracuje výrazne väčší podiel slovenských občanov krátkodobo v zahraničí. Prítok zahraničných pracovníkov na Slovensko nedokáže tento deficit plne pokryť.  Dlhodobá nezamestnanosť naďalej prevyšuje priemer EÚ aj ostatných krajín V4</w:t>
      </w:r>
      <w:r w:rsidR="00A4378C">
        <w:rPr>
          <w:rFonts w:ascii="Times New Roman" w:hAnsi="Times New Roman" w:cs="Times New Roman"/>
          <w:color w:val="000000"/>
          <w:sz w:val="24"/>
          <w:szCs w:val="24"/>
        </w:rPr>
        <w:t>, i keď cieľ</w:t>
      </w:r>
      <w:r w:rsidRPr="00CF3789">
        <w:rPr>
          <w:rFonts w:ascii="Times New Roman" w:hAnsi="Times New Roman" w:cs="Times New Roman"/>
          <w:color w:val="000000"/>
          <w:sz w:val="24"/>
          <w:szCs w:val="24"/>
        </w:rPr>
        <w:t xml:space="preserve"> stanovený v Národnom programe reforiem SR (3 %) sa do roku 2020 </w:t>
      </w:r>
      <w:r w:rsidR="00A4378C">
        <w:rPr>
          <w:rFonts w:ascii="Times New Roman" w:hAnsi="Times New Roman" w:cs="Times New Roman"/>
          <w:color w:val="000000"/>
          <w:sz w:val="24"/>
          <w:szCs w:val="24"/>
        </w:rPr>
        <w:t xml:space="preserve">takmer </w:t>
      </w:r>
      <w:r w:rsidRPr="00CF3789">
        <w:rPr>
          <w:rFonts w:ascii="Times New Roman" w:hAnsi="Times New Roman" w:cs="Times New Roman"/>
          <w:color w:val="000000"/>
          <w:sz w:val="24"/>
          <w:szCs w:val="24"/>
        </w:rPr>
        <w:t>podarilo dosiahnuť</w:t>
      </w:r>
      <w:r w:rsidR="00A4378C">
        <w:rPr>
          <w:rFonts w:ascii="Times New Roman" w:hAnsi="Times New Roman" w:cs="Times New Roman"/>
          <w:color w:val="000000"/>
          <w:sz w:val="24"/>
          <w:szCs w:val="24"/>
        </w:rPr>
        <w:t xml:space="preserve"> (3,2 %)</w:t>
      </w:r>
      <w:r w:rsidRPr="00CF3789">
        <w:rPr>
          <w:rFonts w:ascii="Times New Roman" w:hAnsi="Times New Roman" w:cs="Times New Roman"/>
          <w:color w:val="000000"/>
          <w:sz w:val="24"/>
          <w:szCs w:val="24"/>
        </w:rPr>
        <w:t>.</w:t>
      </w:r>
    </w:p>
    <w:p w:rsidR="00AA17E3" w:rsidRPr="00CF378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CF378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CF3789">
        <w:rPr>
          <w:rFonts w:ascii="Times New Roman" w:hAnsi="Times New Roman" w:cs="Times New Roman"/>
          <w:color w:val="000000"/>
          <w:sz w:val="24"/>
          <w:szCs w:val="24"/>
        </w:rPr>
        <w:t xml:space="preserve">V miere rizika chudoby alebo sociálneho vylúčenia dosahuje Slovensko dlhodobo lepšie výsledky ako EÚ, neplatí to však pre všetky skupiny populácie. Medzi najviac ohrozené skupiny patria deti rodičov s nízkym vzdelaním, ľudia z marginalizovaných rómskych komunít, domácnosti osamelých rodičov a rodičov s tromi a viacerými deťmi. Podiel ohrozených detí je na úrovni priemeru EÚ ale výrazne vyšší ako priemer ostatných krajín V4. </w:t>
      </w:r>
    </w:p>
    <w:p w:rsidR="00AA17E3" w:rsidRPr="00CF378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CF3789" w:rsidRDefault="00A80078" w:rsidP="0040790F">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Vo vybraných</w:t>
      </w:r>
      <w:r w:rsidR="00AA17E3" w:rsidRPr="00CF3789">
        <w:rPr>
          <w:rFonts w:ascii="Times New Roman" w:hAnsi="Times New Roman" w:cs="Times New Roman"/>
          <w:color w:val="000000"/>
          <w:sz w:val="24"/>
          <w:szCs w:val="24"/>
        </w:rPr>
        <w:t xml:space="preserve"> zraniteľných skupinách zaostáva miera zamestnanosti za priemerom EÚ viac ako v celkovej populácii (napr. ľudia s nízkou kvalifikáciou, ľudia z marginalizovaných rómskych komunít, osoby so zdravotným postihnutím). Miera zamestnanosti žien v plodnom veku výrazne zaostáva za priemerom EÚ a OECD z dôvodu starostlivosti o deti. V miere rizika chudoby alebo sociálneho vylúčenia dosahuje Slovensko dlhodobo lepšie výsledky ako EÚ, neplatí to však pre všetky skupiny populácie. Medzi najviac ohrozené skupiny patria deti rodičov s nízkym vzdelaním, ľudia z marginalizovaných rómskych komunít, domácnosti osamelých rodičov a rodičov s tromi a viacerými deťmi.</w:t>
      </w:r>
    </w:p>
    <w:p w:rsidR="00AA17E3" w:rsidRPr="00CF3789" w:rsidRDefault="00AA17E3" w:rsidP="0040790F">
      <w:pPr>
        <w:pStyle w:val="xmsonormal"/>
        <w:spacing w:line="252" w:lineRule="auto"/>
        <w:jc w:val="both"/>
        <w:rPr>
          <w:color w:val="000000"/>
        </w:rPr>
      </w:pPr>
    </w:p>
    <w:p w:rsidR="00AA17E3" w:rsidRPr="00CF3789" w:rsidRDefault="00AA17E3" w:rsidP="0040790F">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bookmarkStart w:id="299" w:name="_Toc488075675"/>
      <w:r w:rsidRPr="00CF3789">
        <w:rPr>
          <w:rFonts w:ascii="Times New Roman" w:hAnsi="Times New Roman" w:cs="Times New Roman"/>
          <w:color w:val="000000"/>
          <w:sz w:val="24"/>
          <w:szCs w:val="24"/>
        </w:rPr>
        <w:t>Podiel ohrozených ľudí v dôchodkovom veku patrí naopak medzi najnižšie v EÚ. Dôvodom je aj dostatočne vysoká miera náhrady príjmu dôchodkom v porovnaní s krajinami V3 a EÚ, najmä v skupine ľudí s nižším príjmom. Hlavnou výzvou dôchodkového systému je zlepšenie dlhodobej finančnej udržateľnosti. Bez reformovania systému by podľa najnovšej projekcie vzrástli výdavky na dôchodky najmä z dôvodu starnutia populácie z 8,3 % HDP v roku 2019 na 14,2 % HDP v roku 2070. V kapitalizačných dôchodkových schémach je potrebné adresovať najmä ich nízku priemernú výnosovosť danú nevhodnou investičnou stratégi</w:t>
      </w:r>
      <w:r w:rsidR="00611FE7">
        <w:rPr>
          <w:rFonts w:ascii="Times New Roman" w:hAnsi="Times New Roman" w:cs="Times New Roman"/>
          <w:color w:val="000000"/>
          <w:sz w:val="24"/>
          <w:szCs w:val="24"/>
        </w:rPr>
        <w:t>o</w:t>
      </w:r>
      <w:r w:rsidRPr="00CF3789">
        <w:rPr>
          <w:rFonts w:ascii="Times New Roman" w:hAnsi="Times New Roman" w:cs="Times New Roman"/>
          <w:color w:val="000000"/>
          <w:sz w:val="24"/>
          <w:szCs w:val="24"/>
        </w:rPr>
        <w:t>u veľkej časti sporiteľov. Priestor na zlepšenie nákladovej efektívnosti je najmä v III. pilieri.</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F81B31" w:rsidRDefault="00AA17E3" w:rsidP="00AA17E3">
      <w:pPr>
        <w:pStyle w:val="Popis"/>
        <w:keepNext/>
        <w:spacing w:after="0"/>
        <w:rPr>
          <w:rFonts w:ascii="Times New Roman" w:hAnsi="Times New Roman" w:cs="Times New Roman"/>
          <w:b/>
          <w:i w:val="0"/>
          <w:color w:val="5B9BD5" w:themeColor="accent1"/>
          <w:sz w:val="20"/>
          <w:szCs w:val="20"/>
        </w:rPr>
      </w:pPr>
      <w:bookmarkStart w:id="300" w:name="_Toc53046867"/>
      <w:bookmarkStart w:id="301" w:name="_Toc53054883"/>
      <w:bookmarkStart w:id="302" w:name="_Toc53077959"/>
      <w:bookmarkStart w:id="303" w:name="_Toc53086292"/>
      <w:bookmarkStart w:id="304" w:name="_Toc84528531"/>
      <w:bookmarkStart w:id="305" w:name="_Toc84848022"/>
      <w:r w:rsidRPr="00F81B31">
        <w:rPr>
          <w:rFonts w:ascii="Times New Roman" w:hAnsi="Times New Roman" w:cs="Times New Roman"/>
          <w:b/>
          <w:i w:val="0"/>
          <w:color w:val="5B9BD5" w:themeColor="accent1"/>
          <w:sz w:val="20"/>
          <w:szCs w:val="20"/>
        </w:rPr>
        <w:t xml:space="preserve">Graf </w:t>
      </w:r>
      <w:r w:rsidRPr="00F81B31">
        <w:rPr>
          <w:rFonts w:ascii="Times New Roman" w:hAnsi="Times New Roman" w:cs="Times New Roman"/>
          <w:b/>
          <w:i w:val="0"/>
          <w:color w:val="5B9BD5" w:themeColor="accent1"/>
          <w:sz w:val="20"/>
          <w:szCs w:val="20"/>
        </w:rPr>
        <w:fldChar w:fldCharType="begin"/>
      </w:r>
      <w:r w:rsidRPr="00F81B31">
        <w:rPr>
          <w:rFonts w:ascii="Times New Roman" w:hAnsi="Times New Roman" w:cs="Times New Roman"/>
          <w:b/>
          <w:i w:val="0"/>
          <w:color w:val="5B9BD5" w:themeColor="accent1"/>
          <w:sz w:val="20"/>
          <w:szCs w:val="20"/>
        </w:rPr>
        <w:instrText xml:space="preserve"> SEQ Obrázok \* ARABIC </w:instrText>
      </w:r>
      <w:r w:rsidRPr="00F81B31">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31</w:t>
      </w:r>
      <w:r w:rsidRPr="00F81B31">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sidRPr="00F81B31">
        <w:rPr>
          <w:rFonts w:ascii="Times New Roman" w:hAnsi="Times New Roman" w:cs="Times New Roman"/>
          <w:b/>
          <w:i w:val="0"/>
          <w:color w:val="5B9BD5" w:themeColor="accent1"/>
          <w:sz w:val="20"/>
          <w:szCs w:val="20"/>
        </w:rPr>
        <w:t xml:space="preserve"> Miera zamestnanosti a miera rizika chudoby alebo sociálneho vylúčenia</w:t>
      </w:r>
      <w:bookmarkEnd w:id="300"/>
      <w:bookmarkEnd w:id="301"/>
      <w:bookmarkEnd w:id="302"/>
      <w:bookmarkEnd w:id="303"/>
      <w:bookmarkEnd w:id="304"/>
      <w:bookmarkEnd w:id="305"/>
    </w:p>
    <w:tbl>
      <w:tblPr>
        <w:tblpPr w:leftFromText="141" w:rightFromText="141" w:vertAnchor="text" w:horzAnchor="margin" w:tblpXSpec="center" w:tblpY="19"/>
        <w:tblOverlap w:val="never"/>
        <w:tblW w:w="90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4564"/>
        <w:gridCol w:w="146"/>
        <w:gridCol w:w="4362"/>
      </w:tblGrid>
      <w:tr w:rsidR="00AA17E3" w:rsidRPr="006C098E" w:rsidTr="00AA17E3">
        <w:trPr>
          <w:trHeight w:val="170"/>
        </w:trPr>
        <w:tc>
          <w:tcPr>
            <w:tcW w:w="0" w:type="auto"/>
            <w:tcBorders>
              <w:top w:val="single" w:sz="4" w:space="0" w:color="auto"/>
              <w:left w:val="nil"/>
              <w:bottom w:val="single" w:sz="4" w:space="0" w:color="auto"/>
              <w:right w:val="nil"/>
            </w:tcBorders>
            <w:vAlign w:val="bottom"/>
            <w:hideMark/>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sidRPr="00720DC7">
              <w:rPr>
                <w:rFonts w:ascii="Times New Roman" w:hAnsi="Times New Roman" w:cs="Times New Roman"/>
                <w:b/>
                <w:iCs/>
                <w:color w:val="000000"/>
                <w:sz w:val="18"/>
                <w:szCs w:val="18"/>
              </w:rPr>
              <w:t>Graf: Miera</w:t>
            </w:r>
            <w:r w:rsidRPr="006C098E">
              <w:rPr>
                <w:rFonts w:ascii="Times New Roman" w:hAnsi="Times New Roman" w:cs="Times New Roman"/>
                <w:b/>
                <w:iCs/>
                <w:color w:val="000000"/>
                <w:sz w:val="18"/>
                <w:szCs w:val="18"/>
              </w:rPr>
              <w:t xml:space="preserve"> zamestnanosti (% v skupine 20-64 rokov)</w:t>
            </w:r>
            <w:bookmarkEnd w:id="299"/>
          </w:p>
        </w:tc>
        <w:tc>
          <w:tcPr>
            <w:tcW w:w="0" w:type="auto"/>
            <w:tcBorders>
              <w:top w:val="single" w:sz="4" w:space="0" w:color="auto"/>
              <w:left w:val="nil"/>
              <w:bottom w:val="single" w:sz="4" w:space="0" w:color="auto"/>
              <w:right w:val="nil"/>
            </w:tcBorders>
            <w:vAlign w:val="center"/>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p>
        </w:tc>
        <w:tc>
          <w:tcPr>
            <w:tcW w:w="0" w:type="auto"/>
            <w:tcBorders>
              <w:top w:val="single" w:sz="4" w:space="0" w:color="auto"/>
              <w:left w:val="nil"/>
              <w:bottom w:val="single" w:sz="4" w:space="0" w:color="auto"/>
              <w:right w:val="nil"/>
            </w:tcBorders>
            <w:vAlign w:val="center"/>
            <w:hideMark/>
          </w:tcPr>
          <w:p w:rsidR="00AA17E3" w:rsidRPr="00720DC7"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bookmarkStart w:id="306" w:name="_Toc488075676"/>
            <w:r w:rsidRPr="00720DC7">
              <w:rPr>
                <w:rFonts w:ascii="Times New Roman" w:hAnsi="Times New Roman" w:cs="Times New Roman"/>
                <w:b/>
                <w:iCs/>
                <w:color w:val="000000"/>
                <w:sz w:val="18"/>
                <w:szCs w:val="18"/>
              </w:rPr>
              <w:t>Graf: Miera rizika chudoby alebo sociálneho vylúčenia (201</w:t>
            </w:r>
            <w:r>
              <w:rPr>
                <w:rFonts w:ascii="Times New Roman" w:hAnsi="Times New Roman" w:cs="Times New Roman"/>
                <w:b/>
                <w:iCs/>
                <w:color w:val="000000"/>
                <w:sz w:val="18"/>
                <w:szCs w:val="18"/>
              </w:rPr>
              <w:t>9</w:t>
            </w:r>
            <w:r w:rsidRPr="00720DC7">
              <w:rPr>
                <w:rFonts w:ascii="Times New Roman" w:hAnsi="Times New Roman" w:cs="Times New Roman"/>
                <w:b/>
                <w:iCs/>
                <w:color w:val="000000"/>
                <w:sz w:val="18"/>
                <w:szCs w:val="18"/>
              </w:rPr>
              <w:t>, % populácie)</w:t>
            </w:r>
            <w:bookmarkEnd w:id="306"/>
          </w:p>
        </w:tc>
      </w:tr>
      <w:tr w:rsidR="00AA17E3" w:rsidRPr="006C098E" w:rsidTr="00AA17E3">
        <w:trPr>
          <w:trHeight w:val="170"/>
        </w:trPr>
        <w:tc>
          <w:tcPr>
            <w:tcW w:w="4812" w:type="dxa"/>
            <w:tcBorders>
              <w:top w:val="single" w:sz="4" w:space="0" w:color="auto"/>
              <w:left w:val="nil"/>
              <w:bottom w:val="single" w:sz="4" w:space="0" w:color="auto"/>
              <w:right w:val="nil"/>
            </w:tcBorders>
            <w:vAlign w:val="center"/>
            <w:hideMark/>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Pr>
                <w:rFonts w:ascii="Times New Roman" w:hAnsi="Times New Roman" w:cs="Times New Roman"/>
                <w:b/>
                <w:noProof/>
                <w:color w:val="000000"/>
                <w:sz w:val="18"/>
                <w:szCs w:val="18"/>
                <w:lang w:eastAsia="sk-SK"/>
              </w:rPr>
              <w:drawing>
                <wp:inline distT="0" distB="0" distL="0" distR="0" wp14:anchorId="4A7BB41A" wp14:editId="06B93186">
                  <wp:extent cx="2914650" cy="2755900"/>
                  <wp:effectExtent l="0" t="0" r="0" b="6350"/>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2755900"/>
                          </a:xfrm>
                          <a:prstGeom prst="rect">
                            <a:avLst/>
                          </a:prstGeom>
                          <a:noFill/>
                        </pic:spPr>
                      </pic:pic>
                    </a:graphicData>
                  </a:graphic>
                </wp:inline>
              </w:drawing>
            </w:r>
          </w:p>
        </w:tc>
        <w:tc>
          <w:tcPr>
            <w:tcW w:w="146" w:type="dxa"/>
            <w:tcBorders>
              <w:top w:val="single" w:sz="4" w:space="0" w:color="auto"/>
              <w:left w:val="nil"/>
              <w:bottom w:val="single" w:sz="4" w:space="0" w:color="auto"/>
              <w:right w:val="nil"/>
            </w:tcBorders>
            <w:vAlign w:val="center"/>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p>
        </w:tc>
        <w:tc>
          <w:tcPr>
            <w:tcW w:w="4114" w:type="dxa"/>
            <w:tcBorders>
              <w:top w:val="single" w:sz="4" w:space="0" w:color="auto"/>
              <w:left w:val="nil"/>
              <w:bottom w:val="single" w:sz="4" w:space="0" w:color="auto"/>
              <w:right w:val="nil"/>
            </w:tcBorders>
            <w:vAlign w:val="center"/>
            <w:hideMark/>
          </w:tcPr>
          <w:p w:rsidR="00AA17E3" w:rsidRPr="00720DC7"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sk-SK"/>
              </w:rPr>
              <w:drawing>
                <wp:inline distT="0" distB="0" distL="0" distR="0" wp14:anchorId="09ADA0A0" wp14:editId="64F7BD6A">
                  <wp:extent cx="2771775" cy="2548255"/>
                  <wp:effectExtent l="0" t="0" r="9525" b="4445"/>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2548255"/>
                          </a:xfrm>
                          <a:prstGeom prst="rect">
                            <a:avLst/>
                          </a:prstGeom>
                          <a:noFill/>
                        </pic:spPr>
                      </pic:pic>
                    </a:graphicData>
                  </a:graphic>
                </wp:inline>
              </w:drawing>
            </w:r>
          </w:p>
        </w:tc>
      </w:tr>
      <w:tr w:rsidR="00AA17E3" w:rsidRPr="006C098E" w:rsidTr="00AA17E3">
        <w:trPr>
          <w:trHeight w:val="170"/>
        </w:trPr>
        <w:tc>
          <w:tcPr>
            <w:tcW w:w="0" w:type="auto"/>
            <w:tcBorders>
              <w:top w:val="single" w:sz="4" w:space="0" w:color="auto"/>
              <w:left w:val="nil"/>
              <w:bottom w:val="nil"/>
              <w:right w:val="nil"/>
            </w:tcBorders>
            <w:hideMark/>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8"/>
                <w:szCs w:val="18"/>
              </w:rPr>
            </w:pPr>
            <w:r w:rsidRPr="006C098E">
              <w:rPr>
                <w:rFonts w:ascii="Times New Roman" w:hAnsi="Times New Roman" w:cs="Times New Roman"/>
                <w:bCs/>
                <w:i/>
                <w:color w:val="000000"/>
                <w:sz w:val="18"/>
                <w:szCs w:val="18"/>
              </w:rPr>
              <w:t>Zdroj: Eurostat</w:t>
            </w:r>
          </w:p>
        </w:tc>
        <w:tc>
          <w:tcPr>
            <w:tcW w:w="0" w:type="auto"/>
            <w:tcBorders>
              <w:top w:val="single" w:sz="4" w:space="0" w:color="auto"/>
              <w:left w:val="nil"/>
              <w:bottom w:val="nil"/>
              <w:right w:val="nil"/>
            </w:tcBorders>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i/>
                <w:color w:val="000000"/>
                <w:sz w:val="18"/>
                <w:szCs w:val="18"/>
              </w:rPr>
            </w:pPr>
          </w:p>
        </w:tc>
        <w:tc>
          <w:tcPr>
            <w:tcW w:w="0" w:type="auto"/>
            <w:tcBorders>
              <w:top w:val="single" w:sz="4" w:space="0" w:color="auto"/>
              <w:left w:val="nil"/>
              <w:bottom w:val="nil"/>
              <w:right w:val="nil"/>
            </w:tcBorders>
            <w:hideMark/>
          </w:tcPr>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bCs/>
                <w:i/>
                <w:color w:val="000000"/>
                <w:sz w:val="18"/>
                <w:szCs w:val="18"/>
              </w:rPr>
            </w:pPr>
            <w:r w:rsidRPr="00720DC7">
              <w:rPr>
                <w:rFonts w:ascii="Times New Roman" w:hAnsi="Times New Roman" w:cs="Times New Roman"/>
                <w:bCs/>
                <w:i/>
                <w:color w:val="000000"/>
                <w:sz w:val="18"/>
                <w:szCs w:val="18"/>
              </w:rPr>
              <w:tab/>
              <w:t>Zdroj: Eurostat, ŠÚ SR</w:t>
            </w:r>
          </w:p>
          <w:p w:rsidR="00AA17E3" w:rsidRPr="0090760C"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Cs/>
                <w:i/>
                <w:color w:val="000000"/>
                <w:sz w:val="18"/>
                <w:szCs w:val="18"/>
              </w:rPr>
            </w:pPr>
            <w:r>
              <w:rPr>
                <w:rFonts w:ascii="Times New Roman" w:hAnsi="Times New Roman" w:cs="Times New Roman"/>
                <w:bCs/>
                <w:i/>
                <w:color w:val="000000"/>
                <w:sz w:val="18"/>
                <w:szCs w:val="18"/>
                <w:lang w:val="en-US"/>
              </w:rPr>
              <w:t xml:space="preserve">* </w:t>
            </w:r>
            <w:r>
              <w:rPr>
                <w:rFonts w:ascii="Times New Roman" w:hAnsi="Times New Roman" w:cs="Times New Roman"/>
                <w:bCs/>
                <w:i/>
                <w:color w:val="000000"/>
                <w:sz w:val="18"/>
                <w:szCs w:val="18"/>
              </w:rPr>
              <w:t>Riziko chudoby v MRK za rok 2018 (EU SILC MRK)</w:t>
            </w:r>
          </w:p>
        </w:tc>
      </w:tr>
    </w:tbl>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CF3789">
        <w:rPr>
          <w:rFonts w:ascii="Times New Roman" w:hAnsi="Times New Roman" w:cs="Times New Roman"/>
          <w:color w:val="000000"/>
          <w:sz w:val="24"/>
          <w:szCs w:val="24"/>
        </w:rPr>
        <w:t>S prudkým starnutím obyvateľstva v najbližších desaťročiach bude rásť tlak aj na efektívne fungovanie dlhodobej sociálnej starostlivosti (LTC). Pri absentujúcom nadrezortnom prístupe k dlhodobej starostlivosti sa dnes alokuje viac ako 50 % z celkových finančných prostriedkov do inštitucionálnej starostlivosti, najmä pobytových zariadení</w:t>
      </w:r>
      <w:r>
        <w:rPr>
          <w:rStyle w:val="Odkaznapoznmkupodiarou"/>
          <w:rFonts w:ascii="Times New Roman" w:hAnsi="Times New Roman"/>
          <w:color w:val="000000"/>
          <w:sz w:val="24"/>
          <w:szCs w:val="24"/>
        </w:rPr>
        <w:footnoteReference w:id="48"/>
      </w:r>
      <w:r w:rsidRPr="00CF3789">
        <w:rPr>
          <w:rFonts w:ascii="Times New Roman" w:hAnsi="Times New Roman" w:cs="Times New Roman"/>
          <w:color w:val="000000"/>
          <w:sz w:val="24"/>
          <w:szCs w:val="24"/>
        </w:rPr>
        <w:t>. Pri deinštitucionalizovanej starostlivosti výrazne prevládajú peňažné príspevky na kompenzáciu ťažkého zdravotného postihnutia. Naopak, služby formálnej domácej starostlivosti, ktoré výrazne prispievajú k deinštitucionalizácii a nezávislému životu odkázaných osôb, sú dnes finančne aj kapacitne poddimenzované.</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F81B31" w:rsidRDefault="00AA17E3" w:rsidP="00AA17E3">
      <w:pPr>
        <w:pStyle w:val="Popis"/>
        <w:keepNext/>
        <w:spacing w:after="0"/>
        <w:rPr>
          <w:rFonts w:ascii="Times New Roman" w:hAnsi="Times New Roman" w:cs="Times New Roman"/>
          <w:b/>
          <w:i w:val="0"/>
          <w:color w:val="5B9BD5" w:themeColor="accent1"/>
          <w:sz w:val="20"/>
          <w:szCs w:val="20"/>
        </w:rPr>
      </w:pPr>
      <w:bookmarkStart w:id="307" w:name="_Toc84528532"/>
      <w:bookmarkStart w:id="308" w:name="_Toc84848023"/>
      <w:r w:rsidRPr="00F81B31">
        <w:rPr>
          <w:rFonts w:ascii="Times New Roman" w:hAnsi="Times New Roman" w:cs="Times New Roman"/>
          <w:b/>
          <w:i w:val="0"/>
          <w:color w:val="5B9BD5" w:themeColor="accent1"/>
          <w:sz w:val="20"/>
          <w:szCs w:val="20"/>
        </w:rPr>
        <w:t xml:space="preserve">Graf </w:t>
      </w:r>
      <w:r w:rsidRPr="00F81B31">
        <w:rPr>
          <w:rFonts w:ascii="Times New Roman" w:hAnsi="Times New Roman" w:cs="Times New Roman"/>
          <w:b/>
          <w:i w:val="0"/>
          <w:color w:val="5B9BD5" w:themeColor="accent1"/>
          <w:sz w:val="20"/>
          <w:szCs w:val="20"/>
        </w:rPr>
        <w:fldChar w:fldCharType="begin"/>
      </w:r>
      <w:r w:rsidRPr="00F81B31">
        <w:rPr>
          <w:rFonts w:ascii="Times New Roman" w:hAnsi="Times New Roman" w:cs="Times New Roman"/>
          <w:b/>
          <w:i w:val="0"/>
          <w:color w:val="5B9BD5" w:themeColor="accent1"/>
          <w:sz w:val="20"/>
          <w:szCs w:val="20"/>
        </w:rPr>
        <w:instrText xml:space="preserve"> SEQ Obrázok \* ARABIC </w:instrText>
      </w:r>
      <w:r w:rsidRPr="00F81B31">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32</w:t>
      </w:r>
      <w:r w:rsidRPr="00F81B31">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sidRPr="00F81B31">
        <w:rPr>
          <w:rFonts w:ascii="Times New Roman" w:hAnsi="Times New Roman" w:cs="Times New Roman"/>
          <w:b/>
          <w:i w:val="0"/>
          <w:color w:val="5B9BD5" w:themeColor="accent1"/>
          <w:sz w:val="20"/>
          <w:szCs w:val="20"/>
        </w:rPr>
        <w:t xml:space="preserve"> </w:t>
      </w:r>
      <w:r w:rsidRPr="009A485F">
        <w:rPr>
          <w:rFonts w:ascii="Times New Roman" w:hAnsi="Times New Roman" w:cs="Times New Roman"/>
          <w:b/>
          <w:i w:val="0"/>
          <w:color w:val="5B9BD5" w:themeColor="accent1"/>
          <w:sz w:val="20"/>
          <w:szCs w:val="20"/>
        </w:rPr>
        <w:t>Rozdelenie výdavkov na LTC a pokrytie odkázaných osôb službami LTC</w:t>
      </w:r>
      <w:bookmarkEnd w:id="307"/>
      <w:bookmarkEnd w:id="308"/>
    </w:p>
    <w:tbl>
      <w:tblPr>
        <w:tblW w:w="90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4434"/>
        <w:gridCol w:w="146"/>
        <w:gridCol w:w="4492"/>
      </w:tblGrid>
      <w:tr w:rsidR="00AA17E3" w:rsidRPr="006C098E" w:rsidTr="00AA17E3">
        <w:trPr>
          <w:trHeight w:val="170"/>
        </w:trPr>
        <w:tc>
          <w:tcPr>
            <w:tcW w:w="0" w:type="auto"/>
            <w:tcBorders>
              <w:top w:val="single" w:sz="4" w:space="0" w:color="auto"/>
              <w:left w:val="nil"/>
              <w:bottom w:val="single" w:sz="4" w:space="0" w:color="auto"/>
              <w:right w:val="nil"/>
            </w:tcBorders>
            <w:vAlign w:val="bottom"/>
            <w:hideMark/>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sidRPr="00720DC7">
              <w:rPr>
                <w:rFonts w:ascii="Times New Roman" w:hAnsi="Times New Roman" w:cs="Times New Roman"/>
                <w:b/>
                <w:iCs/>
                <w:color w:val="000000"/>
                <w:sz w:val="18"/>
                <w:szCs w:val="18"/>
              </w:rPr>
              <w:t>Graf:</w:t>
            </w:r>
            <w:r>
              <w:rPr>
                <w:rFonts w:ascii="Times New Roman" w:hAnsi="Times New Roman" w:cs="Times New Roman"/>
                <w:b/>
                <w:iCs/>
                <w:color w:val="000000"/>
                <w:sz w:val="18"/>
                <w:szCs w:val="18"/>
              </w:rPr>
              <w:t xml:space="preserve"> </w:t>
            </w:r>
            <w:r w:rsidRPr="00581B87">
              <w:rPr>
                <w:rFonts w:ascii="Times New Roman" w:hAnsi="Times New Roman" w:cs="Times New Roman"/>
                <w:b/>
                <w:iCs/>
                <w:color w:val="000000"/>
                <w:sz w:val="18"/>
                <w:szCs w:val="18"/>
              </w:rPr>
              <w:t>Rozdelenie výdavkov LTC podľa metodiky EK (2018, mil. eur)</w:t>
            </w:r>
          </w:p>
        </w:tc>
        <w:tc>
          <w:tcPr>
            <w:tcW w:w="0" w:type="auto"/>
            <w:tcBorders>
              <w:top w:val="single" w:sz="4" w:space="0" w:color="auto"/>
              <w:left w:val="nil"/>
              <w:bottom w:val="single" w:sz="4" w:space="0" w:color="auto"/>
              <w:right w:val="nil"/>
            </w:tcBorders>
            <w:vAlign w:val="center"/>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p>
        </w:tc>
        <w:tc>
          <w:tcPr>
            <w:tcW w:w="0" w:type="auto"/>
            <w:tcBorders>
              <w:top w:val="single" w:sz="4" w:space="0" w:color="auto"/>
              <w:left w:val="nil"/>
              <w:bottom w:val="single" w:sz="4" w:space="0" w:color="auto"/>
              <w:right w:val="nil"/>
            </w:tcBorders>
            <w:vAlign w:val="center"/>
            <w:hideMark/>
          </w:tcPr>
          <w:p w:rsidR="00AA17E3" w:rsidRPr="00720DC7"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sidRPr="00720DC7">
              <w:rPr>
                <w:rFonts w:ascii="Times New Roman" w:hAnsi="Times New Roman" w:cs="Times New Roman"/>
                <w:b/>
                <w:iCs/>
                <w:color w:val="000000"/>
                <w:sz w:val="18"/>
                <w:szCs w:val="18"/>
              </w:rPr>
              <w:t xml:space="preserve">Graf: </w:t>
            </w:r>
            <w:r w:rsidRPr="00581B87">
              <w:rPr>
                <w:rFonts w:ascii="Times New Roman" w:hAnsi="Times New Roman" w:cs="Times New Roman"/>
                <w:b/>
                <w:iCs/>
                <w:color w:val="000000"/>
                <w:sz w:val="18"/>
                <w:szCs w:val="18"/>
              </w:rPr>
              <w:t>Pokrytie odkázaných osôb službami LTC (2018, % odkázaných, ktorí dostávajú starostlivosť)</w:t>
            </w:r>
          </w:p>
        </w:tc>
      </w:tr>
      <w:tr w:rsidR="00AA17E3" w:rsidRPr="006C098E" w:rsidTr="00AA17E3">
        <w:trPr>
          <w:trHeight w:val="170"/>
        </w:trPr>
        <w:tc>
          <w:tcPr>
            <w:tcW w:w="4434" w:type="dxa"/>
            <w:tcBorders>
              <w:top w:val="single" w:sz="4" w:space="0" w:color="auto"/>
              <w:left w:val="nil"/>
              <w:bottom w:val="single" w:sz="4" w:space="0" w:color="auto"/>
              <w:right w:val="nil"/>
            </w:tcBorders>
            <w:vAlign w:val="center"/>
            <w:hideMark/>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sidRPr="00363CFF">
              <w:rPr>
                <w:rFonts w:ascii="Arial Narrow" w:hAnsi="Arial Narrow"/>
                <w:noProof/>
                <w:lang w:eastAsia="sk-SK"/>
              </w:rPr>
              <w:drawing>
                <wp:inline distT="0" distB="0" distL="0" distR="0" wp14:anchorId="0F2A7A8E" wp14:editId="6BAC5467">
                  <wp:extent cx="2774950" cy="1754372"/>
                  <wp:effectExtent l="0" t="0" r="6350" b="0"/>
                  <wp:docPr id="248" name="Graf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46" w:type="dxa"/>
            <w:tcBorders>
              <w:top w:val="single" w:sz="4" w:space="0" w:color="auto"/>
              <w:left w:val="nil"/>
              <w:bottom w:val="single" w:sz="4" w:space="0" w:color="auto"/>
              <w:right w:val="nil"/>
            </w:tcBorders>
            <w:vAlign w:val="center"/>
          </w:tcPr>
          <w:p w:rsidR="00AA17E3" w:rsidRPr="006C098E"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p>
        </w:tc>
        <w:tc>
          <w:tcPr>
            <w:tcW w:w="4492" w:type="dxa"/>
            <w:tcBorders>
              <w:top w:val="single" w:sz="4" w:space="0" w:color="auto"/>
              <w:left w:val="nil"/>
              <w:bottom w:val="single" w:sz="4" w:space="0" w:color="auto"/>
              <w:right w:val="nil"/>
            </w:tcBorders>
            <w:vAlign w:val="center"/>
            <w:hideMark/>
          </w:tcPr>
          <w:p w:rsidR="00AA17E3" w:rsidRPr="00720DC7"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18"/>
                <w:szCs w:val="18"/>
              </w:rPr>
            </w:pPr>
            <w:r>
              <w:rPr>
                <w:noProof/>
                <w:lang w:eastAsia="sk-SK"/>
              </w:rPr>
              <w:drawing>
                <wp:inline distT="0" distB="0" distL="0" distR="0" wp14:anchorId="4D2EE3CF" wp14:editId="1AE667B9">
                  <wp:extent cx="2817628" cy="1765004"/>
                  <wp:effectExtent l="0" t="0" r="1905" b="6985"/>
                  <wp:docPr id="249" name="Graf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AA17E3" w:rsidRPr="006C098E" w:rsidTr="00AA17E3">
        <w:trPr>
          <w:trHeight w:val="170"/>
        </w:trPr>
        <w:tc>
          <w:tcPr>
            <w:tcW w:w="0" w:type="auto"/>
            <w:tcBorders>
              <w:top w:val="single" w:sz="4" w:space="0" w:color="auto"/>
              <w:left w:val="nil"/>
              <w:bottom w:val="nil"/>
              <w:right w:val="nil"/>
            </w:tcBorders>
            <w:hideMark/>
          </w:tcPr>
          <w:p w:rsidR="00AA17E3" w:rsidRPr="00A80078"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bCs/>
                <w:i/>
                <w:iCs/>
                <w:color w:val="000000"/>
                <w:sz w:val="16"/>
                <w:szCs w:val="16"/>
              </w:rPr>
            </w:pPr>
            <w:r w:rsidRPr="00A80078">
              <w:rPr>
                <w:rFonts w:ascii="Times New Roman" w:hAnsi="Times New Roman" w:cs="Times New Roman"/>
                <w:bCs/>
                <w:i/>
                <w:iCs/>
                <w:color w:val="000000"/>
                <w:sz w:val="16"/>
                <w:szCs w:val="16"/>
              </w:rPr>
              <w:t>Legenda: DS – domáca starostlivosť</w:t>
            </w:r>
          </w:p>
          <w:p w:rsidR="00AA17E3" w:rsidRPr="006C098E"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8"/>
                <w:szCs w:val="18"/>
              </w:rPr>
            </w:pPr>
            <w:r w:rsidRPr="00A80078">
              <w:rPr>
                <w:rFonts w:ascii="Times New Roman" w:hAnsi="Times New Roman" w:cs="Times New Roman"/>
                <w:bCs/>
                <w:i/>
                <w:iCs/>
                <w:color w:val="000000"/>
                <w:sz w:val="16"/>
                <w:szCs w:val="16"/>
              </w:rPr>
              <w:t>Zdroj: MF SR na základe výkazov poskytovateľov starostlivosti</w:t>
            </w:r>
          </w:p>
        </w:tc>
        <w:tc>
          <w:tcPr>
            <w:tcW w:w="0" w:type="auto"/>
            <w:tcBorders>
              <w:top w:val="single" w:sz="4" w:space="0" w:color="auto"/>
              <w:left w:val="nil"/>
              <w:bottom w:val="nil"/>
              <w:right w:val="nil"/>
            </w:tcBorders>
          </w:tcPr>
          <w:p w:rsidR="00AA17E3" w:rsidRPr="006C098E"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8"/>
                <w:szCs w:val="18"/>
              </w:rPr>
            </w:pPr>
          </w:p>
        </w:tc>
        <w:tc>
          <w:tcPr>
            <w:tcW w:w="0" w:type="auto"/>
            <w:tcBorders>
              <w:top w:val="single" w:sz="4" w:space="0" w:color="auto"/>
              <w:left w:val="nil"/>
              <w:bottom w:val="nil"/>
              <w:right w:val="nil"/>
            </w:tcBorders>
            <w:hideMark/>
          </w:tcPr>
          <w:p w:rsidR="00AA17E3" w:rsidRPr="00A80078"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bCs/>
                <w:i/>
                <w:color w:val="000000"/>
                <w:sz w:val="16"/>
                <w:szCs w:val="16"/>
              </w:rPr>
            </w:pPr>
            <w:r w:rsidRPr="00A80078">
              <w:rPr>
                <w:rFonts w:ascii="Times New Roman" w:hAnsi="Times New Roman" w:cs="Times New Roman"/>
                <w:bCs/>
                <w:i/>
                <w:color w:val="000000"/>
                <w:sz w:val="16"/>
                <w:szCs w:val="16"/>
              </w:rPr>
              <w:t>Legenda: DS – domáca starostlivosť</w:t>
            </w:r>
          </w:p>
          <w:p w:rsidR="00AA17E3" w:rsidRPr="0090760C"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bCs/>
                <w:i/>
                <w:color w:val="000000"/>
                <w:sz w:val="18"/>
                <w:szCs w:val="18"/>
              </w:rPr>
            </w:pPr>
            <w:r w:rsidRPr="00A80078">
              <w:rPr>
                <w:rFonts w:ascii="Times New Roman" w:hAnsi="Times New Roman" w:cs="Times New Roman"/>
                <w:bCs/>
                <w:i/>
                <w:color w:val="000000"/>
                <w:sz w:val="16"/>
                <w:szCs w:val="16"/>
              </w:rPr>
              <w:t>Zdroj: Projekcia verejných výdavkov na dlhodobú starostlivosť, MF SR</w:t>
            </w:r>
            <w:r w:rsidRPr="00A80078">
              <w:rPr>
                <w:rStyle w:val="Odkaznapoznmkupodiarou"/>
                <w:rFonts w:ascii="Times New Roman" w:hAnsi="Times New Roman"/>
                <w:bCs/>
                <w:i/>
                <w:color w:val="000000"/>
                <w:sz w:val="16"/>
                <w:szCs w:val="16"/>
              </w:rPr>
              <w:footnoteReference w:id="49"/>
            </w:r>
          </w:p>
        </w:tc>
      </w:tr>
    </w:tbl>
    <w:p w:rsidR="00AA17E3" w:rsidRDefault="00AA17E3" w:rsidP="001E50EB">
      <w:pPr>
        <w:spacing w:after="0"/>
      </w:pPr>
    </w:p>
    <w:p w:rsidR="00AA17E3" w:rsidRPr="00784C44"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DB5F7D">
        <w:rPr>
          <w:rFonts w:ascii="Times New Roman" w:hAnsi="Times New Roman" w:cs="Times New Roman"/>
          <w:color w:val="000000"/>
          <w:sz w:val="24"/>
          <w:szCs w:val="24"/>
        </w:rPr>
        <w:t xml:space="preserve">Rozpočet na rok 2022 zohľadňuje legislatívne zmeny, ktorých cieľom je vytvoriť podmienky na splnenie cieľov a záväzkov Programového vyhlásenia vlády SR na roky 2020 - 2024. </w:t>
      </w:r>
    </w:p>
    <w:p w:rsidR="00AA17E3" w:rsidRPr="00883A7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5349CD">
        <w:rPr>
          <w:rFonts w:ascii="Times New Roman" w:hAnsi="Times New Roman" w:cs="Times New Roman"/>
          <w:color w:val="000000"/>
          <w:sz w:val="24"/>
          <w:szCs w:val="24"/>
        </w:rPr>
        <w:t>Vo výdavkoch oblasti na rok 2022 sa aj napriek negatívnym dôsledkom pandémie zohľadnili nasledovné tituly:</w:t>
      </w:r>
    </w:p>
    <w:p w:rsidR="00AA17E3" w:rsidRPr="00101194" w:rsidRDefault="00AA17E3" w:rsidP="004B108F">
      <w:pPr>
        <w:pStyle w:val="Odsekzoznamu"/>
        <w:numPr>
          <w:ilvl w:val="0"/>
          <w:numId w:val="19"/>
        </w:numPr>
        <w:tabs>
          <w:tab w:val="left" w:pos="0"/>
          <w:tab w:val="left" w:pos="720"/>
          <w:tab w:val="left" w:pos="1440"/>
          <w:tab w:val="left" w:pos="2160"/>
          <w:tab w:val="left" w:pos="2880"/>
          <w:tab w:val="left" w:pos="3600"/>
          <w:tab w:val="left" w:pos="4320"/>
        </w:tabs>
        <w:adjustRightInd w:val="0"/>
        <w:jc w:val="both"/>
        <w:rPr>
          <w:rFonts w:ascii="Times New Roman" w:hAnsi="Times New Roman" w:cs="Times New Roman"/>
          <w:color w:val="000000"/>
        </w:rPr>
      </w:pPr>
      <w:r>
        <w:rPr>
          <w:rFonts w:ascii="Times New Roman" w:hAnsi="Times New Roman" w:cs="Times New Roman"/>
          <w:color w:val="000000"/>
        </w:rPr>
        <w:t>valorizácia viacerých dávok a príspevkov, ktoré sú v zmysle platnej legislatívy naviazané na výšku životného minima, napríklad rodičovský príspevok, prídavok na dieťa, príspevky náhradnej starostlivosti, sumy dávky a ostatných príspevkov v hmotnej núdzi; k 1. júlu 2021 sa životné minimum zvýšilo o 1,5 %</w:t>
      </w:r>
      <w:r w:rsidR="001E50EB">
        <w:rPr>
          <w:rFonts w:ascii="Times New Roman" w:hAnsi="Times New Roman" w:cs="Times New Roman"/>
          <w:color w:val="000000"/>
        </w:rPr>
        <w:t>,</w:t>
      </w:r>
    </w:p>
    <w:p w:rsidR="00AA17E3" w:rsidRDefault="00AA17E3" w:rsidP="004B108F">
      <w:pPr>
        <w:pStyle w:val="Odsekzoznamu"/>
        <w:numPr>
          <w:ilvl w:val="0"/>
          <w:numId w:val="19"/>
        </w:numPr>
        <w:tabs>
          <w:tab w:val="left" w:pos="0"/>
          <w:tab w:val="left" w:pos="720"/>
          <w:tab w:val="left" w:pos="1440"/>
          <w:tab w:val="left" w:pos="2160"/>
          <w:tab w:val="left" w:pos="2880"/>
          <w:tab w:val="left" w:pos="3600"/>
          <w:tab w:val="left" w:pos="4320"/>
        </w:tabs>
        <w:adjustRightInd w:val="0"/>
        <w:jc w:val="both"/>
        <w:rPr>
          <w:rFonts w:ascii="Times New Roman" w:hAnsi="Times New Roman" w:cs="Times New Roman"/>
          <w:color w:val="000000"/>
        </w:rPr>
      </w:pPr>
      <w:r>
        <w:rPr>
          <w:rFonts w:ascii="Times New Roman" w:hAnsi="Times New Roman" w:cs="Times New Roman"/>
          <w:color w:val="000000"/>
        </w:rPr>
        <w:t>zvýšenie finančného príspevku na poskytovanie sociálnej služby v zariadeniach podmienených odkázanosťou v sume 14,3 mil. eur,</w:t>
      </w:r>
    </w:p>
    <w:p w:rsidR="00AA17E3" w:rsidRPr="002C61CA" w:rsidRDefault="00AA17E3" w:rsidP="004B108F">
      <w:pPr>
        <w:pStyle w:val="Odsekzoznamu"/>
        <w:numPr>
          <w:ilvl w:val="0"/>
          <w:numId w:val="19"/>
        </w:numPr>
        <w:tabs>
          <w:tab w:val="left" w:pos="0"/>
          <w:tab w:val="left" w:pos="720"/>
          <w:tab w:val="left" w:pos="1440"/>
          <w:tab w:val="left" w:pos="2160"/>
          <w:tab w:val="left" w:pos="2880"/>
          <w:tab w:val="left" w:pos="3600"/>
          <w:tab w:val="left" w:pos="4320"/>
        </w:tabs>
        <w:adjustRightInd w:val="0"/>
        <w:jc w:val="both"/>
        <w:rPr>
          <w:rFonts w:ascii="Times New Roman" w:hAnsi="Times New Roman" w:cs="Times New Roman"/>
          <w:color w:val="000000"/>
        </w:rPr>
      </w:pPr>
      <w:r>
        <w:rPr>
          <w:rFonts w:ascii="Times New Roman" w:hAnsi="Times New Roman" w:cs="Times New Roman"/>
          <w:color w:val="000000"/>
        </w:rPr>
        <w:t>zvýšenie výšky finančných príspevkov na opatrovanie a sadzby na hodinu osobnej asistencie v </w:t>
      </w:r>
      <w:r w:rsidRPr="001F31CB">
        <w:rPr>
          <w:rFonts w:ascii="Times New Roman" w:hAnsi="Times New Roman" w:cs="Times New Roman"/>
          <w:color w:val="000000"/>
        </w:rPr>
        <w:t xml:space="preserve">sume </w:t>
      </w:r>
      <w:r>
        <w:rPr>
          <w:rFonts w:ascii="Times New Roman" w:hAnsi="Times New Roman" w:cs="Times New Roman"/>
          <w:color w:val="000000"/>
        </w:rPr>
        <w:t>34,8</w:t>
      </w:r>
      <w:r w:rsidRPr="001F31CB">
        <w:rPr>
          <w:rFonts w:ascii="Times New Roman" w:hAnsi="Times New Roman" w:cs="Times New Roman"/>
          <w:color w:val="000000"/>
        </w:rPr>
        <w:t xml:space="preserve"> mil. eur</w:t>
      </w:r>
      <w:r>
        <w:rPr>
          <w:rFonts w:ascii="Times New Roman" w:hAnsi="Times New Roman" w:cs="Times New Roman"/>
          <w:color w:val="000000"/>
        </w:rPr>
        <w:t>,</w:t>
      </w:r>
    </w:p>
    <w:p w:rsidR="00AA17E3" w:rsidRPr="008D2AC1" w:rsidRDefault="00AA17E3" w:rsidP="004B108F">
      <w:pPr>
        <w:pStyle w:val="Odsekzoznamu"/>
        <w:numPr>
          <w:ilvl w:val="0"/>
          <w:numId w:val="19"/>
        </w:numPr>
        <w:tabs>
          <w:tab w:val="left" w:pos="0"/>
          <w:tab w:val="left" w:pos="720"/>
          <w:tab w:val="left" w:pos="1440"/>
          <w:tab w:val="left" w:pos="2160"/>
          <w:tab w:val="left" w:pos="2880"/>
          <w:tab w:val="left" w:pos="3600"/>
          <w:tab w:val="left" w:pos="4320"/>
        </w:tabs>
        <w:adjustRightInd w:val="0"/>
        <w:jc w:val="both"/>
        <w:rPr>
          <w:rFonts w:ascii="Times New Roman" w:hAnsi="Times New Roman" w:cs="Times New Roman"/>
          <w:color w:val="000000"/>
        </w:rPr>
      </w:pPr>
      <w:r>
        <w:rPr>
          <w:rFonts w:ascii="Times New Roman" w:hAnsi="Times New Roman" w:cs="Times New Roman"/>
          <w:color w:val="000000"/>
        </w:rPr>
        <w:t xml:space="preserve">rozšírenie cieľovej skupiny detí s nárokom na dotáciu na podporu výchovy k stravovacím návykom o deti, ktoré podľa predtým platnej legislatívy nemali nárok na dotáciu a ani ich rodičia si nemohli uplatniť nárok na daňový bonus v sume </w:t>
      </w:r>
      <w:r w:rsidR="00890FF0">
        <w:rPr>
          <w:rFonts w:ascii="Times New Roman" w:hAnsi="Times New Roman" w:cs="Times New Roman"/>
          <w:color w:val="000000"/>
        </w:rPr>
        <w:br/>
      </w:r>
      <w:r>
        <w:rPr>
          <w:rFonts w:ascii="Times New Roman" w:hAnsi="Times New Roman" w:cs="Times New Roman"/>
          <w:color w:val="000000"/>
        </w:rPr>
        <w:t>2,03 mil. eur,</w:t>
      </w:r>
    </w:p>
    <w:p w:rsidR="00AA17E3" w:rsidRDefault="00AA17E3" w:rsidP="004B108F">
      <w:pPr>
        <w:pStyle w:val="Odsekzoznamu"/>
        <w:numPr>
          <w:ilvl w:val="0"/>
          <w:numId w:val="19"/>
        </w:numPr>
        <w:tabs>
          <w:tab w:val="left" w:pos="0"/>
          <w:tab w:val="left" w:pos="720"/>
          <w:tab w:val="left" w:pos="1440"/>
          <w:tab w:val="left" w:pos="2160"/>
          <w:tab w:val="left" w:pos="2880"/>
          <w:tab w:val="left" w:pos="3600"/>
          <w:tab w:val="left" w:pos="4320"/>
        </w:tabs>
        <w:adjustRightInd w:val="0"/>
        <w:jc w:val="both"/>
        <w:rPr>
          <w:rFonts w:ascii="Times New Roman" w:hAnsi="Times New Roman" w:cs="Times New Roman"/>
          <w:color w:val="000000"/>
        </w:rPr>
      </w:pPr>
      <w:r w:rsidRPr="00883A70">
        <w:rPr>
          <w:rFonts w:ascii="Times New Roman" w:hAnsi="Times New Roman" w:cs="Times New Roman"/>
          <w:color w:val="000000"/>
        </w:rPr>
        <w:t>prijatie zákona o skrátenej práci, ktorým sa do právneho poriadku SR zav</w:t>
      </w:r>
      <w:r>
        <w:rPr>
          <w:rFonts w:ascii="Times New Roman" w:hAnsi="Times New Roman" w:cs="Times New Roman"/>
          <w:color w:val="000000"/>
        </w:rPr>
        <w:t>iedol</w:t>
      </w:r>
      <w:r w:rsidRPr="00883A70">
        <w:rPr>
          <w:rFonts w:ascii="Times New Roman" w:hAnsi="Times New Roman" w:cs="Times New Roman"/>
          <w:color w:val="000000"/>
        </w:rPr>
        <w:t xml:space="preserve"> nástroj pasívnej politiky trhu práce umožňujúci právne nárokovú podporu, ktorá </w:t>
      </w:r>
      <w:r>
        <w:rPr>
          <w:rFonts w:ascii="Times New Roman" w:hAnsi="Times New Roman" w:cs="Times New Roman"/>
          <w:color w:val="000000"/>
        </w:rPr>
        <w:t>j</w:t>
      </w:r>
      <w:r w:rsidRPr="00883A70">
        <w:rPr>
          <w:rFonts w:ascii="Times New Roman" w:hAnsi="Times New Roman" w:cs="Times New Roman"/>
          <w:color w:val="000000"/>
        </w:rPr>
        <w:t>e účelovo určená na vyplácanie náhrady mzdy zamestnanca v čase, keď zamestnávateľ nemôže prideľovať zamestnancom prácu v pôvodne dohodnutom rozsahu a dochád</w:t>
      </w:r>
      <w:r>
        <w:rPr>
          <w:rFonts w:ascii="Times New Roman" w:hAnsi="Times New Roman" w:cs="Times New Roman"/>
          <w:color w:val="000000"/>
        </w:rPr>
        <w:t>za tak k tzv. „skrátenej práci“ v sume 16,5 mil. eur,</w:t>
      </w:r>
    </w:p>
    <w:p w:rsidR="00AA17E3" w:rsidRPr="008D2AC1" w:rsidRDefault="00AA17E3" w:rsidP="004B108F">
      <w:pPr>
        <w:pStyle w:val="Odsekzoznamu"/>
        <w:numPr>
          <w:ilvl w:val="0"/>
          <w:numId w:val="19"/>
        </w:numPr>
        <w:tabs>
          <w:tab w:val="left" w:pos="0"/>
          <w:tab w:val="left" w:pos="720"/>
          <w:tab w:val="left" w:pos="1440"/>
          <w:tab w:val="left" w:pos="2160"/>
          <w:tab w:val="left" w:pos="2880"/>
          <w:tab w:val="left" w:pos="3600"/>
          <w:tab w:val="left" w:pos="4320"/>
        </w:tabs>
        <w:adjustRightInd w:val="0"/>
        <w:jc w:val="both"/>
        <w:rPr>
          <w:rFonts w:ascii="Times New Roman" w:hAnsi="Times New Roman" w:cs="Times New Roman"/>
          <w:color w:val="000000"/>
        </w:rPr>
      </w:pPr>
      <w:r w:rsidRPr="00CE79D6">
        <w:rPr>
          <w:rFonts w:ascii="Times New Roman" w:hAnsi="Times New Roman" w:cs="Times New Roman"/>
          <w:color w:val="000000"/>
        </w:rPr>
        <w:t>v rámci nemocenského poistenia sú od roku 2022 zabezpečené</w:t>
      </w:r>
      <w:r w:rsidRPr="008D2AC1">
        <w:rPr>
          <w:rFonts w:ascii="Times New Roman" w:hAnsi="Times New Roman" w:cs="Times New Roman"/>
          <w:color w:val="000000"/>
        </w:rPr>
        <w:t xml:space="preserve"> zdroje na celoročné vyplácanie dávky tehotenské ako podpory budúcich matiek </w:t>
      </w:r>
      <w:r>
        <w:rPr>
          <w:rFonts w:ascii="Times New Roman" w:hAnsi="Times New Roman" w:cs="Times New Roman"/>
          <w:color w:val="000000"/>
        </w:rPr>
        <w:t>v sume 61,8 mil. eur.</w:t>
      </w:r>
    </w:p>
    <w:p w:rsidR="00AA17E3" w:rsidRPr="00883A7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883A70">
        <w:rPr>
          <w:rFonts w:ascii="Times New Roman" w:hAnsi="Times New Roman" w:cs="Times New Roman"/>
          <w:color w:val="000000"/>
          <w:sz w:val="24"/>
          <w:szCs w:val="24"/>
        </w:rPr>
        <w:t>Celkové výdavky</w:t>
      </w:r>
      <w:r w:rsidRPr="00DB5F7D">
        <w:rPr>
          <w:rFonts w:ascii="Times New Roman" w:hAnsi="Times New Roman" w:cs="Times New Roman"/>
          <w:color w:val="000000"/>
          <w:sz w:val="24"/>
          <w:szCs w:val="24"/>
        </w:rPr>
        <w:t xml:space="preserve"> oblasti sa na rok 2022 rozpočtujú v sume </w:t>
      </w:r>
      <w:r>
        <w:rPr>
          <w:rFonts w:ascii="Times New Roman" w:hAnsi="Times New Roman" w:cs="Times New Roman"/>
          <w:color w:val="000000"/>
          <w:sz w:val="24"/>
          <w:szCs w:val="24"/>
        </w:rPr>
        <w:t>13</w:t>
      </w:r>
      <w:r w:rsidRPr="009A3AAC">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9A3AAC">
        <w:rPr>
          <w:rFonts w:ascii="Times New Roman" w:hAnsi="Times New Roman" w:cs="Times New Roman"/>
          <w:color w:val="000000"/>
          <w:sz w:val="24"/>
          <w:szCs w:val="24"/>
        </w:rPr>
        <w:t xml:space="preserve"> mld. eur, </w:t>
      </w:r>
      <w:r w:rsidRPr="00DB5F7D">
        <w:rPr>
          <w:rFonts w:ascii="Times New Roman" w:hAnsi="Times New Roman" w:cs="Times New Roman"/>
          <w:color w:val="000000"/>
          <w:sz w:val="24"/>
          <w:szCs w:val="24"/>
        </w:rPr>
        <w:t>čo predstavuje</w:t>
      </w:r>
      <w:r w:rsidRPr="00784C44">
        <w:rPr>
          <w:rFonts w:ascii="Times New Roman" w:hAnsi="Times New Roman" w:cs="Times New Roman"/>
          <w:color w:val="000000"/>
          <w:sz w:val="24"/>
          <w:szCs w:val="24"/>
          <w:highlight w:val="yellow"/>
        </w:rPr>
        <w:t xml:space="preserve"> </w:t>
      </w:r>
      <w:r w:rsidRPr="00784C44">
        <w:rPr>
          <w:rFonts w:ascii="Times New Roman" w:hAnsi="Times New Roman" w:cs="Times New Roman"/>
          <w:color w:val="000000"/>
          <w:sz w:val="24"/>
          <w:szCs w:val="24"/>
          <w:highlight w:val="yellow"/>
        </w:rPr>
        <w:br/>
      </w:r>
      <w:r w:rsidRPr="00A001D0">
        <w:rPr>
          <w:rFonts w:ascii="Times New Roman" w:hAnsi="Times New Roman" w:cs="Times New Roman"/>
          <w:color w:val="000000"/>
          <w:sz w:val="24"/>
          <w:szCs w:val="24"/>
        </w:rPr>
        <w:t xml:space="preserve">12,7 % </w:t>
      </w:r>
      <w:r w:rsidRPr="00DB5F7D">
        <w:rPr>
          <w:rFonts w:ascii="Times New Roman" w:hAnsi="Times New Roman" w:cs="Times New Roman"/>
          <w:color w:val="000000"/>
          <w:sz w:val="24"/>
          <w:szCs w:val="24"/>
        </w:rPr>
        <w:t xml:space="preserve">HDP </w:t>
      </w:r>
      <w:r w:rsidRPr="009A485F">
        <w:rPr>
          <w:rFonts w:ascii="Times New Roman" w:hAnsi="Times New Roman" w:cs="Times New Roman"/>
          <w:color w:val="000000"/>
          <w:sz w:val="24"/>
          <w:szCs w:val="24"/>
        </w:rPr>
        <w:t>a </w:t>
      </w:r>
      <w:r w:rsidRPr="00647EBC">
        <w:rPr>
          <w:rFonts w:ascii="Times New Roman" w:hAnsi="Times New Roman" w:cs="Times New Roman"/>
          <w:color w:val="000000"/>
          <w:sz w:val="24"/>
          <w:szCs w:val="24"/>
        </w:rPr>
        <w:t>27,0 %</w:t>
      </w:r>
      <w:r w:rsidRPr="009A485F">
        <w:rPr>
          <w:rFonts w:ascii="Times New Roman" w:hAnsi="Times New Roman" w:cs="Times New Roman"/>
          <w:color w:val="000000"/>
          <w:sz w:val="24"/>
          <w:szCs w:val="24"/>
        </w:rPr>
        <w:t xml:space="preserve"> výdavkov</w:t>
      </w:r>
      <w:r w:rsidRPr="00DB5F7D">
        <w:rPr>
          <w:rFonts w:ascii="Times New Roman" w:hAnsi="Times New Roman" w:cs="Times New Roman"/>
          <w:color w:val="000000"/>
          <w:sz w:val="24"/>
          <w:szCs w:val="24"/>
        </w:rPr>
        <w:t xml:space="preserve"> rozpočtu verejnej správy.</w:t>
      </w:r>
    </w:p>
    <w:p w:rsidR="004A1F6B" w:rsidRDefault="004A1F6B"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4A1F6B" w:rsidRDefault="004A1F6B"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4A1F6B" w:rsidRPr="00DB5F7D" w:rsidRDefault="004A1F6B"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A001D0" w:rsidRDefault="00AA17E3" w:rsidP="00AA17E3">
      <w:pPr>
        <w:pStyle w:val="Popis"/>
        <w:keepNext/>
        <w:spacing w:after="0"/>
        <w:rPr>
          <w:rFonts w:ascii="Times New Roman" w:hAnsi="Times New Roman" w:cs="Times New Roman"/>
          <w:b/>
          <w:i w:val="0"/>
          <w:color w:val="5B9BD5" w:themeColor="accent1"/>
          <w:sz w:val="20"/>
          <w:szCs w:val="20"/>
        </w:rPr>
      </w:pPr>
      <w:bookmarkStart w:id="309" w:name="_Toc84528419"/>
      <w:bookmarkStart w:id="310" w:name="_Toc84845295"/>
      <w:r w:rsidRPr="00A001D0">
        <w:rPr>
          <w:rFonts w:ascii="Times New Roman" w:hAnsi="Times New Roman" w:cs="Times New Roman"/>
          <w:b/>
          <w:i w:val="0"/>
          <w:color w:val="5B9BD5" w:themeColor="accent1"/>
          <w:sz w:val="20"/>
          <w:szCs w:val="20"/>
        </w:rPr>
        <w:t xml:space="preserve">Tabuľka </w:t>
      </w:r>
      <w:r w:rsidRPr="00A001D0">
        <w:rPr>
          <w:rFonts w:ascii="Times New Roman" w:hAnsi="Times New Roman" w:cs="Times New Roman"/>
          <w:b/>
          <w:i w:val="0"/>
          <w:color w:val="5B9BD5" w:themeColor="accent1"/>
          <w:sz w:val="20"/>
          <w:szCs w:val="20"/>
        </w:rPr>
        <w:fldChar w:fldCharType="begin"/>
      </w:r>
      <w:r w:rsidRPr="00A001D0">
        <w:rPr>
          <w:rFonts w:ascii="Times New Roman" w:hAnsi="Times New Roman" w:cs="Times New Roman"/>
          <w:b/>
          <w:i w:val="0"/>
          <w:color w:val="5B9BD5" w:themeColor="accent1"/>
          <w:sz w:val="20"/>
          <w:szCs w:val="20"/>
        </w:rPr>
        <w:instrText xml:space="preserve"> SEQ Tabuľka \* ARABIC </w:instrText>
      </w:r>
      <w:r w:rsidRPr="00A001D0">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71</w:t>
      </w:r>
      <w:r w:rsidRPr="00A001D0">
        <w:rPr>
          <w:rFonts w:ascii="Times New Roman" w:hAnsi="Times New Roman" w:cs="Times New Roman"/>
          <w:b/>
          <w:i w:val="0"/>
          <w:color w:val="5B9BD5" w:themeColor="accent1"/>
          <w:sz w:val="20"/>
          <w:szCs w:val="20"/>
        </w:rPr>
        <w:fldChar w:fldCharType="end"/>
      </w:r>
      <w:r w:rsidRPr="00A001D0">
        <w:rPr>
          <w:rFonts w:ascii="Times New Roman" w:hAnsi="Times New Roman" w:cs="Times New Roman"/>
          <w:b/>
          <w:i w:val="0"/>
          <w:color w:val="5B9BD5" w:themeColor="accent1"/>
          <w:sz w:val="20"/>
          <w:szCs w:val="20"/>
        </w:rPr>
        <w:t xml:space="preserve"> - Celkové výdavky oblasti sociálne veci a podpora zamestnanosti</w:t>
      </w:r>
      <w:bookmarkEnd w:id="309"/>
      <w:bookmarkEnd w:id="310"/>
    </w:p>
    <w:tbl>
      <w:tblPr>
        <w:tblW w:w="5000" w:type="pct"/>
        <w:tblCellMar>
          <w:left w:w="70" w:type="dxa"/>
          <w:right w:w="70" w:type="dxa"/>
        </w:tblCellMar>
        <w:tblLook w:val="04A0" w:firstRow="1" w:lastRow="0" w:firstColumn="1" w:lastColumn="0" w:noHBand="0" w:noVBand="1"/>
      </w:tblPr>
      <w:tblGrid>
        <w:gridCol w:w="3052"/>
        <w:gridCol w:w="860"/>
        <w:gridCol w:w="860"/>
        <w:gridCol w:w="860"/>
        <w:gridCol w:w="860"/>
        <w:gridCol w:w="860"/>
        <w:gridCol w:w="860"/>
        <w:gridCol w:w="860"/>
      </w:tblGrid>
      <w:tr w:rsidR="00AA17E3" w:rsidRPr="00A001D0" w:rsidTr="00AA17E3">
        <w:trPr>
          <w:trHeight w:val="204"/>
        </w:trPr>
        <w:tc>
          <w:tcPr>
            <w:tcW w:w="1694"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v tis. eur</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2019 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2020 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2021 R</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2021 OS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2022 N</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2023 N</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jc w:val="center"/>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2024 N</w:t>
            </w:r>
          </w:p>
        </w:tc>
      </w:tr>
      <w:tr w:rsidR="00AA17E3" w:rsidRPr="00A001D0" w:rsidTr="00AA17E3">
        <w:trPr>
          <w:trHeight w:val="204"/>
        </w:trPr>
        <w:tc>
          <w:tcPr>
            <w:tcW w:w="1694" w:type="pct"/>
            <w:tcBorders>
              <w:top w:val="nil"/>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Výdavky oblasti spolu</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11 233 162</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13 601 459</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12 912 878</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14 963 451</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13 357 299</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14 043 006</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14 414 883</w:t>
            </w:r>
          </w:p>
        </w:tc>
      </w:tr>
      <w:tr w:rsidR="00AA17E3" w:rsidRPr="00A001D0" w:rsidTr="00AA17E3">
        <w:trPr>
          <w:trHeight w:val="204"/>
        </w:trPr>
        <w:tc>
          <w:tcPr>
            <w:tcW w:w="169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Sociálna poisťovňa</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8 579 154</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9 396 722</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9 629 481</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9 641 195</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9 903 262</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10 444 972</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10 994 877</w:t>
            </w:r>
          </w:p>
        </w:tc>
      </w:tr>
      <w:tr w:rsidR="00AA17E3" w:rsidRPr="00A001D0" w:rsidTr="00AA17E3">
        <w:trPr>
          <w:trHeight w:val="204"/>
        </w:trPr>
        <w:tc>
          <w:tcPr>
            <w:tcW w:w="169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MPSVR SR</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2 652 898</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4 203 569</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3 282 175</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5 321 033</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3 452 757</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3 596 755</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3 418 728</w:t>
            </w:r>
          </w:p>
        </w:tc>
      </w:tr>
      <w:tr w:rsidR="00AA17E3" w:rsidRPr="00A001D0" w:rsidTr="00AA17E3">
        <w:trPr>
          <w:trHeight w:val="204"/>
        </w:trPr>
        <w:tc>
          <w:tcPr>
            <w:tcW w:w="169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Úrad komisára pre deti</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589</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633</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638</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638</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641</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641</w:t>
            </w:r>
          </w:p>
        </w:tc>
        <w:tc>
          <w:tcPr>
            <w:tcW w:w="472"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641</w:t>
            </w:r>
          </w:p>
        </w:tc>
      </w:tr>
      <w:tr w:rsidR="00AA17E3" w:rsidRPr="00A001D0" w:rsidTr="00AA17E3">
        <w:trPr>
          <w:trHeight w:val="204"/>
        </w:trPr>
        <w:tc>
          <w:tcPr>
            <w:tcW w:w="1694" w:type="pct"/>
            <w:tcBorders>
              <w:top w:val="nil"/>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Úrad komisára pre osoby so zd. postihnutím</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522</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535</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585</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585</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638</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638</w:t>
            </w:r>
          </w:p>
        </w:tc>
        <w:tc>
          <w:tcPr>
            <w:tcW w:w="472"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A001D0">
              <w:rPr>
                <w:rFonts w:ascii="Times New Roman" w:eastAsia="Times New Roman" w:hAnsi="Times New Roman" w:cs="Times New Roman"/>
                <w:color w:val="000000"/>
                <w:sz w:val="16"/>
                <w:szCs w:val="16"/>
                <w:lang w:eastAsia="sk-SK"/>
              </w:rPr>
              <w:t>638</w:t>
            </w:r>
          </w:p>
        </w:tc>
      </w:tr>
    </w:tbl>
    <w:p w:rsidR="00AA17E3" w:rsidRPr="00A001D0" w:rsidRDefault="00AA17E3" w:rsidP="001E50EB">
      <w:pPr>
        <w:spacing w:after="0"/>
        <w:jc w:val="right"/>
        <w:rPr>
          <w:rFonts w:ascii="Times New Roman" w:hAnsi="Times New Roman" w:cs="Times New Roman"/>
          <w:i/>
          <w:sz w:val="16"/>
          <w:szCs w:val="16"/>
        </w:rPr>
      </w:pPr>
      <w:r w:rsidRPr="00A001D0">
        <w:rPr>
          <w:rFonts w:ascii="Times New Roman" w:hAnsi="Times New Roman" w:cs="Times New Roman"/>
          <w:i/>
          <w:sz w:val="16"/>
          <w:szCs w:val="16"/>
        </w:rPr>
        <w:t>Zdroj: MF SR</w:t>
      </w:r>
    </w:p>
    <w:p w:rsidR="001E50EB" w:rsidRDefault="001E50EB" w:rsidP="001E50EB">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784C44" w:rsidRDefault="00AA17E3" w:rsidP="001E50EB">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DB5F7D">
        <w:rPr>
          <w:rFonts w:ascii="Times New Roman" w:hAnsi="Times New Roman" w:cs="Times New Roman"/>
          <w:color w:val="000000"/>
          <w:sz w:val="24"/>
          <w:szCs w:val="24"/>
        </w:rPr>
        <w:t xml:space="preserve">Výdavky Sociálnej poisťovne sa v roku 2022 predpokladajú v celkovej </w:t>
      </w:r>
      <w:r w:rsidRPr="003A5AD0">
        <w:rPr>
          <w:rFonts w:ascii="Times New Roman" w:hAnsi="Times New Roman" w:cs="Times New Roman"/>
          <w:color w:val="000000"/>
          <w:sz w:val="24"/>
          <w:szCs w:val="24"/>
        </w:rPr>
        <w:t>výške 9,9</w:t>
      </w:r>
      <w:r>
        <w:rPr>
          <w:rFonts w:ascii="Times New Roman" w:hAnsi="Times New Roman" w:cs="Times New Roman"/>
          <w:color w:val="000000"/>
          <w:sz w:val="24"/>
          <w:szCs w:val="24"/>
        </w:rPr>
        <w:t>0</w:t>
      </w:r>
      <w:r w:rsidRPr="003A5AD0">
        <w:rPr>
          <w:rFonts w:ascii="Times New Roman" w:hAnsi="Times New Roman" w:cs="Times New Roman"/>
          <w:color w:val="000000"/>
          <w:sz w:val="24"/>
          <w:szCs w:val="24"/>
        </w:rPr>
        <w:t xml:space="preserve"> mld. eur, </w:t>
      </w:r>
      <w:r w:rsidRPr="00DB5F7D">
        <w:rPr>
          <w:rFonts w:ascii="Times New Roman" w:hAnsi="Times New Roman" w:cs="Times New Roman"/>
          <w:color w:val="000000"/>
          <w:sz w:val="24"/>
          <w:szCs w:val="24"/>
        </w:rPr>
        <w:t xml:space="preserve">čo predstavuje v porovnaní </w:t>
      </w:r>
      <w:r w:rsidR="00AF751E">
        <w:rPr>
          <w:rFonts w:ascii="Times New Roman" w:hAnsi="Times New Roman" w:cs="Times New Roman"/>
          <w:color w:val="000000"/>
          <w:sz w:val="24"/>
          <w:szCs w:val="24"/>
        </w:rPr>
        <w:t xml:space="preserve">so schváleným rozpočtom na rok </w:t>
      </w:r>
      <w:r w:rsidRPr="00DB5F7D">
        <w:rPr>
          <w:rFonts w:ascii="Times New Roman" w:hAnsi="Times New Roman" w:cs="Times New Roman"/>
          <w:color w:val="000000"/>
          <w:sz w:val="24"/>
          <w:szCs w:val="24"/>
        </w:rPr>
        <w:t>202</w:t>
      </w:r>
      <w:r>
        <w:rPr>
          <w:rFonts w:ascii="Times New Roman" w:hAnsi="Times New Roman" w:cs="Times New Roman"/>
          <w:color w:val="000000"/>
          <w:sz w:val="24"/>
          <w:szCs w:val="24"/>
        </w:rPr>
        <w:t>1</w:t>
      </w:r>
      <w:r w:rsidRPr="00DB5F7D">
        <w:rPr>
          <w:rFonts w:ascii="Times New Roman" w:hAnsi="Times New Roman" w:cs="Times New Roman"/>
          <w:color w:val="000000"/>
          <w:sz w:val="24"/>
          <w:szCs w:val="24"/>
        </w:rPr>
        <w:t xml:space="preserve"> zvýšenie o </w:t>
      </w:r>
      <w:r>
        <w:rPr>
          <w:rFonts w:ascii="Times New Roman" w:hAnsi="Times New Roman" w:cs="Times New Roman"/>
          <w:color w:val="000000"/>
          <w:sz w:val="24"/>
          <w:szCs w:val="24"/>
        </w:rPr>
        <w:t>274</w:t>
      </w:r>
      <w:r w:rsidRPr="003A5AD0">
        <w:rPr>
          <w:rFonts w:ascii="Times New Roman" w:hAnsi="Times New Roman" w:cs="Times New Roman"/>
          <w:color w:val="000000"/>
          <w:sz w:val="24"/>
          <w:szCs w:val="24"/>
        </w:rPr>
        <w:t xml:space="preserve"> mil. eur, </w:t>
      </w:r>
      <w:r w:rsidRPr="00DB5F7D">
        <w:rPr>
          <w:rFonts w:ascii="Times New Roman" w:hAnsi="Times New Roman" w:cs="Times New Roman"/>
          <w:color w:val="000000"/>
          <w:sz w:val="24"/>
          <w:szCs w:val="24"/>
        </w:rPr>
        <w:t>t. j. nárast o </w:t>
      </w:r>
      <w:r>
        <w:rPr>
          <w:rFonts w:ascii="Times New Roman" w:hAnsi="Times New Roman" w:cs="Times New Roman"/>
          <w:color w:val="000000"/>
          <w:sz w:val="24"/>
          <w:szCs w:val="24"/>
        </w:rPr>
        <w:t>2</w:t>
      </w:r>
      <w:r w:rsidRPr="003A5AD0">
        <w:rPr>
          <w:rFonts w:ascii="Times New Roman" w:hAnsi="Times New Roman" w:cs="Times New Roman"/>
          <w:color w:val="000000"/>
          <w:sz w:val="24"/>
          <w:szCs w:val="24"/>
        </w:rPr>
        <w:t>,</w:t>
      </w:r>
      <w:r>
        <w:rPr>
          <w:rFonts w:ascii="Times New Roman" w:hAnsi="Times New Roman" w:cs="Times New Roman"/>
          <w:color w:val="000000"/>
          <w:sz w:val="24"/>
          <w:szCs w:val="24"/>
        </w:rPr>
        <w:t>84</w:t>
      </w:r>
      <w:r w:rsidRPr="003A5AD0">
        <w:rPr>
          <w:rFonts w:ascii="Times New Roman" w:hAnsi="Times New Roman" w:cs="Times New Roman"/>
          <w:color w:val="000000"/>
          <w:sz w:val="24"/>
          <w:szCs w:val="24"/>
        </w:rPr>
        <w:t xml:space="preserve"> %. </w:t>
      </w:r>
      <w:r w:rsidRPr="00DB5F7D">
        <w:rPr>
          <w:rFonts w:ascii="Times New Roman" w:hAnsi="Times New Roman" w:cs="Times New Roman"/>
          <w:color w:val="000000"/>
          <w:sz w:val="24"/>
          <w:szCs w:val="24"/>
        </w:rPr>
        <w:t>Najvýznamnejšiu položku výdavkov predstavujú výdavky na dôchodkové dávky, ktoré sa na rok 202</w:t>
      </w:r>
      <w:r>
        <w:rPr>
          <w:rFonts w:ascii="Times New Roman" w:hAnsi="Times New Roman" w:cs="Times New Roman"/>
          <w:color w:val="000000"/>
          <w:sz w:val="24"/>
          <w:szCs w:val="24"/>
        </w:rPr>
        <w:t>2</w:t>
      </w:r>
      <w:r w:rsidRPr="00DB5F7D">
        <w:rPr>
          <w:rFonts w:ascii="Times New Roman" w:hAnsi="Times New Roman" w:cs="Times New Roman"/>
          <w:color w:val="000000"/>
          <w:sz w:val="24"/>
          <w:szCs w:val="24"/>
        </w:rPr>
        <w:t xml:space="preserve"> rozpočtujú v sume 8,24 mld. eur.</w:t>
      </w:r>
    </w:p>
    <w:p w:rsidR="00AA17E3" w:rsidRPr="00784C44" w:rsidRDefault="00AA17E3" w:rsidP="00AA17E3">
      <w:pPr>
        <w:autoSpaceDE w:val="0"/>
        <w:autoSpaceDN w:val="0"/>
        <w:adjustRightInd w:val="0"/>
        <w:spacing w:after="0" w:line="240" w:lineRule="auto"/>
        <w:jc w:val="both"/>
        <w:rPr>
          <w:rFonts w:ascii="Times New Roman" w:hAnsi="Times New Roman" w:cs="Times New Roman"/>
          <w:sz w:val="24"/>
          <w:szCs w:val="24"/>
          <w:highlight w:val="yellow"/>
        </w:rPr>
      </w:pPr>
    </w:p>
    <w:p w:rsidR="00AA17E3" w:rsidRPr="00DB5F7D" w:rsidRDefault="00AA17E3" w:rsidP="00AA17E3">
      <w:pPr>
        <w:autoSpaceDE w:val="0"/>
        <w:autoSpaceDN w:val="0"/>
        <w:adjustRightInd w:val="0"/>
        <w:spacing w:after="0" w:line="240" w:lineRule="auto"/>
        <w:jc w:val="both"/>
        <w:rPr>
          <w:rFonts w:ascii="Times New Roman" w:hAnsi="Times New Roman" w:cs="Times New Roman"/>
          <w:color w:val="000000"/>
          <w:sz w:val="24"/>
          <w:szCs w:val="24"/>
        </w:rPr>
      </w:pPr>
      <w:r w:rsidRPr="00DB5F7D">
        <w:rPr>
          <w:rFonts w:ascii="Times New Roman" w:hAnsi="Times New Roman" w:cs="Times New Roman"/>
          <w:sz w:val="24"/>
          <w:szCs w:val="24"/>
        </w:rPr>
        <w:t xml:space="preserve">V roku 2022 dosiahnu výdavky kapitoly </w:t>
      </w:r>
      <w:r>
        <w:rPr>
          <w:rFonts w:ascii="Times New Roman" w:hAnsi="Times New Roman" w:cs="Times New Roman"/>
          <w:sz w:val="24"/>
          <w:szCs w:val="24"/>
        </w:rPr>
        <w:t xml:space="preserve">Ministerstva práce, sociálnych vecí a rodiny </w:t>
      </w:r>
      <w:r w:rsidRPr="001F31CB">
        <w:rPr>
          <w:rFonts w:ascii="Times New Roman" w:hAnsi="Times New Roman" w:cs="Times New Roman"/>
          <w:sz w:val="24"/>
          <w:szCs w:val="24"/>
        </w:rPr>
        <w:t xml:space="preserve">SR </w:t>
      </w:r>
      <w:r w:rsidR="00165392">
        <w:rPr>
          <w:rFonts w:ascii="Times New Roman" w:hAnsi="Times New Roman" w:cs="Times New Roman"/>
          <w:sz w:val="24"/>
          <w:szCs w:val="24"/>
        </w:rPr>
        <w:br/>
      </w:r>
      <w:r w:rsidRPr="001F31CB">
        <w:rPr>
          <w:rFonts w:ascii="Times New Roman" w:hAnsi="Times New Roman" w:cs="Times New Roman"/>
          <w:sz w:val="24"/>
          <w:szCs w:val="24"/>
        </w:rPr>
        <w:t xml:space="preserve">3,45 mld. eur, </w:t>
      </w:r>
      <w:r w:rsidRPr="00DB5F7D">
        <w:rPr>
          <w:rFonts w:ascii="Times New Roman" w:hAnsi="Times New Roman" w:cs="Times New Roman"/>
          <w:sz w:val="24"/>
          <w:szCs w:val="24"/>
        </w:rPr>
        <w:t xml:space="preserve">čo predstavuje medziročný nárast </w:t>
      </w:r>
      <w:r w:rsidRPr="001F31CB">
        <w:rPr>
          <w:rFonts w:ascii="Times New Roman" w:hAnsi="Times New Roman" w:cs="Times New Roman"/>
          <w:sz w:val="24"/>
          <w:szCs w:val="24"/>
        </w:rPr>
        <w:t xml:space="preserve">o 5,20 %. </w:t>
      </w:r>
      <w:r w:rsidRPr="00DB5F7D">
        <w:rPr>
          <w:rFonts w:ascii="Times New Roman" w:hAnsi="Times New Roman" w:cs="Times New Roman"/>
          <w:sz w:val="24"/>
          <w:szCs w:val="24"/>
        </w:rPr>
        <w:t>Tri výdavkovo najväčšie programy sa zameriavajú na sociálnu inklúziu (hlavne podpora rodiny, pomoc v hmotnej núdzi, kompenzácia ŤZP a dôchodky hradené štátom – 13. dôchodok a minimálny dôchodok), aktívne opatrenia trhu práce a tvorbu a implementáciu politík.</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9E7FA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5B9BD5" w:themeColor="accent1"/>
          <w:sz w:val="24"/>
          <w:szCs w:val="24"/>
        </w:rPr>
      </w:pPr>
      <w:r w:rsidRPr="009E7FA3">
        <w:rPr>
          <w:rFonts w:ascii="Times New Roman" w:hAnsi="Times New Roman" w:cs="Times New Roman"/>
          <w:b/>
          <w:color w:val="5B9BD5" w:themeColor="accent1"/>
          <w:sz w:val="24"/>
          <w:szCs w:val="24"/>
        </w:rPr>
        <w:t>Sociálna inklúzia</w:t>
      </w:r>
    </w:p>
    <w:p w:rsidR="00AA17E3" w:rsidRPr="009E7FA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9E7FA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9E7FA3">
        <w:rPr>
          <w:rFonts w:ascii="Times New Roman" w:hAnsi="Times New Roman" w:cs="Times New Roman"/>
          <w:color w:val="000000"/>
          <w:sz w:val="24"/>
          <w:szCs w:val="24"/>
        </w:rPr>
        <w:t>Zámerom programu Sociálna inklúzia je udržateľné zníženie chudoby a odstránenie sociálneho vylúčenia. Výdavky na program zo zdrojov štátneho rozpočtu sa na rok 202</w:t>
      </w:r>
      <w:r>
        <w:rPr>
          <w:rFonts w:ascii="Times New Roman" w:hAnsi="Times New Roman" w:cs="Times New Roman"/>
          <w:color w:val="000000"/>
          <w:sz w:val="24"/>
          <w:szCs w:val="24"/>
        </w:rPr>
        <w:t>2</w:t>
      </w:r>
      <w:r w:rsidRPr="009E7FA3">
        <w:rPr>
          <w:rFonts w:ascii="Times New Roman" w:hAnsi="Times New Roman" w:cs="Times New Roman"/>
          <w:color w:val="000000"/>
          <w:sz w:val="24"/>
          <w:szCs w:val="24"/>
        </w:rPr>
        <w:t xml:space="preserve"> rozpočtujú v sume </w:t>
      </w:r>
      <w:r w:rsidRPr="001F31CB">
        <w:rPr>
          <w:rFonts w:ascii="Times New Roman" w:hAnsi="Times New Roman" w:cs="Times New Roman"/>
          <w:color w:val="000000"/>
          <w:sz w:val="24"/>
          <w:szCs w:val="24"/>
        </w:rPr>
        <w:t xml:space="preserve">2,93 mld. eur. </w:t>
      </w:r>
      <w:r w:rsidRPr="009E7FA3">
        <w:rPr>
          <w:rFonts w:ascii="Times New Roman" w:hAnsi="Times New Roman" w:cs="Times New Roman"/>
          <w:color w:val="000000"/>
          <w:sz w:val="24"/>
          <w:szCs w:val="24"/>
        </w:rPr>
        <w:t>Rozpočtovaný objem výdavkov zohľadňuje predpokladané počty poberateľov jednotlivých dávok a príspevkov sociálnej inklúzie, ich výšku a povinnú valorizáciu vybraných</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9E7FA3">
        <w:rPr>
          <w:rFonts w:ascii="Times New Roman" w:hAnsi="Times New Roman" w:cs="Times New Roman"/>
          <w:color w:val="000000"/>
          <w:sz w:val="24"/>
          <w:szCs w:val="24"/>
        </w:rPr>
        <w:t>dávok.</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9E7FA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D30ED9">
        <w:rPr>
          <w:rFonts w:ascii="Times New Roman" w:hAnsi="Times New Roman" w:cs="Times New Roman"/>
          <w:color w:val="000000"/>
          <w:sz w:val="24"/>
          <w:szCs w:val="24"/>
        </w:rPr>
        <w:t>V očakávanej skutočnosti na rok 2021 sú zahrnuté výdavky súvisiace s koronavírusom; ide najmä o jednorazové zvýšenie prídavkov na dieťa za mesiac september a pomoc rodinám v hmotnej núdzi v sume 333 eur na každé nezaopatrené dieťa spolu v sume 74,6 mil. eur, predĺžený rodičovský príspevok počas mimoriadnej situácie v sume 55,7 mil. eur, SOS dotácie v sume 74,4 mil. eur a dotácie zariadeniam sociálnych služieb na opatrenia na preve</w:t>
      </w:r>
      <w:r w:rsidR="00B63946">
        <w:rPr>
          <w:rFonts w:ascii="Times New Roman" w:hAnsi="Times New Roman" w:cs="Times New Roman"/>
          <w:color w:val="000000"/>
          <w:sz w:val="24"/>
          <w:szCs w:val="24"/>
        </w:rPr>
        <w:t>nciu šírenia ochorenia COVID</w:t>
      </w:r>
      <w:r w:rsidRPr="00D30ED9">
        <w:rPr>
          <w:rFonts w:ascii="Times New Roman" w:hAnsi="Times New Roman" w:cs="Times New Roman"/>
          <w:color w:val="000000"/>
          <w:sz w:val="24"/>
          <w:szCs w:val="24"/>
        </w:rPr>
        <w:t>-19 v sume 9,4 mil. eur.</w:t>
      </w:r>
    </w:p>
    <w:p w:rsidR="00AA17E3" w:rsidRPr="00B16591"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5B9BD5" w:themeColor="accent1"/>
          <w:sz w:val="24"/>
          <w:szCs w:val="24"/>
        </w:rPr>
      </w:pPr>
    </w:p>
    <w:p w:rsidR="00AA17E3" w:rsidRPr="00B16591" w:rsidRDefault="00AA17E3" w:rsidP="00AA17E3">
      <w:pPr>
        <w:pStyle w:val="Popis"/>
        <w:keepNext/>
        <w:spacing w:after="0"/>
        <w:rPr>
          <w:rFonts w:ascii="Times New Roman" w:hAnsi="Times New Roman" w:cs="Times New Roman"/>
          <w:b/>
          <w:i w:val="0"/>
          <w:color w:val="5B9BD5" w:themeColor="accent1"/>
          <w:sz w:val="20"/>
        </w:rPr>
      </w:pPr>
      <w:bookmarkStart w:id="311" w:name="_Toc53054804"/>
      <w:bookmarkStart w:id="312" w:name="_Toc53077996"/>
      <w:bookmarkStart w:id="313" w:name="_Toc53086398"/>
      <w:bookmarkStart w:id="314" w:name="_Toc84528420"/>
      <w:bookmarkStart w:id="315" w:name="_Toc84845296"/>
      <w:r w:rsidRPr="00B16591">
        <w:rPr>
          <w:rFonts w:ascii="Times New Roman" w:hAnsi="Times New Roman" w:cs="Times New Roman"/>
          <w:b/>
          <w:i w:val="0"/>
          <w:color w:val="5B9BD5" w:themeColor="accent1"/>
          <w:sz w:val="20"/>
        </w:rPr>
        <w:t xml:space="preserve">Tabuľka </w:t>
      </w:r>
      <w:r w:rsidRPr="00B16591">
        <w:rPr>
          <w:rFonts w:ascii="Times New Roman" w:hAnsi="Times New Roman" w:cs="Times New Roman"/>
          <w:b/>
          <w:i w:val="0"/>
          <w:color w:val="5B9BD5" w:themeColor="accent1"/>
          <w:sz w:val="20"/>
        </w:rPr>
        <w:fldChar w:fldCharType="begin"/>
      </w:r>
      <w:r w:rsidRPr="00B16591">
        <w:rPr>
          <w:rFonts w:ascii="Times New Roman" w:hAnsi="Times New Roman" w:cs="Times New Roman"/>
          <w:b/>
          <w:i w:val="0"/>
          <w:color w:val="5B9BD5" w:themeColor="accent1"/>
          <w:sz w:val="20"/>
        </w:rPr>
        <w:instrText xml:space="preserve"> SEQ Tabuľka \* ARABIC </w:instrText>
      </w:r>
      <w:r w:rsidRPr="00B16591">
        <w:rPr>
          <w:rFonts w:ascii="Times New Roman" w:hAnsi="Times New Roman" w:cs="Times New Roman"/>
          <w:b/>
          <w:i w:val="0"/>
          <w:color w:val="5B9BD5" w:themeColor="accent1"/>
          <w:sz w:val="20"/>
        </w:rPr>
        <w:fldChar w:fldCharType="separate"/>
      </w:r>
      <w:r w:rsidR="006E67C6">
        <w:rPr>
          <w:rFonts w:ascii="Times New Roman" w:hAnsi="Times New Roman" w:cs="Times New Roman"/>
          <w:b/>
          <w:i w:val="0"/>
          <w:noProof/>
          <w:color w:val="5B9BD5" w:themeColor="accent1"/>
          <w:sz w:val="20"/>
        </w:rPr>
        <w:t>72</w:t>
      </w:r>
      <w:r w:rsidRPr="00B16591">
        <w:rPr>
          <w:rFonts w:ascii="Times New Roman" w:hAnsi="Times New Roman" w:cs="Times New Roman"/>
          <w:b/>
          <w:i w:val="0"/>
          <w:color w:val="5B9BD5" w:themeColor="accent1"/>
          <w:sz w:val="20"/>
        </w:rPr>
        <w:fldChar w:fldCharType="end"/>
      </w:r>
      <w:r w:rsidRPr="00B16591">
        <w:rPr>
          <w:rFonts w:ascii="Times New Roman" w:hAnsi="Times New Roman" w:cs="Times New Roman"/>
          <w:b/>
          <w:i w:val="0"/>
          <w:color w:val="5B9BD5" w:themeColor="accent1"/>
          <w:sz w:val="20"/>
        </w:rPr>
        <w:t xml:space="preserve"> - Výdavky programu 07C Sociálna inklúzia zo štátneho rozpočtu</w:t>
      </w:r>
      <w:bookmarkEnd w:id="311"/>
      <w:bookmarkEnd w:id="312"/>
      <w:bookmarkEnd w:id="313"/>
      <w:bookmarkEnd w:id="314"/>
      <w:bookmarkEnd w:id="315"/>
    </w:p>
    <w:tbl>
      <w:tblPr>
        <w:tblW w:w="5000" w:type="pct"/>
        <w:tblCellMar>
          <w:left w:w="70" w:type="dxa"/>
          <w:right w:w="70" w:type="dxa"/>
        </w:tblCellMar>
        <w:tblLook w:val="04A0" w:firstRow="1" w:lastRow="0" w:firstColumn="1" w:lastColumn="0" w:noHBand="0" w:noVBand="1"/>
      </w:tblPr>
      <w:tblGrid>
        <w:gridCol w:w="2837"/>
        <w:gridCol w:w="891"/>
        <w:gridCol w:w="891"/>
        <w:gridCol w:w="891"/>
        <w:gridCol w:w="891"/>
        <w:gridCol w:w="891"/>
        <w:gridCol w:w="891"/>
        <w:gridCol w:w="889"/>
      </w:tblGrid>
      <w:tr w:rsidR="00AA17E3" w:rsidRPr="00A001D0" w:rsidTr="00AA17E3">
        <w:trPr>
          <w:trHeight w:val="204"/>
        </w:trPr>
        <w:tc>
          <w:tcPr>
            <w:tcW w:w="1564"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v tis. eur</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2019 S</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2020 S</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2021 R</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2021 OS</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2022 N</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2023 N</w:t>
            </w:r>
          </w:p>
        </w:tc>
        <w:tc>
          <w:tcPr>
            <w:tcW w:w="491" w:type="pct"/>
            <w:tcBorders>
              <w:top w:val="single" w:sz="4" w:space="0" w:color="auto"/>
              <w:left w:val="nil"/>
              <w:bottom w:val="single" w:sz="4" w:space="0" w:color="auto"/>
              <w:right w:val="nil"/>
            </w:tcBorders>
            <w:shd w:val="clear" w:color="auto" w:fill="auto"/>
            <w:noWrap/>
            <w:vAlign w:val="center"/>
            <w:hideMark/>
          </w:tcPr>
          <w:p w:rsidR="00AA17E3" w:rsidRPr="00A001D0" w:rsidRDefault="00AA17E3" w:rsidP="00804037">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2024 N</w:t>
            </w:r>
          </w:p>
        </w:tc>
      </w:tr>
      <w:tr w:rsidR="00AA17E3" w:rsidRPr="00A001D0" w:rsidTr="00AA17E3">
        <w:trPr>
          <w:trHeight w:val="204"/>
        </w:trPr>
        <w:tc>
          <w:tcPr>
            <w:tcW w:w="1564" w:type="pct"/>
            <w:tcBorders>
              <w:top w:val="nil"/>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Sociálna inklúzia zdroj ŠR</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2 126 059</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2 768 013</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2 788 233</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3 123 804</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2 925 551</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3 004 873</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b/>
                <w:bCs/>
                <w:sz w:val="16"/>
                <w:szCs w:val="16"/>
                <w:lang w:eastAsia="sk-SK"/>
              </w:rPr>
            </w:pPr>
            <w:r w:rsidRPr="00A001D0">
              <w:rPr>
                <w:rFonts w:ascii="Times New Roman" w:eastAsia="Times New Roman" w:hAnsi="Times New Roman" w:cs="Times New Roman"/>
                <w:b/>
                <w:bCs/>
                <w:sz w:val="16"/>
                <w:szCs w:val="16"/>
                <w:lang w:eastAsia="sk-SK"/>
              </w:rPr>
              <w:t>3 101 732</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pomoc v hmotnej núdzi</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123 542</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121 728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162 691</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133 305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149 827</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155 650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161 334</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podpora rodiny</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812 503</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1 047 535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990 332</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1 180 335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1 023 374</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1 042 950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1 079 669</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poistné platené štátom</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280 960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320 261</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361 785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434 750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381 348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402 001</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424 298</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kompenzácia sociálnych dôsledkov ŤZP</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395 882</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453 505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482 205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481 839</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528 945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548 303</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570 346</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podpora sociálnych služieb</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132 908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152 572</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176 598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176 598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190 904</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190 904</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190 904</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13. dôchodok*</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154 319</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305 509</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310 000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310 000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310 000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310 000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310 000</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nesystémové dávky sociálneho poistenia</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93 818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174 981</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155 138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170 288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185 251</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195 712</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204 017</w:t>
            </w:r>
          </w:p>
        </w:tc>
      </w:tr>
      <w:tr w:rsidR="00AA17E3" w:rsidRPr="00A001D0" w:rsidTr="00AA17E3">
        <w:trPr>
          <w:trHeight w:val="204"/>
        </w:trPr>
        <w:tc>
          <w:tcPr>
            <w:tcW w:w="1564" w:type="pct"/>
            <w:tcBorders>
              <w:top w:val="nil"/>
              <w:left w:val="nil"/>
              <w:bottom w:val="nil"/>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iniciatívy v oblasti sociálnej inklúzie</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2 928</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42 295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5 550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93 055</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4 950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6 550</w:t>
            </w:r>
          </w:p>
        </w:tc>
        <w:tc>
          <w:tcPr>
            <w:tcW w:w="491" w:type="pct"/>
            <w:tcBorders>
              <w:top w:val="nil"/>
              <w:left w:val="nil"/>
              <w:bottom w:val="nil"/>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6 750</w:t>
            </w:r>
          </w:p>
        </w:tc>
      </w:tr>
      <w:tr w:rsidR="00AA17E3" w:rsidRPr="00A001D0" w:rsidTr="00AA17E3">
        <w:trPr>
          <w:trHeight w:val="204"/>
        </w:trPr>
        <w:tc>
          <w:tcPr>
            <w:tcW w:w="1564" w:type="pct"/>
            <w:tcBorders>
              <w:top w:val="nil"/>
              <w:left w:val="nil"/>
              <w:bottom w:val="single" w:sz="4" w:space="0" w:color="auto"/>
              <w:right w:val="nil"/>
            </w:tcBorders>
            <w:shd w:val="clear" w:color="auto" w:fill="auto"/>
            <w:noWrap/>
            <w:vAlign w:val="center"/>
            <w:hideMark/>
          </w:tcPr>
          <w:p w:rsidR="00AA17E3" w:rsidRPr="00A001D0" w:rsidRDefault="00AA17E3" w:rsidP="00AA17E3">
            <w:pPr>
              <w:spacing w:after="0" w:line="240" w:lineRule="auto"/>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starostlivosť o ohrozené deti</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129 201</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149 628</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143 935</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143 634</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150 954</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152 804</w:t>
            </w:r>
          </w:p>
        </w:tc>
        <w:tc>
          <w:tcPr>
            <w:tcW w:w="491" w:type="pct"/>
            <w:tcBorders>
              <w:top w:val="nil"/>
              <w:left w:val="nil"/>
              <w:bottom w:val="single" w:sz="4" w:space="0" w:color="auto"/>
              <w:right w:val="nil"/>
            </w:tcBorders>
            <w:shd w:val="clear" w:color="auto" w:fill="auto"/>
            <w:noWrap/>
            <w:vAlign w:val="bottom"/>
            <w:hideMark/>
          </w:tcPr>
          <w:p w:rsidR="00AA17E3" w:rsidRPr="00A001D0" w:rsidRDefault="00AA17E3" w:rsidP="00AA17E3">
            <w:pPr>
              <w:spacing w:after="0" w:line="240" w:lineRule="auto"/>
              <w:jc w:val="right"/>
              <w:rPr>
                <w:rFonts w:ascii="Times New Roman" w:eastAsia="Times New Roman" w:hAnsi="Times New Roman" w:cs="Times New Roman"/>
                <w:sz w:val="16"/>
                <w:szCs w:val="16"/>
                <w:lang w:eastAsia="sk-SK"/>
              </w:rPr>
            </w:pPr>
            <w:r w:rsidRPr="00A001D0">
              <w:rPr>
                <w:rFonts w:ascii="Times New Roman" w:eastAsia="Times New Roman" w:hAnsi="Times New Roman" w:cs="Times New Roman"/>
                <w:sz w:val="16"/>
                <w:szCs w:val="16"/>
                <w:lang w:eastAsia="sk-SK"/>
              </w:rPr>
              <w:t>154 414</w:t>
            </w:r>
          </w:p>
        </w:tc>
      </w:tr>
    </w:tbl>
    <w:p w:rsidR="00AA17E3" w:rsidRPr="00A001D0" w:rsidRDefault="00AA17E3" w:rsidP="00AA17E3">
      <w:pPr>
        <w:spacing w:after="0"/>
        <w:rPr>
          <w:rFonts w:ascii="Times New Roman" w:hAnsi="Times New Roman" w:cs="Times New Roman"/>
          <w:i/>
          <w:sz w:val="16"/>
          <w:szCs w:val="16"/>
        </w:rPr>
      </w:pPr>
      <w:r w:rsidRPr="00A001D0">
        <w:rPr>
          <w:rFonts w:ascii="Times New Roman" w:hAnsi="Times New Roman" w:cs="Times New Roman"/>
          <w:i/>
          <w:sz w:val="16"/>
          <w:szCs w:val="16"/>
        </w:rPr>
        <w:t>*do roku 2020 vianočný príspevok</w:t>
      </w:r>
      <w:r w:rsidRPr="00A001D0">
        <w:rPr>
          <w:rFonts w:ascii="Times New Roman" w:hAnsi="Times New Roman" w:cs="Times New Roman"/>
          <w:i/>
          <w:sz w:val="16"/>
          <w:szCs w:val="16"/>
        </w:rPr>
        <w:tab/>
      </w:r>
      <w:r w:rsidRPr="00A001D0">
        <w:rPr>
          <w:rFonts w:ascii="Times New Roman" w:hAnsi="Times New Roman" w:cs="Times New Roman"/>
          <w:i/>
          <w:sz w:val="16"/>
          <w:szCs w:val="16"/>
        </w:rPr>
        <w:tab/>
      </w:r>
      <w:r w:rsidRPr="00A001D0">
        <w:rPr>
          <w:rFonts w:ascii="Times New Roman" w:hAnsi="Times New Roman" w:cs="Times New Roman"/>
          <w:i/>
          <w:sz w:val="16"/>
          <w:szCs w:val="16"/>
        </w:rPr>
        <w:tab/>
      </w:r>
      <w:r w:rsidRPr="00A001D0">
        <w:rPr>
          <w:rFonts w:ascii="Times New Roman" w:hAnsi="Times New Roman" w:cs="Times New Roman"/>
          <w:i/>
          <w:sz w:val="16"/>
          <w:szCs w:val="16"/>
        </w:rPr>
        <w:tab/>
      </w:r>
      <w:r w:rsidRPr="00A001D0">
        <w:rPr>
          <w:rFonts w:ascii="Times New Roman" w:hAnsi="Times New Roman" w:cs="Times New Roman"/>
          <w:i/>
          <w:sz w:val="16"/>
          <w:szCs w:val="16"/>
        </w:rPr>
        <w:tab/>
      </w:r>
      <w:r w:rsidRPr="00A001D0">
        <w:rPr>
          <w:rFonts w:ascii="Times New Roman" w:hAnsi="Times New Roman" w:cs="Times New Roman"/>
          <w:i/>
          <w:sz w:val="16"/>
          <w:szCs w:val="16"/>
        </w:rPr>
        <w:tab/>
      </w:r>
      <w:r w:rsidRPr="00A001D0">
        <w:rPr>
          <w:rFonts w:ascii="Times New Roman" w:hAnsi="Times New Roman" w:cs="Times New Roman"/>
          <w:i/>
          <w:sz w:val="16"/>
          <w:szCs w:val="16"/>
        </w:rPr>
        <w:tab/>
      </w:r>
      <w:r>
        <w:rPr>
          <w:rFonts w:ascii="Times New Roman" w:hAnsi="Times New Roman" w:cs="Times New Roman"/>
          <w:i/>
          <w:sz w:val="16"/>
          <w:szCs w:val="16"/>
        </w:rPr>
        <w:tab/>
        <w:t xml:space="preserve">        </w:t>
      </w:r>
      <w:r w:rsidRPr="00A001D0">
        <w:rPr>
          <w:rFonts w:ascii="Times New Roman" w:hAnsi="Times New Roman" w:cs="Times New Roman"/>
          <w:i/>
          <w:sz w:val="16"/>
          <w:szCs w:val="16"/>
        </w:rPr>
        <w:t>Zdroj: MF SR</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9E7FA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9E7FA3">
        <w:rPr>
          <w:rFonts w:ascii="Times New Roman" w:hAnsi="Times New Roman" w:cs="Times New Roman"/>
          <w:color w:val="000000"/>
          <w:sz w:val="24"/>
          <w:szCs w:val="24"/>
        </w:rPr>
        <w:t xml:space="preserve">V roku 2022 sa rozpočtuje </w:t>
      </w:r>
      <w:r w:rsidRPr="009E7FA3">
        <w:rPr>
          <w:rFonts w:ascii="Times New Roman" w:hAnsi="Times New Roman" w:cs="Times New Roman"/>
          <w:bCs/>
          <w:color w:val="000000"/>
          <w:sz w:val="24"/>
          <w:szCs w:val="24"/>
        </w:rPr>
        <w:t>na pomoc</w:t>
      </w:r>
      <w:r w:rsidRPr="009E7FA3">
        <w:rPr>
          <w:rFonts w:ascii="Times New Roman" w:hAnsi="Times New Roman" w:cs="Times New Roman"/>
          <w:color w:val="000000"/>
          <w:sz w:val="24"/>
          <w:szCs w:val="24"/>
        </w:rPr>
        <w:t xml:space="preserve"> </w:t>
      </w:r>
      <w:r w:rsidRPr="009E7FA3">
        <w:rPr>
          <w:rFonts w:ascii="Times New Roman" w:hAnsi="Times New Roman" w:cs="Times New Roman"/>
          <w:bCs/>
          <w:color w:val="000000"/>
          <w:sz w:val="24"/>
          <w:szCs w:val="24"/>
        </w:rPr>
        <w:t>v hmotnej núdzi</w:t>
      </w:r>
      <w:r w:rsidRPr="001440C4">
        <w:rPr>
          <w:rFonts w:ascii="Times New Roman" w:hAnsi="Times New Roman" w:cs="Times New Roman"/>
          <w:color w:val="000000"/>
          <w:sz w:val="24"/>
          <w:szCs w:val="24"/>
        </w:rPr>
        <w:t xml:space="preserve"> suma </w:t>
      </w:r>
      <w:r w:rsidRPr="001F31CB">
        <w:rPr>
          <w:rFonts w:ascii="Times New Roman" w:hAnsi="Times New Roman" w:cs="Times New Roman"/>
          <w:color w:val="000000"/>
          <w:sz w:val="24"/>
          <w:szCs w:val="24"/>
        </w:rPr>
        <w:t>1</w:t>
      </w:r>
      <w:r>
        <w:rPr>
          <w:rFonts w:ascii="Times New Roman" w:hAnsi="Times New Roman" w:cs="Times New Roman"/>
          <w:color w:val="000000"/>
          <w:sz w:val="24"/>
          <w:szCs w:val="24"/>
        </w:rPr>
        <w:t>50</w:t>
      </w:r>
      <w:r w:rsidRPr="001F31CB">
        <w:rPr>
          <w:rFonts w:ascii="Times New Roman" w:hAnsi="Times New Roman" w:cs="Times New Roman"/>
          <w:color w:val="000000"/>
          <w:sz w:val="24"/>
          <w:szCs w:val="24"/>
        </w:rPr>
        <w:t xml:space="preserve"> mil. eur. </w:t>
      </w:r>
      <w:r w:rsidRPr="009E7FA3">
        <w:rPr>
          <w:rFonts w:ascii="Times New Roman" w:hAnsi="Times New Roman" w:cs="Times New Roman"/>
          <w:color w:val="000000"/>
          <w:sz w:val="24"/>
          <w:szCs w:val="24"/>
        </w:rPr>
        <w:t xml:space="preserve">Z uvedených zdrojov sa budú financovať všetky dávky v hmotnej núdzi, príspevky v hmotnej núdzi (ochranný a aktivačný príspevok, príspevok na nezaopatrené dieťa a príspevok na bývanie), osobitný príspevok, ktorý sa poskytuje dlhodobo nezamestnaným osobám, ktoré si nájdu zamestnanie, a to po dobu najviac 18 mesiacov a tiež dotačné programy pre deti z rodín v hmotnej núdzi. </w:t>
      </w:r>
      <w:r>
        <w:rPr>
          <w:rFonts w:ascii="Times New Roman" w:hAnsi="Times New Roman" w:cs="Times New Roman"/>
          <w:color w:val="000000"/>
          <w:sz w:val="24"/>
          <w:szCs w:val="24"/>
        </w:rPr>
        <w:t>Vo v</w:t>
      </w:r>
      <w:r w:rsidRPr="002835D8">
        <w:rPr>
          <w:rFonts w:ascii="Times New Roman" w:hAnsi="Times New Roman" w:cs="Times New Roman"/>
          <w:color w:val="000000"/>
          <w:sz w:val="24"/>
          <w:szCs w:val="24"/>
        </w:rPr>
        <w:t>ýdavk</w:t>
      </w:r>
      <w:r>
        <w:rPr>
          <w:rFonts w:ascii="Times New Roman" w:hAnsi="Times New Roman" w:cs="Times New Roman"/>
          <w:color w:val="000000"/>
          <w:sz w:val="24"/>
          <w:szCs w:val="24"/>
        </w:rPr>
        <w:t>och</w:t>
      </w:r>
      <w:r w:rsidRPr="002835D8">
        <w:rPr>
          <w:rFonts w:ascii="Times New Roman" w:hAnsi="Times New Roman" w:cs="Times New Roman"/>
          <w:color w:val="000000"/>
          <w:sz w:val="24"/>
          <w:szCs w:val="24"/>
        </w:rPr>
        <w:t xml:space="preserve"> na poskytovanie dotácií na </w:t>
      </w:r>
      <w:r>
        <w:rPr>
          <w:rFonts w:ascii="Times New Roman" w:hAnsi="Times New Roman" w:cs="Times New Roman"/>
          <w:color w:val="000000"/>
          <w:sz w:val="24"/>
          <w:szCs w:val="24"/>
        </w:rPr>
        <w:t xml:space="preserve">stravu pre </w:t>
      </w:r>
      <w:r w:rsidRPr="002835D8">
        <w:rPr>
          <w:rFonts w:ascii="Times New Roman" w:hAnsi="Times New Roman" w:cs="Times New Roman"/>
          <w:color w:val="000000"/>
          <w:sz w:val="24"/>
          <w:szCs w:val="24"/>
        </w:rPr>
        <w:t xml:space="preserve">deti </w:t>
      </w:r>
      <w:r>
        <w:rPr>
          <w:rFonts w:ascii="Times New Roman" w:hAnsi="Times New Roman" w:cs="Times New Roman"/>
          <w:color w:val="000000"/>
          <w:sz w:val="24"/>
          <w:szCs w:val="24"/>
        </w:rPr>
        <w:t>v hmotnej núdzi je zohľadnené</w:t>
      </w:r>
      <w:r w:rsidRPr="002835D8">
        <w:rPr>
          <w:rFonts w:ascii="Times New Roman" w:hAnsi="Times New Roman" w:cs="Times New Roman"/>
          <w:color w:val="000000"/>
          <w:sz w:val="24"/>
          <w:szCs w:val="24"/>
        </w:rPr>
        <w:t xml:space="preserve"> zvýšen</w:t>
      </w:r>
      <w:r>
        <w:rPr>
          <w:rFonts w:ascii="Times New Roman" w:hAnsi="Times New Roman" w:cs="Times New Roman"/>
          <w:color w:val="000000"/>
          <w:sz w:val="24"/>
          <w:szCs w:val="24"/>
        </w:rPr>
        <w:t>ie zdrojov v sume</w:t>
      </w:r>
      <w:r w:rsidRPr="002835D8">
        <w:rPr>
          <w:rFonts w:ascii="Times New Roman" w:hAnsi="Times New Roman" w:cs="Times New Roman"/>
          <w:color w:val="000000"/>
          <w:sz w:val="24"/>
          <w:szCs w:val="24"/>
        </w:rPr>
        <w:t xml:space="preserve"> 2,03 mil. eur </w:t>
      </w:r>
      <w:r>
        <w:rPr>
          <w:rFonts w:ascii="Times New Roman" w:hAnsi="Times New Roman" w:cs="Times New Roman"/>
          <w:color w:val="000000"/>
          <w:sz w:val="24"/>
          <w:szCs w:val="24"/>
        </w:rPr>
        <w:t xml:space="preserve">v súvislosti s novelou zákona o dotáciách v pôsobnosti Ministerstva práce, sociálnych vecí a rodiny SR. Novelou sa rozšírila skupina detí, ktoré budú mať nárok na dotáciu na </w:t>
      </w:r>
      <w:r w:rsidRPr="00636E7C">
        <w:rPr>
          <w:rFonts w:ascii="Times New Roman" w:hAnsi="Times New Roman" w:cs="Times New Roman"/>
          <w:color w:val="000000"/>
          <w:sz w:val="24"/>
          <w:szCs w:val="24"/>
        </w:rPr>
        <w:t>podporu výchovy k stravovacím návykom dieťaťa</w:t>
      </w:r>
      <w:r>
        <w:rPr>
          <w:rFonts w:ascii="Times New Roman" w:hAnsi="Times New Roman" w:cs="Times New Roman"/>
          <w:color w:val="000000"/>
          <w:sz w:val="24"/>
          <w:szCs w:val="24"/>
        </w:rPr>
        <w:t xml:space="preserve"> o tie deti,</w:t>
      </w:r>
      <w:r w:rsidRPr="002835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ktoré nespĺňali doterajšie podmienky zákona na poskytnutie dotácie a </w:t>
      </w:r>
      <w:r w:rsidRPr="002835D8">
        <w:rPr>
          <w:rFonts w:ascii="Times New Roman" w:hAnsi="Times New Roman" w:cs="Times New Roman"/>
          <w:color w:val="000000"/>
          <w:sz w:val="24"/>
          <w:szCs w:val="24"/>
        </w:rPr>
        <w:t xml:space="preserve">ktorých rodičia </w:t>
      </w:r>
      <w:r>
        <w:rPr>
          <w:rFonts w:ascii="Times New Roman" w:hAnsi="Times New Roman" w:cs="Times New Roman"/>
          <w:color w:val="000000"/>
          <w:sz w:val="24"/>
          <w:szCs w:val="24"/>
        </w:rPr>
        <w:t xml:space="preserve">zároveň </w:t>
      </w:r>
      <w:r w:rsidRPr="002835D8">
        <w:rPr>
          <w:rFonts w:ascii="Times New Roman" w:hAnsi="Times New Roman" w:cs="Times New Roman"/>
          <w:color w:val="000000"/>
          <w:sz w:val="24"/>
          <w:szCs w:val="24"/>
        </w:rPr>
        <w:t xml:space="preserve">nemajú nárok na daňový bonus. </w:t>
      </w:r>
      <w:r w:rsidRPr="009E7FA3">
        <w:rPr>
          <w:rFonts w:ascii="Times New Roman" w:hAnsi="Times New Roman" w:cs="Times New Roman"/>
          <w:color w:val="000000"/>
          <w:sz w:val="24"/>
          <w:szCs w:val="24"/>
        </w:rPr>
        <w:t>Funkciu preventívneho prvku na predchádzanie stavu hmotnej núdze detí plní náhradné výživné, ktoré je súčasťou štátnych sociálnych dávok. Rozpočtovaná suma na rok 202</w:t>
      </w:r>
      <w:r>
        <w:rPr>
          <w:rFonts w:ascii="Times New Roman" w:hAnsi="Times New Roman" w:cs="Times New Roman"/>
          <w:color w:val="000000"/>
          <w:sz w:val="24"/>
          <w:szCs w:val="24"/>
        </w:rPr>
        <w:t>2</w:t>
      </w:r>
      <w:r w:rsidRPr="009E7FA3">
        <w:rPr>
          <w:rFonts w:ascii="Times New Roman" w:hAnsi="Times New Roman" w:cs="Times New Roman"/>
          <w:color w:val="000000"/>
          <w:sz w:val="24"/>
          <w:szCs w:val="24"/>
        </w:rPr>
        <w:t xml:space="preserve"> v objeme </w:t>
      </w:r>
      <w:r w:rsidRPr="00673873">
        <w:rPr>
          <w:rFonts w:ascii="Times New Roman" w:hAnsi="Times New Roman" w:cs="Times New Roman"/>
          <w:color w:val="000000"/>
          <w:sz w:val="24"/>
          <w:szCs w:val="24"/>
        </w:rPr>
        <w:t xml:space="preserve">18,3 mil. eur </w:t>
      </w:r>
      <w:r w:rsidRPr="009E7FA3">
        <w:rPr>
          <w:rFonts w:ascii="Times New Roman" w:hAnsi="Times New Roman" w:cs="Times New Roman"/>
          <w:color w:val="000000"/>
          <w:sz w:val="24"/>
          <w:szCs w:val="24"/>
        </w:rPr>
        <w:t>je určená na zabezpečenie výživy nezaopatreného dieťaťa.</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Cs/>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6E487A">
        <w:rPr>
          <w:rFonts w:ascii="Times New Roman" w:hAnsi="Times New Roman" w:cs="Times New Roman"/>
          <w:bCs/>
          <w:color w:val="000000"/>
          <w:sz w:val="24"/>
          <w:szCs w:val="24"/>
        </w:rPr>
        <w:t>Na podporu rodiny</w:t>
      </w:r>
      <w:r w:rsidRPr="006E487A">
        <w:rPr>
          <w:rFonts w:ascii="Times New Roman" w:hAnsi="Times New Roman" w:cs="Times New Roman"/>
          <w:color w:val="000000"/>
          <w:sz w:val="24"/>
          <w:szCs w:val="24"/>
        </w:rPr>
        <w:t xml:space="preserve"> sa v roku 202</w:t>
      </w:r>
      <w:r>
        <w:rPr>
          <w:rFonts w:ascii="Times New Roman" w:hAnsi="Times New Roman" w:cs="Times New Roman"/>
          <w:color w:val="000000"/>
          <w:sz w:val="24"/>
          <w:szCs w:val="24"/>
        </w:rPr>
        <w:t>2</w:t>
      </w:r>
      <w:r w:rsidRPr="006E487A">
        <w:rPr>
          <w:rFonts w:ascii="Times New Roman" w:hAnsi="Times New Roman" w:cs="Times New Roman"/>
          <w:color w:val="000000"/>
          <w:sz w:val="24"/>
          <w:szCs w:val="24"/>
        </w:rPr>
        <w:t xml:space="preserve"> rozpočtuje</w:t>
      </w:r>
      <w:r w:rsidRPr="006E487A">
        <w:rPr>
          <w:rFonts w:ascii="Times New Roman" w:hAnsi="Times New Roman" w:cs="Times New Roman"/>
          <w:bCs/>
          <w:color w:val="000000"/>
          <w:sz w:val="24"/>
          <w:szCs w:val="24"/>
        </w:rPr>
        <w:t xml:space="preserve"> </w:t>
      </w:r>
      <w:r w:rsidRPr="001F31CB">
        <w:rPr>
          <w:rFonts w:ascii="Times New Roman" w:hAnsi="Times New Roman" w:cs="Times New Roman"/>
          <w:color w:val="000000"/>
          <w:sz w:val="24"/>
          <w:szCs w:val="24"/>
        </w:rPr>
        <w:t xml:space="preserve">1,02 mld. eur. </w:t>
      </w:r>
      <w:r w:rsidRPr="006E487A">
        <w:rPr>
          <w:rFonts w:ascii="Times New Roman" w:hAnsi="Times New Roman" w:cs="Times New Roman"/>
          <w:color w:val="000000"/>
          <w:sz w:val="24"/>
          <w:szCs w:val="24"/>
        </w:rPr>
        <w:t>Objemovo najvýznamnejšiu položku predstavuje rodičovský príspevok. V roku 202</w:t>
      </w:r>
      <w:r>
        <w:rPr>
          <w:rFonts w:ascii="Times New Roman" w:hAnsi="Times New Roman" w:cs="Times New Roman"/>
          <w:color w:val="000000"/>
          <w:sz w:val="24"/>
          <w:szCs w:val="24"/>
        </w:rPr>
        <w:t>2</w:t>
      </w:r>
      <w:r w:rsidRPr="006E487A">
        <w:rPr>
          <w:rFonts w:ascii="Times New Roman" w:hAnsi="Times New Roman" w:cs="Times New Roman"/>
          <w:color w:val="000000"/>
          <w:sz w:val="24"/>
          <w:szCs w:val="24"/>
        </w:rPr>
        <w:t xml:space="preserve"> sú rozpočtovo zabezpečené zdroje</w:t>
      </w:r>
      <w:r w:rsidRPr="006E487A">
        <w:rPr>
          <w:rFonts w:ascii="Times New Roman" w:hAnsi="Times New Roman" w:cs="Times New Roman"/>
          <w:bCs/>
          <w:color w:val="000000"/>
          <w:sz w:val="24"/>
          <w:szCs w:val="24"/>
        </w:rPr>
        <w:t xml:space="preserve"> </w:t>
      </w:r>
      <w:r w:rsidRPr="006E487A">
        <w:rPr>
          <w:rFonts w:ascii="Times New Roman" w:hAnsi="Times New Roman" w:cs="Times New Roman"/>
          <w:color w:val="000000"/>
          <w:sz w:val="24"/>
          <w:szCs w:val="24"/>
        </w:rPr>
        <w:t xml:space="preserve">v </w:t>
      </w:r>
      <w:r w:rsidRPr="001F31CB">
        <w:rPr>
          <w:rFonts w:ascii="Times New Roman" w:hAnsi="Times New Roman" w:cs="Times New Roman"/>
          <w:color w:val="000000"/>
          <w:sz w:val="24"/>
          <w:szCs w:val="24"/>
        </w:rPr>
        <w:t>sume</w:t>
      </w:r>
      <w:r w:rsidRPr="001F31CB">
        <w:rPr>
          <w:rFonts w:ascii="Times New Roman" w:hAnsi="Times New Roman" w:cs="Times New Roman"/>
          <w:bCs/>
          <w:color w:val="000000"/>
          <w:sz w:val="24"/>
          <w:szCs w:val="24"/>
        </w:rPr>
        <w:t xml:space="preserve"> </w:t>
      </w:r>
      <w:r w:rsidRPr="001F31CB">
        <w:rPr>
          <w:rFonts w:ascii="Times New Roman" w:hAnsi="Times New Roman" w:cs="Times New Roman"/>
          <w:color w:val="000000"/>
          <w:sz w:val="24"/>
          <w:szCs w:val="24"/>
        </w:rPr>
        <w:t xml:space="preserve">618 </w:t>
      </w:r>
      <w:r w:rsidRPr="006E487A">
        <w:rPr>
          <w:rFonts w:ascii="Times New Roman" w:hAnsi="Times New Roman" w:cs="Times New Roman"/>
          <w:color w:val="000000"/>
          <w:sz w:val="24"/>
          <w:szCs w:val="24"/>
        </w:rPr>
        <w:t xml:space="preserve">mil. eur pre cca 144 tis. poberateľov. Ďalším nástrojom štátnej podpory rodiny je prídavok na dieťa, ktorý sa rozpočtuje vo výške </w:t>
      </w:r>
      <w:r w:rsidRPr="001F31CB">
        <w:rPr>
          <w:rFonts w:ascii="Times New Roman" w:hAnsi="Times New Roman" w:cs="Times New Roman"/>
          <w:color w:val="000000"/>
          <w:sz w:val="24"/>
          <w:szCs w:val="24"/>
        </w:rPr>
        <w:t xml:space="preserve">355 mil. eur </w:t>
      </w:r>
      <w:r w:rsidRPr="006E487A">
        <w:rPr>
          <w:rFonts w:ascii="Times New Roman" w:hAnsi="Times New Roman" w:cs="Times New Roman"/>
          <w:color w:val="000000"/>
          <w:sz w:val="24"/>
          <w:szCs w:val="24"/>
        </w:rPr>
        <w:t>pri predpokladanom počte cca 1,1</w:t>
      </w:r>
      <w:r>
        <w:rPr>
          <w:rFonts w:ascii="Times New Roman" w:hAnsi="Times New Roman" w:cs="Times New Roman"/>
          <w:color w:val="000000"/>
          <w:sz w:val="24"/>
          <w:szCs w:val="24"/>
        </w:rPr>
        <w:t>2</w:t>
      </w:r>
      <w:r w:rsidRPr="006E487A">
        <w:rPr>
          <w:rFonts w:ascii="Times New Roman" w:hAnsi="Times New Roman" w:cs="Times New Roman"/>
          <w:color w:val="000000"/>
          <w:sz w:val="24"/>
          <w:szCs w:val="24"/>
        </w:rPr>
        <w:t xml:space="preserve"> mil. nezaopatrených detí. </w:t>
      </w:r>
      <w:r w:rsidRPr="00D30ED9">
        <w:rPr>
          <w:rFonts w:ascii="Times New Roman" w:hAnsi="Times New Roman" w:cs="Times New Roman"/>
          <w:color w:val="000000"/>
          <w:sz w:val="24"/>
          <w:szCs w:val="24"/>
        </w:rPr>
        <w:t>Taktiež sem patria výdavky na príspevok pri narodení dieťaťa, príspevok na pohreb a príspevok na starostlivosť o dieťa celkom v sume 50 mil. eur.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6E487A">
        <w:rPr>
          <w:rFonts w:ascii="Times New Roman" w:hAnsi="Times New Roman" w:cs="Times New Roman"/>
          <w:color w:val="000000"/>
          <w:sz w:val="24"/>
          <w:szCs w:val="24"/>
        </w:rPr>
        <w:t>V rámci výdavkov sociálnej inklúzie sú alokované aj výdavky na štátom platené poistné za zákonom vymedzený okruh osôb, za ktoré poistné na starobné poistenie, invalidné poistenie, poistné do Rezervného fondu solidarity a príspevky na starobné dôchodkové sporenie platí štát. Pri zohľadnení prognózy vývoja vymeriavacieho základu sa na rok 2022 v kapitole Ministerstva práce, sociálnych vecí a rodiny SR rozpočtujú prostriedky na štátom platené poistné v celkovej výške 381 mil. eur.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C977E7">
        <w:rPr>
          <w:rFonts w:ascii="Times New Roman" w:hAnsi="Times New Roman" w:cs="Times New Roman"/>
          <w:color w:val="000000"/>
          <w:sz w:val="24"/>
          <w:szCs w:val="24"/>
        </w:rPr>
        <w:t>Kompenzácia sociálneho dôsledku ťažkého zdravotného postihnutia je zmiernenie alebo prekonanie sociálneho dôsledku ŤZP poskytovaním peňažných príspevkov na kompenzáciu alebo poskytovaním sociálnych služieb s cieľom podpory sociálneho začlenenia fyzickej osoby s ŤZP do spoločnosti za jej aktívnej účasti pri zachovaní jej ľudskej dôstojnosti. V rámci programu kompenzácia sociálnych dôsledkov ťažkého zdravotného postihnutia</w:t>
      </w:r>
      <w:r w:rsidRPr="00C977E7">
        <w:rPr>
          <w:rFonts w:ascii="Times New Roman" w:hAnsi="Times New Roman" w:cs="Times New Roman"/>
          <w:bCs/>
          <w:color w:val="000000"/>
          <w:sz w:val="24"/>
          <w:szCs w:val="24"/>
        </w:rPr>
        <w:t xml:space="preserve"> sa rozpočtujú výdavky v celkovej </w:t>
      </w:r>
      <w:r w:rsidRPr="006F21E1">
        <w:rPr>
          <w:rFonts w:ascii="Times New Roman" w:hAnsi="Times New Roman" w:cs="Times New Roman"/>
          <w:bCs/>
          <w:color w:val="000000"/>
          <w:sz w:val="24"/>
          <w:szCs w:val="24"/>
        </w:rPr>
        <w:t>sume 5</w:t>
      </w:r>
      <w:r>
        <w:rPr>
          <w:rFonts w:ascii="Times New Roman" w:hAnsi="Times New Roman" w:cs="Times New Roman"/>
          <w:bCs/>
          <w:color w:val="000000"/>
          <w:sz w:val="24"/>
          <w:szCs w:val="24"/>
        </w:rPr>
        <w:t>29</w:t>
      </w:r>
      <w:r w:rsidRPr="006F21E1">
        <w:rPr>
          <w:rFonts w:ascii="Times New Roman" w:hAnsi="Times New Roman" w:cs="Times New Roman"/>
          <w:bCs/>
          <w:color w:val="000000"/>
          <w:sz w:val="24"/>
          <w:szCs w:val="24"/>
        </w:rPr>
        <w:t xml:space="preserve"> mil. eur. </w:t>
      </w:r>
      <w:r>
        <w:rPr>
          <w:rFonts w:ascii="Times New Roman" w:hAnsi="Times New Roman" w:cs="Times New Roman"/>
          <w:bCs/>
          <w:color w:val="000000"/>
          <w:sz w:val="24"/>
          <w:szCs w:val="24"/>
        </w:rPr>
        <w:t>V</w:t>
      </w:r>
      <w:r w:rsidRPr="00C977E7">
        <w:rPr>
          <w:rFonts w:ascii="Times New Roman" w:hAnsi="Times New Roman" w:cs="Times New Roman"/>
          <w:bCs/>
          <w:color w:val="000000"/>
          <w:sz w:val="24"/>
          <w:szCs w:val="24"/>
        </w:rPr>
        <w:t xml:space="preserve"> dôsledku </w:t>
      </w:r>
      <w:r>
        <w:rPr>
          <w:rFonts w:ascii="Times New Roman" w:hAnsi="Times New Roman" w:cs="Times New Roman"/>
          <w:bCs/>
          <w:color w:val="000000"/>
          <w:sz w:val="24"/>
          <w:szCs w:val="24"/>
        </w:rPr>
        <w:t xml:space="preserve">zmeny sumy vyplácaných príspevkov ako aj </w:t>
      </w:r>
      <w:r w:rsidRPr="00C977E7">
        <w:rPr>
          <w:rFonts w:ascii="Times New Roman" w:hAnsi="Times New Roman" w:cs="Times New Roman"/>
          <w:bCs/>
          <w:color w:val="000000"/>
          <w:sz w:val="24"/>
          <w:szCs w:val="24"/>
        </w:rPr>
        <w:t>kontinuálneho zvyšovania počtu poberateľov</w:t>
      </w:r>
      <w:r>
        <w:rPr>
          <w:rFonts w:ascii="Times New Roman" w:hAnsi="Times New Roman" w:cs="Times New Roman"/>
          <w:bCs/>
          <w:color w:val="000000"/>
          <w:sz w:val="24"/>
          <w:szCs w:val="24"/>
        </w:rPr>
        <w:t xml:space="preserve"> sa rozpočet</w:t>
      </w:r>
      <w:r w:rsidRPr="00C977E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v tejto oblasti </w:t>
      </w:r>
      <w:r w:rsidRPr="00C977E7">
        <w:rPr>
          <w:rFonts w:ascii="Times New Roman" w:hAnsi="Times New Roman" w:cs="Times New Roman"/>
          <w:bCs/>
          <w:color w:val="000000"/>
          <w:sz w:val="24"/>
          <w:szCs w:val="24"/>
        </w:rPr>
        <w:t>na rok 2022</w:t>
      </w:r>
      <w:r>
        <w:rPr>
          <w:rFonts w:ascii="Times New Roman" w:hAnsi="Times New Roman" w:cs="Times New Roman"/>
          <w:bCs/>
          <w:color w:val="000000"/>
          <w:sz w:val="24"/>
          <w:szCs w:val="24"/>
        </w:rPr>
        <w:t xml:space="preserve"> medziročne </w:t>
      </w:r>
      <w:r w:rsidRPr="006F21E1">
        <w:rPr>
          <w:rFonts w:ascii="Times New Roman" w:hAnsi="Times New Roman" w:cs="Times New Roman"/>
          <w:bCs/>
          <w:color w:val="000000"/>
          <w:sz w:val="24"/>
          <w:szCs w:val="24"/>
        </w:rPr>
        <w:t>zvýšil o </w:t>
      </w:r>
      <w:r>
        <w:rPr>
          <w:rFonts w:ascii="Times New Roman" w:hAnsi="Times New Roman" w:cs="Times New Roman"/>
          <w:bCs/>
          <w:color w:val="000000"/>
          <w:sz w:val="24"/>
          <w:szCs w:val="24"/>
        </w:rPr>
        <w:t>46</w:t>
      </w:r>
      <w:r w:rsidRPr="006F21E1">
        <w:rPr>
          <w:rFonts w:ascii="Times New Roman" w:hAnsi="Times New Roman" w:cs="Times New Roman"/>
          <w:bCs/>
          <w:color w:val="000000"/>
          <w:sz w:val="24"/>
          <w:szCs w:val="24"/>
        </w:rPr>
        <w:t>,</w:t>
      </w:r>
      <w:r>
        <w:rPr>
          <w:rFonts w:ascii="Times New Roman" w:hAnsi="Times New Roman" w:cs="Times New Roman"/>
          <w:bCs/>
          <w:color w:val="000000"/>
          <w:sz w:val="24"/>
          <w:szCs w:val="24"/>
        </w:rPr>
        <w:t>7</w:t>
      </w:r>
      <w:r w:rsidRPr="006F21E1">
        <w:rPr>
          <w:rFonts w:ascii="Times New Roman" w:hAnsi="Times New Roman" w:cs="Times New Roman"/>
          <w:bCs/>
          <w:color w:val="000000"/>
          <w:sz w:val="24"/>
          <w:szCs w:val="24"/>
        </w:rPr>
        <w:t xml:space="preserve"> mil. eur.</w:t>
      </w:r>
      <w:r>
        <w:rPr>
          <w:rFonts w:ascii="Times New Roman" w:hAnsi="Times New Roman" w:cs="Times New Roman"/>
          <w:bCs/>
          <w:color w:val="000000"/>
          <w:sz w:val="24"/>
          <w:szCs w:val="24"/>
        </w:rPr>
        <w:t xml:space="preserve"> </w:t>
      </w:r>
      <w:r w:rsidRPr="006F21E1">
        <w:rPr>
          <w:rFonts w:ascii="Times New Roman" w:hAnsi="Times New Roman" w:cs="Times New Roman"/>
          <w:bCs/>
          <w:color w:val="000000"/>
          <w:sz w:val="24"/>
          <w:szCs w:val="24"/>
        </w:rPr>
        <w:t>Najvýznamnejšie</w:t>
      </w:r>
      <w:r w:rsidRPr="00C977E7">
        <w:rPr>
          <w:rFonts w:ascii="Times New Roman" w:hAnsi="Times New Roman" w:cs="Times New Roman"/>
          <w:bCs/>
          <w:color w:val="000000"/>
          <w:sz w:val="24"/>
          <w:szCs w:val="24"/>
        </w:rPr>
        <w:t xml:space="preserve"> položky v tejto oblasti tvoria príspevok na opatrovanie</w:t>
      </w:r>
      <w:r>
        <w:rPr>
          <w:rFonts w:ascii="Times New Roman" w:hAnsi="Times New Roman" w:cs="Times New Roman"/>
          <w:bCs/>
          <w:color w:val="000000"/>
          <w:sz w:val="24"/>
          <w:szCs w:val="24"/>
        </w:rPr>
        <w:t xml:space="preserve"> v sume 326 mil. eur</w:t>
      </w:r>
      <w:r w:rsidRPr="00C977E7">
        <w:rPr>
          <w:rFonts w:ascii="Times New Roman" w:hAnsi="Times New Roman" w:cs="Times New Roman"/>
          <w:bCs/>
          <w:color w:val="000000"/>
          <w:sz w:val="24"/>
          <w:szCs w:val="24"/>
        </w:rPr>
        <w:t xml:space="preserve"> a príspevok na osobnú asistenciu</w:t>
      </w:r>
      <w:r>
        <w:rPr>
          <w:rFonts w:ascii="Times New Roman" w:hAnsi="Times New Roman" w:cs="Times New Roman"/>
          <w:bCs/>
          <w:color w:val="000000"/>
          <w:sz w:val="24"/>
          <w:szCs w:val="24"/>
        </w:rPr>
        <w:t xml:space="preserve"> v sume 104 mil. eur</w:t>
      </w:r>
      <w:r w:rsidRPr="00C977E7">
        <w:rPr>
          <w:rFonts w:ascii="Times New Roman" w:hAnsi="Times New Roman" w:cs="Times New Roman"/>
          <w:bCs/>
          <w:color w:val="000000"/>
          <w:sz w:val="24"/>
          <w:szCs w:val="24"/>
        </w:rPr>
        <w:t>.</w:t>
      </w:r>
      <w:r w:rsidRPr="00C977E7">
        <w:rPr>
          <w:rFonts w:ascii="Times New Roman" w:hAnsi="Times New Roman" w:cs="Times New Roman"/>
          <w:b/>
          <w:bCs/>
          <w:color w:val="000000"/>
          <w:sz w:val="24"/>
          <w:szCs w:val="24"/>
        </w:rPr>
        <w:t xml:space="preserve"> </w:t>
      </w:r>
      <w:r w:rsidRPr="00C977E7">
        <w:rPr>
          <w:rFonts w:ascii="Times New Roman" w:hAnsi="Times New Roman" w:cs="Times New Roman"/>
          <w:bCs/>
          <w:color w:val="000000"/>
          <w:sz w:val="24"/>
          <w:szCs w:val="24"/>
        </w:rPr>
        <w:t xml:space="preserve">Výška príspevkov na opatrovanie </w:t>
      </w:r>
      <w:r>
        <w:rPr>
          <w:rFonts w:ascii="Times New Roman" w:hAnsi="Times New Roman" w:cs="Times New Roman"/>
          <w:bCs/>
          <w:color w:val="000000"/>
          <w:sz w:val="24"/>
          <w:szCs w:val="24"/>
        </w:rPr>
        <w:t xml:space="preserve">a hodinovej sadzby na osobnú asistenciu </w:t>
      </w:r>
      <w:r w:rsidRPr="00C977E7">
        <w:rPr>
          <w:rFonts w:ascii="Times New Roman" w:hAnsi="Times New Roman" w:cs="Times New Roman"/>
          <w:bCs/>
          <w:color w:val="000000"/>
          <w:sz w:val="24"/>
          <w:szCs w:val="24"/>
        </w:rPr>
        <w:t>bola k 1. júlu 2021 upravená nariadením vlády SR</w:t>
      </w:r>
      <w:r>
        <w:rPr>
          <w:rFonts w:ascii="Times New Roman" w:hAnsi="Times New Roman" w:cs="Times New Roman"/>
          <w:bCs/>
          <w:color w:val="000000"/>
          <w:sz w:val="24"/>
          <w:szCs w:val="24"/>
        </w:rPr>
        <w:t>.</w:t>
      </w:r>
      <w:r w:rsidRPr="00C977E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Zvýšenie príspevkov na opatrovanie pozitívne ovplyvní približne 65 903 poberateľov a zvýšenie hodinovej sadzby na osobnú asistenciu na 4,82 eur sa dotkne približne 12 100 poberateľov.</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CB3395"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FF0000"/>
          <w:sz w:val="24"/>
          <w:szCs w:val="24"/>
          <w:highlight w:val="yellow"/>
        </w:rPr>
      </w:pPr>
      <w:r w:rsidRPr="00CB3395">
        <w:rPr>
          <w:rFonts w:ascii="Times New Roman" w:hAnsi="Times New Roman" w:cs="Times New Roman"/>
          <w:color w:val="000000"/>
          <w:sz w:val="24"/>
          <w:szCs w:val="24"/>
        </w:rPr>
        <w:t>Sociálne služby sú jednou z foriem sociálnej pomoci pre ľudí v nepriaznivej sociálnej situácii. Štát prostredníctvom nich podporuje sociálne začlenenie občanov a uspokojovanie sociálnych potrieb ľudí v nepriaznivej sociálnej situácii. Na podporu sociálnych služieb sú v kapitole alokované zdroje v celkovej výške 191 mil. eur.</w:t>
      </w:r>
      <w:r>
        <w:rPr>
          <w:rFonts w:ascii="Times New Roman" w:hAnsi="Times New Roman" w:cs="Times New Roman"/>
          <w:color w:val="000000"/>
          <w:sz w:val="24"/>
          <w:szCs w:val="24"/>
        </w:rPr>
        <w:t xml:space="preserve"> Na rok 2022 </w:t>
      </w:r>
      <w:r w:rsidRPr="00CB3395">
        <w:rPr>
          <w:rFonts w:ascii="Times New Roman" w:hAnsi="Times New Roman" w:cs="Times New Roman"/>
          <w:color w:val="000000"/>
          <w:sz w:val="24"/>
          <w:szCs w:val="24"/>
        </w:rPr>
        <w:t xml:space="preserve">bolo nariadením vlády SR zabezpečené zvýšenie </w:t>
      </w:r>
      <w:r>
        <w:rPr>
          <w:rFonts w:ascii="Times New Roman" w:hAnsi="Times New Roman" w:cs="Times New Roman"/>
          <w:color w:val="000000"/>
          <w:sz w:val="24"/>
          <w:szCs w:val="24"/>
        </w:rPr>
        <w:t xml:space="preserve">finančného </w:t>
      </w:r>
      <w:r w:rsidRPr="00CB3395">
        <w:rPr>
          <w:rFonts w:ascii="Times New Roman" w:hAnsi="Times New Roman" w:cs="Times New Roman"/>
          <w:color w:val="000000"/>
          <w:sz w:val="24"/>
          <w:szCs w:val="24"/>
        </w:rPr>
        <w:t>príspevku na poskytovanie sociáln</w:t>
      </w:r>
      <w:r>
        <w:rPr>
          <w:rFonts w:ascii="Times New Roman" w:hAnsi="Times New Roman" w:cs="Times New Roman"/>
          <w:color w:val="000000"/>
          <w:sz w:val="24"/>
          <w:szCs w:val="24"/>
        </w:rPr>
        <w:t>ej služ</w:t>
      </w:r>
      <w:r w:rsidRPr="00CB3395">
        <w:rPr>
          <w:rFonts w:ascii="Times New Roman" w:hAnsi="Times New Roman" w:cs="Times New Roman"/>
          <w:color w:val="000000"/>
          <w:sz w:val="24"/>
          <w:szCs w:val="24"/>
        </w:rPr>
        <w:t>b</w:t>
      </w:r>
      <w:r>
        <w:rPr>
          <w:rFonts w:ascii="Times New Roman" w:hAnsi="Times New Roman" w:cs="Times New Roman"/>
          <w:color w:val="000000"/>
          <w:sz w:val="24"/>
          <w:szCs w:val="24"/>
        </w:rPr>
        <w:t xml:space="preserve">y v zariadeniach podmienených odkázanosťou </w:t>
      </w:r>
      <w:r w:rsidRPr="00CB3395">
        <w:rPr>
          <w:rFonts w:ascii="Times New Roman" w:hAnsi="Times New Roman" w:cs="Times New Roman"/>
          <w:color w:val="000000"/>
          <w:sz w:val="24"/>
          <w:szCs w:val="24"/>
        </w:rPr>
        <w:t xml:space="preserve">o 14,3 mil. eur. </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u w:val="single"/>
        </w:rPr>
      </w:pPr>
    </w:p>
    <w:p w:rsidR="00AA17E3" w:rsidRPr="004004BC"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B24466">
        <w:rPr>
          <w:rFonts w:ascii="Times New Roman" w:hAnsi="Times New Roman" w:cs="Times New Roman"/>
          <w:color w:val="000000"/>
          <w:sz w:val="24"/>
          <w:szCs w:val="24"/>
        </w:rPr>
        <w:t>Ostatné výdavky sociálnej inklúzie zahŕňajú výdavky na vyplácanie 13. dôchodku, tzv. nesystémových dávok sociálnej inklúzie, výdavky na ostatné iniciatív</w:t>
      </w:r>
      <w:r>
        <w:rPr>
          <w:rFonts w:ascii="Times New Roman" w:hAnsi="Times New Roman" w:cs="Times New Roman"/>
          <w:color w:val="000000"/>
          <w:sz w:val="24"/>
          <w:szCs w:val="24"/>
        </w:rPr>
        <w:t xml:space="preserve">y, v rámci ktorých sa financujú dotácie ale </w:t>
      </w:r>
      <w:r w:rsidRPr="00B24466">
        <w:rPr>
          <w:rFonts w:ascii="Times New Roman" w:hAnsi="Times New Roman" w:cs="Times New Roman"/>
          <w:color w:val="000000"/>
          <w:sz w:val="24"/>
          <w:szCs w:val="24"/>
        </w:rPr>
        <w:t>aj kompenzačný príspevok baníkom a výdavky na starostlivosť o ohrozené deti.</w:t>
      </w:r>
    </w:p>
    <w:p w:rsidR="00AA17E3" w:rsidRPr="0048647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486479">
        <w:rPr>
          <w:rFonts w:ascii="Times New Roman" w:hAnsi="Times New Roman" w:cs="Times New Roman"/>
          <w:color w:val="000000"/>
          <w:sz w:val="24"/>
          <w:szCs w:val="24"/>
        </w:rPr>
        <w:t>Výplata 13. dôchodku sa realizuje od roku 2020, kedy sa transformoval z vianočného príspevku</w:t>
      </w:r>
      <w:r>
        <w:rPr>
          <w:rFonts w:ascii="Times New Roman" w:hAnsi="Times New Roman" w:cs="Times New Roman"/>
          <w:color w:val="000000"/>
          <w:sz w:val="24"/>
          <w:szCs w:val="24"/>
        </w:rPr>
        <w:t>.</w:t>
      </w:r>
      <w:r w:rsidRPr="004864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486479">
        <w:rPr>
          <w:rFonts w:ascii="Times New Roman" w:hAnsi="Times New Roman" w:cs="Times New Roman"/>
          <w:color w:val="000000"/>
          <w:sz w:val="24"/>
          <w:szCs w:val="24"/>
        </w:rPr>
        <w:t>árok naň majú všetci poberatelia dôchodkov vyplácaných Sociálnou poisťovňou, prípadne príslušným orgánom výsluhového zabezpečenia v garantovanej minimálnej výške 50 eur. Nárok na maximálnu sumu 300 eur má ten poberateľ dôchodku, ktorého dôchodok, resp. úhrn súm dôchodkov je najviac v sume životného minima pre jednu plnoletú fyzickú osobu, to znamená, že pri vyplácaní 13. dôchodku sa posilňuje princíp solidárnosti. V roku 2021 sa rozpočtuje na 13. dôchodky celková suma 310 mil. eur.</w:t>
      </w:r>
      <w:r>
        <w:rPr>
          <w:rFonts w:ascii="Times New Roman" w:hAnsi="Times New Roman" w:cs="Times New Roman"/>
          <w:color w:val="000000"/>
          <w:sz w:val="24"/>
          <w:szCs w:val="24"/>
        </w:rPr>
        <w:t xml:space="preserve"> </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C46BA2">
        <w:rPr>
          <w:rFonts w:ascii="Times New Roman" w:hAnsi="Times New Roman" w:cs="Times New Roman"/>
          <w:color w:val="000000"/>
          <w:sz w:val="24"/>
          <w:szCs w:val="24"/>
        </w:rPr>
        <w:t xml:space="preserve">V rámci tzv. nesystémových dávok sociálnej inklúzie v celkovej výške </w:t>
      </w:r>
      <w:r w:rsidRPr="00486479">
        <w:rPr>
          <w:rFonts w:ascii="Times New Roman" w:hAnsi="Times New Roman" w:cs="Times New Roman"/>
          <w:color w:val="000000"/>
          <w:sz w:val="24"/>
          <w:szCs w:val="24"/>
        </w:rPr>
        <w:t>185 mil. eur</w:t>
      </w:r>
      <w:r w:rsidRPr="00486479">
        <w:rPr>
          <w:rFonts w:ascii="Times New Roman" w:hAnsi="Times New Roman" w:cs="Times New Roman"/>
          <w:b/>
          <w:color w:val="000000"/>
          <w:sz w:val="24"/>
          <w:szCs w:val="24"/>
        </w:rPr>
        <w:t xml:space="preserve"> </w:t>
      </w:r>
      <w:r w:rsidRPr="00B24466">
        <w:rPr>
          <w:rFonts w:ascii="Times New Roman" w:hAnsi="Times New Roman" w:cs="Times New Roman"/>
          <w:color w:val="000000"/>
          <w:sz w:val="24"/>
          <w:szCs w:val="24"/>
        </w:rPr>
        <w:t>sa rozpočtujú dávky hradené štátom a vyplácané prostredníctvom Sociálnej poisťovne, najmä minimálny dôchodok</w:t>
      </w:r>
      <w:r>
        <w:rPr>
          <w:rFonts w:ascii="Times New Roman" w:hAnsi="Times New Roman" w:cs="Times New Roman"/>
          <w:color w:val="000000"/>
          <w:sz w:val="24"/>
          <w:szCs w:val="24"/>
        </w:rPr>
        <w:t xml:space="preserve"> a invalidné dôchodky z mladosti</w:t>
      </w:r>
      <w:r w:rsidRPr="00B244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sidRPr="00860CDA">
        <w:rPr>
          <w:rFonts w:ascii="Times New Roman" w:hAnsi="Times New Roman" w:cs="Times New Roman"/>
          <w:color w:val="000000"/>
          <w:sz w:val="24"/>
          <w:szCs w:val="24"/>
        </w:rPr>
        <w:t>ýška minimálneho dôchodku naďalej zostane zachovaná na úrovni roku 2020</w:t>
      </w:r>
      <w:r>
        <w:rPr>
          <w:rFonts w:ascii="Times New Roman" w:hAnsi="Times New Roman" w:cs="Times New Roman"/>
          <w:color w:val="000000"/>
          <w:sz w:val="24"/>
          <w:szCs w:val="24"/>
        </w:rPr>
        <w:t>, kedy sa n</w:t>
      </w:r>
      <w:r w:rsidRPr="00860CDA">
        <w:rPr>
          <w:rFonts w:ascii="Times New Roman" w:hAnsi="Times New Roman" w:cs="Times New Roman"/>
          <w:color w:val="000000"/>
          <w:sz w:val="24"/>
          <w:szCs w:val="24"/>
        </w:rPr>
        <w:t>a základe novelizácie zákona o sociálnom poistení</w:t>
      </w:r>
      <w:r>
        <w:rPr>
          <w:rFonts w:ascii="Times New Roman" w:hAnsi="Times New Roman" w:cs="Times New Roman"/>
          <w:color w:val="000000"/>
          <w:sz w:val="24"/>
          <w:szCs w:val="24"/>
        </w:rPr>
        <w:t xml:space="preserve"> </w:t>
      </w:r>
      <w:r w:rsidRPr="00860CDA">
        <w:rPr>
          <w:rFonts w:ascii="Times New Roman" w:hAnsi="Times New Roman" w:cs="Times New Roman"/>
          <w:color w:val="000000"/>
          <w:sz w:val="24"/>
          <w:szCs w:val="24"/>
        </w:rPr>
        <w:t>zrušilo jeho naviazanie na rast priemernej mzdy v národnom hospodárstve.</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C46BA2">
        <w:rPr>
          <w:rFonts w:ascii="Times New Roman" w:hAnsi="Times New Roman" w:cs="Times New Roman"/>
          <w:color w:val="000000"/>
          <w:sz w:val="24"/>
          <w:szCs w:val="24"/>
        </w:rPr>
        <w:t xml:space="preserve">V rámci </w:t>
      </w:r>
      <w:r w:rsidRPr="00C46BA2">
        <w:rPr>
          <w:rFonts w:ascii="Times New Roman" w:hAnsi="Times New Roman" w:cs="Times New Roman"/>
          <w:bCs/>
          <w:color w:val="000000"/>
          <w:sz w:val="24"/>
          <w:szCs w:val="24"/>
        </w:rPr>
        <w:t>starostlivosti o ohrozené deti</w:t>
      </w:r>
      <w:r w:rsidRPr="00C46BA2">
        <w:rPr>
          <w:rFonts w:ascii="Times New Roman" w:hAnsi="Times New Roman" w:cs="Times New Roman"/>
          <w:color w:val="000000"/>
          <w:sz w:val="24"/>
          <w:szCs w:val="24"/>
        </w:rPr>
        <w:t xml:space="preserve"> sa rozpočtujú zdroje na financovanie starostlivosti v štátnych a neštátnych centrách pre deti a rodiny, rovnako ako aj výdavky na náhradnú rodinnú starostlivosť a výdavky na opatrenia sociálnoprávnej ochrany detí s cieľom obmedziť alebo odstrániť negatívne vplyvy v problémových rodinách v celkovej </w:t>
      </w:r>
      <w:r w:rsidRPr="00860CDA">
        <w:rPr>
          <w:rFonts w:ascii="Times New Roman" w:hAnsi="Times New Roman" w:cs="Times New Roman"/>
          <w:color w:val="000000"/>
          <w:sz w:val="24"/>
          <w:szCs w:val="24"/>
        </w:rPr>
        <w:t>výške 1</w:t>
      </w:r>
      <w:r>
        <w:rPr>
          <w:rFonts w:ascii="Times New Roman" w:hAnsi="Times New Roman" w:cs="Times New Roman"/>
          <w:color w:val="000000"/>
          <w:sz w:val="24"/>
          <w:szCs w:val="24"/>
        </w:rPr>
        <w:t>51</w:t>
      </w:r>
      <w:r w:rsidRPr="00860CDA">
        <w:rPr>
          <w:rFonts w:ascii="Times New Roman" w:hAnsi="Times New Roman" w:cs="Times New Roman"/>
          <w:color w:val="000000"/>
          <w:sz w:val="24"/>
          <w:szCs w:val="24"/>
        </w:rPr>
        <w:t xml:space="preserve"> mil. eur.</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C9265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Medziročný nárast zdrojov v oblasti ovplyvnila aj alokácia výdavkov z Plánu obnovy a odolnosti na rok 2022 v celkovej sume 39,5 mil. eur. Z uvedenej sumy je vyčlenených 31,8 mil. eur na realizáciu stavieb a rekonštrukciu zariadení sociálnych služieb, výdavky budú tiež </w:t>
      </w:r>
      <w:r w:rsidRPr="00C77AFF">
        <w:rPr>
          <w:rFonts w:ascii="Times New Roman" w:hAnsi="Times New Roman" w:cs="Times New Roman"/>
          <w:color w:val="000000"/>
          <w:sz w:val="24"/>
          <w:szCs w:val="24"/>
        </w:rPr>
        <w:t>smerovať</w:t>
      </w:r>
      <w:r w:rsidRPr="00C77AFF">
        <w:rPr>
          <w:rFonts w:ascii="Times New Roman" w:hAnsi="Times New Roman" w:cs="Times New Roman"/>
          <w:sz w:val="24"/>
          <w:szCs w:val="24"/>
        </w:rPr>
        <w:t xml:space="preserve"> do vybavenia a infraštruktúry týchto objektov, projektovej dokumen</w:t>
      </w:r>
      <w:r>
        <w:rPr>
          <w:rFonts w:ascii="Times New Roman" w:hAnsi="Times New Roman" w:cs="Times New Roman"/>
          <w:sz w:val="24"/>
          <w:szCs w:val="24"/>
        </w:rPr>
        <w:t>tácie a</w:t>
      </w:r>
      <w:r w:rsidRPr="00C77AFF">
        <w:rPr>
          <w:rFonts w:ascii="Times New Roman" w:hAnsi="Times New Roman" w:cs="Times New Roman"/>
          <w:sz w:val="24"/>
          <w:szCs w:val="24"/>
        </w:rPr>
        <w:t xml:space="preserve"> verejných obstarávaní</w:t>
      </w:r>
      <w:r w:rsidRPr="00C77AFF">
        <w:rPr>
          <w:rFonts w:ascii="Times New Roman" w:hAnsi="Times New Roman" w:cs="Times New Roman"/>
          <w:color w:val="000000"/>
          <w:sz w:val="24"/>
          <w:szCs w:val="24"/>
        </w:rPr>
        <w:t xml:space="preserve">. </w:t>
      </w:r>
      <w:r w:rsidRPr="00C77AFF">
        <w:rPr>
          <w:rFonts w:ascii="Times New Roman" w:hAnsi="Times New Roman" w:cs="Times New Roman"/>
          <w:sz w:val="24"/>
          <w:szCs w:val="24"/>
        </w:rPr>
        <w:t>Výdavky na administratívne kapacity na implementáciu reforiem a investícii sú určené najm</w:t>
      </w:r>
      <w:r>
        <w:rPr>
          <w:rFonts w:ascii="Times New Roman" w:hAnsi="Times New Roman" w:cs="Times New Roman"/>
          <w:sz w:val="24"/>
          <w:szCs w:val="24"/>
        </w:rPr>
        <w:t>ä na mzdy, poistné a materiálno-</w:t>
      </w:r>
      <w:r w:rsidRPr="00C77AFF">
        <w:rPr>
          <w:rFonts w:ascii="Times New Roman" w:hAnsi="Times New Roman" w:cs="Times New Roman"/>
          <w:sz w:val="24"/>
          <w:szCs w:val="24"/>
        </w:rPr>
        <w:t xml:space="preserve">technické vybavenie. </w:t>
      </w:r>
      <w:r w:rsidRPr="008D2AC1">
        <w:rPr>
          <w:rFonts w:ascii="Times New Roman" w:hAnsi="Times New Roman" w:cs="Times New Roman"/>
          <w:sz w:val="24"/>
          <w:szCs w:val="24"/>
        </w:rPr>
        <w:t>V rámci reformy posudkovej činnosti sú výdavky potrebné na zabezpečenie nového vybavenia pre pracovníkov posudkovej činnosti, verejné obstarávanie, projektové dokumentácie. V rámci reformy dohľadu  nad sociálnou starostlivosťou sú výdavky určené na zabezpečenie infraštruktúry pre fungovanie orgánu dohľadu – ústredia ako aj 8 krajských pobočiek. Zároveň sa pripravia materiálno-technické podmienky pre nový orgán dohľadu – autá, počítačové vybavenie a ďalšie nevyhnutné predpoklady na činnosť.</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bCs/>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bCs/>
          <w:color w:val="000000"/>
          <w:sz w:val="24"/>
          <w:szCs w:val="24"/>
          <w:highlight w:val="yellow"/>
        </w:rPr>
      </w:pPr>
      <w:r w:rsidRPr="00C46BA2">
        <w:rPr>
          <w:rFonts w:ascii="Times New Roman" w:hAnsi="Times New Roman" w:cs="Times New Roman"/>
          <w:color w:val="000000"/>
          <w:sz w:val="24"/>
          <w:szCs w:val="24"/>
        </w:rPr>
        <w:t xml:space="preserve">Zdroje EÚ a spolufinancovania zo štátneho rozpočtu slúžia v rámci sociálnej inklúzie na podporu sociálneho začlenenia najodkázanejších osôb a rozpočtujú sa vo </w:t>
      </w:r>
      <w:r w:rsidRPr="00860CDA">
        <w:rPr>
          <w:rFonts w:ascii="Times New Roman" w:hAnsi="Times New Roman" w:cs="Times New Roman"/>
          <w:color w:val="000000"/>
          <w:sz w:val="24"/>
          <w:szCs w:val="24"/>
        </w:rPr>
        <w:t xml:space="preserve">výške 1,25 mil. eur. </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D465B" w:rsidRDefault="00AA17E3" w:rsidP="00AA17E3">
      <w:pPr>
        <w:spacing w:after="0" w:line="240" w:lineRule="auto"/>
        <w:rPr>
          <w:rFonts w:ascii="Times New Roman" w:hAnsi="Times New Roman" w:cs="Times New Roman"/>
          <w:b/>
          <w:color w:val="5B9BD5" w:themeColor="accent1"/>
          <w:sz w:val="24"/>
          <w:szCs w:val="24"/>
        </w:rPr>
      </w:pPr>
      <w:r w:rsidRPr="007D465B">
        <w:rPr>
          <w:rFonts w:ascii="Times New Roman" w:hAnsi="Times New Roman" w:cs="Times New Roman"/>
          <w:b/>
          <w:color w:val="5B9BD5" w:themeColor="accent1"/>
          <w:sz w:val="24"/>
          <w:szCs w:val="24"/>
        </w:rPr>
        <w:t>Podpora zamestnanosti</w:t>
      </w:r>
    </w:p>
    <w:p w:rsidR="00AA17E3" w:rsidRPr="00784C44" w:rsidRDefault="00AA17E3" w:rsidP="00AA17E3">
      <w:pPr>
        <w:spacing w:after="0" w:line="240" w:lineRule="auto"/>
        <w:jc w:val="both"/>
        <w:rPr>
          <w:rFonts w:ascii="Times New Roman" w:hAnsi="Times New Roman" w:cs="Times New Roman"/>
          <w:b/>
          <w:color w:val="5B9BD5" w:themeColor="accent1"/>
          <w:sz w:val="24"/>
          <w:szCs w:val="24"/>
          <w:highlight w:val="yellow"/>
        </w:rPr>
      </w:pPr>
    </w:p>
    <w:p w:rsidR="00AA17E3" w:rsidRPr="007D465B"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7D465B">
        <w:rPr>
          <w:rFonts w:ascii="Times New Roman" w:hAnsi="Times New Roman" w:cs="Times New Roman"/>
          <w:color w:val="000000"/>
          <w:sz w:val="24"/>
          <w:szCs w:val="24"/>
        </w:rPr>
        <w:t xml:space="preserve">Účastníkom trhu práce pomáha pri hľadaní zamestnania, zmene zamestnania a obsadzovaní voľných pracovných miest systém nástrojov a inštitúcií. Ide o tzv. služby zamestnanosti, ktoré realizujú aktívne opatrenia na trhu práce zamerané na pomoc občanom a pomoc zamestnávateľom. </w:t>
      </w:r>
    </w:p>
    <w:p w:rsidR="00AA17E3" w:rsidRDefault="00AA17E3" w:rsidP="00AA17E3">
      <w:pPr>
        <w:spacing w:after="0" w:line="240" w:lineRule="auto"/>
        <w:jc w:val="both"/>
        <w:rPr>
          <w:rFonts w:ascii="Times New Roman" w:hAnsi="Times New Roman" w:cs="Times New Roman"/>
          <w:color w:val="000000"/>
          <w:sz w:val="24"/>
          <w:szCs w:val="24"/>
          <w:highlight w:val="yellow"/>
        </w:rPr>
      </w:pPr>
    </w:p>
    <w:p w:rsidR="00AA17E3" w:rsidRDefault="00AA17E3" w:rsidP="00AA17E3">
      <w:pPr>
        <w:spacing w:after="0" w:line="240" w:lineRule="auto"/>
        <w:jc w:val="both"/>
        <w:rPr>
          <w:rFonts w:ascii="Times New Roman" w:hAnsi="Times New Roman" w:cs="Times New Roman"/>
          <w:color w:val="000000"/>
          <w:sz w:val="24"/>
          <w:szCs w:val="24"/>
          <w:highlight w:val="yellow"/>
        </w:rPr>
      </w:pPr>
      <w:r w:rsidRPr="00D30ED9">
        <w:rPr>
          <w:rFonts w:ascii="Times New Roman" w:hAnsi="Times New Roman" w:cs="Times New Roman"/>
          <w:color w:val="000000"/>
          <w:sz w:val="24"/>
          <w:szCs w:val="24"/>
        </w:rPr>
        <w:t xml:space="preserve">Výdavky v rokoch 2020 a 2021 boli </w:t>
      </w:r>
      <w:r>
        <w:rPr>
          <w:rFonts w:ascii="Times New Roman" w:hAnsi="Times New Roman" w:cs="Times New Roman"/>
          <w:color w:val="000000"/>
          <w:sz w:val="24"/>
          <w:szCs w:val="24"/>
        </w:rPr>
        <w:t>výraz</w:t>
      </w:r>
      <w:r w:rsidRPr="00D30ED9">
        <w:rPr>
          <w:rFonts w:ascii="Times New Roman" w:hAnsi="Times New Roman" w:cs="Times New Roman"/>
          <w:color w:val="000000"/>
          <w:sz w:val="24"/>
          <w:szCs w:val="24"/>
        </w:rPr>
        <w:t>ne ovplyvnené prebiehajúcou pandémiou, nakoľko sa z rozpočtu kapitoly M</w:t>
      </w:r>
      <w:r>
        <w:rPr>
          <w:rFonts w:ascii="Times New Roman" w:hAnsi="Times New Roman" w:cs="Times New Roman"/>
          <w:color w:val="000000"/>
          <w:sz w:val="24"/>
          <w:szCs w:val="24"/>
        </w:rPr>
        <w:t>inisterstva práce, sociálnych vecí a rodiny</w:t>
      </w:r>
      <w:r w:rsidRPr="00D30ED9">
        <w:rPr>
          <w:rFonts w:ascii="Times New Roman" w:hAnsi="Times New Roman" w:cs="Times New Roman"/>
          <w:color w:val="000000"/>
          <w:sz w:val="24"/>
          <w:szCs w:val="24"/>
        </w:rPr>
        <w:t xml:space="preserve"> SR vyplácali v rámci projektu Prvá pomoc, resp. Prvá pomoc+ a Prvá pomoc++ príspevky na náhradu mzdy zamestnancom, ktorým zamestnávateľ nemôže prideľovať prácu z dôvodu prekážky na strane zamestnávateľa a tiež pomoc SZČO, ktorí museli zatvoriť prevádzky alebo ktorým poklesli tržby. Celková poskytnutá pomoc v roku 2020 predstavovala 771 mil. eur, v roku 2021 sa očakávajú celkové výdavky na daný účel v sume 1,46 mld. eur.</w:t>
      </w:r>
    </w:p>
    <w:p w:rsidR="00AA17E3" w:rsidRPr="00784C44" w:rsidRDefault="00AA17E3" w:rsidP="00AA17E3">
      <w:pPr>
        <w:spacing w:after="0" w:line="240" w:lineRule="auto"/>
        <w:jc w:val="both"/>
        <w:rPr>
          <w:rFonts w:ascii="Times New Roman" w:hAnsi="Times New Roman" w:cs="Times New Roman"/>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7D465B">
        <w:rPr>
          <w:rFonts w:ascii="Times New Roman" w:hAnsi="Times New Roman" w:cs="Times New Roman"/>
          <w:color w:val="000000"/>
          <w:sz w:val="24"/>
          <w:szCs w:val="24"/>
        </w:rPr>
        <w:t xml:space="preserve">V rozpočte na rok 2022 je na politiku zamestnanosti rozpočtovaná suma </w:t>
      </w:r>
      <w:r w:rsidRPr="00860CDA">
        <w:rPr>
          <w:rFonts w:ascii="Times New Roman" w:hAnsi="Times New Roman" w:cs="Times New Roman"/>
          <w:color w:val="000000"/>
          <w:sz w:val="24"/>
          <w:szCs w:val="24"/>
        </w:rPr>
        <w:t>27</w:t>
      </w:r>
      <w:r>
        <w:rPr>
          <w:rFonts w:ascii="Times New Roman" w:hAnsi="Times New Roman" w:cs="Times New Roman"/>
          <w:color w:val="000000"/>
          <w:sz w:val="24"/>
          <w:szCs w:val="24"/>
        </w:rPr>
        <w:t>4</w:t>
      </w:r>
      <w:r w:rsidRPr="00860CDA">
        <w:rPr>
          <w:rFonts w:ascii="Times New Roman" w:hAnsi="Times New Roman" w:cs="Times New Roman"/>
          <w:color w:val="000000"/>
          <w:sz w:val="24"/>
          <w:szCs w:val="24"/>
        </w:rPr>
        <w:t xml:space="preserve"> mil. eur, z</w:t>
      </w:r>
      <w:r w:rsidRPr="007D465B">
        <w:rPr>
          <w:rFonts w:ascii="Times New Roman" w:hAnsi="Times New Roman" w:cs="Times New Roman"/>
          <w:color w:val="000000"/>
          <w:sz w:val="24"/>
          <w:szCs w:val="24"/>
        </w:rPr>
        <w:t xml:space="preserve"> toho zdroje EÚ a spolufinancovania </w:t>
      </w:r>
      <w:r w:rsidRPr="00860CDA">
        <w:rPr>
          <w:rFonts w:ascii="Times New Roman" w:hAnsi="Times New Roman" w:cs="Times New Roman"/>
          <w:color w:val="000000"/>
          <w:sz w:val="24"/>
          <w:szCs w:val="24"/>
        </w:rPr>
        <w:t xml:space="preserve">predstavujú 238 mil. eur. </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B16591" w:rsidRDefault="00AA17E3" w:rsidP="00AA17E3">
      <w:pPr>
        <w:pStyle w:val="Popis"/>
        <w:keepNext/>
        <w:spacing w:after="0"/>
        <w:rPr>
          <w:rFonts w:ascii="Times New Roman" w:hAnsi="Times New Roman" w:cs="Times New Roman"/>
          <w:b/>
          <w:i w:val="0"/>
          <w:color w:val="5B9BD5" w:themeColor="accent1"/>
          <w:sz w:val="20"/>
        </w:rPr>
      </w:pPr>
      <w:bookmarkStart w:id="316" w:name="_Toc84528421"/>
      <w:bookmarkStart w:id="317" w:name="_Toc84845297"/>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73</w:t>
      </w:r>
      <w:r w:rsidRPr="002C35FD">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rPr>
        <w:t>–</w:t>
      </w:r>
      <w:r w:rsidR="00BD773F">
        <w:rPr>
          <w:rFonts w:ascii="Times New Roman" w:hAnsi="Times New Roman" w:cs="Times New Roman"/>
          <w:b/>
          <w:i w:val="0"/>
          <w:color w:val="5B9BD5" w:themeColor="accent1"/>
          <w:sz w:val="20"/>
        </w:rPr>
        <w:t xml:space="preserve"> Výdavky na podporu</w:t>
      </w:r>
      <w:r>
        <w:rPr>
          <w:rFonts w:ascii="Times New Roman" w:hAnsi="Times New Roman" w:cs="Times New Roman"/>
          <w:b/>
          <w:i w:val="0"/>
          <w:color w:val="5B9BD5" w:themeColor="accent1"/>
          <w:sz w:val="20"/>
        </w:rPr>
        <w:t xml:space="preserve"> zamestnanosti</w:t>
      </w:r>
      <w:bookmarkEnd w:id="316"/>
      <w:bookmarkEnd w:id="317"/>
    </w:p>
    <w:tbl>
      <w:tblPr>
        <w:tblW w:w="5000" w:type="pct"/>
        <w:tblCellMar>
          <w:left w:w="70" w:type="dxa"/>
          <w:right w:w="70" w:type="dxa"/>
        </w:tblCellMar>
        <w:tblLook w:val="04A0" w:firstRow="1" w:lastRow="0" w:firstColumn="1" w:lastColumn="0" w:noHBand="0" w:noVBand="1"/>
      </w:tblPr>
      <w:tblGrid>
        <w:gridCol w:w="3076"/>
        <w:gridCol w:w="857"/>
        <w:gridCol w:w="857"/>
        <w:gridCol w:w="857"/>
        <w:gridCol w:w="857"/>
        <w:gridCol w:w="856"/>
        <w:gridCol w:w="856"/>
        <w:gridCol w:w="856"/>
      </w:tblGrid>
      <w:tr w:rsidR="00AA17E3" w:rsidRPr="00EA2C0D" w:rsidTr="00AA17E3">
        <w:trPr>
          <w:trHeight w:val="204"/>
        </w:trPr>
        <w:tc>
          <w:tcPr>
            <w:tcW w:w="1695"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AA17E3">
            <w:pPr>
              <w:spacing w:after="0" w:line="240" w:lineRule="auto"/>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v tis. eur</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2019 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2020 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2021 R</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2021 OS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2022 N</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2023 N</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EA2C0D" w:rsidRDefault="00AA17E3" w:rsidP="00804037">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2024 N</w:t>
            </w:r>
          </w:p>
        </w:tc>
      </w:tr>
      <w:tr w:rsidR="00AA17E3" w:rsidRPr="00EA2C0D" w:rsidTr="00AA17E3">
        <w:trPr>
          <w:trHeight w:val="216"/>
        </w:trPr>
        <w:tc>
          <w:tcPr>
            <w:tcW w:w="1695" w:type="pct"/>
            <w:tcBorders>
              <w:top w:val="nil"/>
              <w:left w:val="nil"/>
              <w:bottom w:val="single" w:sz="4" w:space="0" w:color="auto"/>
              <w:right w:val="nil"/>
            </w:tcBorders>
            <w:shd w:val="clear" w:color="auto" w:fill="auto"/>
            <w:noWrap/>
            <w:vAlign w:val="center"/>
            <w:hideMark/>
          </w:tcPr>
          <w:p w:rsidR="00AA17E3" w:rsidRPr="00EA2C0D" w:rsidRDefault="00AA17E3" w:rsidP="00AA17E3">
            <w:pPr>
              <w:spacing w:after="0" w:line="240" w:lineRule="auto"/>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Podpora zamestnanosti</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285 711</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1 167 135</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284 055</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1 953 178</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274 323</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300 137</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b/>
                <w:bCs/>
                <w:sz w:val="16"/>
                <w:szCs w:val="16"/>
                <w:lang w:eastAsia="sk-SK"/>
              </w:rPr>
            </w:pPr>
            <w:r w:rsidRPr="00EA2C0D">
              <w:rPr>
                <w:rFonts w:ascii="Times New Roman" w:eastAsia="Times New Roman" w:hAnsi="Times New Roman" w:cs="Times New Roman"/>
                <w:b/>
                <w:bCs/>
                <w:sz w:val="16"/>
                <w:szCs w:val="16"/>
                <w:lang w:eastAsia="sk-SK"/>
              </w:rPr>
              <w:t>42 770</w:t>
            </w:r>
          </w:p>
        </w:tc>
      </w:tr>
      <w:tr w:rsidR="00AA17E3" w:rsidRPr="00EA2C0D" w:rsidTr="00AA17E3">
        <w:trPr>
          <w:trHeight w:val="216"/>
        </w:trPr>
        <w:tc>
          <w:tcPr>
            <w:tcW w:w="1695" w:type="pct"/>
            <w:tcBorders>
              <w:top w:val="nil"/>
              <w:left w:val="nil"/>
              <w:bottom w:val="nil"/>
              <w:right w:val="nil"/>
            </w:tcBorders>
            <w:shd w:val="clear" w:color="auto" w:fill="auto"/>
            <w:noWrap/>
            <w:vAlign w:val="center"/>
            <w:hideMark/>
          </w:tcPr>
          <w:p w:rsidR="00AA17E3" w:rsidRPr="00EA2C0D" w:rsidRDefault="00AA17E3" w:rsidP="00AA17E3">
            <w:pPr>
              <w:spacing w:after="0" w:line="240" w:lineRule="auto"/>
              <w:rPr>
                <w:rFonts w:ascii="Times New Roman" w:eastAsia="Times New Roman" w:hAnsi="Times New Roman" w:cs="Times New Roman"/>
                <w:sz w:val="16"/>
                <w:szCs w:val="16"/>
                <w:lang w:eastAsia="sk-SK"/>
              </w:rPr>
            </w:pPr>
            <w:r w:rsidRPr="00EA2C0D">
              <w:rPr>
                <w:rFonts w:ascii="Times New Roman" w:eastAsia="Times New Roman" w:hAnsi="Times New Roman" w:cs="Times New Roman"/>
                <w:sz w:val="16"/>
                <w:szCs w:val="16"/>
                <w:lang w:eastAsia="sk-SK"/>
              </w:rPr>
              <w:t>EÚ zdroje + spolufinancovanie (zdroj 11)</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56 400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188 351</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247 305</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310 685</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238 329</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264 237</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6 870</w:t>
            </w:r>
          </w:p>
        </w:tc>
      </w:tr>
      <w:tr w:rsidR="00AA17E3" w:rsidRPr="00EA2C0D" w:rsidTr="00AA17E3">
        <w:trPr>
          <w:trHeight w:val="216"/>
        </w:trPr>
        <w:tc>
          <w:tcPr>
            <w:tcW w:w="1695" w:type="pct"/>
            <w:tcBorders>
              <w:top w:val="nil"/>
              <w:left w:val="nil"/>
              <w:bottom w:val="nil"/>
              <w:right w:val="nil"/>
            </w:tcBorders>
            <w:shd w:val="clear" w:color="auto" w:fill="auto"/>
            <w:noWrap/>
            <w:vAlign w:val="center"/>
            <w:hideMark/>
          </w:tcPr>
          <w:p w:rsidR="00AA17E3" w:rsidRPr="00EA2C0D" w:rsidRDefault="00AA17E3" w:rsidP="00AA17E3">
            <w:pPr>
              <w:spacing w:after="0" w:line="240" w:lineRule="auto"/>
              <w:rPr>
                <w:rFonts w:ascii="Times New Roman" w:eastAsia="Times New Roman" w:hAnsi="Times New Roman" w:cs="Times New Roman"/>
                <w:sz w:val="16"/>
                <w:szCs w:val="16"/>
                <w:lang w:eastAsia="sk-SK"/>
              </w:rPr>
            </w:pPr>
            <w:r w:rsidRPr="00EA2C0D">
              <w:rPr>
                <w:rFonts w:ascii="Times New Roman" w:eastAsia="Times New Roman" w:hAnsi="Times New Roman" w:cs="Times New Roman"/>
                <w:sz w:val="16"/>
                <w:szCs w:val="16"/>
                <w:lang w:eastAsia="sk-SK"/>
              </w:rPr>
              <w:t>EÚ zdroje + spolufinancovanie (zdroj 13)</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198 781</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372 061</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292 442</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0</w:t>
            </w:r>
          </w:p>
        </w:tc>
      </w:tr>
      <w:tr w:rsidR="00AA17E3" w:rsidRPr="00EA2C0D" w:rsidTr="00AA17E3">
        <w:trPr>
          <w:trHeight w:val="204"/>
        </w:trPr>
        <w:tc>
          <w:tcPr>
            <w:tcW w:w="1695" w:type="pct"/>
            <w:tcBorders>
              <w:top w:val="nil"/>
              <w:left w:val="nil"/>
              <w:bottom w:val="nil"/>
              <w:right w:val="nil"/>
            </w:tcBorders>
            <w:shd w:val="clear" w:color="auto" w:fill="auto"/>
            <w:noWrap/>
            <w:vAlign w:val="center"/>
            <w:hideMark/>
          </w:tcPr>
          <w:p w:rsidR="00AA17E3" w:rsidRPr="00EA2C0D" w:rsidRDefault="00AA17E3" w:rsidP="00AA17E3">
            <w:pPr>
              <w:spacing w:after="0" w:line="240" w:lineRule="auto"/>
              <w:rPr>
                <w:rFonts w:ascii="Times New Roman" w:eastAsia="Times New Roman" w:hAnsi="Times New Roman" w:cs="Times New Roman"/>
                <w:sz w:val="16"/>
                <w:szCs w:val="16"/>
                <w:lang w:eastAsia="sk-SK"/>
              </w:rPr>
            </w:pPr>
            <w:r w:rsidRPr="00EA2C0D">
              <w:rPr>
                <w:rFonts w:ascii="Times New Roman" w:eastAsia="Times New Roman" w:hAnsi="Times New Roman" w:cs="Times New Roman"/>
                <w:sz w:val="16"/>
                <w:szCs w:val="16"/>
                <w:lang w:eastAsia="sk-SK"/>
              </w:rPr>
              <w:t>zdroje zo štátneho rozpočtu, v tom:</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30 530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606 724</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36 749</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1 350 050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35 995</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35 900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35 900</w:t>
            </w:r>
          </w:p>
        </w:tc>
      </w:tr>
      <w:tr w:rsidR="00AA17E3" w:rsidRPr="00EA2C0D" w:rsidTr="00AA17E3">
        <w:trPr>
          <w:trHeight w:val="204"/>
        </w:trPr>
        <w:tc>
          <w:tcPr>
            <w:tcW w:w="1695" w:type="pct"/>
            <w:tcBorders>
              <w:top w:val="nil"/>
              <w:left w:val="nil"/>
              <w:bottom w:val="nil"/>
              <w:right w:val="nil"/>
            </w:tcBorders>
            <w:shd w:val="clear" w:color="auto" w:fill="auto"/>
            <w:noWrap/>
            <w:vAlign w:val="center"/>
            <w:hideMark/>
          </w:tcPr>
          <w:p w:rsidR="00AA17E3" w:rsidRPr="00EA2C0D" w:rsidRDefault="00AA17E3" w:rsidP="00AA17E3">
            <w:pPr>
              <w:spacing w:after="0" w:line="240" w:lineRule="auto"/>
              <w:ind w:firstLineChars="100" w:firstLine="160"/>
              <w:rPr>
                <w:rFonts w:ascii="Times New Roman" w:eastAsia="Times New Roman" w:hAnsi="Times New Roman" w:cs="Times New Roman"/>
                <w:sz w:val="16"/>
                <w:szCs w:val="16"/>
                <w:lang w:eastAsia="sk-SK"/>
              </w:rPr>
            </w:pPr>
            <w:r w:rsidRPr="00EA2C0D">
              <w:rPr>
                <w:rFonts w:ascii="Times New Roman" w:eastAsia="Times New Roman" w:hAnsi="Times New Roman" w:cs="Times New Roman"/>
                <w:sz w:val="16"/>
                <w:szCs w:val="16"/>
                <w:lang w:eastAsia="sk-SK"/>
              </w:rPr>
              <w:t>národné programy</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28 871</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605 099</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32 800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1 346 101</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32 800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32 800</w:t>
            </w:r>
          </w:p>
        </w:tc>
        <w:tc>
          <w:tcPr>
            <w:tcW w:w="472" w:type="pct"/>
            <w:tcBorders>
              <w:top w:val="nil"/>
              <w:left w:val="nil"/>
              <w:bottom w:val="nil"/>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32 800</w:t>
            </w:r>
          </w:p>
        </w:tc>
      </w:tr>
      <w:tr w:rsidR="00AA17E3" w:rsidRPr="00EA2C0D" w:rsidTr="00AA17E3">
        <w:trPr>
          <w:trHeight w:val="204"/>
        </w:trPr>
        <w:tc>
          <w:tcPr>
            <w:tcW w:w="1695" w:type="pct"/>
            <w:tcBorders>
              <w:top w:val="nil"/>
              <w:left w:val="nil"/>
              <w:bottom w:val="single" w:sz="4" w:space="0" w:color="auto"/>
              <w:right w:val="nil"/>
            </w:tcBorders>
            <w:shd w:val="clear" w:color="auto" w:fill="auto"/>
            <w:noWrap/>
            <w:vAlign w:val="center"/>
            <w:hideMark/>
          </w:tcPr>
          <w:p w:rsidR="00AA17E3" w:rsidRPr="00EA2C0D" w:rsidRDefault="00AA17E3" w:rsidP="00AA17E3">
            <w:pPr>
              <w:spacing w:after="0" w:line="240" w:lineRule="auto"/>
              <w:ind w:firstLineChars="100" w:firstLine="160"/>
              <w:rPr>
                <w:rFonts w:ascii="Times New Roman" w:eastAsia="Times New Roman" w:hAnsi="Times New Roman" w:cs="Times New Roman"/>
                <w:sz w:val="16"/>
                <w:szCs w:val="16"/>
                <w:lang w:eastAsia="sk-SK"/>
              </w:rPr>
            </w:pPr>
            <w:r w:rsidRPr="00EA2C0D">
              <w:rPr>
                <w:rFonts w:ascii="Times New Roman" w:eastAsia="Times New Roman" w:hAnsi="Times New Roman" w:cs="Times New Roman"/>
                <w:sz w:val="16"/>
                <w:szCs w:val="16"/>
                <w:lang w:eastAsia="sk-SK"/>
              </w:rPr>
              <w:t>investičné stimuly</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1 659</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1 624</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3 949</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3 949</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3 195</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3 100</w:t>
            </w:r>
          </w:p>
        </w:tc>
        <w:tc>
          <w:tcPr>
            <w:tcW w:w="472" w:type="pct"/>
            <w:tcBorders>
              <w:top w:val="nil"/>
              <w:left w:val="nil"/>
              <w:bottom w:val="single" w:sz="4" w:space="0" w:color="auto"/>
              <w:right w:val="nil"/>
            </w:tcBorders>
            <w:shd w:val="clear" w:color="auto" w:fill="auto"/>
            <w:noWrap/>
            <w:vAlign w:val="bottom"/>
            <w:hideMark/>
          </w:tcPr>
          <w:p w:rsidR="00AA17E3" w:rsidRPr="00EA2C0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A2C0D">
              <w:rPr>
                <w:rFonts w:ascii="Times New Roman" w:eastAsia="Times New Roman" w:hAnsi="Times New Roman" w:cs="Times New Roman"/>
                <w:color w:val="000000"/>
                <w:sz w:val="16"/>
                <w:szCs w:val="16"/>
                <w:lang w:eastAsia="sk-SK"/>
              </w:rPr>
              <w:t>3 100</w:t>
            </w:r>
          </w:p>
        </w:tc>
      </w:tr>
    </w:tbl>
    <w:p w:rsidR="00AA17E3" w:rsidRPr="00D30ED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6"/>
          <w:szCs w:val="16"/>
        </w:rPr>
      </w:pPr>
      <w:r w:rsidRPr="00D30ED9">
        <w:rPr>
          <w:rFonts w:ascii="Times New Roman" w:hAnsi="Times New Roman" w:cs="Times New Roman"/>
          <w:i/>
          <w:color w:val="000000"/>
          <w:sz w:val="16"/>
          <w:szCs w:val="16"/>
        </w:rPr>
        <w:t>Zdroj: MF SR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D465B"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Ministerstvo práce, sociálnych vecí a rodiny</w:t>
      </w:r>
      <w:r w:rsidRPr="007D465B">
        <w:rPr>
          <w:rFonts w:ascii="Times New Roman" w:hAnsi="Times New Roman" w:cs="Times New Roman"/>
          <w:color w:val="000000"/>
          <w:sz w:val="24"/>
          <w:szCs w:val="24"/>
        </w:rPr>
        <w:t xml:space="preserve"> SR ako gestor medzirezortného programu 06G Ľudské zdroje realizuje podprogramy, ktorých výdavky sú určené na zabezpečenie financovania nástrojov aktívnej politiky trhu práce v zmysle zákona o službách zamestnanosti. Zámerom tohto podprogramu je vytváranie podmienok na zvýšenie zamestnateľnosti s dôrazom na zamestnateľnosť znevýhodnených uchádzačov o zamestnanie, na rozvoj moderných služieb zamestnanosti, zlepšenie celkovej situácie v oblasti rovnosti príležitostí, antidiskriminácie a podpory sociálnej inklúzie realizovaním projektov financovaných  z rozpočtu EÚ a spolufinancovaných zo ŠR. </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7D465B">
        <w:rPr>
          <w:rFonts w:ascii="Times New Roman" w:hAnsi="Times New Roman" w:cs="Times New Roman"/>
          <w:color w:val="000000"/>
          <w:sz w:val="24"/>
          <w:szCs w:val="24"/>
        </w:rPr>
        <w:t xml:space="preserve">Osobitný zreteľ kladú služby zamestnanosti na pracovné uplatnenie znevýhodnených uchádzačov o zamestnanie. V rámci Národných programov rozvoja aktívnej politiky trhu práce sú na tento účel zabezpečené zdroje štátneho rozpočtu v sume </w:t>
      </w:r>
      <w:r w:rsidRPr="006F7A7C">
        <w:rPr>
          <w:rFonts w:ascii="Times New Roman" w:hAnsi="Times New Roman" w:cs="Times New Roman"/>
          <w:color w:val="000000"/>
          <w:sz w:val="24"/>
          <w:szCs w:val="24"/>
        </w:rPr>
        <w:t>32,8 mil. eur.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r w:rsidRPr="007D465B">
        <w:rPr>
          <w:rFonts w:ascii="Times New Roman" w:hAnsi="Times New Roman" w:cs="Times New Roman"/>
          <w:color w:val="000000"/>
          <w:sz w:val="24"/>
          <w:szCs w:val="24"/>
        </w:rPr>
        <w:t xml:space="preserve">V rámci aktívnej politiky trhu práce v súlade so zákonom o regionálnej investičnej pomoci sa z rozpočtu kapitoly Ministerstva práce, sociálnych vecí a rodiny SR poskytujú príspevky na </w:t>
      </w:r>
      <w:r w:rsidR="00A4378C">
        <w:rPr>
          <w:rFonts w:ascii="Times New Roman" w:hAnsi="Times New Roman" w:cs="Times New Roman"/>
          <w:color w:val="000000"/>
          <w:sz w:val="24"/>
          <w:szCs w:val="24"/>
        </w:rPr>
        <w:t>podporu vytvárania nových pracovných miest</w:t>
      </w:r>
      <w:r w:rsidRPr="007D465B">
        <w:rPr>
          <w:rFonts w:ascii="Times New Roman" w:hAnsi="Times New Roman" w:cs="Times New Roman"/>
          <w:color w:val="000000"/>
          <w:sz w:val="24"/>
          <w:szCs w:val="24"/>
        </w:rPr>
        <w:t xml:space="preserve">. V rozpočte na rok 2022 sú na tento účel alokované prostriedky v celkovej </w:t>
      </w:r>
      <w:r w:rsidRPr="002A2940">
        <w:rPr>
          <w:rFonts w:ascii="Times New Roman" w:hAnsi="Times New Roman" w:cs="Times New Roman"/>
          <w:color w:val="000000"/>
          <w:sz w:val="24"/>
          <w:szCs w:val="24"/>
        </w:rPr>
        <w:t>výške 3,19 mil. eur.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4"/>
          <w:szCs w:val="24"/>
          <w:highlight w:val="yellow"/>
        </w:rPr>
      </w:pPr>
    </w:p>
    <w:p w:rsidR="00AA17E3" w:rsidRPr="002A2940" w:rsidRDefault="00AA17E3" w:rsidP="00AA17E3">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4"/>
          <w:szCs w:val="24"/>
        </w:rPr>
      </w:pPr>
      <w:r w:rsidRPr="002A2940">
        <w:rPr>
          <w:rFonts w:ascii="Times New Roman" w:hAnsi="Times New Roman" w:cs="Times New Roman"/>
          <w:b/>
          <w:color w:val="5B9BD5" w:themeColor="accent1"/>
          <w:sz w:val="24"/>
          <w:szCs w:val="24"/>
        </w:rPr>
        <w:t>Administratíva a ostatné výdavky</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highlight w:val="yellow"/>
        </w:rPr>
      </w:pPr>
    </w:p>
    <w:p w:rsidR="00AA17E3" w:rsidRPr="00845469"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2A2940">
        <w:rPr>
          <w:rFonts w:ascii="Times New Roman" w:hAnsi="Times New Roman" w:cs="Times New Roman"/>
          <w:color w:val="000000"/>
          <w:sz w:val="24"/>
          <w:szCs w:val="24"/>
        </w:rPr>
        <w:t>V kapitole M</w:t>
      </w:r>
      <w:r>
        <w:rPr>
          <w:rFonts w:ascii="Times New Roman" w:hAnsi="Times New Roman" w:cs="Times New Roman"/>
          <w:color w:val="000000"/>
          <w:sz w:val="24"/>
          <w:szCs w:val="24"/>
        </w:rPr>
        <w:t>inisterstva práce, sociálnych vecí a rodiny</w:t>
      </w:r>
      <w:r w:rsidRPr="002A2940">
        <w:rPr>
          <w:rFonts w:ascii="Times New Roman" w:hAnsi="Times New Roman" w:cs="Times New Roman"/>
          <w:color w:val="000000"/>
          <w:sz w:val="24"/>
          <w:szCs w:val="24"/>
        </w:rPr>
        <w:t xml:space="preserve"> SR sa rozpočtujú výdavky pre osem podriadených organizácií, z toho 7 rozpočtových a 1 príspevkovú organizáciu. Najväčšou organizáciou je Ústredie práce, sociálnych vecí a rodiny, ktoré prostredníctvom 46 úradov práce, sociálnych vecí a rodiny vykonáva štátnu správu v oblasti sociálnych vecí a služieb zamestnanosti. Výdavky sústavy úradov práce, sociálnych vecí a rodiny </w:t>
      </w:r>
      <w:r>
        <w:rPr>
          <w:rFonts w:ascii="Times New Roman" w:hAnsi="Times New Roman" w:cs="Times New Roman"/>
          <w:color w:val="000000"/>
          <w:sz w:val="24"/>
          <w:szCs w:val="24"/>
        </w:rPr>
        <w:t xml:space="preserve">zaznamenávajú </w:t>
      </w:r>
      <w:r w:rsidRPr="002A2940">
        <w:rPr>
          <w:rFonts w:ascii="Times New Roman" w:hAnsi="Times New Roman" w:cs="Times New Roman"/>
          <w:color w:val="000000"/>
          <w:sz w:val="24"/>
          <w:szCs w:val="24"/>
        </w:rPr>
        <w:t>medziročn</w:t>
      </w:r>
      <w:r w:rsidRPr="00845469">
        <w:rPr>
          <w:rFonts w:ascii="Times New Roman" w:hAnsi="Times New Roman" w:cs="Times New Roman"/>
          <w:color w:val="000000"/>
          <w:sz w:val="24"/>
          <w:szCs w:val="24"/>
        </w:rPr>
        <w:t>e mierny pokles o 1,4</w:t>
      </w:r>
      <w:r>
        <w:rPr>
          <w:rFonts w:ascii="Times New Roman" w:hAnsi="Times New Roman" w:cs="Times New Roman"/>
          <w:color w:val="000000"/>
          <w:sz w:val="24"/>
          <w:szCs w:val="24"/>
        </w:rPr>
        <w:t>5</w:t>
      </w:r>
      <w:r w:rsidRPr="00845469">
        <w:rPr>
          <w:rFonts w:ascii="Times New Roman" w:hAnsi="Times New Roman" w:cs="Times New Roman"/>
          <w:color w:val="000000"/>
          <w:sz w:val="24"/>
          <w:szCs w:val="24"/>
        </w:rPr>
        <w:t xml:space="preserve"> mil. eur.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2A294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2A2940">
        <w:rPr>
          <w:rFonts w:ascii="Times New Roman" w:hAnsi="Times New Roman" w:cs="Times New Roman"/>
          <w:color w:val="000000"/>
          <w:sz w:val="24"/>
          <w:szCs w:val="24"/>
        </w:rPr>
        <w:t>Ďalšími organizáciami pôsobiacimi v sfére sociálnych vecí sú Úrad komisára pre deti a Úrad komisára pre osoby so zdravotným postihnutím. Oba úrady sú naviazané na štátny rozpočet formou transferu prostredníctvom kapitoly Všeobecná pokladničná správa. Komisár pre deti sa podieľa na ochrane práv detí podporou a presadzovaním práv priznaných dieťaťu medzinárodnými zmluvami, ktorými je Slovenská republika viazaná. Komisár pre osoby so zdravotným postihnutím sa podieľa na ochrane práv osôb so zdravotným postihnutím, podporou a presadzovaním práv priznaných osobe so zdravotným postihnutím medzinárodnými zmluvami, ktorými je Slovenská republika viazaná.</w:t>
      </w:r>
    </w:p>
    <w:p w:rsidR="001E50EB" w:rsidRPr="00784C44" w:rsidRDefault="001E50EB"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highlight w:val="yellow"/>
        </w:rPr>
      </w:pPr>
    </w:p>
    <w:p w:rsidR="00AA17E3" w:rsidRPr="002A2940"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2A2940">
        <w:rPr>
          <w:rFonts w:ascii="Times New Roman" w:hAnsi="Times New Roman" w:cs="Times New Roman"/>
          <w:color w:val="000000"/>
          <w:sz w:val="24"/>
          <w:szCs w:val="24"/>
        </w:rPr>
        <w:t>Podrobný prehľad výdavkov jednotlivých organizácií poskytuje nasledovná tabuľka.</w:t>
      </w:r>
    </w:p>
    <w:p w:rsidR="00AA17E3" w:rsidRPr="00165E3F"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AA17E3" w:rsidRPr="00165E3F" w:rsidRDefault="00AA17E3" w:rsidP="00AA17E3">
      <w:pPr>
        <w:pStyle w:val="Popis"/>
        <w:keepNext/>
        <w:spacing w:after="0"/>
        <w:rPr>
          <w:rFonts w:ascii="Times New Roman" w:hAnsi="Times New Roman" w:cs="Times New Roman"/>
          <w:b/>
          <w:i w:val="0"/>
          <w:color w:val="5B9BD5" w:themeColor="accent1"/>
          <w:sz w:val="20"/>
          <w:szCs w:val="20"/>
        </w:rPr>
      </w:pPr>
      <w:bookmarkStart w:id="318" w:name="_Toc53054805"/>
      <w:bookmarkStart w:id="319" w:name="_Toc53077997"/>
      <w:bookmarkStart w:id="320" w:name="_Toc53086399"/>
      <w:bookmarkStart w:id="321" w:name="_Toc84528422"/>
      <w:bookmarkStart w:id="322" w:name="_Toc84845298"/>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74</w:t>
      </w:r>
      <w:r w:rsidRPr="002C35FD">
        <w:rPr>
          <w:rFonts w:ascii="Times New Roman" w:hAnsi="Times New Roman" w:cs="Times New Roman"/>
          <w:b/>
          <w:i w:val="0"/>
          <w:color w:val="5B9BD5" w:themeColor="accent1"/>
          <w:sz w:val="20"/>
          <w:szCs w:val="20"/>
        </w:rPr>
        <w:fldChar w:fldCharType="end"/>
      </w:r>
      <w:r w:rsidRPr="00165E3F">
        <w:rPr>
          <w:rFonts w:ascii="Times New Roman" w:hAnsi="Times New Roman" w:cs="Times New Roman"/>
          <w:b/>
          <w:i w:val="0"/>
          <w:color w:val="5B9BD5" w:themeColor="accent1"/>
          <w:sz w:val="20"/>
          <w:szCs w:val="20"/>
        </w:rPr>
        <w:t xml:space="preserve"> - Výdavky organizácií pôsobiacich v oblasti sociálnych vecí a podpory zamestnanosti</w:t>
      </w:r>
      <w:bookmarkEnd w:id="318"/>
      <w:bookmarkEnd w:id="319"/>
      <w:bookmarkEnd w:id="320"/>
      <w:bookmarkEnd w:id="321"/>
      <w:bookmarkEnd w:id="322"/>
    </w:p>
    <w:tbl>
      <w:tblPr>
        <w:tblW w:w="5000" w:type="pct"/>
        <w:tblCellMar>
          <w:left w:w="70" w:type="dxa"/>
          <w:right w:w="70" w:type="dxa"/>
        </w:tblCellMar>
        <w:tblLook w:val="04A0" w:firstRow="1" w:lastRow="0" w:firstColumn="1" w:lastColumn="0" w:noHBand="0" w:noVBand="1"/>
      </w:tblPr>
      <w:tblGrid>
        <w:gridCol w:w="3846"/>
        <w:gridCol w:w="746"/>
        <w:gridCol w:w="746"/>
        <w:gridCol w:w="746"/>
        <w:gridCol w:w="748"/>
        <w:gridCol w:w="746"/>
        <w:gridCol w:w="746"/>
        <w:gridCol w:w="748"/>
      </w:tblGrid>
      <w:tr w:rsidR="00AA17E3" w:rsidRPr="00CA6853" w:rsidTr="00AA17E3">
        <w:trPr>
          <w:trHeight w:val="204"/>
        </w:trPr>
        <w:tc>
          <w:tcPr>
            <w:tcW w:w="1650"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v tis. eur</w:t>
            </w:r>
          </w:p>
        </w:tc>
        <w:tc>
          <w:tcPr>
            <w:tcW w:w="478"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2019 S</w:t>
            </w:r>
          </w:p>
        </w:tc>
        <w:tc>
          <w:tcPr>
            <w:tcW w:w="478"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2020 S</w:t>
            </w:r>
          </w:p>
        </w:tc>
        <w:tc>
          <w:tcPr>
            <w:tcW w:w="478"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2021 R</w:t>
            </w:r>
          </w:p>
        </w:tc>
        <w:tc>
          <w:tcPr>
            <w:tcW w:w="479"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2021 OS</w:t>
            </w:r>
          </w:p>
        </w:tc>
        <w:tc>
          <w:tcPr>
            <w:tcW w:w="478"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2022 N</w:t>
            </w:r>
          </w:p>
        </w:tc>
        <w:tc>
          <w:tcPr>
            <w:tcW w:w="478"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2023 N</w:t>
            </w:r>
          </w:p>
        </w:tc>
        <w:tc>
          <w:tcPr>
            <w:tcW w:w="479" w:type="pct"/>
            <w:tcBorders>
              <w:top w:val="single" w:sz="4" w:space="0" w:color="auto"/>
              <w:left w:val="nil"/>
              <w:bottom w:val="single" w:sz="4" w:space="0" w:color="auto"/>
              <w:right w:val="nil"/>
            </w:tcBorders>
            <w:shd w:val="clear" w:color="auto" w:fill="auto"/>
            <w:noWrap/>
            <w:vAlign w:val="center"/>
            <w:hideMark/>
          </w:tcPr>
          <w:p w:rsidR="00AA17E3" w:rsidRPr="00CA6853" w:rsidRDefault="00AA17E3" w:rsidP="00804037">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2024 N</w:t>
            </w:r>
          </w:p>
        </w:tc>
      </w:tr>
      <w:tr w:rsidR="00AA17E3" w:rsidRPr="00CA6853" w:rsidTr="00AA17E3">
        <w:trPr>
          <w:trHeight w:val="204"/>
        </w:trPr>
        <w:tc>
          <w:tcPr>
            <w:tcW w:w="1650" w:type="pct"/>
            <w:tcBorders>
              <w:top w:val="nil"/>
              <w:left w:val="nil"/>
              <w:bottom w:val="single" w:sz="4" w:space="0" w:color="auto"/>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Výdavky organizácií pôsobiacich v oblasti</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205 980</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225 261</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186 900</w:t>
            </w:r>
          </w:p>
        </w:tc>
        <w:tc>
          <w:tcPr>
            <w:tcW w:w="479"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205 729</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189 350</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188 824</w:t>
            </w:r>
          </w:p>
        </w:tc>
        <w:tc>
          <w:tcPr>
            <w:tcW w:w="479"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b/>
                <w:bCs/>
                <w:sz w:val="16"/>
                <w:szCs w:val="16"/>
                <w:lang w:eastAsia="sk-SK"/>
              </w:rPr>
            </w:pPr>
            <w:r w:rsidRPr="00CA6853">
              <w:rPr>
                <w:rFonts w:ascii="Times New Roman" w:eastAsia="Times New Roman" w:hAnsi="Times New Roman" w:cs="Times New Roman"/>
                <w:b/>
                <w:bCs/>
                <w:sz w:val="16"/>
                <w:szCs w:val="16"/>
                <w:lang w:eastAsia="sk-SK"/>
              </w:rPr>
              <w:t>188 924</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Kapitola MPSVR SR</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204 870</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224 093</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185 677</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204 506</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188 071</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187 545</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187 645</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MPSVR, z toho:</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17 864</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22 081</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17 602</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20 421</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21 223</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21 224</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21 224</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ind w:firstLineChars="100" w:firstLine="160"/>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transfer Inštitútu pre výskum práce a rodiny</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529</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577</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535</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535</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535</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535</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535</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ÚPSVAR</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167 218</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181 119</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149 188</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165 192</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147 740</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147 172</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147 172</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Národný inšpektorát práce</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14 319</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15 140</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13 612</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13 717</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13 736</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13 756</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13 756</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Centrum pre medzin. ochranu detí a mládeže</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551</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566</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546</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552</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587</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587</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587</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Implementačná agentúra pre OP ZaSI</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1 338</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1 246</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1 055</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1 055</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1 055</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1 055</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1 055</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Inštitút pre prac. rehabilitáciu občanov so zdr.postihnutím</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2 842</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3 168</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2 911</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2 804</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2 968</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2 989</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3 089</w:t>
            </w:r>
          </w:p>
        </w:tc>
      </w:tr>
      <w:tr w:rsidR="00AA17E3" w:rsidRPr="00CA6853" w:rsidTr="00AA17E3">
        <w:trPr>
          <w:trHeight w:val="204"/>
        </w:trPr>
        <w:tc>
          <w:tcPr>
            <w:tcW w:w="1650" w:type="pct"/>
            <w:tcBorders>
              <w:top w:val="nil"/>
              <w:left w:val="nil"/>
              <w:bottom w:val="single" w:sz="4" w:space="0" w:color="auto"/>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Rehabilitačné stredisko pre zrakovo postihnutých</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737</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774</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762</w:t>
            </w:r>
          </w:p>
        </w:tc>
        <w:tc>
          <w:tcPr>
            <w:tcW w:w="479"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765</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762</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762</w:t>
            </w:r>
          </w:p>
        </w:tc>
        <w:tc>
          <w:tcPr>
            <w:tcW w:w="479"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762</w:t>
            </w:r>
          </w:p>
        </w:tc>
      </w:tr>
      <w:tr w:rsidR="00AA17E3" w:rsidRPr="00CA6853" w:rsidTr="00AA17E3">
        <w:trPr>
          <w:trHeight w:val="204"/>
        </w:trPr>
        <w:tc>
          <w:tcPr>
            <w:tcW w:w="1650" w:type="pct"/>
            <w:tcBorders>
              <w:top w:val="nil"/>
              <w:left w:val="nil"/>
              <w:bottom w:val="nil"/>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Úrad komisára pre deti</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589</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633</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638</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638</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641</w:t>
            </w:r>
          </w:p>
        </w:tc>
        <w:tc>
          <w:tcPr>
            <w:tcW w:w="478"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641</w:t>
            </w:r>
          </w:p>
        </w:tc>
        <w:tc>
          <w:tcPr>
            <w:tcW w:w="479" w:type="pct"/>
            <w:tcBorders>
              <w:top w:val="nil"/>
              <w:left w:val="nil"/>
              <w:bottom w:val="nil"/>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641</w:t>
            </w:r>
          </w:p>
        </w:tc>
      </w:tr>
      <w:tr w:rsidR="00AA17E3" w:rsidRPr="00CA6853" w:rsidTr="00AA17E3">
        <w:trPr>
          <w:trHeight w:val="204"/>
        </w:trPr>
        <w:tc>
          <w:tcPr>
            <w:tcW w:w="1650" w:type="pct"/>
            <w:tcBorders>
              <w:top w:val="nil"/>
              <w:left w:val="nil"/>
              <w:bottom w:val="single" w:sz="4" w:space="0" w:color="auto"/>
              <w:right w:val="nil"/>
            </w:tcBorders>
            <w:shd w:val="clear" w:color="auto" w:fill="auto"/>
            <w:noWrap/>
            <w:vAlign w:val="center"/>
            <w:hideMark/>
          </w:tcPr>
          <w:p w:rsidR="00AA17E3" w:rsidRPr="00CA6853" w:rsidRDefault="00AA17E3" w:rsidP="00AA17E3">
            <w:pPr>
              <w:spacing w:after="0" w:line="240" w:lineRule="auto"/>
              <w:rPr>
                <w:rFonts w:ascii="Times New Roman" w:eastAsia="Times New Roman" w:hAnsi="Times New Roman" w:cs="Times New Roman"/>
                <w:sz w:val="16"/>
                <w:szCs w:val="16"/>
                <w:lang w:eastAsia="sk-SK"/>
              </w:rPr>
            </w:pPr>
            <w:r w:rsidRPr="00CA6853">
              <w:rPr>
                <w:rFonts w:ascii="Times New Roman" w:eastAsia="Times New Roman" w:hAnsi="Times New Roman" w:cs="Times New Roman"/>
                <w:sz w:val="16"/>
                <w:szCs w:val="16"/>
                <w:lang w:eastAsia="sk-SK"/>
              </w:rPr>
              <w:t>Úrad komisára pre osoby so zdravotným postihnutím</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522</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535</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585</w:t>
            </w:r>
          </w:p>
        </w:tc>
        <w:tc>
          <w:tcPr>
            <w:tcW w:w="479"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585</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638</w:t>
            </w:r>
          </w:p>
        </w:tc>
        <w:tc>
          <w:tcPr>
            <w:tcW w:w="478"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638</w:t>
            </w:r>
          </w:p>
        </w:tc>
        <w:tc>
          <w:tcPr>
            <w:tcW w:w="479" w:type="pct"/>
            <w:tcBorders>
              <w:top w:val="nil"/>
              <w:left w:val="nil"/>
              <w:bottom w:val="single" w:sz="4" w:space="0" w:color="auto"/>
              <w:right w:val="nil"/>
            </w:tcBorders>
            <w:shd w:val="clear" w:color="auto" w:fill="auto"/>
            <w:noWrap/>
            <w:vAlign w:val="bottom"/>
            <w:hideMark/>
          </w:tcPr>
          <w:p w:rsidR="00AA17E3" w:rsidRPr="00CA6853"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A6853">
              <w:rPr>
                <w:rFonts w:ascii="Times New Roman" w:eastAsia="Times New Roman" w:hAnsi="Times New Roman" w:cs="Times New Roman"/>
                <w:color w:val="000000"/>
                <w:sz w:val="16"/>
                <w:szCs w:val="16"/>
                <w:lang w:eastAsia="sk-SK"/>
              </w:rPr>
              <w:t>638</w:t>
            </w:r>
          </w:p>
        </w:tc>
      </w:tr>
    </w:tbl>
    <w:p w:rsidR="00AA17E3" w:rsidRPr="00165E3F" w:rsidRDefault="00AA17E3" w:rsidP="009224A5">
      <w:pPr>
        <w:spacing w:after="0" w:line="240" w:lineRule="auto"/>
        <w:jc w:val="right"/>
        <w:rPr>
          <w:rFonts w:ascii="Times New Roman" w:hAnsi="Times New Roman" w:cs="Times New Roman"/>
          <w:i/>
          <w:sz w:val="16"/>
          <w:szCs w:val="16"/>
        </w:rPr>
      </w:pPr>
      <w:r w:rsidRPr="00165E3F">
        <w:rPr>
          <w:rFonts w:ascii="Times New Roman" w:hAnsi="Times New Roman" w:cs="Times New Roman"/>
          <w:i/>
          <w:sz w:val="16"/>
          <w:szCs w:val="16"/>
        </w:rPr>
        <w:t>Zdroj: MF SR</w:t>
      </w:r>
    </w:p>
    <w:p w:rsidR="009224A5" w:rsidRDefault="009224A5" w:rsidP="009224A5">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rPr>
      </w:pPr>
    </w:p>
    <w:p w:rsidR="00AA17E3" w:rsidRPr="002A2940" w:rsidRDefault="00AA17E3" w:rsidP="009224A5">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rPr>
      </w:pPr>
      <w:r w:rsidRPr="002A2940">
        <w:rPr>
          <w:rFonts w:ascii="Times New Roman" w:hAnsi="Times New Roman" w:cs="Times New Roman"/>
          <w:color w:val="000000"/>
          <w:sz w:val="24"/>
          <w:szCs w:val="24"/>
        </w:rPr>
        <w:t>Ostatné výdavky kapitoly zahŕňajú výdavky na medzirezortný podprogram Informačné technológie financované zo ŠR v sume 23,4 mil. eur, výdavky alokované na príspevok do Medzinárodnej organizácie práce v sume 570 tis. eur, výdavky na protidrogovú politiku v sume 50 tis. eur.</w:t>
      </w:r>
    </w:p>
    <w:p w:rsidR="00AA17E3" w:rsidRPr="00784C44" w:rsidRDefault="00AA17E3" w:rsidP="00AA17E3">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highlight w:val="yellow"/>
        </w:rPr>
      </w:pPr>
    </w:p>
    <w:p w:rsidR="00AA17E3" w:rsidRPr="002A2940" w:rsidRDefault="00AA17E3" w:rsidP="0040790F">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5B9BD5" w:themeColor="accent1"/>
          <w:sz w:val="24"/>
          <w:szCs w:val="24"/>
        </w:rPr>
      </w:pPr>
      <w:r w:rsidRPr="002A2940">
        <w:rPr>
          <w:rFonts w:ascii="Times New Roman" w:hAnsi="Times New Roman" w:cs="Times New Roman"/>
          <w:b/>
          <w:color w:val="5B9BD5" w:themeColor="accent1"/>
          <w:sz w:val="24"/>
          <w:szCs w:val="24"/>
        </w:rPr>
        <w:t>Sociálne poistenie</w:t>
      </w:r>
    </w:p>
    <w:p w:rsidR="00AA17E3" w:rsidRPr="00784C44" w:rsidRDefault="00AA17E3" w:rsidP="0040790F">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5B9BD5" w:themeColor="accent1"/>
          <w:sz w:val="24"/>
          <w:szCs w:val="24"/>
          <w:highlight w:val="yellow"/>
        </w:rPr>
      </w:pPr>
    </w:p>
    <w:p w:rsidR="00AA17E3" w:rsidRPr="002A2940" w:rsidRDefault="00AA17E3" w:rsidP="0040790F">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2A2940">
        <w:rPr>
          <w:rFonts w:ascii="Times New Roman" w:hAnsi="Times New Roman" w:cs="Times New Roman"/>
          <w:color w:val="000000"/>
          <w:sz w:val="24"/>
          <w:szCs w:val="24"/>
        </w:rPr>
        <w:t xml:space="preserve">Sociálne poistenie slúži na ochranu obyvateľov v rôznych životných situáciách (ako napr. materstvo, pracovná neschopnosť, invalidita, </w:t>
      </w:r>
      <w:r w:rsidR="00AF751E">
        <w:rPr>
          <w:rFonts w:ascii="Times New Roman" w:hAnsi="Times New Roman" w:cs="Times New Roman"/>
          <w:color w:val="000000"/>
          <w:sz w:val="24"/>
          <w:szCs w:val="24"/>
        </w:rPr>
        <w:t>staroba</w:t>
      </w:r>
      <w:r w:rsidRPr="002A2940">
        <w:rPr>
          <w:rFonts w:ascii="Times New Roman" w:hAnsi="Times New Roman" w:cs="Times New Roman"/>
          <w:color w:val="000000"/>
          <w:sz w:val="24"/>
          <w:szCs w:val="24"/>
        </w:rPr>
        <w:t xml:space="preserve"> alebo nezamestnanosť). Výplata dávok sociálneho poistenia sa zabezpečuje prostredníctvom verejnoprávnej inštitúcie, ktorou je Sociálna poisťovňa.</w:t>
      </w:r>
    </w:p>
    <w:p w:rsidR="00AA17E3" w:rsidRPr="009224A5" w:rsidRDefault="00AA17E3" w:rsidP="00AA17E3">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4"/>
          <w:szCs w:val="20"/>
          <w:highlight w:val="yellow"/>
        </w:rPr>
      </w:pPr>
    </w:p>
    <w:p w:rsidR="00AA17E3" w:rsidRPr="00B6658D" w:rsidRDefault="00AA17E3" w:rsidP="00AA17E3">
      <w:pPr>
        <w:pStyle w:val="Popis"/>
        <w:keepNext/>
        <w:spacing w:after="0"/>
        <w:rPr>
          <w:rFonts w:ascii="Times New Roman" w:hAnsi="Times New Roman" w:cs="Times New Roman"/>
          <w:b/>
          <w:i w:val="0"/>
          <w:color w:val="5B9BD5" w:themeColor="accent1"/>
          <w:sz w:val="20"/>
          <w:szCs w:val="20"/>
        </w:rPr>
      </w:pPr>
      <w:bookmarkStart w:id="323" w:name="_Toc53054806"/>
      <w:bookmarkStart w:id="324" w:name="_Toc53077998"/>
      <w:bookmarkStart w:id="325" w:name="_Toc53086400"/>
      <w:bookmarkStart w:id="326" w:name="_Toc84528423"/>
      <w:bookmarkStart w:id="327" w:name="_Toc84845299"/>
      <w:r w:rsidRPr="00B6658D">
        <w:rPr>
          <w:rFonts w:ascii="Times New Roman" w:hAnsi="Times New Roman" w:cs="Times New Roman"/>
          <w:b/>
          <w:i w:val="0"/>
          <w:color w:val="5B9BD5" w:themeColor="accent1"/>
          <w:sz w:val="20"/>
          <w:szCs w:val="20"/>
        </w:rPr>
        <w:t xml:space="preserve">Tabuľka </w:t>
      </w:r>
      <w:r w:rsidRPr="00B6658D">
        <w:rPr>
          <w:rFonts w:ascii="Times New Roman" w:hAnsi="Times New Roman" w:cs="Times New Roman"/>
          <w:b/>
          <w:i w:val="0"/>
          <w:color w:val="5B9BD5" w:themeColor="accent1"/>
          <w:sz w:val="20"/>
          <w:szCs w:val="20"/>
        </w:rPr>
        <w:fldChar w:fldCharType="begin"/>
      </w:r>
      <w:r w:rsidRPr="00B6658D">
        <w:rPr>
          <w:rFonts w:ascii="Times New Roman" w:hAnsi="Times New Roman" w:cs="Times New Roman"/>
          <w:b/>
          <w:i w:val="0"/>
          <w:color w:val="5B9BD5" w:themeColor="accent1"/>
          <w:sz w:val="20"/>
          <w:szCs w:val="20"/>
        </w:rPr>
        <w:instrText xml:space="preserve"> SEQ Tabuľka \* ARABIC </w:instrText>
      </w:r>
      <w:r w:rsidRPr="00B6658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75</w:t>
      </w:r>
      <w:r w:rsidRPr="00B6658D">
        <w:rPr>
          <w:rFonts w:ascii="Times New Roman" w:hAnsi="Times New Roman" w:cs="Times New Roman"/>
          <w:b/>
          <w:i w:val="0"/>
          <w:color w:val="5B9BD5" w:themeColor="accent1"/>
          <w:sz w:val="20"/>
          <w:szCs w:val="20"/>
        </w:rPr>
        <w:fldChar w:fldCharType="end"/>
      </w:r>
      <w:r w:rsidRPr="00B6658D">
        <w:rPr>
          <w:rFonts w:ascii="Times New Roman" w:hAnsi="Times New Roman" w:cs="Times New Roman"/>
          <w:b/>
          <w:i w:val="0"/>
          <w:color w:val="5B9BD5" w:themeColor="accent1"/>
          <w:sz w:val="20"/>
          <w:szCs w:val="20"/>
        </w:rPr>
        <w:t xml:space="preserve"> - Výdavky Sociálnej poisťovne</w:t>
      </w:r>
      <w:bookmarkEnd w:id="323"/>
      <w:bookmarkEnd w:id="324"/>
      <w:bookmarkEnd w:id="325"/>
      <w:bookmarkEnd w:id="326"/>
      <w:bookmarkEnd w:id="327"/>
    </w:p>
    <w:tbl>
      <w:tblPr>
        <w:tblW w:w="5000" w:type="pct"/>
        <w:tblCellMar>
          <w:left w:w="70" w:type="dxa"/>
          <w:right w:w="70" w:type="dxa"/>
        </w:tblCellMar>
        <w:tblLook w:val="04A0" w:firstRow="1" w:lastRow="0" w:firstColumn="1" w:lastColumn="0" w:noHBand="0" w:noVBand="1"/>
      </w:tblPr>
      <w:tblGrid>
        <w:gridCol w:w="3084"/>
        <w:gridCol w:w="853"/>
        <w:gridCol w:w="853"/>
        <w:gridCol w:w="854"/>
        <w:gridCol w:w="854"/>
        <w:gridCol w:w="854"/>
        <w:gridCol w:w="860"/>
        <w:gridCol w:w="860"/>
      </w:tblGrid>
      <w:tr w:rsidR="00AA17E3" w:rsidRPr="00B6658D" w:rsidTr="00AA17E3">
        <w:trPr>
          <w:trHeight w:val="204"/>
        </w:trPr>
        <w:tc>
          <w:tcPr>
            <w:tcW w:w="1700"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v tis. eur</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2019 S</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2020 S</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2021 R</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2021 OS</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2022 N</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2023 N</w:t>
            </w:r>
          </w:p>
        </w:tc>
        <w:tc>
          <w:tcPr>
            <w:tcW w:w="471" w:type="pct"/>
            <w:tcBorders>
              <w:top w:val="single" w:sz="4" w:space="0" w:color="auto"/>
              <w:left w:val="nil"/>
              <w:bottom w:val="single" w:sz="4" w:space="0" w:color="auto"/>
              <w:right w:val="nil"/>
            </w:tcBorders>
            <w:shd w:val="clear" w:color="auto" w:fill="auto"/>
            <w:noWrap/>
            <w:vAlign w:val="center"/>
            <w:hideMark/>
          </w:tcPr>
          <w:p w:rsidR="00AA17E3" w:rsidRPr="00B6658D" w:rsidRDefault="00AA17E3" w:rsidP="00804037">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2024 N</w:t>
            </w:r>
          </w:p>
        </w:tc>
      </w:tr>
      <w:tr w:rsidR="00AA17E3" w:rsidRPr="00B6658D" w:rsidTr="00AA17E3">
        <w:trPr>
          <w:trHeight w:val="204"/>
        </w:trPr>
        <w:tc>
          <w:tcPr>
            <w:tcW w:w="1700" w:type="pct"/>
            <w:tcBorders>
              <w:top w:val="nil"/>
              <w:left w:val="nil"/>
              <w:bottom w:val="single" w:sz="4" w:space="0" w:color="auto"/>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Výdavky Sociálnej poisťovne spolu</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8 579 154</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9 396 557</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9 629 481</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9 641 195</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9 903 262</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10 444 972</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sz w:val="16"/>
                <w:szCs w:val="16"/>
                <w:lang w:eastAsia="sk-SK"/>
              </w:rPr>
            </w:pPr>
            <w:r w:rsidRPr="00B6658D">
              <w:rPr>
                <w:rFonts w:ascii="Times New Roman" w:eastAsia="Times New Roman" w:hAnsi="Times New Roman" w:cs="Times New Roman"/>
                <w:b/>
                <w:bCs/>
                <w:sz w:val="16"/>
                <w:szCs w:val="16"/>
                <w:lang w:eastAsia="sk-SK"/>
              </w:rPr>
              <w:t>10 994 877</w:t>
            </w:r>
          </w:p>
        </w:tc>
      </w:tr>
      <w:tr w:rsidR="00AA17E3" w:rsidRPr="00B6658D" w:rsidTr="00AA17E3">
        <w:trPr>
          <w:trHeight w:val="204"/>
        </w:trPr>
        <w:tc>
          <w:tcPr>
            <w:tcW w:w="1700" w:type="pct"/>
            <w:tcBorders>
              <w:top w:val="nil"/>
              <w:left w:val="nil"/>
              <w:bottom w:val="nil"/>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 xml:space="preserve">Výdavky poistenia </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8 382 021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9 182 686</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9 403 680</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9 415 930</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9 667 961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10 199 785</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10 739 750</w:t>
            </w:r>
          </w:p>
        </w:tc>
      </w:tr>
      <w:tr w:rsidR="00AA17E3" w:rsidRPr="00B6658D" w:rsidTr="00AA17E3">
        <w:trPr>
          <w:trHeight w:val="204"/>
        </w:trPr>
        <w:tc>
          <w:tcPr>
            <w:tcW w:w="1700" w:type="pct"/>
            <w:tcBorders>
              <w:top w:val="nil"/>
              <w:left w:val="nil"/>
              <w:bottom w:val="nil"/>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výdavky nemocenského poistenia</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759 658</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1 044 202</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947 088</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1 130 931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1 059 456</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1 090 071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1 189 785</w:t>
            </w:r>
          </w:p>
        </w:tc>
      </w:tr>
      <w:tr w:rsidR="00AA17E3" w:rsidRPr="00B6658D" w:rsidTr="00AA17E3">
        <w:trPr>
          <w:trHeight w:val="204"/>
        </w:trPr>
        <w:tc>
          <w:tcPr>
            <w:tcW w:w="1700" w:type="pct"/>
            <w:tcBorders>
              <w:top w:val="nil"/>
              <w:left w:val="nil"/>
              <w:bottom w:val="nil"/>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výdavky dôchodkového poistenia</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7 360 111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7 758 506</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8 137 796</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7 915 667</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8 241 402</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8 761 837</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9 198 559</w:t>
            </w:r>
          </w:p>
        </w:tc>
      </w:tr>
      <w:tr w:rsidR="00AA17E3" w:rsidRPr="00B6658D" w:rsidTr="00AA17E3">
        <w:trPr>
          <w:trHeight w:val="204"/>
        </w:trPr>
        <w:tc>
          <w:tcPr>
            <w:tcW w:w="1700" w:type="pct"/>
            <w:tcBorders>
              <w:top w:val="nil"/>
              <w:left w:val="nil"/>
              <w:bottom w:val="nil"/>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výdavky poistenia v nezamestnanosti</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214 195</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329 212</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257 751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309 937</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304 127</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281 740</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281 146</w:t>
            </w:r>
          </w:p>
        </w:tc>
      </w:tr>
      <w:tr w:rsidR="00AA17E3" w:rsidRPr="00B6658D" w:rsidTr="00AA17E3">
        <w:trPr>
          <w:trHeight w:val="204"/>
        </w:trPr>
        <w:tc>
          <w:tcPr>
            <w:tcW w:w="1700" w:type="pct"/>
            <w:tcBorders>
              <w:top w:val="nil"/>
              <w:left w:val="nil"/>
              <w:bottom w:val="nil"/>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výdavky úrazového poistenia</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48 058</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50 766</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61 045</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59 395</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62 976</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66 137</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69 158</w:t>
            </w:r>
          </w:p>
        </w:tc>
      </w:tr>
      <w:tr w:rsidR="00AA17E3" w:rsidRPr="00B6658D" w:rsidTr="00AA17E3">
        <w:trPr>
          <w:trHeight w:val="204"/>
        </w:trPr>
        <w:tc>
          <w:tcPr>
            <w:tcW w:w="1700" w:type="pct"/>
            <w:tcBorders>
              <w:top w:val="nil"/>
              <w:left w:val="nil"/>
              <w:bottom w:val="single" w:sz="4" w:space="0" w:color="auto"/>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výdavky osobitného fondu</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B6658D">
              <w:rPr>
                <w:rFonts w:ascii="Times New Roman" w:eastAsia="Times New Roman" w:hAnsi="Times New Roman" w:cs="Times New Roman"/>
                <w:color w:val="000000"/>
                <w:sz w:val="16"/>
                <w:szCs w:val="16"/>
                <w:lang w:eastAsia="sk-SK"/>
              </w:rPr>
              <w:t>1 102</w:t>
            </w:r>
          </w:p>
        </w:tc>
      </w:tr>
      <w:tr w:rsidR="00AA17E3" w:rsidRPr="00B6658D" w:rsidTr="00AA17E3">
        <w:trPr>
          <w:trHeight w:val="204"/>
        </w:trPr>
        <w:tc>
          <w:tcPr>
            <w:tcW w:w="1700" w:type="pct"/>
            <w:tcBorders>
              <w:top w:val="nil"/>
              <w:left w:val="nil"/>
              <w:bottom w:val="nil"/>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Výdavky garančného poistenia</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24 164</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24 860</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25 801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25 265</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25 301</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25 187</w:t>
            </w:r>
          </w:p>
        </w:tc>
        <w:tc>
          <w:tcPr>
            <w:tcW w:w="471" w:type="pct"/>
            <w:tcBorders>
              <w:top w:val="nil"/>
              <w:left w:val="nil"/>
              <w:bottom w:val="nil"/>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25 127</w:t>
            </w:r>
          </w:p>
        </w:tc>
      </w:tr>
      <w:tr w:rsidR="00AA17E3" w:rsidRPr="00B6658D" w:rsidTr="00AA17E3">
        <w:trPr>
          <w:trHeight w:val="204"/>
        </w:trPr>
        <w:tc>
          <w:tcPr>
            <w:tcW w:w="1700" w:type="pct"/>
            <w:tcBorders>
              <w:top w:val="nil"/>
              <w:left w:val="nil"/>
              <w:bottom w:val="single" w:sz="4" w:space="0" w:color="auto"/>
              <w:right w:val="nil"/>
            </w:tcBorders>
            <w:shd w:val="clear" w:color="auto" w:fill="auto"/>
            <w:noWrap/>
            <w:vAlign w:val="center"/>
            <w:hideMark/>
          </w:tcPr>
          <w:p w:rsidR="00AA17E3" w:rsidRPr="00B6658D" w:rsidRDefault="00AA17E3" w:rsidP="00AA17E3">
            <w:pPr>
              <w:spacing w:after="0" w:line="240" w:lineRule="auto"/>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Výdavky správneho fondu</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172 969</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189 012</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200 000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200 000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210 000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220 000</w:t>
            </w:r>
          </w:p>
        </w:tc>
        <w:tc>
          <w:tcPr>
            <w:tcW w:w="471" w:type="pct"/>
            <w:tcBorders>
              <w:top w:val="nil"/>
              <w:left w:val="nil"/>
              <w:bottom w:val="single" w:sz="4" w:space="0" w:color="auto"/>
              <w:right w:val="nil"/>
            </w:tcBorders>
            <w:shd w:val="clear" w:color="auto" w:fill="auto"/>
            <w:noWrap/>
            <w:vAlign w:val="bottom"/>
            <w:hideMark/>
          </w:tcPr>
          <w:p w:rsidR="00AA17E3" w:rsidRPr="00B6658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B6658D">
              <w:rPr>
                <w:rFonts w:ascii="Times New Roman" w:eastAsia="Times New Roman" w:hAnsi="Times New Roman" w:cs="Times New Roman"/>
                <w:b/>
                <w:bCs/>
                <w:color w:val="000000"/>
                <w:sz w:val="16"/>
                <w:szCs w:val="16"/>
                <w:lang w:eastAsia="sk-SK"/>
              </w:rPr>
              <w:t>230 000</w:t>
            </w:r>
          </w:p>
        </w:tc>
      </w:tr>
    </w:tbl>
    <w:p w:rsidR="00AA17E3" w:rsidRPr="00B6658D" w:rsidRDefault="00AA17E3" w:rsidP="009224A5">
      <w:pPr>
        <w:spacing w:after="0" w:line="240" w:lineRule="auto"/>
        <w:jc w:val="right"/>
        <w:rPr>
          <w:rFonts w:ascii="Times New Roman" w:hAnsi="Times New Roman" w:cs="Times New Roman"/>
          <w:i/>
          <w:sz w:val="16"/>
          <w:szCs w:val="16"/>
        </w:rPr>
      </w:pPr>
      <w:r w:rsidRPr="00B6658D">
        <w:rPr>
          <w:rFonts w:ascii="Times New Roman" w:hAnsi="Times New Roman" w:cs="Times New Roman"/>
          <w:i/>
          <w:sz w:val="16"/>
          <w:szCs w:val="16"/>
        </w:rPr>
        <w:t>Zdroj: MF SR</w:t>
      </w:r>
    </w:p>
    <w:p w:rsidR="009224A5" w:rsidRDefault="009224A5" w:rsidP="009224A5">
      <w:pPr>
        <w:spacing w:after="0" w:line="240" w:lineRule="auto"/>
        <w:jc w:val="both"/>
        <w:rPr>
          <w:rFonts w:ascii="Times New Roman" w:hAnsi="Times New Roman" w:cs="Times New Roman"/>
          <w:sz w:val="24"/>
          <w:szCs w:val="24"/>
        </w:rPr>
      </w:pPr>
    </w:p>
    <w:p w:rsidR="00AA17E3" w:rsidRDefault="00AA17E3" w:rsidP="009224A5">
      <w:pPr>
        <w:spacing w:after="0" w:line="240" w:lineRule="auto"/>
        <w:jc w:val="both"/>
        <w:rPr>
          <w:rFonts w:ascii="Times New Roman" w:hAnsi="Times New Roman" w:cs="Times New Roman"/>
          <w:sz w:val="24"/>
          <w:szCs w:val="24"/>
        </w:rPr>
      </w:pPr>
      <w:r w:rsidRPr="00D30ED9">
        <w:rPr>
          <w:rFonts w:ascii="Times New Roman" w:hAnsi="Times New Roman" w:cs="Times New Roman"/>
          <w:sz w:val="24"/>
          <w:szCs w:val="24"/>
        </w:rPr>
        <w:t>Výdavky nemocenského poistenia boli v rokoch 2020 a 2021 výrazne vyššie oproti predchádzajúcemu obdobiu, a to z dôvodu vyplácania pandemických nemocenských dávok – PN s dôvodom dočasnej práceneschopnosti karanténne opatrenie a ošetrovné z dôvodu uzavretia školských zariadení, prí</w:t>
      </w:r>
      <w:r w:rsidR="00B63946">
        <w:rPr>
          <w:rFonts w:ascii="Times New Roman" w:hAnsi="Times New Roman" w:cs="Times New Roman"/>
          <w:sz w:val="24"/>
          <w:szCs w:val="24"/>
        </w:rPr>
        <w:t>padne ochorenia dieťaťa na COVID</w:t>
      </w:r>
      <w:r w:rsidRPr="00D30ED9">
        <w:rPr>
          <w:rFonts w:ascii="Times New Roman" w:hAnsi="Times New Roman" w:cs="Times New Roman"/>
          <w:sz w:val="24"/>
          <w:szCs w:val="24"/>
        </w:rPr>
        <w:t>-19. V roku 2021 sa očakávajú výdavky v súvislosti s pandémiou v sume 259 mil. eur.</w:t>
      </w:r>
      <w:r w:rsidRPr="00FC7775">
        <w:rPr>
          <w:rFonts w:ascii="Times New Roman" w:hAnsi="Times New Roman" w:cs="Times New Roman"/>
          <w:sz w:val="24"/>
          <w:szCs w:val="24"/>
        </w:rPr>
        <w:t xml:space="preserve"> </w:t>
      </w:r>
      <w:r w:rsidRPr="00F93DFA">
        <w:rPr>
          <w:rFonts w:ascii="Times New Roman" w:hAnsi="Times New Roman" w:cs="Times New Roman"/>
          <w:sz w:val="24"/>
          <w:szCs w:val="24"/>
        </w:rPr>
        <w:t>Rozpočet</w:t>
      </w:r>
      <w:r>
        <w:rPr>
          <w:rFonts w:ascii="Times New Roman" w:hAnsi="Times New Roman" w:cs="Times New Roman"/>
          <w:sz w:val="24"/>
          <w:szCs w:val="24"/>
        </w:rPr>
        <w:t xml:space="preserve"> Sociálnej poisťovne</w:t>
      </w:r>
      <w:r w:rsidRPr="00F93DFA">
        <w:rPr>
          <w:rFonts w:ascii="Times New Roman" w:hAnsi="Times New Roman" w:cs="Times New Roman"/>
          <w:sz w:val="24"/>
          <w:szCs w:val="24"/>
        </w:rPr>
        <w:t xml:space="preserve"> </w:t>
      </w:r>
      <w:r>
        <w:rPr>
          <w:rFonts w:ascii="Times New Roman" w:hAnsi="Times New Roman" w:cs="Times New Roman"/>
          <w:sz w:val="24"/>
          <w:szCs w:val="24"/>
        </w:rPr>
        <w:t xml:space="preserve">uvažuje </w:t>
      </w:r>
      <w:r w:rsidRPr="00F93DFA">
        <w:rPr>
          <w:rFonts w:ascii="Times New Roman" w:hAnsi="Times New Roman" w:cs="Times New Roman"/>
          <w:sz w:val="24"/>
          <w:szCs w:val="24"/>
        </w:rPr>
        <w:t xml:space="preserve">s pandemickými výdavkami na nemocenské dávky </w:t>
      </w:r>
      <w:r>
        <w:rPr>
          <w:rFonts w:ascii="Times New Roman" w:hAnsi="Times New Roman" w:cs="Times New Roman"/>
          <w:sz w:val="24"/>
          <w:szCs w:val="24"/>
        </w:rPr>
        <w:t xml:space="preserve">aj na rok 2022, a to </w:t>
      </w:r>
      <w:r w:rsidRPr="00F93DFA">
        <w:rPr>
          <w:rFonts w:ascii="Times New Roman" w:hAnsi="Times New Roman" w:cs="Times New Roman"/>
          <w:sz w:val="24"/>
          <w:szCs w:val="24"/>
        </w:rPr>
        <w:t>vo výške 50,1 mil. eur.</w:t>
      </w:r>
    </w:p>
    <w:p w:rsidR="009224A5" w:rsidRDefault="009224A5" w:rsidP="009224A5">
      <w:pPr>
        <w:spacing w:after="0" w:line="240" w:lineRule="auto"/>
        <w:jc w:val="both"/>
        <w:rPr>
          <w:rFonts w:ascii="Times New Roman" w:hAnsi="Times New Roman" w:cs="Times New Roman"/>
          <w:sz w:val="24"/>
          <w:szCs w:val="24"/>
        </w:rPr>
      </w:pPr>
    </w:p>
    <w:p w:rsidR="00AA17E3" w:rsidRDefault="00AA17E3" w:rsidP="0040790F">
      <w:pPr>
        <w:spacing w:after="0" w:line="240" w:lineRule="auto"/>
        <w:jc w:val="both"/>
        <w:rPr>
          <w:rFonts w:ascii="Times New Roman" w:hAnsi="Times New Roman" w:cs="Times New Roman"/>
          <w:sz w:val="24"/>
          <w:szCs w:val="24"/>
        </w:rPr>
      </w:pPr>
      <w:r w:rsidRPr="002A2940">
        <w:rPr>
          <w:rFonts w:ascii="Times New Roman" w:hAnsi="Times New Roman" w:cs="Times New Roman"/>
          <w:sz w:val="24"/>
          <w:szCs w:val="24"/>
        </w:rPr>
        <w:t>Výdavky nemocenského poistenia zahŕňajú doteraz poskytované dávky ako sú nemocenské, materské, ošetrovné</w:t>
      </w:r>
      <w:r>
        <w:rPr>
          <w:rFonts w:ascii="Times New Roman" w:hAnsi="Times New Roman" w:cs="Times New Roman"/>
          <w:sz w:val="24"/>
          <w:szCs w:val="24"/>
        </w:rPr>
        <w:t>, tehotenské</w:t>
      </w:r>
      <w:r w:rsidRPr="002A2940">
        <w:rPr>
          <w:rFonts w:ascii="Times New Roman" w:hAnsi="Times New Roman" w:cs="Times New Roman"/>
          <w:sz w:val="24"/>
          <w:szCs w:val="24"/>
        </w:rPr>
        <w:t xml:space="preserve"> a vyrovnávacia dávka</w:t>
      </w:r>
      <w:r w:rsidRPr="00627DB0">
        <w:rPr>
          <w:rFonts w:ascii="Times New Roman" w:hAnsi="Times New Roman" w:cs="Times New Roman"/>
          <w:sz w:val="24"/>
          <w:szCs w:val="24"/>
        </w:rPr>
        <w:t xml:space="preserve">. Dávka tehotenské sa začala vyplácať s účinnosťou od 1. apríla </w:t>
      </w:r>
      <w:r>
        <w:rPr>
          <w:rFonts w:ascii="Times New Roman" w:hAnsi="Times New Roman" w:cs="Times New Roman"/>
          <w:sz w:val="24"/>
          <w:szCs w:val="24"/>
        </w:rPr>
        <w:t>2021</w:t>
      </w:r>
      <w:r w:rsidRPr="00627DB0">
        <w:rPr>
          <w:rFonts w:ascii="Times New Roman" w:hAnsi="Times New Roman" w:cs="Times New Roman"/>
          <w:sz w:val="24"/>
          <w:szCs w:val="24"/>
        </w:rPr>
        <w:t>. Jej účelom je zabezpečenie príjmu na úhradu zvýšených výdavkov spojených s tehotenstvom podľa uváženia poistenkyne, akými sú napr. strava, ošatenie a iné. Výdavky na dávku tehotenské sa v roku 2022 predpokladajú v sume 61,8 mil. eur.</w:t>
      </w:r>
      <w:r w:rsidRPr="00F93DFA">
        <w:rPr>
          <w:rFonts w:ascii="Times New Roman" w:hAnsi="Times New Roman" w:cs="Times New Roman"/>
          <w:sz w:val="24"/>
          <w:szCs w:val="24"/>
        </w:rPr>
        <w:t xml:space="preserve"> </w:t>
      </w:r>
    </w:p>
    <w:p w:rsidR="0040790F" w:rsidRPr="00F93DFA" w:rsidRDefault="0040790F" w:rsidP="0040790F">
      <w:pPr>
        <w:spacing w:after="0" w:line="240" w:lineRule="auto"/>
        <w:jc w:val="both"/>
        <w:rPr>
          <w:rFonts w:ascii="Times New Roman" w:hAnsi="Times New Roman" w:cs="Times New Roman"/>
          <w:sz w:val="24"/>
          <w:szCs w:val="24"/>
          <w:highlight w:val="yellow"/>
        </w:rPr>
      </w:pPr>
    </w:p>
    <w:p w:rsidR="00AA17E3" w:rsidRDefault="00AA17E3" w:rsidP="0040790F">
      <w:pPr>
        <w:spacing w:after="0" w:line="240" w:lineRule="auto"/>
        <w:jc w:val="both"/>
        <w:rPr>
          <w:rFonts w:ascii="Times New Roman" w:hAnsi="Times New Roman" w:cs="Times New Roman"/>
          <w:sz w:val="24"/>
          <w:szCs w:val="24"/>
        </w:rPr>
      </w:pPr>
      <w:r w:rsidRPr="00C46BA2">
        <w:rPr>
          <w:rFonts w:ascii="Times New Roman" w:hAnsi="Times New Roman" w:cs="Times New Roman"/>
          <w:sz w:val="24"/>
          <w:szCs w:val="24"/>
        </w:rPr>
        <w:t>Dôchodkové dávky sa</w:t>
      </w:r>
      <w:r w:rsidR="00AF751E">
        <w:rPr>
          <w:rFonts w:ascii="Times New Roman" w:hAnsi="Times New Roman" w:cs="Times New Roman"/>
          <w:sz w:val="24"/>
          <w:szCs w:val="24"/>
        </w:rPr>
        <w:t xml:space="preserve"> od 1. januára 2022</w:t>
      </w:r>
      <w:r w:rsidRPr="00C46BA2">
        <w:rPr>
          <w:rFonts w:ascii="Times New Roman" w:hAnsi="Times New Roman" w:cs="Times New Roman"/>
          <w:sz w:val="24"/>
          <w:szCs w:val="24"/>
        </w:rPr>
        <w:t xml:space="preserve"> zvyšujú </w:t>
      </w:r>
      <w:r w:rsidR="00AF751E">
        <w:rPr>
          <w:rFonts w:ascii="Times New Roman" w:hAnsi="Times New Roman" w:cs="Times New Roman"/>
          <w:sz w:val="24"/>
          <w:szCs w:val="24"/>
        </w:rPr>
        <w:t xml:space="preserve">výhradne </w:t>
      </w:r>
      <w:r w:rsidRPr="00C46BA2">
        <w:rPr>
          <w:rFonts w:ascii="Times New Roman" w:hAnsi="Times New Roman" w:cs="Times New Roman"/>
          <w:sz w:val="24"/>
          <w:szCs w:val="24"/>
        </w:rPr>
        <w:t>v závislosti od medziročného rastu spotrebiteľských cien za domácnosti dôchodcov za 1. polrok predchádzajúceho roka</w:t>
      </w:r>
      <w:r>
        <w:rPr>
          <w:rFonts w:ascii="Times New Roman" w:hAnsi="Times New Roman" w:cs="Times New Roman"/>
          <w:sz w:val="24"/>
          <w:szCs w:val="24"/>
        </w:rPr>
        <w:t xml:space="preserve">. </w:t>
      </w:r>
      <w:r w:rsidRPr="00C46BA2">
        <w:rPr>
          <w:rFonts w:ascii="Times New Roman" w:hAnsi="Times New Roman" w:cs="Times New Roman"/>
          <w:sz w:val="24"/>
          <w:szCs w:val="24"/>
        </w:rPr>
        <w:t>Na rok 2022 valorizácia podľa údajov vykázaných Štatistickým úradom SR predstavuje 1,3 %. Výdavky na dôchodkové dávky zároveň rastú s prihliadnutím na bežný medziročný nárast, ktorý vyplýva z počtu novopriznaných a zaniknutých dôchodkov.</w:t>
      </w:r>
    </w:p>
    <w:p w:rsidR="0040790F" w:rsidRDefault="0040790F" w:rsidP="0040790F">
      <w:pPr>
        <w:spacing w:after="0" w:line="240" w:lineRule="auto"/>
        <w:jc w:val="both"/>
        <w:rPr>
          <w:rFonts w:ascii="Times New Roman" w:hAnsi="Times New Roman" w:cs="Times New Roman"/>
          <w:sz w:val="24"/>
          <w:szCs w:val="24"/>
        </w:rPr>
      </w:pPr>
    </w:p>
    <w:p w:rsidR="00AA17E3" w:rsidRDefault="00EE2731" w:rsidP="0040790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Súčasné</w:t>
      </w:r>
      <w:r w:rsidR="00AA17E3" w:rsidRPr="00437DEC">
        <w:rPr>
          <w:rFonts w:ascii="Times New Roman" w:hAnsi="Times New Roman" w:cs="Times New Roman"/>
          <w:color w:val="000000"/>
          <w:sz w:val="24"/>
          <w:szCs w:val="24"/>
        </w:rPr>
        <w:t xml:space="preserve"> nastavenie dôchodkového systému je neudržateľné. Vláda SR preto v zmysle </w:t>
      </w:r>
      <w:r w:rsidR="00AA17E3">
        <w:rPr>
          <w:rFonts w:ascii="Times New Roman" w:hAnsi="Times New Roman" w:cs="Times New Roman"/>
          <w:color w:val="000000"/>
          <w:sz w:val="24"/>
          <w:szCs w:val="24"/>
        </w:rPr>
        <w:t>svojho programového vyhlásenia aktuálne</w:t>
      </w:r>
      <w:r w:rsidR="00AA17E3" w:rsidRPr="00437DEC">
        <w:rPr>
          <w:rFonts w:ascii="Times New Roman" w:hAnsi="Times New Roman" w:cs="Times New Roman"/>
          <w:color w:val="000000"/>
          <w:sz w:val="24"/>
          <w:szCs w:val="24"/>
        </w:rPr>
        <w:t xml:space="preserve"> pripravuje opatrenia na zlepšenie dlhodobej udržateľnosti výdavkov na výplatu dôchodkových dávok prostredníctvom reforiem všetkých troch pilierov dôchodkového systému.</w:t>
      </w:r>
    </w:p>
    <w:p w:rsidR="00AA17E3" w:rsidRPr="00F93DFA" w:rsidRDefault="00AA17E3" w:rsidP="00AA17E3">
      <w:pPr>
        <w:spacing w:after="0" w:line="240" w:lineRule="auto"/>
        <w:jc w:val="both"/>
        <w:rPr>
          <w:rFonts w:ascii="Times New Roman" w:hAnsi="Times New Roman" w:cs="Times New Roman"/>
          <w:sz w:val="24"/>
          <w:szCs w:val="24"/>
          <w:highlight w:val="yellow"/>
        </w:rPr>
      </w:pPr>
    </w:p>
    <w:p w:rsidR="00AA17E3" w:rsidRDefault="00AA17E3" w:rsidP="0040790F">
      <w:pPr>
        <w:spacing w:after="0" w:line="240" w:lineRule="auto"/>
        <w:jc w:val="both"/>
        <w:rPr>
          <w:rFonts w:ascii="Times New Roman" w:hAnsi="Times New Roman" w:cs="Times New Roman"/>
          <w:sz w:val="24"/>
          <w:szCs w:val="24"/>
        </w:rPr>
      </w:pPr>
      <w:r w:rsidRPr="00C46BA2">
        <w:rPr>
          <w:rFonts w:ascii="Times New Roman" w:hAnsi="Times New Roman" w:cs="Times New Roman"/>
          <w:sz w:val="24"/>
          <w:szCs w:val="24"/>
        </w:rPr>
        <w:t>Výdavky poistenia v nezamestnanosti odzrkadľujú doterajší vývoj v roku 2021 a predpoklad na nasledujúce roky v súlade s makroekonomickou prognózou Ministerstva financií SR zo septembra 2021</w:t>
      </w:r>
      <w:r>
        <w:rPr>
          <w:rFonts w:ascii="Times New Roman" w:hAnsi="Times New Roman" w:cs="Times New Roman"/>
          <w:sz w:val="24"/>
          <w:szCs w:val="24"/>
        </w:rPr>
        <w:t xml:space="preserve">. </w:t>
      </w:r>
      <w:r w:rsidRPr="00C46BA2">
        <w:rPr>
          <w:rFonts w:ascii="Times New Roman" w:hAnsi="Times New Roman" w:cs="Times New Roman"/>
          <w:sz w:val="24"/>
          <w:szCs w:val="24"/>
        </w:rPr>
        <w:t xml:space="preserve">Výdavky základného fondu poistenia v nezamestnanosti </w:t>
      </w:r>
      <w:r w:rsidRPr="00EC4A69">
        <w:rPr>
          <w:rFonts w:ascii="Times New Roman" w:hAnsi="Times New Roman" w:cs="Times New Roman"/>
          <w:sz w:val="24"/>
          <w:szCs w:val="24"/>
        </w:rPr>
        <w:t>na dávku v nezamestnanosti sa v roku 2022 predpokladajú vo výške 288 mil. eur. Nad rámec tejto sumy je vo výdavkoch poistenia zohľadnené aj prijatie zákona o</w:t>
      </w:r>
      <w:r>
        <w:rPr>
          <w:rFonts w:ascii="Times New Roman" w:hAnsi="Times New Roman" w:cs="Times New Roman"/>
          <w:sz w:val="24"/>
          <w:szCs w:val="24"/>
        </w:rPr>
        <w:t xml:space="preserve"> podpore v čase </w:t>
      </w:r>
      <w:r w:rsidRPr="00EC4A69">
        <w:rPr>
          <w:rFonts w:ascii="Times New Roman" w:hAnsi="Times New Roman" w:cs="Times New Roman"/>
          <w:sz w:val="24"/>
          <w:szCs w:val="24"/>
        </w:rPr>
        <w:t>skrátenej prác</w:t>
      </w:r>
      <w:r>
        <w:rPr>
          <w:rFonts w:ascii="Times New Roman" w:hAnsi="Times New Roman" w:cs="Times New Roman"/>
          <w:sz w:val="24"/>
          <w:szCs w:val="24"/>
        </w:rPr>
        <w:t>e</w:t>
      </w:r>
      <w:r w:rsidRPr="00EC4A69">
        <w:rPr>
          <w:rFonts w:ascii="Times New Roman" w:hAnsi="Times New Roman" w:cs="Times New Roman"/>
          <w:sz w:val="24"/>
          <w:szCs w:val="24"/>
        </w:rPr>
        <w:t xml:space="preserve">, v zmysle ktorého </w:t>
      </w:r>
      <w:r>
        <w:rPr>
          <w:rFonts w:ascii="Times New Roman" w:hAnsi="Times New Roman" w:cs="Times New Roman"/>
          <w:sz w:val="24"/>
          <w:szCs w:val="24"/>
        </w:rPr>
        <w:t>sa z poistenia na financovanie podpory bude vyplácať náhrada mzdy zamestnancom pracujúcim v režime tzv. skrátenej práce</w:t>
      </w:r>
      <w:r w:rsidRPr="00883A70">
        <w:rPr>
          <w:rFonts w:ascii="Times New Roman" w:hAnsi="Times New Roman" w:cs="Times New Roman"/>
          <w:sz w:val="24"/>
          <w:szCs w:val="24"/>
        </w:rPr>
        <w:t xml:space="preserve">. </w:t>
      </w:r>
      <w:r>
        <w:rPr>
          <w:rFonts w:ascii="Times New Roman" w:hAnsi="Times New Roman" w:cs="Times New Roman"/>
          <w:sz w:val="24"/>
          <w:szCs w:val="24"/>
        </w:rPr>
        <w:t>Na rok 2022 sa predpokladá podpora v sume 16,5 mil. eur.</w:t>
      </w:r>
    </w:p>
    <w:p w:rsidR="0040790F" w:rsidRPr="00784C44" w:rsidRDefault="0040790F" w:rsidP="0040790F">
      <w:pPr>
        <w:spacing w:after="0" w:line="240" w:lineRule="auto"/>
        <w:jc w:val="both"/>
        <w:rPr>
          <w:rFonts w:ascii="Times New Roman" w:hAnsi="Times New Roman" w:cs="Times New Roman"/>
          <w:sz w:val="24"/>
          <w:szCs w:val="24"/>
          <w:highlight w:val="yellow"/>
        </w:rPr>
      </w:pPr>
    </w:p>
    <w:p w:rsidR="00AA17E3" w:rsidRDefault="00AA17E3" w:rsidP="009224A5">
      <w:pPr>
        <w:spacing w:after="0" w:line="240" w:lineRule="auto"/>
        <w:jc w:val="both"/>
        <w:rPr>
          <w:rFonts w:ascii="Times New Roman" w:hAnsi="Times New Roman" w:cs="Times New Roman"/>
          <w:sz w:val="24"/>
          <w:szCs w:val="24"/>
        </w:rPr>
      </w:pPr>
      <w:r w:rsidRPr="00C46BA2">
        <w:rPr>
          <w:rFonts w:ascii="Times New Roman" w:hAnsi="Times New Roman" w:cs="Times New Roman"/>
          <w:sz w:val="24"/>
          <w:szCs w:val="24"/>
        </w:rPr>
        <w:t>Výdavky správneho fondu sa na rok 2022 rozpočtujú vo výške 210 mil. eur. Výška výdavkov správneho fondu na rok 2022 zabezpečuje plnenie úloh súvisiacich s činnosťou jednotlivých organizačných zložiek Sociálnej poisťovne.</w:t>
      </w:r>
    </w:p>
    <w:p w:rsidR="009224A5" w:rsidRDefault="009224A5" w:rsidP="009224A5">
      <w:pPr>
        <w:pStyle w:val="Nadpis2"/>
        <w:spacing w:before="0" w:after="0"/>
        <w:rPr>
          <w:rFonts w:ascii="Times New Roman" w:hAnsi="Times New Roman"/>
          <w:i w:val="0"/>
          <w:color w:val="5B9BD5" w:themeColor="accent1"/>
          <w:sz w:val="24"/>
        </w:rPr>
      </w:pPr>
      <w:bookmarkStart w:id="328" w:name="_Toc53062617"/>
      <w:bookmarkStart w:id="329" w:name="_Toc53084675"/>
      <w:bookmarkStart w:id="330" w:name="_Toc84528340"/>
    </w:p>
    <w:p w:rsidR="00AA17E3" w:rsidRDefault="00AA17E3" w:rsidP="009224A5">
      <w:pPr>
        <w:pStyle w:val="Nadpis2"/>
        <w:spacing w:before="0" w:after="0"/>
        <w:rPr>
          <w:rFonts w:ascii="Times New Roman" w:hAnsi="Times New Roman"/>
          <w:i w:val="0"/>
          <w:color w:val="5B9BD5" w:themeColor="accent1"/>
          <w:sz w:val="24"/>
        </w:rPr>
      </w:pPr>
      <w:bookmarkStart w:id="331" w:name="_Toc84684763"/>
      <w:r w:rsidRPr="006B209A">
        <w:rPr>
          <w:rFonts w:ascii="Times New Roman" w:hAnsi="Times New Roman"/>
          <w:i w:val="0"/>
          <w:color w:val="5B9BD5" w:themeColor="accent1"/>
          <w:sz w:val="24"/>
        </w:rPr>
        <w:t>4.7. Zdravotníctvo</w:t>
      </w:r>
      <w:bookmarkEnd w:id="328"/>
      <w:bookmarkEnd w:id="329"/>
      <w:bookmarkEnd w:id="330"/>
      <w:bookmarkEnd w:id="331"/>
    </w:p>
    <w:p w:rsidR="0040790F" w:rsidRPr="0040790F" w:rsidRDefault="0040790F" w:rsidP="0040790F">
      <w:pPr>
        <w:spacing w:after="0"/>
        <w:rPr>
          <w:lang w:eastAsia="cs-CZ"/>
        </w:rPr>
      </w:pPr>
    </w:p>
    <w:p w:rsidR="00AA17E3" w:rsidRPr="00CB1C0A" w:rsidRDefault="00AA17E3" w:rsidP="0040790F">
      <w:pPr>
        <w:shd w:val="clear" w:color="auto" w:fill="FFFFFF" w:themeFill="background1"/>
        <w:spacing w:after="0" w:line="240" w:lineRule="auto"/>
        <w:jc w:val="both"/>
        <w:rPr>
          <w:rFonts w:ascii="Times New Roman" w:hAnsi="Times New Roman" w:cs="Times New Roman"/>
          <w:sz w:val="24"/>
        </w:rPr>
      </w:pPr>
      <w:r w:rsidRPr="00CB1C0A">
        <w:rPr>
          <w:rFonts w:ascii="Times New Roman" w:hAnsi="Times New Roman" w:cs="Times New Roman"/>
          <w:sz w:val="24"/>
        </w:rPr>
        <w:t xml:space="preserve">Zdravie je jedna z najdôležitejších ľudských hodnôt. Zdravotníctvo aj naďalej zostáva prioritou slovenskej verejnej politiky pre jeho potenciál zlepšiť kvalitu života, ale tiež samotnú veľkosť sektora aj priestor zlepšiť výsledky. </w:t>
      </w:r>
    </w:p>
    <w:p w:rsidR="00AA17E3" w:rsidRPr="00CB1C0A" w:rsidRDefault="00AA17E3" w:rsidP="00AA17E3">
      <w:pPr>
        <w:autoSpaceDE w:val="0"/>
        <w:autoSpaceDN w:val="0"/>
        <w:adjustRightInd w:val="0"/>
        <w:spacing w:after="0" w:line="240" w:lineRule="auto"/>
        <w:jc w:val="both"/>
        <w:rPr>
          <w:rFonts w:ascii="Times New Roman" w:hAnsi="Times New Roman" w:cs="Times New Roman"/>
          <w:color w:val="000000"/>
          <w:sz w:val="24"/>
          <w:u w:val="single"/>
        </w:rPr>
      </w:pPr>
    </w:p>
    <w:p w:rsidR="00AA17E3" w:rsidRPr="00CB1C0A" w:rsidRDefault="00AA17E3" w:rsidP="00AA17E3">
      <w:pPr>
        <w:shd w:val="clear" w:color="auto" w:fill="FFFFFF" w:themeFill="background1"/>
        <w:spacing w:after="0" w:line="240" w:lineRule="auto"/>
        <w:jc w:val="both"/>
        <w:rPr>
          <w:rFonts w:ascii="Times New Roman" w:hAnsi="Times New Roman" w:cs="Times New Roman"/>
          <w:sz w:val="24"/>
        </w:rPr>
      </w:pPr>
      <w:bookmarkStart w:id="332" w:name="_Toc53047764"/>
      <w:bookmarkStart w:id="333" w:name="_Toc53049353"/>
      <w:bookmarkStart w:id="334" w:name="_Toc53049790"/>
      <w:r w:rsidRPr="00CB1C0A">
        <w:rPr>
          <w:rFonts w:ascii="Times New Roman" w:hAnsi="Times New Roman" w:cs="Times New Roman"/>
          <w:sz w:val="24"/>
        </w:rPr>
        <w:t xml:space="preserve">Verejné výdavky na zdravotníctvo rastú a zodpovedajú možnostiam ekonomiky. </w:t>
      </w:r>
      <w:r w:rsidR="00544156">
        <w:rPr>
          <w:rFonts w:ascii="Times New Roman" w:hAnsi="Times New Roman" w:cs="Times New Roman"/>
          <w:sz w:val="24"/>
        </w:rPr>
        <w:t>V roku 2022 dosiahnu úroveň 6,38</w:t>
      </w:r>
      <w:r w:rsidRPr="00CB1C0A">
        <w:rPr>
          <w:rFonts w:ascii="Times New Roman" w:hAnsi="Times New Roman" w:cs="Times New Roman"/>
          <w:sz w:val="24"/>
        </w:rPr>
        <w:t xml:space="preserve"> mld. eur a sú po dôchodkoch druhá najväčšia položka vo verejných financiách.</w:t>
      </w:r>
      <w:r w:rsidRPr="00CB1C0A">
        <w:rPr>
          <w:rFonts w:ascii="Times New Roman" w:hAnsi="Times New Roman" w:cs="Times New Roman"/>
          <w:color w:val="FF0000"/>
          <w:sz w:val="24"/>
        </w:rPr>
        <w:t xml:space="preserve"> </w:t>
      </w:r>
      <w:r w:rsidRPr="00CB1C0A">
        <w:rPr>
          <w:rFonts w:ascii="Times New Roman" w:hAnsi="Times New Roman" w:cs="Times New Roman"/>
          <w:sz w:val="24"/>
        </w:rPr>
        <w:t xml:space="preserve">Vyspelé krajiny investujú do zdravotníctva rýchlejšie ako rastie ich ekonomika. Slovenské </w:t>
      </w:r>
      <w:r w:rsidRPr="00544156">
        <w:rPr>
          <w:rFonts w:ascii="Times New Roman" w:hAnsi="Times New Roman" w:cs="Times New Roman"/>
          <w:sz w:val="24"/>
        </w:rPr>
        <w:t>výdavky za posledných 5 rokov narástli o 21 %, zatiaľ čo HDP o 13 %.</w:t>
      </w:r>
      <w:r w:rsidRPr="00CB1C0A">
        <w:rPr>
          <w:rFonts w:ascii="Times New Roman" w:hAnsi="Times New Roman" w:cs="Times New Roman"/>
          <w:sz w:val="24"/>
        </w:rPr>
        <w:t xml:space="preserve"> Slovenské verejné výdavky na zdravotníctvo</w:t>
      </w:r>
      <w:r w:rsidR="00544156">
        <w:rPr>
          <w:rFonts w:ascii="Times New Roman" w:hAnsi="Times New Roman" w:cs="Times New Roman"/>
          <w:sz w:val="24"/>
        </w:rPr>
        <w:t xml:space="preserve"> vrátane rezervy</w:t>
      </w:r>
      <w:r w:rsidRPr="00CB1C0A">
        <w:rPr>
          <w:rFonts w:ascii="Times New Roman" w:hAnsi="Times New Roman" w:cs="Times New Roman"/>
          <w:sz w:val="24"/>
        </w:rPr>
        <w:t xml:space="preserve"> b</w:t>
      </w:r>
      <w:r w:rsidR="00544156">
        <w:rPr>
          <w:rFonts w:ascii="Times New Roman" w:hAnsi="Times New Roman" w:cs="Times New Roman"/>
          <w:sz w:val="24"/>
        </w:rPr>
        <w:t>udú v roku 2022 predstavovať 6,1</w:t>
      </w:r>
      <w:r w:rsidRPr="00CB1C0A">
        <w:rPr>
          <w:rFonts w:ascii="Times New Roman" w:hAnsi="Times New Roman" w:cs="Times New Roman"/>
          <w:sz w:val="24"/>
        </w:rPr>
        <w:t xml:space="preserve"> % HDP, čo je viac ako priemer ostatných krajín </w:t>
      </w:r>
      <w:r w:rsidRPr="00CB1C0A">
        <w:rPr>
          <w:rFonts w:ascii="Times New Roman" w:eastAsia="Calibri" w:hAnsi="Times New Roman" w:cs="Times New Roman"/>
          <w:sz w:val="24"/>
          <w:szCs w:val="24"/>
          <w:lang w:eastAsia="cs-CZ"/>
        </w:rPr>
        <w:t>V3 (5,1 %) a menej ako priemer EÚ14 (7,1 %)</w:t>
      </w:r>
      <w:r w:rsidRPr="00CB1C0A">
        <w:rPr>
          <w:rFonts w:ascii="Times New Roman" w:eastAsia="Calibri" w:hAnsi="Times New Roman" w:cs="Times New Roman"/>
          <w:sz w:val="24"/>
          <w:szCs w:val="24"/>
          <w:vertAlign w:val="superscript"/>
          <w:lang w:eastAsia="cs-CZ"/>
        </w:rPr>
        <w:footnoteReference w:id="50"/>
      </w:r>
      <w:r w:rsidRPr="00CB1C0A">
        <w:rPr>
          <w:rFonts w:ascii="Times New Roman" w:eastAsia="Calibri" w:hAnsi="Times New Roman" w:cs="Times New Roman"/>
          <w:sz w:val="24"/>
          <w:szCs w:val="24"/>
          <w:lang w:eastAsia="cs-CZ"/>
        </w:rPr>
        <w:t>.</w:t>
      </w:r>
      <w:r w:rsidRPr="00CB1C0A">
        <w:rPr>
          <w:rFonts w:ascii="Times New Roman" w:hAnsi="Times New Roman" w:cs="Times New Roman"/>
          <w:sz w:val="24"/>
        </w:rPr>
        <w:t xml:space="preserve"> Rozpočet predpokladá, že oproti roku 2015 výdavky</w:t>
      </w:r>
      <w:r w:rsidR="00544156">
        <w:rPr>
          <w:rFonts w:ascii="Times New Roman" w:hAnsi="Times New Roman" w:cs="Times New Roman"/>
          <w:sz w:val="24"/>
        </w:rPr>
        <w:t xml:space="preserve"> vrátane rezervy</w:t>
      </w:r>
      <w:r w:rsidRPr="00CB1C0A">
        <w:rPr>
          <w:rFonts w:ascii="Times New Roman" w:hAnsi="Times New Roman" w:cs="Times New Roman"/>
          <w:sz w:val="24"/>
        </w:rPr>
        <w:t xml:space="preserve"> narastú do rok</w:t>
      </w:r>
      <w:r w:rsidR="00544156">
        <w:rPr>
          <w:rFonts w:ascii="Times New Roman" w:hAnsi="Times New Roman" w:cs="Times New Roman"/>
          <w:sz w:val="24"/>
        </w:rPr>
        <w:t>u 2024, teda za desať rokov o 66</w:t>
      </w:r>
      <w:r w:rsidRPr="00CB1C0A">
        <w:rPr>
          <w:rFonts w:ascii="Times New Roman" w:hAnsi="Times New Roman" w:cs="Times New Roman"/>
          <w:sz w:val="24"/>
        </w:rPr>
        <w:t xml:space="preserve"> %, zatiaľ čo HDP podľa prognózy</w:t>
      </w:r>
      <w:r w:rsidRPr="00CB1C0A">
        <w:rPr>
          <w:rFonts w:ascii="Times New Roman" w:hAnsi="Times New Roman" w:cs="Times New Roman"/>
          <w:sz w:val="24"/>
          <w:vertAlign w:val="superscript"/>
        </w:rPr>
        <w:footnoteReference w:id="51"/>
      </w:r>
      <w:r w:rsidRPr="00CB1C0A">
        <w:rPr>
          <w:rFonts w:ascii="Times New Roman" w:hAnsi="Times New Roman" w:cs="Times New Roman"/>
          <w:sz w:val="24"/>
        </w:rPr>
        <w:t xml:space="preserve"> za rovnak</w:t>
      </w:r>
      <w:r w:rsidR="00EE2731">
        <w:rPr>
          <w:rFonts w:ascii="Times New Roman" w:hAnsi="Times New Roman" w:cs="Times New Roman"/>
          <w:sz w:val="24"/>
        </w:rPr>
        <w:t>é obdobie porastie o 46 %</w:t>
      </w:r>
      <w:r w:rsidRPr="00CB1C0A">
        <w:rPr>
          <w:rFonts w:ascii="Times New Roman" w:hAnsi="Times New Roman" w:cs="Times New Roman"/>
          <w:sz w:val="24"/>
        </w:rPr>
        <w:t xml:space="preserve">. </w:t>
      </w:r>
    </w:p>
    <w:p w:rsidR="00AA17E3" w:rsidRPr="00CB1C0A" w:rsidRDefault="00AA17E3" w:rsidP="00AA17E3">
      <w:pPr>
        <w:shd w:val="clear" w:color="auto" w:fill="FFFFFF" w:themeFill="background1"/>
        <w:spacing w:after="0" w:line="240" w:lineRule="auto"/>
        <w:jc w:val="both"/>
        <w:rPr>
          <w:rFonts w:ascii="Times New Roman" w:hAnsi="Times New Roman" w:cs="Times New Roman"/>
          <w:sz w:val="24"/>
        </w:rPr>
      </w:pPr>
    </w:p>
    <w:bookmarkEnd w:id="332"/>
    <w:bookmarkEnd w:id="333"/>
    <w:bookmarkEnd w:id="334"/>
    <w:p w:rsidR="00AA17E3" w:rsidRPr="00CB1C0A" w:rsidRDefault="00AA17E3" w:rsidP="00AA17E3">
      <w:pPr>
        <w:shd w:val="clear" w:color="auto" w:fill="FFFFFF" w:themeFill="background1"/>
        <w:spacing w:after="0" w:line="240" w:lineRule="auto"/>
        <w:jc w:val="both"/>
        <w:rPr>
          <w:rFonts w:ascii="Times New Roman" w:hAnsi="Times New Roman" w:cs="Times New Roman"/>
          <w:sz w:val="24"/>
          <w:szCs w:val="24"/>
        </w:rPr>
      </w:pPr>
    </w:p>
    <w:p w:rsidR="00AA17E3" w:rsidRPr="00CB1C0A" w:rsidRDefault="00AA17E3" w:rsidP="009224A5">
      <w:pPr>
        <w:keepNext/>
        <w:pBdr>
          <w:bottom w:val="single" w:sz="4" w:space="0" w:color="auto"/>
        </w:pBdr>
        <w:spacing w:after="0" w:line="240" w:lineRule="auto"/>
        <w:jc w:val="both"/>
        <w:rPr>
          <w:rFonts w:ascii="Times New Roman" w:eastAsia="Times New Roman" w:hAnsi="Times New Roman" w:cs="Times New Roman"/>
          <w:b/>
          <w:iCs/>
          <w:color w:val="5B9BD5" w:themeColor="accent1"/>
          <w:sz w:val="20"/>
          <w:szCs w:val="20"/>
          <w:lang w:eastAsia="cs-CZ"/>
        </w:rPr>
      </w:pPr>
      <w:bookmarkStart w:id="335" w:name="_Toc84528533"/>
      <w:bookmarkStart w:id="336" w:name="_Toc84848024"/>
      <w:r w:rsidRPr="00544156">
        <w:rPr>
          <w:rFonts w:ascii="Times New Roman" w:eastAsia="Times New Roman" w:hAnsi="Times New Roman" w:cs="Times New Roman"/>
          <w:b/>
          <w:iCs/>
          <w:color w:val="5B9BD5" w:themeColor="accent1"/>
          <w:sz w:val="20"/>
          <w:szCs w:val="20"/>
          <w:lang w:eastAsia="cs-CZ"/>
        </w:rPr>
        <w:t xml:space="preserve">Graf </w:t>
      </w:r>
      <w:r w:rsidRPr="00544156">
        <w:rPr>
          <w:rFonts w:ascii="Times New Roman" w:eastAsia="Times New Roman" w:hAnsi="Times New Roman" w:cs="Times New Roman"/>
          <w:b/>
          <w:iCs/>
          <w:color w:val="5B9BD5" w:themeColor="accent1"/>
          <w:sz w:val="20"/>
          <w:szCs w:val="20"/>
          <w:lang w:eastAsia="cs-CZ"/>
        </w:rPr>
        <w:fldChar w:fldCharType="begin"/>
      </w:r>
      <w:r w:rsidRPr="00544156">
        <w:rPr>
          <w:rFonts w:ascii="Times New Roman" w:eastAsia="Times New Roman" w:hAnsi="Times New Roman" w:cs="Times New Roman"/>
          <w:b/>
          <w:iCs/>
          <w:color w:val="5B9BD5" w:themeColor="accent1"/>
          <w:sz w:val="20"/>
          <w:szCs w:val="20"/>
          <w:lang w:eastAsia="cs-CZ"/>
        </w:rPr>
        <w:instrText xml:space="preserve"> SEQ Obrázok \* ARABIC </w:instrText>
      </w:r>
      <w:r w:rsidRPr="00544156">
        <w:rPr>
          <w:rFonts w:ascii="Times New Roman" w:eastAsia="Times New Roman" w:hAnsi="Times New Roman" w:cs="Times New Roman"/>
          <w:b/>
          <w:iCs/>
          <w:color w:val="5B9BD5" w:themeColor="accent1"/>
          <w:sz w:val="20"/>
          <w:szCs w:val="20"/>
          <w:lang w:eastAsia="cs-CZ"/>
        </w:rPr>
        <w:fldChar w:fldCharType="separate"/>
      </w:r>
      <w:r w:rsidR="006E67C6">
        <w:rPr>
          <w:rFonts w:ascii="Times New Roman" w:eastAsia="Times New Roman" w:hAnsi="Times New Roman" w:cs="Times New Roman"/>
          <w:b/>
          <w:iCs/>
          <w:noProof/>
          <w:color w:val="5B9BD5" w:themeColor="accent1"/>
          <w:sz w:val="20"/>
          <w:szCs w:val="20"/>
          <w:lang w:eastAsia="cs-CZ"/>
        </w:rPr>
        <w:t>33</w:t>
      </w:r>
      <w:r w:rsidRPr="00544156">
        <w:rPr>
          <w:rFonts w:ascii="Times New Roman" w:eastAsia="Times New Roman" w:hAnsi="Times New Roman" w:cs="Times New Roman"/>
          <w:b/>
          <w:iCs/>
          <w:color w:val="5B9BD5" w:themeColor="accent1"/>
          <w:sz w:val="20"/>
          <w:szCs w:val="20"/>
          <w:lang w:eastAsia="cs-CZ"/>
        </w:rPr>
        <w:fldChar w:fldCharType="end"/>
      </w:r>
      <w:r w:rsidR="00804037" w:rsidRPr="00544156">
        <w:rPr>
          <w:rFonts w:ascii="Times New Roman" w:eastAsia="Times New Roman" w:hAnsi="Times New Roman" w:cs="Times New Roman"/>
          <w:b/>
          <w:iCs/>
          <w:color w:val="5B9BD5" w:themeColor="accent1"/>
          <w:sz w:val="20"/>
          <w:szCs w:val="20"/>
          <w:lang w:eastAsia="cs-CZ"/>
        </w:rPr>
        <w:t xml:space="preserve"> -</w:t>
      </w:r>
      <w:r w:rsidRPr="00544156">
        <w:rPr>
          <w:rFonts w:ascii="Times New Roman" w:eastAsia="Times New Roman" w:hAnsi="Times New Roman" w:cs="Times New Roman"/>
          <w:b/>
          <w:iCs/>
          <w:color w:val="5B9BD5" w:themeColor="accent1"/>
          <w:sz w:val="20"/>
          <w:szCs w:val="20"/>
          <w:lang w:eastAsia="cs-CZ"/>
        </w:rPr>
        <w:t xml:space="preserve"> Úmrtnosť odvrátiteľná zdravotnou starostlivosťou a Porovnanie rastu výdavkov na zdravotníctvo</w:t>
      </w:r>
      <w:bookmarkEnd w:id="335"/>
      <w:r w:rsidRPr="00544156">
        <w:rPr>
          <w:rFonts w:ascii="Times New Roman" w:eastAsia="Times New Roman" w:hAnsi="Times New Roman" w:cs="Times New Roman"/>
          <w:b/>
          <w:iCs/>
          <w:color w:val="5B9BD5" w:themeColor="accent1"/>
          <w:sz w:val="20"/>
          <w:szCs w:val="20"/>
          <w:lang w:eastAsia="cs-CZ"/>
        </w:rPr>
        <w:t xml:space="preserve"> </w:t>
      </w:r>
      <w:r w:rsidR="006D3DB1" w:rsidRPr="00544156">
        <w:rPr>
          <w:rFonts w:ascii="Times New Roman" w:eastAsia="Times New Roman" w:hAnsi="Times New Roman" w:cs="Times New Roman"/>
          <w:b/>
          <w:iCs/>
          <w:color w:val="5B9BD5" w:themeColor="accent1"/>
          <w:sz w:val="20"/>
          <w:szCs w:val="20"/>
          <w:lang w:eastAsia="cs-CZ"/>
        </w:rPr>
        <w:t>a HDP</w:t>
      </w:r>
      <w:bookmarkEnd w:id="336"/>
    </w:p>
    <w:p w:rsidR="00054E87" w:rsidRDefault="00054E87" w:rsidP="00054E87">
      <w:pPr>
        <w:shd w:val="clear" w:color="auto" w:fill="FFFFFF" w:themeFill="background1"/>
        <w:jc w:val="both"/>
        <w:rPr>
          <w:rFonts w:ascii="Times New Roman" w:hAnsi="Times New Roman" w:cs="Times New Roman"/>
        </w:rPr>
      </w:pPr>
      <w:r>
        <w:rPr>
          <w:noProof/>
          <w:lang w:eastAsia="sk-SK"/>
        </w:rPr>
        <w:drawing>
          <wp:anchor distT="0" distB="0" distL="114300" distR="114300" simplePos="0" relativeHeight="251662336" behindDoc="0" locked="0" layoutInCell="1" allowOverlap="1" wp14:anchorId="0B82F35D" wp14:editId="39BEF919">
            <wp:simplePos x="898634" y="1324303"/>
            <wp:positionH relativeFrom="column">
              <wp:align>left</wp:align>
            </wp:positionH>
            <wp:positionV relativeFrom="paragraph">
              <wp:align>top</wp:align>
            </wp:positionV>
            <wp:extent cx="2893218" cy="2800350"/>
            <wp:effectExtent l="0" t="0" r="2540" b="0"/>
            <wp:wrapSquare wrapText="bothSides"/>
            <wp:docPr id="231" name="Graf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054E87" w:rsidRDefault="00054E87" w:rsidP="00054E87">
      <w:pPr>
        <w:shd w:val="clear" w:color="auto" w:fill="FFFFFF" w:themeFill="background1"/>
        <w:jc w:val="both"/>
        <w:rPr>
          <w:rFonts w:ascii="Times New Roman" w:hAnsi="Times New Roman" w:cs="Times New Roman"/>
        </w:rPr>
      </w:pPr>
      <w:r>
        <w:rPr>
          <w:noProof/>
          <w:lang w:eastAsia="sk-SK"/>
        </w:rPr>
        <w:drawing>
          <wp:inline distT="0" distB="0" distL="0" distR="0" wp14:anchorId="6E670467" wp14:editId="0120D8D6">
            <wp:extent cx="2711669" cy="2845676"/>
            <wp:effectExtent l="0" t="0" r="0" b="0"/>
            <wp:docPr id="232" name="Graf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54E87" w:rsidRPr="004419CA" w:rsidRDefault="00054E87" w:rsidP="00054E87">
      <w:pPr>
        <w:pBdr>
          <w:top w:val="single" w:sz="4" w:space="1" w:color="auto"/>
        </w:pBdr>
        <w:shd w:val="clear" w:color="auto" w:fill="FFFFFF" w:themeFill="background1"/>
        <w:rPr>
          <w:rFonts w:ascii="Times New Roman" w:hAnsi="Times New Roman" w:cs="Times New Roman"/>
          <w:i/>
          <w:sz w:val="16"/>
          <w:szCs w:val="16"/>
        </w:rPr>
      </w:pPr>
      <w:r>
        <w:rPr>
          <w:rFonts w:ascii="Times New Roman" w:hAnsi="Times New Roman" w:cs="Times New Roman"/>
          <w:i/>
          <w:sz w:val="16"/>
          <w:szCs w:val="16"/>
        </w:rPr>
        <w:t>*graf vľavo - hodnoty pre roky 2017 a 2018 sú predbežné                                                                     Zdroj: Eurostat, Hlavná kniha rozpočtu</w:t>
      </w:r>
    </w:p>
    <w:p w:rsidR="00AA17E3" w:rsidRPr="00CB1C0A" w:rsidRDefault="00AA17E3" w:rsidP="00AA17E3">
      <w:pPr>
        <w:shd w:val="clear" w:color="auto" w:fill="FFFFFF" w:themeFill="background1"/>
        <w:spacing w:after="0" w:line="240" w:lineRule="auto"/>
        <w:jc w:val="both"/>
        <w:rPr>
          <w:rFonts w:ascii="Times New Roman" w:eastAsia="Times New Roman" w:hAnsi="Times New Roman" w:cs="Times New Roman"/>
          <w:sz w:val="24"/>
          <w:szCs w:val="24"/>
          <w:lang w:eastAsia="cs-CZ"/>
        </w:rPr>
      </w:pPr>
    </w:p>
    <w:p w:rsidR="00AA17E3" w:rsidRPr="00CB1C0A" w:rsidRDefault="00AA17E3" w:rsidP="00AA17E3">
      <w:pPr>
        <w:shd w:val="clear" w:color="auto" w:fill="FFFFFF" w:themeFill="background1"/>
        <w:spacing w:after="0" w:line="240" w:lineRule="auto"/>
        <w:jc w:val="both"/>
        <w:rPr>
          <w:rFonts w:ascii="Times New Roman" w:eastAsia="Times New Roman" w:hAnsi="Times New Roman" w:cs="Times New Roman"/>
          <w:sz w:val="24"/>
          <w:szCs w:val="24"/>
          <w:lang w:eastAsia="cs-CZ"/>
        </w:rPr>
      </w:pPr>
      <w:r w:rsidRPr="00CB1C0A">
        <w:rPr>
          <w:rFonts w:ascii="Times New Roman" w:eastAsia="Times New Roman" w:hAnsi="Times New Roman" w:cs="Times New Roman"/>
          <w:sz w:val="24"/>
          <w:szCs w:val="24"/>
          <w:lang w:eastAsia="cs-CZ"/>
        </w:rPr>
        <w:t>Výsledky slovenského zdravotníctva však nezodpovedajú výdavkom. Na Slovensku pripadá ročne na 100-tisíc obyvateľov až 165 úmrtí, ktoré mohli byť odvrátené včasnou a efektívnou zdravotnou starostlivosťou. V ostatných krajinách V4 je takýchto úmrtí ročne 144 na 100-tisíc obyvateľov. Podobne zaostáva aj očakávaná dĺžka života, u mužov viac ako u žien. Novorodenecká úmrtnosť je výrazne vyššia ako v krajinách EÚ.</w:t>
      </w:r>
    </w:p>
    <w:p w:rsidR="00AA17E3" w:rsidRPr="00CB1C0A" w:rsidRDefault="00AA17E3" w:rsidP="00AA17E3">
      <w:pPr>
        <w:spacing w:after="0" w:line="240" w:lineRule="auto"/>
        <w:rPr>
          <w:rFonts w:ascii="Courier" w:hAnsi="Courier" w:cs="Courier"/>
          <w:sz w:val="24"/>
          <w:szCs w:val="24"/>
        </w:rPr>
      </w:pPr>
    </w:p>
    <w:p w:rsidR="00AA17E3" w:rsidRPr="00CB1C0A" w:rsidRDefault="00AA17E3" w:rsidP="00804037">
      <w:pPr>
        <w:keepNext/>
        <w:spacing w:after="0" w:line="240" w:lineRule="auto"/>
        <w:rPr>
          <w:rFonts w:ascii="Times New Roman" w:eastAsia="Times New Roman" w:hAnsi="Times New Roman" w:cs="Times New Roman"/>
          <w:b/>
          <w:iCs/>
          <w:color w:val="5B9BD5" w:themeColor="accent1"/>
          <w:sz w:val="20"/>
          <w:szCs w:val="20"/>
          <w:lang w:eastAsia="cs-CZ"/>
        </w:rPr>
      </w:pPr>
      <w:bookmarkStart w:id="337" w:name="_Toc53049339"/>
      <w:bookmarkStart w:id="338" w:name="_Toc53049871"/>
      <w:bookmarkStart w:id="339" w:name="_Toc84528424"/>
      <w:bookmarkStart w:id="340" w:name="_Toc84845300"/>
      <w:r w:rsidRPr="00CB1C0A">
        <w:rPr>
          <w:rFonts w:ascii="Times New Roman" w:eastAsia="Times New Roman" w:hAnsi="Times New Roman" w:cs="Times New Roman"/>
          <w:b/>
          <w:iCs/>
          <w:color w:val="5B9BD5" w:themeColor="accent1"/>
          <w:sz w:val="20"/>
          <w:szCs w:val="20"/>
          <w:lang w:eastAsia="cs-CZ"/>
        </w:rPr>
        <w:t xml:space="preserve">Tabuľka </w:t>
      </w:r>
      <w:r w:rsidRPr="00CB1C0A">
        <w:rPr>
          <w:rFonts w:ascii="Times New Roman" w:eastAsia="Times New Roman" w:hAnsi="Times New Roman" w:cs="Times New Roman"/>
          <w:b/>
          <w:iCs/>
          <w:color w:val="5B9BD5" w:themeColor="accent1"/>
          <w:sz w:val="20"/>
          <w:szCs w:val="20"/>
          <w:lang w:eastAsia="cs-CZ"/>
        </w:rPr>
        <w:fldChar w:fldCharType="begin"/>
      </w:r>
      <w:r w:rsidRPr="00CB1C0A">
        <w:rPr>
          <w:rFonts w:ascii="Times New Roman" w:eastAsia="Times New Roman" w:hAnsi="Times New Roman" w:cs="Times New Roman"/>
          <w:b/>
          <w:iCs/>
          <w:color w:val="5B9BD5" w:themeColor="accent1"/>
          <w:sz w:val="20"/>
          <w:szCs w:val="20"/>
          <w:lang w:eastAsia="cs-CZ"/>
        </w:rPr>
        <w:instrText xml:space="preserve"> SEQ Tabuľka \* ARABIC </w:instrText>
      </w:r>
      <w:r w:rsidRPr="00CB1C0A">
        <w:rPr>
          <w:rFonts w:ascii="Times New Roman" w:eastAsia="Times New Roman" w:hAnsi="Times New Roman" w:cs="Times New Roman"/>
          <w:b/>
          <w:iCs/>
          <w:color w:val="5B9BD5" w:themeColor="accent1"/>
          <w:sz w:val="20"/>
          <w:szCs w:val="20"/>
          <w:lang w:eastAsia="cs-CZ"/>
        </w:rPr>
        <w:fldChar w:fldCharType="separate"/>
      </w:r>
      <w:r w:rsidR="006E67C6">
        <w:rPr>
          <w:rFonts w:ascii="Times New Roman" w:eastAsia="Times New Roman" w:hAnsi="Times New Roman" w:cs="Times New Roman"/>
          <w:b/>
          <w:iCs/>
          <w:noProof/>
          <w:color w:val="5B9BD5" w:themeColor="accent1"/>
          <w:sz w:val="20"/>
          <w:szCs w:val="20"/>
          <w:lang w:eastAsia="cs-CZ"/>
        </w:rPr>
        <w:t>76</w:t>
      </w:r>
      <w:r w:rsidRPr="00CB1C0A">
        <w:rPr>
          <w:rFonts w:ascii="Times New Roman" w:eastAsia="Times New Roman" w:hAnsi="Times New Roman" w:cs="Times New Roman"/>
          <w:b/>
          <w:iCs/>
          <w:color w:val="5B9BD5" w:themeColor="accent1"/>
          <w:sz w:val="20"/>
          <w:szCs w:val="20"/>
          <w:lang w:eastAsia="cs-CZ"/>
        </w:rPr>
        <w:fldChar w:fldCharType="end"/>
      </w:r>
      <w:r w:rsidRPr="00CB1C0A">
        <w:rPr>
          <w:rFonts w:ascii="Times New Roman" w:eastAsia="Times New Roman" w:hAnsi="Times New Roman" w:cs="Times New Roman"/>
          <w:b/>
          <w:iCs/>
          <w:color w:val="5B9BD5" w:themeColor="accent1"/>
          <w:sz w:val="20"/>
          <w:szCs w:val="20"/>
          <w:lang w:eastAsia="cs-CZ"/>
        </w:rPr>
        <w:t xml:space="preserve"> - Kľúčové ukazovatele zdravotníctva</w:t>
      </w:r>
      <w:bookmarkEnd w:id="337"/>
      <w:bookmarkEnd w:id="338"/>
      <w:bookmarkEnd w:id="339"/>
      <w:bookmarkEnd w:id="340"/>
    </w:p>
    <w:tbl>
      <w:tblPr>
        <w:tblW w:w="5000" w:type="pct"/>
        <w:tblCellMar>
          <w:left w:w="70" w:type="dxa"/>
          <w:right w:w="70" w:type="dxa"/>
        </w:tblCellMar>
        <w:tblLook w:val="04A0" w:firstRow="1" w:lastRow="0" w:firstColumn="1" w:lastColumn="0" w:noHBand="0" w:noVBand="1"/>
      </w:tblPr>
      <w:tblGrid>
        <w:gridCol w:w="4129"/>
        <w:gridCol w:w="718"/>
        <w:gridCol w:w="826"/>
        <w:gridCol w:w="615"/>
        <w:gridCol w:w="564"/>
        <w:gridCol w:w="564"/>
        <w:gridCol w:w="853"/>
        <w:gridCol w:w="803"/>
      </w:tblGrid>
      <w:tr w:rsidR="00AA17E3" w:rsidRPr="00CB1C0A" w:rsidTr="007E4418">
        <w:trPr>
          <w:trHeight w:val="324"/>
          <w:tblHeader/>
        </w:trPr>
        <w:tc>
          <w:tcPr>
            <w:tcW w:w="2276" w:type="pct"/>
            <w:tcBorders>
              <w:top w:val="single" w:sz="4" w:space="0" w:color="auto"/>
              <w:left w:val="nil"/>
              <w:bottom w:val="single" w:sz="4" w:space="0" w:color="auto"/>
              <w:right w:val="nil"/>
            </w:tcBorders>
            <w:shd w:val="clear" w:color="auto" w:fill="auto"/>
            <w:noWrap/>
            <w:vAlign w:val="center"/>
            <w:hideMark/>
          </w:tcPr>
          <w:p w:rsidR="00AA17E3" w:rsidRPr="00CB1C0A" w:rsidRDefault="00AA17E3" w:rsidP="00AA17E3">
            <w:pPr>
              <w:spacing w:after="0" w:line="240" w:lineRule="auto"/>
              <w:rPr>
                <w:rFonts w:ascii="Calibri" w:eastAsia="Times New Roman" w:hAnsi="Calibri" w:cs="Calibri"/>
                <w:color w:val="000000"/>
                <w:sz w:val="24"/>
                <w:szCs w:val="24"/>
                <w:lang w:eastAsia="sk-SK"/>
              </w:rPr>
            </w:pPr>
            <w:r w:rsidRPr="00CB1C0A">
              <w:rPr>
                <w:rFonts w:ascii="Calibri" w:eastAsia="Times New Roman" w:hAnsi="Calibri" w:cs="Calibri"/>
                <w:color w:val="000000"/>
                <w:sz w:val="24"/>
                <w:szCs w:val="24"/>
                <w:lang w:eastAsia="sk-SK"/>
              </w:rPr>
              <w:t> </w:t>
            </w:r>
          </w:p>
        </w:tc>
        <w:tc>
          <w:tcPr>
            <w:tcW w:w="396" w:type="pct"/>
            <w:tcBorders>
              <w:top w:val="single" w:sz="4" w:space="0" w:color="auto"/>
              <w:left w:val="nil"/>
              <w:bottom w:val="single" w:sz="4" w:space="0" w:color="auto"/>
              <w:right w:val="nil"/>
            </w:tcBorders>
            <w:shd w:val="clear" w:color="auto" w:fill="auto"/>
            <w:noWrap/>
            <w:vAlign w:val="center"/>
            <w:hideMark/>
          </w:tcPr>
          <w:p w:rsidR="00AA17E3" w:rsidRPr="00CB1C0A" w:rsidRDefault="00AA17E3" w:rsidP="00AA17E3">
            <w:pPr>
              <w:spacing w:after="0" w:line="240" w:lineRule="auto"/>
              <w:rPr>
                <w:rFonts w:ascii="Calibri" w:eastAsia="Times New Roman" w:hAnsi="Calibri" w:cs="Calibri"/>
                <w:color w:val="000000"/>
                <w:sz w:val="24"/>
                <w:szCs w:val="24"/>
                <w:lang w:eastAsia="sk-SK"/>
              </w:rPr>
            </w:pPr>
            <w:r w:rsidRPr="00CB1C0A">
              <w:rPr>
                <w:rFonts w:ascii="Calibri" w:eastAsia="Times New Roman" w:hAnsi="Calibri" w:cs="Calibri"/>
                <w:color w:val="000000"/>
                <w:sz w:val="24"/>
                <w:szCs w:val="24"/>
                <w:lang w:eastAsia="sk-SK"/>
              </w:rPr>
              <w:t> </w:t>
            </w:r>
          </w:p>
        </w:tc>
        <w:tc>
          <w:tcPr>
            <w:tcW w:w="455" w:type="pct"/>
            <w:tcBorders>
              <w:top w:val="single" w:sz="4" w:space="0" w:color="auto"/>
              <w:left w:val="nil"/>
              <w:bottom w:val="single" w:sz="4" w:space="0" w:color="auto"/>
              <w:right w:val="nil"/>
            </w:tcBorders>
            <w:shd w:val="clear" w:color="auto" w:fill="auto"/>
            <w:noWrap/>
            <w:vAlign w:val="center"/>
            <w:hideMark/>
          </w:tcPr>
          <w:p w:rsidR="00AA17E3" w:rsidRPr="00CB1C0A" w:rsidRDefault="00AA17E3" w:rsidP="00804037">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2017</w:t>
            </w:r>
          </w:p>
        </w:tc>
        <w:tc>
          <w:tcPr>
            <w:tcW w:w="339" w:type="pct"/>
            <w:tcBorders>
              <w:top w:val="single" w:sz="4" w:space="0" w:color="auto"/>
              <w:left w:val="nil"/>
              <w:bottom w:val="single" w:sz="4" w:space="0" w:color="auto"/>
              <w:right w:val="nil"/>
            </w:tcBorders>
            <w:shd w:val="clear" w:color="auto" w:fill="auto"/>
            <w:vAlign w:val="center"/>
            <w:hideMark/>
          </w:tcPr>
          <w:p w:rsidR="00AA17E3" w:rsidRPr="00CB1C0A" w:rsidRDefault="00AA17E3" w:rsidP="00804037">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2018</w:t>
            </w:r>
          </w:p>
        </w:tc>
        <w:tc>
          <w:tcPr>
            <w:tcW w:w="311" w:type="pct"/>
            <w:tcBorders>
              <w:top w:val="single" w:sz="4" w:space="0" w:color="auto"/>
              <w:left w:val="nil"/>
              <w:bottom w:val="single" w:sz="4" w:space="0" w:color="auto"/>
              <w:right w:val="nil"/>
            </w:tcBorders>
            <w:shd w:val="clear" w:color="auto" w:fill="auto"/>
            <w:vAlign w:val="center"/>
            <w:hideMark/>
          </w:tcPr>
          <w:p w:rsidR="00AA17E3" w:rsidRPr="00CB1C0A" w:rsidRDefault="00AA17E3" w:rsidP="00804037">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2019</w:t>
            </w:r>
          </w:p>
        </w:tc>
        <w:tc>
          <w:tcPr>
            <w:tcW w:w="311" w:type="pct"/>
            <w:tcBorders>
              <w:top w:val="single" w:sz="4" w:space="0" w:color="auto"/>
              <w:left w:val="nil"/>
              <w:bottom w:val="single" w:sz="4" w:space="0" w:color="auto"/>
              <w:right w:val="nil"/>
            </w:tcBorders>
            <w:shd w:val="clear" w:color="auto" w:fill="auto"/>
            <w:vAlign w:val="center"/>
            <w:hideMark/>
          </w:tcPr>
          <w:p w:rsidR="00AA17E3" w:rsidRPr="00CB1C0A" w:rsidRDefault="00AA17E3" w:rsidP="00804037">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2020</w:t>
            </w:r>
          </w:p>
        </w:tc>
        <w:tc>
          <w:tcPr>
            <w:tcW w:w="470" w:type="pct"/>
            <w:tcBorders>
              <w:top w:val="single" w:sz="4" w:space="0" w:color="auto"/>
              <w:left w:val="nil"/>
              <w:bottom w:val="single" w:sz="4" w:space="0" w:color="auto"/>
              <w:right w:val="nil"/>
            </w:tcBorders>
            <w:shd w:val="clear" w:color="auto" w:fill="auto"/>
            <w:vAlign w:val="center"/>
            <w:hideMark/>
          </w:tcPr>
          <w:p w:rsidR="00AA17E3" w:rsidRPr="00CB1C0A" w:rsidRDefault="00AA17E3" w:rsidP="00804037">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Cieľ 2024</w:t>
            </w:r>
          </w:p>
        </w:tc>
        <w:tc>
          <w:tcPr>
            <w:tcW w:w="443" w:type="pct"/>
            <w:tcBorders>
              <w:top w:val="single" w:sz="4" w:space="0" w:color="auto"/>
              <w:left w:val="nil"/>
              <w:bottom w:val="single" w:sz="4" w:space="0" w:color="auto"/>
              <w:right w:val="nil"/>
            </w:tcBorders>
            <w:shd w:val="clear" w:color="auto" w:fill="auto"/>
            <w:vAlign w:val="center"/>
            <w:hideMark/>
          </w:tcPr>
          <w:p w:rsidR="00AA17E3" w:rsidRPr="00CB1C0A" w:rsidRDefault="00AA17E3" w:rsidP="00804037">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Cieľ 2030</w:t>
            </w:r>
          </w:p>
        </w:tc>
      </w:tr>
      <w:tr w:rsidR="00AA17E3" w:rsidRPr="00CB1C0A" w:rsidTr="007E4418">
        <w:trPr>
          <w:trHeight w:val="276"/>
        </w:trPr>
        <w:tc>
          <w:tcPr>
            <w:tcW w:w="2276" w:type="pct"/>
            <w:tcBorders>
              <w:top w:val="single" w:sz="4" w:space="0" w:color="auto"/>
              <w:left w:val="nil"/>
              <w:bottom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Úmrtnosť odvrátiteľná zdravotnou starostlivosťou</w:t>
            </w:r>
          </w:p>
        </w:tc>
        <w:tc>
          <w:tcPr>
            <w:tcW w:w="396" w:type="pct"/>
            <w:tcBorders>
              <w:top w:val="single" w:sz="4" w:space="0" w:color="auto"/>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SK</w:t>
            </w:r>
          </w:p>
        </w:tc>
        <w:tc>
          <w:tcPr>
            <w:tcW w:w="455" w:type="pct"/>
            <w:tcBorders>
              <w:top w:val="single" w:sz="4" w:space="0" w:color="auto"/>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173,7</w:t>
            </w:r>
          </w:p>
        </w:tc>
        <w:tc>
          <w:tcPr>
            <w:tcW w:w="339" w:type="pct"/>
            <w:tcBorders>
              <w:top w:val="single" w:sz="4" w:space="0" w:color="auto"/>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165,3</w:t>
            </w:r>
          </w:p>
        </w:tc>
        <w:tc>
          <w:tcPr>
            <w:tcW w:w="311" w:type="pct"/>
            <w:tcBorders>
              <w:top w:val="single" w:sz="4" w:space="0" w:color="auto"/>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single" w:sz="4" w:space="0" w:color="auto"/>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val="restart"/>
            <w:tcBorders>
              <w:top w:val="single" w:sz="4" w:space="0" w:color="auto"/>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145,3</w:t>
            </w:r>
          </w:p>
        </w:tc>
        <w:tc>
          <w:tcPr>
            <w:tcW w:w="443" w:type="pct"/>
            <w:vMerge w:val="restart"/>
            <w:tcBorders>
              <w:top w:val="single" w:sz="4" w:space="0" w:color="auto"/>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119,6</w:t>
            </w:r>
          </w:p>
        </w:tc>
      </w:tr>
      <w:tr w:rsidR="00AA17E3" w:rsidRPr="00CB1C0A" w:rsidTr="00AA17E3">
        <w:trPr>
          <w:trHeight w:val="276"/>
        </w:trPr>
        <w:tc>
          <w:tcPr>
            <w:tcW w:w="227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(Počet úmrtí na 100-tisíc obyvateľov)</w:t>
            </w:r>
          </w:p>
        </w:tc>
        <w:tc>
          <w:tcPr>
            <w:tcW w:w="39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EÚ</w:t>
            </w:r>
          </w:p>
        </w:tc>
        <w:tc>
          <w:tcPr>
            <w:tcW w:w="455"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39"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tcBorders>
              <w:left w:val="nil"/>
              <w:bottom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c>
          <w:tcPr>
            <w:tcW w:w="443" w:type="pct"/>
            <w:vMerge/>
            <w:tcBorders>
              <w:left w:val="nil"/>
              <w:bottom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r>
      <w:tr w:rsidR="00AA17E3" w:rsidRPr="00CB1C0A" w:rsidTr="00AA17E3">
        <w:trPr>
          <w:trHeight w:val="255"/>
        </w:trPr>
        <w:tc>
          <w:tcPr>
            <w:tcW w:w="227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both"/>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Novorodenecká úmrtnosť</w:t>
            </w:r>
          </w:p>
        </w:tc>
        <w:tc>
          <w:tcPr>
            <w:tcW w:w="39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SK</w:t>
            </w:r>
          </w:p>
        </w:tc>
        <w:tc>
          <w:tcPr>
            <w:tcW w:w="455"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4,5</w:t>
            </w:r>
          </w:p>
        </w:tc>
        <w:tc>
          <w:tcPr>
            <w:tcW w:w="339"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5,0</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5,1</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val="restar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4,1</w:t>
            </w:r>
          </w:p>
        </w:tc>
        <w:tc>
          <w:tcPr>
            <w:tcW w:w="443" w:type="pct"/>
            <w:vMerge w:val="restar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2,7</w:t>
            </w:r>
          </w:p>
        </w:tc>
      </w:tr>
      <w:tr w:rsidR="00AA17E3" w:rsidRPr="00CB1C0A" w:rsidTr="00AA17E3">
        <w:trPr>
          <w:trHeight w:val="255"/>
        </w:trPr>
        <w:tc>
          <w:tcPr>
            <w:tcW w:w="227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(Počet úmrtí v prvom roku života na 1 000 živonarodených)</w:t>
            </w:r>
          </w:p>
        </w:tc>
        <w:tc>
          <w:tcPr>
            <w:tcW w:w="39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EÚ</w:t>
            </w:r>
          </w:p>
        </w:tc>
        <w:tc>
          <w:tcPr>
            <w:tcW w:w="455"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3,5</w:t>
            </w:r>
          </w:p>
        </w:tc>
        <w:tc>
          <w:tcPr>
            <w:tcW w:w="339"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3,4</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3,4</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tcBorders>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c>
          <w:tcPr>
            <w:tcW w:w="443" w:type="pct"/>
            <w:vMerge/>
            <w:tcBorders>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r>
      <w:tr w:rsidR="00AA17E3" w:rsidRPr="00CB1C0A" w:rsidTr="00AA17E3">
        <w:trPr>
          <w:trHeight w:val="255"/>
        </w:trPr>
        <w:tc>
          <w:tcPr>
            <w:tcW w:w="227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Úmrtnosť odvrátiteľná prevenciou</w:t>
            </w:r>
          </w:p>
        </w:tc>
        <w:tc>
          <w:tcPr>
            <w:tcW w:w="39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SK</w:t>
            </w:r>
          </w:p>
        </w:tc>
        <w:tc>
          <w:tcPr>
            <w:tcW w:w="455"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238,7</w:t>
            </w:r>
          </w:p>
        </w:tc>
        <w:tc>
          <w:tcPr>
            <w:tcW w:w="339"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241,3</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val="restar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207,7</w:t>
            </w:r>
          </w:p>
        </w:tc>
        <w:tc>
          <w:tcPr>
            <w:tcW w:w="443" w:type="pct"/>
            <w:vMerge w:val="restar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173,7</w:t>
            </w:r>
          </w:p>
        </w:tc>
      </w:tr>
      <w:tr w:rsidR="00AA17E3" w:rsidRPr="00CB1C0A" w:rsidTr="00AA17E3">
        <w:trPr>
          <w:trHeight w:val="255"/>
        </w:trPr>
        <w:tc>
          <w:tcPr>
            <w:tcW w:w="227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(Počet úmrtí na 100-tisíc obyvateľov)</w:t>
            </w:r>
          </w:p>
        </w:tc>
        <w:tc>
          <w:tcPr>
            <w:tcW w:w="39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EÚ</w:t>
            </w:r>
          </w:p>
        </w:tc>
        <w:tc>
          <w:tcPr>
            <w:tcW w:w="455"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39"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tcBorders>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c>
          <w:tcPr>
            <w:tcW w:w="443" w:type="pct"/>
            <w:vMerge/>
            <w:tcBorders>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r>
      <w:tr w:rsidR="00AA17E3" w:rsidRPr="00CB1C0A" w:rsidTr="00AA17E3">
        <w:trPr>
          <w:trHeight w:val="255"/>
        </w:trPr>
        <w:tc>
          <w:tcPr>
            <w:tcW w:w="227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Očakávaná dĺžka života žien pri narodení</w:t>
            </w:r>
          </w:p>
        </w:tc>
        <w:tc>
          <w:tcPr>
            <w:tcW w:w="396" w:type="pct"/>
            <w:tcBorders>
              <w:top w:val="nil"/>
              <w:left w:val="nil"/>
              <w:bottom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SK</w:t>
            </w:r>
          </w:p>
        </w:tc>
        <w:tc>
          <w:tcPr>
            <w:tcW w:w="455"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80,7</w:t>
            </w:r>
          </w:p>
        </w:tc>
        <w:tc>
          <w:tcPr>
            <w:tcW w:w="339" w:type="pct"/>
            <w:tcBorders>
              <w:top w:val="nil"/>
              <w:left w:val="nil"/>
              <w:bottom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80,8</w:t>
            </w:r>
          </w:p>
        </w:tc>
        <w:tc>
          <w:tcPr>
            <w:tcW w:w="311" w:type="pc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81,2</w:t>
            </w:r>
          </w:p>
        </w:tc>
        <w:tc>
          <w:tcPr>
            <w:tcW w:w="311" w:type="pc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80,4</w:t>
            </w:r>
          </w:p>
        </w:tc>
        <w:tc>
          <w:tcPr>
            <w:tcW w:w="470" w:type="pct"/>
            <w:vMerge w:val="restar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81,9</w:t>
            </w:r>
          </w:p>
        </w:tc>
        <w:tc>
          <w:tcPr>
            <w:tcW w:w="443" w:type="pct"/>
            <w:vMerge w:val="restart"/>
            <w:tcBorders>
              <w:top w:val="nil"/>
              <w:lef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83,3</w:t>
            </w:r>
          </w:p>
        </w:tc>
      </w:tr>
      <w:tr w:rsidR="00AA17E3" w:rsidRPr="00CB1C0A" w:rsidTr="007E4418">
        <w:trPr>
          <w:trHeight w:val="255"/>
        </w:trPr>
        <w:tc>
          <w:tcPr>
            <w:tcW w:w="2276" w:type="pct"/>
            <w:tcBorders>
              <w:top w:val="nil"/>
              <w:left w:val="nil"/>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(Počet rokov)</w:t>
            </w:r>
          </w:p>
        </w:tc>
        <w:tc>
          <w:tcPr>
            <w:tcW w:w="396" w:type="pct"/>
            <w:tcBorders>
              <w:top w:val="nil"/>
              <w:left w:val="nil"/>
              <w:right w:val="nil"/>
            </w:tcBorders>
            <w:shd w:val="clear" w:color="auto" w:fill="auto"/>
            <w:noWrap/>
            <w:vAlign w:val="center"/>
            <w:hideMark/>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EÚ</w:t>
            </w:r>
          </w:p>
        </w:tc>
        <w:tc>
          <w:tcPr>
            <w:tcW w:w="455" w:type="pc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83,6</w:t>
            </w:r>
          </w:p>
        </w:tc>
        <w:tc>
          <w:tcPr>
            <w:tcW w:w="339" w:type="pc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83,6</w:t>
            </w:r>
          </w:p>
        </w:tc>
        <w:tc>
          <w:tcPr>
            <w:tcW w:w="311" w:type="pc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311" w:type="pct"/>
            <w:tcBorders>
              <w:top w:val="nil"/>
              <w:left w:val="nil"/>
              <w:right w:val="nil"/>
            </w:tcBorders>
            <w:shd w:val="clear" w:color="auto" w:fill="auto"/>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r w:rsidRPr="00CB1C0A">
              <w:rPr>
                <w:rFonts w:ascii="Times New Roman" w:eastAsia="Times New Roman" w:hAnsi="Times New Roman" w:cs="Times New Roman"/>
                <w:color w:val="000000"/>
                <w:sz w:val="18"/>
                <w:szCs w:val="18"/>
                <w:lang w:eastAsia="sk-SK"/>
              </w:rPr>
              <w:t>-</w:t>
            </w:r>
          </w:p>
        </w:tc>
        <w:tc>
          <w:tcPr>
            <w:tcW w:w="470" w:type="pct"/>
            <w:vMerge/>
            <w:tcBorders>
              <w:left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c>
          <w:tcPr>
            <w:tcW w:w="443" w:type="pct"/>
            <w:vMerge/>
            <w:tcBorders>
              <w:lef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color w:val="000000"/>
                <w:sz w:val="18"/>
                <w:szCs w:val="18"/>
                <w:lang w:eastAsia="sk-SK"/>
              </w:rPr>
            </w:pPr>
          </w:p>
        </w:tc>
      </w:tr>
      <w:tr w:rsidR="00AA17E3" w:rsidRPr="00CB1C0A" w:rsidTr="00AA17E3">
        <w:trPr>
          <w:trHeight w:val="255"/>
        </w:trPr>
        <w:tc>
          <w:tcPr>
            <w:tcW w:w="2276" w:type="pct"/>
            <w:tcBorders>
              <w:top w:val="nil"/>
              <w:left w:val="nil"/>
              <w:bottom w:val="nil"/>
              <w:right w:val="nil"/>
            </w:tcBorders>
            <w:shd w:val="clear" w:color="auto" w:fill="auto"/>
            <w:noWrap/>
            <w:vAlign w:val="center"/>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Očakávaná dĺžka života mužov pri narodení</w:t>
            </w:r>
          </w:p>
        </w:tc>
        <w:tc>
          <w:tcPr>
            <w:tcW w:w="396" w:type="pct"/>
            <w:tcBorders>
              <w:top w:val="nil"/>
              <w:left w:val="nil"/>
              <w:bottom w:val="nil"/>
              <w:right w:val="nil"/>
            </w:tcBorders>
            <w:shd w:val="clear" w:color="auto" w:fill="auto"/>
            <w:noWrap/>
            <w:vAlign w:val="center"/>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SK</w:t>
            </w:r>
          </w:p>
        </w:tc>
        <w:tc>
          <w:tcPr>
            <w:tcW w:w="455" w:type="pct"/>
            <w:tcBorders>
              <w:top w:val="nil"/>
              <w:left w:val="nil"/>
              <w:bottom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73,8</w:t>
            </w:r>
          </w:p>
        </w:tc>
        <w:tc>
          <w:tcPr>
            <w:tcW w:w="339" w:type="pct"/>
            <w:tcBorders>
              <w:top w:val="nil"/>
              <w:left w:val="nil"/>
              <w:bottom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73,9</w:t>
            </w:r>
          </w:p>
        </w:tc>
        <w:tc>
          <w:tcPr>
            <w:tcW w:w="311" w:type="pct"/>
            <w:tcBorders>
              <w:top w:val="nil"/>
              <w:left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74,3</w:t>
            </w:r>
          </w:p>
        </w:tc>
        <w:tc>
          <w:tcPr>
            <w:tcW w:w="311" w:type="pct"/>
            <w:tcBorders>
              <w:top w:val="nil"/>
              <w:left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73,5</w:t>
            </w:r>
          </w:p>
        </w:tc>
        <w:tc>
          <w:tcPr>
            <w:tcW w:w="470" w:type="pct"/>
            <w:vMerge w:val="restart"/>
            <w:tcBorders>
              <w:left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75,3</w:t>
            </w:r>
          </w:p>
        </w:tc>
        <w:tc>
          <w:tcPr>
            <w:tcW w:w="443" w:type="pct"/>
            <w:vMerge w:val="restart"/>
            <w:tcBorders>
              <w:top w:val="nil"/>
              <w:left w:val="nil"/>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77,4</w:t>
            </w:r>
          </w:p>
        </w:tc>
      </w:tr>
      <w:tr w:rsidR="00AA17E3" w:rsidRPr="00CB1C0A" w:rsidTr="007E4418">
        <w:trPr>
          <w:trHeight w:val="255"/>
        </w:trPr>
        <w:tc>
          <w:tcPr>
            <w:tcW w:w="2276" w:type="pct"/>
            <w:tcBorders>
              <w:top w:val="nil"/>
              <w:left w:val="nil"/>
              <w:bottom w:val="single" w:sz="4" w:space="0" w:color="auto"/>
              <w:right w:val="nil"/>
            </w:tcBorders>
            <w:shd w:val="clear" w:color="auto" w:fill="auto"/>
            <w:noWrap/>
            <w:vAlign w:val="center"/>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(Počet rokov)</w:t>
            </w:r>
          </w:p>
        </w:tc>
        <w:tc>
          <w:tcPr>
            <w:tcW w:w="396" w:type="pct"/>
            <w:tcBorders>
              <w:top w:val="nil"/>
              <w:left w:val="nil"/>
              <w:bottom w:val="single" w:sz="4" w:space="0" w:color="auto"/>
              <w:right w:val="nil"/>
            </w:tcBorders>
            <w:shd w:val="clear" w:color="auto" w:fill="auto"/>
            <w:noWrap/>
            <w:vAlign w:val="center"/>
          </w:tcPr>
          <w:p w:rsidR="00AA17E3" w:rsidRPr="00CB1C0A" w:rsidRDefault="00AA17E3" w:rsidP="00AA17E3">
            <w:pPr>
              <w:spacing w:after="0" w:line="240" w:lineRule="auto"/>
              <w:jc w:val="center"/>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EÚ</w:t>
            </w:r>
          </w:p>
        </w:tc>
        <w:tc>
          <w:tcPr>
            <w:tcW w:w="455" w:type="pct"/>
            <w:tcBorders>
              <w:top w:val="nil"/>
              <w:left w:val="nil"/>
              <w:bottom w:val="single" w:sz="4" w:space="0" w:color="auto"/>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78,3</w:t>
            </w:r>
          </w:p>
        </w:tc>
        <w:tc>
          <w:tcPr>
            <w:tcW w:w="339" w:type="pct"/>
            <w:tcBorders>
              <w:top w:val="nil"/>
              <w:left w:val="nil"/>
              <w:bottom w:val="single" w:sz="4" w:space="0" w:color="auto"/>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78,3</w:t>
            </w:r>
          </w:p>
        </w:tc>
        <w:tc>
          <w:tcPr>
            <w:tcW w:w="311" w:type="pct"/>
            <w:tcBorders>
              <w:left w:val="nil"/>
              <w:bottom w:val="single" w:sz="4" w:space="0" w:color="auto"/>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w:t>
            </w:r>
          </w:p>
        </w:tc>
        <w:tc>
          <w:tcPr>
            <w:tcW w:w="311" w:type="pct"/>
            <w:tcBorders>
              <w:left w:val="nil"/>
              <w:bottom w:val="single" w:sz="4" w:space="0" w:color="auto"/>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r w:rsidRPr="00CB1C0A">
              <w:rPr>
                <w:rFonts w:ascii="Times New Roman" w:eastAsia="Times New Roman" w:hAnsi="Times New Roman" w:cs="Times New Roman"/>
                <w:bCs/>
                <w:color w:val="000000"/>
                <w:sz w:val="18"/>
                <w:szCs w:val="16"/>
                <w:lang w:eastAsia="sk-SK"/>
              </w:rPr>
              <w:t>-</w:t>
            </w:r>
          </w:p>
        </w:tc>
        <w:tc>
          <w:tcPr>
            <w:tcW w:w="470" w:type="pct"/>
            <w:vMerge/>
            <w:tcBorders>
              <w:left w:val="nil"/>
              <w:bottom w:val="single" w:sz="4" w:space="0" w:color="auto"/>
              <w:right w:val="nil"/>
            </w:tcBorders>
            <w:shd w:val="clear" w:color="auto" w:fill="auto"/>
            <w:vAlign w:val="center"/>
          </w:tcPr>
          <w:p w:rsidR="00AA17E3" w:rsidRPr="00CB1C0A" w:rsidRDefault="00AA17E3" w:rsidP="00AA17E3">
            <w:pPr>
              <w:spacing w:after="0" w:line="240" w:lineRule="auto"/>
              <w:jc w:val="center"/>
              <w:rPr>
                <w:rFonts w:ascii="Times New Roman" w:eastAsia="Times New Roman" w:hAnsi="Times New Roman" w:cs="Times New Roman"/>
                <w:bCs/>
                <w:color w:val="000000"/>
                <w:sz w:val="18"/>
                <w:szCs w:val="16"/>
                <w:lang w:eastAsia="sk-SK"/>
              </w:rPr>
            </w:pPr>
          </w:p>
        </w:tc>
        <w:tc>
          <w:tcPr>
            <w:tcW w:w="443" w:type="pct"/>
            <w:vMerge/>
            <w:tcBorders>
              <w:left w:val="nil"/>
              <w:bottom w:val="single" w:sz="4" w:space="0" w:color="auto"/>
              <w:right w:val="nil"/>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bCs/>
                <w:color w:val="000000"/>
                <w:sz w:val="18"/>
                <w:szCs w:val="16"/>
                <w:lang w:eastAsia="sk-SK"/>
              </w:rPr>
            </w:pPr>
          </w:p>
        </w:tc>
      </w:tr>
      <w:tr w:rsidR="00AA17E3" w:rsidRPr="00CB1C0A" w:rsidTr="007E4418">
        <w:trPr>
          <w:trHeight w:val="276"/>
        </w:trPr>
        <w:tc>
          <w:tcPr>
            <w:tcW w:w="3466" w:type="pct"/>
            <w:gridSpan w:val="4"/>
            <w:tcBorders>
              <w:top w:val="single" w:sz="4" w:space="0" w:color="auto"/>
              <w:left w:val="nil"/>
              <w:bottom w:val="nil"/>
              <w:right w:val="nil"/>
            </w:tcBorders>
            <w:shd w:val="clear" w:color="auto" w:fill="auto"/>
            <w:noWrap/>
            <w:vAlign w:val="center"/>
            <w:hideMark/>
          </w:tcPr>
          <w:p w:rsidR="00AA17E3" w:rsidRPr="00CB1C0A" w:rsidRDefault="00AA17E3" w:rsidP="00AA17E3">
            <w:pPr>
              <w:spacing w:after="0" w:line="240" w:lineRule="auto"/>
              <w:rPr>
                <w:rFonts w:ascii="Arial Narrow" w:eastAsia="Times New Roman" w:hAnsi="Arial Narrow" w:cs="Calibri"/>
                <w:color w:val="000000"/>
                <w:lang w:eastAsia="sk-SK"/>
              </w:rPr>
            </w:pPr>
            <w:r w:rsidRPr="00CB1C0A">
              <w:rPr>
                <w:rFonts w:ascii="Times New Roman" w:eastAsia="Times New Roman" w:hAnsi="Times New Roman" w:cs="Times New Roman"/>
                <w:i/>
                <w:color w:val="000000"/>
                <w:sz w:val="16"/>
                <w:szCs w:val="16"/>
              </w:rPr>
              <w:t xml:space="preserve">– hodnoty sú nedostupné                                                                                                                                               </w:t>
            </w:r>
          </w:p>
        </w:tc>
        <w:tc>
          <w:tcPr>
            <w:tcW w:w="311" w:type="pct"/>
            <w:tcBorders>
              <w:top w:val="single" w:sz="4" w:space="0" w:color="auto"/>
              <w:left w:val="nil"/>
              <w:bottom w:val="nil"/>
              <w:right w:val="nil"/>
            </w:tcBorders>
            <w:shd w:val="clear" w:color="auto" w:fill="auto"/>
            <w:noWrap/>
            <w:vAlign w:val="bottom"/>
            <w:hideMark/>
          </w:tcPr>
          <w:p w:rsidR="00AA17E3" w:rsidRPr="00CB1C0A" w:rsidRDefault="00AA17E3" w:rsidP="00AA17E3">
            <w:pPr>
              <w:spacing w:after="0" w:line="240" w:lineRule="auto"/>
              <w:rPr>
                <w:rFonts w:ascii="Arial Narrow" w:eastAsia="Times New Roman" w:hAnsi="Arial Narrow" w:cs="Calibri"/>
                <w:color w:val="000000"/>
                <w:lang w:eastAsia="sk-SK"/>
              </w:rPr>
            </w:pPr>
          </w:p>
        </w:tc>
        <w:tc>
          <w:tcPr>
            <w:tcW w:w="311" w:type="pct"/>
            <w:tcBorders>
              <w:top w:val="single" w:sz="4" w:space="0" w:color="auto"/>
              <w:left w:val="nil"/>
              <w:bottom w:val="nil"/>
              <w:right w:val="nil"/>
            </w:tcBorders>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sz w:val="20"/>
                <w:szCs w:val="20"/>
                <w:lang w:eastAsia="sk-SK"/>
              </w:rPr>
            </w:pPr>
          </w:p>
        </w:tc>
        <w:tc>
          <w:tcPr>
            <w:tcW w:w="913" w:type="pct"/>
            <w:gridSpan w:val="2"/>
            <w:tcBorders>
              <w:top w:val="single" w:sz="4" w:space="0" w:color="auto"/>
              <w:left w:val="nil"/>
              <w:bottom w:val="nil"/>
              <w:right w:val="nil"/>
            </w:tcBorders>
            <w:shd w:val="clear" w:color="auto" w:fill="auto"/>
            <w:noWrap/>
            <w:vAlign w:val="center"/>
            <w:hideMark/>
          </w:tcPr>
          <w:p w:rsidR="00AA17E3" w:rsidRPr="00CB1C0A" w:rsidRDefault="00AA17E3" w:rsidP="00AA17E3">
            <w:pPr>
              <w:spacing w:after="0" w:line="240" w:lineRule="auto"/>
              <w:jc w:val="right"/>
              <w:rPr>
                <w:rFonts w:ascii="Times New Roman" w:eastAsia="Times New Roman" w:hAnsi="Times New Roman" w:cs="Times New Roman"/>
                <w:i/>
                <w:iCs/>
                <w:color w:val="000000"/>
                <w:sz w:val="16"/>
                <w:szCs w:val="16"/>
                <w:lang w:eastAsia="sk-SK"/>
              </w:rPr>
            </w:pPr>
            <w:r w:rsidRPr="00CB1C0A">
              <w:rPr>
                <w:rFonts w:ascii="Times New Roman" w:eastAsia="Times New Roman" w:hAnsi="Times New Roman" w:cs="Times New Roman"/>
                <w:i/>
                <w:iCs/>
                <w:color w:val="000000"/>
                <w:sz w:val="16"/>
                <w:szCs w:val="16"/>
                <w:lang w:eastAsia="sk-SK"/>
              </w:rPr>
              <w:t>Zdroj: Eurostat, OECD</w:t>
            </w:r>
          </w:p>
        </w:tc>
      </w:tr>
    </w:tbl>
    <w:p w:rsidR="00AA17E3" w:rsidRPr="00CB1C0A" w:rsidRDefault="00AA17E3" w:rsidP="00AA17E3">
      <w:pPr>
        <w:spacing w:after="0"/>
        <w:rPr>
          <w:rFonts w:ascii="Times New Roman" w:hAnsi="Times New Roman" w:cs="Times New Roman"/>
          <w:b/>
          <w:color w:val="5B9BD5" w:themeColor="accent1"/>
          <w:sz w:val="24"/>
        </w:rPr>
      </w:pPr>
    </w:p>
    <w:p w:rsidR="00AA17E3" w:rsidRPr="00CB1C0A" w:rsidRDefault="00AA17E3" w:rsidP="00AA17E3">
      <w:pPr>
        <w:spacing w:after="0"/>
        <w:rPr>
          <w:rFonts w:ascii="Times New Roman" w:hAnsi="Times New Roman" w:cs="Times New Roman"/>
          <w:b/>
          <w:color w:val="5B9BD5" w:themeColor="accent1"/>
          <w:sz w:val="24"/>
        </w:rPr>
      </w:pPr>
      <w:r w:rsidRPr="00CB1C0A">
        <w:rPr>
          <w:rFonts w:ascii="Times New Roman" w:hAnsi="Times New Roman" w:cs="Times New Roman"/>
          <w:b/>
          <w:color w:val="5B9BD5" w:themeColor="accent1"/>
          <w:sz w:val="24"/>
        </w:rPr>
        <w:t>Výdavky na zdravotníctvo</w:t>
      </w:r>
    </w:p>
    <w:p w:rsidR="00AA17E3" w:rsidRPr="00CB1C0A" w:rsidRDefault="00AA17E3" w:rsidP="00AA17E3">
      <w:pPr>
        <w:spacing w:after="0" w:line="240" w:lineRule="auto"/>
        <w:jc w:val="both"/>
        <w:rPr>
          <w:rFonts w:ascii="Times New Roman" w:eastAsia="Times New Roman" w:hAnsi="Times New Roman" w:cs="Times New Roman"/>
          <w:b/>
          <w:noProof/>
          <w:sz w:val="24"/>
          <w:szCs w:val="24"/>
          <w:lang w:eastAsia="sk-SK"/>
        </w:rPr>
      </w:pPr>
    </w:p>
    <w:p w:rsidR="002A21B1" w:rsidRPr="002A21B1" w:rsidRDefault="002A21B1" w:rsidP="002A21B1">
      <w:pPr>
        <w:spacing w:after="0" w:line="240" w:lineRule="auto"/>
        <w:jc w:val="both"/>
        <w:rPr>
          <w:rFonts w:ascii="Times New Roman" w:hAnsi="Times New Roman" w:cs="Times New Roman"/>
          <w:noProof/>
          <w:sz w:val="24"/>
          <w:szCs w:val="24"/>
          <w:lang w:eastAsia="sk-SK"/>
        </w:rPr>
      </w:pPr>
      <w:r w:rsidRPr="002A21B1">
        <w:rPr>
          <w:rFonts w:ascii="Times New Roman" w:hAnsi="Times New Roman" w:cs="Times New Roman"/>
          <w:sz w:val="24"/>
        </w:rPr>
        <w:t xml:space="preserve">Výdavky na zdravotníctvo dosiahnu v roku 2022 úroveň 6,38 mld. eur, </w:t>
      </w:r>
      <w:r w:rsidRPr="002A21B1">
        <w:rPr>
          <w:rFonts w:ascii="Times New Roman" w:hAnsi="Times New Roman" w:cs="Times New Roman"/>
          <w:noProof/>
          <w:sz w:val="24"/>
          <w:lang w:eastAsia="sk-SK"/>
        </w:rPr>
        <w:t xml:space="preserve">s medziročným rastom 411 mil. eur, t. j o 6,9 % oproti schválenému rozpočtu 2021. </w:t>
      </w:r>
      <w:r w:rsidRPr="002A21B1">
        <w:rPr>
          <w:rFonts w:ascii="Times New Roman" w:hAnsi="Times New Roman" w:cs="Times New Roman"/>
          <w:sz w:val="24"/>
        </w:rPr>
        <w:t>Celkové výdavky v sektore zdravotníctva pozostávajú najmä z výdavkov verejného zdravotného poistenia a výdavkov kapitoly Ministerstva zdravotníctva SR, v ktorých sú zahrnuté aj prostriedky z Plánu obnovy a odolnosti.  Vývoj príjmov a výdavkov v zdravotníctve bol aj v roku 2021 výrazne ovplyvnený pandémiou ochorenia COVID-19. V očakávanej skutočnosti roku 2021 sú v kapitole zohľadnené aj výdavky týkajúce sa hospodárskej mobilizácie, prevádzka mobilných odberových miest, mimoriadny príplatok za sťažený výkon práce na tzv. COVID oddeleniach, nákup vakcín, obstaranie antigénových testov aj nákup liekov. Podrobnosti o výdavkoch súvisiacich s COVID–19 sú uvedené v osobitnej časti 2.1. Aktuálny vývoj verejných financií v roku 2021.</w:t>
      </w:r>
      <w:r w:rsidRPr="002A21B1">
        <w:rPr>
          <w:rFonts w:ascii="Times New Roman" w:hAnsi="Times New Roman" w:cs="Times New Roman"/>
          <w:noProof/>
          <w:sz w:val="24"/>
          <w:szCs w:val="24"/>
          <w:lang w:eastAsia="sk-SK"/>
        </w:rPr>
        <w:t xml:space="preserve"> Pre pokračovanie negatívnych vplyvov súvisiacich s pandémiou COVID-19 je aj v roku 2022 vytvorený priestor v rezerve kapitoly Všeobecná pokladničná správa.</w:t>
      </w:r>
    </w:p>
    <w:p w:rsidR="00AA17E3" w:rsidRPr="00CB1C0A" w:rsidRDefault="00AA17E3" w:rsidP="00AA17E3">
      <w:pPr>
        <w:spacing w:after="0" w:line="240" w:lineRule="auto"/>
        <w:jc w:val="both"/>
        <w:rPr>
          <w:rFonts w:ascii="Times New Roman" w:hAnsi="Times New Roman" w:cs="Times New Roman"/>
          <w:sz w:val="24"/>
        </w:rPr>
      </w:pPr>
    </w:p>
    <w:p w:rsidR="00AA17E3" w:rsidRPr="00CB1C0A" w:rsidRDefault="00AA17E3" w:rsidP="00AA17E3">
      <w:pPr>
        <w:keepNext/>
        <w:spacing w:after="0" w:line="240" w:lineRule="auto"/>
        <w:jc w:val="both"/>
        <w:rPr>
          <w:rFonts w:ascii="Times New Roman" w:hAnsi="Times New Roman" w:cs="Times New Roman"/>
          <w:b/>
          <w:iCs/>
          <w:color w:val="5B9BD5" w:themeColor="accent1"/>
          <w:sz w:val="20"/>
          <w:szCs w:val="20"/>
        </w:rPr>
      </w:pPr>
      <w:bookmarkStart w:id="341" w:name="_Toc53049340"/>
      <w:bookmarkStart w:id="342" w:name="_Toc53049872"/>
      <w:bookmarkStart w:id="343" w:name="_Toc84528425"/>
      <w:bookmarkStart w:id="344" w:name="_Toc84845301"/>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77</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Celkové výdavky na zdravotníctv</w:t>
      </w:r>
      <w:bookmarkEnd w:id="341"/>
      <w:bookmarkEnd w:id="342"/>
      <w:r w:rsidRPr="00CB1C0A">
        <w:rPr>
          <w:rFonts w:ascii="Times New Roman" w:hAnsi="Times New Roman" w:cs="Times New Roman"/>
          <w:b/>
          <w:iCs/>
          <w:color w:val="5B9BD5" w:themeColor="accent1"/>
          <w:sz w:val="20"/>
          <w:szCs w:val="20"/>
        </w:rPr>
        <w:t>o</w:t>
      </w:r>
      <w:bookmarkEnd w:id="343"/>
      <w:bookmarkEnd w:id="344"/>
      <w:r w:rsidRPr="00CB1C0A">
        <w:rPr>
          <w:rFonts w:ascii="Times New Roman" w:hAnsi="Times New Roman" w:cs="Times New Roman"/>
          <w:b/>
          <w:iCs/>
          <w:color w:val="5B9BD5" w:themeColor="accent1"/>
          <w:sz w:val="20"/>
          <w:szCs w:val="20"/>
        </w:rPr>
        <w:t xml:space="preserve">                                                                                                                                                                                                               </w:t>
      </w:r>
    </w:p>
    <w:tbl>
      <w:tblPr>
        <w:tblW w:w="9159" w:type="dxa"/>
        <w:tblCellMar>
          <w:left w:w="70" w:type="dxa"/>
          <w:right w:w="70" w:type="dxa"/>
        </w:tblCellMar>
        <w:tblLook w:val="04A0" w:firstRow="1" w:lastRow="0" w:firstColumn="1" w:lastColumn="0" w:noHBand="0" w:noVBand="1"/>
      </w:tblPr>
      <w:tblGrid>
        <w:gridCol w:w="3846"/>
        <w:gridCol w:w="759"/>
        <w:gridCol w:w="759"/>
        <w:gridCol w:w="759"/>
        <w:gridCol w:w="759"/>
        <w:gridCol w:w="759"/>
        <w:gridCol w:w="759"/>
        <w:gridCol w:w="759"/>
      </w:tblGrid>
      <w:tr w:rsidR="002A21B1" w:rsidRPr="002A21B1" w:rsidTr="00563AE1">
        <w:trPr>
          <w:trHeight w:val="321"/>
        </w:trPr>
        <w:tc>
          <w:tcPr>
            <w:tcW w:w="0" w:type="auto"/>
            <w:tcBorders>
              <w:top w:val="single" w:sz="4" w:space="0" w:color="auto"/>
              <w:left w:val="nil"/>
              <w:bottom w:val="single" w:sz="4" w:space="0" w:color="auto"/>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b/>
                <w:bCs/>
                <w:sz w:val="14"/>
                <w:szCs w:val="14"/>
                <w:lang w:eastAsia="sk-SK"/>
              </w:rPr>
            </w:pPr>
            <w:r w:rsidRPr="002A21B1">
              <w:rPr>
                <w:rFonts w:ascii="Times New Roman" w:eastAsia="Times New Roman" w:hAnsi="Times New Roman" w:cs="Times New Roman"/>
                <w:b/>
                <w:bCs/>
                <w:sz w:val="14"/>
                <w:szCs w:val="14"/>
                <w:lang w:eastAsia="sk-SK"/>
              </w:rPr>
              <w:t>v  tis. eurách</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2019 S</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2020 S</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2021 R</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2021 OS</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2022 N</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2023 N</w:t>
            </w:r>
          </w:p>
        </w:tc>
        <w:tc>
          <w:tcPr>
            <w:tcW w:w="0" w:type="auto"/>
            <w:tcBorders>
              <w:top w:val="single" w:sz="4" w:space="0" w:color="auto"/>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2024 N</w:t>
            </w:r>
          </w:p>
        </w:tc>
      </w:tr>
      <w:tr w:rsidR="002A21B1" w:rsidRPr="002A21B1" w:rsidTr="00563AE1">
        <w:trPr>
          <w:trHeight w:val="283"/>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Výdavky na zdravotníctvo</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5 487 891</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5 607 202</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5 966 840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6 398 400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6 377 706</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6 878 010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b/>
                <w:bCs/>
                <w:color w:val="000000"/>
                <w:sz w:val="14"/>
                <w:szCs w:val="14"/>
                <w:lang w:eastAsia="sk-SK"/>
              </w:rPr>
            </w:pPr>
            <w:r w:rsidRPr="002A21B1">
              <w:rPr>
                <w:rFonts w:ascii="Times New Roman" w:eastAsia="Times New Roman" w:hAnsi="Times New Roman" w:cs="Times New Roman"/>
                <w:b/>
                <w:bCs/>
                <w:color w:val="000000"/>
                <w:sz w:val="14"/>
                <w:szCs w:val="14"/>
                <w:lang w:eastAsia="sk-SK"/>
              </w:rPr>
              <w:t>7 138 504</w:t>
            </w:r>
          </w:p>
        </w:tc>
      </w:tr>
      <w:tr w:rsidR="002A21B1" w:rsidRPr="002A21B1" w:rsidTr="00563AE1">
        <w:trPr>
          <w:trHeight w:val="283"/>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 nárast *</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rPr>
                <w:rFonts w:ascii="Times New Roman" w:eastAsia="Times New Roman" w:hAnsi="Times New Roman" w:cs="Times New Roman"/>
                <w:i/>
                <w:iCs/>
                <w:color w:val="000000"/>
                <w:sz w:val="14"/>
                <w:szCs w:val="14"/>
                <w:lang w:eastAsia="sk-SK"/>
              </w:rPr>
            </w:pP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2,17%</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6,41%</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14,11%</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sz w:val="14"/>
                <w:szCs w:val="14"/>
                <w:lang w:eastAsia="sk-SK"/>
              </w:rPr>
            </w:pPr>
            <w:r w:rsidRPr="002A21B1">
              <w:rPr>
                <w:rFonts w:ascii="Times New Roman" w:eastAsia="Times New Roman" w:hAnsi="Times New Roman" w:cs="Times New Roman"/>
                <w:i/>
                <w:iCs/>
                <w:sz w:val="14"/>
                <w:szCs w:val="14"/>
                <w:lang w:eastAsia="sk-SK"/>
              </w:rPr>
              <w:t>6,89%</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7,84%</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3,79%</w:t>
            </w:r>
          </w:p>
        </w:tc>
      </w:tr>
      <w:tr w:rsidR="002A21B1" w:rsidRPr="002A21B1" w:rsidTr="00563AE1">
        <w:trPr>
          <w:trHeight w:val="283"/>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color w:val="000000"/>
                <w:sz w:val="14"/>
                <w:szCs w:val="14"/>
                <w:lang w:eastAsia="sk-SK"/>
              </w:rPr>
            </w:pPr>
            <w:r w:rsidRPr="002A21B1">
              <w:rPr>
                <w:rFonts w:ascii="Times New Roman" w:eastAsia="Times New Roman" w:hAnsi="Times New Roman" w:cs="Times New Roman"/>
                <w:color w:val="000000"/>
                <w:sz w:val="14"/>
                <w:szCs w:val="14"/>
                <w:lang w:eastAsia="sk-SK"/>
              </w:rPr>
              <w:t>Výdavky VZP celkom</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5 212 068</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5 323 111</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5 692 945</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5 558 657</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5 693 854</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5 968 720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6 222 784</w:t>
            </w:r>
          </w:p>
        </w:tc>
      </w:tr>
      <w:tr w:rsidR="002A21B1" w:rsidRPr="002A21B1" w:rsidTr="00563AE1">
        <w:trPr>
          <w:trHeight w:val="283"/>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 nárast</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rPr>
                <w:rFonts w:ascii="Times New Roman" w:eastAsia="Times New Roman" w:hAnsi="Times New Roman" w:cs="Times New Roman"/>
                <w:i/>
                <w:iCs/>
                <w:color w:val="000000"/>
                <w:sz w:val="14"/>
                <w:szCs w:val="14"/>
                <w:lang w:eastAsia="sk-SK"/>
              </w:rPr>
            </w:pP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2,13%</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6,95%</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4,42%</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0,02%</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4,83%</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i/>
                <w:iCs/>
                <w:color w:val="000000"/>
                <w:sz w:val="14"/>
                <w:szCs w:val="14"/>
                <w:lang w:eastAsia="sk-SK"/>
              </w:rPr>
            </w:pPr>
            <w:r w:rsidRPr="002A21B1">
              <w:rPr>
                <w:rFonts w:ascii="Times New Roman" w:eastAsia="Times New Roman" w:hAnsi="Times New Roman" w:cs="Times New Roman"/>
                <w:i/>
                <w:iCs/>
                <w:color w:val="000000"/>
                <w:sz w:val="14"/>
                <w:szCs w:val="14"/>
                <w:lang w:eastAsia="sk-SK"/>
              </w:rPr>
              <w:t>4,26%</w:t>
            </w:r>
          </w:p>
        </w:tc>
      </w:tr>
      <w:tr w:rsidR="002A21B1" w:rsidRPr="002A21B1" w:rsidTr="00563AE1">
        <w:trPr>
          <w:trHeight w:val="283"/>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color w:val="000000"/>
                <w:sz w:val="14"/>
                <w:szCs w:val="14"/>
                <w:lang w:eastAsia="sk-SK"/>
              </w:rPr>
            </w:pPr>
            <w:r w:rsidRPr="002A21B1">
              <w:rPr>
                <w:rFonts w:ascii="Times New Roman" w:eastAsia="Times New Roman" w:hAnsi="Times New Roman" w:cs="Times New Roman"/>
                <w:color w:val="000000"/>
                <w:sz w:val="14"/>
                <w:szCs w:val="14"/>
                <w:lang w:eastAsia="sk-SK"/>
              </w:rPr>
              <w:t xml:space="preserve">          z toho: výdavky poistenia</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4 959 185</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5 022 848</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5 428 321</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5 296 210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5 422 162</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5 686 127</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5 929 449</w:t>
            </w:r>
          </w:p>
        </w:tc>
      </w:tr>
      <w:tr w:rsidR="002A21B1" w:rsidRPr="002A21B1" w:rsidTr="00563AE1">
        <w:trPr>
          <w:trHeight w:val="567"/>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color w:val="000000"/>
                <w:sz w:val="14"/>
                <w:szCs w:val="14"/>
                <w:lang w:eastAsia="sk-SK"/>
              </w:rPr>
            </w:pPr>
            <w:r w:rsidRPr="002A21B1">
              <w:rPr>
                <w:rFonts w:ascii="Times New Roman" w:eastAsia="Times New Roman" w:hAnsi="Times New Roman" w:cs="Times New Roman"/>
                <w:color w:val="000000"/>
                <w:sz w:val="14"/>
                <w:szCs w:val="14"/>
                <w:lang w:eastAsia="sk-SK"/>
              </w:rPr>
              <w:t>Výdavky kapitoly MZ SR (bez platby štátu, EÚ prostr. a SP)</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274 087</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272 263</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273 895</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832 512</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463 852</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689 290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695 720</w:t>
            </w:r>
          </w:p>
        </w:tc>
      </w:tr>
      <w:tr w:rsidR="002A21B1" w:rsidRPr="002A21B1" w:rsidTr="00563AE1">
        <w:trPr>
          <w:trHeight w:val="283"/>
        </w:trPr>
        <w:tc>
          <w:tcPr>
            <w:tcW w:w="0" w:type="auto"/>
            <w:tcBorders>
              <w:top w:val="nil"/>
              <w:left w:val="nil"/>
              <w:bottom w:val="nil"/>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color w:val="000000"/>
                <w:sz w:val="14"/>
                <w:szCs w:val="14"/>
                <w:lang w:eastAsia="sk-SK"/>
              </w:rPr>
            </w:pPr>
            <w:r w:rsidRPr="002A21B1">
              <w:rPr>
                <w:rFonts w:ascii="Times New Roman" w:eastAsia="Times New Roman" w:hAnsi="Times New Roman" w:cs="Times New Roman"/>
                <w:color w:val="000000"/>
                <w:sz w:val="14"/>
                <w:szCs w:val="14"/>
                <w:lang w:eastAsia="sk-SK"/>
              </w:rPr>
              <w:t>Výdavky kapitoly na EÚ prostriedky a  spolufinancovanie</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1 736</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11 828</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7 231</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nil"/>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r>
      <w:tr w:rsidR="002A21B1" w:rsidRPr="002A21B1" w:rsidTr="00563AE1">
        <w:trPr>
          <w:trHeight w:val="283"/>
        </w:trPr>
        <w:tc>
          <w:tcPr>
            <w:tcW w:w="0" w:type="auto"/>
            <w:tcBorders>
              <w:top w:val="nil"/>
              <w:left w:val="nil"/>
              <w:bottom w:val="single" w:sz="4" w:space="0" w:color="auto"/>
              <w:right w:val="nil"/>
            </w:tcBorders>
            <w:shd w:val="clear" w:color="auto" w:fill="auto"/>
            <w:noWrap/>
            <w:vAlign w:val="center"/>
            <w:hideMark/>
          </w:tcPr>
          <w:p w:rsidR="002A21B1" w:rsidRPr="002A21B1" w:rsidRDefault="002A21B1" w:rsidP="002A21B1">
            <w:pPr>
              <w:spacing w:after="0" w:line="240" w:lineRule="auto"/>
              <w:rPr>
                <w:rFonts w:ascii="Times New Roman" w:eastAsia="Times New Roman" w:hAnsi="Times New Roman" w:cs="Times New Roman"/>
                <w:color w:val="000000"/>
                <w:sz w:val="14"/>
                <w:szCs w:val="14"/>
                <w:lang w:eastAsia="sk-SK"/>
              </w:rPr>
            </w:pPr>
            <w:r w:rsidRPr="002A21B1">
              <w:rPr>
                <w:rFonts w:ascii="Times New Roman" w:eastAsia="Times New Roman" w:hAnsi="Times New Roman" w:cs="Times New Roman"/>
                <w:color w:val="000000"/>
                <w:sz w:val="14"/>
                <w:szCs w:val="14"/>
                <w:lang w:eastAsia="sk-SK"/>
              </w:rPr>
              <w:t>Rezerva na výdavky v zdravotníctve</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0</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220 000</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220 000</w:t>
            </w:r>
          </w:p>
        </w:tc>
        <w:tc>
          <w:tcPr>
            <w:tcW w:w="0" w:type="auto"/>
            <w:tcBorders>
              <w:top w:val="nil"/>
              <w:left w:val="nil"/>
              <w:bottom w:val="single" w:sz="4" w:space="0" w:color="auto"/>
              <w:right w:val="nil"/>
            </w:tcBorders>
            <w:shd w:val="clear" w:color="auto" w:fill="auto"/>
            <w:noWrap/>
            <w:vAlign w:val="bottom"/>
            <w:hideMark/>
          </w:tcPr>
          <w:p w:rsidR="002A21B1" w:rsidRPr="002A21B1" w:rsidRDefault="002A21B1" w:rsidP="002A21B1">
            <w:pPr>
              <w:spacing w:after="0" w:line="240" w:lineRule="auto"/>
              <w:jc w:val="right"/>
              <w:rPr>
                <w:rFonts w:ascii="Times New Roman" w:eastAsia="Times New Roman" w:hAnsi="Times New Roman" w:cs="Times New Roman"/>
                <w:sz w:val="14"/>
                <w:szCs w:val="14"/>
                <w:lang w:eastAsia="sk-SK"/>
              </w:rPr>
            </w:pPr>
            <w:r w:rsidRPr="002A21B1">
              <w:rPr>
                <w:rFonts w:ascii="Times New Roman" w:eastAsia="Times New Roman" w:hAnsi="Times New Roman" w:cs="Times New Roman"/>
                <w:sz w:val="14"/>
                <w:szCs w:val="14"/>
                <w:lang w:eastAsia="sk-SK"/>
              </w:rPr>
              <w:t>220 000</w:t>
            </w:r>
          </w:p>
        </w:tc>
      </w:tr>
    </w:tbl>
    <w:p w:rsidR="00AA17E3" w:rsidRPr="009224A5" w:rsidRDefault="002A21B1" w:rsidP="00AA17E3">
      <w:pPr>
        <w:spacing w:after="0" w:line="240" w:lineRule="auto"/>
        <w:rPr>
          <w:rFonts w:ascii="Courier" w:eastAsia="Times New Roman" w:hAnsi="Courier" w:cs="Courier"/>
          <w:sz w:val="28"/>
          <w:szCs w:val="24"/>
          <w:lang w:eastAsia="cs-CZ"/>
        </w:rPr>
      </w:pPr>
      <w:r>
        <w:rPr>
          <w:rFonts w:ascii="Times New Roman" w:hAnsi="Times New Roman" w:cs="Times New Roman"/>
          <w:sz w:val="14"/>
          <w:szCs w:val="14"/>
        </w:rPr>
        <w:t>* nárast 2021 OS je voči 2020 S, nárast 2022 N je voči 2021 R</w:t>
      </w:r>
      <w:r w:rsidRPr="00C00FCB">
        <w:rPr>
          <w:rFonts w:ascii="Times New Roman" w:hAnsi="Times New Roman" w:cs="Times New Roman"/>
          <w:sz w:val="14"/>
          <w:szCs w:val="14"/>
        </w:rPr>
        <w:t xml:space="preserve">                                                                                                 </w:t>
      </w:r>
      <w:r>
        <w:rPr>
          <w:rFonts w:ascii="Times New Roman" w:hAnsi="Times New Roman" w:cs="Times New Roman"/>
          <w:sz w:val="14"/>
          <w:szCs w:val="14"/>
        </w:rPr>
        <w:t xml:space="preserve">                                     </w:t>
      </w:r>
      <w:r w:rsidRPr="00C00FCB">
        <w:rPr>
          <w:rFonts w:ascii="Times New Roman" w:hAnsi="Times New Roman" w:cs="Times New Roman"/>
          <w:sz w:val="14"/>
          <w:szCs w:val="14"/>
        </w:rPr>
        <w:t xml:space="preserve"> </w:t>
      </w:r>
      <w:r w:rsidRPr="00C00FCB">
        <w:rPr>
          <w:rFonts w:ascii="Times New Roman" w:hAnsi="Times New Roman" w:cs="Times New Roman"/>
          <w:i/>
          <w:sz w:val="14"/>
          <w:szCs w:val="14"/>
        </w:rPr>
        <w:t>Zdroj: MF SR</w:t>
      </w:r>
    </w:p>
    <w:p w:rsidR="002A21B1" w:rsidRDefault="002A21B1" w:rsidP="00AA17E3">
      <w:pPr>
        <w:spacing w:after="0"/>
        <w:rPr>
          <w:rFonts w:ascii="Times New Roman" w:hAnsi="Times New Roman" w:cs="Times New Roman"/>
          <w:b/>
          <w:color w:val="5B9BD5" w:themeColor="accent1"/>
          <w:sz w:val="24"/>
        </w:rPr>
      </w:pPr>
    </w:p>
    <w:p w:rsidR="00AA17E3" w:rsidRPr="00CB1C0A" w:rsidRDefault="00AA17E3" w:rsidP="00AA17E3">
      <w:pPr>
        <w:spacing w:after="0"/>
        <w:rPr>
          <w:rFonts w:ascii="Times New Roman" w:hAnsi="Times New Roman" w:cs="Times New Roman"/>
          <w:b/>
          <w:color w:val="5B9BD5" w:themeColor="accent1"/>
          <w:sz w:val="24"/>
        </w:rPr>
      </w:pPr>
      <w:r w:rsidRPr="00CB1C0A">
        <w:rPr>
          <w:rFonts w:ascii="Times New Roman" w:hAnsi="Times New Roman" w:cs="Times New Roman"/>
          <w:b/>
          <w:color w:val="5B9BD5" w:themeColor="accent1"/>
          <w:sz w:val="24"/>
        </w:rPr>
        <w:t xml:space="preserve">Verejné zdravotné poistenie </w:t>
      </w:r>
    </w:p>
    <w:p w:rsidR="00AA17E3" w:rsidRPr="00CB1C0A" w:rsidRDefault="00AA17E3" w:rsidP="00AA17E3">
      <w:pPr>
        <w:spacing w:after="0"/>
        <w:rPr>
          <w:rFonts w:ascii="Times New Roman" w:hAnsi="Times New Roman" w:cs="Times New Roman"/>
          <w:b/>
          <w:color w:val="5B9BD5" w:themeColor="accent1"/>
          <w:sz w:val="24"/>
        </w:rPr>
      </w:pPr>
    </w:p>
    <w:p w:rsidR="00AA17E3" w:rsidRDefault="00AA17E3" w:rsidP="00AA17E3">
      <w:pPr>
        <w:spacing w:after="0" w:line="240" w:lineRule="auto"/>
        <w:jc w:val="both"/>
        <w:rPr>
          <w:rFonts w:ascii="Times New Roman" w:hAnsi="Times New Roman" w:cs="Times New Roman"/>
          <w:color w:val="000000"/>
          <w:sz w:val="24"/>
        </w:rPr>
      </w:pPr>
      <w:r w:rsidRPr="00CB1C0A">
        <w:rPr>
          <w:rFonts w:ascii="Times New Roman" w:hAnsi="Times New Roman" w:cs="Times New Roman"/>
          <w:color w:val="000000"/>
          <w:sz w:val="24"/>
        </w:rPr>
        <w:t>Súhrn verejných zdrojov (finančných prostriedkov), ktoré sú primárne určené na úhradu zdravotnej starostlivosti</w:t>
      </w:r>
      <w:r w:rsidRPr="00CB1C0A">
        <w:rPr>
          <w:rFonts w:ascii="Times New Roman" w:hAnsi="Times New Roman" w:cs="Times New Roman"/>
          <w:b/>
          <w:sz w:val="24"/>
        </w:rPr>
        <w:t xml:space="preserve"> </w:t>
      </w:r>
      <w:r w:rsidRPr="00CB1C0A">
        <w:rPr>
          <w:rFonts w:ascii="Times New Roman" w:hAnsi="Times New Roman" w:cs="Times New Roman"/>
          <w:sz w:val="24"/>
        </w:rPr>
        <w:t>predstavuje</w:t>
      </w:r>
      <w:r w:rsidRPr="00CB1C0A">
        <w:rPr>
          <w:rFonts w:ascii="Times New Roman" w:hAnsi="Times New Roman" w:cs="Times New Roman"/>
          <w:b/>
          <w:sz w:val="24"/>
        </w:rPr>
        <w:t xml:space="preserve"> </w:t>
      </w:r>
      <w:r w:rsidRPr="00CB1C0A">
        <w:rPr>
          <w:rFonts w:ascii="Times New Roman" w:hAnsi="Times New Roman" w:cs="Times New Roman"/>
          <w:sz w:val="24"/>
        </w:rPr>
        <w:t>verejné zdravotné poistenie.</w:t>
      </w:r>
      <w:r w:rsidRPr="00CB1C0A">
        <w:rPr>
          <w:rFonts w:ascii="Times New Roman" w:hAnsi="Times New Roman" w:cs="Times New Roman"/>
          <w:color w:val="000000"/>
          <w:sz w:val="24"/>
        </w:rPr>
        <w:t xml:space="preserve"> </w:t>
      </w:r>
    </w:p>
    <w:p w:rsidR="00D00DFA" w:rsidRPr="00CB1C0A" w:rsidRDefault="00D00DFA" w:rsidP="00AA17E3">
      <w:pPr>
        <w:spacing w:after="0" w:line="240" w:lineRule="auto"/>
        <w:jc w:val="both"/>
        <w:rPr>
          <w:rFonts w:ascii="Times New Roman" w:hAnsi="Times New Roman" w:cs="Times New Roman"/>
          <w:color w:val="000000"/>
          <w:sz w:val="24"/>
        </w:rPr>
      </w:pPr>
    </w:p>
    <w:p w:rsidR="00AA17E3" w:rsidRPr="00CB1C0A" w:rsidRDefault="00AA17E3" w:rsidP="00AA17E3">
      <w:pPr>
        <w:spacing w:after="0" w:line="240" w:lineRule="auto"/>
        <w:jc w:val="both"/>
        <w:rPr>
          <w:rFonts w:ascii="Times New Roman" w:hAnsi="Times New Roman" w:cs="Times New Roman"/>
          <w:sz w:val="24"/>
        </w:rPr>
      </w:pPr>
      <w:r w:rsidRPr="00CB1C0A">
        <w:rPr>
          <w:rFonts w:ascii="Times New Roman" w:hAnsi="Times New Roman" w:cs="Times New Roman"/>
          <w:sz w:val="24"/>
        </w:rPr>
        <w:t xml:space="preserve">Úpravou legislatívy sa od roku 2020 zaviedol nový spôsob financovania verejného zdravotného poistenia, podľa ktorého sa najprv určí celkový objem výdavkov verejného zdravotného poistenia </w:t>
      </w:r>
      <w:r w:rsidRPr="00CB1C0A">
        <w:rPr>
          <w:rFonts w:ascii="Times New Roman" w:hAnsi="Times New Roman" w:cs="Times New Roman"/>
          <w:color w:val="000000"/>
          <w:sz w:val="24"/>
        </w:rPr>
        <w:t xml:space="preserve">vrátane zapracovaných opatrení z </w:t>
      </w:r>
      <w:r w:rsidRPr="00CB1C0A">
        <w:rPr>
          <w:rFonts w:ascii="Times New Roman" w:hAnsi="Times New Roman" w:cs="Times New Roman"/>
          <w:sz w:val="24"/>
        </w:rPr>
        <w:t>Revízie výdavkov na zdravotníctvo II (2019)</w:t>
      </w:r>
      <w:r w:rsidRPr="00CB1C0A">
        <w:rPr>
          <w:rFonts w:ascii="Times New Roman" w:eastAsia="Times New Roman" w:hAnsi="Times New Roman" w:cs="Courier"/>
          <w:sz w:val="24"/>
          <w:szCs w:val="24"/>
          <w:lang w:eastAsia="sk-SK"/>
        </w:rPr>
        <w:t xml:space="preserve"> </w:t>
      </w:r>
      <w:r w:rsidRPr="00CB1C0A">
        <w:rPr>
          <w:rFonts w:ascii="Times New Roman" w:hAnsi="Times New Roman" w:cs="Times New Roman"/>
          <w:sz w:val="24"/>
        </w:rPr>
        <w:t xml:space="preserve">a k nim sa stanovia potrebné zdroje (príjmy bežného roka sa rovnajú celkovým výdavkom bežného roka verejného zdravotného poistenia). </w:t>
      </w:r>
    </w:p>
    <w:p w:rsidR="00AA17E3" w:rsidRPr="00CB1C0A" w:rsidRDefault="00AA17E3" w:rsidP="00AA17E3">
      <w:pPr>
        <w:spacing w:after="0" w:line="240" w:lineRule="auto"/>
        <w:jc w:val="both"/>
        <w:rPr>
          <w:rFonts w:ascii="Times New Roman" w:hAnsi="Times New Roman" w:cs="Times New Roman"/>
          <w:sz w:val="24"/>
        </w:rPr>
      </w:pPr>
    </w:p>
    <w:p w:rsidR="00AA17E3" w:rsidRDefault="00AA17E3" w:rsidP="00AA17E3">
      <w:pPr>
        <w:spacing w:after="0" w:line="240" w:lineRule="auto"/>
        <w:jc w:val="both"/>
        <w:rPr>
          <w:rFonts w:ascii="Times New Roman" w:hAnsi="Times New Roman" w:cs="Times New Roman"/>
          <w:sz w:val="24"/>
        </w:rPr>
      </w:pPr>
      <w:r w:rsidRPr="00CB1C0A">
        <w:rPr>
          <w:rFonts w:ascii="Times New Roman" w:hAnsi="Times New Roman" w:cs="Times New Roman"/>
          <w:sz w:val="24"/>
        </w:rPr>
        <w:t>Zdroje tvoria príjmy od ekonomicky aktívnych osôb, EÚ prostriedky a spolufinancovanie a platba štátu.</w:t>
      </w:r>
    </w:p>
    <w:p w:rsidR="009224A5" w:rsidRPr="00CB1C0A" w:rsidRDefault="009224A5" w:rsidP="00AA17E3">
      <w:pPr>
        <w:spacing w:after="0" w:line="240" w:lineRule="auto"/>
        <w:jc w:val="both"/>
        <w:rPr>
          <w:rFonts w:ascii="Times New Roman" w:hAnsi="Times New Roman" w:cs="Times New Roman"/>
          <w:sz w:val="24"/>
        </w:rPr>
      </w:pPr>
    </w:p>
    <w:p w:rsidR="00AA17E3" w:rsidRPr="00CB1C0A" w:rsidRDefault="00AA17E3" w:rsidP="00AA17E3">
      <w:pPr>
        <w:spacing w:after="0" w:line="240" w:lineRule="auto"/>
        <w:jc w:val="both"/>
        <w:rPr>
          <w:rFonts w:ascii="Times New Roman" w:hAnsi="Times New Roman" w:cs="Times New Roman"/>
          <w:color w:val="000000"/>
          <w:sz w:val="24"/>
        </w:rPr>
      </w:pPr>
      <w:r w:rsidRPr="00CB1C0A">
        <w:rPr>
          <w:rFonts w:ascii="Times New Roman" w:hAnsi="Times New Roman" w:cs="Times New Roman"/>
          <w:sz w:val="24"/>
        </w:rPr>
        <w:t>V minulosti sa na určenie platby štátu používalo arbitrárne percento za poistencov štátu, ktoré spôsobovalo volatilitu celkových výdavkov. Po novom diskusia začína od reálnych potrieb rezortu a znižuje prepojenie na ekonomický cyklus.</w:t>
      </w:r>
      <w:r w:rsidRPr="00CB1C0A">
        <w:rPr>
          <w:rFonts w:ascii="Times New Roman" w:hAnsi="Times New Roman" w:cs="Times New Roman"/>
          <w:color w:val="000000"/>
          <w:sz w:val="24"/>
        </w:rPr>
        <w:t xml:space="preserve"> Výdavky na zdravotnú starostlivosť (tzv. výdavky poistenia) sú uhrádzané zo systému verejného zdravotného poistenia a tvoria až </w:t>
      </w:r>
      <w:r w:rsidRPr="00CB1C0A">
        <w:rPr>
          <w:rFonts w:ascii="Times New Roman" w:hAnsi="Times New Roman" w:cs="Times New Roman"/>
          <w:color w:val="000000"/>
          <w:sz w:val="24"/>
        </w:rPr>
        <w:br/>
        <w:t>95,2 % podiel z výdavkov verejného zdravotného poistenia.</w:t>
      </w:r>
    </w:p>
    <w:p w:rsidR="00AA17E3" w:rsidRPr="00CB1C0A"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CB1C0A" w:rsidRDefault="00AA17E3" w:rsidP="00AA17E3">
      <w:pPr>
        <w:spacing w:after="0" w:line="240" w:lineRule="auto"/>
        <w:jc w:val="both"/>
        <w:rPr>
          <w:rFonts w:ascii="Times New Roman" w:eastAsia="Times New Roman" w:hAnsi="Times New Roman" w:cs="Times New Roman"/>
          <w:noProof/>
          <w:sz w:val="24"/>
          <w:szCs w:val="24"/>
          <w:lang w:eastAsia="sk-SK"/>
        </w:rPr>
      </w:pPr>
      <w:r w:rsidRPr="00CB1C0A">
        <w:rPr>
          <w:rFonts w:ascii="Times New Roman" w:eastAsia="Times New Roman" w:hAnsi="Times New Roman" w:cs="Times New Roman"/>
          <w:noProof/>
          <w:sz w:val="24"/>
          <w:szCs w:val="24"/>
          <w:lang w:eastAsia="sk-SK"/>
        </w:rPr>
        <w:t xml:space="preserve">Od roku 2022 bude zavedené aj rozpočtovanie výdavkov verejného zdravotného poistenia na vecné oblasti, ktorého cieľom je alokovať zdroje do prioritných oblastí v zdravotníctve. </w:t>
      </w:r>
    </w:p>
    <w:p w:rsidR="00AA17E3" w:rsidRPr="00CB1C0A" w:rsidRDefault="00AA17E3" w:rsidP="00AA17E3">
      <w:pPr>
        <w:spacing w:after="0" w:line="240" w:lineRule="auto"/>
        <w:jc w:val="both"/>
        <w:rPr>
          <w:rFonts w:ascii="Times New Roman" w:eastAsia="Times New Roman" w:hAnsi="Times New Roman" w:cs="Courier"/>
          <w:sz w:val="24"/>
          <w:szCs w:val="24"/>
          <w:highlight w:val="yellow"/>
          <w:lang w:eastAsia="sk-SK"/>
        </w:rPr>
      </w:pPr>
    </w:p>
    <w:p w:rsidR="00AA17E3" w:rsidRPr="00CB1C0A" w:rsidRDefault="00AA17E3" w:rsidP="00AA17E3">
      <w:pPr>
        <w:spacing w:after="0" w:line="240" w:lineRule="auto"/>
        <w:jc w:val="both"/>
        <w:rPr>
          <w:rFonts w:ascii="Times New Roman" w:eastAsia="Times New Roman" w:hAnsi="Times New Roman" w:cs="Times New Roman"/>
          <w:sz w:val="24"/>
          <w:szCs w:val="24"/>
          <w:lang w:eastAsia="sk-SK"/>
        </w:rPr>
      </w:pPr>
      <w:r w:rsidRPr="00CB1C0A">
        <w:rPr>
          <w:rFonts w:ascii="Times New Roman" w:eastAsia="Times New Roman" w:hAnsi="Times New Roman" w:cs="Courier"/>
          <w:sz w:val="24"/>
          <w:szCs w:val="24"/>
          <w:lang w:eastAsia="sk-SK"/>
        </w:rPr>
        <w:t xml:space="preserve">Z Revízie výdavkov na zdravotníctvo II (2019) vyplýva, že priestor na vyššiu hodnotu za peniaze v slovenskom zdravotníctve môže priniesť efektívnejšia alokácia zdrojov. </w:t>
      </w:r>
    </w:p>
    <w:p w:rsidR="00AA17E3" w:rsidRPr="00CB1C0A" w:rsidRDefault="00AA17E3" w:rsidP="00AA17E3">
      <w:pPr>
        <w:spacing w:after="0" w:line="240" w:lineRule="auto"/>
        <w:jc w:val="both"/>
        <w:rPr>
          <w:rFonts w:ascii="Times New Roman" w:eastAsia="Times New Roman" w:hAnsi="Times New Roman" w:cs="Courier"/>
          <w:lang w:eastAsia="sk-SK"/>
        </w:rPr>
      </w:pPr>
    </w:p>
    <w:p w:rsidR="00AA17E3" w:rsidRPr="00F46D1A" w:rsidRDefault="00AA17E3" w:rsidP="00F46D1A">
      <w:pPr>
        <w:pStyle w:val="Odsekzoznamu"/>
        <w:numPr>
          <w:ilvl w:val="0"/>
          <w:numId w:val="11"/>
        </w:numPr>
        <w:jc w:val="both"/>
        <w:rPr>
          <w:rFonts w:ascii="Times New Roman" w:hAnsi="Times New Roman"/>
          <w:lang w:eastAsia="sk-SK"/>
        </w:rPr>
      </w:pPr>
      <w:r w:rsidRPr="00F46D1A">
        <w:rPr>
          <w:rFonts w:ascii="Times New Roman" w:hAnsi="Times New Roman"/>
          <w:lang w:eastAsia="sk-SK"/>
        </w:rPr>
        <w:t xml:space="preserve">V súčasnosti celkový dlhodobý </w:t>
      </w:r>
      <w:r w:rsidRPr="00F46D1A">
        <w:rPr>
          <w:rFonts w:ascii="Times New Roman" w:hAnsi="Times New Roman"/>
          <w:bCs/>
          <w:lang w:eastAsia="sk-SK"/>
        </w:rPr>
        <w:t>potenciál úspor predstavuje 484 mil. eur oproti roku 2021</w:t>
      </w:r>
      <w:r w:rsidRPr="00F46D1A">
        <w:rPr>
          <w:rFonts w:ascii="Times New Roman" w:hAnsi="Times New Roman" w:cs="Times New Roman"/>
          <w:noProof/>
          <w:vertAlign w:val="superscript"/>
        </w:rPr>
        <w:footnoteReference w:id="52"/>
      </w:r>
      <w:r w:rsidRPr="00F46D1A">
        <w:rPr>
          <w:rFonts w:ascii="Times New Roman" w:hAnsi="Times New Roman"/>
          <w:bCs/>
          <w:lang w:eastAsia="sk-SK"/>
        </w:rPr>
        <w:t>.</w:t>
      </w:r>
      <w:r w:rsidRPr="00F46D1A">
        <w:rPr>
          <w:rFonts w:ascii="Times New Roman" w:hAnsi="Times New Roman"/>
          <w:b/>
          <w:bCs/>
          <w:lang w:eastAsia="sk-SK"/>
        </w:rPr>
        <w:t xml:space="preserve"> </w:t>
      </w:r>
      <w:r w:rsidRPr="00F46D1A">
        <w:rPr>
          <w:rFonts w:ascii="Times New Roman" w:hAnsi="Times New Roman"/>
          <w:lang w:eastAsia="sk-SK"/>
        </w:rPr>
        <w:t xml:space="preserve">Hlavnou kategóriou výdavkov s priestorom na zefektívnenie a úsporu sú vyšetrenia u špecialistov. Slovensko má v porovnaní s inými krajinami vysoké výdavky na vyšetrenia u špecialistov spôsobené nadmerným počtom návštev, a tiež na lieky a na diagnostiku. Lepšie zdravotníctvo prinesú aj opatrenia bez vyčíslenej výdavkovej potreby, ako optimalizácia siete nemocníc, lepšia regulácia poistného systému, lepší manažment pacienta alebo prehodnotenie mixu personálu. </w:t>
      </w:r>
    </w:p>
    <w:p w:rsidR="00AA17E3" w:rsidRPr="00CB1C0A" w:rsidRDefault="00AA17E3" w:rsidP="00AA17E3">
      <w:pPr>
        <w:spacing w:after="0" w:line="240" w:lineRule="auto"/>
        <w:ind w:left="720"/>
        <w:contextualSpacing/>
        <w:jc w:val="both"/>
        <w:rPr>
          <w:rFonts w:ascii="Times New Roman" w:hAnsi="Times New Roman"/>
          <w:sz w:val="24"/>
          <w:lang w:eastAsia="sk-SK"/>
        </w:rPr>
      </w:pPr>
    </w:p>
    <w:p w:rsidR="00AA17E3" w:rsidRPr="00F46D1A" w:rsidRDefault="00AA17E3" w:rsidP="00F46D1A">
      <w:pPr>
        <w:pStyle w:val="Odsekzoznamu"/>
        <w:numPr>
          <w:ilvl w:val="0"/>
          <w:numId w:val="11"/>
        </w:numPr>
        <w:jc w:val="both"/>
        <w:rPr>
          <w:rFonts w:ascii="Times New Roman" w:hAnsi="Times New Roman" w:cs="Times New Roman"/>
          <w:lang w:eastAsia="sk-SK"/>
        </w:rPr>
      </w:pPr>
      <w:r w:rsidRPr="00F46D1A">
        <w:rPr>
          <w:rFonts w:ascii="Times New Roman" w:hAnsi="Times New Roman"/>
          <w:lang w:eastAsia="sk-SK"/>
        </w:rPr>
        <w:t>Dlhodobý potenciál investícií do prioritných oblastí v súčasnosti predstavuje 895 mil. eur oproti roku 2021</w:t>
      </w:r>
      <w:r w:rsidR="00D00DFA">
        <w:rPr>
          <w:rStyle w:val="Odkaznapoznmkupodiarou"/>
          <w:rFonts w:ascii="Times New Roman" w:hAnsi="Times New Roman"/>
          <w:lang w:eastAsia="sk-SK"/>
        </w:rPr>
        <w:footnoteReference w:id="53"/>
      </w:r>
      <w:r w:rsidRPr="00F46D1A">
        <w:rPr>
          <w:rFonts w:ascii="Times New Roman" w:hAnsi="Times New Roman"/>
          <w:lang w:eastAsia="sk-SK"/>
        </w:rPr>
        <w:t>.</w:t>
      </w:r>
      <w:r w:rsidRPr="00F46D1A">
        <w:rPr>
          <w:rFonts w:ascii="Times New Roman" w:hAnsi="Times New Roman"/>
          <w:b/>
          <w:bCs/>
          <w:lang w:eastAsia="sk-SK"/>
        </w:rPr>
        <w:t xml:space="preserve"> </w:t>
      </w:r>
      <w:r w:rsidRPr="00F46D1A">
        <w:rPr>
          <w:rFonts w:ascii="Times New Roman" w:hAnsi="Times New Roman"/>
          <w:lang w:eastAsia="sk-SK"/>
        </w:rPr>
        <w:t xml:space="preserve"> Investície by mali v budúcnosti smerovať najmä do primárnej starostlivosti, dlhodobej starostlivosti, oblasti duševného zdravia a do prevencie. Slovensko tiež trpí nedostatkom personálu, najmä sestier a všeobecných lekárov. </w:t>
      </w:r>
    </w:p>
    <w:p w:rsidR="00AA17E3" w:rsidRPr="00CB1C0A" w:rsidRDefault="00AA17E3" w:rsidP="00AA17E3">
      <w:pPr>
        <w:spacing w:after="0" w:line="240" w:lineRule="auto"/>
        <w:contextualSpacing/>
        <w:rPr>
          <w:rFonts w:ascii="Times New Roman" w:hAnsi="Times New Roman"/>
          <w:sz w:val="24"/>
          <w:lang w:eastAsia="sk-SK"/>
        </w:rPr>
      </w:pPr>
    </w:p>
    <w:p w:rsidR="00AA17E3" w:rsidRPr="00CB1C0A" w:rsidRDefault="00AA17E3" w:rsidP="00AA17E3">
      <w:pPr>
        <w:spacing w:after="0"/>
        <w:rPr>
          <w:rFonts w:ascii="Times New Roman" w:hAnsi="Times New Roman" w:cs="Times New Roman"/>
          <w:b/>
          <w:color w:val="5B9BD5" w:themeColor="accent1"/>
          <w:sz w:val="24"/>
        </w:rPr>
      </w:pPr>
      <w:r w:rsidRPr="00CB1C0A">
        <w:rPr>
          <w:rFonts w:ascii="Times New Roman" w:hAnsi="Times New Roman" w:cs="Times New Roman"/>
          <w:b/>
          <w:color w:val="5B9BD5" w:themeColor="accent1"/>
          <w:sz w:val="24"/>
        </w:rPr>
        <w:t>Stav personálneho zabezpečenia v rezorte zdravotníctva</w:t>
      </w:r>
    </w:p>
    <w:p w:rsidR="009224A5" w:rsidRDefault="009224A5" w:rsidP="00AA17E3">
      <w:pPr>
        <w:spacing w:after="0" w:line="240" w:lineRule="auto"/>
        <w:jc w:val="both"/>
        <w:rPr>
          <w:rFonts w:ascii="Times New Roman" w:eastAsia="Calibri" w:hAnsi="Times New Roman" w:cs="Times New Roman"/>
          <w:sz w:val="24"/>
          <w:szCs w:val="24"/>
          <w:lang w:eastAsia="sk-SK"/>
        </w:rPr>
      </w:pPr>
    </w:p>
    <w:p w:rsidR="00AA17E3" w:rsidRPr="00CB1C0A" w:rsidRDefault="00AA17E3" w:rsidP="00AA17E3">
      <w:pPr>
        <w:spacing w:after="0" w:line="240" w:lineRule="auto"/>
        <w:jc w:val="both"/>
        <w:rPr>
          <w:rFonts w:ascii="Times New Roman" w:hAnsi="Times New Roman" w:cs="Times New Roman"/>
          <w:color w:val="000000"/>
          <w:sz w:val="24"/>
        </w:rPr>
      </w:pPr>
      <w:r w:rsidRPr="00CB1C0A">
        <w:rPr>
          <w:rFonts w:ascii="Times New Roman" w:hAnsi="Times New Roman" w:cs="Times New Roman"/>
          <w:color w:val="000000"/>
          <w:sz w:val="24"/>
        </w:rPr>
        <w:t xml:space="preserve">Dostatok kvalitného zdravotníckeho personálu je nevyhnutným predpokladom pre kvalitu a dostupnosť poskytovanej zdravotnej starostlivosti, ako aj spokojnosť pacienta. Na Slovensku sa eviduje dlhodobý nedostatok zdravotníckeho personálu, ktorý bol ešte prehĺbený pandémiou COVID-19, pričom za ostatné roky rozpočtovaný objem finančných prostriedkov na mzdy personálu v zdravotníctve rástol rýchlejším tempom ako rástli priemerné mzdy v hospodárstve SR. </w:t>
      </w:r>
    </w:p>
    <w:p w:rsidR="00AA17E3" w:rsidRPr="00CB1C0A" w:rsidRDefault="00AA17E3" w:rsidP="00AA17E3">
      <w:pPr>
        <w:spacing w:after="0" w:line="240" w:lineRule="auto"/>
        <w:jc w:val="both"/>
        <w:rPr>
          <w:rFonts w:ascii="Times New Roman" w:hAnsi="Times New Roman" w:cs="Times New Roman"/>
          <w:color w:val="000000"/>
          <w:sz w:val="24"/>
        </w:rPr>
      </w:pPr>
    </w:p>
    <w:p w:rsidR="00AA17E3" w:rsidRDefault="00AA17E3" w:rsidP="00AA17E3">
      <w:pPr>
        <w:spacing w:after="0" w:line="240" w:lineRule="auto"/>
        <w:contextualSpacing/>
        <w:jc w:val="both"/>
        <w:rPr>
          <w:rFonts w:ascii="Times New Roman" w:hAnsi="Times New Roman" w:cs="Times New Roman"/>
          <w:color w:val="000000"/>
          <w:sz w:val="24"/>
        </w:rPr>
      </w:pPr>
      <w:r w:rsidRPr="00CB1C0A">
        <w:rPr>
          <w:rFonts w:ascii="Times New Roman" w:hAnsi="Times New Roman" w:cs="Times New Roman"/>
          <w:color w:val="000000"/>
          <w:sz w:val="24"/>
        </w:rPr>
        <w:t>Nájsť riešenie na stabilizáciu a zabezpečenie dostatku zdravotníckych pracovníkov bude jednou z kľúčových výziev rezortu zdravotníctva v nadchádzajúcom období, pričom je nutné aktuálne pripraviť rezortnú dlhodobú stratégiu riadenia ľudských zdrojov. Do tejto doby rozpočet počíta pre rok 2022 s nárastom mzdového balíka o 91 mil. eur oproti roku 2021 v zmysle legislatívnej valorizácie, a ako okamžité opatrenie aj s finančnými prostriedkami na zvýšenie počtu sestier v objeme 11 mil. eur. Ľudské zdroje v zdravotníctve naďalej zostávajú prioritou, okrem finančnej motivácie je potrebné motivovať personál aj inými faktormi – napríklad optimalizáciou procesov v nemocniciach, zlepšením pracovných podmienok, úpravou kompetencií a normatívov na počet personálu.</w:t>
      </w:r>
    </w:p>
    <w:p w:rsidR="009224A5" w:rsidRPr="00CB1C0A" w:rsidRDefault="009224A5" w:rsidP="00AA17E3">
      <w:pPr>
        <w:spacing w:after="0" w:line="240" w:lineRule="auto"/>
        <w:contextualSpacing/>
        <w:jc w:val="both"/>
        <w:rPr>
          <w:rFonts w:ascii="Times New Roman" w:hAnsi="Times New Roman"/>
          <w:sz w:val="24"/>
          <w:lang w:eastAsia="sk-SK"/>
        </w:rPr>
      </w:pPr>
    </w:p>
    <w:p w:rsidR="00AA17E3" w:rsidRPr="009224A5" w:rsidRDefault="00AA17E3" w:rsidP="009224A5">
      <w:pPr>
        <w:keepNext/>
        <w:spacing w:after="0" w:line="240" w:lineRule="auto"/>
        <w:jc w:val="both"/>
        <w:rPr>
          <w:rFonts w:ascii="Times New Roman" w:eastAsia="Calibri" w:hAnsi="Times New Roman" w:cs="Times New Roman"/>
          <w:b/>
          <w:iCs/>
          <w:color w:val="5B9BD5"/>
          <w:sz w:val="20"/>
          <w:szCs w:val="20"/>
          <w:lang w:eastAsia="cs-CZ"/>
        </w:rPr>
      </w:pPr>
      <w:bookmarkStart w:id="345" w:name="_Toc53054886"/>
      <w:bookmarkStart w:id="346" w:name="_Toc53077962"/>
      <w:bookmarkStart w:id="347" w:name="_Toc53086295"/>
      <w:bookmarkStart w:id="348" w:name="_Toc84528534"/>
      <w:bookmarkStart w:id="349" w:name="_Toc84848025"/>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34</w:t>
      </w:r>
      <w:r w:rsidRPr="006B209A">
        <w:rPr>
          <w:rFonts w:ascii="Times New Roman" w:hAnsi="Times New Roman" w:cs="Times New Roman"/>
          <w:b/>
          <w:iCs/>
          <w:color w:val="5B9BD5" w:themeColor="accent1"/>
          <w:sz w:val="20"/>
          <w:szCs w:val="20"/>
        </w:rPr>
        <w:fldChar w:fldCharType="end"/>
      </w:r>
      <w:r w:rsidR="00804037">
        <w:rPr>
          <w:rFonts w:ascii="Times New Roman" w:eastAsia="Calibri" w:hAnsi="Times New Roman" w:cs="Times New Roman"/>
          <w:b/>
          <w:iCs/>
          <w:color w:val="5B9BD5"/>
          <w:sz w:val="20"/>
          <w:szCs w:val="20"/>
          <w:lang w:eastAsia="cs-CZ"/>
        </w:rPr>
        <w:t xml:space="preserve"> -</w:t>
      </w:r>
      <w:r w:rsidRPr="00CB1C0A">
        <w:rPr>
          <w:rFonts w:ascii="Times New Roman" w:eastAsia="Calibri" w:hAnsi="Times New Roman" w:cs="Times New Roman"/>
          <w:b/>
          <w:iCs/>
          <w:color w:val="5B9BD5"/>
          <w:sz w:val="20"/>
          <w:szCs w:val="20"/>
          <w:lang w:eastAsia="cs-CZ"/>
        </w:rPr>
        <w:t xml:space="preserve"> Plat sestry ako násobok priemernej mzdy, 2019 </w:t>
      </w:r>
      <w:bookmarkEnd w:id="345"/>
      <w:bookmarkEnd w:id="346"/>
      <w:bookmarkEnd w:id="347"/>
      <w:r w:rsidRPr="00CB1C0A">
        <w:rPr>
          <w:rFonts w:ascii="Times New Roman" w:eastAsia="Calibri" w:hAnsi="Times New Roman" w:cs="Times New Roman"/>
          <w:b/>
          <w:iCs/>
          <w:color w:val="5B9BD5"/>
          <w:sz w:val="20"/>
          <w:szCs w:val="20"/>
          <w:lang w:eastAsia="cs-CZ"/>
        </w:rPr>
        <w:t>a Počet chýbajúcich sestier podľa štatistického zisťovania a prognózy MZ z roku 2017 (bez vplyvu COVID-19)</w:t>
      </w:r>
      <w:bookmarkEnd w:id="348"/>
      <w:bookmarkEnd w:id="349"/>
    </w:p>
    <w:p w:rsidR="00FD61F0" w:rsidRPr="00FD61F0" w:rsidRDefault="00FD61F0" w:rsidP="00FD61F0">
      <w:pPr>
        <w:spacing w:after="0" w:line="240" w:lineRule="auto"/>
        <w:rPr>
          <w:rFonts w:ascii="Courier" w:eastAsia="Times New Roman" w:hAnsi="Courier" w:cs="Courier"/>
          <w:sz w:val="24"/>
          <w:szCs w:val="24"/>
          <w:lang w:eastAsia="cs-CZ"/>
        </w:rPr>
      </w:pPr>
      <w:r w:rsidRPr="00FD61F0">
        <w:rPr>
          <w:rFonts w:ascii="Courier" w:eastAsia="Times New Roman" w:hAnsi="Courier" w:cs="Courier"/>
          <w:noProof/>
          <w:sz w:val="24"/>
          <w:szCs w:val="24"/>
          <w:lang w:eastAsia="sk-SK"/>
        </w:rPr>
        <w:drawing>
          <wp:anchor distT="0" distB="0" distL="114300" distR="114300" simplePos="0" relativeHeight="251664384" behindDoc="1" locked="0" layoutInCell="1" allowOverlap="1" wp14:anchorId="2782A05C" wp14:editId="594EA5BD">
            <wp:simplePos x="0" y="0"/>
            <wp:positionH relativeFrom="margin">
              <wp:align>right</wp:align>
            </wp:positionH>
            <wp:positionV relativeFrom="paragraph">
              <wp:posOffset>56292</wp:posOffset>
            </wp:positionV>
            <wp:extent cx="2959100" cy="2696007"/>
            <wp:effectExtent l="0" t="0" r="0" b="0"/>
            <wp:wrapNone/>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r w:rsidRPr="00FD61F0">
        <w:rPr>
          <w:noProof/>
          <w:lang w:eastAsia="sk-SK"/>
        </w:rPr>
        <w:drawing>
          <wp:inline distT="0" distB="0" distL="0" distR="0" wp14:anchorId="393925F8" wp14:editId="60725A8E">
            <wp:extent cx="2790190" cy="3035431"/>
            <wp:effectExtent l="0" t="0" r="0" b="0"/>
            <wp:docPr id="233" name="Graf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D61F0" w:rsidRPr="00FD61F0" w:rsidRDefault="00FD61F0" w:rsidP="00FD61F0">
      <w:pPr>
        <w:pBdr>
          <w:top w:val="single" w:sz="4" w:space="1" w:color="auto"/>
        </w:pBdr>
        <w:spacing w:after="0" w:line="240" w:lineRule="auto"/>
        <w:jc w:val="both"/>
        <w:rPr>
          <w:rFonts w:ascii="Times New Roman" w:eastAsia="Times New Roman" w:hAnsi="Times New Roman" w:cs="Courier"/>
          <w:i/>
          <w:sz w:val="16"/>
          <w:szCs w:val="16"/>
          <w:lang w:eastAsia="sk-SK"/>
        </w:rPr>
      </w:pPr>
      <w:r w:rsidRPr="00FD61F0">
        <w:rPr>
          <w:rFonts w:ascii="Times New Roman" w:eastAsia="Calibri" w:hAnsi="Times New Roman" w:cs="Times New Roman"/>
          <w:i/>
          <w:sz w:val="16"/>
          <w:szCs w:val="16"/>
          <w:lang w:eastAsia="cs-CZ"/>
        </w:rPr>
        <w:t>SK (sestry pracujúce v nemocniciach)</w:t>
      </w:r>
      <w:r w:rsidRPr="00FD61F0">
        <w:rPr>
          <w:rFonts w:ascii="Times New Roman" w:eastAsia="Times New Roman" w:hAnsi="Times New Roman" w:cs="Courier"/>
          <w:sz w:val="24"/>
          <w:szCs w:val="24"/>
          <w:lang w:eastAsia="sk-SK"/>
        </w:rPr>
        <w:t xml:space="preserve">                     </w:t>
      </w:r>
      <w:r w:rsidRPr="00FD61F0">
        <w:rPr>
          <w:rFonts w:ascii="Times New Roman" w:eastAsia="Times New Roman" w:hAnsi="Times New Roman" w:cs="Courier"/>
          <w:i/>
          <w:sz w:val="16"/>
          <w:szCs w:val="16"/>
          <w:lang w:eastAsia="sk-SK"/>
        </w:rPr>
        <w:t xml:space="preserve">                                                                                         Zdroj: OECD,MZ SR a NCZI</w:t>
      </w:r>
    </w:p>
    <w:p w:rsidR="00FD61F0" w:rsidRDefault="00FD61F0" w:rsidP="00AA17E3">
      <w:pPr>
        <w:spacing w:after="0"/>
        <w:rPr>
          <w:rFonts w:ascii="Times New Roman" w:eastAsia="Calibri" w:hAnsi="Times New Roman" w:cs="Times New Roman"/>
          <w:i/>
          <w:sz w:val="16"/>
          <w:szCs w:val="16"/>
          <w:lang w:eastAsia="cs-CZ"/>
        </w:rPr>
      </w:pPr>
    </w:p>
    <w:p w:rsidR="00FD61F0" w:rsidRDefault="00FD61F0" w:rsidP="00AA17E3">
      <w:pPr>
        <w:spacing w:after="0"/>
        <w:rPr>
          <w:rFonts w:ascii="Times New Roman" w:eastAsia="Calibri" w:hAnsi="Times New Roman" w:cs="Times New Roman"/>
          <w:i/>
          <w:sz w:val="16"/>
          <w:szCs w:val="16"/>
          <w:lang w:eastAsia="cs-CZ"/>
        </w:rPr>
      </w:pPr>
    </w:p>
    <w:p w:rsidR="00AA17E3" w:rsidRPr="00CB1C0A" w:rsidRDefault="00AA17E3" w:rsidP="00AA17E3">
      <w:pPr>
        <w:spacing w:after="0"/>
        <w:rPr>
          <w:rFonts w:ascii="Times New Roman" w:hAnsi="Times New Roman" w:cs="Times New Roman"/>
          <w:b/>
          <w:color w:val="5B9BD5" w:themeColor="accent1"/>
          <w:sz w:val="24"/>
        </w:rPr>
      </w:pPr>
      <w:r w:rsidRPr="00CB1C0A">
        <w:rPr>
          <w:rFonts w:ascii="Times New Roman" w:hAnsi="Times New Roman" w:cs="Times New Roman"/>
          <w:b/>
          <w:color w:val="5B9BD5" w:themeColor="accent1"/>
          <w:sz w:val="24"/>
        </w:rPr>
        <w:t xml:space="preserve">Metodika tvorby rozpočtu </w:t>
      </w:r>
    </w:p>
    <w:p w:rsidR="00AA17E3" w:rsidRPr="00CB1C0A" w:rsidRDefault="00AA17E3" w:rsidP="00AA17E3">
      <w:pPr>
        <w:spacing w:after="0"/>
        <w:rPr>
          <w:rFonts w:ascii="Times New Roman" w:hAnsi="Times New Roman" w:cs="Times New Roman"/>
          <w:b/>
          <w:color w:val="5B9BD5" w:themeColor="accent1"/>
          <w:sz w:val="24"/>
        </w:rPr>
      </w:pPr>
    </w:p>
    <w:p w:rsidR="00AA17E3" w:rsidRPr="00CB1C0A" w:rsidRDefault="00AA17E3" w:rsidP="00AA17E3">
      <w:pPr>
        <w:spacing w:after="0" w:line="240" w:lineRule="auto"/>
        <w:jc w:val="both"/>
        <w:rPr>
          <w:rFonts w:ascii="Times New Roman" w:hAnsi="Times New Roman"/>
          <w:b/>
          <w:bCs/>
          <w:sz w:val="24"/>
          <w:lang w:eastAsia="sk-SK"/>
        </w:rPr>
      </w:pPr>
      <w:r w:rsidRPr="00CB1C0A">
        <w:rPr>
          <w:rFonts w:ascii="Times New Roman" w:hAnsi="Times New Roman"/>
          <w:sz w:val="24"/>
          <w:lang w:eastAsia="sk-SK"/>
        </w:rPr>
        <w:t xml:space="preserve">Výdavky na zdravotníctvo sa od štartu projektu hodnoty za peniaze v roku 2016 rozpočtujú v nasledujúcich krokoch. V prvom kroku sa odhadne </w:t>
      </w:r>
      <w:r w:rsidRPr="00CB1C0A">
        <w:rPr>
          <w:rFonts w:ascii="Times New Roman" w:hAnsi="Times New Roman"/>
          <w:bCs/>
          <w:sz w:val="24"/>
          <w:lang w:eastAsia="sk-SK"/>
        </w:rPr>
        <w:t>rast výdavkov bez zmien politík,</w:t>
      </w:r>
      <w:r w:rsidRPr="00CB1C0A">
        <w:rPr>
          <w:rFonts w:ascii="Times New Roman" w:hAnsi="Times New Roman"/>
          <w:b/>
          <w:bCs/>
          <w:sz w:val="24"/>
          <w:lang w:eastAsia="sk-SK"/>
        </w:rPr>
        <w:t xml:space="preserve"> </w:t>
      </w:r>
      <w:r w:rsidRPr="00CB1C0A">
        <w:rPr>
          <w:rFonts w:ascii="Times New Roman" w:hAnsi="Times New Roman"/>
          <w:sz w:val="24"/>
          <w:lang w:eastAsia="sk-SK"/>
        </w:rPr>
        <w:t xml:space="preserve">ktorý zohľadňuje rast miezd podľa automatickej valorizácie (tzv. „platový automat“), infláciu a rast spotreby liekov. Rozpočet počíta aj s vplyvom starnutia populácie. V druhom kroku sa odhadnú dodatočné </w:t>
      </w:r>
      <w:r w:rsidRPr="00CB1C0A">
        <w:rPr>
          <w:rFonts w:ascii="Times New Roman" w:hAnsi="Times New Roman"/>
          <w:bCs/>
          <w:sz w:val="24"/>
          <w:lang w:eastAsia="sk-SK"/>
        </w:rPr>
        <w:t>výdavky, resp. úspory súvisiace so zmenami politík.</w:t>
      </w:r>
      <w:r w:rsidRPr="00CB1C0A">
        <w:rPr>
          <w:rFonts w:ascii="Times New Roman" w:hAnsi="Times New Roman"/>
          <w:b/>
          <w:bCs/>
          <w:sz w:val="24"/>
          <w:lang w:eastAsia="sk-SK"/>
        </w:rPr>
        <w:t xml:space="preserve"> </w:t>
      </w:r>
    </w:p>
    <w:p w:rsidR="00AA17E3" w:rsidRPr="00CB1C0A" w:rsidRDefault="00AA17E3" w:rsidP="00AA17E3">
      <w:pPr>
        <w:spacing w:after="0"/>
        <w:jc w:val="both"/>
        <w:rPr>
          <w:rFonts w:ascii="Times New Roman" w:hAnsi="Times New Roman"/>
          <w:sz w:val="24"/>
          <w:lang w:eastAsia="sk-SK"/>
        </w:rPr>
      </w:pPr>
    </w:p>
    <w:p w:rsidR="00AA17E3" w:rsidRPr="00CB1C0A" w:rsidRDefault="00AA17E3" w:rsidP="00AA17E3">
      <w:pPr>
        <w:keepNext/>
        <w:keepLines/>
        <w:spacing w:after="0" w:line="240" w:lineRule="auto"/>
        <w:outlineLvl w:val="4"/>
        <w:rPr>
          <w:rFonts w:ascii="Times New Roman" w:hAnsi="Times New Roman" w:cs="Times New Roman"/>
          <w:b/>
          <w:color w:val="5B9BD5" w:themeColor="accent1"/>
          <w:sz w:val="20"/>
          <w:szCs w:val="20"/>
        </w:rPr>
      </w:pPr>
      <w:bookmarkStart w:id="350" w:name="_Toc84528426"/>
      <w:bookmarkStart w:id="351" w:name="_Toc84845302"/>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78</w:t>
      </w:r>
      <w:r w:rsidRPr="007E7AFC">
        <w:rPr>
          <w:rFonts w:ascii="Times New Roman" w:hAnsi="Times New Roman" w:cs="Times New Roman"/>
          <w:b/>
          <w:color w:val="5B9BD5" w:themeColor="accent1"/>
          <w:sz w:val="20"/>
          <w:szCs w:val="20"/>
        </w:rPr>
        <w:fldChar w:fldCharType="end"/>
      </w:r>
      <w:r w:rsidR="00804037">
        <w:rPr>
          <w:rFonts w:ascii="Times New Roman" w:hAnsi="Times New Roman" w:cs="Times New Roman"/>
          <w:b/>
          <w:color w:val="5B9BD5" w:themeColor="accent1"/>
          <w:sz w:val="20"/>
          <w:szCs w:val="20"/>
        </w:rPr>
        <w:t xml:space="preserve"> </w:t>
      </w:r>
      <w:r w:rsidR="00942A58">
        <w:rPr>
          <w:rFonts w:ascii="Times New Roman" w:hAnsi="Times New Roman" w:cs="Times New Roman"/>
          <w:b/>
          <w:iCs/>
          <w:color w:val="5B9BD5" w:themeColor="accent1"/>
          <w:sz w:val="20"/>
          <w:szCs w:val="20"/>
        </w:rPr>
        <w:t>- Rozpočet 2022</w:t>
      </w:r>
      <w:r w:rsidRPr="00CB1C0A">
        <w:rPr>
          <w:rFonts w:ascii="Times New Roman" w:hAnsi="Times New Roman" w:cs="Times New Roman"/>
          <w:b/>
          <w:iCs/>
          <w:color w:val="5B9BD5" w:themeColor="accent1"/>
          <w:sz w:val="20"/>
          <w:szCs w:val="20"/>
        </w:rPr>
        <w:t xml:space="preserve"> a </w:t>
      </w:r>
      <w:r w:rsidRPr="00CB1C0A">
        <w:rPr>
          <w:rFonts w:ascii="Times New Roman" w:hAnsi="Times New Roman" w:cs="Times New Roman"/>
          <w:b/>
          <w:color w:val="5B9BD5" w:themeColor="accent1"/>
          <w:sz w:val="20"/>
          <w:szCs w:val="20"/>
        </w:rPr>
        <w:t>zmeny výdavkov</w:t>
      </w:r>
      <w:bookmarkEnd w:id="350"/>
      <w:bookmarkEnd w:id="351"/>
    </w:p>
    <w:tbl>
      <w:tblPr>
        <w:tblW w:w="5000" w:type="pct"/>
        <w:tblCellMar>
          <w:left w:w="70" w:type="dxa"/>
          <w:right w:w="70" w:type="dxa"/>
        </w:tblCellMar>
        <w:tblLook w:val="04A0" w:firstRow="1" w:lastRow="0" w:firstColumn="1" w:lastColumn="0" w:noHBand="0" w:noVBand="1"/>
      </w:tblPr>
      <w:tblGrid>
        <w:gridCol w:w="7486"/>
        <w:gridCol w:w="1586"/>
      </w:tblGrid>
      <w:tr w:rsidR="00AA17E3" w:rsidRPr="00CB1C0A" w:rsidTr="00AA17E3">
        <w:trPr>
          <w:trHeight w:val="241"/>
        </w:trPr>
        <w:tc>
          <w:tcPr>
            <w:tcW w:w="4126" w:type="pct"/>
            <w:tcBorders>
              <w:top w:val="single" w:sz="4" w:space="0" w:color="auto"/>
              <w:bottom w:val="single" w:sz="4" w:space="0" w:color="auto"/>
            </w:tcBorders>
            <w:shd w:val="clear" w:color="auto" w:fill="auto"/>
            <w:noWrap/>
            <w:hideMark/>
          </w:tcPr>
          <w:p w:rsidR="00AA17E3" w:rsidRPr="00CB1C0A" w:rsidRDefault="00AA17E3" w:rsidP="00AA17E3">
            <w:pPr>
              <w:rPr>
                <w:rFonts w:ascii="Times New Roman" w:hAnsi="Times New Roman" w:cs="Times New Roman"/>
                <w:b/>
                <w:color w:val="000000"/>
                <w:sz w:val="16"/>
                <w:szCs w:val="16"/>
                <w:lang w:eastAsia="sk-SK"/>
              </w:rPr>
            </w:pPr>
            <w:r w:rsidRPr="00CB1C0A">
              <w:rPr>
                <w:rFonts w:ascii="Times New Roman" w:hAnsi="Times New Roman" w:cs="Times New Roman"/>
                <w:b/>
                <w:sz w:val="16"/>
                <w:szCs w:val="16"/>
              </w:rPr>
              <w:t>mil. eur</w:t>
            </w:r>
          </w:p>
        </w:tc>
        <w:tc>
          <w:tcPr>
            <w:tcW w:w="874" w:type="pct"/>
            <w:tcBorders>
              <w:top w:val="single" w:sz="4" w:space="0" w:color="auto"/>
              <w:bottom w:val="single" w:sz="4" w:space="0" w:color="auto"/>
            </w:tcBorders>
            <w:shd w:val="clear" w:color="auto" w:fill="auto"/>
            <w:noWrap/>
            <w:hideMark/>
          </w:tcPr>
          <w:p w:rsidR="00AA17E3" w:rsidRPr="00CB1C0A" w:rsidRDefault="00AA17E3" w:rsidP="00AA17E3">
            <w:pPr>
              <w:rPr>
                <w:rFonts w:ascii="Times New Roman" w:hAnsi="Times New Roman" w:cs="Times New Roman"/>
                <w:color w:val="000000"/>
                <w:sz w:val="16"/>
                <w:szCs w:val="16"/>
                <w:highlight w:val="yellow"/>
                <w:lang w:eastAsia="sk-SK"/>
              </w:rPr>
            </w:pPr>
            <w:r w:rsidRPr="00CB1C0A">
              <w:rPr>
                <w:rFonts w:ascii="Times New Roman" w:hAnsi="Times New Roman" w:cs="Times New Roman"/>
                <w:sz w:val="16"/>
                <w:szCs w:val="16"/>
                <w:highlight w:val="yellow"/>
              </w:rPr>
              <w:t xml:space="preserve"> </w:t>
            </w:r>
          </w:p>
        </w:tc>
      </w:tr>
      <w:tr w:rsidR="00AA17E3" w:rsidRPr="00CB1C0A" w:rsidTr="00AA17E3">
        <w:trPr>
          <w:trHeight w:val="241"/>
        </w:trPr>
        <w:tc>
          <w:tcPr>
            <w:tcW w:w="4126" w:type="pct"/>
            <w:tcBorders>
              <w:top w:val="single" w:sz="4" w:space="0" w:color="auto"/>
            </w:tcBorders>
            <w:shd w:val="clear" w:color="auto" w:fill="auto"/>
            <w:noWrap/>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 xml:space="preserve">Rozpočet 2021 </w:t>
            </w:r>
          </w:p>
        </w:tc>
        <w:tc>
          <w:tcPr>
            <w:tcW w:w="874" w:type="pct"/>
            <w:tcBorders>
              <w:top w:val="single" w:sz="4" w:space="0" w:color="auto"/>
            </w:tcBorders>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5 693</w:t>
            </w:r>
          </w:p>
        </w:tc>
      </w:tr>
      <w:tr w:rsidR="00AA17E3" w:rsidRPr="00CB1C0A" w:rsidTr="00AA17E3">
        <w:trPr>
          <w:trHeight w:val="117"/>
        </w:trPr>
        <w:tc>
          <w:tcPr>
            <w:tcW w:w="4126" w:type="pct"/>
            <w:shd w:val="clear" w:color="auto" w:fill="auto"/>
            <w:noWrap/>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Očakávaná skutočnosť 2021 (bez fin. operácií a iných úhrad ZP)</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5 542</w:t>
            </w:r>
          </w:p>
        </w:tc>
      </w:tr>
      <w:tr w:rsidR="00AA17E3" w:rsidRPr="00CB1C0A" w:rsidTr="00AA17E3">
        <w:trPr>
          <w:trHeight w:val="217"/>
        </w:trPr>
        <w:tc>
          <w:tcPr>
            <w:tcW w:w="4126" w:type="pct"/>
            <w:shd w:val="clear" w:color="auto" w:fill="auto"/>
            <w:noWrap/>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Zmeny 2022 voči očakávanej skutočnosti 2021, z toho</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152</w:t>
            </w:r>
          </w:p>
        </w:tc>
      </w:tr>
      <w:tr w:rsidR="00AA17E3" w:rsidRPr="00CB1C0A" w:rsidTr="00AA17E3">
        <w:trPr>
          <w:trHeight w:val="229"/>
        </w:trPr>
        <w:tc>
          <w:tcPr>
            <w:tcW w:w="4126" w:type="pct"/>
            <w:shd w:val="clear" w:color="auto" w:fill="auto"/>
            <w:noWrap/>
            <w:hideMark/>
          </w:tcPr>
          <w:p w:rsidR="00AA17E3" w:rsidRPr="00CB1C0A" w:rsidRDefault="00AA17E3" w:rsidP="00AA17E3">
            <w:pPr>
              <w:ind w:left="708"/>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Nárasty bez zmien politík (rast miezd, inflácia, starnutie)</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219</w:t>
            </w:r>
          </w:p>
        </w:tc>
      </w:tr>
      <w:tr w:rsidR="00AA17E3" w:rsidRPr="00CB1C0A" w:rsidTr="00AA17E3">
        <w:trPr>
          <w:trHeight w:val="229"/>
        </w:trPr>
        <w:tc>
          <w:tcPr>
            <w:tcW w:w="4126" w:type="pct"/>
            <w:shd w:val="clear" w:color="auto" w:fill="auto"/>
            <w:noWrap/>
            <w:hideMark/>
          </w:tcPr>
          <w:p w:rsidR="00AA17E3" w:rsidRPr="00CB1C0A" w:rsidRDefault="00AA17E3" w:rsidP="00AA17E3">
            <w:pPr>
              <w:ind w:left="708"/>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Zmeny politík</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182</w:t>
            </w:r>
          </w:p>
        </w:tc>
      </w:tr>
      <w:tr w:rsidR="00AA17E3" w:rsidRPr="00CB1C0A" w:rsidTr="00AA17E3">
        <w:trPr>
          <w:trHeight w:val="229"/>
        </w:trPr>
        <w:tc>
          <w:tcPr>
            <w:tcW w:w="4126" w:type="pct"/>
            <w:shd w:val="clear" w:color="auto" w:fill="auto"/>
            <w:noWrap/>
            <w:hideMark/>
          </w:tcPr>
          <w:p w:rsidR="00AA17E3" w:rsidRPr="00CB1C0A" w:rsidRDefault="00AA17E3" w:rsidP="00AA17E3">
            <w:pPr>
              <w:ind w:left="708"/>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Úsporné opatrenia</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-249</w:t>
            </w:r>
          </w:p>
        </w:tc>
      </w:tr>
      <w:tr w:rsidR="00AA17E3" w:rsidRPr="00CB1C0A" w:rsidTr="00AA17E3">
        <w:trPr>
          <w:trHeight w:val="229"/>
        </w:trPr>
        <w:tc>
          <w:tcPr>
            <w:tcW w:w="4126" w:type="pct"/>
            <w:shd w:val="clear" w:color="auto" w:fill="auto"/>
            <w:noWrap/>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Rozpočet VZP 2022 (OS 2021 + zmeny)</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5 694</w:t>
            </w:r>
          </w:p>
        </w:tc>
      </w:tr>
      <w:tr w:rsidR="00AA17E3" w:rsidRPr="00CB1C0A" w:rsidTr="00AA17E3">
        <w:trPr>
          <w:trHeight w:val="278"/>
        </w:trPr>
        <w:tc>
          <w:tcPr>
            <w:tcW w:w="4126" w:type="pct"/>
            <w:shd w:val="clear" w:color="auto" w:fill="auto"/>
            <w:noWrap/>
            <w:hideMark/>
          </w:tcPr>
          <w:p w:rsidR="00AA17E3" w:rsidRPr="00CB1C0A" w:rsidRDefault="00AA17E3" w:rsidP="00AA17E3">
            <w:pPr>
              <w:ind w:firstLineChars="100" w:firstLine="160"/>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 nárast rozpočtu voči očakávanej skutočnosti 2021</w:t>
            </w:r>
          </w:p>
        </w:tc>
        <w:tc>
          <w:tcPr>
            <w:tcW w:w="874" w:type="pct"/>
            <w:shd w:val="clear" w:color="auto" w:fill="auto"/>
            <w:noWrap/>
            <w:vAlign w:val="center"/>
            <w:hideMark/>
          </w:tcPr>
          <w:p w:rsidR="00AA17E3" w:rsidRPr="00CB1C0A" w:rsidRDefault="00AA17E3" w:rsidP="00AA17E3">
            <w:pPr>
              <w:jc w:val="right"/>
              <w:rPr>
                <w:rFonts w:ascii="Times New Roman" w:hAnsi="Times New Roman" w:cs="Times New Roman"/>
                <w:color w:val="000000"/>
                <w:sz w:val="18"/>
                <w:szCs w:val="18"/>
                <w:highlight w:val="yellow"/>
                <w:lang w:eastAsia="sk-SK"/>
              </w:rPr>
            </w:pPr>
            <w:r w:rsidRPr="00CB1C0A">
              <w:rPr>
                <w:rFonts w:ascii="Times New Roman" w:eastAsia="Times New Roman" w:hAnsi="Times New Roman" w:cs="Times New Roman"/>
                <w:color w:val="000000"/>
                <w:sz w:val="18"/>
                <w:szCs w:val="20"/>
                <w:lang w:eastAsia="cs-CZ"/>
              </w:rPr>
              <w:t>2,7%</w:t>
            </w:r>
          </w:p>
        </w:tc>
      </w:tr>
      <w:tr w:rsidR="00AA17E3" w:rsidRPr="00CB1C0A" w:rsidTr="00AA17E3">
        <w:trPr>
          <w:trHeight w:val="229"/>
        </w:trPr>
        <w:tc>
          <w:tcPr>
            <w:tcW w:w="4126" w:type="pct"/>
            <w:tcBorders>
              <w:bottom w:val="single" w:sz="4" w:space="0" w:color="auto"/>
            </w:tcBorders>
            <w:shd w:val="clear" w:color="auto" w:fill="auto"/>
            <w:noWrap/>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Calibri" w:hAnsi="Times New Roman" w:cs="Times New Roman"/>
                <w:sz w:val="16"/>
                <w:szCs w:val="16"/>
                <w:lang w:eastAsia="cs-CZ"/>
              </w:rPr>
              <w:t>Rozpočet na zdravotníctvo 2022 (vrátane kapitoly MZ</w:t>
            </w:r>
            <w:r w:rsidR="00440268">
              <w:rPr>
                <w:rFonts w:ascii="Times New Roman" w:eastAsia="Calibri" w:hAnsi="Times New Roman" w:cs="Times New Roman"/>
                <w:sz w:val="16"/>
                <w:szCs w:val="16"/>
                <w:lang w:eastAsia="cs-CZ"/>
              </w:rPr>
              <w:t>, rezervy</w:t>
            </w:r>
            <w:r w:rsidRPr="00CB1C0A">
              <w:rPr>
                <w:rFonts w:ascii="Times New Roman" w:eastAsia="Calibri" w:hAnsi="Times New Roman" w:cs="Times New Roman"/>
                <w:sz w:val="16"/>
                <w:szCs w:val="16"/>
                <w:lang w:eastAsia="cs-CZ"/>
              </w:rPr>
              <w:t xml:space="preserve"> a zdrojov EÚ</w:t>
            </w:r>
            <w:r w:rsidR="00A2381A">
              <w:rPr>
                <w:rFonts w:ascii="Times New Roman" w:eastAsia="Calibri" w:hAnsi="Times New Roman" w:cs="Times New Roman"/>
                <w:sz w:val="16"/>
                <w:szCs w:val="16"/>
                <w:lang w:eastAsia="cs-CZ"/>
              </w:rPr>
              <w:t xml:space="preserve"> a POO</w:t>
            </w:r>
            <w:r w:rsidRPr="00CB1C0A">
              <w:rPr>
                <w:rFonts w:ascii="Times New Roman" w:eastAsia="Calibri" w:hAnsi="Times New Roman" w:cs="Times New Roman"/>
                <w:sz w:val="16"/>
                <w:szCs w:val="16"/>
                <w:lang w:eastAsia="cs-CZ"/>
              </w:rPr>
              <w:t>)</w:t>
            </w:r>
          </w:p>
        </w:tc>
        <w:tc>
          <w:tcPr>
            <w:tcW w:w="874" w:type="pct"/>
            <w:tcBorders>
              <w:bottom w:val="single" w:sz="4" w:space="0" w:color="auto"/>
            </w:tcBorders>
            <w:shd w:val="clear" w:color="auto" w:fill="auto"/>
            <w:noWrap/>
            <w:vAlign w:val="center"/>
          </w:tcPr>
          <w:p w:rsidR="00AA17E3" w:rsidRPr="00CB1C0A" w:rsidRDefault="00440268" w:rsidP="00AA17E3">
            <w:pPr>
              <w:jc w:val="right"/>
              <w:rPr>
                <w:rFonts w:ascii="Times New Roman" w:hAnsi="Times New Roman" w:cs="Times New Roman"/>
                <w:color w:val="000000"/>
                <w:sz w:val="18"/>
                <w:szCs w:val="16"/>
                <w:highlight w:val="yellow"/>
                <w:lang w:eastAsia="sk-SK"/>
              </w:rPr>
            </w:pPr>
            <w:r>
              <w:rPr>
                <w:rFonts w:ascii="Times New Roman" w:eastAsia="Times New Roman" w:hAnsi="Times New Roman" w:cs="Times New Roman"/>
                <w:sz w:val="18"/>
                <w:szCs w:val="20"/>
                <w:lang w:eastAsia="cs-CZ"/>
              </w:rPr>
              <w:t>6 378</w:t>
            </w:r>
          </w:p>
        </w:tc>
      </w:tr>
    </w:tbl>
    <w:p w:rsidR="00AA17E3" w:rsidRPr="00CB1C0A" w:rsidRDefault="00AA17E3" w:rsidP="00AA17E3">
      <w:pPr>
        <w:spacing w:after="0" w:line="240" w:lineRule="auto"/>
        <w:jc w:val="both"/>
        <w:rPr>
          <w:rFonts w:ascii="Times New Roman" w:eastAsia="Times New Roman" w:hAnsi="Times New Roman" w:cs="Times New Roman"/>
          <w:bCs/>
          <w:i/>
          <w:sz w:val="16"/>
          <w:szCs w:val="16"/>
          <w:lang w:eastAsia="sk-SK"/>
        </w:rPr>
      </w:pPr>
      <w:r w:rsidRPr="00CB1C0A">
        <w:rPr>
          <w:rFonts w:ascii="Times New Roman" w:eastAsia="Times New Roman" w:hAnsi="Times New Roman" w:cs="Times New Roman"/>
          <w:bCs/>
          <w:i/>
          <w:sz w:val="16"/>
          <w:szCs w:val="16"/>
          <w:lang w:eastAsia="sk-SK"/>
        </w:rPr>
        <w:t xml:space="preserve">                                                                                                                                                                                                            Zdroj: MF SR </w:t>
      </w:r>
    </w:p>
    <w:p w:rsidR="00AA17E3" w:rsidRPr="00CB1C0A" w:rsidRDefault="00AA17E3" w:rsidP="00AA17E3">
      <w:pPr>
        <w:spacing w:after="0"/>
        <w:jc w:val="both"/>
        <w:rPr>
          <w:rFonts w:ascii="Times New Roman" w:hAnsi="Times New Roman"/>
          <w:sz w:val="24"/>
          <w:lang w:eastAsia="sk-SK"/>
        </w:rPr>
      </w:pPr>
    </w:p>
    <w:p w:rsidR="00AA17E3" w:rsidRDefault="00AA17E3" w:rsidP="00AA17E3">
      <w:pPr>
        <w:spacing w:after="0"/>
        <w:jc w:val="both"/>
        <w:rPr>
          <w:rFonts w:ascii="Times New Roman" w:hAnsi="Times New Roman"/>
          <w:sz w:val="24"/>
          <w:lang w:eastAsia="sk-SK"/>
        </w:rPr>
      </w:pPr>
      <w:r w:rsidRPr="00CB1C0A">
        <w:rPr>
          <w:rFonts w:ascii="Times New Roman" w:hAnsi="Times New Roman"/>
          <w:sz w:val="24"/>
          <w:lang w:eastAsia="sk-SK"/>
        </w:rPr>
        <w:t>Sumárny prehľad dopadu medziročných zmien výdavkov, vrátane dopadu úsporných opatrení v štruktúre podľa vec</w:t>
      </w:r>
      <w:r w:rsidR="00BD773F">
        <w:rPr>
          <w:rFonts w:ascii="Times New Roman" w:hAnsi="Times New Roman"/>
          <w:sz w:val="24"/>
          <w:lang w:eastAsia="sk-SK"/>
        </w:rPr>
        <w:t>ných oblastí ukazuje nasledujúca tabuľka.</w:t>
      </w:r>
    </w:p>
    <w:p w:rsidR="00FD61F0" w:rsidRPr="00CB1C0A" w:rsidRDefault="00FD61F0" w:rsidP="00AA17E3">
      <w:pPr>
        <w:spacing w:after="0"/>
        <w:jc w:val="both"/>
        <w:rPr>
          <w:rFonts w:ascii="Times New Roman" w:hAnsi="Times New Roman"/>
          <w:sz w:val="24"/>
          <w:lang w:eastAsia="sk-SK"/>
        </w:rPr>
      </w:pPr>
    </w:p>
    <w:p w:rsidR="00AA17E3" w:rsidRPr="00CB1C0A" w:rsidRDefault="00AA17E3" w:rsidP="00AA17E3">
      <w:pPr>
        <w:spacing w:after="0"/>
        <w:jc w:val="both"/>
        <w:rPr>
          <w:rFonts w:ascii="Times New Roman" w:hAnsi="Times New Roman"/>
          <w:sz w:val="24"/>
          <w:lang w:eastAsia="sk-SK"/>
        </w:rPr>
      </w:pPr>
    </w:p>
    <w:p w:rsidR="00AA17E3" w:rsidRPr="00CB1C0A" w:rsidRDefault="00AA17E3" w:rsidP="00043E7B">
      <w:pPr>
        <w:spacing w:after="0"/>
        <w:rPr>
          <w:rFonts w:ascii="Times New Roman" w:hAnsi="Times New Roman" w:cs="Times New Roman"/>
          <w:b/>
          <w:color w:val="5B9BD5" w:themeColor="accent1"/>
          <w:sz w:val="20"/>
          <w:szCs w:val="20"/>
        </w:rPr>
      </w:pPr>
      <w:bookmarkStart w:id="352" w:name="_Toc84528427"/>
      <w:bookmarkStart w:id="353" w:name="_Toc84845303"/>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79</w:t>
      </w:r>
      <w:r w:rsidRPr="007E7AFC">
        <w:rPr>
          <w:rFonts w:ascii="Times New Roman" w:hAnsi="Times New Roman" w:cs="Times New Roman"/>
          <w:b/>
          <w:color w:val="5B9BD5" w:themeColor="accent1"/>
          <w:sz w:val="20"/>
          <w:szCs w:val="20"/>
        </w:rPr>
        <w:fldChar w:fldCharType="end"/>
      </w:r>
      <w:r w:rsidR="00804037">
        <w:rPr>
          <w:rFonts w:ascii="Times New Roman" w:hAnsi="Times New Roman" w:cs="Times New Roman"/>
          <w:b/>
          <w:color w:val="5B9BD5" w:themeColor="accent1"/>
          <w:sz w:val="20"/>
          <w:szCs w:val="20"/>
        </w:rPr>
        <w:t xml:space="preserve"> </w:t>
      </w:r>
      <w:r w:rsidRPr="00CB1C0A">
        <w:rPr>
          <w:rFonts w:ascii="Times New Roman" w:hAnsi="Times New Roman" w:cs="Times New Roman"/>
          <w:b/>
          <w:color w:val="5B9BD5" w:themeColor="accent1"/>
          <w:sz w:val="20"/>
          <w:szCs w:val="20"/>
        </w:rPr>
        <w:t>- Rozpočet podľa vecných oblastí</w:t>
      </w:r>
      <w:bookmarkEnd w:id="352"/>
      <w:bookmarkEnd w:id="353"/>
    </w:p>
    <w:tbl>
      <w:tblPr>
        <w:tblW w:w="4876" w:type="pct"/>
        <w:tblLayout w:type="fixed"/>
        <w:tblCellMar>
          <w:left w:w="70" w:type="dxa"/>
          <w:right w:w="70" w:type="dxa"/>
        </w:tblCellMar>
        <w:tblLook w:val="04A0" w:firstRow="1" w:lastRow="0" w:firstColumn="1" w:lastColumn="0" w:noHBand="0" w:noVBand="1"/>
      </w:tblPr>
      <w:tblGrid>
        <w:gridCol w:w="4860"/>
        <w:gridCol w:w="808"/>
        <w:gridCol w:w="710"/>
        <w:gridCol w:w="853"/>
        <w:gridCol w:w="710"/>
        <w:gridCol w:w="906"/>
      </w:tblGrid>
      <w:tr w:rsidR="00AA17E3" w:rsidRPr="00CB1C0A" w:rsidTr="00AA17E3">
        <w:trPr>
          <w:trHeight w:val="158"/>
        </w:trPr>
        <w:tc>
          <w:tcPr>
            <w:tcW w:w="2747" w:type="pct"/>
            <w:vMerge w:val="restart"/>
            <w:tcBorders>
              <w:top w:val="single" w:sz="4" w:space="0" w:color="auto"/>
            </w:tcBorders>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mil. eur</w:t>
            </w:r>
          </w:p>
        </w:tc>
        <w:tc>
          <w:tcPr>
            <w:tcW w:w="457" w:type="pct"/>
            <w:vMerge w:val="restart"/>
            <w:tcBorders>
              <w:top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2021 OS</w:t>
            </w:r>
          </w:p>
        </w:tc>
        <w:tc>
          <w:tcPr>
            <w:tcW w:w="401" w:type="pct"/>
            <w:vMerge w:val="restart"/>
            <w:tcBorders>
              <w:top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2022 N</w:t>
            </w:r>
          </w:p>
        </w:tc>
        <w:tc>
          <w:tcPr>
            <w:tcW w:w="1395" w:type="pct"/>
            <w:gridSpan w:val="3"/>
            <w:tcBorders>
              <w:top w:val="single" w:sz="4" w:space="0" w:color="auto"/>
              <w:bottom w:val="single" w:sz="4" w:space="0" w:color="auto"/>
            </w:tcBorders>
            <w:shd w:val="clear" w:color="auto" w:fill="auto"/>
            <w:noWrap/>
            <w:vAlign w:val="bottom"/>
            <w:hideMark/>
          </w:tcPr>
          <w:p w:rsidR="00AA17E3" w:rsidRPr="00CB1C0A" w:rsidRDefault="00AA17E3" w:rsidP="00AA17E3">
            <w:pPr>
              <w:spacing w:after="0" w:line="240" w:lineRule="auto"/>
              <w:jc w:val="center"/>
              <w:rPr>
                <w:rFonts w:ascii="Times New Roman" w:eastAsia="Times New Roman" w:hAnsi="Times New Roman" w:cs="Times New Roman"/>
                <w:color w:val="000000"/>
                <w:sz w:val="14"/>
                <w:szCs w:val="16"/>
                <w:lang w:eastAsia="sk-SK"/>
              </w:rPr>
            </w:pPr>
            <w:r w:rsidRPr="00CB1C0A">
              <w:rPr>
                <w:rFonts w:ascii="Times New Roman" w:eastAsia="Times New Roman" w:hAnsi="Times New Roman" w:cs="Times New Roman"/>
                <w:color w:val="000000"/>
                <w:sz w:val="14"/>
                <w:szCs w:val="16"/>
                <w:lang w:eastAsia="sk-SK"/>
              </w:rPr>
              <w:t>Medziročná zmena</w:t>
            </w:r>
          </w:p>
        </w:tc>
      </w:tr>
      <w:tr w:rsidR="00AA17E3" w:rsidRPr="00CB1C0A" w:rsidTr="00AA17E3">
        <w:trPr>
          <w:trHeight w:val="259"/>
        </w:trPr>
        <w:tc>
          <w:tcPr>
            <w:tcW w:w="2747" w:type="pct"/>
            <w:vMerge/>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457" w:type="pct"/>
            <w:vMerge/>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p>
        </w:tc>
        <w:tc>
          <w:tcPr>
            <w:tcW w:w="401" w:type="pct"/>
            <w:vMerge/>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p>
        </w:tc>
        <w:tc>
          <w:tcPr>
            <w:tcW w:w="883" w:type="pct"/>
            <w:gridSpan w:val="2"/>
            <w:tcBorders>
              <w:top w:val="single" w:sz="4" w:space="0" w:color="auto"/>
              <w:bottom w:val="single" w:sz="4" w:space="0" w:color="auto"/>
            </w:tcBorders>
            <w:shd w:val="clear" w:color="auto" w:fill="auto"/>
            <w:noWrap/>
            <w:vAlign w:val="bottom"/>
          </w:tcPr>
          <w:p w:rsidR="00AA17E3" w:rsidRPr="00CB1C0A" w:rsidRDefault="00AA17E3" w:rsidP="00AA17E3">
            <w:pPr>
              <w:spacing w:after="0" w:line="240" w:lineRule="auto"/>
              <w:jc w:val="center"/>
              <w:rPr>
                <w:rFonts w:ascii="Times New Roman" w:eastAsia="Times New Roman" w:hAnsi="Times New Roman" w:cs="Times New Roman"/>
                <w:color w:val="000000"/>
                <w:sz w:val="14"/>
                <w:szCs w:val="16"/>
                <w:lang w:eastAsia="sk-SK"/>
              </w:rPr>
            </w:pPr>
            <w:r w:rsidRPr="00CB1C0A">
              <w:rPr>
                <w:rFonts w:ascii="Times New Roman" w:eastAsia="Times New Roman" w:hAnsi="Times New Roman" w:cs="Times New Roman"/>
                <w:color w:val="000000"/>
                <w:sz w:val="14"/>
                <w:szCs w:val="16"/>
                <w:lang w:eastAsia="sk-SK"/>
              </w:rPr>
              <w:t>Nárast výdavkov a úspora</w:t>
            </w:r>
          </w:p>
        </w:tc>
        <w:tc>
          <w:tcPr>
            <w:tcW w:w="512" w:type="pct"/>
            <w:tcBorders>
              <w:top w:val="single" w:sz="4" w:space="0" w:color="auto"/>
              <w:bottom w:val="single" w:sz="4" w:space="0" w:color="auto"/>
            </w:tcBorders>
            <w:shd w:val="clear" w:color="auto" w:fill="auto"/>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4"/>
                <w:szCs w:val="16"/>
                <w:lang w:eastAsia="sk-SK"/>
              </w:rPr>
            </w:pPr>
            <w:r w:rsidRPr="00CB1C0A">
              <w:rPr>
                <w:rFonts w:ascii="Times New Roman" w:eastAsia="Times New Roman" w:hAnsi="Times New Roman" w:cs="Times New Roman"/>
                <w:color w:val="000000"/>
                <w:sz w:val="14"/>
                <w:szCs w:val="16"/>
                <w:lang w:eastAsia="sk-SK"/>
              </w:rPr>
              <w:t xml:space="preserve">z toho: </w:t>
            </w:r>
          </w:p>
          <w:p w:rsidR="00AA17E3" w:rsidRPr="00CB1C0A" w:rsidRDefault="00AA17E3" w:rsidP="00AA17E3">
            <w:pPr>
              <w:spacing w:after="0" w:line="240" w:lineRule="auto"/>
              <w:jc w:val="right"/>
              <w:rPr>
                <w:rFonts w:ascii="Times New Roman" w:eastAsia="Times New Roman" w:hAnsi="Times New Roman" w:cs="Times New Roman"/>
                <w:color w:val="000000"/>
                <w:sz w:val="14"/>
                <w:szCs w:val="16"/>
                <w:lang w:eastAsia="sk-SK"/>
              </w:rPr>
            </w:pPr>
            <w:r w:rsidRPr="00CB1C0A">
              <w:rPr>
                <w:rFonts w:ascii="Times New Roman" w:eastAsia="Times New Roman" w:hAnsi="Times New Roman" w:cs="Times New Roman"/>
                <w:color w:val="000000"/>
                <w:sz w:val="14"/>
                <w:szCs w:val="16"/>
                <w:lang w:eastAsia="sk-SK"/>
              </w:rPr>
              <w:t>len úspora</w:t>
            </w:r>
          </w:p>
        </w:tc>
      </w:tr>
      <w:tr w:rsidR="00AA17E3" w:rsidRPr="00CB1C0A" w:rsidTr="00AA17E3">
        <w:trPr>
          <w:trHeight w:val="243"/>
        </w:trPr>
        <w:tc>
          <w:tcPr>
            <w:tcW w:w="2747" w:type="pct"/>
            <w:vMerge/>
            <w:tcBorders>
              <w:bottom w:val="single" w:sz="4" w:space="0" w:color="auto"/>
            </w:tcBorders>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457" w:type="pct"/>
            <w:vMerge/>
            <w:tcBorders>
              <w:bottom w:val="single" w:sz="4" w:space="0" w:color="auto"/>
            </w:tcBorders>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p>
        </w:tc>
        <w:tc>
          <w:tcPr>
            <w:tcW w:w="401" w:type="pct"/>
            <w:vMerge/>
            <w:tcBorders>
              <w:bottom w:val="single" w:sz="4" w:space="0" w:color="auto"/>
            </w:tcBorders>
            <w:vAlign w:val="center"/>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p>
        </w:tc>
        <w:tc>
          <w:tcPr>
            <w:tcW w:w="482" w:type="pct"/>
            <w:tcBorders>
              <w:top w:val="single" w:sz="4" w:space="0" w:color="auto"/>
              <w:bottom w:val="single" w:sz="4" w:space="0" w:color="auto"/>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mil. eur</w:t>
            </w:r>
          </w:p>
        </w:tc>
        <w:tc>
          <w:tcPr>
            <w:tcW w:w="401" w:type="pct"/>
            <w:tcBorders>
              <w:top w:val="single" w:sz="4" w:space="0" w:color="auto"/>
              <w:bottom w:val="single" w:sz="4" w:space="0" w:color="auto"/>
            </w:tcBorders>
            <w:shd w:val="clear" w:color="auto" w:fill="auto"/>
            <w:vAlign w:val="center"/>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w:t>
            </w:r>
          </w:p>
        </w:tc>
        <w:tc>
          <w:tcPr>
            <w:tcW w:w="512" w:type="pct"/>
            <w:tcBorders>
              <w:top w:val="single" w:sz="4" w:space="0" w:color="auto"/>
              <w:bottom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mil. eur</w:t>
            </w:r>
          </w:p>
        </w:tc>
      </w:tr>
      <w:tr w:rsidR="00AA17E3" w:rsidRPr="00CB1C0A" w:rsidTr="00AA17E3">
        <w:trPr>
          <w:trHeight w:val="304"/>
        </w:trPr>
        <w:tc>
          <w:tcPr>
            <w:tcW w:w="2747" w:type="pct"/>
            <w:tcBorders>
              <w:top w:val="single" w:sz="4" w:space="0" w:color="auto"/>
            </w:tcBorders>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 xml:space="preserve">Zdravotná starostlivosť </w:t>
            </w:r>
          </w:p>
        </w:tc>
        <w:tc>
          <w:tcPr>
            <w:tcW w:w="457" w:type="pct"/>
            <w:tcBorders>
              <w:top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5 296</w:t>
            </w:r>
          </w:p>
        </w:tc>
        <w:tc>
          <w:tcPr>
            <w:tcW w:w="401" w:type="pct"/>
            <w:tcBorders>
              <w:top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5 422</w:t>
            </w:r>
          </w:p>
        </w:tc>
        <w:tc>
          <w:tcPr>
            <w:tcW w:w="482" w:type="pct"/>
            <w:tcBorders>
              <w:top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126</w:t>
            </w:r>
          </w:p>
        </w:tc>
        <w:tc>
          <w:tcPr>
            <w:tcW w:w="401" w:type="pct"/>
            <w:tcBorders>
              <w:top w:val="single" w:sz="4" w:space="0" w:color="auto"/>
            </w:tcBorders>
            <w:shd w:val="clear" w:color="auto" w:fill="auto"/>
            <w:noWrap/>
            <w:vAlign w:val="bottom"/>
            <w:hideMark/>
          </w:tcPr>
          <w:p w:rsidR="00AA17E3" w:rsidRPr="00043E7B"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043E7B">
              <w:rPr>
                <w:rFonts w:ascii="Times New Roman" w:eastAsia="Times New Roman" w:hAnsi="Times New Roman" w:cs="Times New Roman"/>
                <w:b/>
                <w:i/>
                <w:iCs/>
                <w:color w:val="000000"/>
                <w:sz w:val="16"/>
                <w:szCs w:val="18"/>
                <w:lang w:eastAsia="cs-CZ"/>
              </w:rPr>
              <w:t>2%</w:t>
            </w:r>
          </w:p>
        </w:tc>
        <w:tc>
          <w:tcPr>
            <w:tcW w:w="512" w:type="pct"/>
            <w:tcBorders>
              <w:top w:val="single" w:sz="4" w:space="0" w:color="auto"/>
            </w:tcBorders>
            <w:shd w:val="clear" w:color="auto" w:fill="auto"/>
            <w:noWrap/>
            <w:vAlign w:val="bottom"/>
            <w:hideMark/>
          </w:tcPr>
          <w:p w:rsidR="00AA17E3" w:rsidRPr="00043E7B"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043E7B">
              <w:rPr>
                <w:rFonts w:ascii="Times New Roman" w:eastAsia="Times New Roman" w:hAnsi="Times New Roman" w:cs="Times New Roman"/>
                <w:b/>
                <w:color w:val="000000"/>
                <w:sz w:val="16"/>
                <w:szCs w:val="18"/>
                <w:lang w:eastAsia="cs-CZ"/>
              </w:rPr>
              <w:t>-249</w:t>
            </w:r>
          </w:p>
        </w:tc>
      </w:tr>
      <w:tr w:rsidR="00AA17E3" w:rsidRPr="00CB1C0A" w:rsidTr="00AA17E3">
        <w:trPr>
          <w:trHeight w:val="202"/>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Lieky a dietetické potraviny</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1 090</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1 030</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-60</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-5%</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-132</w:t>
            </w:r>
          </w:p>
        </w:tc>
      </w:tr>
      <w:tr w:rsidR="00AA17E3" w:rsidRPr="00CB1C0A" w:rsidTr="00AA17E3">
        <w:trPr>
          <w:trHeight w:val="246"/>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Zdravotnícke pomôcky</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171</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156</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-15</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-9%</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-16</w:t>
            </w:r>
          </w:p>
        </w:tc>
      </w:tr>
      <w:tr w:rsidR="00AA17E3" w:rsidRPr="00CB1C0A" w:rsidTr="00AA17E3">
        <w:trPr>
          <w:trHeight w:val="147"/>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Ústavná zdravotná starostlivosť</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1 612</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1 729</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117</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7%</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-11</w:t>
            </w:r>
          </w:p>
        </w:tc>
      </w:tr>
      <w:tr w:rsidR="00AA17E3" w:rsidRPr="00CB1C0A" w:rsidTr="00AA17E3">
        <w:trPr>
          <w:trHeight w:val="206"/>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Všeobecná ambulantná starostlivosť</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336</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370</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35</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10%</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106"/>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SVLZ*</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681</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662</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-19</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-3%</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-64</w:t>
            </w:r>
          </w:p>
        </w:tc>
      </w:tr>
      <w:tr w:rsidR="00AA17E3" w:rsidRPr="00CB1C0A" w:rsidTr="00AA17E3">
        <w:trPr>
          <w:trHeight w:val="184"/>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Špecializovaná ambulantná starostlivosť</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1 077</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1 129</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52</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5%</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-26</w:t>
            </w:r>
          </w:p>
        </w:tc>
      </w:tr>
      <w:tr w:rsidR="00AA17E3" w:rsidRPr="00CB1C0A" w:rsidTr="00AA17E3">
        <w:trPr>
          <w:trHeight w:val="244"/>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Pohotovostná služba</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17</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18</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4%</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143"/>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Záchranná zdravotná služba</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140</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148</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8</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6%</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222"/>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Kúpeľná starostlivosť</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41</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46</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4</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11%</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102"/>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Doprava</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36</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37</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181"/>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Vrtuľníková záchranná služba</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13</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14</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1</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5%</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260"/>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 xml:space="preserve">     Ostatné subjekty a iná ZS</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82</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84</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w:t>
            </w:r>
          </w:p>
        </w:tc>
        <w:tc>
          <w:tcPr>
            <w:tcW w:w="51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0</w:t>
            </w:r>
          </w:p>
        </w:tc>
      </w:tr>
      <w:tr w:rsidR="00AA17E3" w:rsidRPr="00CB1C0A" w:rsidTr="00AA17E3">
        <w:trPr>
          <w:trHeight w:val="140"/>
        </w:trPr>
        <w:tc>
          <w:tcPr>
            <w:tcW w:w="2747" w:type="pct"/>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Iné výdavky VZP (nezahŕňa FO a iné úhrady ZP)</w:t>
            </w:r>
          </w:p>
        </w:tc>
        <w:tc>
          <w:tcPr>
            <w:tcW w:w="457"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246</w:t>
            </w:r>
          </w:p>
        </w:tc>
        <w:tc>
          <w:tcPr>
            <w:tcW w:w="401"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272</w:t>
            </w:r>
          </w:p>
        </w:tc>
        <w:tc>
          <w:tcPr>
            <w:tcW w:w="482" w:type="pct"/>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26</w:t>
            </w:r>
          </w:p>
        </w:tc>
        <w:tc>
          <w:tcPr>
            <w:tcW w:w="401" w:type="pct"/>
            <w:shd w:val="clear" w:color="auto" w:fill="auto"/>
            <w:noWrap/>
            <w:vAlign w:val="bottom"/>
            <w:hideMark/>
          </w:tcPr>
          <w:p w:rsidR="00AA17E3" w:rsidRPr="00043E7B"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043E7B">
              <w:rPr>
                <w:rFonts w:ascii="Times New Roman" w:eastAsia="Times New Roman" w:hAnsi="Times New Roman" w:cs="Times New Roman"/>
                <w:b/>
                <w:i/>
                <w:iCs/>
                <w:color w:val="000000"/>
                <w:sz w:val="16"/>
                <w:szCs w:val="18"/>
                <w:lang w:eastAsia="cs-CZ"/>
              </w:rPr>
              <w:t>11%</w:t>
            </w:r>
          </w:p>
        </w:tc>
        <w:tc>
          <w:tcPr>
            <w:tcW w:w="512" w:type="pct"/>
            <w:shd w:val="clear" w:color="auto" w:fill="auto"/>
            <w:noWrap/>
            <w:vAlign w:val="bottom"/>
            <w:hideMark/>
          </w:tcPr>
          <w:p w:rsidR="00AA17E3" w:rsidRPr="00043E7B"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043E7B">
              <w:rPr>
                <w:rFonts w:ascii="Times New Roman" w:eastAsia="Times New Roman" w:hAnsi="Times New Roman" w:cs="Times New Roman"/>
                <w:b/>
                <w:color w:val="000000"/>
                <w:sz w:val="16"/>
                <w:szCs w:val="18"/>
                <w:lang w:eastAsia="cs-CZ"/>
              </w:rPr>
              <w:t>0</w:t>
            </w:r>
          </w:p>
        </w:tc>
      </w:tr>
      <w:tr w:rsidR="00AA17E3" w:rsidRPr="00CB1C0A" w:rsidTr="00BD773F">
        <w:trPr>
          <w:trHeight w:val="218"/>
        </w:trPr>
        <w:tc>
          <w:tcPr>
            <w:tcW w:w="2747" w:type="pct"/>
            <w:tcBorders>
              <w:bottom w:val="single" w:sz="4" w:space="0" w:color="auto"/>
            </w:tcBorders>
            <w:shd w:val="clear" w:color="auto" w:fill="auto"/>
            <w:noWrap/>
            <w:vAlign w:val="bottom"/>
            <w:hideMark/>
          </w:tcPr>
          <w:p w:rsidR="00AA17E3" w:rsidRPr="00CB1C0A" w:rsidRDefault="00AA17E3" w:rsidP="00AA17E3">
            <w:pPr>
              <w:spacing w:after="0" w:line="240" w:lineRule="auto"/>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VZP spolu (nezahŕňa FO a iné úhrady ZP)</w:t>
            </w:r>
          </w:p>
        </w:tc>
        <w:tc>
          <w:tcPr>
            <w:tcW w:w="457" w:type="pct"/>
            <w:tcBorders>
              <w:bottom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5 542</w:t>
            </w:r>
          </w:p>
        </w:tc>
        <w:tc>
          <w:tcPr>
            <w:tcW w:w="401" w:type="pct"/>
            <w:tcBorders>
              <w:bottom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5 694</w:t>
            </w:r>
          </w:p>
        </w:tc>
        <w:tc>
          <w:tcPr>
            <w:tcW w:w="482" w:type="pct"/>
            <w:tcBorders>
              <w:bottom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152</w:t>
            </w:r>
          </w:p>
        </w:tc>
        <w:tc>
          <w:tcPr>
            <w:tcW w:w="401" w:type="pct"/>
            <w:tcBorders>
              <w:bottom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i/>
                <w:iCs/>
                <w:color w:val="000000"/>
                <w:sz w:val="16"/>
                <w:szCs w:val="18"/>
                <w:lang w:eastAsia="sk-SK"/>
              </w:rPr>
            </w:pPr>
            <w:r w:rsidRPr="00CB1C0A">
              <w:rPr>
                <w:rFonts w:ascii="Times New Roman" w:eastAsia="Times New Roman" w:hAnsi="Times New Roman" w:cs="Times New Roman"/>
                <w:b/>
                <w:bCs/>
                <w:i/>
                <w:iCs/>
                <w:color w:val="000000"/>
                <w:sz w:val="16"/>
                <w:szCs w:val="18"/>
                <w:lang w:eastAsia="cs-CZ"/>
              </w:rPr>
              <w:t>2,7%</w:t>
            </w:r>
          </w:p>
        </w:tc>
        <w:tc>
          <w:tcPr>
            <w:tcW w:w="512" w:type="pct"/>
            <w:tcBorders>
              <w:bottom w:val="single" w:sz="4" w:space="0" w:color="auto"/>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-249</w:t>
            </w:r>
          </w:p>
        </w:tc>
      </w:tr>
      <w:tr w:rsidR="00AA17E3" w:rsidRPr="00CB1C0A" w:rsidTr="00BD773F">
        <w:trPr>
          <w:trHeight w:val="101"/>
        </w:trPr>
        <w:tc>
          <w:tcPr>
            <w:tcW w:w="5000" w:type="pct"/>
            <w:gridSpan w:val="6"/>
            <w:tcBorders>
              <w:top w:val="single" w:sz="4" w:space="0" w:color="auto"/>
            </w:tcBorders>
            <w:shd w:val="clear" w:color="auto" w:fill="auto"/>
            <w:vAlign w:val="bottom"/>
            <w:hideMark/>
          </w:tcPr>
          <w:p w:rsidR="00AA17E3" w:rsidRPr="00CB1C0A" w:rsidRDefault="00AA17E3" w:rsidP="00FD61F0">
            <w:pPr>
              <w:spacing w:after="0" w:line="240" w:lineRule="auto"/>
              <w:rPr>
                <w:rFonts w:ascii="Times New Roman" w:eastAsia="Times New Roman" w:hAnsi="Times New Roman" w:cs="Times New Roman"/>
                <w:i/>
                <w:color w:val="FF0000"/>
                <w:sz w:val="16"/>
                <w:szCs w:val="16"/>
                <w:lang w:eastAsia="sk-SK"/>
              </w:rPr>
            </w:pPr>
            <w:r w:rsidRPr="00CB1C0A">
              <w:rPr>
                <w:rFonts w:ascii="Times New Roman" w:eastAsia="Times New Roman" w:hAnsi="Times New Roman" w:cs="Times New Roman"/>
                <w:i/>
                <w:color w:val="000000"/>
                <w:sz w:val="16"/>
                <w:szCs w:val="16"/>
                <w:lang w:eastAsia="sk-SK"/>
              </w:rPr>
              <w:t>*spoločné vyšetrovacie a liečebné zložky (napr. CT a MR)                                                                                                     Zdroj: MF SR</w:t>
            </w:r>
            <w:r w:rsidRPr="00CB1C0A">
              <w:rPr>
                <w:rFonts w:ascii="Times New Roman" w:eastAsia="Times New Roman" w:hAnsi="Times New Roman" w:cs="Times New Roman"/>
                <w:i/>
                <w:color w:val="000000"/>
                <w:sz w:val="16"/>
                <w:szCs w:val="16"/>
                <w:lang w:eastAsia="sk-SK"/>
              </w:rPr>
              <w:br/>
              <w:t>Pozn.: údaje v položkách Iné výdavky VZP a Zdravotná starostlivosť zohľadňujú aj nové výdavkové a úsporné opatrenia v danom roku.</w:t>
            </w:r>
            <w:r w:rsidRPr="00CB1C0A">
              <w:rPr>
                <w:rFonts w:ascii="Times New Roman" w:eastAsia="Times New Roman" w:hAnsi="Times New Roman" w:cs="Times New Roman"/>
                <w:i/>
                <w:color w:val="FF0000"/>
                <w:sz w:val="16"/>
                <w:szCs w:val="16"/>
                <w:lang w:eastAsia="sk-SK"/>
              </w:rPr>
              <w:t xml:space="preserve">  </w:t>
            </w:r>
          </w:p>
          <w:p w:rsidR="00AA17E3" w:rsidRPr="00CB1C0A" w:rsidRDefault="00AA17E3" w:rsidP="00FD61F0">
            <w:pPr>
              <w:spacing w:after="0" w:line="240" w:lineRule="auto"/>
              <w:jc w:val="right"/>
              <w:rPr>
                <w:rFonts w:ascii="Times New Roman" w:eastAsia="Times New Roman" w:hAnsi="Times New Roman" w:cs="Times New Roman"/>
                <w:color w:val="000000"/>
                <w:sz w:val="16"/>
                <w:szCs w:val="16"/>
                <w:lang w:eastAsia="sk-SK"/>
              </w:rPr>
            </w:pPr>
          </w:p>
        </w:tc>
      </w:tr>
    </w:tbl>
    <w:p w:rsidR="00043E7B" w:rsidRDefault="00043E7B" w:rsidP="00FD61F0">
      <w:pPr>
        <w:spacing w:after="0"/>
        <w:rPr>
          <w:rFonts w:ascii="Times New Roman" w:eastAsiaTheme="majorEastAsia" w:hAnsi="Times New Roman" w:cs="Times New Roman"/>
          <w:b/>
          <w:color w:val="5B9BD5" w:themeColor="accent1"/>
          <w:sz w:val="24"/>
          <w:szCs w:val="24"/>
          <w:lang w:eastAsia="cs-CZ"/>
        </w:rPr>
      </w:pPr>
    </w:p>
    <w:p w:rsidR="00AA17E3" w:rsidRPr="0040790F" w:rsidRDefault="00AA17E3" w:rsidP="00FD61F0">
      <w:pPr>
        <w:spacing w:after="0"/>
        <w:rPr>
          <w:rFonts w:ascii="Times New Roman" w:eastAsiaTheme="majorEastAsia" w:hAnsi="Times New Roman" w:cs="Times New Roman"/>
          <w:b/>
          <w:color w:val="5B9BD5" w:themeColor="accent1"/>
          <w:sz w:val="24"/>
          <w:szCs w:val="24"/>
          <w:lang w:eastAsia="cs-CZ"/>
        </w:rPr>
      </w:pPr>
      <w:r w:rsidRPr="0040790F">
        <w:rPr>
          <w:rFonts w:ascii="Times New Roman" w:eastAsiaTheme="majorEastAsia" w:hAnsi="Times New Roman" w:cs="Times New Roman"/>
          <w:b/>
          <w:color w:val="5B9BD5" w:themeColor="accent1"/>
          <w:sz w:val="24"/>
          <w:szCs w:val="24"/>
          <w:lang w:eastAsia="cs-CZ"/>
        </w:rPr>
        <w:t>Výdavky bez zmien politík</w:t>
      </w:r>
    </w:p>
    <w:p w:rsidR="00043E7B" w:rsidRDefault="00043E7B" w:rsidP="00043E7B">
      <w:pPr>
        <w:spacing w:after="0" w:line="240" w:lineRule="auto"/>
        <w:jc w:val="both"/>
        <w:rPr>
          <w:rFonts w:ascii="Times New Roman" w:eastAsia="Calibri" w:hAnsi="Times New Roman" w:cs="Times New Roman"/>
          <w:sz w:val="24"/>
        </w:rPr>
      </w:pPr>
    </w:p>
    <w:p w:rsidR="00AA17E3" w:rsidRDefault="00AA17E3" w:rsidP="00043E7B">
      <w:pPr>
        <w:spacing w:after="0" w:line="240" w:lineRule="auto"/>
        <w:jc w:val="both"/>
        <w:rPr>
          <w:rFonts w:ascii="Times New Roman" w:eastAsia="Calibri" w:hAnsi="Times New Roman" w:cs="Times New Roman"/>
          <w:sz w:val="24"/>
        </w:rPr>
      </w:pPr>
      <w:r w:rsidRPr="00CB1C0A">
        <w:rPr>
          <w:rFonts w:ascii="Times New Roman" w:eastAsia="Calibri" w:hAnsi="Times New Roman" w:cs="Times New Roman"/>
          <w:sz w:val="24"/>
        </w:rPr>
        <w:t xml:space="preserve">Bez zmien v politikách sa rast výdavkov v roku 2022 odhaduje na 219 mil. eur. Nemzdové výdavky rastú o infláciu, mzdové výdavky zdravotníckych pracovníkov automaticky rastú podľa platnej legislatívy (tzv. platový automat) a mzdové výdavky ostatného personálu rastú podľa priemernej mzdy v hospodárstve, v súlade s manuálom na tvorbu scenára nezmenených </w:t>
      </w:r>
      <w:r w:rsidRPr="007E7AFC">
        <w:rPr>
          <w:rFonts w:ascii="Times New Roman" w:eastAsia="Calibri" w:hAnsi="Times New Roman" w:cs="Times New Roman"/>
          <w:sz w:val="24"/>
        </w:rPr>
        <w:t>politík.</w:t>
      </w:r>
      <w:r w:rsidRPr="007E7AFC">
        <w:rPr>
          <w:rFonts w:ascii="Times New Roman" w:eastAsia="Calibri" w:hAnsi="Times New Roman" w:cs="Times New Roman"/>
          <w:sz w:val="24"/>
          <w:vertAlign w:val="superscript"/>
        </w:rPr>
        <w:footnoteReference w:id="54"/>
      </w:r>
      <w:r w:rsidRPr="007E7AFC">
        <w:rPr>
          <w:rFonts w:ascii="Times New Roman" w:eastAsia="Calibri" w:hAnsi="Times New Roman" w:cs="Times New Roman"/>
          <w:sz w:val="24"/>
        </w:rPr>
        <w:t xml:space="preserve"> Bázou</w:t>
      </w:r>
      <w:r w:rsidRPr="00CB1C0A">
        <w:rPr>
          <w:rFonts w:ascii="Times New Roman" w:eastAsia="Calibri" w:hAnsi="Times New Roman" w:cs="Times New Roman"/>
          <w:sz w:val="24"/>
        </w:rPr>
        <w:t>, od ktorej sa odvíja nárast miezd, je celý očakávaný balík skutočne vyplatených výdavkov na mzdy pracovníkov vrátane, príplatkov a náhrad miezd vyplývajúcich zo zákona a kolektívnych zmlúv (č.</w:t>
      </w:r>
      <w:r w:rsidR="00043E7B">
        <w:rPr>
          <w:rFonts w:ascii="Times New Roman" w:eastAsia="Calibri" w:hAnsi="Times New Roman" w:cs="Times New Roman"/>
          <w:sz w:val="24"/>
        </w:rPr>
        <w:t xml:space="preserve"> </w:t>
      </w:r>
      <w:r w:rsidRPr="00CB1C0A">
        <w:rPr>
          <w:rFonts w:ascii="Times New Roman" w:eastAsia="Calibri" w:hAnsi="Times New Roman" w:cs="Times New Roman"/>
          <w:sz w:val="24"/>
        </w:rPr>
        <w:t>2</w:t>
      </w:r>
      <w:r w:rsidRPr="00CB1C0A">
        <w:rPr>
          <w:rFonts w:ascii="Times New Roman" w:hAnsi="Times New Roman" w:cs="Times New Roman"/>
          <w:noProof/>
          <w:sz w:val="24"/>
          <w:lang w:eastAsia="sk-SK"/>
        </w:rPr>
        <w:t>–</w:t>
      </w:r>
      <w:r w:rsidRPr="00CB1C0A">
        <w:rPr>
          <w:rFonts w:ascii="Times New Roman" w:eastAsia="Calibri" w:hAnsi="Times New Roman" w:cs="Times New Roman"/>
          <w:sz w:val="24"/>
        </w:rPr>
        <w:t>5). Iné výdavky verejného zdravotného poistenia zahŕňajú povinné príspevky vybraným inštitúciám (od roku 2022 vrátane príspevku na novovzniknutý Inštitút pre hodnotu a technológie v zdravotníctve) a výdavky na správu zdravotných poisťovní (č. 6). Rozpočet zohľadňuje vplyv starnutia populácie a nárast chorobnosti, ktoré sa prejavujú napr. vyšším užívaním liekov alebo spotrebovanej zdravotnej starostlivosti. (č. 7, č. 8). V nasledujúcej tabuľke sú uvedené kumulatívne nárasty výdavkov, teda pre všetky roky 2022, 2023 a 2024 ide o nárast voči roku 2021.</w:t>
      </w: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Default="00FD61F0" w:rsidP="00043E7B">
      <w:pPr>
        <w:spacing w:after="0" w:line="240" w:lineRule="auto"/>
        <w:jc w:val="both"/>
        <w:rPr>
          <w:rFonts w:ascii="Times New Roman" w:eastAsia="Calibri" w:hAnsi="Times New Roman" w:cs="Times New Roman"/>
          <w:sz w:val="24"/>
        </w:rPr>
      </w:pPr>
    </w:p>
    <w:p w:rsidR="00FD61F0" w:rsidRPr="00CB1C0A" w:rsidRDefault="00FD61F0" w:rsidP="00043E7B">
      <w:pPr>
        <w:spacing w:after="0" w:line="240" w:lineRule="auto"/>
        <w:jc w:val="both"/>
        <w:rPr>
          <w:rFonts w:ascii="Times New Roman" w:eastAsia="Calibri" w:hAnsi="Times New Roman" w:cs="Times New Roman"/>
          <w:sz w:val="24"/>
        </w:rPr>
      </w:pPr>
    </w:p>
    <w:p w:rsidR="00AA17E3" w:rsidRPr="00CB1C0A" w:rsidRDefault="00AA17E3" w:rsidP="00AA17E3">
      <w:pPr>
        <w:spacing w:after="0" w:line="240" w:lineRule="auto"/>
        <w:jc w:val="both"/>
        <w:rPr>
          <w:rFonts w:ascii="Times New Roman" w:eastAsia="Times New Roman" w:hAnsi="Times New Roman" w:cs="Times New Roman"/>
          <w:b/>
          <w:color w:val="5B9BD5" w:themeColor="accent1"/>
          <w:sz w:val="24"/>
          <w:szCs w:val="24"/>
          <w:lang w:eastAsia="cs-CZ"/>
        </w:rPr>
      </w:pPr>
    </w:p>
    <w:p w:rsidR="00AA17E3" w:rsidRPr="00CB1C0A" w:rsidRDefault="00AA17E3" w:rsidP="00AA17E3">
      <w:pPr>
        <w:keepNext/>
        <w:keepLines/>
        <w:spacing w:after="0" w:line="240" w:lineRule="auto"/>
        <w:outlineLvl w:val="4"/>
        <w:rPr>
          <w:rFonts w:ascii="Times New Roman" w:hAnsi="Times New Roman" w:cs="Times New Roman"/>
          <w:b/>
          <w:iCs/>
          <w:color w:val="5B9BD5" w:themeColor="accent1"/>
          <w:sz w:val="20"/>
          <w:szCs w:val="20"/>
        </w:rPr>
      </w:pPr>
      <w:bookmarkStart w:id="354" w:name="_Toc53049343"/>
      <w:bookmarkStart w:id="355" w:name="_Toc53049875"/>
      <w:bookmarkStart w:id="356" w:name="_Toc84528428"/>
      <w:bookmarkStart w:id="357" w:name="_Toc84845304"/>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80</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Zmeny výdavkov voči roku 2021 - VZP - bez zmien politík</w:t>
      </w:r>
      <w:bookmarkEnd w:id="354"/>
      <w:bookmarkEnd w:id="355"/>
      <w:bookmarkEnd w:id="356"/>
      <w:bookmarkEnd w:id="357"/>
    </w:p>
    <w:tbl>
      <w:tblPr>
        <w:tblW w:w="5000" w:type="pct"/>
        <w:tblCellMar>
          <w:left w:w="70" w:type="dxa"/>
          <w:right w:w="70" w:type="dxa"/>
        </w:tblCellMar>
        <w:tblLook w:val="04A0" w:firstRow="1" w:lastRow="0" w:firstColumn="1" w:lastColumn="0" w:noHBand="0" w:noVBand="1"/>
      </w:tblPr>
      <w:tblGrid>
        <w:gridCol w:w="608"/>
        <w:gridCol w:w="6189"/>
        <w:gridCol w:w="601"/>
        <w:gridCol w:w="836"/>
        <w:gridCol w:w="838"/>
      </w:tblGrid>
      <w:tr w:rsidR="00AA17E3" w:rsidRPr="00CB1C0A" w:rsidTr="00AA17E3">
        <w:trPr>
          <w:trHeight w:val="251"/>
          <w:tblHeader/>
        </w:trPr>
        <w:tc>
          <w:tcPr>
            <w:tcW w:w="335" w:type="pct"/>
            <w:tcBorders>
              <w:top w:val="single" w:sz="4" w:space="0" w:color="auto"/>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č.</w:t>
            </w:r>
          </w:p>
        </w:tc>
        <w:tc>
          <w:tcPr>
            <w:tcW w:w="3411" w:type="pct"/>
            <w:tcBorders>
              <w:top w:val="single" w:sz="4" w:space="0" w:color="auto"/>
              <w:bottom w:val="single" w:sz="4" w:space="0" w:color="auto"/>
            </w:tcBorders>
            <w:shd w:val="clear" w:color="auto" w:fill="auto"/>
            <w:vAlign w:val="bottom"/>
            <w:hideMark/>
          </w:tcPr>
          <w:p w:rsidR="00AA17E3" w:rsidRPr="00CB1C0A" w:rsidRDefault="00AA17E3" w:rsidP="00AA17E3">
            <w:pPr>
              <w:rPr>
                <w:rFonts w:ascii="Times New Roman" w:hAnsi="Times New Roman" w:cs="Times New Roman"/>
                <w:color w:val="000000"/>
                <w:sz w:val="16"/>
                <w:szCs w:val="16"/>
                <w:highlight w:val="yellow"/>
                <w:lang w:eastAsia="sk-SK"/>
              </w:rPr>
            </w:pPr>
            <w:r w:rsidRPr="00CB1C0A">
              <w:rPr>
                <w:rFonts w:ascii="Times New Roman" w:hAnsi="Times New Roman" w:cs="Times New Roman"/>
                <w:color w:val="000000"/>
                <w:sz w:val="16"/>
                <w:szCs w:val="16"/>
                <w:lang w:eastAsia="sk-SK"/>
              </w:rPr>
              <w:t>mil. eur</w:t>
            </w:r>
          </w:p>
        </w:tc>
        <w:tc>
          <w:tcPr>
            <w:tcW w:w="331" w:type="pct"/>
            <w:tcBorders>
              <w:top w:val="single" w:sz="4" w:space="0" w:color="auto"/>
              <w:bottom w:val="single" w:sz="4" w:space="0" w:color="auto"/>
            </w:tcBorders>
            <w:shd w:val="clear" w:color="auto" w:fill="auto"/>
            <w:vAlign w:val="center"/>
            <w:hideMark/>
          </w:tcPr>
          <w:p w:rsidR="00AA17E3" w:rsidRPr="00CB1C0A" w:rsidRDefault="00AA17E3" w:rsidP="00AA17E3">
            <w:pPr>
              <w:jc w:val="right"/>
              <w:rPr>
                <w:rFonts w:ascii="Times New Roman" w:hAnsi="Times New Roman" w:cs="Times New Roman"/>
                <w:b/>
                <w:color w:val="000000"/>
                <w:sz w:val="16"/>
                <w:szCs w:val="16"/>
                <w:lang w:eastAsia="sk-SK"/>
              </w:rPr>
            </w:pPr>
            <w:r w:rsidRPr="00CB1C0A">
              <w:rPr>
                <w:rFonts w:ascii="Times New Roman" w:hAnsi="Times New Roman" w:cs="Times New Roman"/>
                <w:b/>
                <w:sz w:val="16"/>
                <w:szCs w:val="16"/>
              </w:rPr>
              <w:t>2022</w:t>
            </w:r>
          </w:p>
        </w:tc>
        <w:tc>
          <w:tcPr>
            <w:tcW w:w="461" w:type="pct"/>
            <w:tcBorders>
              <w:top w:val="single" w:sz="4" w:space="0" w:color="auto"/>
              <w:bottom w:val="single" w:sz="4" w:space="0" w:color="auto"/>
            </w:tcBorders>
            <w:shd w:val="clear" w:color="auto" w:fill="auto"/>
            <w:vAlign w:val="center"/>
            <w:hideMark/>
          </w:tcPr>
          <w:p w:rsidR="00AA17E3" w:rsidRPr="00CB1C0A" w:rsidRDefault="00AA17E3" w:rsidP="00AA17E3">
            <w:pPr>
              <w:jc w:val="right"/>
              <w:rPr>
                <w:rFonts w:ascii="Times New Roman" w:hAnsi="Times New Roman" w:cs="Times New Roman"/>
                <w:b/>
                <w:color w:val="000000"/>
                <w:sz w:val="16"/>
                <w:szCs w:val="16"/>
                <w:lang w:eastAsia="sk-SK"/>
              </w:rPr>
            </w:pPr>
            <w:r w:rsidRPr="00CB1C0A">
              <w:rPr>
                <w:rFonts w:ascii="Times New Roman" w:hAnsi="Times New Roman" w:cs="Times New Roman"/>
                <w:b/>
                <w:sz w:val="16"/>
                <w:szCs w:val="16"/>
              </w:rPr>
              <w:t>2023</w:t>
            </w:r>
          </w:p>
        </w:tc>
        <w:tc>
          <w:tcPr>
            <w:tcW w:w="461" w:type="pct"/>
            <w:tcBorders>
              <w:top w:val="single" w:sz="4" w:space="0" w:color="auto"/>
              <w:bottom w:val="single" w:sz="4" w:space="0" w:color="auto"/>
            </w:tcBorders>
            <w:shd w:val="clear" w:color="auto" w:fill="auto"/>
            <w:vAlign w:val="center"/>
            <w:hideMark/>
          </w:tcPr>
          <w:p w:rsidR="00AA17E3" w:rsidRPr="00CB1C0A" w:rsidRDefault="00AA17E3" w:rsidP="00AA17E3">
            <w:pPr>
              <w:jc w:val="right"/>
              <w:rPr>
                <w:rFonts w:ascii="Times New Roman" w:hAnsi="Times New Roman" w:cs="Times New Roman"/>
                <w:b/>
                <w:color w:val="000000"/>
                <w:sz w:val="16"/>
                <w:szCs w:val="16"/>
                <w:lang w:eastAsia="sk-SK"/>
              </w:rPr>
            </w:pPr>
            <w:r w:rsidRPr="00CB1C0A">
              <w:rPr>
                <w:rFonts w:ascii="Times New Roman" w:hAnsi="Times New Roman" w:cs="Times New Roman"/>
                <w:b/>
                <w:sz w:val="16"/>
                <w:szCs w:val="16"/>
              </w:rPr>
              <w:t>2024</w:t>
            </w:r>
          </w:p>
        </w:tc>
      </w:tr>
      <w:tr w:rsidR="00AA17E3" w:rsidRPr="00CB1C0A" w:rsidTr="00AA17E3">
        <w:trPr>
          <w:trHeight w:val="239"/>
        </w:trPr>
        <w:tc>
          <w:tcPr>
            <w:tcW w:w="335" w:type="pct"/>
            <w:tcBorders>
              <w:top w:val="single" w:sz="4" w:space="0" w:color="auto"/>
            </w:tcBorders>
            <w:shd w:val="clear" w:color="auto" w:fill="auto"/>
            <w:noWrap/>
            <w:vAlign w:val="bottom"/>
            <w:hideMark/>
          </w:tcPr>
          <w:p w:rsidR="00AA17E3" w:rsidRPr="00CB1C0A" w:rsidRDefault="00AA17E3" w:rsidP="00AA17E3">
            <w:pPr>
              <w:rPr>
                <w:rFonts w:ascii="Times New Roman" w:hAnsi="Times New Roman" w:cs="Times New Roman"/>
                <w:b/>
                <w:bCs/>
                <w:color w:val="000000"/>
                <w:sz w:val="16"/>
                <w:szCs w:val="16"/>
                <w:lang w:eastAsia="sk-SK"/>
              </w:rPr>
            </w:pPr>
            <w:r w:rsidRPr="00CB1C0A">
              <w:rPr>
                <w:rFonts w:ascii="Times New Roman" w:hAnsi="Times New Roman" w:cs="Times New Roman"/>
                <w:b/>
                <w:bCs/>
                <w:color w:val="000000"/>
                <w:sz w:val="16"/>
                <w:szCs w:val="16"/>
                <w:lang w:eastAsia="sk-SK"/>
              </w:rPr>
              <w:t> </w:t>
            </w:r>
          </w:p>
        </w:tc>
        <w:tc>
          <w:tcPr>
            <w:tcW w:w="3411" w:type="pct"/>
            <w:tcBorders>
              <w:top w:val="single" w:sz="4" w:space="0" w:color="auto"/>
            </w:tcBorders>
            <w:shd w:val="clear" w:color="auto" w:fill="auto"/>
            <w:noWrap/>
            <w:vAlign w:val="bottom"/>
            <w:hideMark/>
          </w:tcPr>
          <w:p w:rsidR="00AA17E3" w:rsidRPr="00CB1C0A" w:rsidRDefault="00AA17E3" w:rsidP="00AA17E3">
            <w:pPr>
              <w:rPr>
                <w:rFonts w:ascii="Times New Roman" w:hAnsi="Times New Roman" w:cs="Times New Roman"/>
                <w:b/>
                <w:bCs/>
                <w:color w:val="000000"/>
                <w:sz w:val="16"/>
                <w:szCs w:val="16"/>
                <w:lang w:eastAsia="sk-SK"/>
              </w:rPr>
            </w:pPr>
            <w:r w:rsidRPr="00CB1C0A">
              <w:rPr>
                <w:rFonts w:ascii="Times New Roman" w:hAnsi="Times New Roman" w:cs="Times New Roman"/>
                <w:b/>
                <w:bCs/>
                <w:color w:val="000000"/>
                <w:sz w:val="16"/>
                <w:szCs w:val="16"/>
                <w:lang w:eastAsia="sk-SK"/>
              </w:rPr>
              <w:t>Spolu</w:t>
            </w:r>
          </w:p>
        </w:tc>
        <w:tc>
          <w:tcPr>
            <w:tcW w:w="331"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8"/>
                <w:lang w:eastAsia="cs-CZ"/>
              </w:rPr>
              <w:t>219</w:t>
            </w:r>
          </w:p>
        </w:tc>
        <w:tc>
          <w:tcPr>
            <w:tcW w:w="461"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8"/>
                <w:lang w:eastAsia="cs-CZ"/>
              </w:rPr>
              <w:t>452</w:t>
            </w:r>
          </w:p>
        </w:tc>
        <w:tc>
          <w:tcPr>
            <w:tcW w:w="461"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8"/>
                <w:lang w:eastAsia="cs-CZ"/>
              </w:rPr>
              <w:t>673</w:t>
            </w:r>
          </w:p>
        </w:tc>
      </w:tr>
      <w:tr w:rsidR="00AA17E3" w:rsidRPr="00CB1C0A" w:rsidTr="00AA17E3">
        <w:trPr>
          <w:trHeight w:val="118"/>
        </w:trPr>
        <w:tc>
          <w:tcPr>
            <w:tcW w:w="335" w:type="pct"/>
            <w:shd w:val="clear" w:color="auto" w:fill="auto"/>
            <w:noWrap/>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 </w:t>
            </w:r>
          </w:p>
        </w:tc>
        <w:tc>
          <w:tcPr>
            <w:tcW w:w="3411"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Nemzdové</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64</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113</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138</w:t>
            </w:r>
          </w:p>
        </w:tc>
      </w:tr>
      <w:tr w:rsidR="00AA17E3" w:rsidRPr="00CB1C0A" w:rsidTr="00AA17E3">
        <w:trPr>
          <w:trHeight w:val="239"/>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1</w:t>
            </w:r>
          </w:p>
        </w:tc>
        <w:tc>
          <w:tcPr>
            <w:tcW w:w="3411"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Nemzdové bez liekov (o CPI)</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64</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113</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138</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 </w:t>
            </w:r>
          </w:p>
        </w:tc>
        <w:tc>
          <w:tcPr>
            <w:tcW w:w="3411"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 xml:space="preserve">Mzdové </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91</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226</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372</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2</w:t>
            </w:r>
          </w:p>
        </w:tc>
        <w:tc>
          <w:tcPr>
            <w:tcW w:w="3411"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Lekári ÚZS</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21</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51</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85</w:t>
            </w:r>
          </w:p>
        </w:tc>
      </w:tr>
      <w:tr w:rsidR="00AA17E3" w:rsidRPr="00CB1C0A" w:rsidTr="00AA17E3">
        <w:trPr>
          <w:trHeight w:val="301"/>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3</w:t>
            </w:r>
          </w:p>
        </w:tc>
        <w:tc>
          <w:tcPr>
            <w:tcW w:w="3411"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 xml:space="preserve">Ostatní ÚZS </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34</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84</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138</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4</w:t>
            </w:r>
          </w:p>
        </w:tc>
        <w:tc>
          <w:tcPr>
            <w:tcW w:w="3411"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Nezdravotnícki zamestnanci</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13</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32</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53</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5</w:t>
            </w:r>
          </w:p>
        </w:tc>
        <w:tc>
          <w:tcPr>
            <w:tcW w:w="3411"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Ambulantní zdravotnícki zamestnanci</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23</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58</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96</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 </w:t>
            </w:r>
          </w:p>
        </w:tc>
        <w:tc>
          <w:tcPr>
            <w:tcW w:w="3411"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Iné výdavky VZP</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26</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37</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48</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6</w:t>
            </w:r>
          </w:p>
        </w:tc>
        <w:tc>
          <w:tcPr>
            <w:tcW w:w="3411"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Správa ZP, príspevky na UDZS, OS ZZS, NCZI a Nár. inšt. pre HTA*</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26</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37</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48</w:t>
            </w:r>
          </w:p>
        </w:tc>
      </w:tr>
      <w:tr w:rsidR="00AA17E3" w:rsidRPr="00CB1C0A" w:rsidTr="00AA17E3">
        <w:trPr>
          <w:trHeight w:val="251"/>
        </w:trPr>
        <w:tc>
          <w:tcPr>
            <w:tcW w:w="335"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7</w:t>
            </w:r>
          </w:p>
        </w:tc>
        <w:tc>
          <w:tcPr>
            <w:tcW w:w="3411"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Starnutie</w:t>
            </w:r>
          </w:p>
        </w:tc>
        <w:tc>
          <w:tcPr>
            <w:tcW w:w="33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28</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57</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85</w:t>
            </w:r>
          </w:p>
        </w:tc>
      </w:tr>
      <w:tr w:rsidR="00AA17E3" w:rsidRPr="00CB1C0A" w:rsidTr="00AA17E3">
        <w:trPr>
          <w:trHeight w:val="251"/>
        </w:trPr>
        <w:tc>
          <w:tcPr>
            <w:tcW w:w="335" w:type="pct"/>
            <w:tcBorders>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8</w:t>
            </w:r>
          </w:p>
        </w:tc>
        <w:tc>
          <w:tcPr>
            <w:tcW w:w="3411" w:type="pct"/>
            <w:tcBorders>
              <w:bottom w:val="single" w:sz="4" w:space="0" w:color="auto"/>
            </w:tcBorders>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Lieky nárast chorobnosti</w:t>
            </w:r>
          </w:p>
        </w:tc>
        <w:tc>
          <w:tcPr>
            <w:tcW w:w="331" w:type="pct"/>
            <w:tcBorders>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10</w:t>
            </w:r>
          </w:p>
        </w:tc>
        <w:tc>
          <w:tcPr>
            <w:tcW w:w="461" w:type="pct"/>
            <w:tcBorders>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20</w:t>
            </w:r>
          </w:p>
        </w:tc>
        <w:tc>
          <w:tcPr>
            <w:tcW w:w="461" w:type="pct"/>
            <w:tcBorders>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i/>
                <w:i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30</w:t>
            </w:r>
          </w:p>
        </w:tc>
      </w:tr>
      <w:tr w:rsidR="00AA17E3" w:rsidRPr="00CB1C0A" w:rsidTr="00AA17E3">
        <w:trPr>
          <w:trHeight w:val="230"/>
        </w:trPr>
        <w:tc>
          <w:tcPr>
            <w:tcW w:w="5000" w:type="pct"/>
            <w:gridSpan w:val="5"/>
            <w:tcBorders>
              <w:top w:val="single" w:sz="4" w:space="0" w:color="auto"/>
            </w:tcBorders>
            <w:shd w:val="clear" w:color="auto" w:fill="auto"/>
            <w:noWrap/>
            <w:vAlign w:val="bottom"/>
            <w:hideMark/>
          </w:tcPr>
          <w:p w:rsidR="00AA17E3" w:rsidRPr="00CB1C0A" w:rsidRDefault="00942A58" w:rsidP="009224A5">
            <w:pPr>
              <w:spacing w:after="0"/>
              <w:rPr>
                <w:rFonts w:ascii="Times New Roman" w:hAnsi="Times New Roman" w:cs="Times New Roman"/>
                <w:i/>
                <w:color w:val="000000"/>
                <w:sz w:val="16"/>
                <w:szCs w:val="16"/>
                <w:lang w:eastAsia="sk-SK"/>
              </w:rPr>
            </w:pPr>
            <w:r w:rsidRPr="00CB1C0A">
              <w:rPr>
                <w:rFonts w:ascii="Times New Roman" w:hAnsi="Times New Roman" w:cs="Times New Roman"/>
                <w:i/>
                <w:color w:val="000000"/>
                <w:sz w:val="16"/>
                <w:szCs w:val="16"/>
                <w:lang w:eastAsia="sk-SK"/>
              </w:rPr>
              <w:t xml:space="preserve">* Národný inštitút pre hodnotu a technológie v zdravotníctve </w:t>
            </w:r>
            <w:r>
              <w:rPr>
                <w:rFonts w:ascii="Times New Roman" w:hAnsi="Times New Roman" w:cs="Times New Roman"/>
                <w:i/>
                <w:color w:val="000000"/>
                <w:sz w:val="16"/>
                <w:szCs w:val="16"/>
                <w:lang w:eastAsia="sk-SK"/>
              </w:rPr>
              <w:t xml:space="preserve">                                                                                                     </w:t>
            </w:r>
            <w:r w:rsidR="00AA17E3" w:rsidRPr="00CB1C0A">
              <w:rPr>
                <w:rFonts w:ascii="Times New Roman" w:hAnsi="Times New Roman" w:cs="Times New Roman"/>
                <w:i/>
                <w:color w:val="000000"/>
                <w:sz w:val="16"/>
                <w:szCs w:val="16"/>
                <w:lang w:eastAsia="sk-SK"/>
              </w:rPr>
              <w:t>Zdroj: MF SR</w:t>
            </w:r>
            <w:r w:rsidR="00AA17E3" w:rsidRPr="00CB1C0A" w:rsidDel="006049F5">
              <w:rPr>
                <w:rFonts w:ascii="Times New Roman" w:hAnsi="Times New Roman" w:cs="Times New Roman"/>
                <w:i/>
                <w:color w:val="000000"/>
                <w:sz w:val="16"/>
                <w:szCs w:val="16"/>
                <w:lang w:eastAsia="sk-SK"/>
              </w:rPr>
              <w:t xml:space="preserve"> </w:t>
            </w:r>
          </w:p>
        </w:tc>
      </w:tr>
    </w:tbl>
    <w:p w:rsidR="009224A5" w:rsidRDefault="009224A5" w:rsidP="009224A5">
      <w:pPr>
        <w:keepNext/>
        <w:keepLines/>
        <w:spacing w:before="40" w:after="0" w:line="240" w:lineRule="auto"/>
        <w:outlineLvl w:val="4"/>
        <w:rPr>
          <w:rFonts w:ascii="Times New Roman" w:eastAsiaTheme="majorEastAsia" w:hAnsi="Times New Roman" w:cs="Times New Roman"/>
          <w:b/>
          <w:color w:val="5B9BD5" w:themeColor="accent1"/>
          <w:sz w:val="24"/>
          <w:szCs w:val="24"/>
          <w:lang w:eastAsia="cs-CZ"/>
        </w:rPr>
      </w:pPr>
      <w:bookmarkStart w:id="358" w:name="_Toc53049344"/>
      <w:bookmarkStart w:id="359" w:name="_Toc53049876"/>
    </w:p>
    <w:p w:rsidR="00AA17E3" w:rsidRPr="0040790F" w:rsidRDefault="00AA17E3" w:rsidP="009224A5">
      <w:pPr>
        <w:keepNext/>
        <w:keepLines/>
        <w:spacing w:before="40" w:after="0" w:line="240" w:lineRule="auto"/>
        <w:outlineLvl w:val="4"/>
        <w:rPr>
          <w:rFonts w:ascii="Times New Roman" w:eastAsiaTheme="majorEastAsia" w:hAnsi="Times New Roman" w:cs="Times New Roman"/>
          <w:b/>
          <w:color w:val="5B9BD5" w:themeColor="accent1"/>
          <w:sz w:val="24"/>
          <w:szCs w:val="24"/>
          <w:lang w:eastAsia="cs-CZ"/>
        </w:rPr>
      </w:pPr>
      <w:r w:rsidRPr="0040790F">
        <w:rPr>
          <w:rFonts w:ascii="Times New Roman" w:eastAsiaTheme="majorEastAsia" w:hAnsi="Times New Roman" w:cs="Times New Roman"/>
          <w:b/>
          <w:color w:val="5B9BD5" w:themeColor="accent1"/>
          <w:sz w:val="24"/>
          <w:szCs w:val="24"/>
          <w:lang w:eastAsia="cs-CZ"/>
        </w:rPr>
        <w:t>Výdavky so zmenami politík</w:t>
      </w:r>
    </w:p>
    <w:p w:rsidR="00AA17E3" w:rsidRPr="00CB1C0A" w:rsidRDefault="00AA17E3" w:rsidP="00AA17E3">
      <w:pPr>
        <w:spacing w:after="0" w:line="240" w:lineRule="auto"/>
        <w:jc w:val="both"/>
        <w:rPr>
          <w:rFonts w:ascii="Times New Roman" w:hAnsi="Times New Roman" w:cs="Times New Roman"/>
          <w:b/>
          <w:sz w:val="24"/>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Zmeny v politikách zvýšia výdavky v roku 2022 o 182 mil. eur.</w:t>
      </w:r>
    </w:p>
    <w:p w:rsidR="00AA17E3" w:rsidRPr="00CB1C0A" w:rsidRDefault="00AA17E3" w:rsidP="00AA17E3">
      <w:pPr>
        <w:spacing w:after="0" w:line="240" w:lineRule="auto"/>
        <w:jc w:val="both"/>
        <w:rPr>
          <w:rFonts w:ascii="Times New Roman" w:eastAsia="Calibri" w:hAnsi="Times New Roman" w:cs="Times New Roman"/>
          <w:b/>
          <w:sz w:val="24"/>
          <w:highlight w:val="yellow"/>
          <w:lang w:eastAsia="cs-CZ"/>
        </w:rPr>
      </w:pPr>
    </w:p>
    <w:p w:rsidR="00AA17E3" w:rsidRPr="00CB1C0A" w:rsidRDefault="00AA17E3" w:rsidP="00AA17E3">
      <w:pPr>
        <w:spacing w:after="0" w:line="240" w:lineRule="auto"/>
        <w:jc w:val="both"/>
        <w:rPr>
          <w:rFonts w:ascii="Times New Roman" w:eastAsia="Calibri" w:hAnsi="Times New Roman" w:cs="Times New Roman"/>
          <w:sz w:val="24"/>
          <w:szCs w:val="24"/>
        </w:rPr>
      </w:pPr>
      <w:r w:rsidRPr="00CB1C0A">
        <w:rPr>
          <w:rFonts w:ascii="Times New Roman" w:hAnsi="Times New Roman" w:cs="Times New Roman"/>
          <w:noProof/>
          <w:sz w:val="24"/>
          <w:szCs w:val="24"/>
          <w:lang w:eastAsia="sk-SK"/>
        </w:rPr>
        <w:t xml:space="preserve">Prostriedky uvoľnené úspornými opatreniami je potrebné investovať do podfinancovaných oblastí, kde môžu priniesť lepšie výsledky. V roku 2022 sa vynaloží </w:t>
      </w:r>
      <w:r w:rsidRPr="00CB1C0A">
        <w:rPr>
          <w:rFonts w:ascii="Times New Roman" w:hAnsi="Times New Roman" w:cs="Times New Roman"/>
          <w:noProof/>
          <w:sz w:val="24"/>
          <w:szCs w:val="24"/>
          <w:lang w:eastAsia="sk-SK"/>
        </w:rPr>
        <w:br/>
        <w:t xml:space="preserve">54 mil. eur na tzv. hodnotové opatrenia (č. 9-14). </w:t>
      </w:r>
      <w:r w:rsidRPr="00CB1C0A">
        <w:rPr>
          <w:rFonts w:ascii="Times New Roman" w:eastAsia="Calibri" w:hAnsi="Times New Roman" w:cs="Times New Roman"/>
          <w:sz w:val="24"/>
          <w:szCs w:val="24"/>
        </w:rPr>
        <w:t>Hodnoty na roky 2023 a 2024 budú aktualizované počas roka 2022.</w:t>
      </w:r>
      <w:r w:rsidRPr="00CB1C0A">
        <w:rPr>
          <w:rFonts w:ascii="Times New Roman" w:hAnsi="Times New Roman" w:cs="Times New Roman"/>
          <w:noProof/>
          <w:sz w:val="24"/>
          <w:szCs w:val="24"/>
          <w:lang w:eastAsia="sk-SK"/>
        </w:rPr>
        <w:t xml:space="preserve"> Dlhodobý investičný potenciál hodnotových opatrení je </w:t>
      </w:r>
      <w:r w:rsidR="00043E7B">
        <w:rPr>
          <w:rFonts w:ascii="Times New Roman" w:hAnsi="Times New Roman" w:cs="Times New Roman"/>
          <w:noProof/>
          <w:sz w:val="24"/>
          <w:szCs w:val="24"/>
          <w:lang w:eastAsia="sk-SK"/>
        </w:rPr>
        <w:br/>
      </w:r>
      <w:r w:rsidRPr="00CB1C0A">
        <w:rPr>
          <w:rFonts w:ascii="Times New Roman" w:hAnsi="Times New Roman" w:cs="Times New Roman"/>
          <w:noProof/>
          <w:sz w:val="24"/>
          <w:szCs w:val="24"/>
          <w:lang w:eastAsia="sk-SK"/>
        </w:rPr>
        <w:t>895 mil. eur oproti roku 2021.</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Vyšší počet všeobecných lekárov spolu s rozšírením ich kompetencií zlepší manažment pacienta a zníži potrebu návštev drahších špecialistov v súlade s dobrou praxou v zahraničí   (č. 9). V roku 2022 budú investície smerovať najmä do finančnej motivácie pre vykonávanie liečby, prevencie a komplexného manažmentu pacienta všeobecným lekárom. Ministerstvo zdravotníctva SR sa v oblasti VAS v roku 2022 zameria predovšetkým na prilákanie lekárov do nedostatkových regiónov, v rokoch 2023 a 2024 plánuje komplexnú úpravu platobných mechanizmov. </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V súvislosti s dlhodobým a pretrvávajúcim nedostatkom zdravotníckeho personálu, najmä sestier, ktorý bol ešte prehĺbený pandémiou COVID-19, bude potrebné prijať viacero opatrení, vrátane podpory navýšenia počtu sestier prostredníctvom hodnotového opatrenia financovaného z verejného zdravotného poistenia (č. 10).</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Vzhľadom na rýchle starnutie populácie je potrebné rozširovať kapacity dlhodobej a paliatívnej starostlivosti, ktoré sú už dnes nepostačujúce. Na Slovensku sú poddimenzované predovšetkým domáca a komunitná starostlivosť. Zdroje budú v roku 2022 preto smerovať najmä na podporu domácej ošetrovateľskej starostlivosti, mobilných hospicov, ale aj na posilnenie následnej ošetrovateľskej starostlivosti v nemocniciach a paliatívnej starostlivosti v kamenných hospicoch (č.11.1). V roku 2022 sa navýšia aj výdavky na ošetrovateľskú starostlivosť v zariadeniach sociálnych služieb (č. 11.2).</w:t>
      </w:r>
    </w:p>
    <w:p w:rsidR="00AA17E3" w:rsidRPr="00CB1C0A" w:rsidRDefault="00AA17E3" w:rsidP="00AA17E3">
      <w:pPr>
        <w:spacing w:after="0" w:line="240" w:lineRule="auto"/>
        <w:jc w:val="both"/>
        <w:rPr>
          <w:rFonts w:ascii="Times New Roman" w:eastAsia="Times New Roman" w:hAnsi="Times New Roman" w:cs="Times New Roman"/>
          <w:noProof/>
          <w:sz w:val="24"/>
          <w:szCs w:val="24"/>
          <w:highlight w:val="yellow"/>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Investície do posilnenia prevencie a podpory duševného zdravia znižujú budúcu záťaž na zdravotný a sociálny systém a zvyšujú produktivitu práce. Zahraničná prax ukazuje, že tieto investície môžu byť  vysoko návratné. V roku 2022 budú prostriedky vynaložené najmä na psychiatrické stacionáre, lôžka a materiálno-technické vybavenie stacionárov (č. 13).  </w:t>
      </w:r>
    </w:p>
    <w:p w:rsidR="00AA17E3" w:rsidRPr="00CB1C0A" w:rsidRDefault="00AA17E3" w:rsidP="00AA17E3">
      <w:pPr>
        <w:spacing w:after="0" w:line="240" w:lineRule="auto"/>
        <w:jc w:val="both"/>
        <w:rPr>
          <w:rFonts w:ascii="Times New Roman" w:eastAsia="Times New Roman" w:hAnsi="Times New Roman" w:cs="Times New Roman"/>
          <w:b/>
          <w:noProof/>
          <w:sz w:val="24"/>
          <w:szCs w:val="24"/>
          <w:highlight w:val="yellow"/>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Ďalšie zdroje vo výške 8 mil. eur na rok 2022 posilnia ústavnú zdravotnú starostlivosť (č. 14).    </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Ostatné zmeny politík, ktoré nevyplývajú z revízie výdavkov navyšujú rozpočet o 127 mil. eur v roku 2022. Z toho takmer 57 mil. eur bude vynaložených v oblasti liekov – na zrušenie doplatkov pre vybrané skupiny obyvateľstva a zabezpečenie  inovatívnej liečby (č. 15 a č.16). Spolu s nárastom kvôli chorobnosti (položka č. 8 v scenári nezmenených politík) tak výdavky na lieky rastú o 67 mil. eur, bez zohľadnenia úspor. </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V roku 2021 pandémia COVID-19 výrazne ovplyvnila spotrebu zdravotnej starostlivosti a súvisiace výdavky. Rozpočet na rok 2022 v tejto súvislosti prináša viaceré opatrenia. Na dobeh zdravotnej starostlivosti, ktorá bola odložená kvôli reštriktívnym opatreniam a vyťaženosti nemocníc v priebehu oboch vĺn pandémie je na rok 2022 vyčlenených 100 mil. eur (č. 18). Pacientom po prekonaní COVID-19 s ťažkým priebehom bude umožnená kúpeľná starostlivosť, časť výdavkov bola vynaložená už v tomto roku, dodatočné zdroje na rok 2022 sú vo výške 2 mil. eur (č. 17). </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Zvyšovanie počtu zaočkovaných ľudí je najefektívnejším spôsobom, ako ochrániť životy a znížiť ekonomické aj zdravotné škody spôsobené pandémiou. Slovensko dosahuje jednu z najnižších mier zaočkovanosti proti COVID-19 medzi vyspelými krajinami EÚ. Zdravotné poisťovne hradia pri očkovaní výkon, nákup očkovacej látky je financovaný zo zdrojov kapitoly Ministerstva zdravotníctva SR. Cieľom Ministers</w:t>
      </w:r>
      <w:r w:rsidR="008058F2">
        <w:rPr>
          <w:rFonts w:ascii="Times New Roman" w:hAnsi="Times New Roman" w:cs="Times New Roman"/>
          <w:noProof/>
          <w:sz w:val="24"/>
          <w:szCs w:val="24"/>
          <w:lang w:eastAsia="sk-SK"/>
        </w:rPr>
        <w:t>tva zdravotníctva SR je dosiahnu</w:t>
      </w:r>
      <w:r w:rsidRPr="00CB1C0A">
        <w:rPr>
          <w:rFonts w:ascii="Times New Roman" w:hAnsi="Times New Roman" w:cs="Times New Roman"/>
          <w:noProof/>
          <w:sz w:val="24"/>
          <w:szCs w:val="24"/>
          <w:lang w:eastAsia="sk-SK"/>
        </w:rPr>
        <w:t>ť 60 % zaočkovanosť celkovej populácie do konca roka 2021</w:t>
      </w:r>
      <w:r w:rsidRPr="00CB1C0A">
        <w:rPr>
          <w:rFonts w:ascii="Times New Roman" w:hAnsi="Times New Roman" w:cs="Times New Roman"/>
          <w:noProof/>
          <w:sz w:val="24"/>
          <w:szCs w:val="24"/>
          <w:vertAlign w:val="superscript"/>
          <w:lang w:eastAsia="sk-SK"/>
        </w:rPr>
        <w:footnoteReference w:id="55"/>
      </w:r>
      <w:r w:rsidRPr="00CB1C0A">
        <w:rPr>
          <w:rFonts w:ascii="Times New Roman" w:hAnsi="Times New Roman" w:cs="Times New Roman"/>
          <w:noProof/>
          <w:sz w:val="24"/>
          <w:szCs w:val="24"/>
          <w:lang w:eastAsia="sk-SK"/>
        </w:rPr>
        <w:t xml:space="preserve">. V súlade s týmto cieľom predpokladajú  zdravotné poisťovne celkové úhrady za očkovanie (výkony) v roku 2021 vo výške 45 mil. eur. </w:t>
      </w: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V rozpočte na rok 2022 sa počíta s výdavkami na dosiahnutie 70 % zaočkovanosti celkovej populácie a zároveň s preočkovaním 3. dávkou vakcíny pri približne 25 % zo zaočkovanej populácie. Keďže sa v roku 2022 v porovnaní s rokom 2021 predpokladá nižší objem výkonov očkovania, je rozpočet verejného zdravotného poistenia na rok 2022 znížený o časť súčasných úhrad zdravotných poisťovní za očkovanie, ktoré sú zahrnuté v očakávanej skutočnosti roku 2021. Zároveň sa znižuje rozpočet na rok 2022 o úhrady ZP za antigénové testovanie. Celkový vplyv zníženia úhrad predstavuje opatrenie č. 20. </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Vzhľadom na nedostatočné tempo očkovania je potrebné použiť viacero opatrení na zvýšenie motivácie dať sa zaočkovať. Jedným z takýchto opatrení je podpora očkovania v ambulanciách všeobecných lekárov cez navýšenie úhrad (č.19).</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eastAsia="Calibri" w:hAnsi="Times New Roman" w:cs="Times New Roman"/>
          <w:sz w:val="24"/>
          <w:szCs w:val="24"/>
        </w:rPr>
      </w:pPr>
      <w:r w:rsidRPr="00CB1C0A">
        <w:rPr>
          <w:rFonts w:ascii="Times New Roman" w:eastAsia="Calibri" w:hAnsi="Times New Roman" w:cs="Times New Roman"/>
          <w:sz w:val="24"/>
          <w:szCs w:val="24"/>
        </w:rPr>
        <w:t>V nasledujúcej tabuľke sú uvedené kumulatívne nárasty výdavkov pre všetky roky 2022, 2023 a 2024 ide o nárast oproti roku 2021.</w:t>
      </w:r>
    </w:p>
    <w:p w:rsidR="00AA17E3" w:rsidRPr="00CB1C0A" w:rsidRDefault="00AA17E3" w:rsidP="00AA17E3">
      <w:pPr>
        <w:spacing w:after="0"/>
        <w:jc w:val="both"/>
        <w:rPr>
          <w:rFonts w:ascii="Calibri" w:hAnsi="Calibri" w:cs="Times New Roman"/>
          <w:sz w:val="24"/>
          <w:szCs w:val="24"/>
          <w:lang w:eastAsia="sk-SK"/>
        </w:rPr>
      </w:pPr>
    </w:p>
    <w:p w:rsidR="00AA17E3" w:rsidRPr="00CB1C0A" w:rsidRDefault="00AA17E3" w:rsidP="00AA17E3">
      <w:pPr>
        <w:keepNext/>
        <w:spacing w:after="0" w:line="240" w:lineRule="auto"/>
        <w:rPr>
          <w:rFonts w:ascii="Times New Roman" w:hAnsi="Times New Roman" w:cs="Times New Roman"/>
          <w:b/>
          <w:iCs/>
          <w:color w:val="5B9BD5" w:themeColor="accent1"/>
          <w:sz w:val="20"/>
          <w:szCs w:val="20"/>
        </w:rPr>
      </w:pPr>
      <w:bookmarkStart w:id="360" w:name="_Toc84528429"/>
      <w:bookmarkStart w:id="361" w:name="_Toc84845305"/>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81</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Zmeny výdavkov voči roku 2021 - VZP - zmeny politík</w:t>
      </w:r>
      <w:bookmarkEnd w:id="358"/>
      <w:bookmarkEnd w:id="359"/>
      <w:bookmarkEnd w:id="360"/>
      <w:bookmarkEnd w:id="361"/>
    </w:p>
    <w:tbl>
      <w:tblPr>
        <w:tblW w:w="5000" w:type="pct"/>
        <w:jc w:val="center"/>
        <w:tblLayout w:type="fixed"/>
        <w:tblCellMar>
          <w:left w:w="70" w:type="dxa"/>
          <w:right w:w="70" w:type="dxa"/>
        </w:tblCellMar>
        <w:tblLook w:val="04A0" w:firstRow="1" w:lastRow="0" w:firstColumn="1" w:lastColumn="0" w:noHBand="0" w:noVBand="1"/>
      </w:tblPr>
      <w:tblGrid>
        <w:gridCol w:w="567"/>
        <w:gridCol w:w="5193"/>
        <w:gridCol w:w="512"/>
        <w:gridCol w:w="512"/>
        <w:gridCol w:w="512"/>
        <w:gridCol w:w="836"/>
        <w:gridCol w:w="940"/>
      </w:tblGrid>
      <w:tr w:rsidR="00AA17E3" w:rsidRPr="00CB1C0A" w:rsidTr="00AA17E3">
        <w:trPr>
          <w:trHeight w:val="371"/>
          <w:jc w:val="center"/>
        </w:trPr>
        <w:tc>
          <w:tcPr>
            <w:tcW w:w="313" w:type="pct"/>
            <w:tcBorders>
              <w:top w:val="single" w:sz="4" w:space="0" w:color="auto"/>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č.</w:t>
            </w:r>
          </w:p>
        </w:tc>
        <w:tc>
          <w:tcPr>
            <w:tcW w:w="2862" w:type="pct"/>
            <w:tcBorders>
              <w:top w:val="single" w:sz="4" w:space="0" w:color="auto"/>
              <w:bottom w:val="single" w:sz="4" w:space="0" w:color="auto"/>
            </w:tcBorders>
            <w:shd w:val="clear" w:color="auto" w:fill="auto"/>
            <w:vAlign w:val="bottom"/>
            <w:hideMark/>
          </w:tcPr>
          <w:p w:rsidR="00AA17E3" w:rsidRPr="00CB1C0A" w:rsidRDefault="00AA17E3" w:rsidP="00AA17E3">
            <w:pPr>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mil. eur</w:t>
            </w:r>
          </w:p>
        </w:tc>
        <w:tc>
          <w:tcPr>
            <w:tcW w:w="282"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2022</w:t>
            </w:r>
          </w:p>
        </w:tc>
        <w:tc>
          <w:tcPr>
            <w:tcW w:w="282"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2023</w:t>
            </w:r>
          </w:p>
        </w:tc>
        <w:tc>
          <w:tcPr>
            <w:tcW w:w="282"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2024</w:t>
            </w:r>
          </w:p>
        </w:tc>
        <w:tc>
          <w:tcPr>
            <w:tcW w:w="461"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Potenciál voči 2021*</w:t>
            </w:r>
          </w:p>
        </w:tc>
        <w:tc>
          <w:tcPr>
            <w:tcW w:w="518"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Horizont plnenia</w:t>
            </w:r>
          </w:p>
        </w:tc>
      </w:tr>
      <w:tr w:rsidR="00AA17E3" w:rsidRPr="00CB1C0A" w:rsidTr="00AA17E3">
        <w:trPr>
          <w:trHeight w:val="225"/>
          <w:jc w:val="center"/>
        </w:trPr>
        <w:tc>
          <w:tcPr>
            <w:tcW w:w="313" w:type="pct"/>
            <w:tcBorders>
              <w:top w:val="single" w:sz="4" w:space="0" w:color="auto"/>
            </w:tcBorders>
            <w:shd w:val="clear" w:color="auto" w:fill="auto"/>
            <w:noWrap/>
            <w:vAlign w:val="bottom"/>
            <w:hideMark/>
          </w:tcPr>
          <w:p w:rsidR="00AA17E3" w:rsidRPr="00CB1C0A" w:rsidRDefault="00AA17E3" w:rsidP="00AA17E3">
            <w:pPr>
              <w:rPr>
                <w:rFonts w:ascii="Times New Roman" w:hAnsi="Times New Roman" w:cs="Times New Roman"/>
                <w:b/>
                <w:bCs/>
                <w:color w:val="000000"/>
                <w:sz w:val="16"/>
                <w:szCs w:val="18"/>
                <w:lang w:eastAsia="sk-SK"/>
              </w:rPr>
            </w:pPr>
            <w:r w:rsidRPr="00CB1C0A">
              <w:rPr>
                <w:rFonts w:ascii="Times New Roman" w:hAnsi="Times New Roman" w:cs="Times New Roman"/>
                <w:b/>
                <w:bCs/>
                <w:color w:val="000000"/>
                <w:sz w:val="16"/>
                <w:szCs w:val="18"/>
                <w:lang w:eastAsia="sk-SK"/>
              </w:rPr>
              <w:t> </w:t>
            </w:r>
          </w:p>
        </w:tc>
        <w:tc>
          <w:tcPr>
            <w:tcW w:w="2862" w:type="pct"/>
            <w:tcBorders>
              <w:top w:val="single" w:sz="4" w:space="0" w:color="auto"/>
            </w:tcBorders>
            <w:shd w:val="clear" w:color="auto" w:fill="auto"/>
            <w:noWrap/>
            <w:vAlign w:val="bottom"/>
            <w:hideMark/>
          </w:tcPr>
          <w:p w:rsidR="00AA17E3" w:rsidRPr="00CB1C0A" w:rsidRDefault="00AA17E3" w:rsidP="00AA17E3">
            <w:pPr>
              <w:rPr>
                <w:rFonts w:ascii="Times New Roman" w:hAnsi="Times New Roman" w:cs="Times New Roman"/>
                <w:b/>
                <w:bCs/>
                <w:color w:val="000000"/>
                <w:sz w:val="16"/>
                <w:szCs w:val="18"/>
                <w:lang w:eastAsia="sk-SK"/>
              </w:rPr>
            </w:pPr>
            <w:r w:rsidRPr="00CB1C0A">
              <w:rPr>
                <w:rFonts w:ascii="Times New Roman" w:hAnsi="Times New Roman" w:cs="Times New Roman"/>
                <w:b/>
                <w:bCs/>
                <w:color w:val="000000"/>
                <w:sz w:val="16"/>
                <w:szCs w:val="18"/>
                <w:lang w:eastAsia="sk-SK"/>
              </w:rPr>
              <w:t>SPOLU</w:t>
            </w:r>
          </w:p>
        </w:tc>
        <w:tc>
          <w:tcPr>
            <w:tcW w:w="282"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i/>
                <w:iCs/>
                <w:color w:val="000000"/>
                <w:sz w:val="18"/>
                <w:szCs w:val="18"/>
                <w:lang w:eastAsia="cs-CZ"/>
              </w:rPr>
              <w:t>182</w:t>
            </w:r>
          </w:p>
        </w:tc>
        <w:tc>
          <w:tcPr>
            <w:tcW w:w="282"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i/>
                <w:iCs/>
                <w:color w:val="000000"/>
                <w:sz w:val="18"/>
                <w:szCs w:val="18"/>
                <w:lang w:eastAsia="cs-CZ"/>
              </w:rPr>
              <w:t>289</w:t>
            </w:r>
          </w:p>
        </w:tc>
        <w:tc>
          <w:tcPr>
            <w:tcW w:w="282"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i/>
                <w:iCs/>
                <w:color w:val="000000"/>
                <w:sz w:val="18"/>
                <w:szCs w:val="18"/>
                <w:lang w:eastAsia="cs-CZ"/>
              </w:rPr>
              <w:t>350</w:t>
            </w:r>
          </w:p>
        </w:tc>
        <w:tc>
          <w:tcPr>
            <w:tcW w:w="461"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895</w:t>
            </w:r>
          </w:p>
        </w:tc>
        <w:tc>
          <w:tcPr>
            <w:tcW w:w="518"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6"/>
                <w:lang w:eastAsia="sk-SK"/>
              </w:rPr>
            </w:pPr>
            <w:r w:rsidRPr="00CB1C0A">
              <w:rPr>
                <w:rFonts w:ascii="Times New Roman" w:eastAsia="Times New Roman" w:hAnsi="Times New Roman" w:cs="Times New Roman"/>
                <w:b/>
                <w:bCs/>
                <w:i/>
                <w:iCs/>
                <w:color w:val="000000"/>
                <w:sz w:val="16"/>
                <w:szCs w:val="18"/>
                <w:lang w:eastAsia="cs-CZ"/>
              </w:rPr>
              <w:t> </w:t>
            </w:r>
          </w:p>
        </w:tc>
      </w:tr>
      <w:tr w:rsidR="00AA17E3" w:rsidRPr="00CB1C0A" w:rsidTr="00AA17E3">
        <w:trPr>
          <w:trHeight w:val="421"/>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4"/>
                <w:szCs w:val="16"/>
                <w:lang w:eastAsia="sk-SK"/>
              </w:rPr>
            </w:pPr>
            <w:r w:rsidRPr="00CB1C0A">
              <w:rPr>
                <w:rFonts w:ascii="Times New Roman" w:hAnsi="Times New Roman" w:cs="Times New Roman"/>
                <w:color w:val="000000"/>
                <w:sz w:val="14"/>
                <w:szCs w:val="16"/>
              </w:rPr>
              <w:t>9</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Všeobecná ambulantná starostlivosť</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15</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25</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30</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113</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2029</w:t>
            </w:r>
          </w:p>
        </w:tc>
      </w:tr>
      <w:tr w:rsidR="00AA17E3" w:rsidRPr="00CB1C0A" w:rsidTr="00AA17E3">
        <w:trPr>
          <w:trHeight w:val="193"/>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4"/>
                <w:szCs w:val="16"/>
                <w:lang w:eastAsia="sk-SK"/>
              </w:rPr>
            </w:pPr>
            <w:r w:rsidRPr="00CB1C0A">
              <w:rPr>
                <w:rFonts w:ascii="Times New Roman" w:hAnsi="Times New Roman" w:cs="Times New Roman"/>
                <w:color w:val="000000"/>
                <w:sz w:val="14"/>
                <w:szCs w:val="16"/>
              </w:rPr>
              <w:t>10</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Personál - navýšenie počtu sestier</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23</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35</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107</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2029</w:t>
            </w:r>
          </w:p>
        </w:tc>
      </w:tr>
      <w:tr w:rsidR="00AA17E3" w:rsidRPr="00CB1C0A" w:rsidTr="00AA17E3">
        <w:trPr>
          <w:trHeight w:val="207"/>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4"/>
                <w:szCs w:val="16"/>
                <w:lang w:eastAsia="sk-SK"/>
              </w:rPr>
            </w:pPr>
            <w:r w:rsidRPr="00CB1C0A">
              <w:rPr>
                <w:rFonts w:ascii="Times New Roman" w:hAnsi="Times New Roman" w:cs="Times New Roman"/>
                <w:color w:val="000000"/>
                <w:sz w:val="14"/>
                <w:szCs w:val="16"/>
              </w:rPr>
              <w:t>11</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Dlhodobá starostlivosť</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26</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33</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sz w:val="16"/>
                <w:szCs w:val="18"/>
                <w:lang w:eastAsia="cs-CZ"/>
              </w:rPr>
              <w:t>333**</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2029</w:t>
            </w:r>
          </w:p>
        </w:tc>
      </w:tr>
      <w:tr w:rsidR="00AA17E3" w:rsidRPr="00CB1C0A" w:rsidTr="00AA17E3">
        <w:trPr>
          <w:trHeight w:val="207"/>
          <w:jc w:val="center"/>
        </w:trPr>
        <w:tc>
          <w:tcPr>
            <w:tcW w:w="313" w:type="pct"/>
            <w:shd w:val="clear" w:color="auto" w:fill="auto"/>
            <w:noWrap/>
            <w:vAlign w:val="bottom"/>
          </w:tcPr>
          <w:p w:rsidR="00AA17E3" w:rsidRPr="00CB1C0A" w:rsidRDefault="00AA17E3" w:rsidP="00AA17E3">
            <w:pPr>
              <w:jc w:val="right"/>
              <w:rPr>
                <w:rFonts w:ascii="Times New Roman" w:hAnsi="Times New Roman" w:cs="Times New Roman"/>
                <w:color w:val="000000"/>
                <w:sz w:val="14"/>
                <w:szCs w:val="16"/>
              </w:rPr>
            </w:pPr>
            <w:r w:rsidRPr="00CB1C0A">
              <w:rPr>
                <w:rFonts w:ascii="Times New Roman" w:hAnsi="Times New Roman" w:cs="Times New Roman"/>
                <w:color w:val="000000"/>
                <w:sz w:val="14"/>
                <w:szCs w:val="16"/>
              </w:rPr>
              <w:t>11.1</w:t>
            </w:r>
          </w:p>
        </w:tc>
        <w:tc>
          <w:tcPr>
            <w:tcW w:w="2862" w:type="pct"/>
            <w:shd w:val="clear" w:color="auto" w:fill="auto"/>
            <w:noWrap/>
            <w:vAlign w:val="bottom"/>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z toho zdravotná starostlivosť</w:t>
            </w:r>
          </w:p>
        </w:tc>
        <w:tc>
          <w:tcPr>
            <w:tcW w:w="282"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6</w:t>
            </w:r>
          </w:p>
        </w:tc>
        <w:tc>
          <w:tcPr>
            <w:tcW w:w="282"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14</w:t>
            </w:r>
          </w:p>
        </w:tc>
        <w:tc>
          <w:tcPr>
            <w:tcW w:w="282"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21</w:t>
            </w:r>
          </w:p>
        </w:tc>
        <w:tc>
          <w:tcPr>
            <w:tcW w:w="461"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 </w:t>
            </w:r>
          </w:p>
        </w:tc>
      </w:tr>
      <w:tr w:rsidR="00AA17E3" w:rsidRPr="00CB1C0A" w:rsidTr="00AA17E3">
        <w:trPr>
          <w:trHeight w:val="207"/>
          <w:jc w:val="center"/>
        </w:trPr>
        <w:tc>
          <w:tcPr>
            <w:tcW w:w="313" w:type="pct"/>
            <w:shd w:val="clear" w:color="auto" w:fill="auto"/>
            <w:noWrap/>
            <w:vAlign w:val="bottom"/>
          </w:tcPr>
          <w:p w:rsidR="00AA17E3" w:rsidRPr="00CB1C0A" w:rsidRDefault="00AA17E3" w:rsidP="00AA17E3">
            <w:pPr>
              <w:jc w:val="right"/>
              <w:rPr>
                <w:rFonts w:ascii="Times New Roman" w:hAnsi="Times New Roman" w:cs="Times New Roman"/>
                <w:color w:val="000000"/>
                <w:sz w:val="14"/>
                <w:szCs w:val="16"/>
              </w:rPr>
            </w:pPr>
            <w:r w:rsidRPr="00CB1C0A">
              <w:rPr>
                <w:rFonts w:ascii="Times New Roman" w:hAnsi="Times New Roman" w:cs="Times New Roman"/>
                <w:color w:val="000000"/>
                <w:sz w:val="14"/>
                <w:szCs w:val="16"/>
              </w:rPr>
              <w:t>11.2</w:t>
            </w:r>
          </w:p>
        </w:tc>
        <w:tc>
          <w:tcPr>
            <w:tcW w:w="2862" w:type="pct"/>
            <w:shd w:val="clear" w:color="auto" w:fill="auto"/>
            <w:noWrap/>
            <w:vAlign w:val="bottom"/>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z toho ošetrovateľská starostlivosť v zariadeniach soc. služieb</w:t>
            </w:r>
          </w:p>
        </w:tc>
        <w:tc>
          <w:tcPr>
            <w:tcW w:w="282"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5</w:t>
            </w:r>
          </w:p>
        </w:tc>
        <w:tc>
          <w:tcPr>
            <w:tcW w:w="282"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11</w:t>
            </w:r>
          </w:p>
        </w:tc>
        <w:tc>
          <w:tcPr>
            <w:tcW w:w="282"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13</w:t>
            </w:r>
          </w:p>
        </w:tc>
        <w:tc>
          <w:tcPr>
            <w:tcW w:w="461"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hAnsi="Times New Roman" w:cs="Times New Roman"/>
                <w:color w:val="000000"/>
                <w:sz w:val="16"/>
                <w:szCs w:val="16"/>
              </w:rPr>
              <w:t>-</w:t>
            </w:r>
          </w:p>
        </w:tc>
      </w:tr>
      <w:tr w:rsidR="00AA17E3" w:rsidRPr="00CB1C0A" w:rsidTr="00AA17E3">
        <w:trPr>
          <w:trHeight w:val="226"/>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4"/>
                <w:szCs w:val="16"/>
                <w:lang w:eastAsia="sk-SK"/>
              </w:rPr>
            </w:pPr>
            <w:r w:rsidRPr="00CB1C0A">
              <w:rPr>
                <w:rFonts w:ascii="Times New Roman" w:hAnsi="Times New Roman" w:cs="Times New Roman"/>
                <w:color w:val="000000"/>
                <w:sz w:val="14"/>
                <w:szCs w:val="16"/>
              </w:rPr>
              <w:t>12</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Prevencia</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0</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8</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110</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2026</w:t>
            </w:r>
          </w:p>
        </w:tc>
      </w:tr>
      <w:tr w:rsidR="00AA17E3" w:rsidRPr="00CB1C0A" w:rsidTr="00AA17E3">
        <w:trPr>
          <w:trHeight w:val="272"/>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4"/>
                <w:szCs w:val="16"/>
                <w:lang w:eastAsia="sk-SK"/>
              </w:rPr>
            </w:pPr>
            <w:r w:rsidRPr="00CB1C0A">
              <w:rPr>
                <w:rFonts w:ascii="Times New Roman" w:hAnsi="Times New Roman" w:cs="Times New Roman"/>
                <w:color w:val="000000"/>
                <w:sz w:val="14"/>
                <w:szCs w:val="16"/>
              </w:rPr>
              <w:t>13</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Duševné zdravie</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9</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32</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41</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118</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2029</w:t>
            </w:r>
          </w:p>
        </w:tc>
      </w:tr>
      <w:tr w:rsidR="00AA17E3" w:rsidRPr="00CB1C0A" w:rsidTr="00AA17E3">
        <w:trPr>
          <w:trHeight w:val="276"/>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4"/>
                <w:szCs w:val="16"/>
                <w:lang w:eastAsia="sk-SK"/>
              </w:rPr>
            </w:pPr>
            <w:r w:rsidRPr="00CB1C0A">
              <w:rPr>
                <w:rFonts w:ascii="Times New Roman" w:hAnsi="Times New Roman" w:cs="Times New Roman"/>
                <w:color w:val="000000"/>
                <w:sz w:val="14"/>
                <w:szCs w:val="16"/>
              </w:rPr>
              <w:t>14</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hAnsi="Times New Roman" w:cs="Times New Roman"/>
                <w:color w:val="000000"/>
                <w:sz w:val="16"/>
                <w:szCs w:val="18"/>
                <w:lang w:eastAsia="sk-SK"/>
              </w:rPr>
              <w:t>Dofinancovanie ÚZS</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8</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19</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24</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114</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2025</w:t>
            </w:r>
          </w:p>
        </w:tc>
      </w:tr>
      <w:tr w:rsidR="00AA17E3" w:rsidRPr="00CB1C0A" w:rsidTr="00AA17E3">
        <w:trPr>
          <w:trHeight w:val="225"/>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15</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 xml:space="preserve">Lieky - rušenie doplatkov pre dôchodcov, ŤZP </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42</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42</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42</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r>
      <w:tr w:rsidR="00AA17E3" w:rsidRPr="00CB1C0A" w:rsidTr="00AA17E3">
        <w:trPr>
          <w:trHeight w:val="174"/>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16</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 xml:space="preserve">Inovatívna liečba </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14</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43</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62</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r>
      <w:tr w:rsidR="00AA17E3" w:rsidRPr="00CB1C0A" w:rsidTr="00AA17E3">
        <w:trPr>
          <w:trHeight w:val="225"/>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17</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Kúpeľná starostlivosť pre post-covid pacientov</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r>
      <w:tr w:rsidR="00AA17E3" w:rsidRPr="00CB1C0A" w:rsidTr="00AA17E3">
        <w:trPr>
          <w:trHeight w:val="236"/>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18</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Dobeh zdravotnej starostlivosti po pandémii COVID-19</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100</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100</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100</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r>
      <w:tr w:rsidR="00AA17E3" w:rsidRPr="00CB1C0A" w:rsidTr="00AA17E3">
        <w:trPr>
          <w:trHeight w:val="270"/>
          <w:jc w:val="center"/>
        </w:trPr>
        <w:tc>
          <w:tcPr>
            <w:tcW w:w="313"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19</w:t>
            </w:r>
          </w:p>
        </w:tc>
        <w:tc>
          <w:tcPr>
            <w:tcW w:w="2862"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Navýšenie platieb pre VLD/VLDD za očkovanie proti COVID-19</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w:t>
            </w:r>
          </w:p>
        </w:tc>
        <w:tc>
          <w:tcPr>
            <w:tcW w:w="28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1</w:t>
            </w:r>
          </w:p>
        </w:tc>
        <w:tc>
          <w:tcPr>
            <w:tcW w:w="461"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c>
          <w:tcPr>
            <w:tcW w:w="518"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w:t>
            </w:r>
          </w:p>
        </w:tc>
      </w:tr>
      <w:tr w:rsidR="00AA17E3" w:rsidRPr="00CB1C0A" w:rsidTr="00AA17E3">
        <w:trPr>
          <w:trHeight w:val="270"/>
          <w:jc w:val="center"/>
        </w:trPr>
        <w:tc>
          <w:tcPr>
            <w:tcW w:w="313"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color w:val="000000"/>
                <w:sz w:val="16"/>
                <w:szCs w:val="18"/>
                <w:lang w:eastAsia="cs-CZ"/>
              </w:rPr>
            </w:pPr>
            <w:r w:rsidRPr="00CB1C0A">
              <w:rPr>
                <w:rFonts w:ascii="Times New Roman" w:eastAsia="Times New Roman" w:hAnsi="Times New Roman" w:cs="Times New Roman"/>
                <w:color w:val="000000"/>
                <w:sz w:val="16"/>
                <w:szCs w:val="18"/>
                <w:lang w:eastAsia="cs-CZ"/>
              </w:rPr>
              <w:t>20</w:t>
            </w:r>
          </w:p>
        </w:tc>
        <w:tc>
          <w:tcPr>
            <w:tcW w:w="2862" w:type="pct"/>
            <w:tcBorders>
              <w:bottom w:val="single" w:sz="4" w:space="0" w:color="auto"/>
            </w:tcBorders>
            <w:shd w:val="clear" w:color="auto" w:fill="auto"/>
            <w:noWrap/>
            <w:vAlign w:val="bottom"/>
          </w:tcPr>
          <w:p w:rsidR="00AA17E3" w:rsidRPr="00CB1C0A" w:rsidRDefault="00AA17E3" w:rsidP="00AA17E3">
            <w:pPr>
              <w:ind w:firstLineChars="200" w:firstLine="320"/>
              <w:rPr>
                <w:rFonts w:ascii="Times New Roman" w:eastAsia="Times New Roman" w:hAnsi="Times New Roman" w:cs="Times New Roman"/>
                <w:color w:val="000000"/>
                <w:sz w:val="16"/>
                <w:szCs w:val="18"/>
                <w:lang w:eastAsia="cs-CZ"/>
              </w:rPr>
            </w:pPr>
            <w:r w:rsidRPr="00CB1C0A">
              <w:rPr>
                <w:rFonts w:ascii="Times New Roman" w:eastAsia="Times New Roman" w:hAnsi="Times New Roman" w:cs="Times New Roman"/>
                <w:color w:val="000000"/>
                <w:sz w:val="16"/>
                <w:szCs w:val="18"/>
                <w:lang w:eastAsia="cs-CZ"/>
              </w:rPr>
              <w:t>Pokles objemu očkovania a testovania na COVID-19 voči roku 2021</w:t>
            </w:r>
          </w:p>
        </w:tc>
        <w:tc>
          <w:tcPr>
            <w:tcW w:w="282"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color w:val="000000"/>
                <w:sz w:val="16"/>
                <w:szCs w:val="16"/>
                <w:lang w:eastAsia="cs-CZ"/>
              </w:rPr>
            </w:pPr>
            <w:r w:rsidRPr="00CB1C0A">
              <w:rPr>
                <w:rFonts w:ascii="Times New Roman" w:eastAsia="Times New Roman" w:hAnsi="Times New Roman" w:cs="Times New Roman"/>
                <w:color w:val="000000"/>
                <w:sz w:val="16"/>
                <w:szCs w:val="18"/>
                <w:lang w:eastAsia="cs-CZ"/>
              </w:rPr>
              <w:t>-32</w:t>
            </w:r>
          </w:p>
        </w:tc>
        <w:tc>
          <w:tcPr>
            <w:tcW w:w="282"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color w:val="000000"/>
                <w:sz w:val="16"/>
                <w:szCs w:val="16"/>
                <w:lang w:eastAsia="cs-CZ"/>
              </w:rPr>
            </w:pPr>
            <w:r w:rsidRPr="00CB1C0A">
              <w:rPr>
                <w:rFonts w:ascii="Times New Roman" w:eastAsia="Times New Roman" w:hAnsi="Times New Roman" w:cs="Times New Roman"/>
                <w:color w:val="000000"/>
                <w:sz w:val="16"/>
                <w:szCs w:val="18"/>
                <w:lang w:eastAsia="cs-CZ"/>
              </w:rPr>
              <w:t>-32</w:t>
            </w:r>
          </w:p>
        </w:tc>
        <w:tc>
          <w:tcPr>
            <w:tcW w:w="282"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color w:val="000000"/>
                <w:sz w:val="16"/>
                <w:szCs w:val="16"/>
                <w:lang w:eastAsia="cs-CZ"/>
              </w:rPr>
            </w:pPr>
            <w:r w:rsidRPr="00CB1C0A">
              <w:rPr>
                <w:rFonts w:ascii="Times New Roman" w:eastAsia="Times New Roman" w:hAnsi="Times New Roman" w:cs="Times New Roman"/>
                <w:color w:val="000000"/>
                <w:sz w:val="16"/>
                <w:szCs w:val="18"/>
                <w:lang w:eastAsia="cs-CZ"/>
              </w:rPr>
              <w:t>-32</w:t>
            </w:r>
          </w:p>
        </w:tc>
        <w:tc>
          <w:tcPr>
            <w:tcW w:w="461"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color w:val="000000"/>
                <w:sz w:val="16"/>
                <w:szCs w:val="16"/>
                <w:lang w:eastAsia="cs-CZ"/>
              </w:rPr>
            </w:pPr>
            <w:r w:rsidRPr="00CB1C0A">
              <w:rPr>
                <w:rFonts w:ascii="Times New Roman" w:eastAsia="Times New Roman" w:hAnsi="Times New Roman" w:cs="Times New Roman"/>
                <w:color w:val="000000"/>
                <w:sz w:val="16"/>
                <w:szCs w:val="18"/>
                <w:lang w:eastAsia="cs-CZ"/>
              </w:rPr>
              <w:t>-</w:t>
            </w:r>
          </w:p>
        </w:tc>
        <w:tc>
          <w:tcPr>
            <w:tcW w:w="518"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color w:val="000000"/>
                <w:sz w:val="16"/>
                <w:szCs w:val="16"/>
                <w:lang w:eastAsia="cs-CZ"/>
              </w:rPr>
            </w:pPr>
            <w:r w:rsidRPr="00CB1C0A">
              <w:rPr>
                <w:rFonts w:ascii="Times New Roman" w:eastAsia="Times New Roman" w:hAnsi="Times New Roman" w:cs="Times New Roman"/>
                <w:color w:val="000000"/>
                <w:sz w:val="16"/>
                <w:szCs w:val="18"/>
                <w:lang w:eastAsia="cs-CZ"/>
              </w:rPr>
              <w:t>-</w:t>
            </w:r>
          </w:p>
        </w:tc>
      </w:tr>
    </w:tbl>
    <w:p w:rsidR="00AA17E3" w:rsidRPr="00CB1C0A" w:rsidRDefault="00AA17E3" w:rsidP="00AA17E3">
      <w:pPr>
        <w:spacing w:after="0" w:line="240" w:lineRule="auto"/>
        <w:rPr>
          <w:rFonts w:ascii="Times New Roman" w:hAnsi="Times New Roman" w:cs="Times New Roman"/>
          <w:i/>
          <w:color w:val="000000"/>
          <w:sz w:val="16"/>
          <w:szCs w:val="16"/>
          <w:lang w:eastAsia="sk-SK"/>
        </w:rPr>
      </w:pPr>
      <w:r w:rsidRPr="00CB1C0A">
        <w:rPr>
          <w:rFonts w:ascii="Times New Roman" w:hAnsi="Times New Roman" w:cs="Times New Roman"/>
          <w:i/>
          <w:color w:val="000000"/>
          <w:sz w:val="16"/>
          <w:szCs w:val="16"/>
          <w:lang w:eastAsia="sk-SK"/>
        </w:rPr>
        <w:t xml:space="preserve">* potenciál bol v Revízii výdavkov určený v cenách roku 2019 (resp. 2018)                                                                                    </w:t>
      </w:r>
      <w:r w:rsidRPr="00CB1C0A">
        <w:rPr>
          <w:rFonts w:ascii="Times New Roman" w:eastAsia="Times New Roman" w:hAnsi="Times New Roman" w:cs="Times New Roman"/>
          <w:i/>
          <w:sz w:val="16"/>
          <w:szCs w:val="16"/>
          <w:lang w:eastAsia="cs-CZ"/>
        </w:rPr>
        <w:t>Zdroj: MF SR</w:t>
      </w:r>
    </w:p>
    <w:p w:rsidR="00AA17E3" w:rsidRPr="00CB1C0A" w:rsidRDefault="00AA17E3" w:rsidP="00AA17E3">
      <w:pPr>
        <w:spacing w:after="0" w:line="240" w:lineRule="auto"/>
        <w:rPr>
          <w:rFonts w:ascii="Courier" w:eastAsia="Times New Roman" w:hAnsi="Courier" w:cs="Courier"/>
          <w:sz w:val="24"/>
          <w:szCs w:val="24"/>
          <w:lang w:eastAsia="cs-CZ"/>
        </w:rPr>
      </w:pPr>
      <w:r w:rsidRPr="00CB1C0A">
        <w:rPr>
          <w:rFonts w:ascii="Times New Roman" w:hAnsi="Times New Roman" w:cs="Times New Roman"/>
          <w:i/>
          <w:color w:val="000000"/>
          <w:sz w:val="16"/>
          <w:szCs w:val="16"/>
          <w:lang w:eastAsia="sk-SK"/>
        </w:rPr>
        <w:t xml:space="preserve">**z celkového potenciálu 333 mil. eur pripadá na dlhodobú zdravotnú starostlivosť približne 68 mil. eur, zvyšok pripadá na dlhodobú sociálnu starostlivosť                                                                                                                                              </w:t>
      </w:r>
    </w:p>
    <w:p w:rsidR="00AA17E3" w:rsidRPr="00CB1C0A" w:rsidRDefault="00AA17E3" w:rsidP="00AA17E3">
      <w:pPr>
        <w:spacing w:after="0" w:line="240" w:lineRule="auto"/>
        <w:jc w:val="both"/>
        <w:rPr>
          <w:rFonts w:ascii="Times New Roman" w:eastAsia="Times New Roman" w:hAnsi="Times New Roman" w:cs="Times New Roman"/>
          <w:b/>
          <w:color w:val="5B9BD5" w:themeColor="accent1"/>
          <w:sz w:val="24"/>
          <w:szCs w:val="24"/>
          <w:lang w:eastAsia="cs-CZ"/>
        </w:rPr>
      </w:pPr>
      <w:r w:rsidRPr="00CB1C0A">
        <w:rPr>
          <w:rFonts w:ascii="Times New Roman" w:eastAsia="Times New Roman" w:hAnsi="Times New Roman" w:cs="Times New Roman"/>
          <w:b/>
          <w:color w:val="5B9BD5" w:themeColor="accent1"/>
          <w:sz w:val="24"/>
          <w:szCs w:val="24"/>
          <w:lang w:eastAsia="cs-CZ"/>
        </w:rPr>
        <w:t xml:space="preserve">                                                                                                                             </w:t>
      </w:r>
    </w:p>
    <w:p w:rsidR="00AA17E3" w:rsidRPr="0040790F" w:rsidRDefault="00AA17E3" w:rsidP="00AA17E3">
      <w:pPr>
        <w:keepNext/>
        <w:keepLines/>
        <w:spacing w:before="40" w:after="0" w:line="240" w:lineRule="auto"/>
        <w:outlineLvl w:val="4"/>
        <w:rPr>
          <w:rFonts w:ascii="Times New Roman" w:eastAsiaTheme="majorEastAsia" w:hAnsi="Times New Roman" w:cs="Times New Roman"/>
          <w:b/>
          <w:color w:val="5B9BD5" w:themeColor="accent1"/>
          <w:sz w:val="24"/>
          <w:szCs w:val="24"/>
          <w:lang w:eastAsia="cs-CZ"/>
        </w:rPr>
      </w:pPr>
      <w:r w:rsidRPr="0040790F">
        <w:rPr>
          <w:rFonts w:ascii="Times New Roman" w:eastAsiaTheme="majorEastAsia" w:hAnsi="Times New Roman" w:cs="Times New Roman"/>
          <w:b/>
          <w:color w:val="5B9BD5" w:themeColor="accent1"/>
          <w:sz w:val="24"/>
          <w:szCs w:val="24"/>
          <w:lang w:eastAsia="cs-CZ"/>
        </w:rPr>
        <w:t>Úsporné opatrenia</w:t>
      </w:r>
    </w:p>
    <w:p w:rsidR="00AA17E3" w:rsidRPr="00CB1C0A" w:rsidRDefault="00AA17E3" w:rsidP="00AA17E3">
      <w:pPr>
        <w:spacing w:after="0" w:line="240" w:lineRule="auto"/>
        <w:jc w:val="both"/>
        <w:rPr>
          <w:rFonts w:ascii="Times New Roman" w:hAnsi="Times New Roman" w:cs="Times New Roman"/>
          <w:b/>
          <w:sz w:val="24"/>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Potenciál úsporných opatrení voči roku 2021 je 484 mil. eur</w:t>
      </w:r>
      <w:r w:rsidRPr="00CB1C0A">
        <w:rPr>
          <w:rFonts w:ascii="Times New Roman" w:hAnsi="Times New Roman" w:cs="Times New Roman"/>
          <w:noProof/>
          <w:sz w:val="24"/>
          <w:szCs w:val="24"/>
          <w:vertAlign w:val="superscript"/>
          <w:lang w:eastAsia="sk-SK"/>
        </w:rPr>
        <w:footnoteReference w:id="56"/>
      </w:r>
      <w:r w:rsidRPr="00CB1C0A">
        <w:rPr>
          <w:rFonts w:ascii="Times New Roman" w:hAnsi="Times New Roman" w:cs="Times New Roman"/>
          <w:noProof/>
          <w:sz w:val="24"/>
          <w:szCs w:val="24"/>
          <w:lang w:eastAsia="sk-SK"/>
        </w:rPr>
        <w:t xml:space="preserve">. Niektoré opatrenia nie je možné naplniť hneď, vyžadujú si postupný nábeh, niektoré až 10 rokov. </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eastAsia="Calibri" w:hAnsi="Times New Roman" w:cs="Times New Roman"/>
          <w:sz w:val="24"/>
          <w:szCs w:val="24"/>
        </w:rPr>
      </w:pPr>
      <w:r w:rsidRPr="00CB1C0A">
        <w:rPr>
          <w:rFonts w:ascii="Times New Roman" w:eastAsia="Calibri" w:hAnsi="Times New Roman" w:cs="Times New Roman"/>
          <w:sz w:val="24"/>
          <w:szCs w:val="24"/>
        </w:rPr>
        <w:t>Úsporné opatrenia sa zameriavajú na oblasti zdravotníctva, v ktorých dochádza k neefektívnemu využívaniu zdrojov. Vyššia efektivita sa dosiahne vďaka presunom ušetrených zdrojov do opatrení v prioritných „hodnotových“ oblastiach, ktoré sú popísané vyššie.</w:t>
      </w:r>
    </w:p>
    <w:p w:rsidR="00AA17E3" w:rsidRPr="00CB1C0A" w:rsidRDefault="00AA17E3" w:rsidP="00AA17E3">
      <w:pPr>
        <w:spacing w:after="0" w:line="240" w:lineRule="auto"/>
        <w:jc w:val="both"/>
        <w:rPr>
          <w:rFonts w:ascii="Times New Roman" w:eastAsia="Calibri" w:hAnsi="Times New Roman" w:cs="Times New Roman"/>
          <w:sz w:val="24"/>
          <w:szCs w:val="24"/>
        </w:rPr>
      </w:pPr>
    </w:p>
    <w:p w:rsidR="00AA17E3" w:rsidRPr="00CB1C0A" w:rsidRDefault="00AA17E3" w:rsidP="00AA17E3">
      <w:pPr>
        <w:spacing w:after="0" w:line="240" w:lineRule="auto"/>
        <w:jc w:val="both"/>
        <w:rPr>
          <w:rFonts w:ascii="Times New Roman" w:eastAsia="Calibri" w:hAnsi="Times New Roman" w:cs="Times New Roman"/>
          <w:sz w:val="24"/>
          <w:szCs w:val="24"/>
          <w:lang w:eastAsia="cs-CZ"/>
        </w:rPr>
      </w:pPr>
      <w:r w:rsidRPr="00CB1C0A">
        <w:rPr>
          <w:rFonts w:ascii="Times New Roman" w:eastAsia="Calibri" w:hAnsi="Times New Roman" w:cs="Times New Roman"/>
          <w:sz w:val="24"/>
          <w:szCs w:val="24"/>
          <w:lang w:eastAsia="cs-CZ"/>
        </w:rPr>
        <w:t xml:space="preserve">V roku 2022 budú realizované úsporné opatrenia z verejného zdravotného poistenia vo výške 249 mil. eur. V rokoch 2023 a 2024 sa navýši efekt úsporných opatrení voči roku 2021 na 315 mil. eur, respektíve 342 mil. eur. </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eastAsia="Calibri" w:hAnsi="Times New Roman" w:cs="Times New Roman"/>
          <w:sz w:val="24"/>
          <w:szCs w:val="24"/>
        </w:rPr>
      </w:pPr>
      <w:r w:rsidRPr="00CB1C0A">
        <w:rPr>
          <w:rFonts w:ascii="Times New Roman" w:eastAsia="Calibri" w:hAnsi="Times New Roman" w:cs="Times New Roman"/>
          <w:sz w:val="24"/>
          <w:szCs w:val="24"/>
        </w:rPr>
        <w:t>Pacienti na Slovensku sú nadmerne hospitalizovaní na choroby, ktorým možno predísť kvalitnejšou ambulantnou starostlivosťou. Znížením počtu odvrátiteľných hospitalizácií na úroveň krajín V3 možno ušetriť vyše 5 mil. eur v roku 202</w:t>
      </w:r>
      <w:r w:rsidR="00432887">
        <w:rPr>
          <w:rFonts w:ascii="Times New Roman" w:eastAsia="Calibri" w:hAnsi="Times New Roman" w:cs="Times New Roman"/>
          <w:sz w:val="24"/>
          <w:szCs w:val="24"/>
        </w:rPr>
        <w:t>2 (č. 21). Dosiahnutie úspory sú</w:t>
      </w:r>
      <w:r w:rsidRPr="00CB1C0A">
        <w:rPr>
          <w:rFonts w:ascii="Times New Roman" w:eastAsia="Calibri" w:hAnsi="Times New Roman" w:cs="Times New Roman"/>
          <w:sz w:val="24"/>
          <w:szCs w:val="24"/>
        </w:rPr>
        <w:t xml:space="preserve"> previazané s reformou ambulantnej zdravotnej starostlivosti.</w:t>
      </w:r>
    </w:p>
    <w:p w:rsidR="00AA17E3" w:rsidRPr="00CB1C0A" w:rsidRDefault="00AA17E3" w:rsidP="00AA17E3">
      <w:pPr>
        <w:spacing w:after="0" w:line="240" w:lineRule="auto"/>
        <w:jc w:val="both"/>
        <w:rPr>
          <w:rFonts w:ascii="Times New Roman" w:eastAsia="Calibri" w:hAnsi="Times New Roman" w:cs="Times New Roman"/>
          <w:sz w:val="24"/>
          <w:szCs w:val="24"/>
          <w:highlight w:val="yellow"/>
          <w:lang w:eastAsia="cs-CZ"/>
        </w:rPr>
      </w:pPr>
    </w:p>
    <w:p w:rsidR="00AA17E3" w:rsidRPr="00CB1C0A" w:rsidRDefault="00AA17E3" w:rsidP="00AA17E3">
      <w:pPr>
        <w:spacing w:after="0" w:line="240" w:lineRule="auto"/>
        <w:jc w:val="both"/>
        <w:rPr>
          <w:rFonts w:ascii="Times New Roman" w:hAnsi="Times New Roman" w:cs="Times New Roman"/>
          <w:noProof/>
          <w:sz w:val="24"/>
          <w:szCs w:val="24"/>
          <w:highlight w:val="yellow"/>
          <w:lang w:eastAsia="sk-SK"/>
        </w:rPr>
      </w:pPr>
      <w:r w:rsidRPr="00CB1C0A">
        <w:rPr>
          <w:rFonts w:ascii="Times New Roman" w:hAnsi="Times New Roman" w:cs="Times New Roman"/>
          <w:noProof/>
          <w:sz w:val="24"/>
          <w:szCs w:val="24"/>
          <w:lang w:eastAsia="sk-SK"/>
        </w:rPr>
        <w:t xml:space="preserve">Lepšia organizácia ambulantnej starostlivosti môže priniesť znížením využívania špecializovanej ambulantnej starostlivosti (ŠAS) potenciálne až 207 mil. eur ročne (č. 22). Špecializovaná ambulantná starostlivosť je na Slovensku využívaná nadmerne, aj na výkony, ktoré v západných krajinách robia všeobecní lekári. Je to zapríčinené najvyšším počtom návštev lekára na obyvateľa z krajín EÚ a vysokou mierou predpisovania vyšetrení u špecialistov všeobecnými lekármi. Dôvodom je, že časť zdravotnej starostlivosti, ktorú na Slovensku poskytujú špecialisti, v zahraničí vykonávajú všeobecní lekári so širšími kompetenciami. Ušetrené zdroje môžu byť efektívnejšie rozdelené napríklad na rozvoj všeobecnej ambulantnej starostlivosti. </w:t>
      </w:r>
      <w:r w:rsidRPr="00CB1C0A">
        <w:rPr>
          <w:rFonts w:ascii="Times New Roman" w:hAnsi="Times New Roman" w:cs="Times New Roman"/>
          <w:noProof/>
          <w:sz w:val="24"/>
          <w:szCs w:val="24"/>
          <w:highlight w:val="yellow"/>
          <w:lang w:eastAsia="sk-SK"/>
        </w:rPr>
        <w:t xml:space="preserve"> </w:t>
      </w:r>
    </w:p>
    <w:p w:rsidR="00AA17E3" w:rsidRPr="00CB1C0A" w:rsidRDefault="00AA17E3" w:rsidP="00AA17E3">
      <w:pPr>
        <w:spacing w:after="0"/>
        <w:jc w:val="both"/>
        <w:rPr>
          <w:rFonts w:ascii="Times New Roman" w:hAnsi="Times New Roman" w:cs="Times New Roman"/>
          <w:noProof/>
          <w:sz w:val="24"/>
          <w:szCs w:val="24"/>
          <w:highlight w:val="yellow"/>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V liekovej politike sú potenciálne úspory 152 mil. eur ročne, z to</w:t>
      </w:r>
      <w:r w:rsidR="008058F2">
        <w:rPr>
          <w:rFonts w:ascii="Times New Roman" w:hAnsi="Times New Roman" w:cs="Times New Roman"/>
          <w:noProof/>
          <w:sz w:val="24"/>
          <w:szCs w:val="24"/>
          <w:lang w:eastAsia="sk-SK"/>
        </w:rPr>
        <w:t>ho v roku 2022 je možné dosiahnu</w:t>
      </w:r>
      <w:r w:rsidRPr="00CB1C0A">
        <w:rPr>
          <w:rFonts w:ascii="Times New Roman" w:hAnsi="Times New Roman" w:cs="Times New Roman"/>
          <w:noProof/>
          <w:sz w:val="24"/>
          <w:szCs w:val="24"/>
          <w:lang w:eastAsia="sk-SK"/>
        </w:rPr>
        <w:t>ť úsporu 129 mil. eur (č. 23 – 31). Priestor je najmä v znížení celkových výdavkov na lieky, ktoré nespĺňajú kritéria nákladovej efektívnosti (č. 23) a v rozširovaní centrálnych nákupov (č. 24).</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Revízia výdavkov identifikovala potenciálnu úsporu aj v nadspotrebe liekov – antibiotík (č. 25). Nadmerná preskripcia v prípadoch, kedy nie sú potrebné je spojená s medicínskymi rizikami aj neefektívnym využitím obmedzených zdrojov. Kvôli vysokej spotrebe antibiotík sa baktérie stávajú odolnými voči liečbe, čo ohrozuje celú populáciu, nie len pacienta, ktorý ich užíva pričasto. Lepšia informovanosť lekárov a pacientov či efektívnejšie využívanie CRP vyšetrení u všeobecných lekár</w:t>
      </w:r>
      <w:r w:rsidR="008058F2">
        <w:rPr>
          <w:rFonts w:ascii="Times New Roman" w:hAnsi="Times New Roman" w:cs="Times New Roman"/>
          <w:noProof/>
          <w:sz w:val="24"/>
          <w:szCs w:val="24"/>
          <w:lang w:eastAsia="sk-SK"/>
        </w:rPr>
        <w:t>ov a na pohotovostiach môže pomô</w:t>
      </w:r>
      <w:r w:rsidRPr="00CB1C0A">
        <w:rPr>
          <w:rFonts w:ascii="Times New Roman" w:hAnsi="Times New Roman" w:cs="Times New Roman"/>
          <w:noProof/>
          <w:sz w:val="24"/>
          <w:szCs w:val="24"/>
          <w:lang w:eastAsia="sk-SK"/>
        </w:rPr>
        <w:t>cť k výraznému zníženiu preskripcie antibiotík a šetreniu finančných prostriedkov.</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eastAsia="Calibri" w:hAnsi="Times New Roman" w:cs="Times New Roman"/>
          <w:sz w:val="24"/>
          <w:szCs w:val="24"/>
          <w:lang w:eastAsia="cs-CZ"/>
        </w:rPr>
      </w:pPr>
      <w:r w:rsidRPr="00CB1C0A">
        <w:rPr>
          <w:rFonts w:ascii="Times New Roman" w:hAnsi="Times New Roman" w:cs="Times New Roman"/>
          <w:noProof/>
          <w:sz w:val="24"/>
          <w:szCs w:val="24"/>
          <w:lang w:eastAsia="sk-SK"/>
        </w:rPr>
        <w:t xml:space="preserve">Úspora vznikne tiež  podporou vstupu lacnejších liekov - generík a biosimilárov (č. 26) - do systému. Ich vstupom dôjde k úprave úhrad za ostatné zameniteľné lieky. </w:t>
      </w:r>
      <w:r w:rsidRPr="00CB1C0A">
        <w:rPr>
          <w:rFonts w:ascii="Times New Roman" w:eastAsia="Calibri" w:hAnsi="Times New Roman" w:cs="Times New Roman"/>
          <w:sz w:val="24"/>
          <w:szCs w:val="24"/>
          <w:lang w:eastAsia="cs-CZ"/>
        </w:rPr>
        <w:t xml:space="preserve">Legislatíva umožňuje porovnávať so zahraničím 2x ročne lieky, ktoré prišli do systému v posledných 3 rokoch </w:t>
      </w:r>
      <w:r w:rsidR="00432887">
        <w:rPr>
          <w:rFonts w:ascii="Times New Roman" w:eastAsia="Calibri" w:hAnsi="Times New Roman" w:cs="Times New Roman"/>
          <w:sz w:val="24"/>
          <w:szCs w:val="24"/>
          <w:lang w:eastAsia="cs-CZ"/>
        </w:rPr>
        <w:br/>
      </w:r>
      <w:r w:rsidRPr="00CB1C0A">
        <w:rPr>
          <w:rFonts w:ascii="Times New Roman" w:eastAsia="Calibri" w:hAnsi="Times New Roman" w:cs="Times New Roman"/>
          <w:sz w:val="24"/>
          <w:szCs w:val="24"/>
          <w:lang w:eastAsia="cs-CZ"/>
        </w:rPr>
        <w:t>(č. 27).</w:t>
      </w:r>
    </w:p>
    <w:p w:rsidR="00AA17E3" w:rsidRPr="00CB1C0A" w:rsidRDefault="00AA17E3" w:rsidP="00AA17E3">
      <w:pPr>
        <w:spacing w:after="0"/>
        <w:jc w:val="both"/>
        <w:rPr>
          <w:rFonts w:ascii="Times New Roman" w:eastAsia="Calibri" w:hAnsi="Times New Roman" w:cs="Times New Roman"/>
          <w:sz w:val="24"/>
          <w:szCs w:val="24"/>
          <w:lang w:eastAsia="cs-CZ"/>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Výdavky na lieky negatívne ovplyvňuje aj duplicitná preskripcia a nežiadúce liekové interakcie (č. 29). Postupné zavádzanie a spustenie modulov elektronického zdravotníctva do praxe im pomôže predchádzať a prinesie úsporu verejných financií (č. 28). </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Popri úsporných opatreniach v liekovej politike rozpočet počíta s podporou inovatívnej liečby (č. 6) prostredníctvom zlepšenia podmienok na vstu</w:t>
      </w:r>
      <w:r w:rsidR="008058F2">
        <w:rPr>
          <w:rFonts w:ascii="Times New Roman" w:hAnsi="Times New Roman" w:cs="Times New Roman"/>
          <w:noProof/>
          <w:sz w:val="24"/>
          <w:szCs w:val="24"/>
          <w:lang w:eastAsia="sk-SK"/>
        </w:rPr>
        <w:t>p preukázateľné účinných inovatívny</w:t>
      </w:r>
      <w:r w:rsidRPr="00CB1C0A">
        <w:rPr>
          <w:rFonts w:ascii="Times New Roman" w:hAnsi="Times New Roman" w:cs="Times New Roman"/>
          <w:noProof/>
          <w:sz w:val="24"/>
          <w:szCs w:val="24"/>
          <w:lang w:eastAsia="sk-SK"/>
        </w:rPr>
        <w:t xml:space="preserve">ch liekov na slovenský trh, či odstránením rozdielneho </w:t>
      </w:r>
      <w:r w:rsidRPr="00CB1C0A">
        <w:rPr>
          <w:rFonts w:ascii="Times New Roman" w:eastAsia="Times New Roman" w:hAnsi="Times New Roman" w:cs="Times New Roman"/>
          <w:sz w:val="24"/>
          <w:szCs w:val="24"/>
          <w:lang w:eastAsia="cs-CZ"/>
        </w:rPr>
        <w:t xml:space="preserve">prístupu pacientov k liečbe. Zároveň </w:t>
      </w:r>
      <w:r w:rsidRPr="00CB1C0A">
        <w:rPr>
          <w:rFonts w:ascii="Times New Roman" w:hAnsi="Times New Roman" w:cs="Times New Roman"/>
          <w:noProof/>
          <w:sz w:val="24"/>
          <w:szCs w:val="24"/>
          <w:lang w:eastAsia="sk-SK"/>
        </w:rPr>
        <w:t xml:space="preserve">je potrebné, aby z prostriedkov verejného zdravotného poistenia boli lieky uhrádzané vo výške zodpovedajúcej náležite preukázanému klinickému prínosu, ktorý liek pacientovi prináša, a vynakladanie verejných zdrojov bolo tak efektívne a účelné. </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Podpora inovatívnej liečby bude čiastočne zabezpečená optimalizáciou v oblasti liekov na výnimku (č. 30). Prehodnotenie úhrad liekov na výnimky a stanovenie jasných pravidiel sprehľadní systém, prinesie úsporu verejných financií a zabezpečí vyššiu hodnotu za peniaze pre pacienta a celý sektor zdravotníctva.</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Optimalizácia a lepšie riadenie v liekovej politike a v zdravotníckych technológiách sú priamo previazané so vznikom a</w:t>
      </w:r>
      <w:r w:rsidR="00942A58">
        <w:rPr>
          <w:rFonts w:ascii="Times New Roman" w:hAnsi="Times New Roman" w:cs="Times New Roman"/>
          <w:noProof/>
          <w:sz w:val="24"/>
          <w:szCs w:val="24"/>
          <w:lang w:eastAsia="sk-SK"/>
        </w:rPr>
        <w:t> </w:t>
      </w:r>
      <w:r w:rsidRPr="00CB1C0A">
        <w:rPr>
          <w:rFonts w:ascii="Times New Roman" w:hAnsi="Times New Roman" w:cs="Times New Roman"/>
          <w:noProof/>
          <w:sz w:val="24"/>
          <w:szCs w:val="24"/>
          <w:lang w:eastAsia="sk-SK"/>
        </w:rPr>
        <w:t>činnosťou</w:t>
      </w:r>
      <w:r w:rsidR="00942A58">
        <w:rPr>
          <w:rFonts w:ascii="Times New Roman" w:hAnsi="Times New Roman" w:cs="Times New Roman"/>
          <w:noProof/>
          <w:sz w:val="24"/>
          <w:szCs w:val="24"/>
          <w:lang w:eastAsia="sk-SK"/>
        </w:rPr>
        <w:t xml:space="preserve"> </w:t>
      </w:r>
      <w:r w:rsidR="00942A58" w:rsidRPr="00942A58">
        <w:rPr>
          <w:rFonts w:ascii="Times New Roman" w:hAnsi="Times New Roman" w:cs="Times New Roman"/>
          <w:noProof/>
          <w:sz w:val="24"/>
          <w:szCs w:val="24"/>
          <w:lang w:eastAsia="sk-SK"/>
        </w:rPr>
        <w:t>Národného inštitútu pre hodnotu a technológie v zdravotníctve</w:t>
      </w:r>
      <w:r w:rsidRPr="00CB1C0A">
        <w:rPr>
          <w:rFonts w:ascii="Times New Roman" w:hAnsi="Times New Roman" w:cs="Times New Roman"/>
          <w:noProof/>
          <w:sz w:val="24"/>
          <w:szCs w:val="24"/>
          <w:lang w:eastAsia="sk-SK"/>
        </w:rPr>
        <w:t xml:space="preserve">. Medzi hlavné úlohy inštitútu bude patriť hodnotenie klinických a ekonomických prínosov nových, ale aj už hradených zdravotníckych technológií, vrátane liekov. </w:t>
      </w:r>
    </w:p>
    <w:p w:rsidR="00AA17E3" w:rsidRPr="00CB1C0A" w:rsidRDefault="00AA17E3" w:rsidP="00AA17E3">
      <w:pPr>
        <w:spacing w:after="0" w:line="240" w:lineRule="auto"/>
        <w:jc w:val="both"/>
        <w:rPr>
          <w:rFonts w:ascii="Times New Roman" w:eastAsia="Times New Roman" w:hAnsi="Times New Roman" w:cs="Times New Roman"/>
          <w:noProof/>
          <w:sz w:val="24"/>
          <w:szCs w:val="24"/>
          <w:highlight w:val="yellow"/>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 xml:space="preserve">Potenciál ostatných úsporných opatrení je 82 mil. eur ročne, z toho 69 mil. eur sa dosiahne v roku 2022. </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Ide najmä o znižovanie nadmerného využívania a jednotkových cien laboratórnej a zobrazovacej diagnostiky (č. 32 – 34), efektívnejší nákup zdravotníckych pomôcok (č. 35 – 37) a zlepšenie v revíznej činnosti a v prevádzke Všeobecnej zdravotnej poisťovne, a.s. (ďalej len „VšZP“) (č. 39–40). Prvé úspory zo zníženia miery cisárskych rezov a počtu tehotenských vyšetrení po vzore západných krajín v roku 2022 by mala priniesť implementácia schválených štandardných postupov (č. 38).</w:t>
      </w:r>
    </w:p>
    <w:p w:rsidR="00AA17E3" w:rsidRPr="00CB1C0A" w:rsidRDefault="00AA17E3" w:rsidP="00AA17E3">
      <w:pPr>
        <w:spacing w:after="0" w:line="240" w:lineRule="auto"/>
        <w:jc w:val="both"/>
        <w:rPr>
          <w:rFonts w:ascii="Times New Roman" w:hAnsi="Times New Roman" w:cs="Times New Roman"/>
          <w:noProof/>
          <w:sz w:val="24"/>
          <w:szCs w:val="24"/>
          <w:lang w:eastAsia="sk-SK"/>
        </w:rPr>
      </w:pP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noProof/>
          <w:sz w:val="24"/>
          <w:szCs w:val="24"/>
          <w:lang w:eastAsia="sk-SK"/>
        </w:rPr>
        <w:t>Pri návrhu rozpočtu na roky 2022-2024 boli identifikované nové úsporné opatrenia vo výške 35 mil. eur ročne. Vo Všeobecnej zdravotnej poisťovni, a.s. prinesie eliminácia rozdielnych cien v ŠAS (č. 41) ročnú úsporu 10 mil. eur. Zníženie úhrad za výkon PCR testov na úroveň ČR (č. 42) prinesie v budúcom roku úsporu 25 mil. eur.</w:t>
      </w:r>
    </w:p>
    <w:p w:rsidR="00AA17E3" w:rsidRPr="00CB1C0A" w:rsidRDefault="00AA17E3" w:rsidP="00AA17E3">
      <w:pPr>
        <w:spacing w:after="0"/>
        <w:jc w:val="both"/>
        <w:rPr>
          <w:rFonts w:ascii="Times New Roman" w:hAnsi="Times New Roman" w:cs="Times New Roman"/>
          <w:noProof/>
          <w:sz w:val="24"/>
          <w:szCs w:val="24"/>
          <w:lang w:eastAsia="sk-SK"/>
        </w:rPr>
      </w:pPr>
    </w:p>
    <w:p w:rsidR="00AA17E3" w:rsidRDefault="00AA17E3" w:rsidP="00AA17E3">
      <w:pPr>
        <w:spacing w:after="0" w:line="240" w:lineRule="auto"/>
        <w:rPr>
          <w:rFonts w:ascii="Times New Roman" w:eastAsia="Times New Roman" w:hAnsi="Times New Roman" w:cs="Times New Roman"/>
          <w:noProof/>
          <w:sz w:val="24"/>
          <w:szCs w:val="24"/>
          <w:lang w:eastAsia="sk-SK"/>
        </w:rPr>
      </w:pPr>
      <w:r w:rsidRPr="00CB1C0A">
        <w:rPr>
          <w:rFonts w:ascii="Times New Roman" w:eastAsia="Times New Roman" w:hAnsi="Times New Roman" w:cs="Times New Roman"/>
          <w:noProof/>
          <w:sz w:val="24"/>
          <w:szCs w:val="24"/>
          <w:lang w:eastAsia="sk-SK"/>
        </w:rPr>
        <w:t>V nasledujúcej tabuľke sú uvedené kumulatívne úspory výdavkov, teda pre všetky roky 2022, 2023 a 2024 ide o úsporu voči roku 2021.</w:t>
      </w:r>
    </w:p>
    <w:p w:rsidR="00FA7DE1" w:rsidRDefault="00FA7DE1"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Default="00FD61F0" w:rsidP="00AA17E3">
      <w:pPr>
        <w:spacing w:after="0" w:line="240" w:lineRule="auto"/>
        <w:rPr>
          <w:rFonts w:ascii="Times New Roman" w:eastAsia="Times New Roman" w:hAnsi="Times New Roman" w:cs="Times New Roman"/>
          <w:noProof/>
          <w:sz w:val="24"/>
          <w:szCs w:val="24"/>
          <w:lang w:eastAsia="sk-SK"/>
        </w:rPr>
      </w:pPr>
    </w:p>
    <w:p w:rsidR="00FD61F0" w:rsidRPr="00CB1C0A" w:rsidRDefault="00FD61F0" w:rsidP="00AA17E3">
      <w:pPr>
        <w:spacing w:after="0" w:line="240" w:lineRule="auto"/>
        <w:rPr>
          <w:rFonts w:ascii="Times New Roman" w:eastAsia="Times New Roman" w:hAnsi="Times New Roman" w:cs="Times New Roman"/>
          <w:noProof/>
          <w:sz w:val="24"/>
          <w:szCs w:val="24"/>
          <w:lang w:eastAsia="sk-SK"/>
        </w:rPr>
      </w:pPr>
    </w:p>
    <w:p w:rsidR="00AA17E3" w:rsidRPr="00CB1C0A" w:rsidRDefault="00AA17E3" w:rsidP="00AA17E3">
      <w:pPr>
        <w:spacing w:after="0" w:line="240" w:lineRule="auto"/>
        <w:rPr>
          <w:rFonts w:ascii="Times New Roman" w:eastAsia="Times New Roman" w:hAnsi="Times New Roman" w:cs="Times New Roman"/>
          <w:noProof/>
          <w:sz w:val="24"/>
          <w:szCs w:val="24"/>
          <w:lang w:eastAsia="sk-SK"/>
        </w:rPr>
      </w:pPr>
    </w:p>
    <w:p w:rsidR="00AA17E3" w:rsidRPr="00CB1C0A" w:rsidRDefault="00AA17E3" w:rsidP="00AA17E3">
      <w:pPr>
        <w:keepNext/>
        <w:spacing w:after="0" w:line="240" w:lineRule="auto"/>
        <w:rPr>
          <w:rFonts w:ascii="Times New Roman" w:hAnsi="Times New Roman" w:cs="Times New Roman"/>
          <w:b/>
          <w:iCs/>
          <w:color w:val="5B9BD5" w:themeColor="accent1"/>
          <w:sz w:val="20"/>
          <w:szCs w:val="20"/>
        </w:rPr>
      </w:pPr>
      <w:bookmarkStart w:id="362" w:name="_Toc53054813"/>
      <w:bookmarkStart w:id="363" w:name="_Toc53078005"/>
      <w:bookmarkStart w:id="364" w:name="_Toc53086407"/>
      <w:bookmarkStart w:id="365" w:name="_Toc84528430"/>
      <w:bookmarkStart w:id="366" w:name="_Toc84845306"/>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82</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Zmena výdavkov voči roku 2021 - VZP - úsporné opatrenia - Hodnota za peniaze</w:t>
      </w:r>
      <w:bookmarkEnd w:id="362"/>
      <w:bookmarkEnd w:id="363"/>
      <w:bookmarkEnd w:id="364"/>
      <w:bookmarkEnd w:id="365"/>
      <w:bookmarkEnd w:id="366"/>
    </w:p>
    <w:tbl>
      <w:tblPr>
        <w:tblW w:w="5027" w:type="pct"/>
        <w:tblLayout w:type="fixed"/>
        <w:tblCellMar>
          <w:left w:w="70" w:type="dxa"/>
          <w:right w:w="70" w:type="dxa"/>
        </w:tblCellMar>
        <w:tblLook w:val="04A0" w:firstRow="1" w:lastRow="0" w:firstColumn="1" w:lastColumn="0" w:noHBand="0" w:noVBand="1"/>
      </w:tblPr>
      <w:tblGrid>
        <w:gridCol w:w="638"/>
        <w:gridCol w:w="5062"/>
        <w:gridCol w:w="624"/>
        <w:gridCol w:w="503"/>
        <w:gridCol w:w="503"/>
        <w:gridCol w:w="941"/>
        <w:gridCol w:w="850"/>
      </w:tblGrid>
      <w:tr w:rsidR="00AA17E3" w:rsidRPr="00CB1C0A" w:rsidTr="00AA17E3">
        <w:trPr>
          <w:trHeight w:val="448"/>
          <w:tblHeader/>
        </w:trPr>
        <w:tc>
          <w:tcPr>
            <w:tcW w:w="349" w:type="pct"/>
            <w:tcBorders>
              <w:top w:val="single" w:sz="4" w:space="0" w:color="auto"/>
              <w:bottom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č.</w:t>
            </w:r>
          </w:p>
        </w:tc>
        <w:tc>
          <w:tcPr>
            <w:tcW w:w="2775" w:type="pct"/>
            <w:tcBorders>
              <w:top w:val="single" w:sz="4" w:space="0" w:color="auto"/>
              <w:bottom w:val="single" w:sz="4" w:space="0" w:color="auto"/>
            </w:tcBorders>
            <w:shd w:val="clear" w:color="auto" w:fill="auto"/>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mil. eur</w:t>
            </w:r>
          </w:p>
        </w:tc>
        <w:tc>
          <w:tcPr>
            <w:tcW w:w="342" w:type="pct"/>
            <w:tcBorders>
              <w:top w:val="single" w:sz="4" w:space="0" w:color="auto"/>
              <w:bottom w:val="single" w:sz="4" w:space="0" w:color="auto"/>
            </w:tcBorders>
            <w:shd w:val="clear" w:color="auto" w:fill="auto"/>
            <w:vAlign w:val="bottom"/>
            <w:hideMark/>
          </w:tcPr>
          <w:p w:rsidR="00AA17E3" w:rsidRPr="00CB1C0A" w:rsidRDefault="00AA17E3" w:rsidP="00AA17E3">
            <w:pPr>
              <w:jc w:val="right"/>
              <w:rPr>
                <w:rFonts w:ascii="Times New Roman" w:hAnsi="Times New Roman" w:cs="Times New Roman"/>
                <w:color w:val="000000"/>
                <w:sz w:val="16"/>
                <w:szCs w:val="16"/>
              </w:rPr>
            </w:pPr>
            <w:r w:rsidRPr="00CB1C0A">
              <w:rPr>
                <w:rFonts w:ascii="Times New Roman" w:hAnsi="Times New Roman" w:cs="Times New Roman"/>
                <w:color w:val="000000"/>
                <w:sz w:val="16"/>
                <w:szCs w:val="16"/>
              </w:rPr>
              <w:t>2022</w:t>
            </w:r>
          </w:p>
        </w:tc>
        <w:tc>
          <w:tcPr>
            <w:tcW w:w="276" w:type="pct"/>
            <w:tcBorders>
              <w:top w:val="single" w:sz="4" w:space="0" w:color="auto"/>
              <w:bottom w:val="single" w:sz="4" w:space="0" w:color="auto"/>
            </w:tcBorders>
            <w:shd w:val="clear" w:color="auto" w:fill="auto"/>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rPr>
              <w:t>2023</w:t>
            </w:r>
          </w:p>
        </w:tc>
        <w:tc>
          <w:tcPr>
            <w:tcW w:w="276" w:type="pct"/>
            <w:tcBorders>
              <w:top w:val="single" w:sz="4" w:space="0" w:color="auto"/>
              <w:bottom w:val="single" w:sz="4" w:space="0" w:color="auto"/>
            </w:tcBorders>
            <w:shd w:val="clear" w:color="auto" w:fill="auto"/>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rPr>
              <w:t>2024</w:t>
            </w:r>
          </w:p>
        </w:tc>
        <w:tc>
          <w:tcPr>
            <w:tcW w:w="516"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Potenciál voči 2021*</w:t>
            </w:r>
          </w:p>
        </w:tc>
        <w:tc>
          <w:tcPr>
            <w:tcW w:w="467" w:type="pct"/>
            <w:tcBorders>
              <w:top w:val="single" w:sz="4" w:space="0" w:color="auto"/>
              <w:bottom w:val="single" w:sz="4" w:space="0" w:color="auto"/>
            </w:tcBorders>
            <w:shd w:val="clear" w:color="auto" w:fill="auto"/>
            <w:vAlign w:val="bottom"/>
            <w:hideMark/>
          </w:tcPr>
          <w:p w:rsidR="00AA17E3" w:rsidRPr="00CB1C0A" w:rsidRDefault="00AA17E3" w:rsidP="00AA17E3">
            <w:pPr>
              <w:jc w:val="center"/>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rPr>
              <w:t>Horizont plnenia voči 2021</w:t>
            </w:r>
          </w:p>
        </w:tc>
      </w:tr>
      <w:tr w:rsidR="00AA17E3" w:rsidRPr="00CB1C0A" w:rsidTr="00AA17E3">
        <w:trPr>
          <w:trHeight w:val="236"/>
        </w:trPr>
        <w:tc>
          <w:tcPr>
            <w:tcW w:w="349" w:type="pct"/>
            <w:tcBorders>
              <w:top w:val="single" w:sz="4" w:space="0" w:color="auto"/>
            </w:tcBorders>
            <w:shd w:val="clear" w:color="auto" w:fill="auto"/>
            <w:noWrap/>
            <w:vAlign w:val="bottom"/>
            <w:hideMark/>
          </w:tcPr>
          <w:p w:rsidR="00AA17E3" w:rsidRPr="00CB1C0A" w:rsidRDefault="00AA17E3" w:rsidP="00AA17E3">
            <w:pPr>
              <w:rPr>
                <w:rFonts w:ascii="Times New Roman" w:hAnsi="Times New Roman" w:cs="Times New Roman"/>
                <w:b/>
                <w:bCs/>
                <w:color w:val="000000"/>
                <w:sz w:val="16"/>
                <w:szCs w:val="16"/>
                <w:lang w:eastAsia="sk-SK"/>
              </w:rPr>
            </w:pPr>
            <w:r w:rsidRPr="00CB1C0A">
              <w:rPr>
                <w:rFonts w:ascii="Times New Roman" w:hAnsi="Times New Roman" w:cs="Times New Roman"/>
                <w:b/>
                <w:bCs/>
                <w:color w:val="000000"/>
                <w:sz w:val="16"/>
                <w:szCs w:val="16"/>
                <w:lang w:eastAsia="sk-SK"/>
              </w:rPr>
              <w:t> </w:t>
            </w:r>
          </w:p>
        </w:tc>
        <w:tc>
          <w:tcPr>
            <w:tcW w:w="2775" w:type="pct"/>
            <w:tcBorders>
              <w:top w:val="single" w:sz="4" w:space="0" w:color="auto"/>
            </w:tcBorders>
            <w:shd w:val="clear" w:color="auto" w:fill="auto"/>
            <w:noWrap/>
            <w:vAlign w:val="bottom"/>
            <w:hideMark/>
          </w:tcPr>
          <w:p w:rsidR="00AA17E3" w:rsidRPr="00CB1C0A" w:rsidRDefault="00AA17E3" w:rsidP="00AA17E3">
            <w:pPr>
              <w:rPr>
                <w:rFonts w:ascii="Times New Roman" w:hAnsi="Times New Roman" w:cs="Times New Roman"/>
                <w:b/>
                <w:bCs/>
                <w:color w:val="000000"/>
                <w:sz w:val="16"/>
                <w:szCs w:val="16"/>
                <w:lang w:eastAsia="sk-SK"/>
              </w:rPr>
            </w:pPr>
            <w:r w:rsidRPr="00CB1C0A">
              <w:rPr>
                <w:rFonts w:ascii="Times New Roman" w:hAnsi="Times New Roman" w:cs="Times New Roman"/>
                <w:b/>
                <w:bCs/>
                <w:color w:val="000000"/>
                <w:sz w:val="16"/>
                <w:szCs w:val="16"/>
                <w:lang w:eastAsia="sk-SK"/>
              </w:rPr>
              <w:t>SPOLU</w:t>
            </w:r>
          </w:p>
        </w:tc>
        <w:tc>
          <w:tcPr>
            <w:tcW w:w="342"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-249</w:t>
            </w:r>
          </w:p>
        </w:tc>
        <w:tc>
          <w:tcPr>
            <w:tcW w:w="276"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-315</w:t>
            </w:r>
          </w:p>
        </w:tc>
        <w:tc>
          <w:tcPr>
            <w:tcW w:w="276"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-342</w:t>
            </w:r>
          </w:p>
        </w:tc>
        <w:tc>
          <w:tcPr>
            <w:tcW w:w="516"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-484</w:t>
            </w:r>
          </w:p>
        </w:tc>
        <w:tc>
          <w:tcPr>
            <w:tcW w:w="467" w:type="pct"/>
            <w:tcBorders>
              <w:top w:val="single" w:sz="4" w:space="0" w:color="auto"/>
            </w:tcBorders>
            <w:shd w:val="clear" w:color="auto" w:fill="auto"/>
            <w:noWrap/>
            <w:vAlign w:val="bottom"/>
            <w:hideMark/>
          </w:tcPr>
          <w:p w:rsidR="00AA17E3" w:rsidRPr="00CB1C0A" w:rsidRDefault="00AA17E3" w:rsidP="00AA17E3">
            <w:pPr>
              <w:jc w:val="right"/>
              <w:rPr>
                <w:rFonts w:ascii="Times New Roman" w:hAnsi="Times New Roman" w:cs="Times New Roman"/>
                <w:b/>
                <w:bCs/>
                <w:color w:val="000000"/>
                <w:sz w:val="16"/>
                <w:szCs w:val="18"/>
                <w:lang w:eastAsia="sk-SK"/>
              </w:rPr>
            </w:pPr>
            <w:r w:rsidRPr="00CB1C0A">
              <w:rPr>
                <w:rFonts w:ascii="Times New Roman" w:eastAsia="Times New Roman" w:hAnsi="Times New Roman" w:cs="Times New Roman"/>
                <w:b/>
                <w:bCs/>
                <w:color w:val="000000"/>
                <w:sz w:val="16"/>
                <w:szCs w:val="18"/>
                <w:lang w:eastAsia="cs-CZ"/>
              </w:rPr>
              <w:t> </w:t>
            </w:r>
          </w:p>
        </w:tc>
      </w:tr>
      <w:tr w:rsidR="00AA17E3" w:rsidRPr="00CB1C0A" w:rsidTr="00AA17E3">
        <w:trPr>
          <w:trHeight w:val="165"/>
        </w:trPr>
        <w:tc>
          <w:tcPr>
            <w:tcW w:w="349" w:type="pct"/>
            <w:shd w:val="clear" w:color="auto" w:fill="auto"/>
            <w:noWrap/>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Ústavná ZS</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bCs/>
                <w:iCs/>
                <w:color w:val="000000"/>
                <w:sz w:val="16"/>
                <w:szCs w:val="18"/>
                <w:lang w:eastAsia="sk-SK"/>
              </w:rPr>
            </w:pPr>
            <w:r w:rsidRPr="00CB1C0A">
              <w:rPr>
                <w:rFonts w:ascii="Times New Roman" w:eastAsia="Times New Roman" w:hAnsi="Times New Roman" w:cs="Times New Roman"/>
                <w:b/>
                <w:bCs/>
                <w:i/>
                <w:iCs/>
                <w:color w:val="000000"/>
                <w:sz w:val="16"/>
                <w:szCs w:val="18"/>
                <w:lang w:eastAsia="cs-CZ"/>
              </w:rPr>
              <w:t>-5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-7</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-7</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 </w:t>
            </w:r>
          </w:p>
        </w:tc>
      </w:tr>
      <w:tr w:rsidR="00AA17E3" w:rsidRPr="00CB1C0A" w:rsidTr="00AA17E3">
        <w:trPr>
          <w:trHeight w:val="165"/>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21</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Zníženie počtu odvrátiteľných hospitalizácií na úroveň V3</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-7</w:t>
            </w:r>
          </w:p>
        </w:tc>
        <w:tc>
          <w:tcPr>
            <w:tcW w:w="516" w:type="pct"/>
            <w:shd w:val="clear" w:color="auto" w:fill="auto"/>
            <w:noWrap/>
            <w:vAlign w:val="bottom"/>
            <w:hideMark/>
          </w:tcPr>
          <w:p w:rsidR="00AA17E3" w:rsidRPr="00A93875" w:rsidRDefault="00AA17E3" w:rsidP="00AA17E3">
            <w:pPr>
              <w:jc w:val="right"/>
              <w:rPr>
                <w:rFonts w:ascii="Times New Roman" w:hAnsi="Times New Roman" w:cs="Times New Roman"/>
                <w:color w:val="000000"/>
                <w:sz w:val="16"/>
                <w:szCs w:val="18"/>
                <w:lang w:eastAsia="sk-SK"/>
              </w:rPr>
            </w:pPr>
            <w:r w:rsidRPr="00A93875">
              <w:rPr>
                <w:rFonts w:ascii="Times New Roman" w:eastAsia="Times New Roman" w:hAnsi="Times New Roman" w:cs="Times New Roman"/>
                <w:bCs/>
                <w:i/>
                <w:iCs/>
                <w:color w:val="000000"/>
                <w:sz w:val="16"/>
                <w:szCs w:val="18"/>
                <w:lang w:eastAsia="cs-CZ"/>
              </w:rPr>
              <w:t>-7</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2024</w:t>
            </w:r>
          </w:p>
        </w:tc>
      </w:tr>
      <w:tr w:rsidR="00AA17E3" w:rsidRPr="00CB1C0A" w:rsidTr="00AA17E3">
        <w:trPr>
          <w:trHeight w:val="223"/>
        </w:trPr>
        <w:tc>
          <w:tcPr>
            <w:tcW w:w="349" w:type="pct"/>
            <w:shd w:val="clear" w:color="auto" w:fill="auto"/>
            <w:noWrap/>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Ambulantná ZS</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bCs/>
                <w:iCs/>
                <w:color w:val="000000"/>
                <w:sz w:val="16"/>
                <w:szCs w:val="18"/>
                <w:lang w:eastAsia="sk-SK"/>
              </w:rPr>
            </w:pPr>
            <w:r w:rsidRPr="00CB1C0A">
              <w:rPr>
                <w:rFonts w:ascii="Times New Roman" w:eastAsia="Times New Roman" w:hAnsi="Times New Roman" w:cs="Times New Roman"/>
                <w:b/>
                <w:bCs/>
                <w:i/>
                <w:iCs/>
                <w:color w:val="000000"/>
                <w:sz w:val="16"/>
                <w:szCs w:val="18"/>
                <w:lang w:eastAsia="cs-CZ"/>
              </w:rPr>
              <w:t>-12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-44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-67</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-207</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 </w:t>
            </w:r>
          </w:p>
        </w:tc>
      </w:tr>
      <w:tr w:rsidR="00AA17E3" w:rsidRPr="00CB1C0A" w:rsidTr="00AA17E3">
        <w:trPr>
          <w:trHeight w:val="165"/>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22</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Zníženie počtu návštev ŠAS</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-44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-67</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-207</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2029</w:t>
            </w:r>
          </w:p>
        </w:tc>
      </w:tr>
      <w:tr w:rsidR="00AA17E3" w:rsidRPr="00CB1C0A" w:rsidTr="00AA17E3">
        <w:trPr>
          <w:trHeight w:val="165"/>
        </w:trPr>
        <w:tc>
          <w:tcPr>
            <w:tcW w:w="349" w:type="pct"/>
            <w:shd w:val="clear" w:color="auto" w:fill="auto"/>
            <w:noWrap/>
            <w:vAlign w:val="bottom"/>
            <w:hideMark/>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Lieky</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bCs/>
                <w:iCs/>
                <w:color w:val="000000"/>
                <w:sz w:val="16"/>
                <w:szCs w:val="18"/>
                <w:lang w:eastAsia="sk-SK"/>
              </w:rPr>
            </w:pPr>
            <w:r w:rsidRPr="00CB1C0A">
              <w:rPr>
                <w:rFonts w:ascii="Times New Roman" w:eastAsia="Times New Roman" w:hAnsi="Times New Roman" w:cs="Times New Roman"/>
                <w:b/>
                <w:bCs/>
                <w:i/>
                <w:iCs/>
                <w:color w:val="000000"/>
                <w:sz w:val="16"/>
                <w:szCs w:val="18"/>
                <w:lang w:eastAsia="cs-CZ"/>
              </w:rPr>
              <w:t>-129</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-149</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-151</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-152</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
                <w:iCs/>
                <w:color w:val="000000"/>
                <w:sz w:val="16"/>
                <w:szCs w:val="18"/>
                <w:lang w:eastAsia="cs-CZ"/>
              </w:rPr>
              <w:t> </w:t>
            </w:r>
          </w:p>
        </w:tc>
      </w:tr>
      <w:tr w:rsidR="00AA17E3" w:rsidRPr="00CB1C0A" w:rsidTr="00AA17E3">
        <w:trPr>
          <w:trHeight w:val="165"/>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23</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Nákladová efektivita liekov</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-55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-55</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Cs/>
                <w:iCs/>
                <w:color w:val="000000"/>
                <w:sz w:val="16"/>
                <w:szCs w:val="18"/>
                <w:lang w:eastAsia="cs-CZ"/>
              </w:rPr>
              <w:t>-55</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2023</w:t>
            </w:r>
          </w:p>
        </w:tc>
      </w:tr>
      <w:tr w:rsidR="00AA17E3" w:rsidRPr="00CB1C0A" w:rsidTr="00AA17E3">
        <w:trPr>
          <w:trHeight w:val="165"/>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24</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Centrálny nákup liekov</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-26</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-26</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223"/>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25</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Nadspotreba liekov (antibiotiká)</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-5</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-6</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2025</w:t>
            </w:r>
          </w:p>
        </w:tc>
      </w:tr>
      <w:tr w:rsidR="00AA17E3" w:rsidRPr="00CB1C0A" w:rsidTr="00AA17E3">
        <w:trPr>
          <w:trHeight w:val="215"/>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26</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Podpora vstupu generík a biosimilárov</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273"/>
        </w:trPr>
        <w:tc>
          <w:tcPr>
            <w:tcW w:w="349"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27</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 xml:space="preserve">Medzinárodné porovnávanie cien liekov dvakrát ročne </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157"/>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28</w:t>
            </w:r>
          </w:p>
        </w:tc>
        <w:tc>
          <w:tcPr>
            <w:tcW w:w="2775" w:type="pct"/>
            <w:shd w:val="clear" w:color="auto" w:fill="auto"/>
            <w:noWrap/>
            <w:vAlign w:val="center"/>
            <w:hideMark/>
          </w:tcPr>
          <w:p w:rsidR="00AA17E3" w:rsidRPr="00CB1C0A" w:rsidRDefault="00AA17E3" w:rsidP="00AA17E3">
            <w:pPr>
              <w:ind w:firstLineChars="200" w:firstLine="320"/>
              <w:rPr>
                <w:rFonts w:ascii="Times New Roman" w:hAnsi="Times New Roman" w:cs="Times New Roman"/>
                <w:sz w:val="16"/>
                <w:szCs w:val="16"/>
                <w:lang w:eastAsia="sk-SK"/>
              </w:rPr>
            </w:pPr>
            <w:r w:rsidRPr="00CB1C0A">
              <w:rPr>
                <w:rFonts w:ascii="Times New Roman" w:eastAsia="Times New Roman" w:hAnsi="Times New Roman" w:cs="Times New Roman"/>
                <w:sz w:val="16"/>
                <w:szCs w:val="18"/>
                <w:lang w:eastAsia="cs-CZ"/>
              </w:rPr>
              <w:t>eHealth - spustenie modulov</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sz w:val="16"/>
                <w:szCs w:val="18"/>
                <w:lang w:eastAsia="sk-SK"/>
              </w:rPr>
            </w:pPr>
            <w:r w:rsidRPr="00CB1C0A">
              <w:rPr>
                <w:rFonts w:ascii="Times New Roman" w:eastAsia="Times New Roman" w:hAnsi="Times New Roman" w:cs="Times New Roman"/>
                <w:iCs/>
                <w:color w:val="000000"/>
                <w:sz w:val="16"/>
                <w:szCs w:val="18"/>
                <w:lang w:eastAsia="cs-CZ"/>
              </w:rPr>
              <w:t>-30</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-30</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-30</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-30</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273"/>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29</w:t>
            </w:r>
          </w:p>
        </w:tc>
        <w:tc>
          <w:tcPr>
            <w:tcW w:w="2775" w:type="pct"/>
            <w:shd w:val="clear" w:color="auto" w:fill="auto"/>
            <w:noWrap/>
            <w:vAlign w:val="center"/>
            <w:hideMark/>
          </w:tcPr>
          <w:p w:rsidR="00AA17E3" w:rsidRPr="00CB1C0A" w:rsidRDefault="00AA17E3" w:rsidP="00AA17E3">
            <w:pPr>
              <w:ind w:firstLineChars="200" w:firstLine="320"/>
              <w:rPr>
                <w:rFonts w:ascii="Times New Roman" w:hAnsi="Times New Roman" w:cs="Times New Roman"/>
                <w:sz w:val="16"/>
                <w:szCs w:val="16"/>
                <w:lang w:eastAsia="sk-SK"/>
              </w:rPr>
            </w:pPr>
            <w:r w:rsidRPr="00CB1C0A">
              <w:rPr>
                <w:rFonts w:ascii="Times New Roman" w:eastAsia="Times New Roman" w:hAnsi="Times New Roman" w:cs="Times New Roman"/>
                <w:sz w:val="16"/>
                <w:szCs w:val="18"/>
                <w:lang w:eastAsia="cs-CZ"/>
              </w:rPr>
              <w:t>Revízna činnosť (interakcie, duplicitné predpisovanie a pod.)</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sz w:val="16"/>
                <w:szCs w:val="18"/>
                <w:lang w:eastAsia="sk-SK"/>
              </w:rPr>
            </w:pPr>
            <w:r w:rsidRPr="00CB1C0A">
              <w:rPr>
                <w:rFonts w:ascii="Times New Roman" w:eastAsia="Times New Roman" w:hAnsi="Times New Roman" w:cs="Times New Roman"/>
                <w:iCs/>
                <w:color w:val="000000"/>
                <w:sz w:val="16"/>
                <w:szCs w:val="18"/>
                <w:lang w:eastAsia="cs-CZ"/>
              </w:rPr>
              <w:t>-7</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-7</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-7</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-7</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174"/>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30</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Lieky na výnimky</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-16</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-16</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-16</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299"/>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31</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 xml:space="preserve">Aktívne vynucovať vyrovnávací rozdiel </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-7</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-7</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-7</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-7</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165"/>
        </w:trPr>
        <w:tc>
          <w:tcPr>
            <w:tcW w:w="349" w:type="pct"/>
            <w:shd w:val="clear" w:color="auto" w:fill="auto"/>
            <w:noWrap/>
            <w:vAlign w:val="bottom"/>
          </w:tcPr>
          <w:p w:rsidR="00AA17E3" w:rsidRPr="00CB1C0A" w:rsidRDefault="00AA17E3" w:rsidP="00AA17E3">
            <w:pPr>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SVLZ</w:t>
            </w:r>
          </w:p>
        </w:tc>
        <w:tc>
          <w:tcPr>
            <w:tcW w:w="342" w:type="pct"/>
            <w:shd w:val="clear" w:color="auto" w:fill="auto"/>
            <w:noWrap/>
            <w:vAlign w:val="bottom"/>
            <w:hideMark/>
          </w:tcPr>
          <w:p w:rsidR="00AA17E3" w:rsidRPr="00CB1C0A" w:rsidRDefault="00FA7122" w:rsidP="00AA17E3">
            <w:pPr>
              <w:jc w:val="right"/>
              <w:rPr>
                <w:rFonts w:ascii="Times New Roman" w:hAnsi="Times New Roman" w:cs="Times New Roman"/>
                <w:bCs/>
                <w:iCs/>
                <w:color w:val="000000"/>
                <w:sz w:val="16"/>
                <w:szCs w:val="18"/>
                <w:lang w:eastAsia="sk-SK"/>
              </w:rPr>
            </w:pPr>
            <w:r>
              <w:rPr>
                <w:rFonts w:ascii="Times New Roman" w:eastAsia="Times New Roman" w:hAnsi="Times New Roman" w:cs="Times New Roman"/>
                <w:b/>
                <w:bCs/>
                <w:iCs/>
                <w:color w:val="000000"/>
                <w:sz w:val="16"/>
                <w:szCs w:val="18"/>
                <w:lang w:eastAsia="cs-CZ"/>
              </w:rPr>
              <w:t>-38</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-43</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-43</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-43</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 </w:t>
            </w:r>
          </w:p>
        </w:tc>
      </w:tr>
      <w:tr w:rsidR="00AA17E3" w:rsidRPr="00CB1C0A" w:rsidTr="00AA17E3">
        <w:trPr>
          <w:trHeight w:val="165"/>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32</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Referencovanie cien výkonov s ČR</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-9</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-9</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-9</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-9</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207"/>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33</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Nadbytočné vyšetrenia</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-25</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-25</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165"/>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34</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Laboratórne vyšetrenia - úhrady</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-10</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-10</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-10</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2023</w:t>
            </w:r>
          </w:p>
        </w:tc>
      </w:tr>
      <w:tr w:rsidR="00AA17E3" w:rsidRPr="00CB1C0A" w:rsidTr="00AA17E3">
        <w:trPr>
          <w:trHeight w:val="215"/>
        </w:trPr>
        <w:tc>
          <w:tcPr>
            <w:tcW w:w="349" w:type="pct"/>
            <w:shd w:val="clear" w:color="auto" w:fill="auto"/>
            <w:noWrap/>
            <w:vAlign w:val="bottom"/>
          </w:tcPr>
          <w:p w:rsidR="00AA17E3" w:rsidRPr="00CB1C0A" w:rsidRDefault="00AA17E3" w:rsidP="00AA17E3">
            <w:pPr>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Zdravotnícke pomôcky</w:t>
            </w:r>
          </w:p>
        </w:tc>
        <w:tc>
          <w:tcPr>
            <w:tcW w:w="342" w:type="pct"/>
            <w:shd w:val="clear" w:color="auto" w:fill="auto"/>
            <w:noWrap/>
            <w:vAlign w:val="bottom"/>
            <w:hideMark/>
          </w:tcPr>
          <w:p w:rsidR="00AA17E3" w:rsidRPr="00CB1C0A" w:rsidRDefault="00FA7122" w:rsidP="00AA17E3">
            <w:pPr>
              <w:jc w:val="right"/>
              <w:rPr>
                <w:rFonts w:ascii="Times New Roman" w:hAnsi="Times New Roman" w:cs="Times New Roman"/>
                <w:bCs/>
                <w:iCs/>
                <w:color w:val="000000"/>
                <w:sz w:val="16"/>
                <w:szCs w:val="18"/>
                <w:lang w:eastAsia="sk-SK"/>
              </w:rPr>
            </w:pPr>
            <w:r>
              <w:rPr>
                <w:rFonts w:ascii="Times New Roman" w:eastAsia="Times New Roman" w:hAnsi="Times New Roman" w:cs="Times New Roman"/>
                <w:b/>
                <w:bCs/>
                <w:iCs/>
                <w:color w:val="000000"/>
                <w:sz w:val="16"/>
                <w:szCs w:val="18"/>
                <w:lang w:eastAsia="cs-CZ"/>
              </w:rPr>
              <w:t>-15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-20</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-20</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-20</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 </w:t>
            </w:r>
          </w:p>
        </w:tc>
      </w:tr>
      <w:tr w:rsidR="00AA17E3" w:rsidRPr="00CB1C0A" w:rsidTr="00AA17E3">
        <w:trPr>
          <w:trHeight w:val="165"/>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35</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Centrálny nákup inkontinenčných pomôcok</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-2</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215"/>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36</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Inkontinenčné pomôcky - zavedenie základného funkčného typu</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-9</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-14</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-14</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2023</w:t>
            </w:r>
          </w:p>
        </w:tc>
      </w:tr>
      <w:tr w:rsidR="00AA17E3" w:rsidRPr="00CB1C0A" w:rsidTr="00AA17E3">
        <w:trPr>
          <w:trHeight w:val="163"/>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37</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Rozšírenie medzinárodného porovnávania cien</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color w:val="000000"/>
                <w:sz w:val="16"/>
                <w:szCs w:val="18"/>
                <w:lang w:eastAsia="cs-CZ"/>
              </w:rPr>
              <w:t>-4</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
                <w:iCs/>
                <w:sz w:val="16"/>
                <w:szCs w:val="18"/>
                <w:lang w:eastAsia="cs-CZ"/>
              </w:rPr>
              <w:t>-4</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152"/>
        </w:trPr>
        <w:tc>
          <w:tcPr>
            <w:tcW w:w="349" w:type="pct"/>
            <w:shd w:val="clear" w:color="auto" w:fill="auto"/>
            <w:noWrap/>
            <w:vAlign w:val="bottom"/>
          </w:tcPr>
          <w:p w:rsidR="00AA17E3" w:rsidRPr="00CB1C0A" w:rsidRDefault="00AA17E3" w:rsidP="00AA17E3">
            <w:pPr>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Štandardné postupy</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bCs/>
                <w:iCs/>
                <w:color w:val="000000"/>
                <w:sz w:val="16"/>
                <w:szCs w:val="18"/>
                <w:lang w:eastAsia="sk-SK"/>
              </w:rPr>
            </w:pPr>
            <w:r w:rsidRPr="00CB1C0A">
              <w:rPr>
                <w:rFonts w:ascii="Times New Roman" w:eastAsia="Times New Roman" w:hAnsi="Times New Roman" w:cs="Times New Roman"/>
                <w:b/>
                <w:bCs/>
                <w:iCs/>
                <w:color w:val="000000"/>
                <w:sz w:val="16"/>
                <w:szCs w:val="18"/>
                <w:lang w:eastAsia="cs-CZ"/>
              </w:rPr>
              <w:t>-1</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-3</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-4</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 </w:t>
            </w:r>
          </w:p>
        </w:tc>
      </w:tr>
      <w:tr w:rsidR="00AA17E3" w:rsidRPr="00CB1C0A" w:rsidTr="00AA17E3">
        <w:trPr>
          <w:trHeight w:val="299"/>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38</w:t>
            </w:r>
          </w:p>
        </w:tc>
        <w:tc>
          <w:tcPr>
            <w:tcW w:w="2775" w:type="pct"/>
            <w:shd w:val="clear" w:color="auto" w:fill="auto"/>
            <w:noWrap/>
            <w:vAlign w:val="bottom"/>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hAnsi="Times New Roman" w:cs="Times New Roman"/>
                <w:color w:val="000000"/>
                <w:sz w:val="16"/>
                <w:szCs w:val="16"/>
                <w:lang w:eastAsia="sk-SK"/>
              </w:rPr>
              <w:t>Pôrodníctvo - menej tehotenských vyšetrení a cis. rezov</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-2</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-3</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-4</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2025</w:t>
            </w:r>
          </w:p>
        </w:tc>
      </w:tr>
      <w:tr w:rsidR="00AA17E3" w:rsidRPr="00CB1C0A" w:rsidTr="00AA17E3">
        <w:trPr>
          <w:trHeight w:val="274"/>
        </w:trPr>
        <w:tc>
          <w:tcPr>
            <w:tcW w:w="349" w:type="pct"/>
            <w:shd w:val="clear" w:color="auto" w:fill="auto"/>
            <w:noWrap/>
            <w:vAlign w:val="bottom"/>
          </w:tcPr>
          <w:p w:rsidR="00AA17E3" w:rsidRPr="00CB1C0A" w:rsidRDefault="00AA17E3" w:rsidP="00AA17E3">
            <w:pPr>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bottom"/>
            <w:hideMark/>
          </w:tcPr>
          <w:p w:rsidR="00AA17E3" w:rsidRPr="00CB1C0A" w:rsidRDefault="00AA17E3" w:rsidP="00AA17E3">
            <w:pPr>
              <w:ind w:firstLineChars="100" w:firstLine="161"/>
              <w:rPr>
                <w:rFonts w:ascii="Times New Roman" w:hAnsi="Times New Roman" w:cs="Times New Roman"/>
                <w:b/>
                <w:bCs/>
                <w:i/>
                <w:iCs/>
                <w:color w:val="000000"/>
                <w:sz w:val="16"/>
                <w:szCs w:val="16"/>
                <w:lang w:eastAsia="sk-SK"/>
              </w:rPr>
            </w:pPr>
            <w:r w:rsidRPr="00CB1C0A">
              <w:rPr>
                <w:rFonts w:ascii="Times New Roman" w:hAnsi="Times New Roman" w:cs="Times New Roman"/>
                <w:b/>
                <w:bCs/>
                <w:i/>
                <w:iCs/>
                <w:color w:val="000000"/>
                <w:sz w:val="16"/>
                <w:szCs w:val="16"/>
                <w:lang w:eastAsia="sk-SK"/>
              </w:rPr>
              <w:t>VšZP</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bCs/>
                <w:iCs/>
                <w:color w:val="000000"/>
                <w:sz w:val="16"/>
                <w:szCs w:val="18"/>
                <w:lang w:eastAsia="sk-SK"/>
              </w:rPr>
            </w:pPr>
            <w:r w:rsidRPr="00CB1C0A">
              <w:rPr>
                <w:rFonts w:ascii="Times New Roman" w:eastAsia="Times New Roman" w:hAnsi="Times New Roman" w:cs="Times New Roman"/>
                <w:b/>
                <w:bCs/>
                <w:iCs/>
                <w:color w:val="000000"/>
                <w:sz w:val="16"/>
                <w:szCs w:val="18"/>
                <w:lang w:eastAsia="cs-CZ"/>
              </w:rPr>
              <w:t>-15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-15</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-15</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-15</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b/>
                <w:bCs/>
                <w:iCs/>
                <w:color w:val="000000"/>
                <w:sz w:val="16"/>
                <w:szCs w:val="18"/>
                <w:lang w:eastAsia="cs-CZ"/>
              </w:rPr>
              <w:t> </w:t>
            </w:r>
          </w:p>
        </w:tc>
      </w:tr>
      <w:tr w:rsidR="00AA17E3" w:rsidRPr="00CB1C0A" w:rsidTr="00AA17E3">
        <w:trPr>
          <w:trHeight w:val="362"/>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39</w:t>
            </w:r>
          </w:p>
        </w:tc>
        <w:tc>
          <w:tcPr>
            <w:tcW w:w="2775" w:type="pct"/>
            <w:shd w:val="clear" w:color="auto" w:fill="auto"/>
            <w:noWrap/>
            <w:vAlign w:val="center"/>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Revízna činnosť, sprísnenie nepriamych revízií</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-14</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-14</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sz w:val="16"/>
                <w:szCs w:val="18"/>
                <w:lang w:eastAsia="cs-CZ"/>
              </w:rPr>
              <w:t>-14</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315"/>
        </w:trPr>
        <w:tc>
          <w:tcPr>
            <w:tcW w:w="349" w:type="pct"/>
            <w:shd w:val="clear" w:color="auto" w:fill="auto"/>
            <w:noWrap/>
            <w:vAlign w:val="bottom"/>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40</w:t>
            </w:r>
          </w:p>
        </w:tc>
        <w:tc>
          <w:tcPr>
            <w:tcW w:w="2775" w:type="pct"/>
            <w:shd w:val="clear" w:color="auto" w:fill="auto"/>
            <w:noWrap/>
            <w:vAlign w:val="center"/>
            <w:hideMark/>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Zefektívnenie prevádzky</w:t>
            </w:r>
          </w:p>
        </w:tc>
        <w:tc>
          <w:tcPr>
            <w:tcW w:w="342"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w:t>
            </w:r>
          </w:p>
        </w:tc>
        <w:tc>
          <w:tcPr>
            <w:tcW w:w="27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color w:val="000000"/>
                <w:sz w:val="16"/>
                <w:szCs w:val="18"/>
                <w:lang w:eastAsia="cs-CZ"/>
              </w:rPr>
              <w:t>-1</w:t>
            </w:r>
          </w:p>
        </w:tc>
        <w:tc>
          <w:tcPr>
            <w:tcW w:w="516"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iCs/>
                <w:sz w:val="16"/>
                <w:szCs w:val="18"/>
                <w:lang w:eastAsia="cs-CZ"/>
              </w:rPr>
              <w:t>-1</w:t>
            </w:r>
          </w:p>
        </w:tc>
        <w:tc>
          <w:tcPr>
            <w:tcW w:w="467" w:type="pct"/>
            <w:shd w:val="clear" w:color="auto" w:fill="auto"/>
            <w:noWrap/>
            <w:vAlign w:val="bottom"/>
            <w:hideMark/>
          </w:tcPr>
          <w:p w:rsidR="00AA17E3" w:rsidRPr="00CB1C0A" w:rsidRDefault="00AA17E3" w:rsidP="00AA17E3">
            <w:pPr>
              <w:jc w:val="right"/>
              <w:rPr>
                <w:rFonts w:ascii="Times New Roman" w:hAnsi="Times New Roman" w:cs="Times New Roman"/>
                <w:color w:val="000000"/>
                <w:sz w:val="16"/>
                <w:szCs w:val="18"/>
                <w:lang w:eastAsia="sk-SK"/>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315"/>
        </w:trPr>
        <w:tc>
          <w:tcPr>
            <w:tcW w:w="349" w:type="pct"/>
            <w:shd w:val="clear" w:color="auto" w:fill="auto"/>
            <w:noWrap/>
            <w:vAlign w:val="bottom"/>
          </w:tcPr>
          <w:p w:rsidR="00AA17E3" w:rsidRPr="00CB1C0A" w:rsidDel="00647777" w:rsidRDefault="00AA17E3" w:rsidP="00AA17E3">
            <w:pPr>
              <w:jc w:val="right"/>
              <w:rPr>
                <w:rFonts w:ascii="Times New Roman" w:hAnsi="Times New Roman" w:cs="Times New Roman"/>
                <w:color w:val="000000"/>
                <w:sz w:val="16"/>
                <w:szCs w:val="18"/>
              </w:rPr>
            </w:pPr>
            <w:r w:rsidRPr="00CB1C0A">
              <w:rPr>
                <w:rFonts w:ascii="Times New Roman" w:eastAsia="Times New Roman" w:hAnsi="Times New Roman" w:cs="Times New Roman"/>
                <w:color w:val="000000"/>
                <w:sz w:val="16"/>
                <w:szCs w:val="18"/>
                <w:lang w:eastAsia="cs-CZ"/>
              </w:rPr>
              <w:t> </w:t>
            </w:r>
          </w:p>
        </w:tc>
        <w:tc>
          <w:tcPr>
            <w:tcW w:w="2775" w:type="pct"/>
            <w:shd w:val="clear" w:color="auto" w:fill="auto"/>
            <w:noWrap/>
            <w:vAlign w:val="center"/>
          </w:tcPr>
          <w:p w:rsidR="00AA17E3" w:rsidRPr="00CB1C0A" w:rsidRDefault="00AA17E3" w:rsidP="00AA17E3">
            <w:pPr>
              <w:rPr>
                <w:rFonts w:ascii="Times New Roman" w:hAnsi="Times New Roman" w:cs="Times New Roman"/>
                <w:color w:val="000000"/>
                <w:sz w:val="16"/>
                <w:szCs w:val="16"/>
                <w:lang w:eastAsia="sk-SK"/>
              </w:rPr>
            </w:pPr>
            <w:r w:rsidRPr="00CB1C0A">
              <w:rPr>
                <w:rFonts w:ascii="Times New Roman" w:hAnsi="Times New Roman" w:cs="Times New Roman"/>
                <w:b/>
                <w:bCs/>
                <w:i/>
                <w:iCs/>
                <w:color w:val="000000"/>
                <w:sz w:val="16"/>
                <w:szCs w:val="16"/>
                <w:lang w:eastAsia="sk-SK"/>
              </w:rPr>
              <w:t>Nové úsporné opatrenia od roku 2022</w:t>
            </w:r>
          </w:p>
        </w:tc>
        <w:tc>
          <w:tcPr>
            <w:tcW w:w="342"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b/>
                <w:bCs/>
                <w:iCs/>
                <w:color w:val="000000"/>
                <w:sz w:val="16"/>
                <w:szCs w:val="18"/>
                <w:lang w:eastAsia="cs-CZ"/>
              </w:rPr>
              <w:t>-35</w:t>
            </w:r>
          </w:p>
        </w:tc>
        <w:tc>
          <w:tcPr>
            <w:tcW w:w="276"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b/>
                <w:bCs/>
                <w:iCs/>
                <w:color w:val="000000"/>
                <w:sz w:val="16"/>
                <w:szCs w:val="18"/>
                <w:lang w:eastAsia="cs-CZ"/>
              </w:rPr>
              <w:t>-35</w:t>
            </w:r>
          </w:p>
        </w:tc>
        <w:tc>
          <w:tcPr>
            <w:tcW w:w="276"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b/>
                <w:bCs/>
                <w:iCs/>
                <w:color w:val="000000"/>
                <w:sz w:val="16"/>
                <w:szCs w:val="18"/>
                <w:lang w:eastAsia="cs-CZ"/>
              </w:rPr>
              <w:t>-35</w:t>
            </w:r>
          </w:p>
        </w:tc>
        <w:tc>
          <w:tcPr>
            <w:tcW w:w="516"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b/>
                <w:bCs/>
                <w:iCs/>
                <w:color w:val="000000"/>
                <w:sz w:val="16"/>
                <w:szCs w:val="18"/>
                <w:lang w:eastAsia="cs-CZ"/>
              </w:rPr>
              <w:t>-35</w:t>
            </w:r>
          </w:p>
        </w:tc>
        <w:tc>
          <w:tcPr>
            <w:tcW w:w="467"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b/>
                <w:bCs/>
                <w:iCs/>
                <w:color w:val="000000"/>
                <w:sz w:val="16"/>
                <w:szCs w:val="18"/>
                <w:lang w:eastAsia="cs-CZ"/>
              </w:rPr>
              <w:t> </w:t>
            </w:r>
          </w:p>
        </w:tc>
      </w:tr>
      <w:tr w:rsidR="00AA17E3" w:rsidRPr="00CB1C0A" w:rsidTr="00AA17E3">
        <w:trPr>
          <w:trHeight w:val="315"/>
        </w:trPr>
        <w:tc>
          <w:tcPr>
            <w:tcW w:w="349" w:type="pct"/>
            <w:shd w:val="clear" w:color="auto" w:fill="auto"/>
            <w:noWrap/>
            <w:vAlign w:val="bottom"/>
          </w:tcPr>
          <w:p w:rsidR="00AA17E3" w:rsidRPr="00CB1C0A" w:rsidDel="00647777" w:rsidRDefault="00AA17E3" w:rsidP="00AA17E3">
            <w:pPr>
              <w:jc w:val="right"/>
              <w:rPr>
                <w:rFonts w:ascii="Times New Roman" w:hAnsi="Times New Roman" w:cs="Times New Roman"/>
                <w:color w:val="000000"/>
                <w:sz w:val="16"/>
                <w:szCs w:val="18"/>
              </w:rPr>
            </w:pPr>
            <w:r w:rsidRPr="00CB1C0A">
              <w:rPr>
                <w:rFonts w:ascii="Times New Roman" w:eastAsia="Times New Roman" w:hAnsi="Times New Roman" w:cs="Times New Roman"/>
                <w:color w:val="000000"/>
                <w:sz w:val="16"/>
                <w:szCs w:val="18"/>
                <w:lang w:eastAsia="cs-CZ"/>
              </w:rPr>
              <w:t>41</w:t>
            </w:r>
          </w:p>
        </w:tc>
        <w:tc>
          <w:tcPr>
            <w:tcW w:w="2775" w:type="pct"/>
            <w:shd w:val="clear" w:color="auto" w:fill="auto"/>
            <w:noWrap/>
            <w:vAlign w:val="center"/>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Eliminácia rozdielnych cien v ŠAS (VšZP)</w:t>
            </w:r>
          </w:p>
        </w:tc>
        <w:tc>
          <w:tcPr>
            <w:tcW w:w="342"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color w:val="000000"/>
                <w:sz w:val="16"/>
                <w:szCs w:val="18"/>
                <w:lang w:eastAsia="cs-CZ"/>
              </w:rPr>
              <w:t>-10</w:t>
            </w:r>
          </w:p>
        </w:tc>
        <w:tc>
          <w:tcPr>
            <w:tcW w:w="276"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color w:val="000000"/>
                <w:sz w:val="16"/>
                <w:szCs w:val="18"/>
                <w:lang w:eastAsia="cs-CZ"/>
              </w:rPr>
              <w:t>-10</w:t>
            </w:r>
          </w:p>
        </w:tc>
        <w:tc>
          <w:tcPr>
            <w:tcW w:w="276"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color w:val="000000"/>
                <w:sz w:val="16"/>
                <w:szCs w:val="18"/>
                <w:lang w:eastAsia="cs-CZ"/>
              </w:rPr>
              <w:t>-10</w:t>
            </w:r>
          </w:p>
        </w:tc>
        <w:tc>
          <w:tcPr>
            <w:tcW w:w="516"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sz w:val="16"/>
                <w:szCs w:val="18"/>
                <w:lang w:eastAsia="cs-CZ"/>
              </w:rPr>
              <w:t>-10</w:t>
            </w:r>
          </w:p>
        </w:tc>
        <w:tc>
          <w:tcPr>
            <w:tcW w:w="467" w:type="pct"/>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color w:val="000000"/>
                <w:sz w:val="16"/>
                <w:szCs w:val="18"/>
                <w:lang w:eastAsia="cs-CZ"/>
              </w:rPr>
              <w:t>2022</w:t>
            </w:r>
          </w:p>
        </w:tc>
      </w:tr>
      <w:tr w:rsidR="00AA17E3" w:rsidRPr="00CB1C0A" w:rsidTr="00AA17E3">
        <w:trPr>
          <w:trHeight w:val="315"/>
        </w:trPr>
        <w:tc>
          <w:tcPr>
            <w:tcW w:w="349" w:type="pct"/>
            <w:tcBorders>
              <w:bottom w:val="single" w:sz="4" w:space="0" w:color="auto"/>
            </w:tcBorders>
            <w:shd w:val="clear" w:color="auto" w:fill="auto"/>
            <w:noWrap/>
            <w:vAlign w:val="bottom"/>
          </w:tcPr>
          <w:p w:rsidR="00AA17E3" w:rsidRPr="00CB1C0A" w:rsidDel="00647777" w:rsidRDefault="00AA17E3" w:rsidP="00AA17E3">
            <w:pPr>
              <w:jc w:val="right"/>
              <w:rPr>
                <w:rFonts w:ascii="Times New Roman" w:hAnsi="Times New Roman" w:cs="Times New Roman"/>
                <w:color w:val="000000"/>
                <w:sz w:val="16"/>
                <w:szCs w:val="18"/>
              </w:rPr>
            </w:pPr>
            <w:r w:rsidRPr="00CB1C0A">
              <w:rPr>
                <w:rFonts w:ascii="Times New Roman" w:eastAsia="Times New Roman" w:hAnsi="Times New Roman" w:cs="Times New Roman"/>
                <w:color w:val="000000"/>
                <w:sz w:val="16"/>
                <w:szCs w:val="18"/>
                <w:lang w:eastAsia="cs-CZ"/>
              </w:rPr>
              <w:t>42</w:t>
            </w:r>
          </w:p>
        </w:tc>
        <w:tc>
          <w:tcPr>
            <w:tcW w:w="2775" w:type="pct"/>
            <w:tcBorders>
              <w:bottom w:val="single" w:sz="4" w:space="0" w:color="auto"/>
            </w:tcBorders>
            <w:shd w:val="clear" w:color="auto" w:fill="auto"/>
            <w:noWrap/>
            <w:vAlign w:val="center"/>
          </w:tcPr>
          <w:p w:rsidR="00AA17E3" w:rsidRPr="00CB1C0A" w:rsidRDefault="00AA17E3" w:rsidP="00AA17E3">
            <w:pPr>
              <w:ind w:firstLineChars="200" w:firstLine="320"/>
              <w:rPr>
                <w:rFonts w:ascii="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8"/>
                <w:lang w:eastAsia="cs-CZ"/>
              </w:rPr>
              <w:t xml:space="preserve">Zníženie ceny PCR testov </w:t>
            </w:r>
          </w:p>
        </w:tc>
        <w:tc>
          <w:tcPr>
            <w:tcW w:w="342"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color w:val="000000"/>
                <w:sz w:val="16"/>
                <w:szCs w:val="18"/>
                <w:lang w:eastAsia="cs-CZ"/>
              </w:rPr>
              <w:t>-25</w:t>
            </w:r>
          </w:p>
        </w:tc>
        <w:tc>
          <w:tcPr>
            <w:tcW w:w="276"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color w:val="000000"/>
                <w:sz w:val="16"/>
                <w:szCs w:val="18"/>
                <w:lang w:eastAsia="cs-CZ"/>
              </w:rPr>
              <w:t>-25</w:t>
            </w:r>
          </w:p>
        </w:tc>
        <w:tc>
          <w:tcPr>
            <w:tcW w:w="276"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color w:val="000000"/>
                <w:sz w:val="16"/>
                <w:szCs w:val="18"/>
                <w:lang w:eastAsia="cs-CZ"/>
              </w:rPr>
              <w:t>-25</w:t>
            </w:r>
          </w:p>
        </w:tc>
        <w:tc>
          <w:tcPr>
            <w:tcW w:w="516"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iCs/>
                <w:sz w:val="16"/>
                <w:szCs w:val="18"/>
                <w:lang w:eastAsia="cs-CZ"/>
              </w:rPr>
              <w:t>-25</w:t>
            </w:r>
          </w:p>
        </w:tc>
        <w:tc>
          <w:tcPr>
            <w:tcW w:w="467" w:type="pct"/>
            <w:tcBorders>
              <w:bottom w:val="single" w:sz="4" w:space="0" w:color="auto"/>
            </w:tcBorders>
            <w:shd w:val="clear" w:color="auto" w:fill="auto"/>
            <w:noWrap/>
            <w:vAlign w:val="bottom"/>
          </w:tcPr>
          <w:p w:rsidR="00AA17E3" w:rsidRPr="00CB1C0A" w:rsidRDefault="00AA17E3" w:rsidP="00AA17E3">
            <w:pPr>
              <w:jc w:val="right"/>
              <w:rPr>
                <w:rFonts w:ascii="Times New Roman" w:eastAsia="Times New Roman" w:hAnsi="Times New Roman" w:cs="Times New Roman"/>
                <w:bCs/>
                <w:color w:val="000000"/>
                <w:sz w:val="16"/>
                <w:szCs w:val="18"/>
                <w:lang w:eastAsia="cs-CZ"/>
              </w:rPr>
            </w:pPr>
            <w:r w:rsidRPr="00CB1C0A">
              <w:rPr>
                <w:rFonts w:ascii="Times New Roman" w:eastAsia="Times New Roman" w:hAnsi="Times New Roman" w:cs="Times New Roman"/>
                <w:color w:val="000000"/>
                <w:sz w:val="16"/>
                <w:szCs w:val="18"/>
                <w:lang w:eastAsia="cs-CZ"/>
              </w:rPr>
              <w:t>2022</w:t>
            </w:r>
          </w:p>
        </w:tc>
      </w:tr>
    </w:tbl>
    <w:p w:rsidR="00AA17E3" w:rsidRPr="00CB1C0A" w:rsidRDefault="00AA17E3" w:rsidP="00AA17E3">
      <w:pPr>
        <w:rPr>
          <w:rFonts w:ascii="Times New Roman" w:hAnsi="Times New Roman" w:cs="Times New Roman"/>
          <w:i/>
          <w:sz w:val="16"/>
          <w:szCs w:val="16"/>
        </w:rPr>
      </w:pPr>
      <w:r w:rsidRPr="00CB1C0A">
        <w:rPr>
          <w:rFonts w:ascii="Times New Roman" w:hAnsi="Times New Roman" w:cs="Times New Roman"/>
        </w:rPr>
        <w:t xml:space="preserve">                                                                                                                                                </w:t>
      </w:r>
      <w:r w:rsidRPr="00CB1C0A">
        <w:rPr>
          <w:rFonts w:ascii="Times New Roman" w:hAnsi="Times New Roman" w:cs="Times New Roman"/>
          <w:i/>
          <w:sz w:val="16"/>
          <w:szCs w:val="16"/>
        </w:rPr>
        <w:t>Zdroj: MF SR</w:t>
      </w:r>
    </w:p>
    <w:p w:rsidR="00AA17E3" w:rsidRPr="00CB1C0A" w:rsidRDefault="00AA17E3" w:rsidP="00AA17E3">
      <w:pPr>
        <w:rPr>
          <w:rFonts w:ascii="Times New Roman" w:hAnsi="Times New Roman" w:cs="Times New Roman"/>
          <w:b/>
          <w:color w:val="5B9BD5" w:themeColor="accent1"/>
          <w:sz w:val="24"/>
        </w:rPr>
      </w:pPr>
      <w:r w:rsidRPr="00CB1C0A">
        <w:rPr>
          <w:rFonts w:ascii="Times New Roman" w:hAnsi="Times New Roman" w:cs="Times New Roman"/>
          <w:b/>
          <w:color w:val="5B9BD5" w:themeColor="accent1"/>
          <w:sz w:val="24"/>
        </w:rPr>
        <w:t>Kapitálové výdavky</w:t>
      </w:r>
    </w:p>
    <w:p w:rsidR="00AA17E3" w:rsidRPr="00CB1C0A" w:rsidRDefault="00AA17E3" w:rsidP="00AA17E3">
      <w:pPr>
        <w:spacing w:after="0" w:line="240" w:lineRule="auto"/>
        <w:jc w:val="both"/>
        <w:rPr>
          <w:rFonts w:ascii="Times New Roman" w:hAnsi="Times New Roman" w:cs="Times New Roman"/>
          <w:noProof/>
          <w:sz w:val="24"/>
          <w:szCs w:val="24"/>
          <w:lang w:eastAsia="sk-SK"/>
        </w:rPr>
      </w:pPr>
      <w:r w:rsidRPr="00CB1C0A">
        <w:rPr>
          <w:rFonts w:ascii="Times New Roman" w:hAnsi="Times New Roman" w:cs="Times New Roman"/>
          <w:sz w:val="24"/>
          <w:szCs w:val="24"/>
        </w:rPr>
        <w:t xml:space="preserve">Na obnovu a modernizáciu zdravotníckych zariadení má kapitola Ministerstva zdravotníctva SR v roku 2022 k dispozícii prostriedky na úrovni 6,4 mil. eur a ďalšie prostriedky </w:t>
      </w:r>
      <w:r w:rsidRPr="00CB1C0A">
        <w:rPr>
          <w:rFonts w:ascii="Times New Roman" w:hAnsi="Times New Roman" w:cs="Times New Roman"/>
          <w:noProof/>
          <w:sz w:val="24"/>
          <w:szCs w:val="24"/>
          <w:lang w:eastAsia="sk-SK"/>
        </w:rPr>
        <w:t xml:space="preserve">sú alokované v </w:t>
      </w:r>
      <w:r w:rsidRPr="00CB1C0A">
        <w:rPr>
          <w:rFonts w:ascii="Times New Roman" w:eastAsia="Times New Roman" w:hAnsi="Times New Roman" w:cs="Times New Roman"/>
          <w:sz w:val="24"/>
          <w:szCs w:val="24"/>
          <w:lang w:eastAsia="cs-CZ"/>
        </w:rPr>
        <w:t xml:space="preserve">Pláne obnovy a odolnosti na rok 2022 v objeme 199 mil. eur.          </w:t>
      </w:r>
    </w:p>
    <w:p w:rsidR="00AA17E3" w:rsidRPr="00CB1C0A" w:rsidRDefault="00AA17E3" w:rsidP="00AA17E3">
      <w:pPr>
        <w:spacing w:after="0"/>
        <w:rPr>
          <w:rFonts w:ascii="Times New Roman" w:hAnsi="Times New Roman" w:cs="Times New Roman"/>
          <w:b/>
          <w:color w:val="5B9BD5" w:themeColor="accent1"/>
          <w:sz w:val="24"/>
          <w:szCs w:val="24"/>
        </w:rPr>
      </w:pPr>
      <w:r w:rsidRPr="00CB1C0A">
        <w:rPr>
          <w:rFonts w:ascii="Times New Roman" w:hAnsi="Times New Roman" w:cs="Times New Roman"/>
          <w:b/>
          <w:color w:val="5B9BD5" w:themeColor="accent1"/>
          <w:sz w:val="24"/>
          <w:szCs w:val="24"/>
        </w:rPr>
        <w:t>Nevyčíslené opatrenia a štrukturálne opatrenia</w:t>
      </w:r>
    </w:p>
    <w:p w:rsidR="00AA17E3" w:rsidRPr="00CB1C0A" w:rsidRDefault="00AA17E3" w:rsidP="00AA17E3">
      <w:pPr>
        <w:spacing w:after="0"/>
        <w:rPr>
          <w:rFonts w:ascii="Times New Roman" w:hAnsi="Times New Roman" w:cs="Times New Roman"/>
          <w:b/>
          <w:color w:val="5B9BD5" w:themeColor="accent1"/>
          <w:sz w:val="24"/>
          <w:szCs w:val="24"/>
        </w:rPr>
      </w:pPr>
    </w:p>
    <w:p w:rsidR="00AA17E3" w:rsidRPr="00CB1C0A" w:rsidRDefault="00AA17E3" w:rsidP="00AA17E3">
      <w:pPr>
        <w:spacing w:after="0" w:line="240" w:lineRule="auto"/>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Významný potenciál pre zvýšenie efektívnosti výdavkov v zdravotníctve predstavujú systémové a procesné zmeny bez vyčísleného finančného vplyvu. Revízia výdavkov identifikovala viacero takýchto opatrení, časť z nich už rezort v súčasnosti pripravuje.</w:t>
      </w:r>
    </w:p>
    <w:p w:rsidR="00AA17E3" w:rsidRPr="00CB1C0A" w:rsidRDefault="00AA17E3" w:rsidP="004B108F">
      <w:pPr>
        <w:numPr>
          <w:ilvl w:val="0"/>
          <w:numId w:val="17"/>
        </w:numPr>
        <w:spacing w:after="0" w:line="240" w:lineRule="auto"/>
        <w:ind w:left="714" w:hanging="357"/>
        <w:contextualSpacing/>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 xml:space="preserve">Optimalizácia siete nemocníc prinesie vyššiu kvalitu starostlivosti cez predpísaný minimálny počet výkonov (preukázateľný priamy súvis počtu výkonov s kvalitou poskytovanej ZS), zabezpečenie nároku pacienta a zlepšovanie efektívnosti poklesom dĺžky hospitalizácie a počtu lôžok. Rezort zdravotníctva v roku 2021 predložil legislatívny návrh optimalizácie siete nemocníc, ktorý bol koncom septembra 2021 schválený vládou SR. Ďalším krokom je zverejnenie tzv. mapy nemocníc, na ktorú má nadväzovať investičný plán. Schválenie legislatívy k optimalizácii siete je aj míľnikom (do konca roku 2021) v Pláne obnovy a odolnosti SR a podmienkou pre čerpanie zdrojov na investície do zdravotníctva. </w:t>
      </w:r>
    </w:p>
    <w:p w:rsidR="00AA17E3" w:rsidRPr="00CB1C0A" w:rsidRDefault="00AA17E3" w:rsidP="004B108F">
      <w:pPr>
        <w:numPr>
          <w:ilvl w:val="0"/>
          <w:numId w:val="17"/>
        </w:numPr>
        <w:spacing w:after="0" w:line="240" w:lineRule="auto"/>
        <w:contextualSpacing/>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 xml:space="preserve">Popri optimalizácii siete je nevyhnutná aj reforma financovania ústavnej zdravotnej starostlivosti. </w:t>
      </w:r>
      <w:r w:rsidRPr="00CB1C0A">
        <w:rPr>
          <w:rFonts w:ascii="Times New Roman" w:hAnsi="Times New Roman" w:cs="Times New Roman"/>
          <w:noProof/>
          <w:sz w:val="24"/>
          <w:szCs w:val="24"/>
          <w:lang w:eastAsia="sk-SK"/>
        </w:rPr>
        <w:t xml:space="preserve">Ministerstvo zdravotníctva SR </w:t>
      </w:r>
      <w:r w:rsidRPr="00CB1C0A">
        <w:rPr>
          <w:rFonts w:ascii="Times New Roman" w:hAnsi="Times New Roman" w:cs="Times New Roman"/>
          <w:color w:val="000000"/>
          <w:sz w:val="24"/>
          <w:szCs w:val="24"/>
          <w:lang w:eastAsia="sk-SK"/>
        </w:rPr>
        <w:t>plánuje zaviesť platby nemocniciam na základe skupín súvisiacich diagnóz (DRG), pokrok je v súčasnosti pomalý z dôvodu neúplnosti a nejednotnosti potrebných dát.</w:t>
      </w:r>
    </w:p>
    <w:p w:rsidR="00AA17E3" w:rsidRPr="00CB1C0A" w:rsidRDefault="00AA17E3" w:rsidP="004B108F">
      <w:pPr>
        <w:numPr>
          <w:ilvl w:val="0"/>
          <w:numId w:val="17"/>
        </w:numPr>
        <w:spacing w:after="0" w:line="240" w:lineRule="auto"/>
        <w:contextualSpacing/>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 xml:space="preserve">Vo všeobecnej ambulantnej starostlivosti Revízia výdavkov odporúčala rozšírenie kompetencií všeobecných lekárov, prehodnotenie mechanizmu financovania ambulancií (kapitácia a platba za výkon) a zjednodušenie vstupu všeobecných lekárov na trh. </w:t>
      </w:r>
      <w:r w:rsidRPr="00CB1C0A">
        <w:rPr>
          <w:rFonts w:ascii="Times New Roman" w:hAnsi="Times New Roman" w:cs="Times New Roman"/>
          <w:noProof/>
          <w:sz w:val="24"/>
          <w:szCs w:val="24"/>
          <w:lang w:eastAsia="sk-SK"/>
        </w:rPr>
        <w:t xml:space="preserve">Ministerstvo zdravotníctva SR </w:t>
      </w:r>
      <w:r w:rsidRPr="00CB1C0A">
        <w:rPr>
          <w:rFonts w:ascii="Times New Roman" w:hAnsi="Times New Roman" w:cs="Times New Roman"/>
          <w:color w:val="000000"/>
          <w:sz w:val="24"/>
          <w:szCs w:val="24"/>
          <w:lang w:eastAsia="sk-SK"/>
        </w:rPr>
        <w:t xml:space="preserve">v roku 2021 pripravilo prvú časť reformy, ktorá má napomôcť príchodu všeobecných lekárov do regiónov s nízkou dostupnosťou všeobecnej ambulantnej starostlivosti. Návrh bol schválený vládou SR spolu s legislatívou k optimalizácii siete nemocníc. V ďalšej fáze reformy plánuje </w:t>
      </w:r>
      <w:r w:rsidRPr="00CB1C0A">
        <w:rPr>
          <w:rFonts w:ascii="Times New Roman" w:hAnsi="Times New Roman" w:cs="Times New Roman"/>
          <w:noProof/>
          <w:sz w:val="24"/>
          <w:szCs w:val="24"/>
          <w:lang w:eastAsia="sk-SK"/>
        </w:rPr>
        <w:t xml:space="preserve">Ministerstvo zdravotníctva SR </w:t>
      </w:r>
      <w:r w:rsidRPr="00CB1C0A">
        <w:rPr>
          <w:rFonts w:ascii="Times New Roman" w:hAnsi="Times New Roman" w:cs="Times New Roman"/>
          <w:color w:val="000000"/>
          <w:sz w:val="24"/>
          <w:szCs w:val="24"/>
          <w:lang w:eastAsia="sk-SK"/>
        </w:rPr>
        <w:t xml:space="preserve">pripraviť novú koncepciu všeobecného lekárstva a s využitím technickej podpory EK nastaviť nové úhradové mechanizmy.  </w:t>
      </w:r>
    </w:p>
    <w:p w:rsidR="00AA17E3" w:rsidRPr="00CB1C0A" w:rsidRDefault="00AA17E3" w:rsidP="004B108F">
      <w:pPr>
        <w:numPr>
          <w:ilvl w:val="0"/>
          <w:numId w:val="17"/>
        </w:numPr>
        <w:spacing w:after="0" w:line="240" w:lineRule="auto"/>
        <w:contextualSpacing/>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 xml:space="preserve">Lepšie procesy pre uzatváranie zmlúv a benchmarkovanie vybraných prevádzkových nákladov pomôžu optimalizovať náklady univerzitných a fakultných nemocníc (skr. UN a FN). V prvej fáze realizácie opatrenia </w:t>
      </w:r>
      <w:r w:rsidRPr="00CB1C0A">
        <w:rPr>
          <w:rFonts w:ascii="Times New Roman" w:hAnsi="Times New Roman" w:cs="Times New Roman"/>
          <w:noProof/>
          <w:sz w:val="24"/>
          <w:szCs w:val="24"/>
          <w:lang w:eastAsia="sk-SK"/>
        </w:rPr>
        <w:t xml:space="preserve">Ministerstvo zdravotníctva SR </w:t>
      </w:r>
      <w:r w:rsidRPr="00CB1C0A">
        <w:rPr>
          <w:rFonts w:ascii="Times New Roman" w:hAnsi="Times New Roman" w:cs="Times New Roman"/>
          <w:color w:val="000000"/>
          <w:sz w:val="24"/>
          <w:szCs w:val="24"/>
          <w:lang w:eastAsia="sk-SK"/>
        </w:rPr>
        <w:t xml:space="preserve">optimalizuje náklady v UN a FN prostredníctvom dvoch nástrojov: posudzovaním cien tovarov a služieb pred vyhlásením verejného obstarávania nemocnicami a zavedením a využívaním kontrolingového nástroja. V ďalšej fáze budú tieto nástroje rozšírené do centrálneho riadenia činností UN a FN z pozície </w:t>
      </w:r>
      <w:r w:rsidRPr="00CB1C0A">
        <w:rPr>
          <w:rFonts w:ascii="Times New Roman" w:hAnsi="Times New Roman" w:cs="Times New Roman"/>
          <w:noProof/>
          <w:sz w:val="24"/>
          <w:szCs w:val="24"/>
          <w:lang w:eastAsia="sk-SK"/>
        </w:rPr>
        <w:t>Ministerstva zdravotníctva SR</w:t>
      </w:r>
      <w:r w:rsidRPr="00CB1C0A">
        <w:rPr>
          <w:rFonts w:ascii="Times New Roman" w:hAnsi="Times New Roman" w:cs="Times New Roman"/>
          <w:color w:val="000000"/>
          <w:sz w:val="24"/>
          <w:szCs w:val="24"/>
          <w:lang w:eastAsia="sk-SK"/>
        </w:rPr>
        <w:t xml:space="preserve">, ako ich zriaďovateľa. Tento zámer bude realizovaný aj pomocou zdrojov alokovaných v Pláne obnovy a odolnosti. </w:t>
      </w:r>
    </w:p>
    <w:p w:rsidR="00AA17E3" w:rsidRPr="00CB1C0A" w:rsidRDefault="00AA17E3" w:rsidP="00AA17E3">
      <w:pPr>
        <w:spacing w:after="0" w:line="240" w:lineRule="auto"/>
        <w:jc w:val="both"/>
        <w:rPr>
          <w:rFonts w:ascii="Times New Roman" w:hAnsi="Times New Roman" w:cs="Times New Roman"/>
          <w:color w:val="000000"/>
          <w:sz w:val="24"/>
          <w:szCs w:val="24"/>
          <w:lang w:eastAsia="sk-SK"/>
        </w:rPr>
      </w:pPr>
    </w:p>
    <w:p w:rsidR="00AA17E3" w:rsidRPr="00CB1C0A" w:rsidRDefault="00AA17E3" w:rsidP="00AA17E3">
      <w:pPr>
        <w:spacing w:after="0" w:line="240" w:lineRule="auto"/>
        <w:jc w:val="both"/>
        <w:rPr>
          <w:rFonts w:ascii="Times New Roman" w:eastAsia="Times New Roman" w:hAnsi="Times New Roman" w:cs="Times New Roman"/>
          <w:b/>
          <w:color w:val="5B9BD5" w:themeColor="accent1"/>
          <w:sz w:val="24"/>
          <w:szCs w:val="24"/>
          <w:lang w:eastAsia="cs-CZ"/>
        </w:rPr>
      </w:pPr>
      <w:r w:rsidRPr="00B12D35">
        <w:rPr>
          <w:rFonts w:ascii="Times New Roman" w:hAnsi="Times New Roman" w:cs="Times New Roman"/>
          <w:b/>
          <w:color w:val="5B9BD5" w:themeColor="accent1"/>
          <w:sz w:val="24"/>
          <w:szCs w:val="24"/>
        </w:rPr>
        <w:t>Zdravotnícke zariadenia</w:t>
      </w:r>
      <w:r w:rsidRPr="00CB1C0A">
        <w:rPr>
          <w:rFonts w:ascii="Times New Roman" w:eastAsia="Times New Roman" w:hAnsi="Times New Roman" w:cs="Times New Roman"/>
          <w:b/>
          <w:color w:val="5B9BD5" w:themeColor="accent1"/>
          <w:sz w:val="24"/>
          <w:szCs w:val="24"/>
          <w:vertAlign w:val="superscript"/>
          <w:lang w:eastAsia="cs-CZ"/>
        </w:rPr>
        <w:footnoteReference w:id="57"/>
      </w:r>
    </w:p>
    <w:p w:rsidR="00AA17E3" w:rsidRPr="00CB1C0A" w:rsidRDefault="00AA17E3" w:rsidP="00AA17E3">
      <w:pPr>
        <w:spacing w:after="0" w:line="240" w:lineRule="auto"/>
        <w:jc w:val="both"/>
        <w:rPr>
          <w:rFonts w:ascii="Times New Roman" w:eastAsia="Times New Roman" w:hAnsi="Times New Roman" w:cs="Times New Roman"/>
          <w:b/>
          <w:color w:val="5B9BD5" w:themeColor="accent1"/>
          <w:sz w:val="24"/>
          <w:szCs w:val="24"/>
          <w:lang w:eastAsia="cs-CZ"/>
        </w:rPr>
      </w:pPr>
    </w:p>
    <w:p w:rsidR="00AA17E3" w:rsidRPr="00CB1C0A" w:rsidRDefault="00AA17E3" w:rsidP="00AA17E3">
      <w:pPr>
        <w:spacing w:after="0" w:line="240" w:lineRule="auto"/>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Na poskytovanie</w:t>
      </w:r>
      <w:r w:rsidRPr="00CB1C0A">
        <w:rPr>
          <w:rFonts w:ascii="Times New Roman" w:hAnsi="Times New Roman" w:cs="Times New Roman"/>
          <w:sz w:val="24"/>
          <w:szCs w:val="24"/>
        </w:rPr>
        <w:t xml:space="preserve"> zdravotnej starostlivosti a služieb súvisiacich s poskytovaním zdravotnej starostlivosti boli zriadené zdravotnícke zariadenia. Zdravotnícke zariadenia možno prevádzkovať len  na základe povolenia na ambulantnú, ústavnú a lekárenskú starostlivosť. Ide o súbor 88 zdravotníckych zariadení, ako napr. </w:t>
      </w:r>
      <w:r w:rsidRPr="00CB1C0A">
        <w:rPr>
          <w:rFonts w:ascii="Times New Roman" w:hAnsi="Times New Roman" w:cs="Times New Roman"/>
          <w:color w:val="000000"/>
          <w:sz w:val="24"/>
          <w:szCs w:val="24"/>
          <w:lang w:eastAsia="sk-SK"/>
        </w:rPr>
        <w:t xml:space="preserve">nemocnice (všeobecné, špecializované), polikliniky a iné prevádzkové útvary. </w:t>
      </w:r>
    </w:p>
    <w:p w:rsidR="00AA17E3" w:rsidRPr="00CB1C0A" w:rsidRDefault="00AA17E3" w:rsidP="00AA17E3">
      <w:pPr>
        <w:spacing w:after="0"/>
        <w:jc w:val="both"/>
        <w:rPr>
          <w:rFonts w:ascii="Times New Roman" w:hAnsi="Times New Roman" w:cs="Times New Roman"/>
          <w:color w:val="000000"/>
          <w:sz w:val="24"/>
          <w:szCs w:val="24"/>
          <w:lang w:eastAsia="sk-SK"/>
        </w:rPr>
      </w:pPr>
    </w:p>
    <w:p w:rsidR="00AA17E3" w:rsidRPr="00CB1C0A" w:rsidRDefault="00AA17E3" w:rsidP="00AA17E3">
      <w:pPr>
        <w:spacing w:after="0" w:line="240" w:lineRule="auto"/>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 xml:space="preserve">Najviac zdravotníckych zariadení patrí do pôsobnosti Ministerstva zdravotníctva SR (55 zariadení). Najvýznamnejší podiel predstavujú univerzitné a fakultné nemocnice, ktoré sú súčasťou 34  príspevkových organizácií. Ďalej do pôsobnosti  patrí 7 subjektov, ktoré majú formu podnikateľských subjektov a 14 neziskových organizácií. </w:t>
      </w:r>
    </w:p>
    <w:p w:rsidR="00AA17E3" w:rsidRPr="00CB1C0A" w:rsidRDefault="00AA17E3" w:rsidP="00AA17E3">
      <w:pPr>
        <w:spacing w:after="0" w:line="240" w:lineRule="auto"/>
        <w:jc w:val="both"/>
        <w:rPr>
          <w:rFonts w:ascii="Times New Roman" w:hAnsi="Times New Roman" w:cs="Times New Roman"/>
          <w:color w:val="000000"/>
          <w:sz w:val="24"/>
          <w:szCs w:val="24"/>
          <w:lang w:eastAsia="sk-SK"/>
        </w:rPr>
      </w:pPr>
    </w:p>
    <w:p w:rsidR="00AA17E3" w:rsidRPr="00CB1C0A" w:rsidRDefault="00AA17E3" w:rsidP="00AA17E3">
      <w:pPr>
        <w:spacing w:after="0" w:line="240" w:lineRule="auto"/>
        <w:jc w:val="both"/>
        <w:rPr>
          <w:rFonts w:ascii="Times New Roman" w:eastAsia="Times New Roman" w:hAnsi="Times New Roman" w:cs="Times New Roman"/>
          <w:color w:val="000000"/>
          <w:sz w:val="24"/>
          <w:szCs w:val="24"/>
          <w:lang w:eastAsia="sk-SK"/>
        </w:rPr>
      </w:pPr>
      <w:r w:rsidRPr="00CB1C0A">
        <w:rPr>
          <w:rFonts w:ascii="Times New Roman" w:eastAsia="Times New Roman" w:hAnsi="Times New Roman" w:cs="Times New Roman"/>
          <w:color w:val="000000"/>
          <w:sz w:val="24"/>
          <w:szCs w:val="24"/>
          <w:lang w:eastAsia="sk-SK"/>
        </w:rPr>
        <w:t xml:space="preserve">V pôsobnosti Ministerstva vnútra SR sú zriadené tri príspevkové organizácie a Nemocnica svätého Michala, a. s. Bratislava. Zriaďovateľom Ústrednej vojenskej nemocnice SNP Ružomberok je Ministerstvo obrany SR. Pre osoby vo väzbe alebo vo výkone trestu odňatia slobody je určená  špecializovaná nemocnica, ktorej zriaďovateľom je Ministerstvo spravodlivosti SR. V priebehu roka 2021 boli zaradené medzi subjekty verejnej správy  spoločnosť BIONT, a. s. a Kúpele Sliač, a. s.. V pôsobnosti samosprávnych krajov je 25 zdravotníckych zariadení. </w:t>
      </w:r>
    </w:p>
    <w:p w:rsidR="00AA17E3" w:rsidRPr="00CB1C0A" w:rsidRDefault="00AA17E3" w:rsidP="00AA17E3">
      <w:pPr>
        <w:spacing w:after="0" w:line="240" w:lineRule="auto"/>
        <w:jc w:val="both"/>
        <w:rPr>
          <w:rFonts w:ascii="Times New Roman" w:eastAsia="Times New Roman" w:hAnsi="Times New Roman" w:cs="Times New Roman"/>
          <w:color w:val="000000"/>
          <w:sz w:val="24"/>
          <w:szCs w:val="24"/>
          <w:lang w:eastAsia="sk-SK"/>
        </w:rPr>
      </w:pPr>
    </w:p>
    <w:p w:rsidR="00AA17E3" w:rsidRPr="00CB1C0A" w:rsidRDefault="00AA17E3" w:rsidP="00AA17E3">
      <w:pPr>
        <w:spacing w:after="0" w:line="240" w:lineRule="auto"/>
        <w:jc w:val="both"/>
        <w:rPr>
          <w:rFonts w:ascii="Times New Roman" w:eastAsia="Times New Roman" w:hAnsi="Times New Roman" w:cs="Times New Roman"/>
          <w:color w:val="000000"/>
          <w:sz w:val="24"/>
          <w:szCs w:val="24"/>
          <w:lang w:eastAsia="sk-SK"/>
        </w:rPr>
      </w:pPr>
      <w:r w:rsidRPr="00CB1C0A">
        <w:rPr>
          <w:rFonts w:ascii="Times New Roman" w:eastAsia="Times New Roman" w:hAnsi="Times New Roman" w:cs="Times New Roman"/>
          <w:color w:val="000000"/>
          <w:sz w:val="24"/>
          <w:szCs w:val="24"/>
          <w:lang w:eastAsia="sk-SK"/>
        </w:rPr>
        <w:t xml:space="preserve">Výdavky na rok 2022 určené pre zdravotnícke zariadenia predstavujú sumu 2,20 mld.  eur.  Výdavky na bežnú prevádzku sa rozpočtujú vo výške  2,12 mld. eur, pričom najväčší podiel na úrovni 56,9 % tvoria osobné výdavky. V hodnotovom vyjadrení ide o 1,25 mld. eur. Na zabezpečenie prístrojového vybavenia nemocníc, odstránenie havarijných stavov budov, rekonštrukcie sociálnych zariadení, modernizácie operačných sál sa v roku 2022 rozpočtuje  objem vo výške  74,5 mil. eur.  </w:t>
      </w:r>
    </w:p>
    <w:p w:rsidR="00AA17E3" w:rsidRPr="00CB1C0A"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CB1C0A" w:rsidRDefault="00AA17E3" w:rsidP="00AA17E3">
      <w:pPr>
        <w:keepNext/>
        <w:spacing w:after="0" w:line="240" w:lineRule="auto"/>
        <w:jc w:val="both"/>
        <w:rPr>
          <w:rFonts w:ascii="Times New Roman" w:hAnsi="Times New Roman" w:cs="Times New Roman"/>
          <w:b/>
          <w:iCs/>
          <w:color w:val="5B9BD5" w:themeColor="accent1"/>
          <w:sz w:val="20"/>
          <w:szCs w:val="20"/>
        </w:rPr>
      </w:pPr>
      <w:bookmarkStart w:id="367" w:name="_Toc53054814"/>
      <w:bookmarkStart w:id="368" w:name="_Toc53078006"/>
      <w:bookmarkStart w:id="369" w:name="_Toc53086408"/>
      <w:bookmarkStart w:id="370" w:name="_Toc84528431"/>
      <w:bookmarkStart w:id="371" w:name="_Toc84845307"/>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83</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Výdavky zdravotníckych zariadení</w:t>
      </w:r>
      <w:bookmarkEnd w:id="367"/>
      <w:bookmarkEnd w:id="368"/>
      <w:bookmarkEnd w:id="369"/>
      <w:bookmarkEnd w:id="370"/>
      <w:bookmarkEnd w:id="371"/>
    </w:p>
    <w:tbl>
      <w:tblPr>
        <w:tblW w:w="5000" w:type="pct"/>
        <w:tblCellMar>
          <w:left w:w="70" w:type="dxa"/>
          <w:right w:w="70" w:type="dxa"/>
        </w:tblCellMar>
        <w:tblLook w:val="04A0" w:firstRow="1" w:lastRow="0" w:firstColumn="1" w:lastColumn="0" w:noHBand="0" w:noVBand="1"/>
      </w:tblPr>
      <w:tblGrid>
        <w:gridCol w:w="3470"/>
        <w:gridCol w:w="922"/>
        <w:gridCol w:w="780"/>
        <w:gridCol w:w="780"/>
        <w:gridCol w:w="780"/>
        <w:gridCol w:w="780"/>
        <w:gridCol w:w="780"/>
        <w:gridCol w:w="780"/>
      </w:tblGrid>
      <w:tr w:rsidR="00AA17E3" w:rsidRPr="00CB1C0A" w:rsidTr="00AA17E3">
        <w:trPr>
          <w:trHeight w:val="255"/>
        </w:trPr>
        <w:tc>
          <w:tcPr>
            <w:tcW w:w="19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v  tis. eurách</w:t>
            </w:r>
          </w:p>
        </w:tc>
        <w:tc>
          <w:tcPr>
            <w:tcW w:w="522"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2019 S</w:t>
            </w:r>
          </w:p>
        </w:tc>
        <w:tc>
          <w:tcPr>
            <w:tcW w:w="4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2020 S</w:t>
            </w:r>
          </w:p>
        </w:tc>
        <w:tc>
          <w:tcPr>
            <w:tcW w:w="4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2021 R</w:t>
            </w:r>
          </w:p>
        </w:tc>
        <w:tc>
          <w:tcPr>
            <w:tcW w:w="4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2021 OS</w:t>
            </w:r>
          </w:p>
        </w:tc>
        <w:tc>
          <w:tcPr>
            <w:tcW w:w="4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2022 N</w:t>
            </w:r>
          </w:p>
        </w:tc>
        <w:tc>
          <w:tcPr>
            <w:tcW w:w="4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2023 N</w:t>
            </w:r>
          </w:p>
        </w:tc>
        <w:tc>
          <w:tcPr>
            <w:tcW w:w="425" w:type="pct"/>
            <w:tcBorders>
              <w:top w:val="single" w:sz="4" w:space="0" w:color="auto"/>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CB1C0A">
              <w:rPr>
                <w:rFonts w:ascii="Times New Roman" w:eastAsia="Times New Roman" w:hAnsi="Times New Roman" w:cs="Times New Roman"/>
                <w:b/>
                <w:bCs/>
                <w:color w:val="000000"/>
                <w:sz w:val="16"/>
                <w:szCs w:val="16"/>
                <w:lang w:eastAsia="sk-SK"/>
              </w:rPr>
              <w:t>2024 N</w:t>
            </w:r>
          </w:p>
        </w:tc>
      </w:tr>
      <w:tr w:rsidR="00AA17E3" w:rsidRPr="00CB1C0A" w:rsidTr="00AA17E3">
        <w:trPr>
          <w:trHeight w:val="255"/>
        </w:trPr>
        <w:tc>
          <w:tcPr>
            <w:tcW w:w="19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Výdavky zdravotníckych zariadení</w:t>
            </w:r>
          </w:p>
        </w:tc>
        <w:tc>
          <w:tcPr>
            <w:tcW w:w="522"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2 033 985</w:t>
            </w:r>
          </w:p>
        </w:tc>
        <w:tc>
          <w:tcPr>
            <w:tcW w:w="4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2 194 465</w:t>
            </w:r>
          </w:p>
        </w:tc>
        <w:tc>
          <w:tcPr>
            <w:tcW w:w="4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2 021 951</w:t>
            </w:r>
          </w:p>
        </w:tc>
        <w:tc>
          <w:tcPr>
            <w:tcW w:w="4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2 330 509</w:t>
            </w:r>
          </w:p>
        </w:tc>
        <w:tc>
          <w:tcPr>
            <w:tcW w:w="4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2 202 556</w:t>
            </w:r>
          </w:p>
        </w:tc>
        <w:tc>
          <w:tcPr>
            <w:tcW w:w="4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2 256 206</w:t>
            </w:r>
          </w:p>
        </w:tc>
        <w:tc>
          <w:tcPr>
            <w:tcW w:w="425" w:type="pct"/>
            <w:tcBorders>
              <w:top w:val="nil"/>
              <w:left w:val="nil"/>
              <w:bottom w:val="single" w:sz="4" w:space="0" w:color="auto"/>
              <w:right w:val="nil"/>
            </w:tcBorders>
            <w:shd w:val="clear" w:color="auto" w:fill="auto"/>
            <w:noWrap/>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2 325 294</w:t>
            </w:r>
          </w:p>
        </w:tc>
      </w:tr>
    </w:tbl>
    <w:p w:rsidR="00AA17E3" w:rsidRPr="00CB1C0A" w:rsidRDefault="00AA17E3" w:rsidP="009224A5">
      <w:pPr>
        <w:spacing w:after="0"/>
        <w:jc w:val="both"/>
        <w:rPr>
          <w:rFonts w:ascii="Times New Roman" w:hAnsi="Times New Roman" w:cs="Times New Roman"/>
          <w:i/>
          <w:sz w:val="16"/>
          <w:szCs w:val="16"/>
        </w:rPr>
      </w:pPr>
      <w:r w:rsidRPr="00CB1C0A">
        <w:rPr>
          <w:rFonts w:ascii="Times New Roman" w:hAnsi="Times New Roman" w:cs="Times New Roman"/>
          <w:b/>
          <w:iCs/>
          <w:color w:val="5B9BD5" w:themeColor="accent1"/>
          <w:sz w:val="20"/>
          <w:szCs w:val="20"/>
        </w:rPr>
        <w:t xml:space="preserve">      </w:t>
      </w:r>
      <w:r w:rsidRPr="00CB1C0A">
        <w:rPr>
          <w:rFonts w:ascii="Times New Roman" w:hAnsi="Times New Roman" w:cs="Times New Roman"/>
          <w:i/>
          <w:sz w:val="16"/>
          <w:szCs w:val="16"/>
        </w:rPr>
        <w:t xml:space="preserve">                                                                                                                                                                                                    Zdroj: MF SR  </w:t>
      </w:r>
      <w:r w:rsidRPr="00CB1C0A">
        <w:rPr>
          <w:rFonts w:ascii="Times New Roman" w:eastAsia="Times New Roman" w:hAnsi="Times New Roman" w:cs="Times New Roman"/>
          <w:i/>
          <w:sz w:val="16"/>
          <w:szCs w:val="16"/>
          <w:lang w:eastAsia="cs-CZ"/>
        </w:rPr>
        <w:t xml:space="preserve"> </w:t>
      </w:r>
    </w:p>
    <w:p w:rsidR="009224A5" w:rsidRDefault="009224A5" w:rsidP="009224A5">
      <w:pPr>
        <w:spacing w:after="0" w:line="240" w:lineRule="auto"/>
        <w:jc w:val="both"/>
        <w:rPr>
          <w:rFonts w:ascii="Times New Roman" w:hAnsi="Times New Roman" w:cs="Times New Roman"/>
          <w:color w:val="000000"/>
          <w:sz w:val="24"/>
          <w:szCs w:val="24"/>
          <w:lang w:eastAsia="sk-SK"/>
        </w:rPr>
      </w:pPr>
    </w:p>
    <w:p w:rsidR="00AA17E3" w:rsidRPr="00CB1C0A" w:rsidRDefault="00AA17E3" w:rsidP="009224A5">
      <w:pPr>
        <w:spacing w:after="0" w:line="240" w:lineRule="auto"/>
        <w:jc w:val="both"/>
        <w:rPr>
          <w:rFonts w:ascii="Times New Roman" w:hAnsi="Times New Roman" w:cs="Times New Roman"/>
          <w:color w:val="000000"/>
          <w:sz w:val="24"/>
          <w:szCs w:val="24"/>
          <w:lang w:eastAsia="sk-SK"/>
        </w:rPr>
      </w:pPr>
      <w:r w:rsidRPr="00CB1C0A">
        <w:rPr>
          <w:rFonts w:ascii="Times New Roman" w:hAnsi="Times New Roman" w:cs="Times New Roman"/>
          <w:color w:val="000000"/>
          <w:sz w:val="24"/>
          <w:szCs w:val="24"/>
          <w:lang w:eastAsia="sk-SK"/>
        </w:rPr>
        <w:t xml:space="preserve">Pre účely plnenia úloh súvisiacich s komplexnou produkciou krvných prípravkov je zriadená príspevková organizácia Národná transfúzna služba SR, ktorá okrem iného zabezpečuje aj hemoterapiu najvyššej možnej kvality a bezpečnosť krvi v požadovanom objeme na dosiahnutie národnej sebestačnosti. Celkové výdavky smerujúce do Národnej transfúznej služby SR predstavujú výšku 24,7 mil. eur. </w:t>
      </w:r>
    </w:p>
    <w:p w:rsidR="00AA17E3" w:rsidRPr="00CB1C0A" w:rsidRDefault="00AA17E3" w:rsidP="00AA17E3">
      <w:pPr>
        <w:spacing w:after="0" w:line="240" w:lineRule="auto"/>
        <w:jc w:val="both"/>
        <w:rPr>
          <w:rFonts w:ascii="Times New Roman" w:eastAsia="Times New Roman" w:hAnsi="Times New Roman" w:cs="Times New Roman"/>
          <w:sz w:val="24"/>
          <w:szCs w:val="24"/>
          <w:lang w:eastAsia="cs-CZ"/>
        </w:rPr>
      </w:pPr>
      <w:r w:rsidRPr="00CB1C0A">
        <w:rPr>
          <w:rFonts w:ascii="Times New Roman" w:eastAsia="Times New Roman" w:hAnsi="Times New Roman" w:cs="Times New Roman"/>
          <w:sz w:val="24"/>
          <w:szCs w:val="24"/>
          <w:lang w:eastAsia="cs-CZ"/>
        </w:rPr>
        <w:t xml:space="preserve"> </w:t>
      </w:r>
    </w:p>
    <w:p w:rsidR="00AA17E3" w:rsidRDefault="00AA17E3" w:rsidP="00AA17E3">
      <w:pPr>
        <w:spacing w:after="0"/>
        <w:rPr>
          <w:rFonts w:ascii="Times New Roman" w:hAnsi="Times New Roman" w:cs="Times New Roman"/>
          <w:b/>
          <w:color w:val="5B9BD5" w:themeColor="accent1"/>
          <w:sz w:val="24"/>
          <w:szCs w:val="24"/>
        </w:rPr>
      </w:pPr>
      <w:r w:rsidRPr="00CB1C0A">
        <w:rPr>
          <w:rFonts w:ascii="Times New Roman" w:hAnsi="Times New Roman" w:cs="Times New Roman"/>
          <w:b/>
          <w:color w:val="5B9BD5" w:themeColor="accent1"/>
          <w:sz w:val="24"/>
          <w:szCs w:val="24"/>
        </w:rPr>
        <w:t>Organizácie pôsobiace v oblasti zdravotníctva</w:t>
      </w:r>
    </w:p>
    <w:p w:rsidR="00FA7DE1" w:rsidRPr="00CB1C0A" w:rsidRDefault="00FA7DE1" w:rsidP="00AA17E3">
      <w:pPr>
        <w:spacing w:after="0"/>
        <w:rPr>
          <w:rFonts w:ascii="Times New Roman" w:hAnsi="Times New Roman" w:cs="Times New Roman"/>
          <w:b/>
          <w:color w:val="5B9BD5" w:themeColor="accent1"/>
          <w:sz w:val="24"/>
          <w:szCs w:val="24"/>
        </w:rPr>
      </w:pPr>
    </w:p>
    <w:p w:rsidR="00AA17E3" w:rsidRPr="00CB1C0A" w:rsidRDefault="00AA17E3" w:rsidP="00AA17E3">
      <w:pPr>
        <w:spacing w:after="0" w:line="240" w:lineRule="auto"/>
        <w:jc w:val="both"/>
        <w:rPr>
          <w:rFonts w:ascii="Times New Roman" w:hAnsi="Times New Roman" w:cs="Times New Roman"/>
          <w:color w:val="000000"/>
          <w:sz w:val="24"/>
          <w:szCs w:val="24"/>
        </w:rPr>
      </w:pPr>
      <w:r w:rsidRPr="00CB1C0A">
        <w:rPr>
          <w:rFonts w:ascii="Times New Roman" w:hAnsi="Times New Roman" w:cs="Times New Roman"/>
          <w:color w:val="000000"/>
          <w:sz w:val="24"/>
          <w:szCs w:val="24"/>
        </w:rPr>
        <w:t xml:space="preserve">Prostredníctvom kapitoly Ministerstva zdravotníctva SR je zabezpečené financovanie Úradu verejného zdravotníctva SR a jeho 36 regionálnych úradov verejného zdravotníctva na úrovni 65,8 mil. eur. Tieto úrady pôsobia na úseku ochrany, podpory a rozvoja verejného zdravia, špeciálnych výkonov v odbore epidemiológie, lekárskej mikrobiológie, výchovy k zdraviu a zdravotníckej štatistiky. </w:t>
      </w:r>
    </w:p>
    <w:p w:rsidR="00AA17E3" w:rsidRPr="00CB1C0A" w:rsidRDefault="00AA17E3" w:rsidP="00AA17E3">
      <w:pPr>
        <w:spacing w:after="0"/>
        <w:jc w:val="both"/>
        <w:rPr>
          <w:rFonts w:ascii="Times New Roman" w:hAnsi="Times New Roman" w:cs="Times New Roman"/>
          <w:color w:val="000000"/>
          <w:sz w:val="24"/>
          <w:szCs w:val="24"/>
        </w:rPr>
      </w:pPr>
    </w:p>
    <w:p w:rsidR="00AA17E3" w:rsidRPr="00CB1C0A" w:rsidRDefault="00AA17E3" w:rsidP="00AA17E3">
      <w:pPr>
        <w:spacing w:after="0" w:line="240" w:lineRule="auto"/>
        <w:jc w:val="both"/>
        <w:rPr>
          <w:rFonts w:ascii="Times New Roman" w:hAnsi="Times New Roman" w:cs="Times New Roman"/>
          <w:color w:val="000000"/>
          <w:sz w:val="24"/>
          <w:szCs w:val="24"/>
        </w:rPr>
      </w:pPr>
      <w:r w:rsidRPr="00CB1C0A">
        <w:rPr>
          <w:rFonts w:ascii="Times New Roman" w:hAnsi="Times New Roman" w:cs="Times New Roman"/>
          <w:color w:val="000000"/>
          <w:sz w:val="24"/>
          <w:szCs w:val="24"/>
        </w:rPr>
        <w:t xml:space="preserve">Za oblasť ochrany bezpečnosti pacientov a za dohľad a kontrolu nad liekmi a zdravotníckymi pomôckami je zodpovedná štátna rozpočtová organizácia Štátny ústav pre kontrolu liečiv, ktorý vykonáva štátny dozor na úseku humánnej farmácie a drogových prekurzorov, dozor nad trhom zdravotníckych pomôcok, laboratórnu kontrolu liečiv, vydáva povolenia na klinické skúšky, zároveň je aj oprávnená stiahnuť lieky alebo zdravotnícke pomôcky z trhu.  Na rok 2022 bude mať Štátny ústav pre kontrolu liečiv k dispozícii sumu 6,57 mil. eur. </w:t>
      </w:r>
    </w:p>
    <w:p w:rsidR="00AA17E3" w:rsidRPr="00CB1C0A" w:rsidRDefault="00AA17E3" w:rsidP="00AA17E3">
      <w:pPr>
        <w:spacing w:after="0"/>
        <w:jc w:val="both"/>
        <w:rPr>
          <w:rFonts w:ascii="Times New Roman" w:hAnsi="Times New Roman" w:cs="Times New Roman"/>
          <w:color w:val="000000"/>
          <w:sz w:val="24"/>
          <w:szCs w:val="24"/>
        </w:rPr>
      </w:pP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lang w:eastAsia="sk-SK"/>
        </w:rPr>
      </w:pPr>
      <w:r w:rsidRPr="00CB1C0A">
        <w:rPr>
          <w:rFonts w:ascii="Times New Roman" w:hAnsi="Times New Roman" w:cs="Times New Roman"/>
          <w:sz w:val="24"/>
          <w:szCs w:val="24"/>
          <w:lang w:eastAsia="sk-SK"/>
        </w:rPr>
        <w:t>Ďalšou z organizácií kapitoly Ministerstva zdravotníctva SR je Národné centrum zdravotníckych informácií, ktoré spr</w:t>
      </w:r>
      <w:r w:rsidRPr="00CB1C0A">
        <w:rPr>
          <w:rFonts w:ascii="Times New Roman" w:hAnsi="Times New Roman" w:cs="Times New Roman" w:hint="eastAsia"/>
          <w:sz w:val="24"/>
          <w:szCs w:val="24"/>
          <w:lang w:eastAsia="sk-SK"/>
        </w:rPr>
        <w:t>avuje</w:t>
      </w:r>
      <w:r w:rsidRPr="00CB1C0A">
        <w:rPr>
          <w:rFonts w:ascii="Times New Roman" w:hAnsi="Times New Roman" w:cs="Times New Roman"/>
          <w:sz w:val="24"/>
          <w:szCs w:val="24"/>
          <w:lang w:eastAsia="sk-SK"/>
        </w:rPr>
        <w:t xml:space="preserve"> n</w:t>
      </w:r>
      <w:r w:rsidRPr="00CB1C0A">
        <w:rPr>
          <w:rFonts w:ascii="Times New Roman" w:hAnsi="Times New Roman" w:cs="Times New Roman" w:hint="eastAsia"/>
          <w:sz w:val="24"/>
          <w:szCs w:val="24"/>
          <w:lang w:eastAsia="sk-SK"/>
        </w:rPr>
        <w:t>á</w:t>
      </w:r>
      <w:r w:rsidRPr="00CB1C0A">
        <w:rPr>
          <w:rFonts w:ascii="Times New Roman" w:hAnsi="Times New Roman" w:cs="Times New Roman"/>
          <w:sz w:val="24"/>
          <w:szCs w:val="24"/>
          <w:lang w:eastAsia="sk-SK"/>
        </w:rPr>
        <w:t>rodn</w:t>
      </w:r>
      <w:r w:rsidRPr="00CB1C0A">
        <w:rPr>
          <w:rFonts w:ascii="Times New Roman" w:hAnsi="Times New Roman" w:cs="Times New Roman" w:hint="eastAsia"/>
          <w:sz w:val="24"/>
          <w:szCs w:val="24"/>
          <w:lang w:eastAsia="sk-SK"/>
        </w:rPr>
        <w:t>ý</w:t>
      </w:r>
      <w:r w:rsidRPr="00CB1C0A">
        <w:rPr>
          <w:rFonts w:ascii="Times New Roman" w:hAnsi="Times New Roman" w:cs="Times New Roman"/>
          <w:sz w:val="24"/>
          <w:szCs w:val="24"/>
          <w:lang w:eastAsia="sk-SK"/>
        </w:rPr>
        <w:t xml:space="preserve"> zdravotn</w:t>
      </w:r>
      <w:r w:rsidRPr="00CB1C0A">
        <w:rPr>
          <w:rFonts w:ascii="Times New Roman" w:hAnsi="Times New Roman" w:cs="Times New Roman" w:hint="eastAsia"/>
          <w:sz w:val="24"/>
          <w:szCs w:val="24"/>
          <w:lang w:eastAsia="sk-SK"/>
        </w:rPr>
        <w:t>í</w:t>
      </w:r>
      <w:r w:rsidRPr="00CB1C0A">
        <w:rPr>
          <w:rFonts w:ascii="Times New Roman" w:hAnsi="Times New Roman" w:cs="Times New Roman"/>
          <w:sz w:val="24"/>
          <w:szCs w:val="24"/>
          <w:lang w:eastAsia="sk-SK"/>
        </w:rPr>
        <w:t>cky informa</w:t>
      </w:r>
      <w:r w:rsidRPr="00CB1C0A">
        <w:rPr>
          <w:rFonts w:ascii="Times New Roman" w:hAnsi="Times New Roman" w:cs="Times New Roman" w:hint="eastAsia"/>
          <w:sz w:val="24"/>
          <w:szCs w:val="24"/>
          <w:lang w:eastAsia="sk-SK"/>
        </w:rPr>
        <w:t>č</w:t>
      </w:r>
      <w:r w:rsidRPr="00CB1C0A">
        <w:rPr>
          <w:rFonts w:ascii="Times New Roman" w:hAnsi="Times New Roman" w:cs="Times New Roman"/>
          <w:sz w:val="24"/>
          <w:szCs w:val="24"/>
          <w:lang w:eastAsia="sk-SK"/>
        </w:rPr>
        <w:t>n</w:t>
      </w:r>
      <w:r w:rsidRPr="00CB1C0A">
        <w:rPr>
          <w:rFonts w:ascii="Times New Roman" w:hAnsi="Times New Roman" w:cs="Times New Roman" w:hint="eastAsia"/>
          <w:sz w:val="24"/>
          <w:szCs w:val="24"/>
          <w:lang w:eastAsia="sk-SK"/>
        </w:rPr>
        <w:t>ý</w:t>
      </w:r>
      <w:r w:rsidRPr="00CB1C0A">
        <w:rPr>
          <w:rFonts w:ascii="Times New Roman" w:hAnsi="Times New Roman" w:cs="Times New Roman"/>
          <w:sz w:val="24"/>
          <w:szCs w:val="24"/>
          <w:lang w:eastAsia="sk-SK"/>
        </w:rPr>
        <w:t xml:space="preserve"> syst</w:t>
      </w:r>
      <w:r w:rsidRPr="00CB1C0A">
        <w:rPr>
          <w:rFonts w:ascii="Times New Roman" w:hAnsi="Times New Roman" w:cs="Times New Roman" w:hint="eastAsia"/>
          <w:sz w:val="24"/>
          <w:szCs w:val="24"/>
          <w:lang w:eastAsia="sk-SK"/>
        </w:rPr>
        <w:t>é</w:t>
      </w:r>
      <w:r w:rsidRPr="00CB1C0A">
        <w:rPr>
          <w:rFonts w:ascii="Times New Roman" w:hAnsi="Times New Roman" w:cs="Times New Roman"/>
          <w:sz w:val="24"/>
          <w:szCs w:val="24"/>
          <w:lang w:eastAsia="sk-SK"/>
        </w:rPr>
        <w:t xml:space="preserve">m a zároveň je aj hlavným orgánom pre zdravotnícku štatistiku, prevádzkuje národné zdravotné registre a je zodpovedný za správu národného portálu zdravia. Financovanie je zabezpečené zo zdravotných poisťovní (0,41%) vo forme príspevku na správu národného zdravotníckeho informačného systému. V roku 2022 celkové výdavky Národného centra zdravotníckych informácií predstavujú sumu 21,6 mil. eur, z toho príspevok je vo výške 21,4 mil. eur. </w:t>
      </w:r>
    </w:p>
    <w:p w:rsidR="00AA17E3" w:rsidRPr="00CB1C0A" w:rsidRDefault="00AA17E3" w:rsidP="00AA17E3">
      <w:pPr>
        <w:autoSpaceDE w:val="0"/>
        <w:autoSpaceDN w:val="0"/>
        <w:adjustRightInd w:val="0"/>
        <w:spacing w:after="0"/>
        <w:jc w:val="both"/>
        <w:rPr>
          <w:rFonts w:ascii="Times New Roman" w:hAnsi="Times New Roman" w:cs="Times New Roman"/>
          <w:sz w:val="24"/>
          <w:szCs w:val="24"/>
          <w:lang w:eastAsia="sk-SK"/>
        </w:rPr>
      </w:pP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rPr>
      </w:pPr>
      <w:r w:rsidRPr="00CB1C0A">
        <w:rPr>
          <w:rFonts w:ascii="Times New Roman" w:hAnsi="Times New Roman" w:cs="Times New Roman"/>
          <w:sz w:val="24"/>
          <w:szCs w:val="24"/>
        </w:rPr>
        <w:t>Pre oblasť záchranných zdravotných služieb bolo zriadené Operačné stredisko záchrannej zdravotnej služby SR, ktoré riadi, koordinuje a vyhodnocuje činnosti integrovaného záchranného systému, zabezpečuje dokumentáciu tiesňového volania. Na financovanie činnosti operačných stredísk je vyčlenených 0,35 % zo zdravotných odvodov a na rok 2022 sa predpokladá celková výška príspevku v sume 18,3 mil. eur.</w:t>
      </w: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rPr>
      </w:pPr>
    </w:p>
    <w:p w:rsidR="00AA17E3" w:rsidRPr="008F3CDE" w:rsidRDefault="00AA17E3" w:rsidP="00AA17E3">
      <w:pPr>
        <w:keepNext/>
        <w:keepLines/>
        <w:spacing w:before="40" w:after="0" w:line="240" w:lineRule="auto"/>
        <w:outlineLvl w:val="4"/>
        <w:rPr>
          <w:rFonts w:ascii="Times New Roman" w:eastAsiaTheme="majorEastAsia" w:hAnsi="Times New Roman" w:cs="Times New Roman"/>
          <w:b/>
          <w:color w:val="2E74B5" w:themeColor="accent1" w:themeShade="BF"/>
          <w:sz w:val="24"/>
          <w:szCs w:val="24"/>
          <w:lang w:eastAsia="cs-CZ"/>
        </w:rPr>
      </w:pPr>
      <w:r w:rsidRPr="008F3CDE">
        <w:rPr>
          <w:rFonts w:ascii="Times New Roman" w:hAnsi="Times New Roman" w:cs="Times New Roman"/>
          <w:b/>
          <w:color w:val="5B9BD5" w:themeColor="accent1"/>
          <w:sz w:val="24"/>
          <w:szCs w:val="24"/>
        </w:rPr>
        <w:t>Národný inštitút pre hodnotu</w:t>
      </w:r>
      <w:r w:rsidRPr="008F3CDE">
        <w:rPr>
          <w:rFonts w:ascii="Times New Roman" w:eastAsiaTheme="majorEastAsia" w:hAnsi="Times New Roman" w:cs="Times New Roman"/>
          <w:b/>
          <w:color w:val="2E74B5" w:themeColor="accent1" w:themeShade="BF"/>
          <w:sz w:val="24"/>
          <w:szCs w:val="24"/>
          <w:lang w:eastAsia="cs-CZ"/>
        </w:rPr>
        <w:t xml:space="preserve"> </w:t>
      </w:r>
      <w:r w:rsidRPr="008F3CDE">
        <w:rPr>
          <w:rFonts w:ascii="Times New Roman" w:hAnsi="Times New Roman" w:cs="Times New Roman"/>
          <w:b/>
          <w:color w:val="5B9BD5" w:themeColor="accent1"/>
          <w:sz w:val="24"/>
          <w:szCs w:val="24"/>
        </w:rPr>
        <w:t>a technológie v zdravotníctve</w:t>
      </w:r>
    </w:p>
    <w:p w:rsidR="00AA17E3" w:rsidRPr="00CB1C0A" w:rsidRDefault="00AA17E3" w:rsidP="00AA17E3">
      <w:pPr>
        <w:spacing w:after="0" w:line="240" w:lineRule="auto"/>
        <w:rPr>
          <w:rFonts w:ascii="Times New Roman" w:hAnsi="Times New Roman" w:cs="Times New Roman"/>
          <w:sz w:val="24"/>
          <w:szCs w:val="24"/>
        </w:rPr>
      </w:pPr>
    </w:p>
    <w:p w:rsidR="00AA17E3" w:rsidRPr="00CB1C0A" w:rsidRDefault="00AA17E3" w:rsidP="00AA17E3">
      <w:pPr>
        <w:spacing w:after="0" w:line="240" w:lineRule="auto"/>
        <w:jc w:val="both"/>
        <w:rPr>
          <w:rFonts w:ascii="Times New Roman" w:hAnsi="Times New Roman" w:cs="Times New Roman"/>
          <w:sz w:val="24"/>
          <w:szCs w:val="24"/>
        </w:rPr>
      </w:pPr>
      <w:r w:rsidRPr="00CB1C0A">
        <w:rPr>
          <w:rFonts w:ascii="Times New Roman" w:hAnsi="Times New Roman" w:cs="Times New Roman"/>
          <w:sz w:val="24"/>
          <w:szCs w:val="24"/>
        </w:rPr>
        <w:t xml:space="preserve">Pre potrebu nezávislého hodnotenia zdravotníckych procesov v Slovenskom zdravotníctve bol koncom roka 2021 v Národnej rade Slovenskej republiky schválený zákon o Národnom inštitúte pre hodnotu a technológie v zdravotníctve (ďalej len „inštitút“). Poslaním nového inštitútu je uskutočňovať výskumy, analýzy, sledovať trendy v oblasti vývoja a hodnotiť prichádzajúce zdravotnícke technológie kvalitne, nezávisle a celistvo a následne poskytovať poradenské úlohy spojené s hodnotením technológií vchádzajúcich do kategorizačného procesu a zároveň aj spolupracovať v oblasti výchovy a vzdelávania so slovenskými vzdelávacími inštitúciami. </w:t>
      </w:r>
    </w:p>
    <w:p w:rsidR="00AA17E3" w:rsidRPr="00CB1C0A" w:rsidRDefault="00AA17E3" w:rsidP="00AA17E3">
      <w:pPr>
        <w:spacing w:after="0" w:line="240" w:lineRule="auto"/>
        <w:jc w:val="both"/>
        <w:rPr>
          <w:rFonts w:ascii="Times New Roman" w:hAnsi="Times New Roman" w:cs="Times New Roman"/>
          <w:sz w:val="24"/>
          <w:szCs w:val="24"/>
        </w:rPr>
      </w:pPr>
    </w:p>
    <w:p w:rsidR="00AA17E3" w:rsidRPr="00CB1C0A" w:rsidRDefault="00AA17E3" w:rsidP="00AA17E3">
      <w:pPr>
        <w:spacing w:after="0" w:line="240" w:lineRule="auto"/>
        <w:jc w:val="both"/>
        <w:rPr>
          <w:rFonts w:ascii="Times New Roman" w:hAnsi="Times New Roman"/>
          <w:sz w:val="24"/>
          <w:szCs w:val="24"/>
        </w:rPr>
      </w:pPr>
      <w:r w:rsidRPr="00CB1C0A">
        <w:rPr>
          <w:rFonts w:ascii="Times New Roman" w:hAnsi="Times New Roman"/>
          <w:sz w:val="24"/>
          <w:szCs w:val="24"/>
        </w:rPr>
        <w:t xml:space="preserve">Financovanie činnosti inštitútu bude zabezpečené prostredníctvom príspevku z výberu poistného zdravotnými poisťovňami (0,032%). Na rok 2022 bude príspevok v zmysle platnej legislatívy poukazovaný dvakrát v celkovej sume 2,65 mil. eur. </w:t>
      </w:r>
    </w:p>
    <w:p w:rsidR="00AA17E3" w:rsidRPr="00CB1C0A" w:rsidRDefault="00AA17E3" w:rsidP="00AA17E3">
      <w:pPr>
        <w:spacing w:after="0" w:line="240" w:lineRule="auto"/>
        <w:jc w:val="both"/>
        <w:rPr>
          <w:rFonts w:ascii="Times New Roman" w:hAnsi="Times New Roman"/>
          <w:sz w:val="24"/>
          <w:szCs w:val="24"/>
        </w:rPr>
      </w:pPr>
    </w:p>
    <w:p w:rsidR="00AA17E3" w:rsidRPr="00CB1C0A" w:rsidRDefault="00AA17E3" w:rsidP="00AA17E3">
      <w:pPr>
        <w:spacing w:after="0" w:line="240" w:lineRule="auto"/>
        <w:jc w:val="both"/>
        <w:rPr>
          <w:rFonts w:ascii="Times New Roman" w:hAnsi="Times New Roman" w:cs="Times New Roman"/>
          <w:sz w:val="24"/>
          <w:szCs w:val="24"/>
          <w:lang w:eastAsia="cs-CZ"/>
        </w:rPr>
      </w:pPr>
      <w:r w:rsidRPr="00CB1C0A">
        <w:rPr>
          <w:rFonts w:ascii="Times New Roman" w:hAnsi="Times New Roman" w:cs="Times New Roman"/>
          <w:sz w:val="24"/>
          <w:szCs w:val="24"/>
          <w:lang w:eastAsia="cs-CZ"/>
        </w:rPr>
        <w:t>Cieľom inštitútu je poskytnúť verejnosti maximálnu pridanú hodnotu za peniaze a zvyšovanie kvality zdravotnej starostlivosti, nie vytvárať zisk. Poskytnutie časti finančného príspevku na činnosť inštitútu bude naviazaná na plnenie kľúčových ukazovateľov výkonnosti, ktoré budú upresnené podľa osobitného predpisu.</w:t>
      </w:r>
    </w:p>
    <w:p w:rsidR="00AA17E3" w:rsidRPr="00CB1C0A" w:rsidRDefault="00AA17E3" w:rsidP="00AA17E3">
      <w:pPr>
        <w:spacing w:after="0" w:line="240" w:lineRule="auto"/>
        <w:jc w:val="both"/>
        <w:rPr>
          <w:rFonts w:ascii="Times New Roman" w:hAnsi="Times New Roman" w:cs="Times New Roman"/>
          <w:sz w:val="24"/>
          <w:szCs w:val="24"/>
          <w:lang w:eastAsia="cs-CZ"/>
        </w:rPr>
      </w:pPr>
    </w:p>
    <w:p w:rsidR="00AA17E3" w:rsidRPr="00CB1C0A" w:rsidRDefault="00AA17E3" w:rsidP="00AA17E3">
      <w:pPr>
        <w:spacing w:after="0" w:line="240" w:lineRule="auto"/>
        <w:jc w:val="both"/>
        <w:rPr>
          <w:rFonts w:ascii="Times New Roman" w:hAnsi="Times New Roman" w:cs="Times New Roman"/>
          <w:sz w:val="24"/>
          <w:szCs w:val="24"/>
          <w:lang w:eastAsia="cs-CZ"/>
        </w:rPr>
      </w:pPr>
      <w:r w:rsidRPr="00CB1C0A">
        <w:rPr>
          <w:rFonts w:ascii="Times New Roman" w:hAnsi="Times New Roman" w:cs="Times New Roman"/>
          <w:sz w:val="24"/>
          <w:szCs w:val="24"/>
          <w:lang w:eastAsia="cs-CZ"/>
        </w:rPr>
        <w:t>Kľúčové ukazovatele by mali zohľadňovať ročné úspory pri úhradách liekov ako aj úspory z ostatných aktivít inštitútu, veľkosť analyzovaného objemu výdavkov a efektivitu prevádzky inštitútu.</w:t>
      </w:r>
    </w:p>
    <w:p w:rsidR="00AA17E3" w:rsidRPr="00CB1C0A" w:rsidRDefault="00AA17E3" w:rsidP="00AA17E3">
      <w:pPr>
        <w:spacing w:after="0" w:line="240" w:lineRule="auto"/>
        <w:jc w:val="both"/>
        <w:rPr>
          <w:rFonts w:ascii="Times New Roman" w:eastAsia="Times New Roman" w:hAnsi="Times New Roman" w:cs="Times New Roman"/>
          <w:b/>
          <w:color w:val="5B9BD5" w:themeColor="accent1"/>
          <w:sz w:val="24"/>
          <w:szCs w:val="24"/>
          <w:lang w:eastAsia="cs-CZ"/>
        </w:rPr>
      </w:pPr>
    </w:p>
    <w:p w:rsidR="00AA17E3" w:rsidRPr="00CB1C0A" w:rsidRDefault="00AA17E3" w:rsidP="00AA17E3">
      <w:pPr>
        <w:keepNext/>
        <w:spacing w:after="0" w:line="240" w:lineRule="auto"/>
        <w:jc w:val="both"/>
        <w:rPr>
          <w:rFonts w:ascii="Times New Roman" w:hAnsi="Times New Roman" w:cs="Times New Roman"/>
          <w:b/>
          <w:iCs/>
          <w:color w:val="5B9BD5" w:themeColor="accent1"/>
          <w:sz w:val="20"/>
          <w:szCs w:val="20"/>
        </w:rPr>
      </w:pPr>
      <w:bookmarkStart w:id="372" w:name="_Toc84528432"/>
      <w:bookmarkStart w:id="373" w:name="_Toc84845308"/>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84</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Príspevok na činnosť Národného inštitútu pre hodnotu a technológie</w:t>
      </w:r>
      <w:bookmarkEnd w:id="372"/>
      <w:bookmarkEnd w:id="373"/>
      <w:r w:rsidRPr="00CB1C0A">
        <w:rPr>
          <w:rFonts w:ascii="Times New Roman" w:hAnsi="Times New Roman" w:cs="Times New Roman"/>
          <w:b/>
          <w:iCs/>
          <w:color w:val="5B9BD5" w:themeColor="accent1"/>
          <w:sz w:val="20"/>
          <w:szCs w:val="20"/>
        </w:rPr>
        <w:t xml:space="preserve"> </w:t>
      </w:r>
    </w:p>
    <w:tbl>
      <w:tblPr>
        <w:tblW w:w="5000" w:type="pct"/>
        <w:tblCellMar>
          <w:left w:w="70" w:type="dxa"/>
          <w:right w:w="70" w:type="dxa"/>
        </w:tblCellMar>
        <w:tblLook w:val="04A0" w:firstRow="1" w:lastRow="0" w:firstColumn="1" w:lastColumn="0" w:noHBand="0" w:noVBand="1"/>
      </w:tblPr>
      <w:tblGrid>
        <w:gridCol w:w="4519"/>
        <w:gridCol w:w="786"/>
        <w:gridCol w:w="589"/>
        <w:gridCol w:w="616"/>
        <w:gridCol w:w="714"/>
        <w:gridCol w:w="616"/>
        <w:gridCol w:w="616"/>
        <w:gridCol w:w="616"/>
      </w:tblGrid>
      <w:tr w:rsidR="00AA17E3" w:rsidRPr="00CB1C0A" w:rsidTr="00AA17E3">
        <w:trPr>
          <w:trHeight w:val="301"/>
        </w:trPr>
        <w:tc>
          <w:tcPr>
            <w:tcW w:w="1925" w:type="pct"/>
            <w:tcBorders>
              <w:top w:val="single" w:sz="4" w:space="0" w:color="auto"/>
              <w:left w:val="nil"/>
              <w:bottom w:val="single" w:sz="4" w:space="0" w:color="auto"/>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v  tis. eurách</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2019 S</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2020 S</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2021 R</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2021 OS</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2022 N</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2023 N</w:t>
            </w:r>
          </w:p>
        </w:tc>
        <w:tc>
          <w:tcPr>
            <w:tcW w:w="192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2024 N</w:t>
            </w:r>
          </w:p>
        </w:tc>
      </w:tr>
      <w:tr w:rsidR="00AA17E3" w:rsidRPr="00CB1C0A" w:rsidTr="00AA17E3">
        <w:trPr>
          <w:trHeight w:val="301"/>
        </w:trPr>
        <w:tc>
          <w:tcPr>
            <w:tcW w:w="1925" w:type="pct"/>
            <w:tcBorders>
              <w:top w:val="nil"/>
              <w:left w:val="nil"/>
              <w:bottom w:val="single" w:sz="4" w:space="0" w:color="auto"/>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color w:val="000000"/>
                <w:sz w:val="16"/>
                <w:szCs w:val="16"/>
                <w:lang w:eastAsia="sk-SK"/>
              </w:rPr>
            </w:pPr>
            <w:r w:rsidRPr="00CB1C0A">
              <w:rPr>
                <w:rFonts w:ascii="Times New Roman" w:eastAsia="Times New Roman" w:hAnsi="Times New Roman" w:cs="Times New Roman"/>
                <w:color w:val="000000"/>
                <w:sz w:val="16"/>
                <w:szCs w:val="16"/>
                <w:lang w:eastAsia="sk-SK"/>
              </w:rPr>
              <w:t>Príspevok na činnosť Národného inštitútu pre hodnotu a technológie</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0</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0</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0</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0</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2 649</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1 749</w:t>
            </w:r>
          </w:p>
        </w:tc>
        <w:tc>
          <w:tcPr>
            <w:tcW w:w="192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sz w:val="16"/>
                <w:szCs w:val="16"/>
                <w:lang w:eastAsia="sk-SK"/>
              </w:rPr>
            </w:pPr>
            <w:r w:rsidRPr="00CB1C0A">
              <w:rPr>
                <w:rFonts w:ascii="Times New Roman" w:eastAsia="Times New Roman" w:hAnsi="Times New Roman" w:cs="Times New Roman"/>
                <w:sz w:val="16"/>
                <w:szCs w:val="16"/>
                <w:lang w:eastAsia="sk-SK"/>
              </w:rPr>
              <w:t>1 824</w:t>
            </w:r>
          </w:p>
        </w:tc>
      </w:tr>
    </w:tbl>
    <w:p w:rsidR="00AA17E3" w:rsidRPr="00CB1C0A" w:rsidRDefault="00AA17E3" w:rsidP="009224A5">
      <w:pPr>
        <w:spacing w:after="0" w:line="240" w:lineRule="auto"/>
        <w:jc w:val="right"/>
        <w:rPr>
          <w:rFonts w:ascii="Courier" w:hAnsi="Courier" w:cs="Courier"/>
          <w:sz w:val="24"/>
          <w:szCs w:val="24"/>
        </w:rPr>
      </w:pPr>
      <w:r w:rsidRPr="00CB1C0A">
        <w:rPr>
          <w:rFonts w:ascii="Times New Roman" w:eastAsia="Times New Roman" w:hAnsi="Times New Roman" w:cs="Times New Roman"/>
          <w:i/>
          <w:sz w:val="16"/>
          <w:szCs w:val="16"/>
          <w:lang w:eastAsia="cs-CZ"/>
        </w:rPr>
        <w:t xml:space="preserve">Zdroj : MF SR  </w:t>
      </w:r>
    </w:p>
    <w:p w:rsidR="009224A5" w:rsidRDefault="009224A5" w:rsidP="009224A5">
      <w:pPr>
        <w:keepNext/>
        <w:keepLines/>
        <w:spacing w:after="0" w:line="240" w:lineRule="auto"/>
        <w:outlineLvl w:val="4"/>
        <w:rPr>
          <w:rFonts w:ascii="Times New Roman" w:hAnsi="Times New Roman" w:cs="Times New Roman"/>
          <w:b/>
          <w:color w:val="5B9BD5" w:themeColor="accent1"/>
          <w:sz w:val="24"/>
          <w:szCs w:val="24"/>
        </w:rPr>
      </w:pPr>
    </w:p>
    <w:p w:rsidR="00AA17E3" w:rsidRPr="00CB1C0A" w:rsidRDefault="00AA17E3" w:rsidP="009224A5">
      <w:pPr>
        <w:keepNext/>
        <w:keepLines/>
        <w:spacing w:after="0" w:line="240" w:lineRule="auto"/>
        <w:outlineLvl w:val="4"/>
        <w:rPr>
          <w:rFonts w:ascii="Times New Roman" w:eastAsiaTheme="majorEastAsia" w:hAnsi="Times New Roman" w:cs="Times New Roman"/>
          <w:color w:val="2E74B5" w:themeColor="accent1" w:themeShade="BF"/>
          <w:sz w:val="24"/>
          <w:szCs w:val="24"/>
          <w:lang w:eastAsia="cs-CZ"/>
        </w:rPr>
      </w:pPr>
      <w:r w:rsidRPr="00B12D35">
        <w:rPr>
          <w:rFonts w:ascii="Times New Roman" w:hAnsi="Times New Roman" w:cs="Times New Roman"/>
          <w:b/>
          <w:color w:val="5B9BD5" w:themeColor="accent1"/>
          <w:sz w:val="24"/>
          <w:szCs w:val="24"/>
        </w:rPr>
        <w:t>Úrad pre dohľad nad zdravotnou starostlivosťou</w:t>
      </w:r>
    </w:p>
    <w:p w:rsidR="00AA17E3" w:rsidRPr="00CB1C0A"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CB1C0A" w:rsidRDefault="00AA17E3" w:rsidP="00AA17E3">
      <w:pPr>
        <w:spacing w:after="0" w:line="240" w:lineRule="auto"/>
        <w:jc w:val="both"/>
        <w:rPr>
          <w:rFonts w:ascii="Times New Roman" w:hAnsi="Times New Roman"/>
          <w:sz w:val="24"/>
          <w:szCs w:val="24"/>
        </w:rPr>
      </w:pPr>
      <w:r w:rsidRPr="00CB1C0A">
        <w:rPr>
          <w:rFonts w:ascii="Times New Roman" w:hAnsi="Times New Roman" w:cs="Times New Roman"/>
          <w:color w:val="000000"/>
          <w:sz w:val="24"/>
          <w:szCs w:val="24"/>
          <w:lang w:eastAsia="sk-SK"/>
        </w:rPr>
        <w:t>V oblasti monitorovania a dohľadu nad systémom zdravotnej starostlivosti bol zriadený samostatný Úrad pre dohľad nad zdravotnou starostlivosťou. Úrad dohliada nad dodržiavaním podmienok</w:t>
      </w:r>
      <w:r w:rsidRPr="00CB1C0A">
        <w:rPr>
          <w:rFonts w:ascii="Times New Roman" w:hAnsi="Times New Roman"/>
          <w:sz w:val="24"/>
          <w:szCs w:val="24"/>
        </w:rPr>
        <w:t xml:space="preserve">, za ktorých sa poskytuje zdravotná a ošetrovateľská starostlivosť a vykonáva dohľad nad verejným zdravotným poistením ako celok. Na financovanie </w:t>
      </w:r>
      <w:r w:rsidRPr="00CB1C0A">
        <w:rPr>
          <w:rFonts w:ascii="Times New Roman" w:hAnsi="Times New Roman" w:cs="Times New Roman"/>
          <w:color w:val="000000"/>
          <w:sz w:val="24"/>
          <w:szCs w:val="24"/>
          <w:lang w:eastAsia="sk-SK"/>
        </w:rPr>
        <w:t>Úradu pre dohľad nad zdravotnou starostlivosťou</w:t>
      </w:r>
      <w:r w:rsidRPr="00CB1C0A">
        <w:rPr>
          <w:rFonts w:ascii="Times New Roman" w:hAnsi="Times New Roman"/>
          <w:sz w:val="24"/>
          <w:szCs w:val="24"/>
        </w:rPr>
        <w:t xml:space="preserve"> je vyčlenených 0,45 % z predpokladaného výberu poistného zdravotnými poisťovňami. Celkové výdavky sa na rok 2022 predpokladajú v sume 23,9 mil. eur, z toho príspevok na činnosť predstavuje 23,5 mil. eur. </w:t>
      </w:r>
    </w:p>
    <w:p w:rsidR="00AA17E3" w:rsidRDefault="00AA17E3" w:rsidP="00AA17E3">
      <w:pPr>
        <w:spacing w:after="0" w:line="240" w:lineRule="auto"/>
        <w:jc w:val="both"/>
        <w:rPr>
          <w:rFonts w:ascii="Times New Roman" w:eastAsia="Times New Roman" w:hAnsi="Times New Roman" w:cs="Times New Roman"/>
          <w:b/>
          <w:sz w:val="20"/>
          <w:szCs w:val="20"/>
          <w:lang w:eastAsia="cs-CZ"/>
        </w:rPr>
      </w:pPr>
    </w:p>
    <w:p w:rsidR="00FA7DE1" w:rsidRPr="00CB1C0A" w:rsidRDefault="00FA7DE1" w:rsidP="00AA17E3">
      <w:pPr>
        <w:spacing w:after="0" w:line="240" w:lineRule="auto"/>
        <w:jc w:val="both"/>
        <w:rPr>
          <w:rFonts w:ascii="Times New Roman" w:eastAsia="Times New Roman" w:hAnsi="Times New Roman" w:cs="Times New Roman"/>
          <w:b/>
          <w:sz w:val="20"/>
          <w:szCs w:val="20"/>
          <w:lang w:eastAsia="cs-CZ"/>
        </w:rPr>
      </w:pPr>
    </w:p>
    <w:p w:rsidR="00AA17E3" w:rsidRPr="00804037" w:rsidRDefault="00AA17E3" w:rsidP="00804037">
      <w:pPr>
        <w:keepNext/>
        <w:spacing w:after="0" w:line="240" w:lineRule="auto"/>
        <w:jc w:val="both"/>
        <w:rPr>
          <w:rFonts w:ascii="Times New Roman" w:hAnsi="Times New Roman" w:cs="Times New Roman"/>
          <w:b/>
          <w:iCs/>
          <w:color w:val="5B9BD5" w:themeColor="accent1"/>
          <w:sz w:val="20"/>
          <w:szCs w:val="20"/>
        </w:rPr>
      </w:pPr>
      <w:bookmarkStart w:id="374" w:name="_Toc53049347"/>
      <w:bookmarkStart w:id="375" w:name="_Toc53049879"/>
      <w:bookmarkStart w:id="376" w:name="_Toc84528433"/>
      <w:bookmarkStart w:id="377" w:name="_Toc84845309"/>
      <w:r w:rsidRPr="00CB1C0A">
        <w:rPr>
          <w:rFonts w:ascii="Times New Roman" w:hAnsi="Times New Roman" w:cs="Times New Roman"/>
          <w:b/>
          <w:iCs/>
          <w:color w:val="5B9BD5" w:themeColor="accent1"/>
          <w:sz w:val="20"/>
          <w:szCs w:val="20"/>
        </w:rPr>
        <w:t xml:space="preserve">Tabuľka </w:t>
      </w:r>
      <w:r w:rsidRPr="00CB1C0A">
        <w:rPr>
          <w:rFonts w:ascii="Times New Roman" w:hAnsi="Times New Roman" w:cs="Times New Roman"/>
          <w:b/>
          <w:iCs/>
          <w:color w:val="5B9BD5" w:themeColor="accent1"/>
          <w:sz w:val="20"/>
          <w:szCs w:val="20"/>
        </w:rPr>
        <w:fldChar w:fldCharType="begin"/>
      </w:r>
      <w:r w:rsidRPr="00CB1C0A">
        <w:rPr>
          <w:rFonts w:ascii="Times New Roman" w:hAnsi="Times New Roman" w:cs="Times New Roman"/>
          <w:b/>
          <w:iCs/>
          <w:color w:val="5B9BD5" w:themeColor="accent1"/>
          <w:sz w:val="20"/>
          <w:szCs w:val="20"/>
        </w:rPr>
        <w:instrText xml:space="preserve"> SEQ Tabuľka \* ARABIC </w:instrText>
      </w:r>
      <w:r w:rsidRPr="00CB1C0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85</w:t>
      </w:r>
      <w:r w:rsidRPr="00CB1C0A">
        <w:rPr>
          <w:rFonts w:ascii="Times New Roman" w:hAnsi="Times New Roman" w:cs="Times New Roman"/>
          <w:b/>
          <w:iCs/>
          <w:color w:val="5B9BD5" w:themeColor="accent1"/>
          <w:sz w:val="20"/>
          <w:szCs w:val="20"/>
        </w:rPr>
        <w:fldChar w:fldCharType="end"/>
      </w:r>
      <w:r w:rsidRPr="00CB1C0A">
        <w:rPr>
          <w:rFonts w:ascii="Times New Roman" w:hAnsi="Times New Roman" w:cs="Times New Roman"/>
          <w:b/>
          <w:iCs/>
          <w:color w:val="5B9BD5" w:themeColor="accent1"/>
          <w:sz w:val="20"/>
          <w:szCs w:val="20"/>
        </w:rPr>
        <w:t xml:space="preserve"> - Výdavky Úradu pre dohľad nad zdravotnou starostlivosťou</w:t>
      </w:r>
      <w:bookmarkEnd w:id="374"/>
      <w:bookmarkEnd w:id="375"/>
      <w:bookmarkEnd w:id="376"/>
      <w:bookmarkEnd w:id="377"/>
    </w:p>
    <w:tbl>
      <w:tblPr>
        <w:tblW w:w="5000" w:type="pct"/>
        <w:tblCellMar>
          <w:left w:w="70" w:type="dxa"/>
          <w:right w:w="70" w:type="dxa"/>
        </w:tblCellMar>
        <w:tblLook w:val="04A0" w:firstRow="1" w:lastRow="0" w:firstColumn="1" w:lastColumn="0" w:noHBand="0" w:noVBand="1"/>
      </w:tblPr>
      <w:tblGrid>
        <w:gridCol w:w="4308"/>
        <w:gridCol w:w="645"/>
        <w:gridCol w:w="645"/>
        <w:gridCol w:w="673"/>
        <w:gridCol w:w="782"/>
        <w:gridCol w:w="673"/>
        <w:gridCol w:w="673"/>
        <w:gridCol w:w="673"/>
      </w:tblGrid>
      <w:tr w:rsidR="00AA17E3" w:rsidRPr="00CB1C0A" w:rsidTr="00AA17E3">
        <w:trPr>
          <w:trHeight w:val="289"/>
        </w:trPr>
        <w:tc>
          <w:tcPr>
            <w:tcW w:w="2373" w:type="pct"/>
            <w:tcBorders>
              <w:top w:val="single" w:sz="4" w:space="0" w:color="auto"/>
              <w:left w:val="nil"/>
              <w:bottom w:val="single" w:sz="4" w:space="0" w:color="auto"/>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v  tis. eurách</w:t>
            </w:r>
          </w:p>
        </w:tc>
        <w:tc>
          <w:tcPr>
            <w:tcW w:w="35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2019 S</w:t>
            </w:r>
          </w:p>
        </w:tc>
        <w:tc>
          <w:tcPr>
            <w:tcW w:w="355"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2020 S</w:t>
            </w:r>
          </w:p>
        </w:tc>
        <w:tc>
          <w:tcPr>
            <w:tcW w:w="371"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2021 R</w:t>
            </w:r>
          </w:p>
        </w:tc>
        <w:tc>
          <w:tcPr>
            <w:tcW w:w="431"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2021 OS</w:t>
            </w:r>
          </w:p>
        </w:tc>
        <w:tc>
          <w:tcPr>
            <w:tcW w:w="371"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2022 N</w:t>
            </w:r>
          </w:p>
        </w:tc>
        <w:tc>
          <w:tcPr>
            <w:tcW w:w="371"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2023 N</w:t>
            </w:r>
          </w:p>
        </w:tc>
        <w:tc>
          <w:tcPr>
            <w:tcW w:w="371" w:type="pct"/>
            <w:tcBorders>
              <w:top w:val="single" w:sz="4" w:space="0" w:color="auto"/>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
                <w:bCs/>
                <w:sz w:val="16"/>
                <w:szCs w:val="16"/>
                <w:lang w:eastAsia="sk-SK"/>
              </w:rPr>
            </w:pPr>
            <w:r w:rsidRPr="00CB1C0A">
              <w:rPr>
                <w:rFonts w:ascii="Times New Roman" w:eastAsia="Times New Roman" w:hAnsi="Times New Roman" w:cs="Times New Roman"/>
                <w:b/>
                <w:bCs/>
                <w:sz w:val="16"/>
                <w:szCs w:val="16"/>
                <w:lang w:eastAsia="sk-SK"/>
              </w:rPr>
              <w:t>2024 N</w:t>
            </w:r>
          </w:p>
        </w:tc>
      </w:tr>
      <w:tr w:rsidR="00AA17E3" w:rsidRPr="00CB1C0A" w:rsidTr="00AA17E3">
        <w:trPr>
          <w:trHeight w:val="289"/>
        </w:trPr>
        <w:tc>
          <w:tcPr>
            <w:tcW w:w="2373" w:type="pct"/>
            <w:tcBorders>
              <w:top w:val="nil"/>
              <w:left w:val="nil"/>
              <w:bottom w:val="single" w:sz="4" w:space="0" w:color="auto"/>
              <w:right w:val="nil"/>
            </w:tcBorders>
            <w:shd w:val="clear" w:color="auto" w:fill="auto"/>
            <w:noWrap/>
            <w:vAlign w:val="center"/>
            <w:hideMark/>
          </w:tcPr>
          <w:p w:rsidR="00AA17E3" w:rsidRPr="00CB1C0A" w:rsidRDefault="00AA17E3" w:rsidP="00AA17E3">
            <w:pPr>
              <w:spacing w:after="0" w:line="240" w:lineRule="auto"/>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Výdavky Úradu pre dohľad nad zdravotnou starostlivosťou</w:t>
            </w:r>
          </w:p>
        </w:tc>
        <w:tc>
          <w:tcPr>
            <w:tcW w:w="35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17 629</w:t>
            </w:r>
          </w:p>
        </w:tc>
        <w:tc>
          <w:tcPr>
            <w:tcW w:w="355"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19 702</w:t>
            </w:r>
          </w:p>
        </w:tc>
        <w:tc>
          <w:tcPr>
            <w:tcW w:w="371"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23 646</w:t>
            </w:r>
          </w:p>
        </w:tc>
        <w:tc>
          <w:tcPr>
            <w:tcW w:w="431"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25 043</w:t>
            </w:r>
          </w:p>
        </w:tc>
        <w:tc>
          <w:tcPr>
            <w:tcW w:w="371"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23 888</w:t>
            </w:r>
          </w:p>
        </w:tc>
        <w:tc>
          <w:tcPr>
            <w:tcW w:w="371"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25 012</w:t>
            </w:r>
          </w:p>
        </w:tc>
        <w:tc>
          <w:tcPr>
            <w:tcW w:w="371" w:type="pct"/>
            <w:tcBorders>
              <w:top w:val="nil"/>
              <w:left w:val="nil"/>
              <w:bottom w:val="single" w:sz="4" w:space="0" w:color="auto"/>
              <w:right w:val="nil"/>
            </w:tcBorders>
            <w:shd w:val="clear" w:color="auto" w:fill="auto"/>
            <w:noWrap/>
            <w:vAlign w:val="bottom"/>
            <w:hideMark/>
          </w:tcPr>
          <w:p w:rsidR="00AA17E3" w:rsidRPr="00CB1C0A" w:rsidRDefault="00AA17E3" w:rsidP="00AA17E3">
            <w:pPr>
              <w:spacing w:after="0" w:line="240" w:lineRule="auto"/>
              <w:jc w:val="right"/>
              <w:rPr>
                <w:rFonts w:ascii="Times New Roman" w:eastAsia="Times New Roman" w:hAnsi="Times New Roman" w:cs="Times New Roman"/>
                <w:bCs/>
                <w:sz w:val="16"/>
                <w:szCs w:val="16"/>
                <w:lang w:eastAsia="sk-SK"/>
              </w:rPr>
            </w:pPr>
            <w:r w:rsidRPr="00CB1C0A">
              <w:rPr>
                <w:rFonts w:ascii="Times New Roman" w:eastAsia="Times New Roman" w:hAnsi="Times New Roman" w:cs="Times New Roman"/>
                <w:bCs/>
                <w:sz w:val="16"/>
                <w:szCs w:val="16"/>
                <w:lang w:eastAsia="sk-SK"/>
              </w:rPr>
              <w:t>26 064</w:t>
            </w:r>
          </w:p>
        </w:tc>
      </w:tr>
    </w:tbl>
    <w:p w:rsidR="00AA17E3" w:rsidRPr="009224A5" w:rsidRDefault="00AA17E3" w:rsidP="009224A5">
      <w:pPr>
        <w:spacing w:after="0" w:line="240" w:lineRule="auto"/>
        <w:jc w:val="right"/>
        <w:rPr>
          <w:rFonts w:ascii="Courier" w:hAnsi="Courier" w:cs="Courier"/>
          <w:sz w:val="24"/>
          <w:szCs w:val="24"/>
        </w:rPr>
      </w:pPr>
      <w:r w:rsidRPr="00CB1C0A">
        <w:rPr>
          <w:rFonts w:ascii="Times New Roman" w:eastAsia="Times New Roman" w:hAnsi="Times New Roman" w:cs="Times New Roman"/>
          <w:i/>
          <w:sz w:val="16"/>
          <w:szCs w:val="16"/>
          <w:lang w:eastAsia="cs-CZ"/>
        </w:rPr>
        <w:t xml:space="preserve">Zdroj : MF SR                                                                                                                                                                                                   </w:t>
      </w:r>
    </w:p>
    <w:p w:rsidR="009224A5" w:rsidRDefault="009224A5" w:rsidP="00AA17E3">
      <w:pPr>
        <w:spacing w:after="0"/>
        <w:rPr>
          <w:rFonts w:ascii="Times New Roman" w:hAnsi="Times New Roman" w:cs="Times New Roman"/>
          <w:b/>
          <w:color w:val="5B9BD5" w:themeColor="accent1"/>
          <w:sz w:val="24"/>
          <w:szCs w:val="24"/>
        </w:rPr>
      </w:pPr>
    </w:p>
    <w:p w:rsidR="00AA17E3" w:rsidRDefault="00AA17E3" w:rsidP="00AA17E3">
      <w:pPr>
        <w:spacing w:after="0"/>
        <w:rPr>
          <w:rFonts w:ascii="Times New Roman" w:hAnsi="Times New Roman" w:cs="Times New Roman"/>
          <w:b/>
          <w:color w:val="5B9BD5" w:themeColor="accent1"/>
          <w:sz w:val="24"/>
          <w:szCs w:val="24"/>
        </w:rPr>
      </w:pPr>
      <w:r w:rsidRPr="00CB1C0A">
        <w:rPr>
          <w:rFonts w:ascii="Times New Roman" w:hAnsi="Times New Roman" w:cs="Times New Roman"/>
          <w:b/>
          <w:color w:val="5B9BD5" w:themeColor="accent1"/>
          <w:sz w:val="24"/>
          <w:szCs w:val="24"/>
        </w:rPr>
        <w:t xml:space="preserve">Administratíva a iné výdavky </w:t>
      </w:r>
    </w:p>
    <w:p w:rsidR="00AA17E3" w:rsidRDefault="00AA17E3" w:rsidP="00AA17E3">
      <w:pPr>
        <w:autoSpaceDE w:val="0"/>
        <w:autoSpaceDN w:val="0"/>
        <w:adjustRightInd w:val="0"/>
        <w:spacing w:after="0" w:line="240" w:lineRule="auto"/>
        <w:jc w:val="both"/>
        <w:rPr>
          <w:rFonts w:ascii="Times New Roman" w:hAnsi="Times New Roman" w:cs="Times New Roman"/>
          <w:sz w:val="24"/>
          <w:szCs w:val="24"/>
          <w:lang w:eastAsia="sk-SK"/>
        </w:rPr>
      </w:pP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lang w:eastAsia="sk-SK"/>
        </w:rPr>
      </w:pPr>
      <w:r w:rsidRPr="00CB1C0A">
        <w:rPr>
          <w:rFonts w:ascii="Times New Roman" w:hAnsi="Times New Roman" w:cs="Times New Roman"/>
          <w:sz w:val="24"/>
          <w:szCs w:val="24"/>
          <w:lang w:eastAsia="sk-SK"/>
        </w:rPr>
        <w:t xml:space="preserve">Výdavky na samotnú činnosť administratívy a ostatné činnosti v kapitole predstavujú v roku 2022 sumu 43,3 mil. eur, ktorými sa zabezpečí financovanie úloh samotného aparátu ministerstva, zároveň sa plnia aj úlohy v súvislosti s výkonom celoštátneho dozoru nad ochranou prírodných liečivých zdrojov a prírodných minerálnych zdrojov. Aj v roku 2022 bude úrad pokračovať v plnení úloh v oblasti podpory zdravia, ktoré vyplývajú z programov zameraných napríklad na starostlivosť o zdravie, zdravý životný štýl, drogovú a tabakovú politiku aj výchovné vzdelávanie. Okrem týchto výdavkov sem patria prostriedky určené na podporu a údržbu IT systémov, výchovu, vzdelávanie, propagáciu, prieskum, výskum, vývoj a príspevky medzinárodným organizáciám. </w:t>
      </w:r>
    </w:p>
    <w:p w:rsidR="00AA17E3" w:rsidRPr="00CB1C0A" w:rsidRDefault="00AA17E3" w:rsidP="00AA17E3">
      <w:pPr>
        <w:autoSpaceDE w:val="0"/>
        <w:autoSpaceDN w:val="0"/>
        <w:adjustRightInd w:val="0"/>
        <w:spacing w:after="0"/>
        <w:jc w:val="both"/>
        <w:rPr>
          <w:rFonts w:ascii="Times New Roman" w:hAnsi="Times New Roman" w:cs="Times New Roman"/>
          <w:sz w:val="24"/>
          <w:szCs w:val="24"/>
          <w:lang w:eastAsia="sk-SK"/>
        </w:rPr>
      </w:pP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lang w:eastAsia="sk-SK"/>
        </w:rPr>
      </w:pPr>
      <w:r w:rsidRPr="00CB1C0A">
        <w:rPr>
          <w:rFonts w:ascii="Times New Roman" w:hAnsi="Times New Roman" w:cs="Times New Roman"/>
          <w:sz w:val="24"/>
          <w:szCs w:val="24"/>
          <w:lang w:eastAsia="sk-SK"/>
        </w:rPr>
        <w:t xml:space="preserve">Na horizonte rozpočtového rámca rokov 2022 až 2024 sa rozpočtujú v rámci Ministerstva zdravotníctva SR výdavky pre rezidentský program vo výške 5,40 mil. eur ročne. Tento predstavuje špecifickú formu ďalšieho vzdelávania, pri ktorom ministerstvo garantuje odbornú a finančnú podporu a reaguje na nedostatok lekárov špecialistov v regiónoch, s cieľom zníženia ich vekového priemeru, ako aj zvýšenia kvality a dostupnosti zdravotnej starostlivosti. </w:t>
      </w: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lang w:eastAsia="sk-SK"/>
        </w:rPr>
      </w:pPr>
    </w:p>
    <w:p w:rsidR="00AA17E3" w:rsidRPr="00CB1C0A" w:rsidRDefault="00AA17E3" w:rsidP="00AA17E3">
      <w:pPr>
        <w:autoSpaceDE w:val="0"/>
        <w:autoSpaceDN w:val="0"/>
        <w:adjustRightInd w:val="0"/>
        <w:spacing w:after="0" w:line="240" w:lineRule="auto"/>
        <w:jc w:val="both"/>
        <w:rPr>
          <w:rFonts w:ascii="Times New Roman" w:hAnsi="Times New Roman" w:cs="Times New Roman"/>
          <w:sz w:val="24"/>
          <w:szCs w:val="24"/>
          <w:lang w:eastAsia="sk-SK"/>
        </w:rPr>
      </w:pPr>
      <w:r w:rsidRPr="00CB1C0A">
        <w:rPr>
          <w:rFonts w:ascii="Times New Roman" w:hAnsi="Times New Roman" w:cs="Times New Roman"/>
          <w:sz w:val="24"/>
          <w:szCs w:val="24"/>
          <w:lang w:eastAsia="sk-SK"/>
        </w:rPr>
        <w:t xml:space="preserve">Naďalej sú v rozpočte kapitoly alokované prostriedky na úrovni 125 mil. eur, ktoré umožnia dofinancovať zdravotnícke zariadenia v pôsobnosti Ministerstva zdravotníctva SR. Ide najmä o fakultné a univerzitné nemocnice, ktorých záväzky po lehote splatnosti predstavujú najvyšší podiel z celkového objemu záväzkov po lehote splatnosti zdravotníckych zariadení v sektore verejnej správy. Finančné zdroje sú poskytované hlavne na úhradu prevádzkových nákladov zdravotníckych zariadení, ktoré preukázateľne nebudú vykryté zo zdrojov verejného zdravotného poistenia. Uvedeným dofinancovaním je snaha zamedziť ďalšiemu vytváraniu nových záväzkov. </w:t>
      </w:r>
    </w:p>
    <w:p w:rsidR="00AA17E3" w:rsidRPr="00CB1C0A" w:rsidRDefault="00AA17E3" w:rsidP="00AA17E3">
      <w:pPr>
        <w:spacing w:after="0" w:line="240" w:lineRule="auto"/>
        <w:rPr>
          <w:rFonts w:ascii="Times New Roman" w:eastAsia="Times New Roman" w:hAnsi="Times New Roman" w:cs="Times New Roman"/>
          <w:color w:val="000000"/>
          <w:sz w:val="24"/>
          <w:szCs w:val="24"/>
          <w:lang w:eastAsia="sk-SK"/>
        </w:rPr>
      </w:pPr>
    </w:p>
    <w:p w:rsidR="00AA17E3" w:rsidRPr="00CB1C0A" w:rsidRDefault="00AA17E3" w:rsidP="00AA17E3">
      <w:pPr>
        <w:spacing w:after="0" w:line="240" w:lineRule="auto"/>
        <w:jc w:val="both"/>
        <w:rPr>
          <w:rFonts w:ascii="Times New Roman" w:hAnsi="Times New Roman" w:cs="Times New Roman"/>
          <w:sz w:val="24"/>
          <w:szCs w:val="24"/>
          <w:lang w:eastAsia="sk-SK"/>
        </w:rPr>
      </w:pPr>
      <w:r w:rsidRPr="00CB1C0A">
        <w:rPr>
          <w:rFonts w:ascii="Times New Roman" w:hAnsi="Times New Roman" w:cs="Times New Roman"/>
          <w:sz w:val="24"/>
          <w:szCs w:val="24"/>
          <w:lang w:eastAsia="sk-SK"/>
        </w:rPr>
        <w:t xml:space="preserve">Okrem vyššie uvedených výdavkov sú v rámci výdavkov kapitoly Ministerstva  zdravotníctva SR alokované finančné prostriedky z Plánu obnovy a odolnosti v celkovej sume 219,9 mil. eur. Výdavky budú určené hlavne na projektové riadenie a prípravu budovania novej siete nemocníc, rekonštrukciu existujúcich nemocníc, výstavbu a obnovu staníc záchrannej zdravotnej služby, digitalizáciu v zdravotníctve v celkovej sume 177,5 mil. eur. Na vytvorenie funkčného nadrezortného a koordinačného orgánu, vybudovanie psycho-sociálnych centier, stacionárov, materiálno-technického vybavenia, ako aj vzdelávania personálu sú vyčlenené finančné prostriedky v sume v celkovej sume 30,2 mil. eur. Pre rozšírenie dlhodobej sociálno-zdravotnej starostlivosti, vrátane paliatívnej starostlivosti, je alokovaných 12,2 mil. eur. </w:t>
      </w:r>
    </w:p>
    <w:p w:rsidR="00AA17E3" w:rsidRDefault="00AA17E3" w:rsidP="00AA17E3">
      <w:pPr>
        <w:shd w:val="clear" w:color="auto" w:fill="FFFFFF" w:themeFill="background1"/>
        <w:spacing w:after="0"/>
        <w:jc w:val="both"/>
        <w:rPr>
          <w:rFonts w:ascii="Times New Roman" w:hAnsi="Times New Roman" w:cs="Times New Roman"/>
          <w:sz w:val="24"/>
          <w:highlight w:val="yellow"/>
        </w:rPr>
      </w:pPr>
    </w:p>
    <w:p w:rsidR="00AA17E3" w:rsidRPr="00B12D35" w:rsidRDefault="00AA17E3" w:rsidP="00AA17E3">
      <w:pPr>
        <w:pStyle w:val="Nadpis2"/>
        <w:spacing w:before="0" w:after="0"/>
        <w:rPr>
          <w:rFonts w:ascii="Times New Roman" w:hAnsi="Times New Roman"/>
          <w:b w:val="0"/>
          <w:i w:val="0"/>
          <w:color w:val="5B9BD5" w:themeColor="accent1"/>
          <w:sz w:val="24"/>
        </w:rPr>
      </w:pPr>
      <w:bookmarkStart w:id="378" w:name="_Toc53062618"/>
      <w:bookmarkStart w:id="379" w:name="_Toc53084676"/>
      <w:bookmarkStart w:id="380" w:name="_Toc84528341"/>
      <w:bookmarkStart w:id="381" w:name="_Toc84684764"/>
      <w:r w:rsidRPr="00B12D35">
        <w:rPr>
          <w:rFonts w:ascii="Times New Roman" w:hAnsi="Times New Roman"/>
          <w:i w:val="0"/>
          <w:color w:val="5B9BD5" w:themeColor="accent1"/>
          <w:sz w:val="24"/>
        </w:rPr>
        <w:t>4.8. Pôdohospodárstvo</w:t>
      </w:r>
      <w:bookmarkEnd w:id="378"/>
      <w:bookmarkEnd w:id="379"/>
      <w:bookmarkEnd w:id="380"/>
      <w:bookmarkEnd w:id="381"/>
    </w:p>
    <w:p w:rsidR="00AA17E3" w:rsidRPr="00E836C5" w:rsidRDefault="00AA17E3" w:rsidP="00AA17E3">
      <w:pPr>
        <w:spacing w:after="0" w:line="240" w:lineRule="auto"/>
        <w:jc w:val="both"/>
        <w:rPr>
          <w:rFonts w:ascii="Times New Roman" w:hAnsi="Times New Roman" w:cs="Times New Roman"/>
          <w:sz w:val="24"/>
          <w:szCs w:val="24"/>
          <w:highlight w:val="yellow"/>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Hlavnými cieľmi politík v pôdohospodárstve a rozvoji vidieka je konkurencieschopnosť a trvalá udržateľnosť poľnohospodárstva, rybného a lesného hospodárstva, zabezpečenie kvality potravinárskych výrobkov dostupných na slovenskom trhu, zlepšovanie životných podmienok vidieckeho obyvateľstva a podpora rozvoja vidieka. Okrem Ministerstva pôdohospodárstva a rozvoja vidieka SR sa na politikách podieľajú Slovenský pozemkový fond a Úrad geodézie, kartografie a katastra SR.</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Výdavky Slovenska na pôdohospodárstvo dosahujú 0,96 % HDP a v 2019 boli takmer na úrovni priemeru krajín EÚ27 (1,03 % HDP). Výdavky na pôdohospodárstvo sú zo 73 % tvorené z EÚ fondov, ktoré sú priamo vyplácané farmárom – priame platby vo výške 0,5 % HDP a Program rozvoja vidieka s výdavkami 0,2 % HDP.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b/>
          <w:iCs/>
          <w:color w:val="5B9BD5" w:themeColor="accent1"/>
          <w:sz w:val="20"/>
          <w:szCs w:val="20"/>
        </w:rPr>
      </w:pPr>
      <w:bookmarkStart w:id="382" w:name="_Toc53054887"/>
      <w:bookmarkStart w:id="383" w:name="_Toc53077963"/>
      <w:bookmarkStart w:id="384" w:name="_Toc53086296"/>
      <w:bookmarkStart w:id="385" w:name="_Toc84528535"/>
      <w:bookmarkStart w:id="386" w:name="_Toc84848026"/>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35</w:t>
      </w:r>
      <w:r w:rsidRPr="006B209A">
        <w:rPr>
          <w:rFonts w:ascii="Times New Roman" w:hAnsi="Times New Roman" w:cs="Times New Roman"/>
          <w:b/>
          <w:iCs/>
          <w:color w:val="5B9BD5" w:themeColor="accent1"/>
          <w:sz w:val="20"/>
          <w:szCs w:val="20"/>
        </w:rPr>
        <w:fldChar w:fldCharType="end"/>
      </w:r>
      <w:r w:rsidR="00804037">
        <w:rPr>
          <w:rFonts w:ascii="Times New Roman" w:hAnsi="Times New Roman" w:cs="Times New Roman"/>
          <w:b/>
          <w:iCs/>
          <w:color w:val="5B9BD5" w:themeColor="accent1"/>
          <w:sz w:val="20"/>
          <w:szCs w:val="20"/>
        </w:rPr>
        <w:t xml:space="preserve"> -</w:t>
      </w:r>
      <w:r w:rsidRPr="00E836C5">
        <w:rPr>
          <w:rFonts w:ascii="Times New Roman" w:hAnsi="Times New Roman" w:cs="Times New Roman"/>
          <w:b/>
          <w:iCs/>
          <w:color w:val="5B9BD5" w:themeColor="accent1"/>
          <w:sz w:val="20"/>
          <w:szCs w:val="20"/>
        </w:rPr>
        <w:t xml:space="preserve"> Verejné výdavky na pôdohospodárstvo (% HDP, 2019)</w:t>
      </w:r>
      <w:bookmarkEnd w:id="382"/>
      <w:bookmarkEnd w:id="383"/>
      <w:bookmarkEnd w:id="384"/>
      <w:bookmarkEnd w:id="385"/>
      <w:bookmarkEnd w:id="386"/>
    </w:p>
    <w:tbl>
      <w:tblPr>
        <w:tblStyle w:val="Mriekatabuky1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A17E3" w:rsidRPr="00E836C5" w:rsidTr="00AA17E3">
        <w:tc>
          <w:tcPr>
            <w:tcW w:w="9062" w:type="dxa"/>
            <w:tcBorders>
              <w:bottom w:val="single" w:sz="4" w:space="0" w:color="auto"/>
            </w:tcBorders>
          </w:tcPr>
          <w:p w:rsidR="00AA17E3" w:rsidRPr="00E836C5" w:rsidRDefault="00AA17E3" w:rsidP="00AA17E3">
            <w:pPr>
              <w:jc w:val="both"/>
              <w:rPr>
                <w:rFonts w:ascii="Times New Roman" w:hAnsi="Times New Roman" w:cs="Times New Roman"/>
                <w:b/>
                <w:iCs/>
                <w:sz w:val="24"/>
                <w:szCs w:val="24"/>
              </w:rPr>
            </w:pPr>
            <w:r w:rsidRPr="00E836C5">
              <w:rPr>
                <w:noProof/>
                <w:lang w:eastAsia="sk-SK"/>
              </w:rPr>
              <w:drawing>
                <wp:inline distT="0" distB="0" distL="0" distR="0" wp14:anchorId="163AC7D5" wp14:editId="68110042">
                  <wp:extent cx="5638800" cy="2867025"/>
                  <wp:effectExtent l="0" t="0" r="0" b="0"/>
                  <wp:docPr id="251" name="Graf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AA17E3" w:rsidRPr="00E836C5" w:rsidTr="00AA17E3">
        <w:tc>
          <w:tcPr>
            <w:tcW w:w="9062" w:type="dxa"/>
            <w:tcBorders>
              <w:top w:val="single" w:sz="4" w:space="0" w:color="auto"/>
            </w:tcBorders>
          </w:tcPr>
          <w:p w:rsidR="00AA17E3" w:rsidRPr="00E836C5" w:rsidRDefault="00AA17E3" w:rsidP="00AA17E3">
            <w:pPr>
              <w:jc w:val="right"/>
              <w:rPr>
                <w:rFonts w:ascii="Times New Roman" w:hAnsi="Times New Roman" w:cs="Times New Roman"/>
                <w:i/>
                <w:iCs/>
                <w:sz w:val="16"/>
                <w:szCs w:val="24"/>
              </w:rPr>
            </w:pPr>
            <w:r w:rsidRPr="00E836C5">
              <w:rPr>
                <w:rFonts w:ascii="Times New Roman" w:hAnsi="Times New Roman" w:cs="Times New Roman"/>
                <w:i/>
                <w:iCs/>
                <w:sz w:val="16"/>
                <w:szCs w:val="24"/>
              </w:rPr>
              <w:t>Zdroj: Eurostat, AMECO</w:t>
            </w:r>
          </w:p>
        </w:tc>
      </w:tr>
    </w:tbl>
    <w:p w:rsidR="00AA17E3" w:rsidRPr="00E836C5" w:rsidRDefault="00AA17E3" w:rsidP="00AA17E3">
      <w:pPr>
        <w:spacing w:after="0" w:line="240" w:lineRule="auto"/>
        <w:jc w:val="both"/>
        <w:rPr>
          <w:rFonts w:ascii="Times New Roman" w:hAnsi="Times New Roman" w:cs="Times New Roman"/>
          <w:b/>
          <w:iCs/>
          <w:sz w:val="24"/>
          <w:szCs w:val="24"/>
        </w:rPr>
      </w:pPr>
    </w:p>
    <w:p w:rsidR="00AA17E3"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Slovenské pôdohospodárstvo má relatívne slabé výsledky v produktivite. Zaostáva najmä v hrubej pridanej hodnote na hektár, kde dosiahla v</w:t>
      </w:r>
      <w:r w:rsidR="00A93875">
        <w:rPr>
          <w:rFonts w:ascii="Times New Roman" w:hAnsi="Times New Roman" w:cs="Times New Roman"/>
          <w:sz w:val="24"/>
          <w:szCs w:val="24"/>
        </w:rPr>
        <w:t xml:space="preserve"> roku</w:t>
      </w:r>
      <w:r w:rsidRPr="00E836C5">
        <w:rPr>
          <w:rFonts w:ascii="Times New Roman" w:hAnsi="Times New Roman" w:cs="Times New Roman"/>
          <w:sz w:val="24"/>
          <w:szCs w:val="24"/>
        </w:rPr>
        <w:t> 2019 iba 24 % priemeru kr</w:t>
      </w:r>
      <w:r w:rsidR="00A3222C">
        <w:rPr>
          <w:rFonts w:ascii="Times New Roman" w:hAnsi="Times New Roman" w:cs="Times New Roman"/>
          <w:sz w:val="24"/>
          <w:szCs w:val="24"/>
        </w:rPr>
        <w:t>ajín EÚ27 a bola 4. najhoršia s</w:t>
      </w:r>
      <w:r w:rsidRPr="00E836C5">
        <w:rPr>
          <w:rFonts w:ascii="Times New Roman" w:hAnsi="Times New Roman" w:cs="Times New Roman"/>
          <w:sz w:val="24"/>
          <w:szCs w:val="24"/>
        </w:rPr>
        <w:t xml:space="preserve">pomedzi krajín EÚ27. Slovenské farmy v posledných rokoch investovali do techniky výrazne menej ako je priemer krajín EÚ. V prepočte na hektár využívanej poľnohospodárskej pôdy to bolo v roku 2019 len 69 eur, čo je zhruba pätina z hodnoty priemeru krajín EÚ. Pritom v roku 2018 to bola ešte viac než štvrtina.  </w:t>
      </w: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Default="00FA7DE1" w:rsidP="00AA17E3">
      <w:pPr>
        <w:spacing w:after="0" w:line="240" w:lineRule="auto"/>
        <w:jc w:val="both"/>
        <w:rPr>
          <w:rFonts w:ascii="Times New Roman" w:hAnsi="Times New Roman" w:cs="Times New Roman"/>
          <w:sz w:val="24"/>
          <w:szCs w:val="24"/>
        </w:rPr>
      </w:pPr>
    </w:p>
    <w:p w:rsidR="00FA7DE1" w:rsidRPr="00E836C5" w:rsidRDefault="00FA7DE1"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b/>
          <w:iCs/>
          <w:color w:val="5B9BD5" w:themeColor="accent1"/>
          <w:sz w:val="20"/>
          <w:szCs w:val="20"/>
        </w:rPr>
      </w:pPr>
      <w:bookmarkStart w:id="387" w:name="_Toc53054816"/>
      <w:bookmarkStart w:id="388" w:name="_Toc53078008"/>
      <w:bookmarkStart w:id="389" w:name="_Toc53086410"/>
      <w:bookmarkStart w:id="390" w:name="_Toc84528434"/>
      <w:bookmarkStart w:id="391" w:name="_Toc84845310"/>
      <w:r w:rsidRPr="00E836C5">
        <w:rPr>
          <w:rFonts w:ascii="Times New Roman" w:hAnsi="Times New Roman" w:cs="Times New Roman"/>
          <w:b/>
          <w:iCs/>
          <w:color w:val="5B9BD5" w:themeColor="accent1"/>
          <w:sz w:val="20"/>
          <w:szCs w:val="20"/>
        </w:rPr>
        <w:t xml:space="preserve">Tabuľka </w:t>
      </w:r>
      <w:r w:rsidRPr="00E836C5">
        <w:rPr>
          <w:rFonts w:ascii="Times New Roman" w:hAnsi="Times New Roman" w:cs="Times New Roman"/>
          <w:b/>
          <w:iCs/>
          <w:color w:val="5B9BD5" w:themeColor="accent1"/>
          <w:sz w:val="20"/>
          <w:szCs w:val="20"/>
        </w:rPr>
        <w:fldChar w:fldCharType="begin"/>
      </w:r>
      <w:r w:rsidRPr="00E836C5">
        <w:rPr>
          <w:rFonts w:ascii="Times New Roman" w:hAnsi="Times New Roman" w:cs="Times New Roman"/>
          <w:b/>
          <w:iCs/>
          <w:color w:val="5B9BD5" w:themeColor="accent1"/>
          <w:sz w:val="20"/>
          <w:szCs w:val="20"/>
        </w:rPr>
        <w:instrText xml:space="preserve"> SEQ Tabuľka \* ARABIC </w:instrText>
      </w:r>
      <w:r w:rsidRPr="00E836C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86</w:t>
      </w:r>
      <w:r w:rsidRPr="00E836C5">
        <w:rPr>
          <w:rFonts w:ascii="Times New Roman" w:hAnsi="Times New Roman" w:cs="Times New Roman"/>
          <w:b/>
          <w:iCs/>
          <w:color w:val="5B9BD5" w:themeColor="accent1"/>
          <w:sz w:val="20"/>
          <w:szCs w:val="20"/>
        </w:rPr>
        <w:fldChar w:fldCharType="end"/>
      </w:r>
      <w:r w:rsidRPr="00E836C5">
        <w:rPr>
          <w:rFonts w:ascii="Times New Roman" w:hAnsi="Times New Roman" w:cs="Times New Roman"/>
          <w:b/>
          <w:iCs/>
          <w:color w:val="5B9BD5" w:themeColor="accent1"/>
          <w:sz w:val="20"/>
          <w:szCs w:val="20"/>
        </w:rPr>
        <w:t xml:space="preserve"> - Kľúčové ukazovatele pôdohospodárstva</w:t>
      </w:r>
      <w:bookmarkEnd w:id="387"/>
      <w:bookmarkEnd w:id="388"/>
      <w:bookmarkEnd w:id="389"/>
      <w:bookmarkEnd w:id="390"/>
      <w:bookmarkEnd w:id="391"/>
    </w:p>
    <w:tbl>
      <w:tblPr>
        <w:tblW w:w="9141" w:type="dxa"/>
        <w:tblCellMar>
          <w:left w:w="70" w:type="dxa"/>
          <w:right w:w="70" w:type="dxa"/>
        </w:tblCellMar>
        <w:tblLook w:val="04A0" w:firstRow="1" w:lastRow="0" w:firstColumn="1" w:lastColumn="0" w:noHBand="0" w:noVBand="1"/>
      </w:tblPr>
      <w:tblGrid>
        <w:gridCol w:w="1410"/>
        <w:gridCol w:w="3199"/>
        <w:gridCol w:w="661"/>
        <w:gridCol w:w="619"/>
        <w:gridCol w:w="640"/>
        <w:gridCol w:w="640"/>
        <w:gridCol w:w="488"/>
        <w:gridCol w:w="786"/>
        <w:gridCol w:w="813"/>
      </w:tblGrid>
      <w:tr w:rsidR="00AA17E3" w:rsidRPr="00E836C5" w:rsidTr="00B17481">
        <w:trPr>
          <w:trHeight w:val="451"/>
        </w:trPr>
        <w:tc>
          <w:tcPr>
            <w:tcW w:w="1295" w:type="dxa"/>
            <w:tcBorders>
              <w:top w:val="single" w:sz="4" w:space="0" w:color="auto"/>
              <w:bottom w:val="single" w:sz="4" w:space="0" w:color="auto"/>
            </w:tcBorders>
            <w:shd w:val="clear" w:color="000000" w:fill="FFFFFF"/>
            <w:noWrap/>
            <w:vAlign w:val="center"/>
            <w:hideMark/>
          </w:tcPr>
          <w:p w:rsidR="00AA17E3" w:rsidRPr="00804037" w:rsidRDefault="00AA17E3" w:rsidP="00AA17E3">
            <w:pPr>
              <w:spacing w:after="0" w:line="240" w:lineRule="auto"/>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Oblasť</w:t>
            </w:r>
          </w:p>
        </w:tc>
        <w:tc>
          <w:tcPr>
            <w:tcW w:w="3199" w:type="dxa"/>
            <w:tcBorders>
              <w:top w:val="single" w:sz="4" w:space="0" w:color="auto"/>
              <w:left w:val="nil"/>
              <w:bottom w:val="single" w:sz="4" w:space="0" w:color="auto"/>
            </w:tcBorders>
            <w:shd w:val="clear" w:color="000000" w:fill="FFFFFF"/>
            <w:noWrap/>
            <w:vAlign w:val="center"/>
            <w:hideMark/>
          </w:tcPr>
          <w:p w:rsidR="00AA17E3" w:rsidRPr="00804037" w:rsidRDefault="00AA17E3" w:rsidP="00AA17E3">
            <w:pPr>
              <w:spacing w:after="0" w:line="240" w:lineRule="auto"/>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Indikátor</w:t>
            </w:r>
          </w:p>
        </w:tc>
        <w:tc>
          <w:tcPr>
            <w:tcW w:w="661"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p>
        </w:tc>
        <w:tc>
          <w:tcPr>
            <w:tcW w:w="619" w:type="dxa"/>
            <w:tcBorders>
              <w:top w:val="single" w:sz="4" w:space="0" w:color="auto"/>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2017</w:t>
            </w:r>
          </w:p>
        </w:tc>
        <w:tc>
          <w:tcPr>
            <w:tcW w:w="640" w:type="dxa"/>
            <w:tcBorders>
              <w:top w:val="single" w:sz="4" w:space="0" w:color="auto"/>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2018</w:t>
            </w:r>
          </w:p>
        </w:tc>
        <w:tc>
          <w:tcPr>
            <w:tcW w:w="640" w:type="dxa"/>
            <w:tcBorders>
              <w:top w:val="single" w:sz="4" w:space="0" w:color="auto"/>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2019</w:t>
            </w:r>
          </w:p>
        </w:tc>
        <w:tc>
          <w:tcPr>
            <w:tcW w:w="488" w:type="dxa"/>
            <w:tcBorders>
              <w:top w:val="single" w:sz="4" w:space="0" w:color="auto"/>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2020</w:t>
            </w:r>
          </w:p>
        </w:tc>
        <w:tc>
          <w:tcPr>
            <w:tcW w:w="786" w:type="dxa"/>
            <w:tcBorders>
              <w:top w:val="single" w:sz="4" w:space="0" w:color="auto"/>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Cieľ 2024</w:t>
            </w:r>
          </w:p>
        </w:tc>
        <w:tc>
          <w:tcPr>
            <w:tcW w:w="813" w:type="dxa"/>
            <w:tcBorders>
              <w:top w:val="single" w:sz="4" w:space="0" w:color="auto"/>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04037">
              <w:rPr>
                <w:rFonts w:ascii="Times New Roman" w:eastAsia="Times New Roman" w:hAnsi="Times New Roman" w:cs="Times New Roman"/>
                <w:b/>
                <w:bCs/>
                <w:color w:val="000000" w:themeColor="text1"/>
                <w:sz w:val="16"/>
                <w:szCs w:val="16"/>
                <w:lang w:eastAsia="sk-SK"/>
              </w:rPr>
              <w:t>Cieľ 2030</w:t>
            </w:r>
          </w:p>
        </w:tc>
      </w:tr>
      <w:tr w:rsidR="00AA17E3" w:rsidRPr="00E836C5" w:rsidTr="00B17481">
        <w:trPr>
          <w:trHeight w:val="269"/>
        </w:trPr>
        <w:tc>
          <w:tcPr>
            <w:tcW w:w="1295" w:type="dxa"/>
            <w:vMerge w:val="restart"/>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Produktivita v poľnohospodárstve </w:t>
            </w:r>
          </w:p>
        </w:tc>
        <w:tc>
          <w:tcPr>
            <w:tcW w:w="3199" w:type="dxa"/>
            <w:vMerge w:val="restart"/>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Hrubá pridaná hodnota na hektár využívanej poľnohospodárskej pôdy (EUR/ha; v stálych cenách roka 2010)</w:t>
            </w:r>
          </w:p>
        </w:tc>
        <w:tc>
          <w:tcPr>
            <w:tcW w:w="661"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310</w:t>
            </w:r>
          </w:p>
        </w:tc>
        <w:tc>
          <w:tcPr>
            <w:tcW w:w="640"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249</w:t>
            </w:r>
          </w:p>
        </w:tc>
        <w:tc>
          <w:tcPr>
            <w:tcW w:w="640"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234</w:t>
            </w:r>
          </w:p>
        </w:tc>
        <w:tc>
          <w:tcPr>
            <w:tcW w:w="488"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c>
          <w:tcPr>
            <w:tcW w:w="813"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r>
      <w:tr w:rsidR="00AA17E3" w:rsidRPr="00E836C5" w:rsidTr="00B17481">
        <w:trPr>
          <w:trHeight w:val="269"/>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tcBorders>
              <w:top w:val="single" w:sz="4" w:space="0" w:color="auto"/>
              <w:left w:val="nil"/>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661"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EÚ 27</w:t>
            </w:r>
          </w:p>
        </w:tc>
        <w:tc>
          <w:tcPr>
            <w:tcW w:w="619"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1 013</w:t>
            </w:r>
          </w:p>
        </w:tc>
        <w:tc>
          <w:tcPr>
            <w:tcW w:w="640"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970</w:t>
            </w:r>
          </w:p>
        </w:tc>
        <w:tc>
          <w:tcPr>
            <w:tcW w:w="640" w:type="dxa"/>
            <w:tcBorders>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985</w:t>
            </w:r>
          </w:p>
        </w:tc>
        <w:tc>
          <w:tcPr>
            <w:tcW w:w="488"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c>
          <w:tcPr>
            <w:tcW w:w="813"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r>
      <w:tr w:rsidR="00AA17E3" w:rsidRPr="00E836C5" w:rsidTr="00B17481">
        <w:trPr>
          <w:trHeight w:val="157"/>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val="restart"/>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Tvorba hrubého fixného kapitálu na hektár využívanej poľnohospodárskej pôdy (EUR/ha; v stálych cenách roka 2010)</w:t>
            </w:r>
          </w:p>
        </w:tc>
        <w:tc>
          <w:tcPr>
            <w:tcW w:w="661"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93</w:t>
            </w:r>
          </w:p>
        </w:tc>
        <w:tc>
          <w:tcPr>
            <w:tcW w:w="640"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88</w:t>
            </w:r>
          </w:p>
        </w:tc>
        <w:tc>
          <w:tcPr>
            <w:tcW w:w="640"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69</w:t>
            </w:r>
          </w:p>
        </w:tc>
        <w:tc>
          <w:tcPr>
            <w:tcW w:w="488"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c>
          <w:tcPr>
            <w:tcW w:w="813"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r>
      <w:tr w:rsidR="00AA17E3" w:rsidRPr="00E836C5" w:rsidTr="00B17481">
        <w:trPr>
          <w:trHeight w:val="157"/>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tcBorders>
              <w:top w:val="single" w:sz="4" w:space="0" w:color="auto"/>
              <w:left w:val="nil"/>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661"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EÚ 27</w:t>
            </w:r>
          </w:p>
        </w:tc>
        <w:tc>
          <w:tcPr>
            <w:tcW w:w="619"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320</w:t>
            </w:r>
          </w:p>
        </w:tc>
        <w:tc>
          <w:tcPr>
            <w:tcW w:w="640"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335</w:t>
            </w:r>
          </w:p>
        </w:tc>
        <w:tc>
          <w:tcPr>
            <w:tcW w:w="640"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345</w:t>
            </w:r>
          </w:p>
        </w:tc>
        <w:tc>
          <w:tcPr>
            <w:tcW w:w="488"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c>
          <w:tcPr>
            <w:tcW w:w="813"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r>
      <w:tr w:rsidR="00AA17E3" w:rsidRPr="00E836C5" w:rsidTr="00B17481">
        <w:trPr>
          <w:trHeight w:val="159"/>
        </w:trPr>
        <w:tc>
          <w:tcPr>
            <w:tcW w:w="1295" w:type="dxa"/>
            <w:vMerge w:val="restart"/>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Podpora príjmu domácností poľnohospodárov</w:t>
            </w:r>
          </w:p>
        </w:tc>
        <w:tc>
          <w:tcPr>
            <w:tcW w:w="3199" w:type="dxa"/>
            <w:vMerge w:val="restart"/>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Podiel priamych platieb na hrubej pridanej hodnote (%)</w:t>
            </w:r>
          </w:p>
        </w:tc>
        <w:tc>
          <w:tcPr>
            <w:tcW w:w="661"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67,3</w:t>
            </w:r>
          </w:p>
        </w:tc>
        <w:tc>
          <w:tcPr>
            <w:tcW w:w="640"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82,3</w:t>
            </w:r>
          </w:p>
        </w:tc>
        <w:tc>
          <w:tcPr>
            <w:tcW w:w="640"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85,9</w:t>
            </w:r>
          </w:p>
        </w:tc>
        <w:tc>
          <w:tcPr>
            <w:tcW w:w="488"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c>
          <w:tcPr>
            <w:tcW w:w="813"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r>
      <w:tr w:rsidR="00AA17E3" w:rsidRPr="00E836C5" w:rsidTr="00B17481">
        <w:trPr>
          <w:trHeight w:val="202"/>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tcBorders>
              <w:top w:val="single" w:sz="4" w:space="0" w:color="auto"/>
              <w:left w:val="nil"/>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661"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EÚ 27</w:t>
            </w:r>
          </w:p>
        </w:tc>
        <w:tc>
          <w:tcPr>
            <w:tcW w:w="619"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21,5</w:t>
            </w:r>
          </w:p>
        </w:tc>
        <w:tc>
          <w:tcPr>
            <w:tcW w:w="640"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21,8</w:t>
            </w:r>
          </w:p>
        </w:tc>
        <w:tc>
          <w:tcPr>
            <w:tcW w:w="640"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21,1</w:t>
            </w:r>
          </w:p>
        </w:tc>
        <w:tc>
          <w:tcPr>
            <w:tcW w:w="488"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c>
          <w:tcPr>
            <w:tcW w:w="813"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r>
      <w:tr w:rsidR="00AA17E3" w:rsidRPr="00E836C5" w:rsidTr="00B17481">
        <w:trPr>
          <w:trHeight w:val="500"/>
        </w:trPr>
        <w:tc>
          <w:tcPr>
            <w:tcW w:w="1295" w:type="dxa"/>
            <w:vMerge w:val="restart"/>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Dlhodobá udržateľnosť poľnohospodárstva</w:t>
            </w:r>
          </w:p>
        </w:tc>
        <w:tc>
          <w:tcPr>
            <w:tcW w:w="3199"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Index poľného vtáctva (index; 2005=100)</w:t>
            </w:r>
          </w:p>
        </w:tc>
        <w:tc>
          <w:tcPr>
            <w:tcW w:w="661"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92,9</w:t>
            </w:r>
          </w:p>
        </w:tc>
        <w:tc>
          <w:tcPr>
            <w:tcW w:w="640"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83,5</w:t>
            </w:r>
          </w:p>
        </w:tc>
        <w:tc>
          <w:tcPr>
            <w:tcW w:w="640"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488"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83,0</w:t>
            </w:r>
          </w:p>
        </w:tc>
        <w:tc>
          <w:tcPr>
            <w:tcW w:w="813"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94,0</w:t>
            </w:r>
          </w:p>
        </w:tc>
      </w:tr>
      <w:tr w:rsidR="00AA17E3" w:rsidRPr="00E836C5" w:rsidTr="00B17481">
        <w:trPr>
          <w:trHeight w:val="295"/>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val="restart"/>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Podiel pôdy v ekologickom poľnohospodárstve z celkovej využívanej poľnohospodárskej pôdy (%)</w:t>
            </w:r>
          </w:p>
        </w:tc>
        <w:tc>
          <w:tcPr>
            <w:tcW w:w="661" w:type="dxa"/>
            <w:tcBorders>
              <w:top w:val="single" w:sz="4" w:space="0" w:color="auto"/>
              <w:left w:val="nil"/>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9,9</w:t>
            </w:r>
          </w:p>
        </w:tc>
        <w:tc>
          <w:tcPr>
            <w:tcW w:w="640" w:type="dxa"/>
            <w:tcBorders>
              <w:top w:val="single" w:sz="4" w:space="0" w:color="auto"/>
              <w:left w:val="nil"/>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9,9</w:t>
            </w:r>
          </w:p>
        </w:tc>
        <w:tc>
          <w:tcPr>
            <w:tcW w:w="640" w:type="dxa"/>
            <w:tcBorders>
              <w:top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10,3</w:t>
            </w:r>
          </w:p>
        </w:tc>
        <w:tc>
          <w:tcPr>
            <w:tcW w:w="488"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14,0</w:t>
            </w:r>
          </w:p>
        </w:tc>
        <w:tc>
          <w:tcPr>
            <w:tcW w:w="813"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18,0</w:t>
            </w:r>
          </w:p>
        </w:tc>
      </w:tr>
      <w:tr w:rsidR="00AA17E3" w:rsidRPr="00E836C5" w:rsidTr="00B17481">
        <w:trPr>
          <w:trHeight w:val="202"/>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tcBorders>
              <w:top w:val="single" w:sz="4" w:space="0" w:color="auto"/>
              <w:left w:val="nil"/>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661"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EÚ 27</w:t>
            </w:r>
          </w:p>
        </w:tc>
        <w:tc>
          <w:tcPr>
            <w:tcW w:w="619"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7,5</w:t>
            </w:r>
          </w:p>
        </w:tc>
        <w:tc>
          <w:tcPr>
            <w:tcW w:w="640"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8,0</w:t>
            </w:r>
          </w:p>
        </w:tc>
        <w:tc>
          <w:tcPr>
            <w:tcW w:w="640"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8,5</w:t>
            </w:r>
          </w:p>
        </w:tc>
        <w:tc>
          <w:tcPr>
            <w:tcW w:w="488"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c>
          <w:tcPr>
            <w:tcW w:w="813"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r>
      <w:tr w:rsidR="00AA17E3" w:rsidRPr="00E836C5" w:rsidTr="00B17481">
        <w:trPr>
          <w:trHeight w:val="550"/>
        </w:trPr>
        <w:tc>
          <w:tcPr>
            <w:tcW w:w="1295" w:type="dxa"/>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Fungujúci trh s pôdou podporujúci rozvoj konkurencie a produktivity</w:t>
            </w:r>
          </w:p>
        </w:tc>
        <w:tc>
          <w:tcPr>
            <w:tcW w:w="3199"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Podiel scelených katastrálnych území (%)</w:t>
            </w:r>
          </w:p>
        </w:tc>
        <w:tc>
          <w:tcPr>
            <w:tcW w:w="661"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11,5</w:t>
            </w:r>
          </w:p>
        </w:tc>
        <w:tc>
          <w:tcPr>
            <w:tcW w:w="640"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11,8</w:t>
            </w:r>
          </w:p>
        </w:tc>
        <w:tc>
          <w:tcPr>
            <w:tcW w:w="640"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11,9</w:t>
            </w:r>
          </w:p>
        </w:tc>
        <w:tc>
          <w:tcPr>
            <w:tcW w:w="488"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12,0</w:t>
            </w:r>
          </w:p>
        </w:tc>
        <w:tc>
          <w:tcPr>
            <w:tcW w:w="786"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15,4</w:t>
            </w:r>
          </w:p>
        </w:tc>
        <w:tc>
          <w:tcPr>
            <w:tcW w:w="813"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35,7</w:t>
            </w:r>
          </w:p>
        </w:tc>
      </w:tr>
      <w:tr w:rsidR="00AA17E3" w:rsidRPr="00E836C5" w:rsidTr="00B17481">
        <w:trPr>
          <w:trHeight w:val="195"/>
        </w:trPr>
        <w:tc>
          <w:tcPr>
            <w:tcW w:w="1295" w:type="dxa"/>
            <w:vMerge w:val="restart"/>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Produktivita v lesníctve</w:t>
            </w:r>
          </w:p>
        </w:tc>
        <w:tc>
          <w:tcPr>
            <w:tcW w:w="3199" w:type="dxa"/>
            <w:vMerge w:val="restart"/>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Hrubá pridaná hodnota v lesníctve na hektár hospodársky využiteľných lesov (EUR/ha; v stálych cenách roka 2010)</w:t>
            </w:r>
          </w:p>
        </w:tc>
        <w:tc>
          <w:tcPr>
            <w:tcW w:w="661" w:type="dxa"/>
            <w:tcBorders>
              <w:top w:val="single" w:sz="4" w:space="0" w:color="auto"/>
              <w:left w:val="nil"/>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215</w:t>
            </w:r>
          </w:p>
        </w:tc>
        <w:tc>
          <w:tcPr>
            <w:tcW w:w="640" w:type="dxa"/>
            <w:tcBorders>
              <w:top w:val="single" w:sz="4" w:space="0" w:color="auto"/>
              <w:left w:val="nil"/>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243</w:t>
            </w:r>
          </w:p>
        </w:tc>
        <w:tc>
          <w:tcPr>
            <w:tcW w:w="640"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488"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c>
          <w:tcPr>
            <w:tcW w:w="813"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r>
      <w:tr w:rsidR="00AA17E3" w:rsidRPr="00E836C5" w:rsidTr="00B17481">
        <w:trPr>
          <w:trHeight w:val="195"/>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tcBorders>
              <w:top w:val="single" w:sz="4" w:space="0" w:color="auto"/>
              <w:left w:val="nil"/>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661"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priemer</w:t>
            </w:r>
            <w:r w:rsidRPr="00804037">
              <w:rPr>
                <w:rFonts w:ascii="Times New Roman" w:eastAsia="Times New Roman" w:hAnsi="Times New Roman" w:cs="Times New Roman"/>
                <w:color w:val="000000" w:themeColor="text1"/>
                <w:sz w:val="16"/>
                <w:szCs w:val="16"/>
                <w:lang w:eastAsia="sk-SK"/>
              </w:rPr>
              <w:br/>
              <w:t>AT, SI</w:t>
            </w:r>
          </w:p>
        </w:tc>
        <w:tc>
          <w:tcPr>
            <w:tcW w:w="619"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256</w:t>
            </w:r>
          </w:p>
        </w:tc>
        <w:tc>
          <w:tcPr>
            <w:tcW w:w="640"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256</w:t>
            </w:r>
          </w:p>
        </w:tc>
        <w:tc>
          <w:tcPr>
            <w:tcW w:w="640"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488"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c>
          <w:tcPr>
            <w:tcW w:w="813"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r>
      <w:tr w:rsidR="00AA17E3" w:rsidRPr="00E836C5" w:rsidTr="00B17481">
        <w:trPr>
          <w:trHeight w:val="500"/>
        </w:trPr>
        <w:tc>
          <w:tcPr>
            <w:tcW w:w="1295" w:type="dxa"/>
            <w:vMerge w:val="restart"/>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Dlhodobá udržateľnosť lesníctva</w:t>
            </w:r>
          </w:p>
        </w:tc>
        <w:tc>
          <w:tcPr>
            <w:tcW w:w="3199"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Podiel prírode blízkeho hospodárenia v lesoch (% plochy lesov)</w:t>
            </w:r>
          </w:p>
        </w:tc>
        <w:tc>
          <w:tcPr>
            <w:tcW w:w="661"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640"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640"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488"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4</w:t>
            </w:r>
          </w:p>
        </w:tc>
        <w:tc>
          <w:tcPr>
            <w:tcW w:w="786"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10</w:t>
            </w:r>
          </w:p>
        </w:tc>
        <w:tc>
          <w:tcPr>
            <w:tcW w:w="813"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25</w:t>
            </w:r>
          </w:p>
        </w:tc>
      </w:tr>
      <w:tr w:rsidR="00AA17E3" w:rsidRPr="00E836C5" w:rsidTr="00B17481">
        <w:trPr>
          <w:trHeight w:val="479"/>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tcBorders>
              <w:top w:val="single" w:sz="4" w:space="0" w:color="auto"/>
              <w:left w:val="nil"/>
              <w:bottom w:val="single" w:sz="4" w:space="0" w:color="auto"/>
            </w:tcBorders>
            <w:shd w:val="clear" w:color="000000" w:fill="FFFFFF"/>
            <w:vAlign w:val="center"/>
            <w:hideMark/>
          </w:tcPr>
          <w:p w:rsidR="00AA17E3" w:rsidRPr="00804037" w:rsidRDefault="00AA17E3" w:rsidP="00A93875">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Náhodná ťažba (mil. m</w:t>
            </w:r>
            <w:r w:rsidR="00A93875">
              <w:rPr>
                <w:rFonts w:ascii="Times New Roman" w:eastAsia="Times New Roman" w:hAnsi="Times New Roman" w:cs="Times New Roman"/>
                <w:color w:val="000000" w:themeColor="text1"/>
                <w:sz w:val="12"/>
                <w:szCs w:val="16"/>
                <w:vertAlign w:val="superscript"/>
                <w:lang w:eastAsia="sk-SK"/>
              </w:rPr>
              <w:t>3</w:t>
            </w:r>
            <w:r w:rsidRPr="00804037">
              <w:rPr>
                <w:rFonts w:ascii="Times New Roman" w:eastAsia="Times New Roman" w:hAnsi="Times New Roman" w:cs="Times New Roman"/>
                <w:color w:val="000000" w:themeColor="text1"/>
                <w:sz w:val="16"/>
                <w:szCs w:val="16"/>
                <w:lang w:eastAsia="sk-SK"/>
              </w:rPr>
              <w:t>)</w:t>
            </w:r>
          </w:p>
        </w:tc>
        <w:tc>
          <w:tcPr>
            <w:tcW w:w="661"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5,0</w:t>
            </w:r>
          </w:p>
        </w:tc>
        <w:tc>
          <w:tcPr>
            <w:tcW w:w="640"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4,8</w:t>
            </w:r>
          </w:p>
        </w:tc>
        <w:tc>
          <w:tcPr>
            <w:tcW w:w="640"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5,2</w:t>
            </w:r>
          </w:p>
        </w:tc>
        <w:tc>
          <w:tcPr>
            <w:tcW w:w="488" w:type="dxa"/>
            <w:tcBorders>
              <w:top w:val="nil"/>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5,5</w:t>
            </w:r>
          </w:p>
        </w:tc>
        <w:tc>
          <w:tcPr>
            <w:tcW w:w="786" w:type="dxa"/>
            <w:tcBorders>
              <w:top w:val="single" w:sz="4" w:space="0" w:color="auto"/>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4,7</w:t>
            </w:r>
          </w:p>
        </w:tc>
        <w:tc>
          <w:tcPr>
            <w:tcW w:w="813" w:type="dxa"/>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4,4</w:t>
            </w:r>
          </w:p>
        </w:tc>
      </w:tr>
      <w:tr w:rsidR="00AA17E3" w:rsidRPr="00E836C5" w:rsidTr="00B17481">
        <w:trPr>
          <w:trHeight w:val="262"/>
        </w:trPr>
        <w:tc>
          <w:tcPr>
            <w:tcW w:w="1295" w:type="dxa"/>
            <w:vMerge w:val="restart"/>
            <w:tcBorders>
              <w:top w:val="single" w:sz="4" w:space="0" w:color="auto"/>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Produktivita v potravinárstve</w:t>
            </w:r>
          </w:p>
        </w:tc>
        <w:tc>
          <w:tcPr>
            <w:tcW w:w="3199" w:type="dxa"/>
            <w:vMerge w:val="restart"/>
            <w:tcBorders>
              <w:top w:val="single" w:sz="4" w:space="0" w:color="auto"/>
              <w:left w:val="nil"/>
              <w:bottom w:val="single" w:sz="4" w:space="0" w:color="auto"/>
            </w:tcBorders>
            <w:shd w:val="clear" w:color="000000" w:fill="FFFFFF"/>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Hrubá pridaná hodnota na zamestnanca v sektore (EUR/zam.; v stálych cenách roka 2010)</w:t>
            </w:r>
          </w:p>
        </w:tc>
        <w:tc>
          <w:tcPr>
            <w:tcW w:w="661" w:type="dxa"/>
            <w:tcBorders>
              <w:top w:val="single" w:sz="4" w:space="0" w:color="auto"/>
              <w:left w:val="nil"/>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SK</w:t>
            </w:r>
          </w:p>
        </w:tc>
        <w:tc>
          <w:tcPr>
            <w:tcW w:w="619"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15 342</w:t>
            </w:r>
          </w:p>
        </w:tc>
        <w:tc>
          <w:tcPr>
            <w:tcW w:w="640"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18 488</w:t>
            </w:r>
          </w:p>
        </w:tc>
        <w:tc>
          <w:tcPr>
            <w:tcW w:w="640"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17 679</w:t>
            </w:r>
          </w:p>
        </w:tc>
        <w:tc>
          <w:tcPr>
            <w:tcW w:w="488"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top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c>
          <w:tcPr>
            <w:tcW w:w="813" w:type="dxa"/>
            <w:tcBorders>
              <w:top w:val="single" w:sz="4" w:space="0" w:color="auto"/>
              <w:left w:val="nil"/>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TBD</w:t>
            </w:r>
          </w:p>
        </w:tc>
      </w:tr>
      <w:tr w:rsidR="00AA17E3" w:rsidRPr="00E836C5" w:rsidTr="00B17481">
        <w:trPr>
          <w:trHeight w:val="262"/>
        </w:trPr>
        <w:tc>
          <w:tcPr>
            <w:tcW w:w="1295" w:type="dxa"/>
            <w:vMerge/>
            <w:tcBorders>
              <w:top w:val="single" w:sz="4" w:space="0" w:color="auto"/>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3199" w:type="dxa"/>
            <w:vMerge/>
            <w:tcBorders>
              <w:top w:val="single" w:sz="4" w:space="0" w:color="auto"/>
              <w:left w:val="nil"/>
              <w:bottom w:val="single" w:sz="4" w:space="0" w:color="auto"/>
            </w:tcBorders>
            <w:vAlign w:val="center"/>
            <w:hideMark/>
          </w:tcPr>
          <w:p w:rsidR="00AA17E3" w:rsidRPr="00804037" w:rsidRDefault="00AA17E3" w:rsidP="00AA17E3">
            <w:pPr>
              <w:spacing w:after="0" w:line="240" w:lineRule="auto"/>
              <w:rPr>
                <w:rFonts w:ascii="Times New Roman" w:eastAsia="Times New Roman" w:hAnsi="Times New Roman" w:cs="Times New Roman"/>
                <w:color w:val="000000" w:themeColor="text1"/>
                <w:sz w:val="16"/>
                <w:szCs w:val="16"/>
                <w:lang w:eastAsia="sk-SK"/>
              </w:rPr>
            </w:pPr>
          </w:p>
        </w:tc>
        <w:tc>
          <w:tcPr>
            <w:tcW w:w="661"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EÚ 27</w:t>
            </w:r>
          </w:p>
        </w:tc>
        <w:tc>
          <w:tcPr>
            <w:tcW w:w="619" w:type="dxa"/>
            <w:tcBorders>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46 238</w:t>
            </w:r>
          </w:p>
        </w:tc>
        <w:tc>
          <w:tcPr>
            <w:tcW w:w="640" w:type="dxa"/>
            <w:tcBorders>
              <w:left w:val="nil"/>
              <w:bottom w:val="single" w:sz="4" w:space="0" w:color="auto"/>
            </w:tcBorders>
            <w:shd w:val="clear" w:color="000000" w:fill="FFFFFF"/>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45 991</w:t>
            </w:r>
          </w:p>
        </w:tc>
        <w:tc>
          <w:tcPr>
            <w:tcW w:w="640"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488"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r w:rsidRPr="00804037">
              <w:rPr>
                <w:rFonts w:ascii="Times New Roman" w:eastAsia="Times New Roman" w:hAnsi="Times New Roman" w:cs="Times New Roman"/>
                <w:color w:val="000000" w:themeColor="text1"/>
                <w:sz w:val="16"/>
                <w:szCs w:val="16"/>
                <w:lang w:eastAsia="sk-SK"/>
              </w:rPr>
              <w:t>-</w:t>
            </w:r>
          </w:p>
        </w:tc>
        <w:tc>
          <w:tcPr>
            <w:tcW w:w="786" w:type="dxa"/>
            <w:tcBorders>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c>
          <w:tcPr>
            <w:tcW w:w="813" w:type="dxa"/>
            <w:tcBorders>
              <w:left w:val="nil"/>
              <w:bottom w:val="single" w:sz="4" w:space="0" w:color="auto"/>
            </w:tcBorders>
            <w:shd w:val="clear" w:color="000000" w:fill="FFFFFF"/>
            <w:noWrap/>
            <w:vAlign w:val="center"/>
            <w:hideMark/>
          </w:tcPr>
          <w:p w:rsidR="00AA17E3" w:rsidRPr="00804037" w:rsidRDefault="00AA17E3" w:rsidP="00AA17E3">
            <w:pPr>
              <w:spacing w:after="0" w:line="240" w:lineRule="auto"/>
              <w:jc w:val="center"/>
              <w:rPr>
                <w:rFonts w:ascii="Times New Roman" w:eastAsia="Times New Roman" w:hAnsi="Times New Roman" w:cs="Times New Roman"/>
                <w:color w:val="000000" w:themeColor="text1"/>
                <w:sz w:val="16"/>
                <w:szCs w:val="16"/>
                <w:lang w:eastAsia="sk-SK"/>
              </w:rPr>
            </w:pPr>
          </w:p>
        </w:tc>
      </w:tr>
    </w:tbl>
    <w:p w:rsidR="00AA17E3" w:rsidRPr="00E836C5" w:rsidRDefault="00AA17E3" w:rsidP="00AA17E3">
      <w:pPr>
        <w:spacing w:after="0" w:line="240" w:lineRule="auto"/>
        <w:jc w:val="right"/>
        <w:rPr>
          <w:rFonts w:ascii="Times New Roman" w:eastAsia="Times New Roman" w:hAnsi="Times New Roman" w:cs="Times New Roman"/>
          <w:i/>
          <w:color w:val="000000"/>
          <w:sz w:val="16"/>
          <w:szCs w:val="16"/>
          <w:lang w:eastAsia="sk-SK"/>
        </w:rPr>
      </w:pPr>
      <w:r w:rsidRPr="00E836C5">
        <w:rPr>
          <w:rFonts w:ascii="Times New Roman" w:eastAsia="Times New Roman" w:hAnsi="Times New Roman" w:cs="Times New Roman"/>
          <w:i/>
          <w:color w:val="000000"/>
          <w:sz w:val="16"/>
          <w:szCs w:val="16"/>
          <w:lang w:eastAsia="sk-SK"/>
        </w:rPr>
        <w:t>Zdroj: EK, Eurostat, OECD, MPRV SR</w:t>
      </w:r>
    </w:p>
    <w:p w:rsidR="00AA17E3" w:rsidRPr="00E836C5" w:rsidRDefault="00AA17E3" w:rsidP="00AA17E3">
      <w:pPr>
        <w:spacing w:after="0" w:line="240" w:lineRule="auto"/>
        <w:jc w:val="both"/>
        <w:rPr>
          <w:rFonts w:ascii="Times New Roman" w:hAnsi="Times New Roman" w:cs="Times New Roman"/>
          <w:b/>
          <w:iCs/>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Nízka produktivita v poľnohospodárstve je kompenzovaná priamymi platbami. Podiel priamych platieb na pridanej hodnote je najvyšší v rámci EÚ. Zároveň sú priame platby koncentrované medzi úzku skupinu poberateľov. Pätina najväčších poberateľov dostáva až 94 % priamych platieb, čo je najvyššia hodnota zo všetkých členských štátov EÚ.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Dlhodobú udržateľnosť poľnohospodárstva z pohľadu biodiverzity hodnotí index poľného vtáctva. Počet poľných vtákov sa za posledných 18 rokov znížil o takmer 18 %, dlhodobo udržateľné pôdohospodárstvo by malo index poľného vtáctva držať na stabilnej úrovni, ako aj prispievať k jeho rastu. V ekologickom hospodárstve dosahuje Slovensko dobré výsledky, na ktoré sa využíva viac ako 10 % obhospodarovanej pôdy, čo je nad priemerom EÚ27.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Rozdrobené vlastnícke vzťahy k poľnohospodárskej a lesnej pôde výrazne ovplyvňujú podnikanie v sektore a súčasne obmedzujú trh s pôdou. V roku 2020 bolo scelených iba 12 % katastrálnych území, napriek stabilnému trendu je zvyšovanie scelených území pomalé.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Medzi významné zložky pôdohospodárstva patrí lesné hospodárstvo. V ňom dosahuje Slovensko priemerné hodnoty vybraných krajín s hrubou pridanou hodnotou 243 eur na jeden hektár lesnej pôdy. V lesoch sa však v relatívne nízkej miere hospodári prírode blízkym spôsobom. V roku 2020 sa obhospodarovalo 4 % lesnej pôdy prírode blízkym hospodárstvom. Náhodnou ťažbou, ktorá sa využíva pri rôznych kalamitách, bolo v 2020 vyťažených 5,5 mil. m</w:t>
      </w:r>
      <w:r w:rsidRPr="00E836C5">
        <w:rPr>
          <w:rFonts w:ascii="Times New Roman" w:hAnsi="Times New Roman" w:cs="Times New Roman"/>
          <w:sz w:val="24"/>
          <w:szCs w:val="24"/>
          <w:vertAlign w:val="superscript"/>
        </w:rPr>
        <w:t>3</w:t>
      </w:r>
      <w:r w:rsidRPr="00E836C5">
        <w:rPr>
          <w:rFonts w:ascii="Times New Roman" w:hAnsi="Times New Roman" w:cs="Times New Roman"/>
          <w:sz w:val="24"/>
          <w:szCs w:val="24"/>
        </w:rPr>
        <w:t xml:space="preserve"> dreva, dlhodobo je jej hodnota stabilná.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Ďalším z cieľov pôdohospodárskej politiky je zabezpečenie kvality potravinárskych výrobkov aj od slovenských producentov. V produktivite potravinárstva však Slovensko výrazne zaostáva, s hrubou pridanou hodnotou 17,7 tis. eur na zamestnanca v sektore dosahuje iba 40 % priemeru krajín EÚ (rok 2019).</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Rok 2020 bol prvým rokom implementácie revízie výdavkov, splnených bolo len niekoľko odporúčaní. Časť opatrení na zefektívnenie trhu s pôdou bolo splnených, viaceré však meškajú. Pretrvávali nedostatky v transparentnosti výskumných organizácií, odkladala sa optimalizácia hospodárenia štátnych podnikov v rezorte. Veľká časť opatrení revízie sa nehodnotila z dôvodu neprijatia Spoločnej poľnohospodárskej politiky, na ktoré boli naviazané. Ich implementácia by mala začať v 2022.</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Celkové výdavky pre oblasť pôdohospodárstva sú na rok 2022 rozpočtované v sume 1,25 mld. eur. Hlavnou finančnou podporou pôdohospodárstva sú prostriedky EÚ rozpočtované v kapitole Ministerstva pôdohospodárstva a rozvoja vidieka SR (ďalej len „MPRV SR“) vo výške 857 mil. eur. Výdavky určené na spolufinancovanie programov zo štátneho rozpočtu sú rozpočtované v sume 176 mil. eur, prostriedky štátneho rozpočtu pre oblasť pôdohospodárstva v sume 222 mil. eur.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keepNext/>
        <w:spacing w:after="0" w:line="240" w:lineRule="auto"/>
        <w:rPr>
          <w:rFonts w:ascii="Times New Roman" w:hAnsi="Times New Roman" w:cs="Times New Roman"/>
          <w:b/>
          <w:iCs/>
          <w:color w:val="92D050"/>
          <w:sz w:val="20"/>
          <w:szCs w:val="20"/>
        </w:rPr>
      </w:pPr>
      <w:bookmarkStart w:id="392" w:name="_Toc84528435"/>
      <w:bookmarkStart w:id="393" w:name="_Toc84845311"/>
      <w:r w:rsidRPr="00E836C5">
        <w:rPr>
          <w:rFonts w:ascii="Times New Roman" w:hAnsi="Times New Roman" w:cs="Times New Roman"/>
          <w:b/>
          <w:iCs/>
          <w:color w:val="5B9BD5" w:themeColor="accent1"/>
          <w:sz w:val="20"/>
          <w:szCs w:val="20"/>
        </w:rPr>
        <w:t xml:space="preserve">Tabuľka </w:t>
      </w:r>
      <w:r w:rsidRPr="00E836C5">
        <w:rPr>
          <w:rFonts w:ascii="Times New Roman" w:hAnsi="Times New Roman" w:cs="Times New Roman"/>
          <w:b/>
          <w:iCs/>
          <w:color w:val="5B9BD5" w:themeColor="accent1"/>
          <w:sz w:val="20"/>
          <w:szCs w:val="20"/>
        </w:rPr>
        <w:fldChar w:fldCharType="begin"/>
      </w:r>
      <w:r w:rsidRPr="00E836C5">
        <w:rPr>
          <w:rFonts w:ascii="Times New Roman" w:hAnsi="Times New Roman" w:cs="Times New Roman"/>
          <w:b/>
          <w:iCs/>
          <w:color w:val="5B9BD5" w:themeColor="accent1"/>
          <w:sz w:val="20"/>
          <w:szCs w:val="20"/>
        </w:rPr>
        <w:instrText xml:space="preserve"> SEQ Tabuľka \* ARABIC </w:instrText>
      </w:r>
      <w:r w:rsidRPr="00E836C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87</w:t>
      </w:r>
      <w:r w:rsidRPr="00E836C5">
        <w:rPr>
          <w:rFonts w:ascii="Times New Roman" w:hAnsi="Times New Roman" w:cs="Times New Roman"/>
          <w:b/>
          <w:iCs/>
          <w:color w:val="5B9BD5" w:themeColor="accent1"/>
          <w:sz w:val="20"/>
          <w:szCs w:val="20"/>
        </w:rPr>
        <w:fldChar w:fldCharType="end"/>
      </w:r>
      <w:r w:rsidRPr="00E836C5">
        <w:rPr>
          <w:rFonts w:ascii="Times New Roman" w:hAnsi="Times New Roman" w:cs="Times New Roman"/>
          <w:b/>
          <w:iCs/>
          <w:color w:val="5B9BD5" w:themeColor="accent1"/>
          <w:sz w:val="20"/>
          <w:szCs w:val="20"/>
        </w:rPr>
        <w:t xml:space="preserve"> – Výdavky na pôdohospodárstvo</w:t>
      </w:r>
      <w:bookmarkEnd w:id="392"/>
      <w:bookmarkEnd w:id="393"/>
      <w:r w:rsidRPr="00E836C5">
        <w:rPr>
          <w:rFonts w:ascii="Times New Roman" w:hAnsi="Times New Roman" w:cs="Times New Roman"/>
          <w:b/>
          <w:iCs/>
          <w:color w:val="5B9BD5" w:themeColor="accent1"/>
          <w:sz w:val="20"/>
          <w:szCs w:val="20"/>
        </w:rPr>
        <w:t xml:space="preserve">                                                 </w:t>
      </w:r>
      <w:r w:rsidRPr="00E836C5">
        <w:rPr>
          <w:rFonts w:ascii="Times New Roman" w:hAnsi="Times New Roman" w:cs="Times New Roman"/>
          <w:b/>
          <w:iCs/>
          <w:sz w:val="20"/>
          <w:szCs w:val="20"/>
        </w:rPr>
        <w:t xml:space="preserve"> </w:t>
      </w:r>
    </w:p>
    <w:tbl>
      <w:tblPr>
        <w:tblW w:w="9196" w:type="dxa"/>
        <w:jc w:val="center"/>
        <w:tblCellMar>
          <w:left w:w="70" w:type="dxa"/>
          <w:right w:w="70" w:type="dxa"/>
        </w:tblCellMar>
        <w:tblLook w:val="04A0" w:firstRow="1" w:lastRow="0" w:firstColumn="1" w:lastColumn="0" w:noHBand="0" w:noVBand="1"/>
      </w:tblPr>
      <w:tblGrid>
        <w:gridCol w:w="2798"/>
        <w:gridCol w:w="914"/>
        <w:gridCol w:w="914"/>
        <w:gridCol w:w="914"/>
        <w:gridCol w:w="914"/>
        <w:gridCol w:w="914"/>
        <w:gridCol w:w="914"/>
        <w:gridCol w:w="914"/>
      </w:tblGrid>
      <w:tr w:rsidR="00AA17E3" w:rsidRPr="00E836C5" w:rsidTr="00AA17E3">
        <w:trPr>
          <w:trHeight w:val="262"/>
          <w:jc w:val="center"/>
        </w:trPr>
        <w:tc>
          <w:tcPr>
            <w:tcW w:w="2798"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 v tis. eur</w:t>
            </w:r>
          </w:p>
        </w:tc>
        <w:tc>
          <w:tcPr>
            <w:tcW w:w="914" w:type="dxa"/>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2019 S</w:t>
            </w:r>
          </w:p>
        </w:tc>
        <w:tc>
          <w:tcPr>
            <w:tcW w:w="914"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2020 S</w:t>
            </w:r>
          </w:p>
        </w:tc>
        <w:tc>
          <w:tcPr>
            <w:tcW w:w="914"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2021 R</w:t>
            </w:r>
          </w:p>
        </w:tc>
        <w:tc>
          <w:tcPr>
            <w:tcW w:w="914" w:type="dxa"/>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highlight w:val="yellow"/>
                <w:lang w:eastAsia="sk-SK"/>
              </w:rPr>
            </w:pPr>
            <w:r w:rsidRPr="00E836C5">
              <w:rPr>
                <w:rFonts w:ascii="Times New Roman" w:eastAsia="Times New Roman" w:hAnsi="Times New Roman" w:cs="Times New Roman"/>
                <w:b/>
                <w:bCs/>
                <w:color w:val="000000"/>
                <w:sz w:val="16"/>
                <w:szCs w:val="16"/>
                <w:lang w:eastAsia="sk-SK"/>
              </w:rPr>
              <w:t>2021 OS</w:t>
            </w:r>
          </w:p>
        </w:tc>
        <w:tc>
          <w:tcPr>
            <w:tcW w:w="914"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2022 N</w:t>
            </w:r>
          </w:p>
        </w:tc>
        <w:tc>
          <w:tcPr>
            <w:tcW w:w="914"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2023 N</w:t>
            </w:r>
          </w:p>
        </w:tc>
        <w:tc>
          <w:tcPr>
            <w:tcW w:w="914"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2024 N</w:t>
            </w:r>
          </w:p>
        </w:tc>
      </w:tr>
      <w:tr w:rsidR="00AA17E3" w:rsidRPr="00E836C5" w:rsidTr="00AA17E3">
        <w:trPr>
          <w:trHeight w:val="262"/>
          <w:jc w:val="center"/>
        </w:trPr>
        <w:tc>
          <w:tcPr>
            <w:tcW w:w="2798" w:type="dxa"/>
            <w:tcBorders>
              <w:top w:val="single" w:sz="4" w:space="0" w:color="auto"/>
            </w:tcBorders>
            <w:shd w:val="clear" w:color="auto" w:fill="auto"/>
            <w:noWrap/>
            <w:vAlign w:val="center"/>
          </w:tcPr>
          <w:p w:rsidR="00AA17E3" w:rsidRPr="00E836C5" w:rsidRDefault="00AA17E3" w:rsidP="00AA17E3">
            <w:pPr>
              <w:spacing w:after="0" w:line="240" w:lineRule="auto"/>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Pôdohospodárstvo</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1 247 218</w:t>
            </w:r>
          </w:p>
        </w:tc>
        <w:tc>
          <w:tcPr>
            <w:tcW w:w="914" w:type="dxa"/>
            <w:tcBorders>
              <w:top w:val="single" w:sz="4" w:space="0" w:color="auto"/>
            </w:tcBorders>
            <w:shd w:val="clear" w:color="auto" w:fill="auto"/>
            <w:noWrap/>
            <w:vAlign w:val="center"/>
          </w:tcPr>
          <w:p w:rsidR="00AA17E3" w:rsidRPr="00E836C5" w:rsidRDefault="008F1E44" w:rsidP="00AA17E3">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1 086 193</w:t>
            </w:r>
          </w:p>
        </w:tc>
        <w:tc>
          <w:tcPr>
            <w:tcW w:w="914" w:type="dxa"/>
            <w:tcBorders>
              <w:top w:val="single" w:sz="4" w:space="0" w:color="auto"/>
            </w:tcBorders>
            <w:shd w:val="clear" w:color="auto" w:fill="auto"/>
            <w:noWrap/>
            <w:vAlign w:val="center"/>
          </w:tcPr>
          <w:p w:rsidR="00AA17E3" w:rsidRPr="00E836C5" w:rsidRDefault="008F1E44" w:rsidP="00AA17E3">
            <w:pPr>
              <w:spacing w:after="0" w:line="240" w:lineRule="auto"/>
              <w:jc w:val="right"/>
              <w:rPr>
                <w:rFonts w:ascii="Times New Roman" w:eastAsia="Times New Roman" w:hAnsi="Times New Roman" w:cs="Times New Roman"/>
                <w:bCs/>
                <w:color w:val="000000"/>
                <w:sz w:val="16"/>
                <w:szCs w:val="16"/>
                <w:lang w:eastAsia="sk-SK"/>
              </w:rPr>
            </w:pPr>
            <w:r>
              <w:rPr>
                <w:rFonts w:ascii="Times New Roman" w:eastAsia="Times New Roman" w:hAnsi="Times New Roman" w:cs="Times New Roman"/>
                <w:bCs/>
                <w:color w:val="000000"/>
                <w:sz w:val="16"/>
                <w:szCs w:val="16"/>
                <w:lang w:eastAsia="sk-SK"/>
              </w:rPr>
              <w:t>1 527 228</w:t>
            </w:r>
          </w:p>
        </w:tc>
        <w:tc>
          <w:tcPr>
            <w:tcW w:w="914" w:type="dxa"/>
            <w:tcBorders>
              <w:top w:val="single" w:sz="4" w:space="0" w:color="auto"/>
            </w:tcBorders>
            <w:shd w:val="clear" w:color="auto" w:fill="auto"/>
            <w:noWrap/>
            <w:vAlign w:val="center"/>
          </w:tcPr>
          <w:p w:rsidR="00AA17E3" w:rsidRPr="00E836C5" w:rsidRDefault="008F1E44" w:rsidP="00AA17E3">
            <w:pPr>
              <w:spacing w:after="0" w:line="240" w:lineRule="auto"/>
              <w:jc w:val="right"/>
              <w:rPr>
                <w:rFonts w:ascii="Times New Roman" w:eastAsia="Times New Roman" w:hAnsi="Times New Roman" w:cs="Times New Roman"/>
                <w:bCs/>
                <w:color w:val="000000"/>
                <w:sz w:val="16"/>
                <w:szCs w:val="16"/>
                <w:highlight w:val="yellow"/>
                <w:lang w:eastAsia="sk-SK"/>
              </w:rPr>
            </w:pPr>
            <w:r>
              <w:rPr>
                <w:rFonts w:ascii="Times New Roman" w:eastAsia="Times New Roman" w:hAnsi="Times New Roman" w:cs="Times New Roman"/>
                <w:bCs/>
                <w:color w:val="000000"/>
                <w:sz w:val="16"/>
                <w:szCs w:val="16"/>
                <w:lang w:eastAsia="sk-SK"/>
              </w:rPr>
              <w:t>951 328</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1 255 452</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1 484 296</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ind w:right="-93"/>
              <w:jc w:val="center"/>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 xml:space="preserve">   1 099 059</w:t>
            </w:r>
          </w:p>
        </w:tc>
      </w:tr>
      <w:tr w:rsidR="00AA17E3" w:rsidRPr="00E836C5" w:rsidTr="00AA17E3">
        <w:trPr>
          <w:trHeight w:val="262"/>
          <w:jc w:val="center"/>
        </w:trPr>
        <w:tc>
          <w:tcPr>
            <w:tcW w:w="2798" w:type="dxa"/>
            <w:tcBorders>
              <w:top w:val="single" w:sz="4" w:space="0" w:color="auto"/>
            </w:tcBorders>
            <w:shd w:val="clear" w:color="auto" w:fill="auto"/>
            <w:noWrap/>
            <w:vAlign w:val="center"/>
            <w:hideMark/>
          </w:tcPr>
          <w:p w:rsidR="00AA17E3" w:rsidRPr="00E836C5" w:rsidRDefault="00AA17E3" w:rsidP="00AA17E3">
            <w:pPr>
              <w:spacing w:after="0" w:line="240" w:lineRule="auto"/>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Ministerstvo pôdohospodárstva a rozvoja vidieka SR</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1 202 413</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1 046 482</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1 488 220</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highlight w:val="yellow"/>
                <w:lang w:eastAsia="sk-SK"/>
              </w:rPr>
            </w:pPr>
            <w:r w:rsidRPr="00E836C5">
              <w:rPr>
                <w:rFonts w:ascii="Times New Roman" w:eastAsia="Times New Roman" w:hAnsi="Times New Roman" w:cs="Times New Roman"/>
                <w:bCs/>
                <w:color w:val="000000"/>
                <w:sz w:val="16"/>
                <w:szCs w:val="16"/>
                <w:lang w:eastAsia="sk-SK"/>
              </w:rPr>
              <w:t>909 659</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1 213 521</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1 444 076</w:t>
            </w:r>
          </w:p>
        </w:tc>
        <w:tc>
          <w:tcPr>
            <w:tcW w:w="914" w:type="dxa"/>
            <w:tcBorders>
              <w:top w:val="single" w:sz="4" w:space="0" w:color="auto"/>
            </w:tcBorders>
            <w:shd w:val="clear" w:color="auto" w:fill="auto"/>
            <w:noWrap/>
            <w:vAlign w:val="center"/>
          </w:tcPr>
          <w:p w:rsidR="00AA17E3" w:rsidRPr="00E836C5" w:rsidRDefault="00AA17E3" w:rsidP="00AA17E3">
            <w:pPr>
              <w:spacing w:after="0" w:line="240" w:lineRule="auto"/>
              <w:ind w:right="-93"/>
              <w:jc w:val="center"/>
              <w:rPr>
                <w:rFonts w:ascii="Times New Roman" w:eastAsia="Times New Roman" w:hAnsi="Times New Roman" w:cs="Times New Roman"/>
                <w:bCs/>
                <w:color w:val="000000"/>
                <w:sz w:val="16"/>
                <w:szCs w:val="16"/>
                <w:lang w:eastAsia="sk-SK"/>
              </w:rPr>
            </w:pPr>
            <w:r w:rsidRPr="00E836C5">
              <w:rPr>
                <w:rFonts w:ascii="Times New Roman" w:eastAsia="Times New Roman" w:hAnsi="Times New Roman" w:cs="Times New Roman"/>
                <w:bCs/>
                <w:color w:val="000000"/>
                <w:sz w:val="16"/>
                <w:szCs w:val="16"/>
                <w:lang w:eastAsia="sk-SK"/>
              </w:rPr>
              <w:t xml:space="preserve">   1 058 839</w:t>
            </w:r>
          </w:p>
        </w:tc>
      </w:tr>
      <w:tr w:rsidR="00AA17E3" w:rsidRPr="00E836C5" w:rsidTr="00AA17E3">
        <w:trPr>
          <w:trHeight w:val="262"/>
          <w:jc w:val="center"/>
        </w:trPr>
        <w:tc>
          <w:tcPr>
            <w:tcW w:w="2798" w:type="dxa"/>
            <w:shd w:val="clear" w:color="auto" w:fill="auto"/>
            <w:noWrap/>
            <w:vAlign w:val="center"/>
          </w:tcPr>
          <w:p w:rsidR="00AA17E3" w:rsidRPr="00E836C5" w:rsidRDefault="00AA17E3" w:rsidP="00AA17E3">
            <w:pPr>
              <w:spacing w:after="0" w:line="240" w:lineRule="auto"/>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Úrad geodézie, kartografie a katastra SR</w:t>
            </w:r>
          </w:p>
        </w:tc>
        <w:tc>
          <w:tcPr>
            <w:tcW w:w="914"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19 304</w:t>
            </w:r>
          </w:p>
        </w:tc>
        <w:tc>
          <w:tcPr>
            <w:tcW w:w="914"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16 884</w:t>
            </w:r>
          </w:p>
        </w:tc>
        <w:tc>
          <w:tcPr>
            <w:tcW w:w="914"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19 685</w:t>
            </w:r>
          </w:p>
        </w:tc>
        <w:tc>
          <w:tcPr>
            <w:tcW w:w="914"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19 613</w:t>
            </w:r>
          </w:p>
        </w:tc>
        <w:tc>
          <w:tcPr>
            <w:tcW w:w="914" w:type="dxa"/>
            <w:tcBorders>
              <w:left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20 668</w:t>
            </w:r>
          </w:p>
        </w:tc>
        <w:tc>
          <w:tcPr>
            <w:tcW w:w="914"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19 688</w:t>
            </w:r>
          </w:p>
        </w:tc>
        <w:tc>
          <w:tcPr>
            <w:tcW w:w="914"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19 688</w:t>
            </w:r>
          </w:p>
        </w:tc>
      </w:tr>
      <w:tr w:rsidR="00AA17E3" w:rsidRPr="00E836C5" w:rsidTr="00AA17E3">
        <w:trPr>
          <w:trHeight w:val="262"/>
          <w:jc w:val="center"/>
        </w:trPr>
        <w:tc>
          <w:tcPr>
            <w:tcW w:w="2798" w:type="dxa"/>
            <w:tcBorders>
              <w:bottom w:val="single" w:sz="4" w:space="0" w:color="auto"/>
            </w:tcBorders>
            <w:shd w:val="clear" w:color="auto" w:fill="auto"/>
            <w:noWrap/>
            <w:vAlign w:val="center"/>
          </w:tcPr>
          <w:p w:rsidR="00AA17E3" w:rsidRPr="00E836C5" w:rsidRDefault="00AA17E3" w:rsidP="00AA17E3">
            <w:pPr>
              <w:spacing w:after="0" w:line="240" w:lineRule="auto"/>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Slovenský pozemkový fond</w:t>
            </w:r>
          </w:p>
        </w:tc>
        <w:tc>
          <w:tcPr>
            <w:tcW w:w="914" w:type="dxa"/>
            <w:tcBorders>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25 501</w:t>
            </w:r>
          </w:p>
        </w:tc>
        <w:tc>
          <w:tcPr>
            <w:tcW w:w="914" w:type="dxa"/>
            <w:tcBorders>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22 827</w:t>
            </w:r>
          </w:p>
        </w:tc>
        <w:tc>
          <w:tcPr>
            <w:tcW w:w="914" w:type="dxa"/>
            <w:tcBorders>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19 323</w:t>
            </w:r>
          </w:p>
        </w:tc>
        <w:tc>
          <w:tcPr>
            <w:tcW w:w="914" w:type="dxa"/>
            <w:tcBorders>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22 056</w:t>
            </w:r>
          </w:p>
        </w:tc>
        <w:tc>
          <w:tcPr>
            <w:tcW w:w="914" w:type="dxa"/>
            <w:tcBorders>
              <w:left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21 263</w:t>
            </w:r>
          </w:p>
        </w:tc>
        <w:tc>
          <w:tcPr>
            <w:tcW w:w="914" w:type="dxa"/>
            <w:tcBorders>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20 532</w:t>
            </w:r>
          </w:p>
        </w:tc>
        <w:tc>
          <w:tcPr>
            <w:tcW w:w="914" w:type="dxa"/>
            <w:tcBorders>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20 532</w:t>
            </w:r>
          </w:p>
        </w:tc>
      </w:tr>
    </w:tbl>
    <w:p w:rsidR="00AA17E3" w:rsidRPr="00E836C5" w:rsidRDefault="00AA17E3" w:rsidP="00AA17E3">
      <w:pPr>
        <w:spacing w:after="0" w:line="240" w:lineRule="auto"/>
        <w:jc w:val="right"/>
        <w:rPr>
          <w:rFonts w:ascii="Times New Roman" w:hAnsi="Times New Roman" w:cs="Times New Roman"/>
          <w:i/>
          <w:sz w:val="16"/>
          <w:szCs w:val="16"/>
        </w:rPr>
      </w:pPr>
      <w:r w:rsidRPr="00E836C5">
        <w:rPr>
          <w:rFonts w:ascii="Times New Roman" w:hAnsi="Times New Roman" w:cs="Times New Roman"/>
          <w:i/>
          <w:sz w:val="16"/>
          <w:szCs w:val="16"/>
        </w:rPr>
        <w:t>zdroj: MF SR</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Výdavky na pôdohospodárstvo sú v najbližších rokoch ovplyvnené aj týmito zapracovanými  opatreniami:</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4B108F">
      <w:pPr>
        <w:numPr>
          <w:ilvl w:val="0"/>
          <w:numId w:val="20"/>
        </w:numPr>
        <w:contextualSpacing/>
        <w:jc w:val="both"/>
        <w:rPr>
          <w:rFonts w:ascii="Times New Roman" w:hAnsi="Times New Roman" w:cs="Times New Roman"/>
          <w:sz w:val="24"/>
          <w:szCs w:val="24"/>
        </w:rPr>
      </w:pPr>
      <w:r w:rsidRPr="00E836C5">
        <w:rPr>
          <w:rFonts w:ascii="Times New Roman" w:hAnsi="Times New Roman" w:cs="Times New Roman"/>
          <w:sz w:val="24"/>
          <w:szCs w:val="24"/>
        </w:rPr>
        <w:t>presun výdavkov oblasti regionálneho rozvoja do oblasti ekonomiky (Ministerstvo investícií, regionálneho rozvoja a informatizácie SR) v objeme 262 mil. eur z dôvodu delimitácie</w:t>
      </w:r>
    </w:p>
    <w:p w:rsidR="00AA17E3" w:rsidRPr="00E836C5" w:rsidRDefault="00AA17E3" w:rsidP="004B108F">
      <w:pPr>
        <w:numPr>
          <w:ilvl w:val="0"/>
          <w:numId w:val="20"/>
        </w:numPr>
        <w:contextualSpacing/>
        <w:jc w:val="both"/>
        <w:rPr>
          <w:rFonts w:ascii="Times New Roman" w:hAnsi="Times New Roman" w:cs="Times New Roman"/>
          <w:sz w:val="24"/>
          <w:szCs w:val="24"/>
        </w:rPr>
      </w:pPr>
      <w:r w:rsidRPr="00E836C5">
        <w:rPr>
          <w:rFonts w:ascii="Times New Roman" w:hAnsi="Times New Roman" w:cs="Times New Roman"/>
          <w:sz w:val="24"/>
          <w:szCs w:val="24"/>
        </w:rPr>
        <w:t>v rámci prechodného obdobia spoločnej poľnohospodárskej politiky („SPP“) nie sú z poľnohospodárskych fondov EÚ na rok 2022 rozpočtované prostriedky EÚ a spolufinancovania z nového programového obdobia</w:t>
      </w:r>
    </w:p>
    <w:p w:rsidR="00AA17E3" w:rsidRPr="00E836C5" w:rsidRDefault="00AA17E3" w:rsidP="004B108F">
      <w:pPr>
        <w:numPr>
          <w:ilvl w:val="0"/>
          <w:numId w:val="20"/>
        </w:numPr>
        <w:contextualSpacing/>
        <w:jc w:val="both"/>
        <w:rPr>
          <w:rFonts w:ascii="Times New Roman" w:hAnsi="Times New Roman" w:cs="Times New Roman"/>
          <w:sz w:val="24"/>
          <w:szCs w:val="24"/>
        </w:rPr>
      </w:pPr>
      <w:r w:rsidRPr="00E836C5">
        <w:rPr>
          <w:rFonts w:ascii="Times New Roman" w:hAnsi="Times New Roman" w:cs="Times New Roman"/>
          <w:sz w:val="24"/>
          <w:szCs w:val="24"/>
        </w:rPr>
        <w:t>zvýšenie miery spolufinancovania druhého piliera SPP – Programu rozvoja vidieka v 4. programovom období SPP od roku 2023 na úroveň 36,9</w:t>
      </w:r>
      <w:r w:rsidR="00110579">
        <w:rPr>
          <w:rFonts w:ascii="Times New Roman" w:hAnsi="Times New Roman" w:cs="Times New Roman"/>
          <w:sz w:val="24"/>
          <w:szCs w:val="24"/>
        </w:rPr>
        <w:t xml:space="preserve"> </w:t>
      </w:r>
      <w:r w:rsidRPr="00E836C5">
        <w:rPr>
          <w:rFonts w:ascii="Times New Roman" w:hAnsi="Times New Roman" w:cs="Times New Roman"/>
          <w:sz w:val="24"/>
          <w:szCs w:val="24"/>
        </w:rPr>
        <w:t>% na podporu po</w:t>
      </w:r>
      <w:r w:rsidR="00D82F72">
        <w:rPr>
          <w:rFonts w:ascii="Times New Roman" w:hAnsi="Times New Roman" w:cs="Times New Roman"/>
          <w:sz w:val="24"/>
          <w:szCs w:val="24"/>
        </w:rPr>
        <w:t>ľnohospodárov, lesníkov, obcí...</w:t>
      </w:r>
    </w:p>
    <w:p w:rsidR="00AA17E3" w:rsidRPr="00E836C5" w:rsidRDefault="00AA17E3" w:rsidP="004B108F">
      <w:pPr>
        <w:numPr>
          <w:ilvl w:val="0"/>
          <w:numId w:val="20"/>
        </w:numPr>
        <w:contextualSpacing/>
        <w:jc w:val="both"/>
        <w:rPr>
          <w:rFonts w:ascii="Times New Roman" w:hAnsi="Times New Roman" w:cs="Times New Roman"/>
          <w:sz w:val="24"/>
          <w:szCs w:val="24"/>
        </w:rPr>
      </w:pPr>
      <w:r w:rsidRPr="00E836C5">
        <w:rPr>
          <w:rFonts w:ascii="Times New Roman" w:hAnsi="Times New Roman" w:cs="Times New Roman"/>
          <w:sz w:val="24"/>
          <w:szCs w:val="24"/>
        </w:rPr>
        <w:t xml:space="preserve">zvýšenie mzdových prostriedkov v sume 1,10 mil. eur z dôvodu personálneho posilnenia Pôdohospodárskej platobnej agentúry (ďalej len „PPA“)  pre oblasť riadiaceho a kontrolného systému administrácie podpôr, najmä sekcií projektových a priamych podpôr, financovania podpôr, kontroly, vnútorného auditu, vnútornej kontroly supervízie a ochrany finančných záujmov EÚ </w:t>
      </w:r>
    </w:p>
    <w:p w:rsidR="00AA17E3" w:rsidRDefault="00AA17E3" w:rsidP="004B108F">
      <w:pPr>
        <w:numPr>
          <w:ilvl w:val="0"/>
          <w:numId w:val="20"/>
        </w:numPr>
        <w:contextualSpacing/>
        <w:jc w:val="both"/>
        <w:rPr>
          <w:rFonts w:ascii="Times New Roman" w:hAnsi="Times New Roman" w:cs="Times New Roman"/>
          <w:sz w:val="24"/>
          <w:szCs w:val="24"/>
        </w:rPr>
      </w:pPr>
      <w:r w:rsidRPr="00E836C5">
        <w:rPr>
          <w:rFonts w:ascii="Times New Roman" w:hAnsi="Times New Roman" w:cs="Times New Roman"/>
          <w:sz w:val="24"/>
          <w:szCs w:val="24"/>
        </w:rPr>
        <w:t xml:space="preserve">rozpočtovanie prostriedkov v objeme 980 tis. eur na realizáciu projektu Konsolidácia údajov v písomných databázach katastra nehnuteľností a vytvorenie novej štruktúry údajov katastra. </w:t>
      </w:r>
    </w:p>
    <w:p w:rsidR="00110579" w:rsidRPr="00E836C5" w:rsidRDefault="00110579" w:rsidP="00110579">
      <w:pPr>
        <w:ind w:left="720"/>
        <w:contextualSpacing/>
        <w:jc w:val="both"/>
        <w:rPr>
          <w:rFonts w:ascii="Times New Roman" w:hAnsi="Times New Roman" w:cs="Times New Roman"/>
          <w:sz w:val="24"/>
          <w:szCs w:val="24"/>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Výdavky kapitoly </w:t>
      </w:r>
      <w:r w:rsidR="00110579">
        <w:rPr>
          <w:rFonts w:ascii="Times New Roman" w:hAnsi="Times New Roman" w:cs="Times New Roman"/>
          <w:sz w:val="24"/>
          <w:szCs w:val="24"/>
        </w:rPr>
        <w:t>MPRV</w:t>
      </w:r>
      <w:r w:rsidR="003D2EA0">
        <w:rPr>
          <w:rFonts w:ascii="Times New Roman" w:hAnsi="Times New Roman" w:cs="Times New Roman"/>
          <w:sz w:val="24"/>
          <w:szCs w:val="24"/>
        </w:rPr>
        <w:t xml:space="preserve"> SR</w:t>
      </w:r>
      <w:r w:rsidRPr="00E836C5">
        <w:rPr>
          <w:rFonts w:ascii="Times New Roman" w:hAnsi="Times New Roman" w:cs="Times New Roman"/>
          <w:sz w:val="24"/>
          <w:szCs w:val="24"/>
        </w:rPr>
        <w:t xml:space="preserve"> sú na rok 2022 rozpočtované v sume 1,21 mld. eur v nasledovaných oblastiach: </w:t>
      </w:r>
    </w:p>
    <w:p w:rsidR="00AA17E3" w:rsidRPr="00E836C5" w:rsidRDefault="00AA17E3" w:rsidP="00AA17E3">
      <w:pPr>
        <w:keepNext/>
        <w:spacing w:after="0" w:line="240" w:lineRule="auto"/>
        <w:rPr>
          <w:rFonts w:ascii="Times New Roman" w:hAnsi="Times New Roman" w:cs="Times New Roman"/>
          <w:color w:val="FF0000"/>
          <w:sz w:val="24"/>
          <w:szCs w:val="24"/>
        </w:rPr>
      </w:pPr>
    </w:p>
    <w:p w:rsidR="00AA17E3" w:rsidRPr="00E836C5" w:rsidRDefault="00AA17E3" w:rsidP="00AA17E3">
      <w:pPr>
        <w:keepNext/>
        <w:spacing w:after="0" w:line="240" w:lineRule="auto"/>
        <w:rPr>
          <w:rFonts w:ascii="Times New Roman" w:hAnsi="Times New Roman" w:cs="Times New Roman"/>
          <w:b/>
          <w:iCs/>
          <w:color w:val="5B9BD5" w:themeColor="accent1"/>
          <w:sz w:val="20"/>
          <w:szCs w:val="20"/>
        </w:rPr>
      </w:pPr>
      <w:bookmarkStart w:id="394" w:name="_Toc84528436"/>
      <w:bookmarkStart w:id="395" w:name="_Toc84845312"/>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88</w:t>
      </w:r>
      <w:r w:rsidRPr="007E7AFC">
        <w:rPr>
          <w:rFonts w:ascii="Times New Roman" w:hAnsi="Times New Roman" w:cs="Times New Roman"/>
          <w:b/>
          <w:color w:val="5B9BD5" w:themeColor="accent1"/>
          <w:sz w:val="20"/>
          <w:szCs w:val="20"/>
        </w:rPr>
        <w:fldChar w:fldCharType="end"/>
      </w:r>
      <w:r w:rsidRPr="00E836C5">
        <w:rPr>
          <w:rFonts w:ascii="Times New Roman" w:hAnsi="Times New Roman" w:cs="Times New Roman"/>
          <w:b/>
          <w:iCs/>
          <w:color w:val="5B9BD5" w:themeColor="accent1"/>
          <w:sz w:val="20"/>
          <w:szCs w:val="20"/>
        </w:rPr>
        <w:t xml:space="preserve"> - Oblasti výdavkov kapitoly MPRV SR</w:t>
      </w:r>
      <w:bookmarkEnd w:id="394"/>
      <w:bookmarkEnd w:id="395"/>
    </w:p>
    <w:tbl>
      <w:tblPr>
        <w:tblW w:w="9208" w:type="dxa"/>
        <w:jc w:val="center"/>
        <w:tblCellMar>
          <w:left w:w="70" w:type="dxa"/>
          <w:right w:w="70" w:type="dxa"/>
        </w:tblCellMar>
        <w:tblLook w:val="04A0" w:firstRow="1" w:lastRow="0" w:firstColumn="1" w:lastColumn="0" w:noHBand="0" w:noVBand="1"/>
      </w:tblPr>
      <w:tblGrid>
        <w:gridCol w:w="2495"/>
        <w:gridCol w:w="959"/>
        <w:gridCol w:w="959"/>
        <w:gridCol w:w="959"/>
        <w:gridCol w:w="959"/>
        <w:gridCol w:w="959"/>
        <w:gridCol w:w="959"/>
        <w:gridCol w:w="959"/>
      </w:tblGrid>
      <w:tr w:rsidR="00AA17E3" w:rsidRPr="00E836C5" w:rsidTr="00AA17E3">
        <w:trPr>
          <w:trHeight w:val="262"/>
          <w:jc w:val="center"/>
        </w:trPr>
        <w:tc>
          <w:tcPr>
            <w:tcW w:w="2215" w:type="dxa"/>
            <w:tcBorders>
              <w:top w:val="single" w:sz="4" w:space="0" w:color="auto"/>
              <w:bottom w:val="single" w:sz="4" w:space="0" w:color="auto"/>
            </w:tcBorders>
            <w:shd w:val="clear" w:color="auto" w:fill="auto"/>
            <w:noWrap/>
            <w:vAlign w:val="bottom"/>
            <w:hideMark/>
          </w:tcPr>
          <w:p w:rsidR="00AA17E3" w:rsidRPr="00E836C5" w:rsidRDefault="00AA17E3" w:rsidP="00AA17E3">
            <w:pPr>
              <w:spacing w:after="0" w:line="240" w:lineRule="auto"/>
              <w:ind w:left="-70" w:firstLine="142"/>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 v tis. eur</w:t>
            </w:r>
          </w:p>
        </w:tc>
        <w:tc>
          <w:tcPr>
            <w:tcW w:w="851" w:type="dxa"/>
            <w:tcBorders>
              <w:top w:val="single" w:sz="4" w:space="0" w:color="auto"/>
              <w:bottom w:val="single" w:sz="4" w:space="0" w:color="auto"/>
            </w:tcBorders>
            <w:shd w:val="clear" w:color="auto" w:fill="auto"/>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2019 S</w:t>
            </w:r>
          </w:p>
        </w:tc>
        <w:tc>
          <w:tcPr>
            <w:tcW w:w="851" w:type="dxa"/>
            <w:tcBorders>
              <w:top w:val="single" w:sz="4" w:space="0" w:color="auto"/>
              <w:bottom w:val="single" w:sz="4" w:space="0" w:color="auto"/>
            </w:tcBorders>
            <w:shd w:val="clear" w:color="auto" w:fill="auto"/>
            <w:noWrap/>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2020 S</w:t>
            </w:r>
          </w:p>
        </w:tc>
        <w:tc>
          <w:tcPr>
            <w:tcW w:w="851" w:type="dxa"/>
            <w:tcBorders>
              <w:top w:val="single" w:sz="4" w:space="0" w:color="auto"/>
              <w:bottom w:val="single" w:sz="4" w:space="0" w:color="auto"/>
            </w:tcBorders>
            <w:shd w:val="clear" w:color="auto" w:fill="auto"/>
            <w:noWrap/>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2021 R</w:t>
            </w:r>
          </w:p>
        </w:tc>
        <w:tc>
          <w:tcPr>
            <w:tcW w:w="851" w:type="dxa"/>
            <w:tcBorders>
              <w:top w:val="single" w:sz="4" w:space="0" w:color="auto"/>
              <w:bottom w:val="single" w:sz="4" w:space="0" w:color="auto"/>
            </w:tcBorders>
            <w:shd w:val="clear" w:color="auto" w:fill="auto"/>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highlight w:val="yellow"/>
                <w:lang w:eastAsia="sk-SK"/>
              </w:rPr>
            </w:pPr>
            <w:r w:rsidRPr="00E836C5">
              <w:rPr>
                <w:rFonts w:ascii="Times New Roman" w:eastAsia="Times New Roman" w:hAnsi="Times New Roman" w:cs="Times New Roman"/>
                <w:b/>
                <w:bCs/>
                <w:color w:val="000000"/>
                <w:sz w:val="16"/>
                <w:szCs w:val="16"/>
                <w:lang w:eastAsia="sk-SK"/>
              </w:rPr>
              <w:t>2021 OS</w:t>
            </w:r>
          </w:p>
        </w:tc>
        <w:tc>
          <w:tcPr>
            <w:tcW w:w="851" w:type="dxa"/>
            <w:tcBorders>
              <w:top w:val="single" w:sz="4" w:space="0" w:color="auto"/>
              <w:bottom w:val="single" w:sz="4" w:space="0" w:color="auto"/>
            </w:tcBorders>
            <w:shd w:val="clear" w:color="auto" w:fill="auto"/>
            <w:noWrap/>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2022 N</w:t>
            </w:r>
          </w:p>
        </w:tc>
        <w:tc>
          <w:tcPr>
            <w:tcW w:w="851" w:type="dxa"/>
            <w:tcBorders>
              <w:top w:val="single" w:sz="4" w:space="0" w:color="auto"/>
              <w:bottom w:val="single" w:sz="4" w:space="0" w:color="auto"/>
            </w:tcBorders>
            <w:shd w:val="clear" w:color="auto" w:fill="auto"/>
            <w:noWrap/>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2023 N</w:t>
            </w:r>
          </w:p>
        </w:tc>
        <w:tc>
          <w:tcPr>
            <w:tcW w:w="851" w:type="dxa"/>
            <w:tcBorders>
              <w:top w:val="single" w:sz="4" w:space="0" w:color="auto"/>
              <w:bottom w:val="single" w:sz="4" w:space="0" w:color="auto"/>
            </w:tcBorders>
            <w:shd w:val="clear" w:color="auto" w:fill="auto"/>
            <w:noWrap/>
            <w:vAlign w:val="bottom"/>
            <w:hideMark/>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2024 N</w:t>
            </w:r>
          </w:p>
        </w:tc>
      </w:tr>
      <w:tr w:rsidR="00AA17E3" w:rsidRPr="00E836C5" w:rsidTr="00AA17E3">
        <w:trPr>
          <w:trHeight w:val="262"/>
          <w:jc w:val="center"/>
        </w:trPr>
        <w:tc>
          <w:tcPr>
            <w:tcW w:w="2215" w:type="dxa"/>
            <w:tcBorders>
              <w:top w:val="single" w:sz="4" w:space="0" w:color="auto"/>
            </w:tcBorders>
            <w:shd w:val="clear" w:color="auto" w:fill="auto"/>
            <w:noWrap/>
            <w:vAlign w:val="center"/>
            <w:hideMark/>
          </w:tcPr>
          <w:p w:rsidR="00AA17E3" w:rsidRPr="00E836C5" w:rsidRDefault="00AA17E3" w:rsidP="00AA17E3">
            <w:pPr>
              <w:spacing w:after="0" w:line="240" w:lineRule="auto"/>
              <w:ind w:left="-70" w:firstLine="142"/>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MPRV SR</w:t>
            </w:r>
          </w:p>
        </w:tc>
        <w:tc>
          <w:tcPr>
            <w:tcW w:w="851" w:type="dxa"/>
            <w:tcBorders>
              <w:top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1 202 413</w:t>
            </w:r>
          </w:p>
        </w:tc>
        <w:tc>
          <w:tcPr>
            <w:tcW w:w="851" w:type="dxa"/>
            <w:tcBorders>
              <w:top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1 046 482</w:t>
            </w:r>
          </w:p>
        </w:tc>
        <w:tc>
          <w:tcPr>
            <w:tcW w:w="851" w:type="dxa"/>
            <w:tcBorders>
              <w:top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1 488 220</w:t>
            </w:r>
          </w:p>
        </w:tc>
        <w:tc>
          <w:tcPr>
            <w:tcW w:w="851" w:type="dxa"/>
            <w:tcBorders>
              <w:top w:val="single" w:sz="4" w:space="0" w:color="auto"/>
            </w:tcBorders>
            <w:shd w:val="clear" w:color="auto" w:fill="auto"/>
            <w:noWrap/>
            <w:vAlign w:val="center"/>
          </w:tcPr>
          <w:p w:rsidR="00AA17E3" w:rsidRPr="00E836C5" w:rsidRDefault="003D2EA0" w:rsidP="00AA17E3">
            <w:pPr>
              <w:spacing w:after="0" w:line="240" w:lineRule="auto"/>
              <w:ind w:left="-142" w:firstLine="142"/>
              <w:jc w:val="right"/>
              <w:rPr>
                <w:rFonts w:ascii="Times New Roman" w:eastAsia="Times New Roman" w:hAnsi="Times New Roman" w:cs="Times New Roman"/>
                <w:b/>
                <w:bCs/>
                <w:color w:val="000000"/>
                <w:sz w:val="16"/>
                <w:szCs w:val="16"/>
                <w:highlight w:val="yellow"/>
                <w:lang w:eastAsia="sk-SK"/>
              </w:rPr>
            </w:pPr>
            <w:r>
              <w:rPr>
                <w:rFonts w:ascii="Times New Roman" w:eastAsia="Times New Roman" w:hAnsi="Times New Roman" w:cs="Times New Roman"/>
                <w:b/>
                <w:bCs/>
                <w:color w:val="000000"/>
                <w:sz w:val="16"/>
                <w:szCs w:val="16"/>
                <w:lang w:eastAsia="sk-SK"/>
              </w:rPr>
              <w:t>909 659</w:t>
            </w:r>
          </w:p>
        </w:tc>
        <w:tc>
          <w:tcPr>
            <w:tcW w:w="851" w:type="dxa"/>
            <w:tcBorders>
              <w:top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1 213 521</w:t>
            </w:r>
          </w:p>
        </w:tc>
        <w:tc>
          <w:tcPr>
            <w:tcW w:w="851" w:type="dxa"/>
            <w:tcBorders>
              <w:top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1 444 076</w:t>
            </w:r>
          </w:p>
        </w:tc>
        <w:tc>
          <w:tcPr>
            <w:tcW w:w="851" w:type="dxa"/>
            <w:tcBorders>
              <w:top w:val="single" w:sz="4" w:space="0" w:color="auto"/>
            </w:tcBorders>
            <w:shd w:val="clear" w:color="auto" w:fill="auto"/>
            <w:noWrap/>
            <w:vAlign w:val="center"/>
          </w:tcPr>
          <w:p w:rsidR="00AA17E3" w:rsidRPr="00E836C5" w:rsidRDefault="00AA17E3" w:rsidP="00AA17E3">
            <w:pPr>
              <w:spacing w:after="0" w:line="240" w:lineRule="auto"/>
              <w:ind w:left="-142" w:right="-93" w:firstLine="142"/>
              <w:jc w:val="center"/>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 xml:space="preserve">   1 058 839</w:t>
            </w:r>
          </w:p>
        </w:tc>
      </w:tr>
      <w:tr w:rsidR="00AA17E3" w:rsidRPr="00E836C5" w:rsidTr="00AA17E3">
        <w:trPr>
          <w:trHeight w:val="262"/>
          <w:jc w:val="center"/>
        </w:trPr>
        <w:tc>
          <w:tcPr>
            <w:tcW w:w="2215" w:type="dxa"/>
            <w:shd w:val="clear" w:color="auto" w:fill="auto"/>
            <w:noWrap/>
            <w:vAlign w:val="center"/>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Priame platby</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490 648</w:t>
            </w:r>
          </w:p>
        </w:tc>
        <w:tc>
          <w:tcPr>
            <w:tcW w:w="851" w:type="dxa"/>
            <w:shd w:val="clear" w:color="auto" w:fill="auto"/>
            <w:noWrap/>
            <w:vAlign w:val="center"/>
          </w:tcPr>
          <w:p w:rsidR="00AA17E3" w:rsidRPr="00E836C5" w:rsidRDefault="003D2EA0"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447 930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408 468</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 xml:space="preserve">416 </w:t>
            </w:r>
            <w:r w:rsidR="003D2EA0">
              <w:rPr>
                <w:rFonts w:ascii="Times New Roman" w:eastAsia="Times New Roman" w:hAnsi="Times New Roman" w:cs="Times New Roman"/>
                <w:color w:val="000000"/>
                <w:sz w:val="16"/>
                <w:szCs w:val="16"/>
                <w:lang w:eastAsia="sk-SK"/>
              </w:rPr>
              <w:t>047</w:t>
            </w:r>
          </w:p>
        </w:tc>
        <w:tc>
          <w:tcPr>
            <w:tcW w:w="851" w:type="dxa"/>
            <w:tcBorders>
              <w:left w:val="nil"/>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416 034</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454 170</w:t>
            </w:r>
          </w:p>
        </w:tc>
        <w:tc>
          <w:tcPr>
            <w:tcW w:w="851" w:type="dxa"/>
            <w:shd w:val="clear" w:color="auto" w:fill="auto"/>
            <w:noWrap/>
            <w:vAlign w:val="center"/>
          </w:tcPr>
          <w:p w:rsidR="00AA17E3" w:rsidRPr="00E836C5" w:rsidRDefault="003D2EA0"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425 754</w:t>
            </w:r>
          </w:p>
        </w:tc>
      </w:tr>
      <w:tr w:rsidR="00AA17E3" w:rsidRPr="00E836C5" w:rsidTr="00AA17E3">
        <w:trPr>
          <w:trHeight w:val="262"/>
          <w:jc w:val="center"/>
        </w:trPr>
        <w:tc>
          <w:tcPr>
            <w:tcW w:w="2215" w:type="dxa"/>
            <w:shd w:val="clear" w:color="auto" w:fill="auto"/>
            <w:noWrap/>
            <w:vAlign w:val="center"/>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Rozvoj vidieka</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281 957</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266 613</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593 407</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239 022</w:t>
            </w:r>
          </w:p>
        </w:tc>
        <w:tc>
          <w:tcPr>
            <w:tcW w:w="851" w:type="dxa"/>
            <w:tcBorders>
              <w:left w:val="nil"/>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575 915</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768 329</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410 740</w:t>
            </w:r>
          </w:p>
        </w:tc>
      </w:tr>
      <w:tr w:rsidR="00AA17E3" w:rsidRPr="00E836C5" w:rsidTr="00AA17E3">
        <w:trPr>
          <w:trHeight w:val="262"/>
          <w:jc w:val="center"/>
        </w:trPr>
        <w:tc>
          <w:tcPr>
            <w:tcW w:w="2215" w:type="dxa"/>
            <w:shd w:val="clear" w:color="auto" w:fill="auto"/>
            <w:noWrap/>
            <w:vAlign w:val="center"/>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Rybné hospodárstvo</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615</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83</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2 623</w:t>
            </w:r>
          </w:p>
        </w:tc>
        <w:tc>
          <w:tcPr>
            <w:tcW w:w="851" w:type="dxa"/>
            <w:tcBorders>
              <w:left w:val="nil"/>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2 353</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2 353</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3 121</w:t>
            </w:r>
          </w:p>
        </w:tc>
      </w:tr>
      <w:tr w:rsidR="00AA17E3" w:rsidRPr="00E836C5" w:rsidTr="00AA17E3">
        <w:trPr>
          <w:trHeight w:val="262"/>
          <w:jc w:val="center"/>
        </w:trPr>
        <w:tc>
          <w:tcPr>
            <w:tcW w:w="2215" w:type="dxa"/>
            <w:shd w:val="clear" w:color="auto" w:fill="auto"/>
            <w:noWrap/>
            <w:vAlign w:val="center"/>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Trhovo-orientované výdavky</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16 662</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13 349</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 xml:space="preserve">45 448 </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33 155</w:t>
            </w:r>
          </w:p>
        </w:tc>
        <w:tc>
          <w:tcPr>
            <w:tcW w:w="851" w:type="dxa"/>
            <w:tcBorders>
              <w:left w:val="nil"/>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39 000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39 000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39 000</w:t>
            </w:r>
          </w:p>
        </w:tc>
      </w:tr>
      <w:tr w:rsidR="00AA17E3" w:rsidRPr="00E836C5" w:rsidTr="00AA17E3">
        <w:trPr>
          <w:trHeight w:val="262"/>
          <w:jc w:val="center"/>
        </w:trPr>
        <w:tc>
          <w:tcPr>
            <w:tcW w:w="2215" w:type="dxa"/>
            <w:shd w:val="clear" w:color="auto" w:fill="auto"/>
            <w:noWrap/>
            <w:vAlign w:val="center"/>
            <w:hideMark/>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Štátna pomoc a národné podpory</w:t>
            </w:r>
          </w:p>
        </w:tc>
        <w:tc>
          <w:tcPr>
            <w:tcW w:w="851" w:type="dxa"/>
            <w:shd w:val="clear" w:color="auto" w:fill="auto"/>
            <w:noWrap/>
            <w:vAlign w:val="center"/>
            <w:hideMark/>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49 756</w:t>
            </w:r>
          </w:p>
        </w:tc>
        <w:tc>
          <w:tcPr>
            <w:tcW w:w="851" w:type="dxa"/>
            <w:shd w:val="clear" w:color="auto" w:fill="auto"/>
            <w:noWrap/>
            <w:vAlign w:val="center"/>
            <w:hideMark/>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41 867</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56 308</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68 942</w:t>
            </w:r>
          </w:p>
        </w:tc>
        <w:tc>
          <w:tcPr>
            <w:tcW w:w="851" w:type="dxa"/>
            <w:tcBorders>
              <w:left w:val="nil"/>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65 500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65 500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65 500</w:t>
            </w:r>
          </w:p>
        </w:tc>
      </w:tr>
      <w:tr w:rsidR="00AA17E3" w:rsidRPr="00E836C5" w:rsidTr="00AA17E3">
        <w:trPr>
          <w:trHeight w:val="262"/>
          <w:jc w:val="center"/>
        </w:trPr>
        <w:tc>
          <w:tcPr>
            <w:tcW w:w="2215" w:type="dxa"/>
            <w:shd w:val="clear" w:color="auto" w:fill="auto"/>
            <w:noWrap/>
            <w:vAlign w:val="center"/>
            <w:hideMark/>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Regionálny rozvoj</w:t>
            </w:r>
          </w:p>
        </w:tc>
        <w:tc>
          <w:tcPr>
            <w:tcW w:w="851" w:type="dxa"/>
            <w:shd w:val="clear" w:color="auto" w:fill="auto"/>
            <w:noWrap/>
            <w:vAlign w:val="center"/>
            <w:hideMark/>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215 746</w:t>
            </w:r>
          </w:p>
        </w:tc>
        <w:tc>
          <w:tcPr>
            <w:tcW w:w="851" w:type="dxa"/>
            <w:shd w:val="clear" w:color="auto" w:fill="auto"/>
            <w:noWrap/>
            <w:vAlign w:val="center"/>
            <w:hideMark/>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130 973</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260 327</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0</w:t>
            </w:r>
          </w:p>
        </w:tc>
        <w:tc>
          <w:tcPr>
            <w:tcW w:w="851" w:type="dxa"/>
            <w:tcBorders>
              <w:left w:val="nil"/>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0</w:t>
            </w:r>
          </w:p>
        </w:tc>
        <w:tc>
          <w:tcPr>
            <w:tcW w:w="851" w:type="dxa"/>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0</w:t>
            </w:r>
          </w:p>
        </w:tc>
      </w:tr>
      <w:tr w:rsidR="00AA17E3" w:rsidRPr="00E836C5" w:rsidTr="00AA17E3">
        <w:trPr>
          <w:trHeight w:val="262"/>
          <w:jc w:val="center"/>
        </w:trPr>
        <w:tc>
          <w:tcPr>
            <w:tcW w:w="2215" w:type="dxa"/>
            <w:tcBorders>
              <w:bottom w:val="single" w:sz="4" w:space="0" w:color="auto"/>
            </w:tcBorders>
            <w:shd w:val="clear" w:color="auto" w:fill="auto"/>
            <w:noWrap/>
            <w:vAlign w:val="center"/>
            <w:hideMark/>
          </w:tcPr>
          <w:p w:rsidR="00AA17E3" w:rsidRPr="00E836C5" w:rsidRDefault="00AA17E3" w:rsidP="00AA17E3">
            <w:pPr>
              <w:spacing w:after="0" w:line="240" w:lineRule="auto"/>
              <w:ind w:left="-70" w:firstLine="14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Inštitucionálna podpora</w:t>
            </w:r>
          </w:p>
        </w:tc>
        <w:tc>
          <w:tcPr>
            <w:tcW w:w="851" w:type="dxa"/>
            <w:tcBorders>
              <w:bottom w:val="single" w:sz="4" w:space="0" w:color="auto"/>
            </w:tcBorders>
            <w:shd w:val="clear" w:color="auto" w:fill="auto"/>
            <w:noWrap/>
            <w:vAlign w:val="center"/>
            <w:hideMark/>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147 030</w:t>
            </w:r>
          </w:p>
        </w:tc>
        <w:tc>
          <w:tcPr>
            <w:tcW w:w="851" w:type="dxa"/>
            <w:tcBorders>
              <w:bottom w:val="single" w:sz="4" w:space="0" w:color="auto"/>
            </w:tcBorders>
            <w:shd w:val="clear" w:color="auto" w:fill="auto"/>
            <w:noWrap/>
            <w:vAlign w:val="center"/>
            <w:hideMark/>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145 667</w:t>
            </w:r>
          </w:p>
        </w:tc>
        <w:tc>
          <w:tcPr>
            <w:tcW w:w="851" w:type="dxa"/>
            <w:tcBorders>
              <w:bottom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124 262</w:t>
            </w:r>
          </w:p>
        </w:tc>
        <w:tc>
          <w:tcPr>
            <w:tcW w:w="851" w:type="dxa"/>
            <w:tcBorders>
              <w:bottom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149 870</w:t>
            </w:r>
          </w:p>
        </w:tc>
        <w:tc>
          <w:tcPr>
            <w:tcW w:w="851" w:type="dxa"/>
            <w:tcBorders>
              <w:left w:val="nil"/>
              <w:bottom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114 719</w:t>
            </w:r>
          </w:p>
        </w:tc>
        <w:tc>
          <w:tcPr>
            <w:tcW w:w="851" w:type="dxa"/>
            <w:tcBorders>
              <w:bottom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114 724</w:t>
            </w:r>
          </w:p>
        </w:tc>
        <w:tc>
          <w:tcPr>
            <w:tcW w:w="851" w:type="dxa"/>
            <w:tcBorders>
              <w:bottom w:val="single" w:sz="4" w:space="0" w:color="auto"/>
            </w:tcBorders>
            <w:shd w:val="clear" w:color="auto" w:fill="auto"/>
            <w:noWrap/>
            <w:vAlign w:val="center"/>
          </w:tcPr>
          <w:p w:rsidR="00AA17E3" w:rsidRPr="00E836C5" w:rsidRDefault="00AA17E3" w:rsidP="00AA17E3">
            <w:pPr>
              <w:spacing w:after="0" w:line="240" w:lineRule="auto"/>
              <w:ind w:left="-142" w:firstLine="142"/>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114 724</w:t>
            </w:r>
          </w:p>
        </w:tc>
      </w:tr>
    </w:tbl>
    <w:p w:rsidR="00AA17E3" w:rsidRPr="00E836C5" w:rsidRDefault="00AA17E3" w:rsidP="00AA17E3">
      <w:pPr>
        <w:spacing w:after="0" w:line="240" w:lineRule="auto"/>
        <w:ind w:left="-142" w:firstLine="142"/>
        <w:jc w:val="right"/>
        <w:rPr>
          <w:rFonts w:ascii="Times New Roman" w:hAnsi="Times New Roman" w:cs="Times New Roman"/>
          <w:i/>
          <w:sz w:val="16"/>
          <w:szCs w:val="16"/>
        </w:rPr>
      </w:pPr>
      <w:r w:rsidRPr="00E836C5">
        <w:rPr>
          <w:rFonts w:ascii="Times New Roman" w:hAnsi="Times New Roman" w:cs="Times New Roman"/>
          <w:i/>
          <w:sz w:val="16"/>
          <w:szCs w:val="16"/>
        </w:rPr>
        <w:t>zdroj: MF SR</w:t>
      </w:r>
    </w:p>
    <w:p w:rsidR="00AA17E3" w:rsidRPr="00E836C5" w:rsidRDefault="00AA17E3" w:rsidP="00AA17E3">
      <w:pPr>
        <w:spacing w:after="0" w:line="240" w:lineRule="auto"/>
        <w:ind w:left="720"/>
        <w:contextualSpacing/>
        <w:rPr>
          <w:rFonts w:ascii="Times New Roman" w:hAnsi="Times New Roman" w:cs="Times New Roman"/>
          <w:sz w:val="16"/>
          <w:szCs w:val="16"/>
        </w:rPr>
      </w:pP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Priame platby</w:t>
      </w:r>
    </w:p>
    <w:p w:rsidR="00AA17E3" w:rsidRPr="00E836C5" w:rsidRDefault="00AA17E3" w:rsidP="00AA17E3">
      <w:pPr>
        <w:spacing w:after="0" w:line="240" w:lineRule="auto"/>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Priame platby ako jeden z nástrojov Spoločnej poľnohospodárskej politiky Európskej únie predstavujú priamu finančnú podporu a stabilizáciu príjmov poľnohospodárov, zabezpečujú obhospodarovanie pôdy, udržanie obyvateľstva na vidieku a produkčnú funkciu poľnohospodárstva. Realizujú sa formou bežných transferov subjektom priamo hospodáriacim na pôde. V súlade s programovým vyhlásením vlády a s cieľom podporiť malých poľnohospodárov, ktorí sú pre agrorezort prioritou, bola zavedená redistributívna platba a na rok 2022 navrhnutý vyšší limit priamych platieb v objeme 416 mil. eur. Z toho prostriedky EÚ v sume 396 mil. eur a v rámci spolufinancovania prostriedky v sume 20 mil. eur vo forme prechodnej vnútroštátnej pomoci.</w:t>
      </w:r>
    </w:p>
    <w:p w:rsidR="00AA17E3" w:rsidRPr="00E836C5" w:rsidRDefault="00AA17E3" w:rsidP="00AA17E3">
      <w:pPr>
        <w:spacing w:after="0" w:line="240" w:lineRule="auto"/>
        <w:jc w:val="both"/>
        <w:rPr>
          <w:rFonts w:ascii="Times New Roman" w:hAnsi="Times New Roman" w:cs="Times New Roman"/>
          <w:sz w:val="24"/>
          <w:szCs w:val="24"/>
          <w:highlight w:val="yellow"/>
        </w:rPr>
      </w:pP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Rozvoj vidieka</w:t>
      </w:r>
    </w:p>
    <w:p w:rsidR="00AA17E3" w:rsidRPr="00E836C5" w:rsidRDefault="00AA17E3" w:rsidP="00AA17E3">
      <w:pPr>
        <w:spacing w:after="0" w:line="240" w:lineRule="auto"/>
      </w:pPr>
    </w:p>
    <w:p w:rsidR="00AA17E3" w:rsidRPr="00E836C5" w:rsidRDefault="00AA17E3" w:rsidP="00AA17E3">
      <w:pPr>
        <w:spacing w:after="0" w:line="240" w:lineRule="auto"/>
        <w:contextualSpacing/>
        <w:jc w:val="both"/>
        <w:rPr>
          <w:rFonts w:ascii="Times New Roman" w:hAnsi="Times New Roman" w:cs="Times New Roman"/>
          <w:sz w:val="24"/>
          <w:szCs w:val="24"/>
        </w:rPr>
      </w:pPr>
      <w:r w:rsidRPr="00E836C5">
        <w:rPr>
          <w:rFonts w:ascii="Times New Roman" w:hAnsi="Times New Roman" w:cs="Times New Roman"/>
          <w:sz w:val="24"/>
          <w:szCs w:val="24"/>
        </w:rPr>
        <w:t xml:space="preserve">Cieľom Programu rozvoja vidieka je zvýšenie konkurencieschopnosti poľnohospodárstva, lesníctva a potravinárstva, vyvážený územný rozvoj vidieka vrátane tvorby a udržania zamestnanosti a ochrana životného prostredia. </w:t>
      </w:r>
    </w:p>
    <w:p w:rsidR="00AA17E3" w:rsidRPr="00E836C5" w:rsidRDefault="00AA17E3" w:rsidP="00AA17E3">
      <w:pPr>
        <w:spacing w:after="0" w:line="240" w:lineRule="auto"/>
        <w:contextualSpacing/>
        <w:jc w:val="both"/>
        <w:rPr>
          <w:rFonts w:ascii="Times New Roman" w:hAnsi="Times New Roman" w:cs="Times New Roman"/>
          <w:sz w:val="24"/>
          <w:szCs w:val="24"/>
        </w:rPr>
      </w:pPr>
    </w:p>
    <w:p w:rsidR="00AA17E3" w:rsidRPr="00E836C5" w:rsidRDefault="00AA17E3" w:rsidP="00AA17E3">
      <w:pPr>
        <w:spacing w:after="0" w:line="240" w:lineRule="auto"/>
        <w:contextualSpacing/>
        <w:jc w:val="both"/>
        <w:rPr>
          <w:rFonts w:ascii="Times New Roman" w:hAnsi="Times New Roman" w:cs="Times New Roman"/>
          <w:sz w:val="24"/>
          <w:szCs w:val="24"/>
        </w:rPr>
      </w:pPr>
      <w:r w:rsidRPr="00E836C5">
        <w:rPr>
          <w:rFonts w:ascii="Times New Roman" w:hAnsi="Times New Roman" w:cs="Times New Roman"/>
          <w:sz w:val="24"/>
          <w:szCs w:val="24"/>
        </w:rPr>
        <w:t xml:space="preserve">Celkový objem prostriedkov pre Program rozvoja vidieka je v roku 2022 rozpočtovaný v sume 576 mil. eur, z toho prostriedky EÚ v sume 444 mil. eur a prostriedky na spolufinancovanie v sume 132 mil. eur. Prostriedky sú určené najmä na financovanie opatrení, ktorými sú sceľovanie vlastníctva pôdy, nástroje na riadenie rizík pre poľnohospodárov, obnova hydromeliorizačných zariadení, podpora mladých poľnohospodárov, podpora environmentálnych cieľov, ekologického hospodárstva a riešenie nepriaznivých hospodárskych následkov krízy COVID-19 v oblasti poľnohospodárstva a rozvoja vidieka. </w:t>
      </w:r>
    </w:p>
    <w:p w:rsidR="00AA17E3" w:rsidRPr="00E836C5" w:rsidRDefault="00AA17E3" w:rsidP="00AA17E3">
      <w:pPr>
        <w:spacing w:after="0" w:line="240" w:lineRule="auto"/>
        <w:contextualSpacing/>
        <w:jc w:val="both"/>
        <w:rPr>
          <w:rFonts w:ascii="Times New Roman" w:hAnsi="Times New Roman" w:cs="Times New Roman"/>
          <w:sz w:val="24"/>
          <w:szCs w:val="24"/>
          <w:highlight w:val="yellow"/>
        </w:rPr>
      </w:pP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Rybné hospodárstvo</w:t>
      </w:r>
    </w:p>
    <w:p w:rsidR="00AA17E3" w:rsidRPr="00E836C5" w:rsidRDefault="00AA17E3" w:rsidP="00AA17E3">
      <w:pPr>
        <w:spacing w:after="0" w:line="240" w:lineRule="auto"/>
        <w:contextualSpacing/>
        <w:jc w:val="both"/>
        <w:rPr>
          <w:rFonts w:ascii="Times New Roman" w:hAnsi="Times New Roman" w:cs="Times New Roman"/>
          <w:b/>
          <w:color w:val="5B9BD5" w:themeColor="accent1"/>
          <w:sz w:val="24"/>
          <w:szCs w:val="24"/>
          <w:highlight w:val="yellow"/>
        </w:rPr>
      </w:pPr>
    </w:p>
    <w:p w:rsidR="00AA17E3" w:rsidRPr="00E836C5" w:rsidRDefault="00AA17E3" w:rsidP="00AA17E3">
      <w:pPr>
        <w:spacing w:after="0" w:line="240" w:lineRule="auto"/>
        <w:contextualSpacing/>
        <w:jc w:val="both"/>
        <w:rPr>
          <w:rFonts w:ascii="Times New Roman" w:hAnsi="Times New Roman" w:cs="Times New Roman"/>
          <w:sz w:val="24"/>
          <w:szCs w:val="24"/>
        </w:rPr>
      </w:pPr>
      <w:r w:rsidRPr="00E836C5">
        <w:rPr>
          <w:rFonts w:ascii="Times New Roman" w:hAnsi="Times New Roman" w:cs="Times New Roman"/>
          <w:sz w:val="24"/>
          <w:szCs w:val="24"/>
        </w:rPr>
        <w:t>Cieľom programu Rybné hospodárstvo je zabezpečiť trvalo udržateľný rozvoj odvetvia rybné hospodárstvo, rybolovných oblastí a vnútrozemského rybolovu v súlade so zásadami Spoločnej politiky rybného hospodárstva. Finančné prostriedky z Námorného a rybárskeho fondu sú určené na modernizáciu existujúcich a výstavbu nových rybochovných zariadení (rybníkov), na podporu investícií pre získavanie nových trhov, propagáciu sektora rybného hospodárstva, na podporu vykonávania kontrolných činností a presadzovanie požiadaviek v súlade                       s prioritami EÚ a na projekty zamerané na zvýšenie spotreby najmä sladkovodných druhov rýb a zvýšenie povedomia verejnosti o produktoch sladkovodnej akvakultúry.</w:t>
      </w:r>
    </w:p>
    <w:p w:rsidR="00AA17E3" w:rsidRPr="00E836C5" w:rsidRDefault="00AA17E3" w:rsidP="00AA17E3">
      <w:pPr>
        <w:spacing w:after="0" w:line="240" w:lineRule="auto"/>
        <w:contextualSpacing/>
        <w:jc w:val="both"/>
        <w:rPr>
          <w:rFonts w:ascii="Times New Roman" w:hAnsi="Times New Roman" w:cs="Times New Roman"/>
          <w:sz w:val="24"/>
          <w:szCs w:val="24"/>
        </w:rPr>
      </w:pPr>
    </w:p>
    <w:p w:rsidR="00AA17E3" w:rsidRPr="00E836C5" w:rsidRDefault="00AA17E3" w:rsidP="00AA17E3">
      <w:pPr>
        <w:spacing w:after="0" w:line="240" w:lineRule="auto"/>
        <w:contextualSpacing/>
        <w:jc w:val="both"/>
        <w:rPr>
          <w:rFonts w:ascii="Times New Roman" w:hAnsi="Times New Roman" w:cs="Times New Roman"/>
          <w:sz w:val="24"/>
          <w:szCs w:val="24"/>
        </w:rPr>
      </w:pPr>
      <w:r w:rsidRPr="00E836C5">
        <w:rPr>
          <w:rFonts w:ascii="Times New Roman" w:hAnsi="Times New Roman" w:cs="Times New Roman"/>
          <w:sz w:val="24"/>
          <w:szCs w:val="24"/>
        </w:rPr>
        <w:t>Prostriedky pre program Rybné hospodárstvo sú s uplatnením metodiky zohľadnenia odhadu nevyčerpaných finančných prostriedkov z predchádzajúcich období a ich následného prevodu do rozpočtu v roku 2022 rozpočtované vo výške 2,35 mil. eur.</w:t>
      </w:r>
    </w:p>
    <w:p w:rsidR="00AA17E3" w:rsidRPr="00E836C5" w:rsidRDefault="00AA17E3" w:rsidP="00AA17E3">
      <w:pPr>
        <w:spacing w:after="0" w:line="240" w:lineRule="auto"/>
        <w:contextualSpacing/>
        <w:jc w:val="both"/>
        <w:rPr>
          <w:rFonts w:ascii="Times New Roman" w:hAnsi="Times New Roman" w:cs="Times New Roman"/>
          <w:sz w:val="24"/>
          <w:szCs w:val="24"/>
          <w:highlight w:val="yellow"/>
        </w:rPr>
      </w:pP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Trhovo-orientované výdavky</w:t>
      </w:r>
    </w:p>
    <w:p w:rsidR="00AA17E3" w:rsidRPr="00E836C5" w:rsidRDefault="00AA17E3" w:rsidP="00AA17E3">
      <w:pPr>
        <w:spacing w:after="0" w:line="240" w:lineRule="auto"/>
        <w:rPr>
          <w:highlight w:val="yellow"/>
        </w:rPr>
      </w:pPr>
    </w:p>
    <w:p w:rsidR="00AA17E3" w:rsidRPr="00E836C5" w:rsidRDefault="00AA17E3" w:rsidP="00AA17E3">
      <w:pPr>
        <w:spacing w:after="0" w:line="240" w:lineRule="auto"/>
        <w:contextualSpacing/>
        <w:jc w:val="both"/>
        <w:rPr>
          <w:rFonts w:ascii="Times New Roman" w:hAnsi="Times New Roman" w:cs="Times New Roman"/>
          <w:sz w:val="24"/>
          <w:szCs w:val="24"/>
        </w:rPr>
      </w:pPr>
      <w:r w:rsidRPr="00E836C5">
        <w:rPr>
          <w:rFonts w:ascii="Times New Roman" w:hAnsi="Times New Roman" w:cs="Times New Roman"/>
          <w:sz w:val="24"/>
          <w:szCs w:val="24"/>
        </w:rPr>
        <w:t>Trhovo orientované výdavky sú zamerané na stabilizáciu poľnohospodárskych trhov a realizáciu rôznych podporných programov v sektore rastlinnej a živočíšnej výroby. Sú vyplácané ako forma podpory napr. vinohradnícko-vinárskeho sektora a sektora ovocia a zeleniny, podpory spotreby vybraných komodít – program školské mlieko a školské ovocie, včelárskeho programu.</w:t>
      </w:r>
    </w:p>
    <w:p w:rsidR="00AA17E3" w:rsidRPr="00E836C5" w:rsidRDefault="00AA17E3" w:rsidP="00AA17E3">
      <w:pPr>
        <w:spacing w:after="0" w:line="240" w:lineRule="auto"/>
        <w:contextualSpacing/>
        <w:jc w:val="both"/>
        <w:rPr>
          <w:rFonts w:ascii="Times New Roman" w:hAnsi="Times New Roman" w:cs="Times New Roman"/>
          <w:sz w:val="24"/>
          <w:szCs w:val="24"/>
          <w:highlight w:val="yellow"/>
        </w:rPr>
      </w:pPr>
    </w:p>
    <w:p w:rsidR="00AA17E3" w:rsidRPr="00E836C5" w:rsidRDefault="00AA17E3" w:rsidP="00AA17E3">
      <w:pPr>
        <w:spacing w:after="0" w:line="240" w:lineRule="auto"/>
        <w:contextualSpacing/>
        <w:jc w:val="both"/>
        <w:rPr>
          <w:rFonts w:ascii="Times New Roman" w:hAnsi="Times New Roman" w:cs="Times New Roman"/>
          <w:sz w:val="24"/>
          <w:szCs w:val="24"/>
          <w:highlight w:val="yellow"/>
        </w:rPr>
      </w:pPr>
      <w:r w:rsidRPr="00E836C5">
        <w:rPr>
          <w:rFonts w:ascii="Times New Roman" w:hAnsi="Times New Roman" w:cs="Times New Roman"/>
          <w:sz w:val="24"/>
          <w:szCs w:val="24"/>
        </w:rPr>
        <w:t xml:space="preserve">Čerpanie trhovo orientovaných výdavkov reaguje na meniacu sa situáciu na trhu s poľnohospodárskymi a potravinárskymi výrobkami a závisí od stanovených finančných stropov výdavkov a počtu podaných žiadostí v rámci jednotlivých opatrení. Prostriedky pre trhovo orientované výdavky sú v roku 2022 rozpočtované vo výške 39,0 mil. eur, z toho EÚ prostriedky v sume 15,0 mil. eur a prostriedky na spolufinancovanie v sume 24,0 mil. eur. </w:t>
      </w:r>
    </w:p>
    <w:p w:rsidR="00AA17E3" w:rsidRPr="00E836C5" w:rsidRDefault="00AA17E3" w:rsidP="00AA17E3">
      <w:pPr>
        <w:spacing w:after="0" w:line="240" w:lineRule="auto"/>
        <w:contextualSpacing/>
        <w:jc w:val="both"/>
        <w:rPr>
          <w:rFonts w:ascii="Times New Roman" w:hAnsi="Times New Roman" w:cs="Times New Roman"/>
          <w:sz w:val="24"/>
          <w:szCs w:val="24"/>
          <w:highlight w:val="yellow"/>
        </w:rPr>
      </w:pP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Štátna pomoc a národné podpory</w:t>
      </w:r>
    </w:p>
    <w:p w:rsidR="00AA17E3" w:rsidRPr="00E836C5" w:rsidRDefault="00AA17E3" w:rsidP="00AA17E3">
      <w:pPr>
        <w:spacing w:after="0" w:line="240" w:lineRule="auto"/>
        <w:rPr>
          <w:highlight w:val="yellow"/>
        </w:rPr>
      </w:pPr>
    </w:p>
    <w:p w:rsidR="00AA17E3" w:rsidRPr="00E836C5" w:rsidRDefault="00AA17E3" w:rsidP="00AA17E3">
      <w:pPr>
        <w:spacing w:after="0" w:line="240" w:lineRule="auto"/>
        <w:contextualSpacing/>
        <w:jc w:val="both"/>
        <w:rPr>
          <w:rFonts w:ascii="Times New Roman" w:hAnsi="Times New Roman" w:cs="Times New Roman"/>
          <w:sz w:val="24"/>
          <w:szCs w:val="24"/>
        </w:rPr>
      </w:pPr>
      <w:r w:rsidRPr="00E836C5">
        <w:rPr>
          <w:rFonts w:ascii="Times New Roman" w:hAnsi="Times New Roman" w:cs="Times New Roman"/>
          <w:sz w:val="24"/>
          <w:szCs w:val="24"/>
        </w:rPr>
        <w:t>Európska únia umožňuje poskytovať podnikateľským subjektom pôsobiacim v poľnohospodárskej prvovýrobe, potravinárstve a lesnom a rybnom hospodárstve štátnu pomoc z vlastných zdrojov členského štátu v súlade s pravidlami EÚ o štátnej pomoci. MPRV SR poskytuje štátnu pomoc v súlade s Výnosom MPRV SR č. 660/2014-100 o poskytovaní podpory v pôdohospodárstve, potravinárstve, lesnom a rybnom hospodárstve prostredníctvom Pôdohospodárskej platobnej agentúry na základe vypísaných výziev k schváleným a platným schémam štátnej pomoci. Všeobecne ide o dotácie, ktoré sa poskytujú priamou formou, t.</w:t>
      </w:r>
      <w:r w:rsidR="00110579">
        <w:rPr>
          <w:rFonts w:ascii="Times New Roman" w:hAnsi="Times New Roman" w:cs="Times New Roman"/>
          <w:sz w:val="24"/>
          <w:szCs w:val="24"/>
        </w:rPr>
        <w:t xml:space="preserve"> </w:t>
      </w:r>
      <w:r w:rsidRPr="00E836C5">
        <w:rPr>
          <w:rFonts w:ascii="Times New Roman" w:hAnsi="Times New Roman" w:cs="Times New Roman"/>
          <w:sz w:val="24"/>
          <w:szCs w:val="24"/>
        </w:rPr>
        <w:t xml:space="preserve">j. poskytnutím nenávratných prostriedkov podnikateľským subjektom. </w:t>
      </w:r>
    </w:p>
    <w:p w:rsidR="00AA17E3" w:rsidRPr="00E836C5" w:rsidRDefault="00AA17E3" w:rsidP="00AA17E3">
      <w:pPr>
        <w:spacing w:after="0" w:line="240" w:lineRule="auto"/>
        <w:contextualSpacing/>
        <w:jc w:val="both"/>
        <w:rPr>
          <w:rFonts w:ascii="Times New Roman" w:hAnsi="Times New Roman" w:cs="Times New Roman"/>
          <w:sz w:val="24"/>
          <w:szCs w:val="24"/>
          <w:highlight w:val="yellow"/>
        </w:rPr>
      </w:pPr>
    </w:p>
    <w:p w:rsidR="00AA17E3" w:rsidRPr="00E836C5" w:rsidRDefault="00AA17E3" w:rsidP="00AA17E3">
      <w:pPr>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V roku 2022 sú na účel podpory pôdohospodárstva formou štátnej pomoci rozpočtované prostriedky v sume 57,5 mil. eur. Z toho 30 mil. eur na poskytovanie pomoci vo forme úľav na environmentálnych daniach a 27,5 mil. eur najmä na platby poistného v poľnohospodárskej prvovýrobe, na odstraňovanie a likvidáciu mŕtvych zvierat, na poskytovanie podpory v lesnom hospodárstve na plnenie mimoprodukčných funkcií lesov podľa schémy minimálnej pomoci a na ďalšie úlohy súvisiace s podporou pôdohospodárstva. </w:t>
      </w:r>
    </w:p>
    <w:p w:rsidR="00AA17E3" w:rsidRPr="00E836C5" w:rsidRDefault="00AA17E3" w:rsidP="00AA17E3">
      <w:pPr>
        <w:spacing w:after="0" w:line="240" w:lineRule="auto"/>
        <w:jc w:val="both"/>
        <w:rPr>
          <w:rFonts w:ascii="Times New Roman" w:hAnsi="Times New Roman" w:cs="Times New Roman"/>
          <w:sz w:val="24"/>
          <w:szCs w:val="24"/>
        </w:rPr>
      </w:pPr>
    </w:p>
    <w:p w:rsidR="00AA17E3" w:rsidRPr="00E836C5" w:rsidRDefault="00AA17E3" w:rsidP="00AA17E3">
      <w:pPr>
        <w:spacing w:after="0" w:line="240" w:lineRule="auto"/>
        <w:jc w:val="both"/>
        <w:rPr>
          <w:color w:val="000000"/>
          <w:highlight w:val="yellow"/>
        </w:rPr>
      </w:pPr>
      <w:r w:rsidRPr="00E836C5">
        <w:rPr>
          <w:rFonts w:ascii="Times New Roman" w:hAnsi="Times New Roman" w:cs="Times New Roman"/>
          <w:sz w:val="24"/>
          <w:szCs w:val="24"/>
        </w:rPr>
        <w:t xml:space="preserve">Na národné podpory sú rozpočtované prostriedky vo výške 8,00 mil. eur. Hlavnými oblasťami dotácie sú chránený chov plemien koní, údržba a prevádzka hydromelioračného majetku vo vlastníctve štátu, starostlivosť o drobné vodné toky a preventívne opatrenia pred povodňami. Prostriedky sú smerované i k jednotlivcom a neziskovým právnickým osobám, občianskym združeniam a nadáciám v rámci poľnohospodárstva, potravinárstva, lesníctva, poľovníctva a rozvoja vidieka. </w:t>
      </w:r>
    </w:p>
    <w:p w:rsidR="00AA17E3" w:rsidRPr="00E836C5" w:rsidRDefault="00AA17E3" w:rsidP="00AA17E3">
      <w:pPr>
        <w:spacing w:after="0" w:line="240" w:lineRule="auto"/>
        <w:jc w:val="both"/>
        <w:rPr>
          <w:color w:val="000000"/>
          <w:highlight w:val="yellow"/>
        </w:rPr>
      </w:pP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Administratíva a iné výdavky</w:t>
      </w:r>
    </w:p>
    <w:p w:rsidR="00AA17E3" w:rsidRPr="00E836C5" w:rsidRDefault="00AA17E3" w:rsidP="00AA17E3">
      <w:pPr>
        <w:spacing w:after="0" w:line="240" w:lineRule="auto"/>
        <w:contextualSpacing/>
        <w:jc w:val="both"/>
        <w:rPr>
          <w:rFonts w:ascii="Times New Roman" w:hAnsi="Times New Roman" w:cs="Times New Roman"/>
          <w:b/>
          <w:color w:val="5B9BD5" w:themeColor="accent1"/>
          <w:sz w:val="24"/>
          <w:szCs w:val="24"/>
        </w:rPr>
      </w:pPr>
    </w:p>
    <w:p w:rsidR="00AA17E3" w:rsidRPr="00E836C5" w:rsidRDefault="00AA17E3" w:rsidP="00AA17E3">
      <w:pPr>
        <w:autoSpaceDE w:val="0"/>
        <w:autoSpaceDN w:val="0"/>
        <w:adjustRightInd w:val="0"/>
        <w:spacing w:after="0" w:line="240" w:lineRule="auto"/>
        <w:jc w:val="both"/>
      </w:pPr>
      <w:r w:rsidRPr="00E836C5">
        <w:rPr>
          <w:rFonts w:ascii="Times New Roman" w:hAnsi="Times New Roman" w:cs="Times New Roman"/>
          <w:sz w:val="24"/>
          <w:szCs w:val="24"/>
        </w:rPr>
        <w:t xml:space="preserve">Výdavky na inštitucionálnu podporu v sume 115 mil. eur sú určené </w:t>
      </w:r>
      <w:r w:rsidRPr="00E836C5">
        <w:rPr>
          <w:rFonts w:ascii="Times New Roman" w:hAnsi="Times New Roman" w:cs="Times New Roman"/>
          <w:sz w:val="24"/>
          <w:szCs w:val="24"/>
        </w:rPr>
        <w:br/>
        <w:t>na administráciu podporných schém, koordináciu vedecko-výskumnej činnosti a zabezpečenie plnenia úloh 4 rozpočtových a 7 príspevkových organizácií spadajúcich do pôsobnosti MPRV SR. Naďalej sú v rozpočtoch organizácií rezortu MPRV SR zabezpečené prostriedky na úlohy súvisiace s podpor</w:t>
      </w:r>
      <w:r w:rsidR="00110579">
        <w:rPr>
          <w:rFonts w:ascii="Times New Roman" w:hAnsi="Times New Roman" w:cs="Times New Roman"/>
          <w:sz w:val="24"/>
          <w:szCs w:val="24"/>
        </w:rPr>
        <w:t>o</w:t>
      </w:r>
      <w:r w:rsidRPr="00E836C5">
        <w:rPr>
          <w:rFonts w:ascii="Times New Roman" w:hAnsi="Times New Roman" w:cs="Times New Roman"/>
          <w:sz w:val="24"/>
          <w:szCs w:val="24"/>
        </w:rPr>
        <w:t>u pôdohospodárstva v objeme 14,5 mil. eur určené na rôzne typy podpôr, ako</w:t>
      </w:r>
      <w:r w:rsidR="009224A5">
        <w:rPr>
          <w:rFonts w:ascii="Times New Roman" w:hAnsi="Times New Roman" w:cs="Times New Roman"/>
          <w:sz w:val="24"/>
          <w:szCs w:val="24"/>
        </w:rPr>
        <w:t>,</w:t>
      </w:r>
      <w:r w:rsidRPr="00E836C5">
        <w:rPr>
          <w:rFonts w:ascii="Times New Roman" w:hAnsi="Times New Roman" w:cs="Times New Roman"/>
          <w:sz w:val="24"/>
          <w:szCs w:val="24"/>
        </w:rPr>
        <w:t xml:space="preserve"> napr. podpora udržateľného lesného hospodárstva, potravinovej bezpečnosti, zdravia a ochrany zvierat a rastlín, veterinárnej prevencie a eradikácie chorôb, fytosanitárne kontroly, konkurencieschopnosti poľnohospodárstva a potravinárstva a ďalších priorít rezortu.</w:t>
      </w:r>
      <w:r w:rsidRPr="00E836C5">
        <w:t xml:space="preserve"> </w:t>
      </w: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highlight w:val="yellow"/>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rPr>
      </w:pPr>
      <w:r w:rsidRPr="00E836C5">
        <w:rPr>
          <w:rFonts w:ascii="Times New Roman" w:hAnsi="Times New Roman" w:cs="Times New Roman"/>
          <w:color w:val="000000"/>
          <w:sz w:val="24"/>
          <w:szCs w:val="24"/>
        </w:rPr>
        <w:t xml:space="preserve">Úrad MPRV SR v oblasti tovarov a služieb rozpočtuje aj dotačné tituly, pri ktorých sú dotačné schémy v aktuálne prebiehajúcom legislatívnom procese, ako aj viaceré vecné tituly v oblasti pôdohospodárstva a potravinárstva, ktoré sa procesujú na základe zmluvných vzťahov. Tieto prostriedky sú  následne uvoľňované organizáciám v priebehu roka. V roku 2022 výška týchto prostriedkov v rozpočte úradu MPRV SR je nižšia, lebo časť z nich už je rozpočtovaná v príslušných oblastiach a organizáciách a z dôvodu presunutia agendy regionálneho rozvoja boli na kapitolu MIRRI SR delimitované výdavky v sume 1,85 mil. eur  v spojitosti s presunom 220 zamestnancov.  </w:t>
      </w: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highlight w:val="yellow"/>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rPr>
      </w:pPr>
      <w:r w:rsidRPr="00E836C5">
        <w:rPr>
          <w:rFonts w:ascii="Times New Roman" w:hAnsi="Times New Roman" w:cs="Times New Roman"/>
          <w:color w:val="000000"/>
          <w:sz w:val="24"/>
          <w:szCs w:val="24"/>
        </w:rPr>
        <w:t xml:space="preserve">Štátna veterinárna a potravinová správa SR plní úlohy v zmysle zákona o veterinárnej starostlivosti, o potravinách, výrobe, uvádzaní na trh a používaní krmív a ďalších zákonov SR a zabezpečuje odborné úlohy na ochranu zdravia zvierat a ochranu spotrebiteľa. </w:t>
      </w: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highlight w:val="yellow"/>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rPr>
      </w:pPr>
      <w:r w:rsidRPr="00E836C5">
        <w:rPr>
          <w:rFonts w:ascii="Times New Roman" w:hAnsi="Times New Roman" w:cs="Times New Roman"/>
          <w:color w:val="000000"/>
          <w:sz w:val="24"/>
          <w:szCs w:val="24"/>
        </w:rPr>
        <w:t xml:space="preserve">Ústredný kontrolný a skúšobný ústav poľnohospodársky má rozpočtované prostriedky najmä na výkon štátnej odbornej kontroly a skúšobníctva v podmienkach rezortu poľnohospodárstva ako aj štátny odborný dozor nad kvalitou vstupov do poľnohospodárstva (agrochemikálie, krmivá a pod). </w:t>
      </w: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highlight w:val="yellow"/>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rPr>
      </w:pPr>
      <w:r w:rsidRPr="00E836C5">
        <w:rPr>
          <w:rFonts w:ascii="Times New Roman" w:hAnsi="Times New Roman" w:cs="Times New Roman"/>
          <w:color w:val="000000"/>
          <w:sz w:val="24"/>
          <w:szCs w:val="24"/>
        </w:rPr>
        <w:t xml:space="preserve">Plemenárska inšpekcia vykonáva štátny plemenársky dozor na úseku šľachtenia a plemenitby hospodárskych zvierat v SR. </w:t>
      </w: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highlight w:val="yellow"/>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color w:val="000000"/>
          <w:sz w:val="24"/>
          <w:szCs w:val="24"/>
        </w:rPr>
      </w:pPr>
      <w:r w:rsidRPr="00E836C5">
        <w:rPr>
          <w:rFonts w:ascii="Times New Roman" w:hAnsi="Times New Roman" w:cs="Times New Roman"/>
          <w:color w:val="000000"/>
          <w:sz w:val="24"/>
          <w:szCs w:val="24"/>
        </w:rPr>
        <w:t xml:space="preserve">Pôdohospodárska platobná agentúra zabezpečuje výplatu európskych dotácií farmárom v rámci Spoločnej poľnohospodárskej politiky. Rozpočet PPA, ktorého súčasťou sú naďalej prostriedky na systémy riadenia a vyplácania poskytovaných podpôr, finančného riadenia fondov EÚ a iných finančných nástrojov, je v roku 2022 a nasledujúcich rokoch zvýšený o prostriedky pre 50 nových zamestnancov PPA na kľúčových pozíciách v objeme 1,10 mil. eur z dôvodu potreby personálneho posilnenia riadiaceho a kontrolného systému administrácie podpôr. </w:t>
      </w:r>
    </w:p>
    <w:p w:rsidR="00AA17E3" w:rsidRPr="00E836C5" w:rsidRDefault="00AA17E3" w:rsidP="00AA17E3">
      <w:pPr>
        <w:autoSpaceDE w:val="0"/>
        <w:autoSpaceDN w:val="0"/>
        <w:adjustRightInd w:val="0"/>
        <w:spacing w:after="0" w:line="240" w:lineRule="auto"/>
        <w:rPr>
          <w:rFonts w:ascii="Times New Roman" w:hAnsi="Times New Roman" w:cs="Times New Roman"/>
          <w:sz w:val="24"/>
          <w:szCs w:val="24"/>
          <w:highlight w:val="yellow"/>
        </w:rPr>
      </w:pPr>
    </w:p>
    <w:p w:rsidR="00804037" w:rsidRPr="00804037" w:rsidRDefault="00804037" w:rsidP="00804037">
      <w:pPr>
        <w:pStyle w:val="Popis"/>
        <w:keepNext/>
        <w:spacing w:after="0"/>
        <w:rPr>
          <w:rFonts w:ascii="Times New Roman" w:hAnsi="Times New Roman" w:cs="Times New Roman"/>
          <w:b/>
          <w:i w:val="0"/>
          <w:color w:val="5B9BD5" w:themeColor="accent1"/>
          <w:sz w:val="20"/>
          <w:szCs w:val="20"/>
        </w:rPr>
      </w:pPr>
      <w:bookmarkStart w:id="396" w:name="_Toc84845313"/>
      <w:r w:rsidRPr="00804037">
        <w:rPr>
          <w:rFonts w:ascii="Times New Roman" w:hAnsi="Times New Roman" w:cs="Times New Roman"/>
          <w:b/>
          <w:i w:val="0"/>
          <w:color w:val="5B9BD5" w:themeColor="accent1"/>
          <w:sz w:val="20"/>
          <w:szCs w:val="20"/>
        </w:rPr>
        <w:t xml:space="preserve">Tabuľka </w:t>
      </w:r>
      <w:r w:rsidRPr="00804037">
        <w:rPr>
          <w:rFonts w:ascii="Times New Roman" w:hAnsi="Times New Roman" w:cs="Times New Roman"/>
          <w:b/>
          <w:i w:val="0"/>
          <w:color w:val="5B9BD5" w:themeColor="accent1"/>
          <w:sz w:val="20"/>
          <w:szCs w:val="20"/>
        </w:rPr>
        <w:fldChar w:fldCharType="begin"/>
      </w:r>
      <w:r w:rsidRPr="00804037">
        <w:rPr>
          <w:rFonts w:ascii="Times New Roman" w:hAnsi="Times New Roman" w:cs="Times New Roman"/>
          <w:b/>
          <w:i w:val="0"/>
          <w:color w:val="5B9BD5" w:themeColor="accent1"/>
          <w:sz w:val="20"/>
          <w:szCs w:val="20"/>
        </w:rPr>
        <w:instrText xml:space="preserve"> SEQ Tabuľka \* ARABIC </w:instrText>
      </w:r>
      <w:r w:rsidRPr="00804037">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89</w:t>
      </w:r>
      <w:r w:rsidRPr="00804037">
        <w:rPr>
          <w:rFonts w:ascii="Times New Roman" w:hAnsi="Times New Roman" w:cs="Times New Roman"/>
          <w:b/>
          <w:i w:val="0"/>
          <w:color w:val="5B9BD5" w:themeColor="accent1"/>
          <w:sz w:val="20"/>
          <w:szCs w:val="20"/>
        </w:rPr>
        <w:fldChar w:fldCharType="end"/>
      </w:r>
      <w:r w:rsidRPr="00804037">
        <w:rPr>
          <w:rFonts w:ascii="Times New Roman" w:hAnsi="Times New Roman" w:cs="Times New Roman"/>
          <w:b/>
          <w:i w:val="0"/>
          <w:color w:val="5B9BD5" w:themeColor="accent1"/>
          <w:sz w:val="20"/>
          <w:szCs w:val="20"/>
        </w:rPr>
        <w:t xml:space="preserve"> - Výdavky na inštitucionálnu podporu</w:t>
      </w:r>
      <w:bookmarkEnd w:id="396"/>
    </w:p>
    <w:tbl>
      <w:tblPr>
        <w:tblW w:w="9191" w:type="dxa"/>
        <w:jc w:val="center"/>
        <w:tblCellMar>
          <w:left w:w="70" w:type="dxa"/>
          <w:right w:w="70" w:type="dxa"/>
        </w:tblCellMar>
        <w:tblLook w:val="04A0" w:firstRow="1" w:lastRow="0" w:firstColumn="1" w:lastColumn="0" w:noHBand="0" w:noVBand="1"/>
      </w:tblPr>
      <w:tblGrid>
        <w:gridCol w:w="2534"/>
        <w:gridCol w:w="951"/>
        <w:gridCol w:w="951"/>
        <w:gridCol w:w="951"/>
        <w:gridCol w:w="951"/>
        <w:gridCol w:w="951"/>
        <w:gridCol w:w="951"/>
        <w:gridCol w:w="951"/>
      </w:tblGrid>
      <w:tr w:rsidR="00AA17E3" w:rsidRPr="00E836C5" w:rsidTr="00804037">
        <w:trPr>
          <w:trHeight w:val="262"/>
          <w:jc w:val="center"/>
        </w:trPr>
        <w:tc>
          <w:tcPr>
            <w:tcW w:w="2534"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rPr>
                <w:rFonts w:ascii="Times New Roman" w:eastAsia="Times New Roman" w:hAnsi="Times New Roman" w:cs="Times New Roman"/>
                <w:b/>
                <w:bCs/>
                <w:color w:val="000000"/>
                <w:sz w:val="16"/>
                <w:szCs w:val="16"/>
                <w:highlight w:val="yellow"/>
                <w:lang w:eastAsia="sk-SK"/>
              </w:rPr>
            </w:pPr>
            <w:r w:rsidRPr="00E836C5">
              <w:rPr>
                <w:rFonts w:ascii="Times New Roman" w:eastAsia="Times New Roman" w:hAnsi="Times New Roman" w:cs="Times New Roman"/>
                <w:b/>
                <w:bCs/>
                <w:color w:val="000000"/>
                <w:sz w:val="16"/>
                <w:szCs w:val="16"/>
                <w:lang w:eastAsia="sk-SK"/>
              </w:rPr>
              <w:t> v tis. eur</w:t>
            </w:r>
          </w:p>
        </w:tc>
        <w:tc>
          <w:tcPr>
            <w:tcW w:w="951" w:type="dxa"/>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2019 S</w:t>
            </w:r>
          </w:p>
        </w:tc>
        <w:tc>
          <w:tcPr>
            <w:tcW w:w="951"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2020 S</w:t>
            </w:r>
          </w:p>
        </w:tc>
        <w:tc>
          <w:tcPr>
            <w:tcW w:w="951"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2021 R</w:t>
            </w:r>
          </w:p>
        </w:tc>
        <w:tc>
          <w:tcPr>
            <w:tcW w:w="951" w:type="dxa"/>
            <w:tcBorders>
              <w:top w:val="single" w:sz="4" w:space="0" w:color="auto"/>
              <w:bottom w:val="single" w:sz="4" w:space="0" w:color="auto"/>
            </w:tcBorders>
            <w:shd w:val="clear" w:color="auto" w:fill="auto"/>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highlight w:val="yellow"/>
                <w:lang w:eastAsia="sk-SK"/>
              </w:rPr>
            </w:pPr>
            <w:r w:rsidRPr="00E836C5">
              <w:rPr>
                <w:rFonts w:ascii="Times New Roman" w:eastAsia="Times New Roman" w:hAnsi="Times New Roman" w:cs="Times New Roman"/>
                <w:b/>
                <w:bCs/>
                <w:color w:val="000000"/>
                <w:sz w:val="16"/>
                <w:szCs w:val="16"/>
                <w:lang w:eastAsia="sk-SK"/>
              </w:rPr>
              <w:t>2021 OS</w:t>
            </w:r>
          </w:p>
        </w:tc>
        <w:tc>
          <w:tcPr>
            <w:tcW w:w="951"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2022 N</w:t>
            </w:r>
          </w:p>
        </w:tc>
        <w:tc>
          <w:tcPr>
            <w:tcW w:w="951"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2023 N</w:t>
            </w:r>
          </w:p>
        </w:tc>
        <w:tc>
          <w:tcPr>
            <w:tcW w:w="951" w:type="dxa"/>
            <w:tcBorders>
              <w:top w:val="single" w:sz="4" w:space="0" w:color="auto"/>
              <w:bottom w:val="single" w:sz="4" w:space="0" w:color="auto"/>
            </w:tcBorders>
            <w:shd w:val="clear" w:color="auto" w:fill="auto"/>
            <w:noWrap/>
            <w:vAlign w:val="center"/>
            <w:hideMark/>
          </w:tcPr>
          <w:p w:rsidR="00AA17E3" w:rsidRPr="00E836C5"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E836C5">
              <w:rPr>
                <w:rFonts w:ascii="Times New Roman" w:eastAsia="Times New Roman" w:hAnsi="Times New Roman" w:cs="Times New Roman"/>
                <w:b/>
                <w:bCs/>
                <w:color w:val="000000"/>
                <w:sz w:val="16"/>
                <w:szCs w:val="16"/>
                <w:lang w:eastAsia="sk-SK"/>
              </w:rPr>
              <w:t>2024 N</w:t>
            </w:r>
          </w:p>
        </w:tc>
      </w:tr>
      <w:tr w:rsidR="00AA17E3" w:rsidRPr="00E836C5" w:rsidTr="00804037">
        <w:trPr>
          <w:trHeight w:val="262"/>
          <w:jc w:val="center"/>
        </w:trPr>
        <w:tc>
          <w:tcPr>
            <w:tcW w:w="2534" w:type="dxa"/>
            <w:tcBorders>
              <w:top w:val="single" w:sz="4" w:space="0" w:color="auto"/>
            </w:tcBorders>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Rozpočtové organizácie</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121 347</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114 735</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108 596</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highlight w:val="yellow"/>
                <w:lang w:eastAsia="sk-SK"/>
              </w:rPr>
            </w:pPr>
            <w:r w:rsidRPr="00E836C5">
              <w:rPr>
                <w:rFonts w:ascii="Times New Roman" w:eastAsia="Times New Roman" w:hAnsi="Times New Roman" w:cs="Times New Roman"/>
                <w:b/>
                <w:color w:val="000000"/>
                <w:sz w:val="16"/>
                <w:szCs w:val="16"/>
                <w:lang w:eastAsia="sk-SK"/>
              </w:rPr>
              <w:t>128 749</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96 250</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96 255</w:t>
            </w:r>
          </w:p>
        </w:tc>
        <w:tc>
          <w:tcPr>
            <w:tcW w:w="951" w:type="dxa"/>
            <w:tcBorders>
              <w:top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96 255</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 xml:space="preserve">Služobný úrad MPRV </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47 856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41 640</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52 670</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65 379</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35 057</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35 062</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35 062</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Štátna veterinárna a potravinová   správa SR</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33 615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32 975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25 984</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32 678</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27 643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27 643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27 643</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Ústredný kontrolný a skúšobný ústav poľnohospodársky</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15 509</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15 461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11 941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13 496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12 596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12 596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12 596</w:t>
            </w:r>
          </w:p>
        </w:tc>
      </w:tr>
      <w:tr w:rsidR="00AA17E3" w:rsidRPr="00E836C5" w:rsidTr="00804037">
        <w:trPr>
          <w:trHeight w:val="262"/>
          <w:jc w:val="center"/>
        </w:trPr>
        <w:tc>
          <w:tcPr>
            <w:tcW w:w="2534" w:type="dxa"/>
            <w:shd w:val="clear" w:color="auto" w:fill="auto"/>
            <w:noWrap/>
            <w:vAlign w:val="center"/>
            <w:hideMark/>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Plemenárska inšpekcia SR</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269</w:t>
            </w:r>
          </w:p>
        </w:tc>
        <w:tc>
          <w:tcPr>
            <w:tcW w:w="951" w:type="dxa"/>
            <w:shd w:val="clear" w:color="auto" w:fill="auto"/>
            <w:noWrap/>
            <w:vAlign w:val="center"/>
          </w:tcPr>
          <w:p w:rsidR="00AA17E3" w:rsidRPr="00E836C5" w:rsidRDefault="00981EDA"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356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326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326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331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331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331</w:t>
            </w:r>
          </w:p>
        </w:tc>
      </w:tr>
      <w:tr w:rsidR="00AA17E3" w:rsidRPr="00E836C5" w:rsidTr="00804037">
        <w:trPr>
          <w:trHeight w:val="262"/>
          <w:jc w:val="center"/>
        </w:trPr>
        <w:tc>
          <w:tcPr>
            <w:tcW w:w="2534" w:type="dxa"/>
            <w:shd w:val="clear" w:color="auto" w:fill="auto"/>
            <w:noWrap/>
            <w:vAlign w:val="center"/>
            <w:hideMark/>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Pôdohospodárska platobná agentúra</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24 098</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24 303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17 675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20 913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20 623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20 623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20 623</w:t>
            </w:r>
          </w:p>
        </w:tc>
      </w:tr>
      <w:tr w:rsidR="00AA17E3" w:rsidRPr="00E836C5" w:rsidTr="00804037">
        <w:trPr>
          <w:trHeight w:val="262"/>
          <w:jc w:val="center"/>
        </w:trPr>
        <w:tc>
          <w:tcPr>
            <w:tcW w:w="2534" w:type="dxa"/>
            <w:shd w:val="clear" w:color="auto" w:fill="auto"/>
            <w:noWrap/>
            <w:vAlign w:val="center"/>
            <w:hideMark/>
          </w:tcPr>
          <w:p w:rsidR="00AA17E3" w:rsidRPr="00E836C5" w:rsidRDefault="00AA17E3" w:rsidP="00AA17E3">
            <w:pPr>
              <w:spacing w:after="0" w:line="240" w:lineRule="auto"/>
              <w:ind w:right="-212"/>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Príspevkové organizácie</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25 683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30 932</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15 666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21 122</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18 469</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18 469</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b/>
                <w:color w:val="000000"/>
                <w:sz w:val="16"/>
                <w:szCs w:val="16"/>
                <w:lang w:eastAsia="sk-SK"/>
              </w:rPr>
            </w:pPr>
            <w:r w:rsidRPr="00E836C5">
              <w:rPr>
                <w:rFonts w:ascii="Times New Roman" w:eastAsia="Times New Roman" w:hAnsi="Times New Roman" w:cs="Times New Roman"/>
                <w:b/>
                <w:color w:val="000000"/>
                <w:sz w:val="16"/>
                <w:szCs w:val="16"/>
                <w:lang w:eastAsia="sk-SK"/>
              </w:rPr>
              <w:t>18 469</w:t>
            </w:r>
          </w:p>
        </w:tc>
      </w:tr>
      <w:tr w:rsidR="00AA17E3" w:rsidRPr="00E836C5" w:rsidTr="00804037">
        <w:trPr>
          <w:trHeight w:val="262"/>
          <w:jc w:val="center"/>
        </w:trPr>
        <w:tc>
          <w:tcPr>
            <w:tcW w:w="2534" w:type="dxa"/>
            <w:shd w:val="clear" w:color="auto" w:fill="auto"/>
            <w:noWrap/>
            <w:vAlign w:val="center"/>
            <w:hideMark/>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Národné lesnícke centrum Zvolen</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6 750</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8 392</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6 252</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7 809</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7 485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7 485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7 485</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Inštitút vzdelávania veterinárnych lekárov, Košice</w:t>
            </w:r>
          </w:p>
        </w:tc>
        <w:tc>
          <w:tcPr>
            <w:tcW w:w="951" w:type="dxa"/>
            <w:shd w:val="clear" w:color="000000" w:fill="FFFFFF"/>
            <w:noWrap/>
            <w:vAlign w:val="center"/>
          </w:tcPr>
          <w:p w:rsidR="00AA17E3" w:rsidRPr="00E836C5" w:rsidRDefault="00981EDA"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152</w:t>
            </w:r>
          </w:p>
        </w:tc>
        <w:tc>
          <w:tcPr>
            <w:tcW w:w="951" w:type="dxa"/>
            <w:shd w:val="clear" w:color="000000" w:fill="FFFFFF"/>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183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130</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101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101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101</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Štátne lesy Tatranského národného parku, Tatranská Lomnica</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1 495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1 680</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848</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1 248</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887</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887</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887</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Agentúra pre rozvoj vidieka, Nitra</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126</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89</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82</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95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93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93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93</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Múzeum vo Svätom Antone</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285</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341</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187</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307</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223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223</w:t>
            </w:r>
          </w:p>
        </w:tc>
        <w:tc>
          <w:tcPr>
            <w:tcW w:w="951" w:type="dxa"/>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223</w:t>
            </w:r>
          </w:p>
        </w:tc>
      </w:tr>
      <w:tr w:rsidR="00AA17E3" w:rsidRPr="00E836C5" w:rsidTr="00804037">
        <w:trPr>
          <w:trHeight w:val="262"/>
          <w:jc w:val="center"/>
        </w:trPr>
        <w:tc>
          <w:tcPr>
            <w:tcW w:w="2534" w:type="dxa"/>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Národné poľnohospodárske a potravinárske centrum Lužianky</w:t>
            </w:r>
          </w:p>
        </w:tc>
        <w:tc>
          <w:tcPr>
            <w:tcW w:w="951" w:type="dxa"/>
            <w:tcBorders>
              <w:top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12 871</w:t>
            </w:r>
          </w:p>
        </w:tc>
        <w:tc>
          <w:tcPr>
            <w:tcW w:w="951" w:type="dxa"/>
            <w:tcBorders>
              <w:top w:val="nil"/>
            </w:tcBorders>
            <w:shd w:val="clear" w:color="auto" w:fill="auto"/>
            <w:noWrap/>
            <w:vAlign w:val="center"/>
          </w:tcPr>
          <w:p w:rsidR="00AA17E3" w:rsidRPr="00E836C5" w:rsidRDefault="00981EDA"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15 570</w:t>
            </w:r>
          </w:p>
        </w:tc>
        <w:tc>
          <w:tcPr>
            <w:tcW w:w="951" w:type="dxa"/>
            <w:tcBorders>
              <w:top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5 294</w:t>
            </w:r>
          </w:p>
        </w:tc>
        <w:tc>
          <w:tcPr>
            <w:tcW w:w="951" w:type="dxa"/>
            <w:tcBorders>
              <w:top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7 502</w:t>
            </w:r>
          </w:p>
        </w:tc>
        <w:tc>
          <w:tcPr>
            <w:tcW w:w="951" w:type="dxa"/>
            <w:tcBorders>
              <w:top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6 150</w:t>
            </w:r>
          </w:p>
        </w:tc>
        <w:tc>
          <w:tcPr>
            <w:tcW w:w="951" w:type="dxa"/>
            <w:tcBorders>
              <w:top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6 150</w:t>
            </w:r>
          </w:p>
        </w:tc>
        <w:tc>
          <w:tcPr>
            <w:tcW w:w="951" w:type="dxa"/>
            <w:tcBorders>
              <w:top w:val="nil"/>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6 150</w:t>
            </w:r>
          </w:p>
        </w:tc>
      </w:tr>
      <w:tr w:rsidR="00AA17E3" w:rsidRPr="00E836C5" w:rsidTr="00804037">
        <w:trPr>
          <w:trHeight w:val="262"/>
          <w:jc w:val="center"/>
        </w:trPr>
        <w:tc>
          <w:tcPr>
            <w:tcW w:w="2534" w:type="dxa"/>
            <w:tcBorders>
              <w:bottom w:val="single" w:sz="4" w:space="0" w:color="auto"/>
            </w:tcBorders>
            <w:shd w:val="clear" w:color="auto" w:fill="auto"/>
            <w:noWrap/>
            <w:vAlign w:val="center"/>
          </w:tcPr>
          <w:p w:rsidR="00AA17E3" w:rsidRPr="00E836C5" w:rsidRDefault="00AA17E3" w:rsidP="00AA17E3">
            <w:pPr>
              <w:spacing w:after="0" w:line="240" w:lineRule="auto"/>
              <w:ind w:right="-212"/>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Štátny veterinárny a potravinový ústav Dolný Kubín</w:t>
            </w:r>
          </w:p>
        </w:tc>
        <w:tc>
          <w:tcPr>
            <w:tcW w:w="951"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4 004</w:t>
            </w:r>
          </w:p>
        </w:tc>
        <w:tc>
          <w:tcPr>
            <w:tcW w:w="951"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4 677</w:t>
            </w:r>
          </w:p>
        </w:tc>
        <w:tc>
          <w:tcPr>
            <w:tcW w:w="951"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2 918</w:t>
            </w:r>
          </w:p>
        </w:tc>
        <w:tc>
          <w:tcPr>
            <w:tcW w:w="951" w:type="dxa"/>
            <w:tcBorders>
              <w:top w:val="nil"/>
              <w:bottom w:val="single" w:sz="4" w:space="0" w:color="auto"/>
            </w:tcBorders>
            <w:shd w:val="clear" w:color="auto" w:fill="auto"/>
            <w:noWrap/>
            <w:vAlign w:val="center"/>
          </w:tcPr>
          <w:p w:rsidR="00AA17E3" w:rsidRPr="00E836C5" w:rsidRDefault="00981EDA"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4 031</w:t>
            </w:r>
          </w:p>
        </w:tc>
        <w:tc>
          <w:tcPr>
            <w:tcW w:w="951"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3 530</w:t>
            </w:r>
          </w:p>
        </w:tc>
        <w:tc>
          <w:tcPr>
            <w:tcW w:w="951"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3 530</w:t>
            </w:r>
          </w:p>
        </w:tc>
        <w:tc>
          <w:tcPr>
            <w:tcW w:w="951" w:type="dxa"/>
            <w:tcBorders>
              <w:top w:val="nil"/>
              <w:bottom w:val="single" w:sz="4" w:space="0" w:color="auto"/>
            </w:tcBorders>
            <w:shd w:val="clear" w:color="auto" w:fill="auto"/>
            <w:noWrap/>
            <w:vAlign w:val="center"/>
          </w:tcPr>
          <w:p w:rsidR="00AA17E3" w:rsidRPr="00E836C5"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E836C5">
              <w:rPr>
                <w:rFonts w:ascii="Times New Roman" w:eastAsia="Times New Roman" w:hAnsi="Times New Roman" w:cs="Times New Roman"/>
                <w:color w:val="000000"/>
                <w:sz w:val="16"/>
                <w:szCs w:val="16"/>
                <w:lang w:eastAsia="sk-SK"/>
              </w:rPr>
              <w:t>3 530</w:t>
            </w:r>
          </w:p>
        </w:tc>
      </w:tr>
    </w:tbl>
    <w:p w:rsidR="00AA17E3" w:rsidRPr="009224A5" w:rsidRDefault="00AA17E3" w:rsidP="009224A5">
      <w:pPr>
        <w:contextualSpacing/>
        <w:jc w:val="right"/>
        <w:rPr>
          <w:rFonts w:ascii="Times New Roman" w:hAnsi="Times New Roman" w:cs="Times New Roman"/>
          <w:i/>
          <w:sz w:val="16"/>
          <w:szCs w:val="16"/>
        </w:rPr>
      </w:pPr>
      <w:r w:rsidRPr="00E836C5">
        <w:rPr>
          <w:rFonts w:ascii="Times New Roman" w:hAnsi="Times New Roman" w:cs="Times New Roman"/>
          <w:i/>
          <w:sz w:val="16"/>
          <w:szCs w:val="16"/>
        </w:rPr>
        <w:t>zdroj: MF SR</w:t>
      </w:r>
    </w:p>
    <w:p w:rsidR="00AA17E3" w:rsidRPr="008F3CDE"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8"/>
          <w:lang w:eastAsia="cs-CZ"/>
        </w:rPr>
      </w:pPr>
      <w:r w:rsidRPr="008F3CDE">
        <w:rPr>
          <w:rFonts w:ascii="Times New Roman" w:eastAsia="Times New Roman" w:hAnsi="Times New Roman" w:cs="Times New Roman"/>
          <w:b/>
          <w:bCs/>
          <w:iCs/>
          <w:color w:val="5B9BD5" w:themeColor="accent1"/>
          <w:sz w:val="24"/>
          <w:szCs w:val="28"/>
          <w:lang w:eastAsia="cs-CZ"/>
        </w:rPr>
        <w:t>Slovenský pozemkový fond</w:t>
      </w:r>
    </w:p>
    <w:p w:rsidR="00AA17E3" w:rsidRPr="00E836C5" w:rsidRDefault="00AA17E3" w:rsidP="00AA17E3">
      <w:pPr>
        <w:keepNext/>
        <w:keepLines/>
        <w:spacing w:after="0" w:line="240" w:lineRule="auto"/>
        <w:outlineLvl w:val="4"/>
        <w:rPr>
          <w:rFonts w:ascii="Times New Roman" w:eastAsiaTheme="majorEastAsia" w:hAnsi="Times New Roman" w:cs="Times New Roman"/>
          <w:b/>
          <w:color w:val="2E74B5" w:themeColor="accent1" w:themeShade="BF"/>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Slovenský pozemkový</w:t>
      </w:r>
      <w:r w:rsidRPr="00E836C5">
        <w:rPr>
          <w:rFonts w:ascii="Times New Roman" w:eastAsia="Calibri" w:hAnsi="Times New Roman" w:cs="Times New Roman"/>
          <w:b/>
          <w:bCs/>
          <w:sz w:val="24"/>
          <w:szCs w:val="24"/>
        </w:rPr>
        <w:t xml:space="preserve"> </w:t>
      </w:r>
      <w:r w:rsidRPr="00E836C5">
        <w:rPr>
          <w:rFonts w:ascii="Times New Roman" w:eastAsia="Calibri" w:hAnsi="Times New Roman" w:cs="Times New Roman"/>
          <w:sz w:val="24"/>
          <w:szCs w:val="24"/>
        </w:rPr>
        <w:t xml:space="preserve">fond (ďalej len „SPF“) v zmysle zákona č. 330/1991 Zb. o pozemkových úpravách, usporiadaní pozemkového vlastníctva, pozemkových úradoch, pozemkovom fonde a o pozemkových spoločenstvách v znení neskorších predpisov spravuje poľnohospodárske nehnuteľnosti vo vlastníctve štátu a nakladá s pozemkami, ktorých vlastník nie je známy. </w:t>
      </w:r>
    </w:p>
    <w:p w:rsidR="00AA17E3" w:rsidRPr="00E836C5" w:rsidRDefault="00AA17E3" w:rsidP="00AA17E3">
      <w:pPr>
        <w:spacing w:after="0" w:line="240" w:lineRule="auto"/>
        <w:jc w:val="both"/>
        <w:rPr>
          <w:rFonts w:ascii="Times New Roman" w:eastAsia="Calibri" w:hAnsi="Times New Roman" w:cs="Times New Roman"/>
          <w:sz w:val="24"/>
          <w:szCs w:val="24"/>
        </w:rPr>
      </w:pPr>
    </w:p>
    <w:p w:rsidR="00AA17E3" w:rsidRPr="00E836C5" w:rsidRDefault="00AA17E3" w:rsidP="00AA17E3">
      <w:pPr>
        <w:spacing w:after="0" w:line="240" w:lineRule="auto"/>
        <w:jc w:val="both"/>
        <w:rPr>
          <w:rFonts w:ascii="Times New Roman" w:eastAsia="Calibri" w:hAnsi="Times New Roman" w:cs="Times New Roman"/>
          <w:sz w:val="24"/>
          <w:szCs w:val="24"/>
        </w:rPr>
      </w:pPr>
      <w:r w:rsidRPr="00E836C5">
        <w:rPr>
          <w:rFonts w:ascii="Times New Roman" w:eastAsia="Calibri" w:hAnsi="Times New Roman" w:cs="Times New Roman"/>
          <w:sz w:val="24"/>
          <w:szCs w:val="24"/>
        </w:rPr>
        <w:t>Výdavky SPF sú v roku 2022 rozpočtované v celkovej výške 21,3 mil. eur. Transfer pre kapitolu MPRV SR na projekty pozemkových úprav sa rozpočtuje vo výške 1,50 mil. eur. SPF rozpočtuje aj náhrady doplatkov vlastníkom pôdy vo výške 2,00 mil. eur  v zmysle zákona č. 64/1997 Z. z. o užívaní pozemkov v zriadených záhradkárskych osadách a vysporiadaní vlastníctva k nim v znení neskorších predpisov a reštitučné nároky oprávnených osôb podľa zákona č. 229/1991 Zb. o úprave vlastníckych vzťahov k pôde a inému poľnohospodárskemu majetku v znení neskorších predpisov a zákona č. 503/2003 Z. z. o navrátení vlastníctva k pozemkom v znení neskorších predpisov. Výdavky na špeciálne služby, ktoré vyplývajú pre SPF z príslušných predpisov súvisiacich s financovaním geodetických prác, geometrických plánov, usporiadaním vlastníckych pomerov v záhradkárskych osadách, či s výdavkami na právne služby v súdnych sporoch, SPF rozpočtuje vo výške 1,16 mil. eur. Náhrady, zahŕňajúce príslušenstvo a súdne trovy na ukončené súdne spory a prípadné exekučné trovy, sú rozpočtované v sume 950 tis. eur. Kapitálové výdavky rozpočtované vo výške 2,11 mil. eur zabezpečujú financovanie reprodukcie majetku SPF slúžiaceho na zabezpečenie plnenia jeho úloh vyplývajúcich z príslušných predpisov a výkup pozemkov podľa zákona č. 180/1995 Z. z. o niektorých opatreniach na usporiadanie vlastníctva k pozemkom v znení neskorších predpisov a podľa ustanovení § 11 zákona o pozemkových úpravách.</w:t>
      </w:r>
    </w:p>
    <w:p w:rsidR="00AA17E3" w:rsidRPr="00E836C5" w:rsidRDefault="00AA17E3" w:rsidP="00AA17E3">
      <w:pPr>
        <w:autoSpaceDE w:val="0"/>
        <w:autoSpaceDN w:val="0"/>
        <w:adjustRightInd w:val="0"/>
        <w:spacing w:after="0" w:line="240" w:lineRule="auto"/>
        <w:jc w:val="both"/>
        <w:rPr>
          <w:rFonts w:ascii="Times New Roman" w:hAnsi="Times New Roman" w:cs="Times New Roman"/>
          <w:sz w:val="24"/>
          <w:szCs w:val="24"/>
          <w:highlight w:val="yellow"/>
        </w:rPr>
      </w:pPr>
    </w:p>
    <w:p w:rsidR="00AA17E3" w:rsidRPr="00B12D35" w:rsidRDefault="00AA17E3" w:rsidP="00AA17E3">
      <w:pPr>
        <w:keepNext/>
        <w:keepLines/>
        <w:spacing w:after="0" w:line="240" w:lineRule="auto"/>
        <w:outlineLvl w:val="4"/>
        <w:rPr>
          <w:rFonts w:ascii="Times New Roman" w:eastAsia="Times New Roman" w:hAnsi="Times New Roman" w:cs="Times New Roman"/>
          <w:b/>
          <w:bCs/>
          <w:iCs/>
          <w:color w:val="5B9BD5" w:themeColor="accent1"/>
          <w:sz w:val="24"/>
          <w:szCs w:val="24"/>
          <w:lang w:eastAsia="cs-CZ"/>
        </w:rPr>
      </w:pPr>
      <w:r w:rsidRPr="00B12D35">
        <w:rPr>
          <w:rFonts w:ascii="Times New Roman" w:eastAsia="Times New Roman" w:hAnsi="Times New Roman" w:cs="Times New Roman"/>
          <w:b/>
          <w:bCs/>
          <w:iCs/>
          <w:color w:val="5B9BD5" w:themeColor="accent1"/>
          <w:sz w:val="24"/>
          <w:szCs w:val="24"/>
          <w:lang w:eastAsia="cs-CZ"/>
        </w:rPr>
        <w:t>Úrad geodézie, kartografie a katastra SR</w:t>
      </w:r>
    </w:p>
    <w:p w:rsidR="00AA17E3" w:rsidRPr="00E836C5" w:rsidRDefault="00AA17E3" w:rsidP="00AA17E3">
      <w:pPr>
        <w:keepNext/>
        <w:keepLines/>
        <w:spacing w:after="0" w:line="240" w:lineRule="auto"/>
        <w:outlineLvl w:val="4"/>
        <w:rPr>
          <w:rFonts w:ascii="Times New Roman" w:eastAsiaTheme="majorEastAsia" w:hAnsi="Times New Roman" w:cs="Times New Roman"/>
          <w:b/>
          <w:color w:val="2E74B5" w:themeColor="accent1" w:themeShade="BF"/>
          <w:sz w:val="24"/>
          <w:szCs w:val="24"/>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Výdavky pre Úrad geodézie, kartografie a katastra SR (ďalej len „ÚGKK SR“) sa na rok 2022 rozpočtujú vo výške 20,7 mil. eur, z toho pre rozpočtovú organizáciu Geodetický a kartografický ústav Bratislava v sume 5,69 mil. eur a pre príspevkovú organizáciu Výskumný ústav geodézie a kartografie v Bratislave v sume 420 tis. eur. Tieto prostriedky sú určené na činnosť úradu a úlohy, medzi ktoré patrí najmä spravovanie, aktualizácia a obnova katastrálneho operátu,  zostavenie registra obnovenej evidencie pozemkov, tvorba a prevádzkovanie permanentnej lokalizačnej služby, správa  Základnej bázy údajov pre geografické informačné systémy, ortofotomozaika a digitálny model reliéfu SR, tvorba, aktualizácia a vydávanie máp a iných kartografických diel, skvalitňovanie služieb Slovenskej priestorovej observačnej služby („SKPOS®“), udržiavanie a aktualizácia webových služieb ako sú ESKN (Elektronické služby katastra nehnuteľností) a ZBGIS (</w:t>
      </w:r>
      <w:r w:rsidRPr="00E836C5">
        <w:rPr>
          <w:rFonts w:ascii="Times New Roman" w:hAnsi="Times New Roman" w:cs="Times New Roman"/>
          <w:color w:val="000000"/>
          <w:sz w:val="24"/>
          <w:szCs w:val="24"/>
        </w:rPr>
        <w:t>Základná báza údajov pre geografický informačný systém)</w:t>
      </w:r>
      <w:r w:rsidRPr="00E836C5">
        <w:rPr>
          <w:rFonts w:ascii="Times New Roman" w:hAnsi="Times New Roman" w:cs="Times New Roman"/>
          <w:sz w:val="24"/>
          <w:szCs w:val="24"/>
        </w:rPr>
        <w:t xml:space="preserve">. </w:t>
      </w:r>
    </w:p>
    <w:p w:rsidR="00AA17E3" w:rsidRPr="00E836C5" w:rsidRDefault="00AA17E3" w:rsidP="00AA17E3">
      <w:pPr>
        <w:autoSpaceDE w:val="0"/>
        <w:autoSpaceDN w:val="0"/>
        <w:adjustRightInd w:val="0"/>
        <w:spacing w:after="0" w:line="240" w:lineRule="auto"/>
        <w:jc w:val="both"/>
        <w:rPr>
          <w:rFonts w:ascii="Times New Roman" w:hAnsi="Times New Roman" w:cs="Times New Roman"/>
          <w:sz w:val="24"/>
          <w:szCs w:val="24"/>
        </w:rPr>
      </w:pPr>
    </w:p>
    <w:p w:rsidR="00AA17E3" w:rsidRPr="00E836C5" w:rsidRDefault="00AA17E3" w:rsidP="00AA17E3">
      <w:pPr>
        <w:autoSpaceDE w:val="0"/>
        <w:autoSpaceDN w:val="0"/>
        <w:adjustRightInd w:val="0"/>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V roku 2022 je rozpočet ÚGKK SR zvýšený o prostriedky na realizáciu projektu Konsolidácia údajov v písomných databázach katastra nehnuteľností v objeme 980 tis. eur. V rámci projektu</w:t>
      </w:r>
    </w:p>
    <w:p w:rsidR="00AA17E3" w:rsidRPr="00E836C5" w:rsidRDefault="00AA17E3" w:rsidP="00AA17E3">
      <w:pPr>
        <w:autoSpaceDE w:val="0"/>
        <w:autoSpaceDN w:val="0"/>
        <w:adjustRightInd w:val="0"/>
        <w:spacing w:after="0" w:line="240" w:lineRule="auto"/>
        <w:jc w:val="both"/>
        <w:rPr>
          <w:rFonts w:ascii="Times New Roman" w:hAnsi="Times New Roman" w:cs="Times New Roman"/>
          <w:sz w:val="24"/>
          <w:szCs w:val="24"/>
        </w:rPr>
      </w:pPr>
      <w:r w:rsidRPr="00E836C5">
        <w:rPr>
          <w:rFonts w:ascii="Times New Roman" w:hAnsi="Times New Roman" w:cs="Times New Roman"/>
          <w:sz w:val="24"/>
          <w:szCs w:val="24"/>
        </w:rPr>
        <w:t xml:space="preserve">bude vytvorená nová štruktúru údajov katastra umožňujúca podávať separátne a filtrované údaje o každom evidovanom prvku podľa rôznych výberových kritérií. Projekt sa zameriava na najohrozenejšiu - písomnú časť údajov katastra nehnuteľností. </w:t>
      </w:r>
    </w:p>
    <w:p w:rsidR="00AA17E3" w:rsidRDefault="00AA17E3" w:rsidP="00AA17E3">
      <w:pPr>
        <w:autoSpaceDE w:val="0"/>
        <w:autoSpaceDN w:val="0"/>
        <w:adjustRightInd w:val="0"/>
        <w:spacing w:after="0"/>
        <w:jc w:val="both"/>
        <w:rPr>
          <w:rFonts w:ascii="Times New Roman" w:hAnsi="Times New Roman" w:cs="Times New Roman"/>
          <w:highlight w:val="yellow"/>
          <w:lang w:eastAsia="sk-SK"/>
        </w:rPr>
      </w:pPr>
    </w:p>
    <w:p w:rsidR="00FA7DE1" w:rsidRDefault="00FA7DE1" w:rsidP="00AA17E3">
      <w:pPr>
        <w:autoSpaceDE w:val="0"/>
        <w:autoSpaceDN w:val="0"/>
        <w:adjustRightInd w:val="0"/>
        <w:spacing w:after="0"/>
        <w:jc w:val="both"/>
        <w:rPr>
          <w:rFonts w:ascii="Times New Roman" w:hAnsi="Times New Roman" w:cs="Times New Roman"/>
          <w:highlight w:val="yellow"/>
          <w:lang w:eastAsia="sk-SK"/>
        </w:rPr>
      </w:pPr>
    </w:p>
    <w:p w:rsidR="00FA7DE1" w:rsidRDefault="00FA7DE1" w:rsidP="00AA17E3">
      <w:pPr>
        <w:autoSpaceDE w:val="0"/>
        <w:autoSpaceDN w:val="0"/>
        <w:adjustRightInd w:val="0"/>
        <w:spacing w:after="0"/>
        <w:jc w:val="both"/>
        <w:rPr>
          <w:rFonts w:ascii="Times New Roman" w:hAnsi="Times New Roman" w:cs="Times New Roman"/>
          <w:highlight w:val="yellow"/>
          <w:lang w:eastAsia="sk-SK"/>
        </w:rPr>
      </w:pPr>
    </w:p>
    <w:p w:rsidR="009224A5" w:rsidRPr="00E836C5" w:rsidRDefault="009224A5" w:rsidP="00AA17E3">
      <w:pPr>
        <w:autoSpaceDE w:val="0"/>
        <w:autoSpaceDN w:val="0"/>
        <w:adjustRightInd w:val="0"/>
        <w:spacing w:after="0"/>
        <w:jc w:val="both"/>
        <w:rPr>
          <w:rFonts w:ascii="Times New Roman" w:hAnsi="Times New Roman" w:cs="Times New Roman"/>
          <w:highlight w:val="yellow"/>
          <w:lang w:eastAsia="sk-SK"/>
        </w:rPr>
      </w:pPr>
    </w:p>
    <w:p w:rsidR="00AA17E3" w:rsidRPr="00B12D35" w:rsidRDefault="00AA17E3" w:rsidP="00AA17E3">
      <w:pPr>
        <w:pStyle w:val="Nadpis2"/>
        <w:spacing w:before="0" w:after="0"/>
        <w:rPr>
          <w:rFonts w:ascii="Times New Roman" w:hAnsi="Times New Roman"/>
          <w:i w:val="0"/>
          <w:color w:val="5B9BD5" w:themeColor="accent1"/>
          <w:sz w:val="24"/>
          <w:szCs w:val="24"/>
        </w:rPr>
      </w:pPr>
      <w:bookmarkStart w:id="397" w:name="_Toc53062619"/>
      <w:bookmarkStart w:id="398" w:name="_Toc53084677"/>
      <w:bookmarkStart w:id="399" w:name="_Toc84528342"/>
      <w:bookmarkStart w:id="400" w:name="_Toc84684765"/>
      <w:r w:rsidRPr="00B12D35">
        <w:rPr>
          <w:rFonts w:ascii="Times New Roman" w:hAnsi="Times New Roman"/>
          <w:i w:val="0"/>
          <w:color w:val="5B9BD5" w:themeColor="accent1"/>
          <w:sz w:val="24"/>
          <w:szCs w:val="24"/>
        </w:rPr>
        <w:t>4.9. Verejný poriadok a bezpečnosť</w:t>
      </w:r>
      <w:bookmarkEnd w:id="397"/>
      <w:bookmarkEnd w:id="398"/>
      <w:bookmarkEnd w:id="399"/>
      <w:bookmarkEnd w:id="400"/>
      <w:r w:rsidRPr="00B12D35">
        <w:rPr>
          <w:rFonts w:ascii="Times New Roman" w:hAnsi="Times New Roman"/>
          <w:i w:val="0"/>
          <w:color w:val="5B9BD5" w:themeColor="accent1"/>
          <w:sz w:val="24"/>
          <w:szCs w:val="24"/>
        </w:rPr>
        <w:t xml:space="preserve"> </w:t>
      </w:r>
    </w:p>
    <w:p w:rsidR="00AA17E3" w:rsidRDefault="00AA17E3" w:rsidP="00AA17E3">
      <w:pPr>
        <w:spacing w:after="0"/>
        <w:rPr>
          <w:sz w:val="24"/>
          <w:highlight w:val="yellow"/>
          <w:lang w:eastAsia="cs-CZ"/>
        </w:rPr>
      </w:pPr>
    </w:p>
    <w:p w:rsidR="00AA17E3" w:rsidRDefault="00AA17E3" w:rsidP="00AA17E3">
      <w:pPr>
        <w:spacing w:after="0"/>
        <w:jc w:val="both"/>
        <w:rPr>
          <w:rFonts w:ascii="Times New Roman" w:hAnsi="Times New Roman"/>
          <w:sz w:val="24"/>
          <w:szCs w:val="24"/>
        </w:rPr>
      </w:pPr>
      <w:r w:rsidRPr="00F711A7">
        <w:rPr>
          <w:rFonts w:ascii="Times New Roman" w:hAnsi="Times New Roman"/>
          <w:sz w:val="24"/>
          <w:szCs w:val="24"/>
        </w:rPr>
        <w:t>Štát ochra</w:t>
      </w:r>
      <w:r w:rsidRPr="00F711A7">
        <w:rPr>
          <w:rFonts w:ascii="Times New Roman" w:hAnsi="Times New Roman" w:hint="eastAsia"/>
          <w:sz w:val="24"/>
          <w:szCs w:val="24"/>
        </w:rPr>
        <w:t>ň</w:t>
      </w:r>
      <w:r w:rsidRPr="00F711A7">
        <w:rPr>
          <w:rFonts w:ascii="Times New Roman" w:hAnsi="Times New Roman"/>
          <w:sz w:val="24"/>
          <w:szCs w:val="24"/>
        </w:rPr>
        <w:t>uje život, slobody a bezpe</w:t>
      </w:r>
      <w:r w:rsidRPr="00F711A7">
        <w:rPr>
          <w:rFonts w:ascii="Times New Roman" w:hAnsi="Times New Roman" w:hint="eastAsia"/>
          <w:sz w:val="24"/>
          <w:szCs w:val="24"/>
        </w:rPr>
        <w:t>č</w:t>
      </w:r>
      <w:r w:rsidRPr="00F711A7">
        <w:rPr>
          <w:rFonts w:ascii="Times New Roman" w:hAnsi="Times New Roman"/>
          <w:sz w:val="24"/>
          <w:szCs w:val="24"/>
        </w:rPr>
        <w:t>nos</w:t>
      </w:r>
      <w:r w:rsidRPr="00F711A7">
        <w:rPr>
          <w:rFonts w:ascii="Times New Roman" w:hAnsi="Times New Roman" w:hint="eastAsia"/>
          <w:sz w:val="24"/>
          <w:szCs w:val="24"/>
        </w:rPr>
        <w:t>ť</w:t>
      </w:r>
      <w:r w:rsidRPr="00F711A7">
        <w:rPr>
          <w:rFonts w:ascii="Times New Roman" w:hAnsi="Times New Roman"/>
          <w:sz w:val="24"/>
          <w:szCs w:val="24"/>
        </w:rPr>
        <w:t xml:space="preserve"> obyvate</w:t>
      </w:r>
      <w:r w:rsidRPr="00F711A7">
        <w:rPr>
          <w:rFonts w:ascii="Times New Roman" w:hAnsi="Times New Roman" w:hint="eastAsia"/>
          <w:sz w:val="24"/>
          <w:szCs w:val="24"/>
        </w:rPr>
        <w:t>ľ</w:t>
      </w:r>
      <w:r w:rsidRPr="00F711A7">
        <w:rPr>
          <w:rFonts w:ascii="Times New Roman" w:hAnsi="Times New Roman"/>
          <w:sz w:val="24"/>
          <w:szCs w:val="24"/>
        </w:rPr>
        <w:t>ov a spravodlivos</w:t>
      </w:r>
      <w:r w:rsidRPr="00F711A7">
        <w:rPr>
          <w:rFonts w:ascii="Times New Roman" w:hAnsi="Times New Roman" w:hint="eastAsia"/>
          <w:sz w:val="24"/>
          <w:szCs w:val="24"/>
        </w:rPr>
        <w:t>ť</w:t>
      </w:r>
      <w:r w:rsidRPr="00F711A7">
        <w:rPr>
          <w:rFonts w:ascii="Times New Roman" w:hAnsi="Times New Roman"/>
          <w:sz w:val="24"/>
          <w:szCs w:val="24"/>
        </w:rPr>
        <w:t xml:space="preserve"> na svojom území prostredníctvom silových zložiek a organizácií v justícii. Do silových zložiek spadá polícia, hasi</w:t>
      </w:r>
      <w:r w:rsidRPr="00F711A7">
        <w:rPr>
          <w:rFonts w:ascii="Times New Roman" w:hAnsi="Times New Roman" w:hint="eastAsia"/>
          <w:sz w:val="24"/>
          <w:szCs w:val="24"/>
        </w:rPr>
        <w:t>č</w:t>
      </w:r>
      <w:r w:rsidRPr="00F711A7">
        <w:rPr>
          <w:rFonts w:ascii="Times New Roman" w:hAnsi="Times New Roman"/>
          <w:sz w:val="24"/>
          <w:szCs w:val="24"/>
        </w:rPr>
        <w:t xml:space="preserve">i a záchranári, ktorých </w:t>
      </w:r>
      <w:r w:rsidRPr="00F711A7">
        <w:rPr>
          <w:rFonts w:ascii="Times New Roman" w:hAnsi="Times New Roman" w:hint="eastAsia"/>
          <w:sz w:val="24"/>
          <w:szCs w:val="24"/>
        </w:rPr>
        <w:t>č</w:t>
      </w:r>
      <w:r w:rsidRPr="00F711A7">
        <w:rPr>
          <w:rFonts w:ascii="Times New Roman" w:hAnsi="Times New Roman"/>
          <w:sz w:val="24"/>
          <w:szCs w:val="24"/>
        </w:rPr>
        <w:t>innos</w:t>
      </w:r>
      <w:r w:rsidRPr="00F711A7">
        <w:rPr>
          <w:rFonts w:ascii="Times New Roman" w:hAnsi="Times New Roman" w:hint="eastAsia"/>
          <w:sz w:val="24"/>
          <w:szCs w:val="24"/>
        </w:rPr>
        <w:t>ť</w:t>
      </w:r>
      <w:r w:rsidRPr="00F711A7">
        <w:rPr>
          <w:rFonts w:ascii="Times New Roman" w:hAnsi="Times New Roman"/>
          <w:sz w:val="24"/>
          <w:szCs w:val="24"/>
        </w:rPr>
        <w:t xml:space="preserve"> zabezpe</w:t>
      </w:r>
      <w:r w:rsidRPr="00F711A7">
        <w:rPr>
          <w:rFonts w:ascii="Times New Roman" w:hAnsi="Times New Roman" w:hint="eastAsia"/>
          <w:sz w:val="24"/>
          <w:szCs w:val="24"/>
        </w:rPr>
        <w:t>č</w:t>
      </w:r>
      <w:r w:rsidRPr="00F711A7">
        <w:rPr>
          <w:rFonts w:ascii="Times New Roman" w:hAnsi="Times New Roman"/>
          <w:sz w:val="24"/>
          <w:szCs w:val="24"/>
        </w:rPr>
        <w:t>uje Ministerstvo vnútra SR a väzenstvo kompeten</w:t>
      </w:r>
      <w:r w:rsidRPr="00F711A7">
        <w:rPr>
          <w:rFonts w:ascii="Times New Roman" w:hAnsi="Times New Roman" w:hint="eastAsia"/>
          <w:sz w:val="24"/>
          <w:szCs w:val="24"/>
        </w:rPr>
        <w:t>č</w:t>
      </w:r>
      <w:r w:rsidRPr="00F711A7">
        <w:rPr>
          <w:rFonts w:ascii="Times New Roman" w:hAnsi="Times New Roman"/>
          <w:sz w:val="24"/>
          <w:szCs w:val="24"/>
        </w:rPr>
        <w:t>ne spadajúce pod Ministerstvo spravodlivosti</w:t>
      </w:r>
      <w:r w:rsidR="00B46D8C">
        <w:rPr>
          <w:rFonts w:ascii="Times New Roman" w:hAnsi="Times New Roman"/>
          <w:sz w:val="24"/>
          <w:szCs w:val="24"/>
        </w:rPr>
        <w:t xml:space="preserve"> SR</w:t>
      </w:r>
      <w:r w:rsidRPr="00F711A7">
        <w:rPr>
          <w:rFonts w:ascii="Times New Roman" w:hAnsi="Times New Roman"/>
          <w:sz w:val="24"/>
          <w:szCs w:val="24"/>
        </w:rPr>
        <w:t>. Spravodlivos</w:t>
      </w:r>
      <w:r w:rsidRPr="00F711A7">
        <w:rPr>
          <w:rFonts w:ascii="Times New Roman" w:hAnsi="Times New Roman" w:hint="eastAsia"/>
          <w:sz w:val="24"/>
          <w:szCs w:val="24"/>
        </w:rPr>
        <w:t>ť</w:t>
      </w:r>
      <w:r w:rsidRPr="00F711A7">
        <w:rPr>
          <w:rFonts w:ascii="Times New Roman" w:hAnsi="Times New Roman"/>
          <w:sz w:val="24"/>
          <w:szCs w:val="24"/>
        </w:rPr>
        <w:t xml:space="preserve"> je realizovaná Ministerstvom spravodlivosti SR, súdmi, Ústavným súdom SR, </w:t>
      </w:r>
      <w:r w:rsidRPr="00FC1207">
        <w:rPr>
          <w:rFonts w:ascii="Times New Roman" w:hAnsi="Times New Roman"/>
          <w:sz w:val="24"/>
          <w:szCs w:val="24"/>
        </w:rPr>
        <w:t>Najvyšším správnym súdom SR</w:t>
      </w:r>
      <w:r>
        <w:rPr>
          <w:rFonts w:ascii="Times New Roman" w:hAnsi="Times New Roman"/>
          <w:sz w:val="24"/>
          <w:szCs w:val="24"/>
        </w:rPr>
        <w:t>,</w:t>
      </w:r>
      <w:r w:rsidRPr="00FC1207">
        <w:rPr>
          <w:rFonts w:ascii="Times New Roman" w:hAnsi="Times New Roman"/>
          <w:sz w:val="24"/>
          <w:szCs w:val="24"/>
        </w:rPr>
        <w:t xml:space="preserve"> </w:t>
      </w:r>
      <w:r w:rsidRPr="00F711A7">
        <w:rPr>
          <w:rFonts w:ascii="Times New Roman" w:hAnsi="Times New Roman"/>
          <w:sz w:val="24"/>
          <w:szCs w:val="24"/>
        </w:rPr>
        <w:t>Najvyšším súdom SR, Súdnou radou SR, prokuratúrou, verejnou ochranky</w:t>
      </w:r>
      <w:r w:rsidRPr="00F711A7">
        <w:rPr>
          <w:rFonts w:ascii="Times New Roman" w:hAnsi="Times New Roman" w:hint="eastAsia"/>
          <w:sz w:val="24"/>
          <w:szCs w:val="24"/>
        </w:rPr>
        <w:t>ň</w:t>
      </w:r>
      <w:r w:rsidRPr="00F711A7">
        <w:rPr>
          <w:rFonts w:ascii="Times New Roman" w:hAnsi="Times New Roman"/>
          <w:sz w:val="24"/>
          <w:szCs w:val="24"/>
        </w:rPr>
        <w:t>ou práv</w:t>
      </w:r>
      <w:r w:rsidRPr="00F711A7">
        <w:rPr>
          <w:rFonts w:ascii="Times New Roman" w:hAnsi="Times New Roman"/>
          <w:sz w:val="24"/>
        </w:rPr>
        <w:t xml:space="preserve">, </w:t>
      </w:r>
      <w:r w:rsidRPr="00F711A7">
        <w:rPr>
          <w:rFonts w:ascii="Times New Roman" w:hAnsi="Times New Roman"/>
          <w:sz w:val="24"/>
          <w:szCs w:val="24"/>
        </w:rPr>
        <w:t xml:space="preserve">Ústavom pamäti národa, Slovenským národným strediskom pre </w:t>
      </w:r>
      <w:r w:rsidRPr="00F711A7">
        <w:rPr>
          <w:rFonts w:ascii="Times New Roman" w:hAnsi="Times New Roman" w:hint="eastAsia"/>
          <w:sz w:val="24"/>
          <w:szCs w:val="24"/>
        </w:rPr>
        <w:t>ľ</w:t>
      </w:r>
      <w:r w:rsidRPr="00F711A7">
        <w:rPr>
          <w:rFonts w:ascii="Times New Roman" w:hAnsi="Times New Roman"/>
          <w:sz w:val="24"/>
          <w:szCs w:val="24"/>
        </w:rPr>
        <w:t>udské práva a Úradom na ochranu oznamovate</w:t>
      </w:r>
      <w:r w:rsidRPr="00F711A7">
        <w:rPr>
          <w:rFonts w:ascii="Times New Roman" w:hAnsi="Times New Roman" w:hint="eastAsia"/>
          <w:sz w:val="24"/>
          <w:szCs w:val="24"/>
        </w:rPr>
        <w:t>ľ</w:t>
      </w:r>
      <w:r w:rsidRPr="00F711A7">
        <w:rPr>
          <w:rFonts w:ascii="Times New Roman" w:hAnsi="Times New Roman"/>
          <w:sz w:val="24"/>
          <w:szCs w:val="24"/>
        </w:rPr>
        <w:t>ov protispolo</w:t>
      </w:r>
      <w:r w:rsidRPr="00F711A7">
        <w:rPr>
          <w:rFonts w:ascii="Times New Roman" w:hAnsi="Times New Roman" w:hint="eastAsia"/>
          <w:sz w:val="24"/>
          <w:szCs w:val="24"/>
        </w:rPr>
        <w:t>č</w:t>
      </w:r>
      <w:r w:rsidRPr="00F711A7">
        <w:rPr>
          <w:rFonts w:ascii="Times New Roman" w:hAnsi="Times New Roman"/>
          <w:sz w:val="24"/>
          <w:szCs w:val="24"/>
        </w:rPr>
        <w:t xml:space="preserve">enskej </w:t>
      </w:r>
      <w:r w:rsidRPr="00F711A7">
        <w:rPr>
          <w:rFonts w:ascii="Times New Roman" w:hAnsi="Times New Roman" w:hint="eastAsia"/>
          <w:sz w:val="24"/>
          <w:szCs w:val="24"/>
        </w:rPr>
        <w:t>č</w:t>
      </w:r>
      <w:r w:rsidRPr="00F711A7">
        <w:rPr>
          <w:rFonts w:ascii="Times New Roman" w:hAnsi="Times New Roman"/>
          <w:sz w:val="24"/>
          <w:szCs w:val="24"/>
        </w:rPr>
        <w:t>innosti.</w:t>
      </w:r>
    </w:p>
    <w:p w:rsidR="00AA17E3" w:rsidRPr="009224A5" w:rsidRDefault="00AA17E3" w:rsidP="003C3DFF">
      <w:pPr>
        <w:pStyle w:val="Popis"/>
        <w:keepNext/>
        <w:spacing w:after="0"/>
        <w:rPr>
          <w:rFonts w:ascii="Times New Roman" w:hAnsi="Times New Roman"/>
          <w:b/>
          <w:i w:val="0"/>
          <w:color w:val="5B9BD5" w:themeColor="accent1"/>
          <w:sz w:val="24"/>
          <w:szCs w:val="20"/>
        </w:rPr>
      </w:pPr>
    </w:p>
    <w:tbl>
      <w:tblPr>
        <w:tblpPr w:leftFromText="141" w:rightFromText="141" w:vertAnchor="text" w:horzAnchor="margin" w:tblpXSpec="center" w:tblpY="260"/>
        <w:tblW w:w="5000" w:type="pct"/>
        <w:jc w:val="center"/>
        <w:tblCellMar>
          <w:left w:w="70" w:type="dxa"/>
          <w:right w:w="70" w:type="dxa"/>
        </w:tblCellMar>
        <w:tblLook w:val="04A0" w:firstRow="1" w:lastRow="0" w:firstColumn="1" w:lastColumn="0" w:noHBand="0" w:noVBand="1"/>
      </w:tblPr>
      <w:tblGrid>
        <w:gridCol w:w="2026"/>
        <w:gridCol w:w="875"/>
        <w:gridCol w:w="1031"/>
        <w:gridCol w:w="1031"/>
        <w:gridCol w:w="1031"/>
        <w:gridCol w:w="1031"/>
        <w:gridCol w:w="1031"/>
        <w:gridCol w:w="1016"/>
      </w:tblGrid>
      <w:tr w:rsidR="003C3DFF" w:rsidRPr="003C3DFF" w:rsidTr="00877233">
        <w:trPr>
          <w:trHeight w:val="261"/>
          <w:jc w:val="center"/>
        </w:trPr>
        <w:tc>
          <w:tcPr>
            <w:tcW w:w="1117" w:type="pct"/>
            <w:tcBorders>
              <w:top w:val="single" w:sz="4" w:space="0" w:color="auto"/>
              <w:bottom w:val="single" w:sz="4" w:space="0" w:color="auto"/>
            </w:tcBorders>
            <w:shd w:val="clear" w:color="auto" w:fill="auto"/>
            <w:noWrap/>
            <w:vAlign w:val="bottom"/>
          </w:tcPr>
          <w:p w:rsidR="003C3DFF" w:rsidRPr="003C3DFF" w:rsidRDefault="003C3DFF" w:rsidP="003C3DFF">
            <w:pPr>
              <w:rPr>
                <w:rFonts w:ascii="Times New Roman" w:hAnsi="Times New Roman"/>
                <w:b/>
                <w:sz w:val="16"/>
                <w:szCs w:val="16"/>
              </w:rPr>
            </w:pPr>
            <w:r w:rsidRPr="003C3DFF">
              <w:rPr>
                <w:rFonts w:ascii="Times New Roman" w:hAnsi="Times New Roman"/>
                <w:b/>
                <w:sz w:val="16"/>
                <w:szCs w:val="16"/>
              </w:rPr>
              <w:t>v tis. eur</w:t>
            </w:r>
          </w:p>
        </w:tc>
        <w:tc>
          <w:tcPr>
            <w:tcW w:w="482" w:type="pct"/>
            <w:tcBorders>
              <w:top w:val="single" w:sz="4" w:space="0" w:color="auto"/>
              <w:bottom w:val="single" w:sz="4" w:space="0" w:color="auto"/>
            </w:tcBorders>
            <w:shd w:val="clear" w:color="auto" w:fill="auto"/>
            <w:vAlign w:val="center"/>
          </w:tcPr>
          <w:p w:rsidR="003C3DFF" w:rsidRPr="003C3DFF" w:rsidRDefault="003C3DFF" w:rsidP="003C3DFF">
            <w:pPr>
              <w:jc w:val="right"/>
              <w:rPr>
                <w:rFonts w:ascii="Times New Roman" w:hAnsi="Times New Roman"/>
                <w:b/>
                <w:bCs/>
                <w:color w:val="000000"/>
                <w:sz w:val="16"/>
                <w:szCs w:val="16"/>
              </w:rPr>
            </w:pPr>
            <w:r w:rsidRPr="003C3DFF">
              <w:rPr>
                <w:rFonts w:ascii="Times New Roman" w:hAnsi="Times New Roman"/>
                <w:b/>
                <w:bCs/>
                <w:color w:val="000000"/>
                <w:sz w:val="16"/>
                <w:szCs w:val="16"/>
              </w:rPr>
              <w:t>2019 S</w:t>
            </w:r>
          </w:p>
        </w:tc>
        <w:tc>
          <w:tcPr>
            <w:tcW w:w="568" w:type="pct"/>
            <w:tcBorders>
              <w:top w:val="single" w:sz="4" w:space="0" w:color="auto"/>
              <w:bottom w:val="single" w:sz="4" w:space="0" w:color="auto"/>
            </w:tcBorders>
            <w:shd w:val="clear" w:color="auto" w:fill="auto"/>
            <w:noWrap/>
            <w:vAlign w:val="center"/>
          </w:tcPr>
          <w:p w:rsidR="003C3DFF" w:rsidRPr="003C3DFF" w:rsidRDefault="003C3DFF" w:rsidP="003C3DFF">
            <w:pPr>
              <w:jc w:val="right"/>
              <w:rPr>
                <w:rFonts w:ascii="Times New Roman" w:hAnsi="Times New Roman"/>
                <w:b/>
                <w:bCs/>
                <w:color w:val="000000"/>
                <w:sz w:val="16"/>
                <w:szCs w:val="16"/>
                <w:highlight w:val="yellow"/>
              </w:rPr>
            </w:pPr>
            <w:r w:rsidRPr="003C3DFF">
              <w:rPr>
                <w:rFonts w:ascii="Times New Roman" w:hAnsi="Times New Roman"/>
                <w:b/>
                <w:bCs/>
                <w:color w:val="000000"/>
                <w:sz w:val="16"/>
                <w:szCs w:val="16"/>
              </w:rPr>
              <w:t xml:space="preserve">2020 S </w:t>
            </w:r>
          </w:p>
        </w:tc>
        <w:tc>
          <w:tcPr>
            <w:tcW w:w="568" w:type="pct"/>
            <w:tcBorders>
              <w:top w:val="single" w:sz="4" w:space="0" w:color="auto"/>
              <w:bottom w:val="single" w:sz="4" w:space="0" w:color="auto"/>
            </w:tcBorders>
            <w:shd w:val="clear" w:color="auto" w:fill="auto"/>
            <w:noWrap/>
            <w:vAlign w:val="center"/>
          </w:tcPr>
          <w:p w:rsidR="003C3DFF" w:rsidRPr="003C3DFF" w:rsidRDefault="003C3DFF" w:rsidP="003C3DFF">
            <w:pPr>
              <w:jc w:val="right"/>
              <w:rPr>
                <w:rFonts w:ascii="Times New Roman" w:hAnsi="Times New Roman"/>
                <w:b/>
                <w:bCs/>
                <w:color w:val="000000"/>
                <w:sz w:val="16"/>
                <w:szCs w:val="16"/>
              </w:rPr>
            </w:pPr>
            <w:r w:rsidRPr="003C3DFF">
              <w:rPr>
                <w:rFonts w:ascii="Times New Roman" w:hAnsi="Times New Roman"/>
                <w:b/>
                <w:bCs/>
                <w:color w:val="000000"/>
                <w:sz w:val="16"/>
                <w:szCs w:val="16"/>
              </w:rPr>
              <w:t>2021 R</w:t>
            </w:r>
          </w:p>
        </w:tc>
        <w:tc>
          <w:tcPr>
            <w:tcW w:w="568" w:type="pct"/>
            <w:tcBorders>
              <w:top w:val="single" w:sz="4" w:space="0" w:color="auto"/>
              <w:bottom w:val="single" w:sz="4" w:space="0" w:color="auto"/>
            </w:tcBorders>
            <w:shd w:val="clear" w:color="auto" w:fill="auto"/>
            <w:vAlign w:val="center"/>
          </w:tcPr>
          <w:p w:rsidR="003C3DFF" w:rsidRPr="003C3DFF" w:rsidRDefault="003C3DFF" w:rsidP="003C3DFF">
            <w:pPr>
              <w:jc w:val="right"/>
              <w:rPr>
                <w:rFonts w:ascii="Times New Roman" w:hAnsi="Times New Roman"/>
                <w:b/>
                <w:bCs/>
                <w:color w:val="000000"/>
                <w:sz w:val="16"/>
                <w:szCs w:val="16"/>
              </w:rPr>
            </w:pPr>
            <w:r w:rsidRPr="003C3DFF">
              <w:rPr>
                <w:rFonts w:ascii="Times New Roman" w:hAnsi="Times New Roman"/>
                <w:b/>
                <w:bCs/>
                <w:color w:val="000000"/>
                <w:sz w:val="16"/>
                <w:szCs w:val="16"/>
              </w:rPr>
              <w:t>2021 OS</w:t>
            </w:r>
          </w:p>
        </w:tc>
        <w:tc>
          <w:tcPr>
            <w:tcW w:w="568" w:type="pct"/>
            <w:tcBorders>
              <w:top w:val="single" w:sz="4" w:space="0" w:color="auto"/>
              <w:bottom w:val="single" w:sz="4" w:space="0" w:color="auto"/>
            </w:tcBorders>
            <w:shd w:val="clear" w:color="auto" w:fill="auto"/>
            <w:noWrap/>
            <w:vAlign w:val="center"/>
          </w:tcPr>
          <w:p w:rsidR="003C3DFF" w:rsidRPr="003C3DFF" w:rsidRDefault="003C3DFF" w:rsidP="003C3DFF">
            <w:pPr>
              <w:jc w:val="right"/>
              <w:rPr>
                <w:rFonts w:ascii="Times New Roman" w:hAnsi="Times New Roman"/>
                <w:b/>
                <w:bCs/>
                <w:color w:val="000000"/>
                <w:sz w:val="16"/>
                <w:szCs w:val="16"/>
              </w:rPr>
            </w:pPr>
            <w:r w:rsidRPr="003C3DFF">
              <w:rPr>
                <w:rFonts w:ascii="Times New Roman" w:hAnsi="Times New Roman"/>
                <w:b/>
                <w:bCs/>
                <w:color w:val="000000"/>
                <w:sz w:val="16"/>
                <w:szCs w:val="16"/>
              </w:rPr>
              <w:t>2022 N</w:t>
            </w:r>
          </w:p>
        </w:tc>
        <w:tc>
          <w:tcPr>
            <w:tcW w:w="568" w:type="pct"/>
            <w:tcBorders>
              <w:top w:val="single" w:sz="4" w:space="0" w:color="auto"/>
              <w:bottom w:val="single" w:sz="4" w:space="0" w:color="auto"/>
            </w:tcBorders>
            <w:shd w:val="clear" w:color="auto" w:fill="auto"/>
            <w:noWrap/>
            <w:vAlign w:val="center"/>
          </w:tcPr>
          <w:p w:rsidR="003C3DFF" w:rsidRPr="003C3DFF" w:rsidRDefault="003C3DFF" w:rsidP="003C3DFF">
            <w:pPr>
              <w:jc w:val="right"/>
              <w:rPr>
                <w:rFonts w:ascii="Times New Roman" w:hAnsi="Times New Roman"/>
                <w:b/>
                <w:bCs/>
                <w:color w:val="000000"/>
                <w:sz w:val="16"/>
                <w:szCs w:val="16"/>
              </w:rPr>
            </w:pPr>
            <w:r w:rsidRPr="003C3DFF">
              <w:rPr>
                <w:rFonts w:ascii="Times New Roman" w:hAnsi="Times New Roman"/>
                <w:b/>
                <w:bCs/>
                <w:color w:val="000000"/>
                <w:sz w:val="16"/>
                <w:szCs w:val="16"/>
              </w:rPr>
              <w:t>2023 N</w:t>
            </w:r>
          </w:p>
        </w:tc>
        <w:tc>
          <w:tcPr>
            <w:tcW w:w="560" w:type="pct"/>
            <w:tcBorders>
              <w:top w:val="single" w:sz="4" w:space="0" w:color="auto"/>
              <w:bottom w:val="single" w:sz="4" w:space="0" w:color="auto"/>
            </w:tcBorders>
            <w:shd w:val="clear" w:color="auto" w:fill="auto"/>
            <w:noWrap/>
            <w:vAlign w:val="center"/>
          </w:tcPr>
          <w:p w:rsidR="003C3DFF" w:rsidRPr="003C3DFF" w:rsidRDefault="003C3DFF" w:rsidP="003C3DFF">
            <w:pPr>
              <w:jc w:val="right"/>
              <w:rPr>
                <w:rFonts w:ascii="Times New Roman" w:hAnsi="Times New Roman"/>
                <w:b/>
                <w:bCs/>
                <w:color w:val="000000"/>
                <w:sz w:val="16"/>
                <w:szCs w:val="16"/>
              </w:rPr>
            </w:pPr>
            <w:r w:rsidRPr="003C3DFF">
              <w:rPr>
                <w:rFonts w:ascii="Times New Roman" w:hAnsi="Times New Roman"/>
                <w:b/>
                <w:bCs/>
                <w:color w:val="000000"/>
                <w:sz w:val="16"/>
                <w:szCs w:val="16"/>
              </w:rPr>
              <w:t>2024 N</w:t>
            </w:r>
          </w:p>
        </w:tc>
      </w:tr>
      <w:tr w:rsidR="003C3DFF" w:rsidRPr="003C3DFF" w:rsidTr="00877233">
        <w:trPr>
          <w:trHeight w:val="261"/>
          <w:jc w:val="center"/>
        </w:trPr>
        <w:tc>
          <w:tcPr>
            <w:tcW w:w="1117" w:type="pct"/>
            <w:tcBorders>
              <w:top w:val="single" w:sz="4" w:space="0" w:color="auto"/>
            </w:tcBorders>
            <w:shd w:val="clear" w:color="auto" w:fill="auto"/>
            <w:vAlign w:val="bottom"/>
          </w:tcPr>
          <w:p w:rsidR="003C3DFF" w:rsidRPr="003C3DFF" w:rsidRDefault="003C3DFF" w:rsidP="003C3DFF">
            <w:pPr>
              <w:rPr>
                <w:rFonts w:ascii="Times New Roman" w:hAnsi="Times New Roman"/>
                <w:b/>
                <w:bCs/>
                <w:sz w:val="16"/>
                <w:szCs w:val="16"/>
              </w:rPr>
            </w:pPr>
            <w:r w:rsidRPr="003C3DFF">
              <w:rPr>
                <w:rFonts w:ascii="Times New Roman" w:hAnsi="Times New Roman"/>
                <w:b/>
                <w:bCs/>
                <w:sz w:val="16"/>
                <w:szCs w:val="16"/>
              </w:rPr>
              <w:t>Verejný poriadok a bezpečnosť</w:t>
            </w:r>
          </w:p>
        </w:tc>
        <w:tc>
          <w:tcPr>
            <w:tcW w:w="482" w:type="pct"/>
            <w:tcBorders>
              <w:top w:val="single" w:sz="4" w:space="0" w:color="auto"/>
            </w:tcBorders>
            <w:shd w:val="clear" w:color="auto" w:fill="FFFFFF" w:themeFill="background1"/>
            <w:noWrap/>
            <w:vAlign w:val="center"/>
          </w:tcPr>
          <w:p w:rsidR="003C3DFF" w:rsidRPr="003C3DFF" w:rsidRDefault="003C3DFF" w:rsidP="003C3DFF">
            <w:pPr>
              <w:contextualSpacing/>
              <w:jc w:val="right"/>
              <w:rPr>
                <w:rFonts w:ascii="Times New Roman" w:hAnsi="Times New Roman" w:cs="Times New Roman"/>
                <w:b/>
                <w:bCs/>
                <w:color w:val="000000"/>
                <w:sz w:val="16"/>
                <w:szCs w:val="16"/>
              </w:rPr>
            </w:pPr>
            <w:r w:rsidRPr="003C3DFF">
              <w:rPr>
                <w:rFonts w:ascii="Times New Roman" w:hAnsi="Times New Roman" w:cs="Times New Roman"/>
                <w:b/>
                <w:bCs/>
                <w:color w:val="000000"/>
                <w:sz w:val="16"/>
                <w:szCs w:val="16"/>
              </w:rPr>
              <w:t>1 823 325</w:t>
            </w:r>
          </w:p>
        </w:tc>
        <w:tc>
          <w:tcPr>
            <w:tcW w:w="568" w:type="pct"/>
            <w:tcBorders>
              <w:top w:val="single" w:sz="4" w:space="0" w:color="auto"/>
            </w:tcBorders>
            <w:shd w:val="clear" w:color="auto" w:fill="FFFFFF" w:themeFill="background1"/>
            <w:noWrap/>
            <w:vAlign w:val="center"/>
          </w:tcPr>
          <w:p w:rsidR="003C3DFF" w:rsidRPr="003C3DFF" w:rsidRDefault="003C3DFF" w:rsidP="003C3DFF">
            <w:pPr>
              <w:contextualSpacing/>
              <w:jc w:val="right"/>
              <w:rPr>
                <w:rFonts w:ascii="Times New Roman" w:hAnsi="Times New Roman" w:cs="Times New Roman"/>
                <w:b/>
                <w:bCs/>
                <w:color w:val="000000"/>
                <w:sz w:val="16"/>
                <w:szCs w:val="16"/>
                <w:highlight w:val="red"/>
              </w:rPr>
            </w:pPr>
            <w:r w:rsidRPr="003C3DFF">
              <w:rPr>
                <w:rFonts w:ascii="Times New Roman" w:hAnsi="Times New Roman" w:cs="Times New Roman"/>
                <w:b/>
                <w:bCs/>
                <w:color w:val="000000"/>
                <w:sz w:val="16"/>
                <w:szCs w:val="16"/>
              </w:rPr>
              <w:t>1 839 407</w:t>
            </w:r>
          </w:p>
        </w:tc>
        <w:tc>
          <w:tcPr>
            <w:tcW w:w="568" w:type="pct"/>
            <w:tcBorders>
              <w:top w:val="single" w:sz="4" w:space="0" w:color="auto"/>
            </w:tcBorders>
            <w:shd w:val="clear" w:color="auto" w:fill="FFFFFF" w:themeFill="background1"/>
            <w:noWrap/>
            <w:vAlign w:val="center"/>
          </w:tcPr>
          <w:p w:rsidR="003C3DFF" w:rsidRPr="003C3DFF" w:rsidRDefault="003C3DFF" w:rsidP="003C3DFF">
            <w:pPr>
              <w:contextualSpacing/>
              <w:jc w:val="right"/>
              <w:rPr>
                <w:rFonts w:ascii="Times New Roman" w:hAnsi="Times New Roman" w:cs="Times New Roman"/>
                <w:b/>
                <w:bCs/>
                <w:color w:val="000000"/>
                <w:sz w:val="16"/>
                <w:szCs w:val="16"/>
              </w:rPr>
            </w:pPr>
            <w:r w:rsidRPr="003C3DFF">
              <w:rPr>
                <w:rFonts w:ascii="Times New Roman" w:hAnsi="Times New Roman" w:cs="Times New Roman"/>
                <w:b/>
                <w:bCs/>
                <w:color w:val="000000"/>
                <w:sz w:val="16"/>
                <w:szCs w:val="16"/>
              </w:rPr>
              <w:t>1 691 500</w:t>
            </w:r>
          </w:p>
        </w:tc>
        <w:tc>
          <w:tcPr>
            <w:tcW w:w="568" w:type="pct"/>
            <w:tcBorders>
              <w:top w:val="single" w:sz="4" w:space="0" w:color="auto"/>
            </w:tcBorders>
            <w:shd w:val="clear" w:color="auto" w:fill="FFFFFF" w:themeFill="background1"/>
            <w:vAlign w:val="center"/>
          </w:tcPr>
          <w:p w:rsidR="003C3DFF" w:rsidRPr="003C3DFF" w:rsidRDefault="003C3DFF" w:rsidP="003C3DFF">
            <w:pPr>
              <w:contextualSpacing/>
              <w:jc w:val="right"/>
              <w:rPr>
                <w:rFonts w:ascii="Times New Roman" w:hAnsi="Times New Roman" w:cs="Times New Roman"/>
                <w:b/>
                <w:bCs/>
                <w:color w:val="000000"/>
                <w:sz w:val="16"/>
                <w:szCs w:val="16"/>
              </w:rPr>
            </w:pPr>
            <w:r w:rsidRPr="003C3DFF">
              <w:rPr>
                <w:rFonts w:ascii="Times New Roman" w:hAnsi="Times New Roman" w:cs="Times New Roman"/>
                <w:b/>
                <w:bCs/>
                <w:color w:val="000000"/>
                <w:sz w:val="16"/>
                <w:szCs w:val="16"/>
              </w:rPr>
              <w:t>1 827 536</w:t>
            </w:r>
          </w:p>
        </w:tc>
        <w:tc>
          <w:tcPr>
            <w:tcW w:w="568" w:type="pct"/>
            <w:tcBorders>
              <w:top w:val="single" w:sz="4" w:space="0" w:color="auto"/>
            </w:tcBorders>
            <w:shd w:val="clear" w:color="auto" w:fill="FFFFFF" w:themeFill="background1"/>
            <w:noWrap/>
            <w:vAlign w:val="center"/>
          </w:tcPr>
          <w:p w:rsidR="003C3DFF" w:rsidRPr="003C3DFF" w:rsidRDefault="003C3DFF" w:rsidP="003C3DFF">
            <w:pPr>
              <w:contextualSpacing/>
              <w:jc w:val="right"/>
              <w:rPr>
                <w:rFonts w:ascii="Times New Roman" w:hAnsi="Times New Roman" w:cs="Times New Roman"/>
                <w:b/>
                <w:bCs/>
                <w:color w:val="000000"/>
                <w:sz w:val="16"/>
                <w:szCs w:val="16"/>
              </w:rPr>
            </w:pPr>
            <w:r w:rsidRPr="003C3DFF">
              <w:rPr>
                <w:rFonts w:ascii="Times New Roman" w:hAnsi="Times New Roman" w:cs="Times New Roman"/>
                <w:b/>
                <w:bCs/>
                <w:color w:val="000000"/>
                <w:sz w:val="16"/>
                <w:szCs w:val="16"/>
              </w:rPr>
              <w:t>1 845 499</w:t>
            </w:r>
          </w:p>
        </w:tc>
        <w:tc>
          <w:tcPr>
            <w:tcW w:w="568" w:type="pct"/>
            <w:tcBorders>
              <w:top w:val="single" w:sz="4" w:space="0" w:color="auto"/>
            </w:tcBorders>
            <w:shd w:val="clear" w:color="auto" w:fill="FFFFFF" w:themeFill="background1"/>
            <w:noWrap/>
            <w:vAlign w:val="center"/>
          </w:tcPr>
          <w:p w:rsidR="003C3DFF" w:rsidRPr="003C3DFF" w:rsidRDefault="003C3DFF" w:rsidP="003C3DFF">
            <w:pPr>
              <w:contextualSpacing/>
              <w:jc w:val="right"/>
              <w:rPr>
                <w:rFonts w:ascii="Times New Roman" w:hAnsi="Times New Roman" w:cs="Times New Roman"/>
                <w:b/>
                <w:bCs/>
                <w:color w:val="000000"/>
                <w:sz w:val="16"/>
                <w:szCs w:val="16"/>
              </w:rPr>
            </w:pPr>
            <w:r w:rsidRPr="003C3DFF">
              <w:rPr>
                <w:rFonts w:ascii="Times New Roman" w:hAnsi="Times New Roman" w:cs="Times New Roman"/>
                <w:b/>
                <w:bCs/>
                <w:color w:val="000000"/>
                <w:sz w:val="16"/>
                <w:szCs w:val="16"/>
              </w:rPr>
              <w:t>1 884 065</w:t>
            </w:r>
          </w:p>
        </w:tc>
        <w:tc>
          <w:tcPr>
            <w:tcW w:w="560" w:type="pct"/>
            <w:tcBorders>
              <w:top w:val="single" w:sz="4" w:space="0" w:color="auto"/>
            </w:tcBorders>
            <w:shd w:val="clear" w:color="auto" w:fill="FFFFFF" w:themeFill="background1"/>
            <w:noWrap/>
            <w:vAlign w:val="center"/>
          </w:tcPr>
          <w:p w:rsidR="003C3DFF" w:rsidRPr="003C3DFF" w:rsidRDefault="003C3DFF" w:rsidP="003C3DFF">
            <w:pPr>
              <w:contextualSpacing/>
              <w:jc w:val="right"/>
              <w:rPr>
                <w:rFonts w:ascii="Times New Roman" w:hAnsi="Times New Roman" w:cs="Times New Roman"/>
                <w:b/>
                <w:bCs/>
                <w:color w:val="000000"/>
                <w:sz w:val="16"/>
                <w:szCs w:val="16"/>
              </w:rPr>
            </w:pPr>
            <w:r w:rsidRPr="003C3DFF">
              <w:rPr>
                <w:rFonts w:ascii="Times New Roman" w:hAnsi="Times New Roman" w:cs="Times New Roman"/>
                <w:b/>
                <w:bCs/>
                <w:color w:val="000000"/>
                <w:sz w:val="16"/>
                <w:szCs w:val="16"/>
              </w:rPr>
              <w:t>1 870 639</w:t>
            </w:r>
          </w:p>
        </w:tc>
      </w:tr>
      <w:tr w:rsidR="003C3DFF" w:rsidRPr="003C3DFF" w:rsidTr="00877233">
        <w:trPr>
          <w:trHeight w:val="261"/>
          <w:jc w:val="center"/>
        </w:trPr>
        <w:tc>
          <w:tcPr>
            <w:tcW w:w="1117" w:type="pct"/>
            <w:shd w:val="clear" w:color="000000" w:fill="FFFFFF"/>
            <w:vAlign w:val="bottom"/>
          </w:tcPr>
          <w:p w:rsidR="003C3DFF" w:rsidRPr="003C3DFF" w:rsidRDefault="003C3DFF" w:rsidP="003C3DFF">
            <w:pPr>
              <w:rPr>
                <w:rFonts w:ascii="Times New Roman" w:hAnsi="Times New Roman"/>
                <w:sz w:val="16"/>
                <w:szCs w:val="16"/>
              </w:rPr>
            </w:pPr>
            <w:r w:rsidRPr="003C3DFF">
              <w:rPr>
                <w:rFonts w:ascii="Times New Roman" w:hAnsi="Times New Roman"/>
                <w:sz w:val="16"/>
                <w:szCs w:val="16"/>
              </w:rPr>
              <w:t>Bezpečnosť</w:t>
            </w:r>
          </w:p>
        </w:tc>
        <w:tc>
          <w:tcPr>
            <w:tcW w:w="482" w:type="pct"/>
            <w:tcBorders>
              <w:top w:val="nil"/>
            </w:tcBorders>
            <w:shd w:val="clear" w:color="000000" w:fill="FFFFFF"/>
            <w:noWrap/>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color w:val="000000"/>
                <w:sz w:val="16"/>
                <w:szCs w:val="16"/>
              </w:rPr>
              <w:t>1 161 612</w:t>
            </w:r>
          </w:p>
        </w:tc>
        <w:tc>
          <w:tcPr>
            <w:tcW w:w="568" w:type="pct"/>
            <w:tcBorders>
              <w:top w:val="nil"/>
            </w:tcBorders>
            <w:shd w:val="clear" w:color="000000" w:fill="FFFFFF"/>
            <w:noWrap/>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color w:val="000000"/>
                <w:sz w:val="16"/>
                <w:szCs w:val="16"/>
              </w:rPr>
              <w:t>1 168 496</w:t>
            </w:r>
          </w:p>
        </w:tc>
        <w:tc>
          <w:tcPr>
            <w:tcW w:w="568" w:type="pct"/>
            <w:tcBorders>
              <w:top w:val="nil"/>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bCs/>
                <w:color w:val="000000"/>
                <w:sz w:val="16"/>
                <w:szCs w:val="16"/>
              </w:rPr>
              <w:t>1 070 738</w:t>
            </w:r>
          </w:p>
        </w:tc>
        <w:tc>
          <w:tcPr>
            <w:tcW w:w="568" w:type="pct"/>
            <w:tcBorders>
              <w:top w:val="nil"/>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bCs/>
                <w:color w:val="000000"/>
                <w:sz w:val="16"/>
                <w:szCs w:val="16"/>
              </w:rPr>
              <w:t>1 103 141</w:t>
            </w:r>
          </w:p>
        </w:tc>
        <w:tc>
          <w:tcPr>
            <w:tcW w:w="568" w:type="pct"/>
            <w:tcBorders>
              <w:top w:val="nil"/>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bCs/>
                <w:color w:val="000000"/>
                <w:sz w:val="16"/>
                <w:szCs w:val="16"/>
              </w:rPr>
              <w:t>1 118 227</w:t>
            </w:r>
          </w:p>
        </w:tc>
        <w:tc>
          <w:tcPr>
            <w:tcW w:w="568" w:type="pct"/>
            <w:tcBorders>
              <w:top w:val="nil"/>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color w:val="000000"/>
                <w:sz w:val="16"/>
                <w:szCs w:val="16"/>
              </w:rPr>
              <w:t>1 102 952</w:t>
            </w:r>
          </w:p>
        </w:tc>
        <w:tc>
          <w:tcPr>
            <w:tcW w:w="560" w:type="pct"/>
            <w:tcBorders>
              <w:top w:val="nil"/>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color w:val="000000"/>
                <w:sz w:val="16"/>
                <w:szCs w:val="16"/>
              </w:rPr>
              <w:t>1 093 283</w:t>
            </w:r>
          </w:p>
        </w:tc>
      </w:tr>
      <w:tr w:rsidR="003C3DFF" w:rsidRPr="003C3DFF" w:rsidTr="00877233">
        <w:trPr>
          <w:trHeight w:val="261"/>
          <w:jc w:val="center"/>
        </w:trPr>
        <w:tc>
          <w:tcPr>
            <w:tcW w:w="1117" w:type="pct"/>
            <w:shd w:val="clear" w:color="auto" w:fill="auto"/>
            <w:vAlign w:val="bottom"/>
          </w:tcPr>
          <w:p w:rsidR="003C3DFF" w:rsidRPr="003C3DFF" w:rsidRDefault="003C3DFF" w:rsidP="003C3DFF">
            <w:pPr>
              <w:rPr>
                <w:rFonts w:ascii="Times New Roman" w:hAnsi="Times New Roman"/>
                <w:sz w:val="16"/>
                <w:szCs w:val="16"/>
              </w:rPr>
            </w:pPr>
            <w:r w:rsidRPr="003C3DFF">
              <w:rPr>
                <w:rFonts w:ascii="Times New Roman" w:hAnsi="Times New Roman"/>
                <w:bCs/>
                <w:color w:val="000000"/>
                <w:sz w:val="16"/>
                <w:szCs w:val="16"/>
              </w:rPr>
              <w:t>Väzenstvo</w:t>
            </w:r>
          </w:p>
        </w:tc>
        <w:tc>
          <w:tcPr>
            <w:tcW w:w="482" w:type="pct"/>
            <w:tcBorders>
              <w:top w:val="nil"/>
            </w:tcBorders>
            <w:shd w:val="clear" w:color="000000" w:fill="FFFFFF"/>
            <w:noWrap/>
            <w:vAlign w:val="center"/>
          </w:tcPr>
          <w:p w:rsidR="003C3DFF" w:rsidRPr="003C3DFF" w:rsidRDefault="003C3DFF" w:rsidP="003C3DFF">
            <w:pPr>
              <w:contextualSpacing/>
              <w:jc w:val="right"/>
              <w:rPr>
                <w:rFonts w:ascii="Times New Roman" w:hAnsi="Times New Roman" w:cs="Times New Roman"/>
                <w:bCs/>
                <w:sz w:val="16"/>
                <w:szCs w:val="16"/>
              </w:rPr>
            </w:pPr>
            <w:r w:rsidRPr="003C3DFF">
              <w:rPr>
                <w:rFonts w:ascii="Times New Roman" w:hAnsi="Times New Roman" w:cs="Times New Roman"/>
                <w:color w:val="000000"/>
                <w:sz w:val="16"/>
                <w:szCs w:val="16"/>
              </w:rPr>
              <w:t>238 292</w:t>
            </w:r>
          </w:p>
        </w:tc>
        <w:tc>
          <w:tcPr>
            <w:tcW w:w="568" w:type="pct"/>
            <w:tcBorders>
              <w:top w:val="nil"/>
            </w:tcBorders>
            <w:shd w:val="clear" w:color="000000" w:fill="FFFFFF"/>
            <w:noWrap/>
            <w:vAlign w:val="center"/>
          </w:tcPr>
          <w:p w:rsidR="003C3DFF" w:rsidRPr="003C3DFF" w:rsidRDefault="003C3DFF" w:rsidP="003C3DFF">
            <w:pPr>
              <w:contextualSpacing/>
              <w:jc w:val="right"/>
              <w:rPr>
                <w:rFonts w:ascii="Times New Roman" w:hAnsi="Times New Roman" w:cs="Times New Roman"/>
                <w:bCs/>
                <w:sz w:val="16"/>
                <w:szCs w:val="16"/>
              </w:rPr>
            </w:pPr>
            <w:r w:rsidRPr="003C3DFF">
              <w:rPr>
                <w:rFonts w:ascii="Times New Roman" w:hAnsi="Times New Roman" w:cs="Times New Roman"/>
                <w:color w:val="000000"/>
                <w:sz w:val="16"/>
                <w:szCs w:val="16"/>
              </w:rPr>
              <w:t>231 717</w:t>
            </w:r>
          </w:p>
        </w:tc>
        <w:tc>
          <w:tcPr>
            <w:tcW w:w="568" w:type="pct"/>
            <w:tcBorders>
              <w:top w:val="nil"/>
            </w:tcBorders>
            <w:shd w:val="clear" w:color="000000" w:fill="FFFFFF"/>
            <w:vAlign w:val="center"/>
          </w:tcPr>
          <w:p w:rsidR="003C3DFF" w:rsidRPr="003C3DFF" w:rsidRDefault="003C3DFF" w:rsidP="003C3DFF">
            <w:pPr>
              <w:contextualSpacing/>
              <w:jc w:val="right"/>
              <w:rPr>
                <w:rFonts w:ascii="Times New Roman" w:hAnsi="Times New Roman" w:cs="Times New Roman"/>
                <w:sz w:val="16"/>
                <w:szCs w:val="16"/>
              </w:rPr>
            </w:pPr>
            <w:r w:rsidRPr="003C3DFF">
              <w:rPr>
                <w:rFonts w:ascii="Times New Roman" w:hAnsi="Times New Roman" w:cs="Times New Roman"/>
                <w:color w:val="000000"/>
                <w:sz w:val="16"/>
                <w:szCs w:val="16"/>
              </w:rPr>
              <w:t>215 814</w:t>
            </w:r>
          </w:p>
        </w:tc>
        <w:tc>
          <w:tcPr>
            <w:tcW w:w="568" w:type="pct"/>
            <w:tcBorders>
              <w:top w:val="nil"/>
            </w:tcBorders>
            <w:shd w:val="clear" w:color="000000" w:fill="FFFFFF"/>
            <w:vAlign w:val="center"/>
          </w:tcPr>
          <w:p w:rsidR="003C3DFF" w:rsidRPr="003C3DFF" w:rsidRDefault="003C3DFF" w:rsidP="003C3DFF">
            <w:pPr>
              <w:autoSpaceDE w:val="0"/>
              <w:autoSpaceDN w:val="0"/>
              <w:adjustRightInd w:val="0"/>
              <w:contextualSpacing/>
              <w:jc w:val="right"/>
              <w:rPr>
                <w:rFonts w:ascii="Times New Roman" w:hAnsi="Times New Roman" w:cs="Times New Roman"/>
                <w:sz w:val="16"/>
                <w:szCs w:val="16"/>
              </w:rPr>
            </w:pPr>
            <w:r w:rsidRPr="003C3DFF">
              <w:rPr>
                <w:rFonts w:ascii="Times New Roman" w:hAnsi="Times New Roman" w:cs="Times New Roman"/>
                <w:color w:val="000000"/>
                <w:sz w:val="16"/>
                <w:szCs w:val="16"/>
              </w:rPr>
              <w:t>241 114</w:t>
            </w:r>
          </w:p>
        </w:tc>
        <w:tc>
          <w:tcPr>
            <w:tcW w:w="568" w:type="pct"/>
            <w:tcBorders>
              <w:top w:val="nil"/>
            </w:tcBorders>
            <w:shd w:val="clear" w:color="000000" w:fill="FFFFFF"/>
            <w:vAlign w:val="center"/>
          </w:tcPr>
          <w:p w:rsidR="003C3DFF" w:rsidRPr="003C3DFF" w:rsidRDefault="003C3DFF" w:rsidP="003C3DFF">
            <w:pPr>
              <w:autoSpaceDE w:val="0"/>
              <w:autoSpaceDN w:val="0"/>
              <w:adjustRightInd w:val="0"/>
              <w:contextualSpacing/>
              <w:jc w:val="right"/>
              <w:rPr>
                <w:rFonts w:ascii="Times New Roman" w:hAnsi="Times New Roman" w:cs="Times New Roman"/>
                <w:sz w:val="16"/>
                <w:szCs w:val="16"/>
              </w:rPr>
            </w:pPr>
            <w:r w:rsidRPr="003C3DFF">
              <w:rPr>
                <w:rFonts w:ascii="Times New Roman" w:hAnsi="Times New Roman" w:cs="Times New Roman"/>
                <w:color w:val="000000"/>
                <w:sz w:val="16"/>
                <w:szCs w:val="16"/>
              </w:rPr>
              <w:t>232 855</w:t>
            </w:r>
          </w:p>
        </w:tc>
        <w:tc>
          <w:tcPr>
            <w:tcW w:w="568" w:type="pct"/>
            <w:tcBorders>
              <w:top w:val="nil"/>
            </w:tcBorders>
            <w:shd w:val="clear" w:color="000000" w:fill="FFFFFF"/>
            <w:vAlign w:val="center"/>
          </w:tcPr>
          <w:p w:rsidR="003C3DFF" w:rsidRPr="003C3DFF" w:rsidRDefault="003C3DFF" w:rsidP="003C3DFF">
            <w:pPr>
              <w:autoSpaceDE w:val="0"/>
              <w:autoSpaceDN w:val="0"/>
              <w:adjustRightInd w:val="0"/>
              <w:contextualSpacing/>
              <w:jc w:val="right"/>
              <w:rPr>
                <w:rFonts w:ascii="Times New Roman" w:hAnsi="Times New Roman" w:cs="Times New Roman"/>
                <w:sz w:val="16"/>
                <w:szCs w:val="16"/>
              </w:rPr>
            </w:pPr>
            <w:r w:rsidRPr="003C3DFF">
              <w:rPr>
                <w:rFonts w:ascii="Times New Roman" w:hAnsi="Times New Roman" w:cs="Times New Roman"/>
                <w:color w:val="000000"/>
                <w:sz w:val="16"/>
                <w:szCs w:val="16"/>
              </w:rPr>
              <w:t>240 372 593</w:t>
            </w:r>
          </w:p>
        </w:tc>
        <w:tc>
          <w:tcPr>
            <w:tcW w:w="560" w:type="pct"/>
            <w:tcBorders>
              <w:top w:val="nil"/>
            </w:tcBorders>
            <w:shd w:val="clear" w:color="000000" w:fill="FFFFFF"/>
            <w:vAlign w:val="center"/>
          </w:tcPr>
          <w:p w:rsidR="003C3DFF" w:rsidRPr="003C3DFF" w:rsidRDefault="003C3DFF" w:rsidP="003C3DFF">
            <w:pPr>
              <w:autoSpaceDE w:val="0"/>
              <w:autoSpaceDN w:val="0"/>
              <w:adjustRightInd w:val="0"/>
              <w:contextualSpacing/>
              <w:jc w:val="right"/>
              <w:rPr>
                <w:rFonts w:ascii="Times New Roman" w:hAnsi="Times New Roman" w:cs="Times New Roman"/>
                <w:sz w:val="16"/>
                <w:szCs w:val="16"/>
              </w:rPr>
            </w:pPr>
            <w:r w:rsidRPr="003C3DFF">
              <w:rPr>
                <w:rFonts w:ascii="Times New Roman" w:hAnsi="Times New Roman" w:cs="Times New Roman"/>
                <w:color w:val="000000"/>
                <w:sz w:val="16"/>
                <w:szCs w:val="16"/>
              </w:rPr>
              <w:t>240 373</w:t>
            </w:r>
          </w:p>
        </w:tc>
      </w:tr>
      <w:tr w:rsidR="003C3DFF" w:rsidRPr="003C3DFF" w:rsidTr="00877233">
        <w:trPr>
          <w:trHeight w:val="261"/>
          <w:jc w:val="center"/>
        </w:trPr>
        <w:tc>
          <w:tcPr>
            <w:tcW w:w="1117" w:type="pct"/>
            <w:tcBorders>
              <w:bottom w:val="single" w:sz="4" w:space="0" w:color="auto"/>
            </w:tcBorders>
            <w:shd w:val="clear" w:color="auto" w:fill="auto"/>
            <w:vAlign w:val="bottom"/>
          </w:tcPr>
          <w:p w:rsidR="003C3DFF" w:rsidRPr="003C3DFF" w:rsidRDefault="003C3DFF" w:rsidP="003C3DFF">
            <w:pPr>
              <w:rPr>
                <w:rFonts w:ascii="Times New Roman" w:hAnsi="Times New Roman"/>
                <w:sz w:val="16"/>
                <w:szCs w:val="16"/>
              </w:rPr>
            </w:pPr>
            <w:r w:rsidRPr="003C3DFF">
              <w:rPr>
                <w:rFonts w:ascii="Times New Roman" w:hAnsi="Times New Roman"/>
                <w:bCs/>
                <w:sz w:val="16"/>
                <w:szCs w:val="16"/>
              </w:rPr>
              <w:t>Súdnictvo a prokuratúra</w:t>
            </w:r>
          </w:p>
        </w:tc>
        <w:tc>
          <w:tcPr>
            <w:tcW w:w="482" w:type="pct"/>
            <w:tcBorders>
              <w:top w:val="nil"/>
              <w:bottom w:val="single" w:sz="4" w:space="0" w:color="auto"/>
            </w:tcBorders>
            <w:shd w:val="clear" w:color="000000" w:fill="FFFFFF"/>
            <w:noWrap/>
            <w:vAlign w:val="center"/>
          </w:tcPr>
          <w:p w:rsidR="003C3DFF" w:rsidRPr="003C3DFF" w:rsidRDefault="003C3DFF" w:rsidP="003C3DFF">
            <w:pPr>
              <w:contextualSpacing/>
              <w:jc w:val="right"/>
              <w:rPr>
                <w:rFonts w:ascii="Times New Roman" w:hAnsi="Times New Roman" w:cs="Times New Roman"/>
                <w:bCs/>
                <w:color w:val="000000"/>
                <w:sz w:val="16"/>
                <w:szCs w:val="16"/>
              </w:rPr>
            </w:pPr>
            <w:r w:rsidRPr="003C3DFF">
              <w:rPr>
                <w:rFonts w:ascii="Times New Roman" w:hAnsi="Times New Roman" w:cs="Times New Roman"/>
                <w:color w:val="000000"/>
                <w:sz w:val="16"/>
                <w:szCs w:val="16"/>
              </w:rPr>
              <w:t>423 422</w:t>
            </w:r>
          </w:p>
        </w:tc>
        <w:tc>
          <w:tcPr>
            <w:tcW w:w="568" w:type="pct"/>
            <w:tcBorders>
              <w:top w:val="nil"/>
              <w:bottom w:val="single" w:sz="4" w:space="0" w:color="auto"/>
            </w:tcBorders>
            <w:shd w:val="clear" w:color="000000" w:fill="FFFFFF"/>
            <w:noWrap/>
            <w:vAlign w:val="center"/>
          </w:tcPr>
          <w:p w:rsidR="003C3DFF" w:rsidRPr="003C3DFF" w:rsidRDefault="003C3DFF" w:rsidP="003C3DFF">
            <w:pPr>
              <w:contextualSpacing/>
              <w:jc w:val="right"/>
              <w:rPr>
                <w:rFonts w:ascii="Times New Roman" w:hAnsi="Times New Roman" w:cs="Times New Roman"/>
                <w:bCs/>
                <w:color w:val="000000"/>
                <w:sz w:val="16"/>
                <w:szCs w:val="16"/>
                <w:highlight w:val="red"/>
              </w:rPr>
            </w:pPr>
            <w:r w:rsidRPr="003C3DFF">
              <w:rPr>
                <w:rFonts w:ascii="Times New Roman" w:hAnsi="Times New Roman" w:cs="Times New Roman"/>
                <w:color w:val="000000"/>
                <w:sz w:val="16"/>
                <w:szCs w:val="16"/>
              </w:rPr>
              <w:t>439 194</w:t>
            </w:r>
          </w:p>
        </w:tc>
        <w:tc>
          <w:tcPr>
            <w:tcW w:w="568" w:type="pct"/>
            <w:tcBorders>
              <w:top w:val="nil"/>
              <w:bottom w:val="single" w:sz="4" w:space="0" w:color="auto"/>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highlight w:val="green"/>
              </w:rPr>
            </w:pPr>
            <w:r w:rsidRPr="003C3DFF">
              <w:rPr>
                <w:rFonts w:ascii="Times New Roman" w:hAnsi="Times New Roman" w:cs="Times New Roman"/>
                <w:color w:val="000000"/>
                <w:sz w:val="16"/>
                <w:szCs w:val="16"/>
              </w:rPr>
              <w:t>404 948</w:t>
            </w:r>
          </w:p>
        </w:tc>
        <w:tc>
          <w:tcPr>
            <w:tcW w:w="568" w:type="pct"/>
            <w:tcBorders>
              <w:top w:val="nil"/>
              <w:bottom w:val="single" w:sz="4" w:space="0" w:color="auto"/>
            </w:tcBorders>
            <w:shd w:val="clear" w:color="000000" w:fill="FFFFFF"/>
            <w:vAlign w:val="center"/>
          </w:tcPr>
          <w:p w:rsidR="003C3DFF" w:rsidRPr="003C3DFF" w:rsidRDefault="003C3DFF" w:rsidP="003C3DFF">
            <w:pPr>
              <w:contextualSpacing/>
              <w:jc w:val="right"/>
              <w:rPr>
                <w:rFonts w:ascii="Times New Roman" w:hAnsi="Times New Roman" w:cs="Times New Roman"/>
                <w:bCs/>
                <w:color w:val="000000"/>
                <w:sz w:val="16"/>
                <w:szCs w:val="16"/>
                <w:highlight w:val="green"/>
              </w:rPr>
            </w:pPr>
            <w:r w:rsidRPr="003C3DFF">
              <w:rPr>
                <w:rFonts w:ascii="Times New Roman" w:hAnsi="Times New Roman" w:cs="Times New Roman"/>
                <w:color w:val="000000"/>
                <w:sz w:val="16"/>
                <w:szCs w:val="16"/>
              </w:rPr>
              <w:t>483 281</w:t>
            </w:r>
          </w:p>
        </w:tc>
        <w:tc>
          <w:tcPr>
            <w:tcW w:w="568" w:type="pct"/>
            <w:tcBorders>
              <w:top w:val="nil"/>
              <w:bottom w:val="single" w:sz="4" w:space="0" w:color="auto"/>
            </w:tcBorders>
            <w:shd w:val="clear" w:color="000000" w:fill="FFFFFF"/>
            <w:vAlign w:val="center"/>
          </w:tcPr>
          <w:p w:rsidR="003C3DFF" w:rsidRPr="003C3DFF" w:rsidRDefault="003C3DFF" w:rsidP="003C3DFF">
            <w:pPr>
              <w:contextualSpacing/>
              <w:jc w:val="right"/>
              <w:rPr>
                <w:rFonts w:ascii="Times New Roman" w:hAnsi="Times New Roman" w:cs="Times New Roman"/>
                <w:color w:val="000000"/>
                <w:sz w:val="16"/>
                <w:szCs w:val="16"/>
                <w:lang w:eastAsia="sk-SK"/>
              </w:rPr>
            </w:pPr>
            <w:r w:rsidRPr="003C3DFF">
              <w:rPr>
                <w:rFonts w:ascii="Times New Roman" w:hAnsi="Times New Roman" w:cs="Times New Roman"/>
                <w:color w:val="000000"/>
                <w:sz w:val="16"/>
                <w:szCs w:val="16"/>
              </w:rPr>
              <w:t>494 416</w:t>
            </w:r>
          </w:p>
        </w:tc>
        <w:tc>
          <w:tcPr>
            <w:tcW w:w="568" w:type="pct"/>
            <w:tcBorders>
              <w:top w:val="nil"/>
              <w:bottom w:val="single" w:sz="4" w:space="0" w:color="auto"/>
            </w:tcBorders>
            <w:shd w:val="clear" w:color="000000" w:fill="FFFFFF"/>
            <w:vAlign w:val="center"/>
          </w:tcPr>
          <w:p w:rsidR="003C3DFF" w:rsidRPr="003C3DFF" w:rsidRDefault="003C3DFF" w:rsidP="003C3DFF">
            <w:pPr>
              <w:contextualSpacing/>
              <w:jc w:val="right"/>
              <w:rPr>
                <w:rFonts w:ascii="Times New Roman" w:hAnsi="Times New Roman" w:cs="Times New Roman"/>
                <w:color w:val="000000"/>
                <w:sz w:val="16"/>
                <w:szCs w:val="16"/>
                <w:lang w:eastAsia="sk-SK"/>
              </w:rPr>
            </w:pPr>
            <w:r w:rsidRPr="003C3DFF">
              <w:rPr>
                <w:rFonts w:ascii="Times New Roman" w:hAnsi="Times New Roman" w:cs="Times New Roman"/>
                <w:color w:val="000000"/>
                <w:sz w:val="16"/>
                <w:szCs w:val="16"/>
              </w:rPr>
              <w:t>540 740</w:t>
            </w:r>
          </w:p>
        </w:tc>
        <w:tc>
          <w:tcPr>
            <w:tcW w:w="560" w:type="pct"/>
            <w:tcBorders>
              <w:top w:val="nil"/>
              <w:bottom w:val="single" w:sz="4" w:space="0" w:color="auto"/>
            </w:tcBorders>
            <w:shd w:val="clear" w:color="000000" w:fill="FFFFFF"/>
            <w:vAlign w:val="center"/>
          </w:tcPr>
          <w:p w:rsidR="003C3DFF" w:rsidRPr="003C3DFF" w:rsidRDefault="003C3DFF" w:rsidP="003C3DFF">
            <w:pPr>
              <w:contextualSpacing/>
              <w:jc w:val="right"/>
              <w:rPr>
                <w:rFonts w:ascii="Times New Roman" w:hAnsi="Times New Roman" w:cs="Times New Roman"/>
                <w:color w:val="000000"/>
                <w:sz w:val="16"/>
                <w:szCs w:val="16"/>
                <w:lang w:eastAsia="sk-SK"/>
              </w:rPr>
            </w:pPr>
            <w:r w:rsidRPr="003C3DFF">
              <w:rPr>
                <w:rFonts w:ascii="Times New Roman" w:hAnsi="Times New Roman" w:cs="Times New Roman"/>
                <w:color w:val="000000"/>
                <w:sz w:val="16"/>
                <w:szCs w:val="16"/>
              </w:rPr>
              <w:t>536 984</w:t>
            </w:r>
          </w:p>
        </w:tc>
      </w:tr>
    </w:tbl>
    <w:p w:rsidR="003C3DFF" w:rsidRPr="003C3DFF" w:rsidRDefault="003C3DFF" w:rsidP="003C3DFF">
      <w:pPr>
        <w:pStyle w:val="Popis"/>
        <w:keepNext/>
        <w:spacing w:after="0"/>
        <w:rPr>
          <w:rFonts w:ascii="Times New Roman" w:hAnsi="Times New Roman"/>
          <w:b/>
          <w:i w:val="0"/>
          <w:color w:val="5B9BD5" w:themeColor="accent1"/>
          <w:sz w:val="20"/>
          <w:szCs w:val="20"/>
        </w:rPr>
      </w:pPr>
      <w:bookmarkStart w:id="401" w:name="_Toc84845314"/>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6E67C6">
        <w:rPr>
          <w:rFonts w:ascii="Times New Roman" w:hAnsi="Times New Roman"/>
          <w:b/>
          <w:i w:val="0"/>
          <w:noProof/>
          <w:color w:val="5B9BD5" w:themeColor="accent1"/>
          <w:sz w:val="20"/>
          <w:szCs w:val="20"/>
        </w:rPr>
        <w:t>90</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w:t>
      </w:r>
      <w:r w:rsidR="00E50BA2">
        <w:rPr>
          <w:rFonts w:ascii="Times New Roman" w:hAnsi="Times New Roman"/>
          <w:b/>
          <w:i w:val="0"/>
          <w:color w:val="5B9BD5" w:themeColor="accent1"/>
          <w:sz w:val="20"/>
          <w:szCs w:val="20"/>
        </w:rPr>
        <w:t>–</w:t>
      </w:r>
      <w:r w:rsidRPr="009C3AE2">
        <w:rPr>
          <w:rFonts w:ascii="Times New Roman" w:hAnsi="Times New Roman"/>
          <w:b/>
          <w:i w:val="0"/>
          <w:color w:val="5B9BD5" w:themeColor="accent1"/>
          <w:sz w:val="20"/>
          <w:szCs w:val="20"/>
        </w:rPr>
        <w:t xml:space="preserve"> </w:t>
      </w:r>
      <w:r w:rsidR="00E50BA2">
        <w:rPr>
          <w:rFonts w:ascii="Times New Roman" w:hAnsi="Times New Roman"/>
          <w:b/>
          <w:i w:val="0"/>
          <w:color w:val="5B9BD5" w:themeColor="accent1"/>
          <w:sz w:val="20"/>
          <w:szCs w:val="20"/>
        </w:rPr>
        <w:t>Výdavky na v</w:t>
      </w:r>
      <w:r w:rsidRPr="009C3AE2">
        <w:rPr>
          <w:rFonts w:ascii="Times New Roman" w:hAnsi="Times New Roman"/>
          <w:b/>
          <w:i w:val="0"/>
          <w:color w:val="5B9BD5" w:themeColor="accent1"/>
          <w:sz w:val="20"/>
          <w:szCs w:val="20"/>
        </w:rPr>
        <w:t>erejný poriadok a</w:t>
      </w:r>
      <w:r>
        <w:rPr>
          <w:rFonts w:ascii="Times New Roman" w:hAnsi="Times New Roman"/>
          <w:b/>
          <w:i w:val="0"/>
          <w:color w:val="5B9BD5" w:themeColor="accent1"/>
          <w:sz w:val="20"/>
          <w:szCs w:val="20"/>
        </w:rPr>
        <w:t> </w:t>
      </w:r>
      <w:r w:rsidRPr="009C3AE2">
        <w:rPr>
          <w:rFonts w:ascii="Times New Roman" w:hAnsi="Times New Roman"/>
          <w:b/>
          <w:i w:val="0"/>
          <w:color w:val="5B9BD5" w:themeColor="accent1"/>
          <w:sz w:val="20"/>
          <w:szCs w:val="20"/>
        </w:rPr>
        <w:t>bezpečnosť</w:t>
      </w:r>
      <w:bookmarkEnd w:id="401"/>
    </w:p>
    <w:p w:rsidR="00AA17E3" w:rsidRPr="003C3DFF" w:rsidRDefault="00AA17E3" w:rsidP="003C3DFF">
      <w:pPr>
        <w:spacing w:after="0"/>
        <w:ind w:left="1416"/>
        <w:jc w:val="both"/>
        <w:rPr>
          <w:rFonts w:ascii="Arial Narrow" w:hAnsi="Arial Narrow"/>
          <w:i/>
          <w:sz w:val="16"/>
          <w:szCs w:val="16"/>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Pr="003C3DFF">
        <w:rPr>
          <w:rFonts w:ascii="Times New Roman" w:hAnsi="Times New Roman"/>
          <w:sz w:val="16"/>
          <w:szCs w:val="16"/>
        </w:rPr>
        <w:tab/>
      </w:r>
      <w:r w:rsidR="003C3DFF">
        <w:rPr>
          <w:rFonts w:ascii="Times New Roman" w:hAnsi="Times New Roman"/>
          <w:sz w:val="16"/>
          <w:szCs w:val="16"/>
        </w:rPr>
        <w:t xml:space="preserve">      </w:t>
      </w:r>
      <w:r w:rsidR="003C3DFF" w:rsidRPr="003C3DFF">
        <w:rPr>
          <w:rFonts w:ascii="Times New Roman" w:hAnsi="Times New Roman"/>
          <w:i/>
          <w:sz w:val="16"/>
          <w:szCs w:val="16"/>
        </w:rPr>
        <w:t>Zdroj: MF SR</w:t>
      </w:r>
      <w:r w:rsidRPr="003C3DFF">
        <w:rPr>
          <w:rFonts w:ascii="Times New Roman" w:hAnsi="Times New Roman"/>
          <w:i/>
          <w:sz w:val="16"/>
          <w:szCs w:val="16"/>
        </w:rPr>
        <w:t xml:space="preserve">      </w:t>
      </w:r>
    </w:p>
    <w:p w:rsidR="003C3DFF" w:rsidRDefault="003C3DFF" w:rsidP="003C3DFF">
      <w:pPr>
        <w:spacing w:after="0"/>
        <w:jc w:val="both"/>
        <w:rPr>
          <w:rFonts w:ascii="Times New Roman" w:hAnsi="Times New Roman"/>
          <w:sz w:val="24"/>
          <w:szCs w:val="24"/>
        </w:rPr>
      </w:pPr>
      <w:r>
        <w:rPr>
          <w:rFonts w:ascii="Times New Roman" w:hAnsi="Times New Roman"/>
          <w:i/>
          <w:iCs/>
          <w:sz w:val="16"/>
          <w:szCs w:val="16"/>
        </w:rPr>
        <w:t xml:space="preserve">                                                                                                                              </w:t>
      </w:r>
      <w:r>
        <w:rPr>
          <w:rFonts w:ascii="Times New Roman" w:hAnsi="Times New Roman"/>
          <w:i/>
          <w:iCs/>
          <w:sz w:val="16"/>
          <w:szCs w:val="16"/>
        </w:rPr>
        <w:tab/>
      </w:r>
    </w:p>
    <w:p w:rsidR="00AA17E3" w:rsidRPr="00336BEA" w:rsidRDefault="00AA17E3" w:rsidP="003C3DFF">
      <w:pPr>
        <w:spacing w:after="0"/>
        <w:jc w:val="both"/>
        <w:rPr>
          <w:rFonts w:ascii="Times New Roman" w:hAnsi="Times New Roman"/>
          <w:sz w:val="24"/>
          <w:szCs w:val="24"/>
        </w:rPr>
      </w:pPr>
      <w:r w:rsidRPr="00336BEA">
        <w:rPr>
          <w:rFonts w:ascii="Times New Roman" w:hAnsi="Times New Roman"/>
          <w:sz w:val="24"/>
          <w:szCs w:val="24"/>
        </w:rPr>
        <w:t>V rámci výdavkov v oblasti Verejný poriadok a bezpečnosť boli zvýšené prostriedky na:</w:t>
      </w:r>
    </w:p>
    <w:p w:rsidR="00AA17E3" w:rsidRDefault="00AA17E3" w:rsidP="004B108F">
      <w:pPr>
        <w:pStyle w:val="Odsekzoznamu"/>
        <w:numPr>
          <w:ilvl w:val="0"/>
          <w:numId w:val="21"/>
        </w:numPr>
        <w:jc w:val="both"/>
        <w:rPr>
          <w:rFonts w:ascii="Times New Roman" w:hAnsi="Times New Roman"/>
        </w:rPr>
      </w:pPr>
      <w:r w:rsidRPr="00336BEA">
        <w:rPr>
          <w:rFonts w:ascii="Times New Roman" w:hAnsi="Times New Roman"/>
        </w:rPr>
        <w:t xml:space="preserve">Plán obnovy </w:t>
      </w:r>
      <w:r>
        <w:rPr>
          <w:rFonts w:ascii="Times New Roman" w:hAnsi="Times New Roman"/>
        </w:rPr>
        <w:t xml:space="preserve">v kapitole Ministerstva vnútra SR na </w:t>
      </w:r>
      <w:r w:rsidRPr="00336BEA">
        <w:rPr>
          <w:rFonts w:ascii="Times New Roman" w:hAnsi="Times New Roman"/>
        </w:rPr>
        <w:t>Boj proti korupcii a praniu špinavých peňazí</w:t>
      </w:r>
      <w:r>
        <w:rPr>
          <w:rFonts w:ascii="Times New Roman" w:hAnsi="Times New Roman"/>
        </w:rPr>
        <w:t xml:space="preserve"> v sume 67,9 mil. eur a na Udržanie talentov v sume 0,6 mil. eur</w:t>
      </w:r>
    </w:p>
    <w:p w:rsidR="00AA17E3" w:rsidRDefault="00AA17E3" w:rsidP="004B108F">
      <w:pPr>
        <w:pStyle w:val="Odsekzoznamu"/>
        <w:numPr>
          <w:ilvl w:val="0"/>
          <w:numId w:val="21"/>
        </w:numPr>
        <w:jc w:val="both"/>
        <w:rPr>
          <w:rFonts w:ascii="Times New Roman" w:hAnsi="Times New Roman"/>
        </w:rPr>
      </w:pPr>
      <w:r w:rsidRPr="006A45B3">
        <w:rPr>
          <w:rFonts w:ascii="Times New Roman" w:hAnsi="Times New Roman"/>
        </w:rPr>
        <w:t>Plán obnovy v kapitole M</w:t>
      </w:r>
      <w:r>
        <w:rPr>
          <w:rFonts w:ascii="Times New Roman" w:hAnsi="Times New Roman"/>
        </w:rPr>
        <w:t>inisterstva spravodlivosti</w:t>
      </w:r>
      <w:r w:rsidRPr="006A45B3">
        <w:rPr>
          <w:rFonts w:ascii="Times New Roman" w:hAnsi="Times New Roman"/>
        </w:rPr>
        <w:t xml:space="preserve"> SR, na reorganizáciu súdov a renovácie budov, ako aj na digitalizáciu a analytické kapacity a tiež na digitalizáciu procesov insolvenčného konania v sume 66,1 mil. eur</w:t>
      </w:r>
    </w:p>
    <w:p w:rsidR="00AA17E3" w:rsidRPr="00903918" w:rsidRDefault="00AA17E3" w:rsidP="004B108F">
      <w:pPr>
        <w:pStyle w:val="Odsekzoznamu"/>
        <w:numPr>
          <w:ilvl w:val="0"/>
          <w:numId w:val="21"/>
        </w:numPr>
        <w:jc w:val="both"/>
        <w:rPr>
          <w:rFonts w:ascii="Times New Roman" w:hAnsi="Times New Roman"/>
        </w:rPr>
      </w:pPr>
      <w:r w:rsidRPr="00903918">
        <w:rPr>
          <w:rFonts w:ascii="Times New Roman" w:hAnsi="Times New Roman"/>
        </w:rPr>
        <w:t xml:space="preserve">kapitálové výdavky </w:t>
      </w:r>
      <w:r w:rsidRPr="00BF4948">
        <w:rPr>
          <w:rFonts w:ascii="Times New Roman" w:hAnsi="Times New Roman"/>
        </w:rPr>
        <w:t>Ministerstva vnútra</w:t>
      </w:r>
      <w:r w:rsidRPr="00903918">
        <w:rPr>
          <w:rFonts w:ascii="Times New Roman" w:hAnsi="Times New Roman"/>
        </w:rPr>
        <w:t xml:space="preserve"> SR na investičnú výstavbu, rekonštrukcie a modernizáciu v sume 7,7 mil. eur</w:t>
      </w:r>
    </w:p>
    <w:p w:rsidR="00AA17E3" w:rsidRPr="006A45B3" w:rsidRDefault="00AA17E3" w:rsidP="004B108F">
      <w:pPr>
        <w:pStyle w:val="Odsekzoznamu"/>
        <w:numPr>
          <w:ilvl w:val="0"/>
          <w:numId w:val="21"/>
        </w:numPr>
        <w:jc w:val="both"/>
        <w:rPr>
          <w:rFonts w:ascii="Times New Roman" w:hAnsi="Times New Roman"/>
        </w:rPr>
      </w:pPr>
      <w:r>
        <w:rPr>
          <w:rFonts w:ascii="Times New Roman" w:hAnsi="Times New Roman"/>
        </w:rPr>
        <w:t>r</w:t>
      </w:r>
      <w:r w:rsidRPr="006A45B3">
        <w:rPr>
          <w:rFonts w:ascii="Times New Roman" w:hAnsi="Times New Roman"/>
        </w:rPr>
        <w:t xml:space="preserve">ozpočet kapitoly </w:t>
      </w:r>
      <w:r w:rsidR="00B46D8C">
        <w:rPr>
          <w:rFonts w:ascii="Times New Roman" w:hAnsi="Times New Roman"/>
        </w:rPr>
        <w:t>Kancelária Najvyššieho správneho</w:t>
      </w:r>
      <w:r w:rsidRPr="006A45B3">
        <w:rPr>
          <w:rFonts w:ascii="Times New Roman" w:hAnsi="Times New Roman"/>
        </w:rPr>
        <w:t xml:space="preserve"> súd</w:t>
      </w:r>
      <w:r w:rsidR="00B46D8C">
        <w:rPr>
          <w:rFonts w:ascii="Times New Roman" w:hAnsi="Times New Roman"/>
        </w:rPr>
        <w:t>u SR</w:t>
      </w:r>
      <w:r w:rsidRPr="006A45B3">
        <w:rPr>
          <w:rFonts w:ascii="Times New Roman" w:hAnsi="Times New Roman"/>
        </w:rPr>
        <w:t xml:space="preserve"> v sume 5,56 mil. eur, ktorý začal svoju činnosť od 1. augusta 2021</w:t>
      </w:r>
    </w:p>
    <w:p w:rsidR="00AA17E3" w:rsidRDefault="00AA17E3" w:rsidP="004B108F">
      <w:pPr>
        <w:pStyle w:val="Odsekzoznamu"/>
        <w:numPr>
          <w:ilvl w:val="0"/>
          <w:numId w:val="22"/>
        </w:numPr>
        <w:jc w:val="both"/>
        <w:rPr>
          <w:rFonts w:ascii="Times New Roman" w:hAnsi="Times New Roman" w:cs="Times New Roman"/>
        </w:rPr>
      </w:pPr>
      <w:r w:rsidRPr="00AD400C">
        <w:rPr>
          <w:rFonts w:ascii="Times New Roman" w:hAnsi="Times New Roman" w:cs="Times New Roman"/>
        </w:rPr>
        <w:t>výdavky na budovanie analytických jedn</w:t>
      </w:r>
      <w:r>
        <w:rPr>
          <w:rFonts w:ascii="Times New Roman" w:hAnsi="Times New Roman" w:cs="Times New Roman"/>
        </w:rPr>
        <w:t>otiek v sume 1,81 mil. eur</w:t>
      </w:r>
    </w:p>
    <w:p w:rsidR="00294C4D" w:rsidRPr="006E28C1" w:rsidRDefault="00294C4D" w:rsidP="004B108F">
      <w:pPr>
        <w:pStyle w:val="Odsekzoznamu"/>
        <w:numPr>
          <w:ilvl w:val="0"/>
          <w:numId w:val="22"/>
        </w:numPr>
        <w:jc w:val="both"/>
        <w:rPr>
          <w:rFonts w:ascii="Times New Roman" w:hAnsi="Times New Roman" w:cs="Times New Roman"/>
        </w:rPr>
      </w:pPr>
      <w:r w:rsidRPr="006E28C1">
        <w:rPr>
          <w:rFonts w:ascii="Times New Roman" w:hAnsi="Times New Roman" w:cs="Times New Roman"/>
        </w:rPr>
        <w:t>v nadväznosti na rast priemernej mesačnej mzdy zamestnanca v hospodárstve SR v roku 2020 je v návrhu rozpočtu zapracované zvýšenie výdavkov na rast platov sudcov a prokurátorov v sume 7,38 mil. eur, z toho mzdy, platy, služobné príjmy a</w:t>
      </w:r>
      <w:r w:rsidR="0013355F" w:rsidRPr="006E28C1">
        <w:rPr>
          <w:rFonts w:ascii="Times New Roman" w:hAnsi="Times New Roman" w:cs="Times New Roman"/>
        </w:rPr>
        <w:t> ostatné osobné vyrovnania</w:t>
      </w:r>
      <w:r w:rsidR="00026C6A" w:rsidRPr="006E28C1">
        <w:rPr>
          <w:rFonts w:ascii="Times New Roman" w:hAnsi="Times New Roman" w:cs="Times New Roman"/>
        </w:rPr>
        <w:t xml:space="preserve"> </w:t>
      </w:r>
      <w:r w:rsidRPr="006E28C1">
        <w:rPr>
          <w:rFonts w:ascii="Times New Roman" w:hAnsi="Times New Roman" w:cs="Times New Roman"/>
        </w:rPr>
        <w:t>v sume 5,59 mil. eur; zvýšenie platov sudcov a prokurátorov zodpovedá úrovni 3,75 %.</w:t>
      </w:r>
    </w:p>
    <w:p w:rsidR="00AA17E3" w:rsidRDefault="00AA17E3" w:rsidP="00AA17E3">
      <w:pPr>
        <w:spacing w:after="0"/>
        <w:jc w:val="both"/>
        <w:rPr>
          <w:rFonts w:ascii="Times New Roman" w:hAnsi="Times New Roman"/>
          <w:sz w:val="24"/>
          <w:szCs w:val="24"/>
          <w:highlight w:val="yellow"/>
        </w:rPr>
      </w:pPr>
    </w:p>
    <w:p w:rsidR="00AA17E3" w:rsidRPr="00903918" w:rsidRDefault="00AA17E3" w:rsidP="00AA17E3">
      <w:pPr>
        <w:spacing w:after="0"/>
        <w:jc w:val="both"/>
        <w:rPr>
          <w:rFonts w:ascii="Times New Roman" w:hAnsi="Times New Roman"/>
          <w:sz w:val="24"/>
          <w:szCs w:val="24"/>
        </w:rPr>
      </w:pPr>
      <w:r w:rsidRPr="007511DD">
        <w:rPr>
          <w:rFonts w:ascii="Times New Roman" w:hAnsi="Times New Roman"/>
          <w:sz w:val="24"/>
          <w:szCs w:val="24"/>
          <w:shd w:val="clear" w:color="auto" w:fill="FFFFFF" w:themeFill="background1"/>
        </w:rPr>
        <w:t>Výdavky Slovenska na verejný poriadok a bezpe</w:t>
      </w:r>
      <w:r w:rsidRPr="007511DD">
        <w:rPr>
          <w:rFonts w:ascii="Times New Roman" w:hAnsi="Times New Roman" w:hint="eastAsia"/>
          <w:sz w:val="24"/>
          <w:szCs w:val="24"/>
          <w:shd w:val="clear" w:color="auto" w:fill="FFFFFF" w:themeFill="background1"/>
        </w:rPr>
        <w:t>č</w:t>
      </w:r>
      <w:r w:rsidRPr="007511DD">
        <w:rPr>
          <w:rFonts w:ascii="Times New Roman" w:hAnsi="Times New Roman"/>
          <w:sz w:val="24"/>
          <w:szCs w:val="24"/>
          <w:shd w:val="clear" w:color="auto" w:fill="FFFFFF" w:themeFill="background1"/>
        </w:rPr>
        <w:t>nos</w:t>
      </w:r>
      <w:r w:rsidRPr="007511DD">
        <w:rPr>
          <w:rFonts w:ascii="Times New Roman" w:hAnsi="Times New Roman" w:hint="eastAsia"/>
          <w:sz w:val="24"/>
          <w:szCs w:val="24"/>
          <w:shd w:val="clear" w:color="auto" w:fill="FFFFFF" w:themeFill="background1"/>
        </w:rPr>
        <w:t>ť</w:t>
      </w:r>
      <w:r w:rsidRPr="007511DD">
        <w:rPr>
          <w:rFonts w:ascii="Times New Roman" w:hAnsi="Times New Roman"/>
          <w:sz w:val="24"/>
          <w:szCs w:val="24"/>
          <w:shd w:val="clear" w:color="auto" w:fill="FFFFFF" w:themeFill="background1"/>
        </w:rPr>
        <w:t xml:space="preserve"> sú v porovnaní s krajinami EÚ nadpriemerné. Na nadpriemerných výdavkoch sa polícia a hasi</w:t>
      </w:r>
      <w:r w:rsidRPr="007511DD">
        <w:rPr>
          <w:rFonts w:ascii="Times New Roman" w:hAnsi="Times New Roman" w:hint="eastAsia"/>
          <w:sz w:val="24"/>
          <w:szCs w:val="24"/>
          <w:shd w:val="clear" w:color="auto" w:fill="FFFFFF" w:themeFill="background1"/>
        </w:rPr>
        <w:t>č</w:t>
      </w:r>
      <w:r w:rsidRPr="007511DD">
        <w:rPr>
          <w:rFonts w:ascii="Times New Roman" w:hAnsi="Times New Roman"/>
          <w:sz w:val="24"/>
          <w:szCs w:val="24"/>
          <w:shd w:val="clear" w:color="auto" w:fill="FFFFFF" w:themeFill="background1"/>
        </w:rPr>
        <w:t>i podie</w:t>
      </w:r>
      <w:r w:rsidRPr="007511DD">
        <w:rPr>
          <w:rFonts w:ascii="Times New Roman" w:hAnsi="Times New Roman" w:hint="eastAsia"/>
          <w:sz w:val="24"/>
          <w:szCs w:val="24"/>
          <w:shd w:val="clear" w:color="auto" w:fill="FFFFFF" w:themeFill="background1"/>
        </w:rPr>
        <w:t>ľ</w:t>
      </w:r>
      <w:r w:rsidRPr="007511DD">
        <w:rPr>
          <w:rFonts w:ascii="Times New Roman" w:hAnsi="Times New Roman"/>
          <w:sz w:val="24"/>
          <w:szCs w:val="24"/>
          <w:shd w:val="clear" w:color="auto" w:fill="FFFFFF" w:themeFill="background1"/>
        </w:rPr>
        <w:t xml:space="preserve">ajú dvoma tretinami výdavkov, súdnictvo a väzenstvo jednou tretinou. Výdavky oblasti sú skreslené nesprávnou klasifikáciou,  podiel „inde neklasifikovaných výdavkov“ je najvyšší v EÚ. </w:t>
      </w:r>
    </w:p>
    <w:p w:rsidR="00AA17E3" w:rsidRPr="008D7238" w:rsidRDefault="00AA17E3" w:rsidP="00AA17E3">
      <w:pPr>
        <w:spacing w:after="0"/>
        <w:jc w:val="both"/>
      </w:pPr>
    </w:p>
    <w:tbl>
      <w:tblPr>
        <w:tblStyle w:val="Mriekatabuky"/>
        <w:tblpPr w:leftFromText="141" w:rightFromText="141" w:vertAnchor="text" w:tblpY="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AA17E3" w:rsidRPr="00C84096" w:rsidTr="00AA17E3">
        <w:tc>
          <w:tcPr>
            <w:tcW w:w="9072" w:type="dxa"/>
            <w:tcBorders>
              <w:top w:val="single" w:sz="4" w:space="0" w:color="auto"/>
              <w:bottom w:val="single" w:sz="4" w:space="0" w:color="auto"/>
            </w:tcBorders>
          </w:tcPr>
          <w:p w:rsidR="00AA17E3" w:rsidRPr="00C84096" w:rsidRDefault="00AA17E3" w:rsidP="00AA17E3">
            <w:r>
              <w:rPr>
                <w:noProof/>
                <w:lang w:eastAsia="sk-SK"/>
              </w:rPr>
              <mc:AlternateContent>
                <mc:Choice Requires="wps">
                  <w:drawing>
                    <wp:anchor distT="0" distB="0" distL="114300" distR="114300" simplePos="0" relativeHeight="251659264" behindDoc="0" locked="0" layoutInCell="1" allowOverlap="1" wp14:anchorId="6F43C18F" wp14:editId="15658622">
                      <wp:simplePos x="0" y="0"/>
                      <wp:positionH relativeFrom="column">
                        <wp:posOffset>690245</wp:posOffset>
                      </wp:positionH>
                      <wp:positionV relativeFrom="paragraph">
                        <wp:posOffset>164102</wp:posOffset>
                      </wp:positionV>
                      <wp:extent cx="146649" cy="1863306"/>
                      <wp:effectExtent l="0" t="0" r="25400" b="22860"/>
                      <wp:wrapNone/>
                      <wp:docPr id="32" name="Obdĺžnik 32"/>
                      <wp:cNvGraphicFramePr/>
                      <a:graphic xmlns:a="http://schemas.openxmlformats.org/drawingml/2006/main">
                        <a:graphicData uri="http://schemas.microsoft.com/office/word/2010/wordprocessingShape">
                          <wps:wsp>
                            <wps:cNvSpPr/>
                            <wps:spPr>
                              <a:xfrm>
                                <a:off x="0" y="0"/>
                                <a:ext cx="146649" cy="186330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4007C" id="Obdĺžnik 32" o:spid="_x0000_s1026" style="position:absolute;margin-left:54.35pt;margin-top:12.9pt;width:11.55pt;height:146.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" filled="f" strokecolor="#002060" strokeweight="1pt"/>
                  </w:pict>
                </mc:Fallback>
              </mc:AlternateContent>
            </w:r>
            <w:r>
              <w:rPr>
                <w:noProof/>
                <w:lang w:eastAsia="sk-SK"/>
              </w:rPr>
              <w:drawing>
                <wp:inline distT="0" distB="0" distL="0" distR="0" wp14:anchorId="72D79180" wp14:editId="52F5E2D2">
                  <wp:extent cx="5760720" cy="2179955"/>
                  <wp:effectExtent l="0" t="0" r="0" b="0"/>
                  <wp:docPr id="252" name="Graf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AA17E3" w:rsidRPr="00C84096" w:rsidTr="00AA17E3">
        <w:tblPrEx>
          <w:tblCellMar>
            <w:left w:w="108" w:type="dxa"/>
            <w:right w:w="108" w:type="dxa"/>
          </w:tblCellMar>
        </w:tblPrEx>
        <w:tc>
          <w:tcPr>
            <w:tcW w:w="9072" w:type="dxa"/>
            <w:tcBorders>
              <w:top w:val="single" w:sz="4" w:space="0" w:color="auto"/>
            </w:tcBorders>
          </w:tcPr>
          <w:p w:rsidR="00AA17E3" w:rsidRPr="00C84096" w:rsidRDefault="00AA17E3" w:rsidP="00AA17E3">
            <w:pPr>
              <w:jc w:val="right"/>
              <w:rPr>
                <w:rFonts w:ascii="Times New Roman" w:hAnsi="Times New Roman"/>
                <w:i/>
                <w:sz w:val="16"/>
              </w:rPr>
            </w:pPr>
            <w:r w:rsidRPr="00C84096">
              <w:rPr>
                <w:rFonts w:ascii="Times New Roman" w:hAnsi="Times New Roman"/>
                <w:i/>
                <w:sz w:val="16"/>
              </w:rPr>
              <w:t>Zdroj: Eurostat</w:t>
            </w:r>
          </w:p>
        </w:tc>
      </w:tr>
    </w:tbl>
    <w:p w:rsidR="00AA17E3" w:rsidRPr="008D7238" w:rsidRDefault="00AA17E3" w:rsidP="00B46D8C">
      <w:pPr>
        <w:pStyle w:val="Popis"/>
        <w:keepNext/>
        <w:spacing w:after="0"/>
        <w:rPr>
          <w:rFonts w:ascii="Times New Roman" w:hAnsi="Times New Roman"/>
          <w:b/>
          <w:i w:val="0"/>
          <w:color w:val="auto"/>
          <w:sz w:val="20"/>
          <w:szCs w:val="20"/>
        </w:rPr>
      </w:pPr>
      <w:bookmarkStart w:id="402" w:name="_Toc53054888"/>
      <w:bookmarkStart w:id="403" w:name="_Toc53077964"/>
      <w:bookmarkStart w:id="404" w:name="_Toc53086297"/>
      <w:bookmarkStart w:id="405" w:name="_Toc84528536"/>
      <w:bookmarkStart w:id="406" w:name="_Toc84848027"/>
      <w:r w:rsidRPr="006B209A">
        <w:rPr>
          <w:rFonts w:ascii="Times New Roman" w:hAnsi="Times New Roman" w:cs="Times New Roman"/>
          <w:b/>
          <w:i w:val="0"/>
          <w:color w:val="5B9BD5" w:themeColor="accent1"/>
          <w:sz w:val="20"/>
          <w:szCs w:val="20"/>
        </w:rPr>
        <w:t xml:space="preserve">Graf </w:t>
      </w:r>
      <w:r w:rsidRPr="006B209A">
        <w:rPr>
          <w:rFonts w:ascii="Times New Roman" w:hAnsi="Times New Roman" w:cs="Times New Roman"/>
          <w:b/>
          <w:i w:val="0"/>
          <w:color w:val="5B9BD5" w:themeColor="accent1"/>
          <w:sz w:val="20"/>
          <w:szCs w:val="20"/>
        </w:rPr>
        <w:fldChar w:fldCharType="begin"/>
      </w:r>
      <w:r w:rsidRPr="006B209A">
        <w:rPr>
          <w:rFonts w:ascii="Times New Roman" w:hAnsi="Times New Roman" w:cs="Times New Roman"/>
          <w:b/>
          <w:i w:val="0"/>
          <w:color w:val="5B9BD5" w:themeColor="accent1"/>
          <w:sz w:val="20"/>
          <w:szCs w:val="20"/>
        </w:rPr>
        <w:instrText xml:space="preserve"> SEQ Obrázok \* ARABIC </w:instrText>
      </w:r>
      <w:r w:rsidRPr="006B209A">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36</w:t>
      </w:r>
      <w:r w:rsidRPr="006B209A">
        <w:rPr>
          <w:rFonts w:ascii="Times New Roman" w:hAnsi="Times New Roman" w:cs="Times New Roman"/>
          <w:b/>
          <w:i w:val="0"/>
          <w:color w:val="5B9BD5" w:themeColor="accent1"/>
          <w:sz w:val="20"/>
          <w:szCs w:val="20"/>
        </w:rPr>
        <w:fldChar w:fldCharType="end"/>
      </w:r>
      <w:r w:rsidR="00804037">
        <w:rPr>
          <w:rFonts w:ascii="Times New Roman" w:hAnsi="Times New Roman"/>
          <w:b/>
          <w:i w:val="0"/>
          <w:color w:val="5B9BD5" w:themeColor="accent1"/>
          <w:sz w:val="20"/>
          <w:szCs w:val="20"/>
        </w:rPr>
        <w:t xml:space="preserve"> -</w:t>
      </w:r>
      <w:r w:rsidRPr="00BB5E67">
        <w:rPr>
          <w:rFonts w:ascii="Times New Roman" w:hAnsi="Times New Roman"/>
          <w:b/>
          <w:i w:val="0"/>
          <w:color w:val="5B9BD5" w:themeColor="accent1"/>
          <w:sz w:val="20"/>
          <w:szCs w:val="20"/>
        </w:rPr>
        <w:t xml:space="preserve"> Výdavky na verejný poriadok a bezpečnosť (v % HDP; 201</w:t>
      </w:r>
      <w:r w:rsidRPr="003A4A95">
        <w:rPr>
          <w:rFonts w:ascii="Times New Roman" w:hAnsi="Times New Roman"/>
          <w:b/>
          <w:i w:val="0"/>
          <w:color w:val="5B9BD5" w:themeColor="accent1"/>
          <w:sz w:val="20"/>
          <w:szCs w:val="20"/>
        </w:rPr>
        <w:t>9</w:t>
      </w:r>
      <w:r w:rsidRPr="00BB5E67">
        <w:rPr>
          <w:rFonts w:ascii="Times New Roman" w:hAnsi="Times New Roman"/>
          <w:b/>
          <w:i w:val="0"/>
          <w:color w:val="5B9BD5" w:themeColor="accent1"/>
          <w:sz w:val="20"/>
          <w:szCs w:val="20"/>
        </w:rPr>
        <w:t>)</w:t>
      </w:r>
      <w:bookmarkEnd w:id="402"/>
      <w:bookmarkEnd w:id="403"/>
      <w:bookmarkEnd w:id="404"/>
      <w:bookmarkEnd w:id="405"/>
      <w:bookmarkEnd w:id="406"/>
    </w:p>
    <w:p w:rsidR="00AA17E3" w:rsidRPr="009224A5" w:rsidRDefault="00AA17E3" w:rsidP="009224A5">
      <w:pPr>
        <w:spacing w:after="0"/>
        <w:jc w:val="both"/>
        <w:rPr>
          <w:rFonts w:ascii="Times New Roman" w:hAnsi="Times New Roman"/>
          <w:sz w:val="24"/>
          <w:szCs w:val="24"/>
        </w:rPr>
      </w:pPr>
    </w:p>
    <w:p w:rsidR="00AA17E3" w:rsidRDefault="00AA17E3" w:rsidP="009224A5">
      <w:pPr>
        <w:spacing w:after="0"/>
        <w:jc w:val="both"/>
        <w:rPr>
          <w:rFonts w:ascii="Times New Roman" w:hAnsi="Times New Roman"/>
          <w:b/>
          <w:color w:val="5B9BD5" w:themeColor="accent1"/>
          <w:sz w:val="24"/>
          <w:szCs w:val="24"/>
        </w:rPr>
      </w:pPr>
      <w:r w:rsidRPr="00F711A7">
        <w:rPr>
          <w:rFonts w:ascii="Times New Roman" w:hAnsi="Times New Roman"/>
          <w:b/>
          <w:color w:val="5B9BD5" w:themeColor="accent1"/>
          <w:sz w:val="24"/>
          <w:szCs w:val="24"/>
        </w:rPr>
        <w:t>Bezpečnosť</w:t>
      </w:r>
    </w:p>
    <w:p w:rsidR="00110579" w:rsidRPr="00F711A7" w:rsidRDefault="00110579" w:rsidP="00AA17E3">
      <w:pPr>
        <w:spacing w:after="0"/>
        <w:jc w:val="both"/>
        <w:rPr>
          <w:rFonts w:ascii="Times New Roman" w:hAnsi="Times New Roman"/>
          <w:b/>
          <w:sz w:val="24"/>
          <w:szCs w:val="24"/>
          <w:highlight w:val="yellow"/>
        </w:rPr>
      </w:pPr>
    </w:p>
    <w:p w:rsidR="00AA17E3" w:rsidRDefault="00AA17E3" w:rsidP="00AA17E3">
      <w:pPr>
        <w:spacing w:after="0"/>
        <w:jc w:val="both"/>
        <w:rPr>
          <w:rFonts w:ascii="Times New Roman" w:hAnsi="Times New Roman"/>
          <w:sz w:val="24"/>
          <w:szCs w:val="24"/>
        </w:rPr>
      </w:pPr>
      <w:r w:rsidRPr="007511DD">
        <w:rPr>
          <w:rFonts w:ascii="Times New Roman" w:hAnsi="Times New Roman"/>
          <w:sz w:val="24"/>
          <w:szCs w:val="24"/>
        </w:rPr>
        <w:t>Slovensko je na globálne pomery bezpe</w:t>
      </w:r>
      <w:r w:rsidRPr="007511DD">
        <w:rPr>
          <w:rFonts w:ascii="Times New Roman" w:hAnsi="Times New Roman" w:hint="eastAsia"/>
          <w:sz w:val="24"/>
          <w:szCs w:val="24"/>
        </w:rPr>
        <w:t>č</w:t>
      </w:r>
      <w:r w:rsidRPr="007511DD">
        <w:rPr>
          <w:rFonts w:ascii="Times New Roman" w:hAnsi="Times New Roman"/>
          <w:sz w:val="24"/>
          <w:szCs w:val="24"/>
        </w:rPr>
        <w:t>nou krajinou, v rokoch 2016 až 2020 malo na 100 tisíc</w:t>
      </w:r>
      <w:r w:rsidRPr="007511DD">
        <w:rPr>
          <w:rFonts w:ascii="Times New Roman" w:hAnsi="Times New Roman"/>
          <w:sz w:val="24"/>
          <w:szCs w:val="24"/>
          <w:shd w:val="clear" w:color="auto" w:fill="BDD6EE" w:themeFill="accent1" w:themeFillTint="66"/>
        </w:rPr>
        <w:t xml:space="preserve"> </w:t>
      </w:r>
      <w:r w:rsidRPr="007511DD">
        <w:rPr>
          <w:rFonts w:ascii="Times New Roman" w:hAnsi="Times New Roman"/>
          <w:sz w:val="24"/>
          <w:szCs w:val="24"/>
        </w:rPr>
        <w:t>obyvate</w:t>
      </w:r>
      <w:r w:rsidRPr="007511DD">
        <w:rPr>
          <w:rFonts w:ascii="Times New Roman" w:hAnsi="Times New Roman" w:hint="eastAsia"/>
          <w:sz w:val="24"/>
          <w:szCs w:val="24"/>
        </w:rPr>
        <w:t>ľ</w:t>
      </w:r>
      <w:r w:rsidRPr="007511DD">
        <w:rPr>
          <w:rFonts w:ascii="Times New Roman" w:hAnsi="Times New Roman"/>
          <w:sz w:val="24"/>
          <w:szCs w:val="24"/>
        </w:rPr>
        <w:t>ov v priemere 1,26 vrážd.</w:t>
      </w:r>
      <w:r w:rsidRPr="007511DD">
        <w:rPr>
          <w:rFonts w:ascii="Times New Roman" w:hAnsi="Times New Roman"/>
          <w:b/>
          <w:sz w:val="24"/>
          <w:szCs w:val="24"/>
        </w:rPr>
        <w:t xml:space="preserve"> </w:t>
      </w:r>
      <w:r w:rsidRPr="007511DD">
        <w:rPr>
          <w:rFonts w:ascii="Times New Roman" w:hAnsi="Times New Roman"/>
          <w:sz w:val="24"/>
          <w:szCs w:val="24"/>
        </w:rPr>
        <w:t>Je však v horšej polovici krajín EÚ28, má viac vrážd oproti</w:t>
      </w:r>
      <w:r w:rsidRPr="007511DD">
        <w:rPr>
          <w:rFonts w:ascii="Times New Roman" w:hAnsi="Times New Roman"/>
          <w:sz w:val="24"/>
          <w:szCs w:val="24"/>
          <w:shd w:val="clear" w:color="auto" w:fill="BDD6EE" w:themeFill="accent1" w:themeFillTint="66"/>
        </w:rPr>
        <w:t xml:space="preserve"> </w:t>
      </w:r>
      <w:r w:rsidRPr="007511DD">
        <w:rPr>
          <w:rFonts w:ascii="Times New Roman" w:hAnsi="Times New Roman"/>
          <w:sz w:val="24"/>
          <w:szCs w:val="24"/>
        </w:rPr>
        <w:t>priemeru V3 (0,84), ako aj priemeru EÚ15 (0,94). Údaje o vraždách sú be</w:t>
      </w:r>
      <w:r w:rsidRPr="007511DD">
        <w:rPr>
          <w:rFonts w:ascii="Times New Roman" w:hAnsi="Times New Roman" w:hint="eastAsia"/>
          <w:sz w:val="24"/>
          <w:szCs w:val="24"/>
        </w:rPr>
        <w:t>ž</w:t>
      </w:r>
      <w:r w:rsidRPr="007511DD">
        <w:rPr>
          <w:rFonts w:ascii="Times New Roman" w:hAnsi="Times New Roman"/>
          <w:sz w:val="24"/>
          <w:szCs w:val="24"/>
        </w:rPr>
        <w:t>ným ukazovate</w:t>
      </w:r>
      <w:r w:rsidRPr="007511DD">
        <w:rPr>
          <w:rFonts w:ascii="Times New Roman" w:hAnsi="Times New Roman" w:hint="eastAsia"/>
          <w:sz w:val="24"/>
          <w:szCs w:val="24"/>
        </w:rPr>
        <w:t>ľ</w:t>
      </w:r>
      <w:r w:rsidRPr="007511DD">
        <w:rPr>
          <w:rFonts w:ascii="Times New Roman" w:hAnsi="Times New Roman"/>
          <w:sz w:val="24"/>
          <w:szCs w:val="24"/>
        </w:rPr>
        <w:t>om medzinárodného hodnotenia zlo</w:t>
      </w:r>
      <w:r w:rsidRPr="007511DD">
        <w:rPr>
          <w:rFonts w:ascii="Times New Roman" w:hAnsi="Times New Roman" w:hint="eastAsia"/>
          <w:sz w:val="24"/>
          <w:szCs w:val="24"/>
        </w:rPr>
        <w:t>č</w:t>
      </w:r>
      <w:r w:rsidRPr="007511DD">
        <w:rPr>
          <w:rFonts w:ascii="Times New Roman" w:hAnsi="Times New Roman"/>
          <w:sz w:val="24"/>
          <w:szCs w:val="24"/>
        </w:rPr>
        <w:t>innosti, ke</w:t>
      </w:r>
      <w:r w:rsidRPr="007511DD">
        <w:rPr>
          <w:rFonts w:ascii="Times New Roman" w:hAnsi="Times New Roman" w:hint="eastAsia"/>
          <w:sz w:val="24"/>
          <w:szCs w:val="24"/>
        </w:rPr>
        <w:t>ďž</w:t>
      </w:r>
      <w:r w:rsidRPr="007511DD">
        <w:rPr>
          <w:rFonts w:ascii="Times New Roman" w:hAnsi="Times New Roman"/>
          <w:sz w:val="24"/>
          <w:szCs w:val="24"/>
        </w:rPr>
        <w:t xml:space="preserve">e sú </w:t>
      </w:r>
      <w:r w:rsidRPr="007511DD">
        <w:rPr>
          <w:rFonts w:ascii="Times New Roman" w:hAnsi="Times New Roman" w:hint="eastAsia"/>
          <w:sz w:val="24"/>
          <w:szCs w:val="24"/>
        </w:rPr>
        <w:t>ľ</w:t>
      </w:r>
      <w:r w:rsidRPr="007511DD">
        <w:rPr>
          <w:rFonts w:ascii="Times New Roman" w:hAnsi="Times New Roman"/>
          <w:sz w:val="24"/>
          <w:szCs w:val="24"/>
        </w:rPr>
        <w:t>ahšie identifikovate</w:t>
      </w:r>
      <w:r w:rsidRPr="007511DD">
        <w:rPr>
          <w:rFonts w:ascii="Times New Roman" w:hAnsi="Times New Roman" w:hint="eastAsia"/>
          <w:sz w:val="24"/>
          <w:szCs w:val="24"/>
        </w:rPr>
        <w:t>ľ</w:t>
      </w:r>
      <w:r w:rsidRPr="007511DD">
        <w:rPr>
          <w:rFonts w:ascii="Times New Roman" w:hAnsi="Times New Roman"/>
          <w:sz w:val="24"/>
          <w:szCs w:val="24"/>
        </w:rPr>
        <w:t>né oproti iným zlo</w:t>
      </w:r>
      <w:r w:rsidRPr="007511DD">
        <w:rPr>
          <w:rFonts w:ascii="Times New Roman" w:hAnsi="Times New Roman" w:hint="eastAsia"/>
          <w:sz w:val="24"/>
          <w:szCs w:val="24"/>
        </w:rPr>
        <w:t>č</w:t>
      </w:r>
      <w:r w:rsidRPr="007511DD">
        <w:rPr>
          <w:rFonts w:ascii="Times New Roman" w:hAnsi="Times New Roman"/>
          <w:sz w:val="24"/>
          <w:szCs w:val="24"/>
        </w:rPr>
        <w:t>inom (napr. domáce násilie) a podobne definované v rôznych právnych systémoch. Objasnenos</w:t>
      </w:r>
      <w:r w:rsidRPr="007511DD">
        <w:rPr>
          <w:rFonts w:ascii="Times New Roman" w:hAnsi="Times New Roman" w:hint="eastAsia"/>
          <w:sz w:val="24"/>
          <w:szCs w:val="24"/>
        </w:rPr>
        <w:t>ť</w:t>
      </w:r>
      <w:r w:rsidRPr="007511DD">
        <w:rPr>
          <w:rFonts w:ascii="Times New Roman" w:hAnsi="Times New Roman"/>
          <w:sz w:val="24"/>
          <w:szCs w:val="24"/>
        </w:rPr>
        <w:t xml:space="preserve"> trestných </w:t>
      </w:r>
      <w:r w:rsidRPr="007511DD">
        <w:rPr>
          <w:rFonts w:ascii="Times New Roman" w:hAnsi="Times New Roman" w:hint="eastAsia"/>
          <w:sz w:val="24"/>
          <w:szCs w:val="24"/>
        </w:rPr>
        <w:t>č</w:t>
      </w:r>
      <w:r w:rsidRPr="007511DD">
        <w:rPr>
          <w:rFonts w:ascii="Times New Roman" w:hAnsi="Times New Roman"/>
          <w:sz w:val="24"/>
          <w:szCs w:val="24"/>
        </w:rPr>
        <w:t>inov stúpa, medzinárodné porovnanie komplikuje rôzna metodika.</w:t>
      </w:r>
    </w:p>
    <w:p w:rsidR="00AA17E3" w:rsidRPr="00F711A7" w:rsidRDefault="00AA17E3" w:rsidP="00AA17E3">
      <w:pPr>
        <w:spacing w:after="0"/>
        <w:jc w:val="both"/>
        <w:rPr>
          <w:rFonts w:ascii="Times New Roman" w:hAnsi="Times New Roman"/>
          <w:sz w:val="24"/>
          <w:szCs w:val="24"/>
        </w:rPr>
      </w:pPr>
    </w:p>
    <w:p w:rsidR="00AA17E3" w:rsidRPr="007C2F50" w:rsidRDefault="00AA17E3" w:rsidP="00AA17E3">
      <w:pPr>
        <w:pStyle w:val="Popis"/>
        <w:keepNext/>
        <w:spacing w:after="0"/>
        <w:rPr>
          <w:rFonts w:ascii="Times New Roman" w:hAnsi="Times New Roman"/>
          <w:b/>
          <w:i w:val="0"/>
          <w:sz w:val="20"/>
          <w:szCs w:val="20"/>
        </w:rPr>
      </w:pPr>
      <w:bookmarkStart w:id="407" w:name="_Toc53054820"/>
      <w:bookmarkStart w:id="408" w:name="_Toc53078012"/>
      <w:bookmarkStart w:id="409" w:name="_Toc53086414"/>
      <w:bookmarkStart w:id="410" w:name="_Toc84528438"/>
      <w:bookmarkStart w:id="411" w:name="_Toc84845315"/>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91</w:t>
      </w:r>
      <w:r w:rsidRPr="002C35FD">
        <w:rPr>
          <w:rFonts w:ascii="Times New Roman" w:hAnsi="Times New Roman" w:cs="Times New Roman"/>
          <w:b/>
          <w:i w:val="0"/>
          <w:color w:val="5B9BD5" w:themeColor="accent1"/>
          <w:sz w:val="20"/>
          <w:szCs w:val="20"/>
        </w:rPr>
        <w:fldChar w:fldCharType="end"/>
      </w:r>
      <w:r w:rsidRPr="0056068D">
        <w:rPr>
          <w:rFonts w:ascii="Times New Roman" w:hAnsi="Times New Roman"/>
          <w:b/>
          <w:i w:val="0"/>
          <w:color w:val="5B9BD5" w:themeColor="accent1"/>
          <w:sz w:val="20"/>
          <w:szCs w:val="20"/>
        </w:rPr>
        <w:t xml:space="preserve"> - Kľúčové ukazovatele bezpečnosti</w:t>
      </w:r>
      <w:bookmarkEnd w:id="407"/>
      <w:bookmarkEnd w:id="408"/>
      <w:bookmarkEnd w:id="409"/>
      <w:bookmarkEnd w:id="410"/>
      <w:bookmarkEnd w:id="411"/>
    </w:p>
    <w:tbl>
      <w:tblPr>
        <w:tblW w:w="5000" w:type="pct"/>
        <w:tblLayout w:type="fixed"/>
        <w:tblCellMar>
          <w:left w:w="70" w:type="dxa"/>
          <w:right w:w="70" w:type="dxa"/>
        </w:tblCellMar>
        <w:tblLook w:val="04A0" w:firstRow="1" w:lastRow="0" w:firstColumn="1" w:lastColumn="0" w:noHBand="0" w:noVBand="1"/>
      </w:tblPr>
      <w:tblGrid>
        <w:gridCol w:w="3461"/>
        <w:gridCol w:w="545"/>
        <w:gridCol w:w="246"/>
        <w:gridCol w:w="299"/>
        <w:gridCol w:w="544"/>
        <w:gridCol w:w="544"/>
        <w:gridCol w:w="544"/>
        <w:gridCol w:w="624"/>
        <w:gridCol w:w="1127"/>
        <w:gridCol w:w="1138"/>
      </w:tblGrid>
      <w:tr w:rsidR="00AA17E3" w:rsidRPr="00CD1157" w:rsidTr="00B17481">
        <w:trPr>
          <w:trHeight w:val="300"/>
        </w:trPr>
        <w:tc>
          <w:tcPr>
            <w:tcW w:w="1907" w:type="pct"/>
            <w:tcBorders>
              <w:top w:val="single" w:sz="4" w:space="0" w:color="auto"/>
              <w:bottom w:val="single" w:sz="4" w:space="0" w:color="auto"/>
            </w:tcBorders>
            <w:shd w:val="clear" w:color="auto" w:fill="auto"/>
            <w:noWrap/>
            <w:vAlign w:val="center"/>
            <w:hideMark/>
          </w:tcPr>
          <w:p w:rsidR="00AA17E3" w:rsidRPr="00804037" w:rsidRDefault="00AA17E3" w:rsidP="00AA17E3">
            <w:pPr>
              <w:spacing w:after="0" w:line="240" w:lineRule="auto"/>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Indikátor</w:t>
            </w:r>
          </w:p>
        </w:tc>
        <w:tc>
          <w:tcPr>
            <w:tcW w:w="300" w:type="pct"/>
            <w:tcBorders>
              <w:top w:val="single" w:sz="4" w:space="0" w:color="auto"/>
              <w:left w:val="nil"/>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2016</w:t>
            </w:r>
          </w:p>
        </w:tc>
        <w:tc>
          <w:tcPr>
            <w:tcW w:w="300" w:type="pct"/>
            <w:gridSpan w:val="2"/>
            <w:tcBorders>
              <w:top w:val="single" w:sz="4" w:space="0" w:color="auto"/>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2017</w:t>
            </w:r>
          </w:p>
        </w:tc>
        <w:tc>
          <w:tcPr>
            <w:tcW w:w="300" w:type="pct"/>
            <w:tcBorders>
              <w:top w:val="single" w:sz="4" w:space="0" w:color="auto"/>
              <w:left w:val="nil"/>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2018</w:t>
            </w:r>
          </w:p>
        </w:tc>
        <w:tc>
          <w:tcPr>
            <w:tcW w:w="300" w:type="pct"/>
            <w:tcBorders>
              <w:top w:val="single" w:sz="4" w:space="0" w:color="auto"/>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2019</w:t>
            </w:r>
          </w:p>
        </w:tc>
        <w:tc>
          <w:tcPr>
            <w:tcW w:w="300" w:type="pct"/>
            <w:tcBorders>
              <w:top w:val="single" w:sz="4" w:space="0" w:color="auto"/>
              <w:left w:val="nil"/>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2020</w:t>
            </w:r>
          </w:p>
        </w:tc>
        <w:tc>
          <w:tcPr>
            <w:tcW w:w="344" w:type="pct"/>
            <w:tcBorders>
              <w:top w:val="single" w:sz="4" w:space="0" w:color="auto"/>
              <w:bottom w:val="single" w:sz="4" w:space="0" w:color="auto"/>
            </w:tcBorders>
            <w:vAlign w:val="center"/>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2021</w:t>
            </w:r>
          </w:p>
        </w:tc>
        <w:tc>
          <w:tcPr>
            <w:tcW w:w="621" w:type="pct"/>
            <w:tcBorders>
              <w:top w:val="single" w:sz="4" w:space="0" w:color="auto"/>
              <w:left w:val="nil"/>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Cieľ 2024</w:t>
            </w:r>
          </w:p>
        </w:tc>
        <w:tc>
          <w:tcPr>
            <w:tcW w:w="627" w:type="pct"/>
            <w:tcBorders>
              <w:top w:val="single" w:sz="4" w:space="0" w:color="auto"/>
              <w:bottom w:val="single" w:sz="4" w:space="0" w:color="auto"/>
            </w:tcBorders>
            <w:shd w:val="clear" w:color="auto" w:fill="auto"/>
            <w:noWrap/>
            <w:vAlign w:val="center"/>
            <w:hideMark/>
          </w:tcPr>
          <w:p w:rsidR="00AA17E3" w:rsidRPr="00804037" w:rsidRDefault="00AA17E3" w:rsidP="00AA17E3">
            <w:pPr>
              <w:spacing w:after="0" w:line="240" w:lineRule="auto"/>
              <w:jc w:val="center"/>
              <w:rPr>
                <w:rFonts w:ascii="Times New Roman" w:eastAsia="Times New Roman" w:hAnsi="Times New Roman" w:cs="Times New Roman"/>
                <w:b/>
                <w:bCs/>
                <w:sz w:val="18"/>
                <w:szCs w:val="18"/>
                <w:lang w:eastAsia="sk-SK"/>
              </w:rPr>
            </w:pPr>
            <w:r w:rsidRPr="00804037">
              <w:rPr>
                <w:rFonts w:ascii="Times New Roman" w:eastAsia="Times New Roman" w:hAnsi="Times New Roman" w:cs="Times New Roman"/>
                <w:b/>
                <w:bCs/>
                <w:sz w:val="18"/>
                <w:szCs w:val="18"/>
                <w:lang w:eastAsia="sk-SK"/>
              </w:rPr>
              <w:t>Cieľ 2030</w:t>
            </w:r>
          </w:p>
        </w:tc>
      </w:tr>
      <w:tr w:rsidR="00AA17E3" w:rsidRPr="00CD1157" w:rsidTr="00B17481">
        <w:trPr>
          <w:trHeight w:val="300"/>
        </w:trPr>
        <w:tc>
          <w:tcPr>
            <w:tcW w:w="1907" w:type="pct"/>
            <w:tcBorders>
              <w:top w:val="single" w:sz="4" w:space="0" w:color="auto"/>
            </w:tcBorders>
            <w:shd w:val="clear" w:color="auto" w:fill="auto"/>
            <w:vAlign w:val="center"/>
          </w:tcPr>
          <w:p w:rsidR="00AA17E3" w:rsidRPr="00804037" w:rsidRDefault="00AA17E3" w:rsidP="00AA17E3">
            <w:pPr>
              <w:spacing w:after="0" w:line="240" w:lineRule="auto"/>
              <w:rPr>
                <w:rFonts w:ascii="Times New Roman" w:eastAsia="Times New Roman" w:hAnsi="Times New Roman" w:cs="Times New Roman"/>
                <w:sz w:val="18"/>
                <w:szCs w:val="18"/>
                <w:lang w:eastAsia="sk-SK"/>
              </w:rPr>
            </w:pPr>
            <w:r w:rsidRPr="00804037">
              <w:rPr>
                <w:rFonts w:ascii="Times New Roman" w:eastAsia="Times New Roman" w:hAnsi="Times New Roman" w:cs="Times New Roman"/>
                <w:sz w:val="18"/>
                <w:szCs w:val="18"/>
                <w:lang w:eastAsia="sk-SK"/>
              </w:rPr>
              <w:t>Vraždy (na 100 tis. obyvateľov, kĺzavý 5-ročný priemer)</w:t>
            </w:r>
          </w:p>
        </w:tc>
        <w:tc>
          <w:tcPr>
            <w:tcW w:w="300" w:type="pct"/>
            <w:tcBorders>
              <w:top w:val="single" w:sz="4" w:space="0" w:color="auto"/>
              <w:left w:val="nil"/>
            </w:tcBorders>
            <w:shd w:val="clear" w:color="auto" w:fill="auto"/>
            <w:noWrap/>
            <w:vAlign w:val="center"/>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1,1</w:t>
            </w:r>
          </w:p>
        </w:tc>
        <w:tc>
          <w:tcPr>
            <w:tcW w:w="300" w:type="pct"/>
            <w:gridSpan w:val="2"/>
            <w:tcBorders>
              <w:top w:val="single" w:sz="4" w:space="0" w:color="auto"/>
            </w:tcBorders>
            <w:shd w:val="clear" w:color="auto" w:fill="auto"/>
            <w:noWrap/>
            <w:vAlign w:val="center"/>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1,47</w:t>
            </w:r>
          </w:p>
        </w:tc>
        <w:tc>
          <w:tcPr>
            <w:tcW w:w="300" w:type="pct"/>
            <w:tcBorders>
              <w:top w:val="single" w:sz="4" w:space="0" w:color="auto"/>
              <w:left w:val="nil"/>
            </w:tcBorders>
            <w:shd w:val="clear" w:color="auto" w:fill="auto"/>
            <w:noWrap/>
            <w:vAlign w:val="center"/>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1,23</w:t>
            </w:r>
          </w:p>
        </w:tc>
        <w:tc>
          <w:tcPr>
            <w:tcW w:w="300" w:type="pct"/>
            <w:tcBorders>
              <w:top w:val="single" w:sz="4" w:space="0" w:color="auto"/>
            </w:tcBorders>
            <w:shd w:val="clear" w:color="auto" w:fill="auto"/>
            <w:noWrap/>
            <w:vAlign w:val="center"/>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1,39</w:t>
            </w:r>
          </w:p>
        </w:tc>
        <w:tc>
          <w:tcPr>
            <w:tcW w:w="300" w:type="pct"/>
            <w:tcBorders>
              <w:top w:val="single" w:sz="4" w:space="0" w:color="auto"/>
              <w:left w:val="nil"/>
            </w:tcBorders>
            <w:shd w:val="clear" w:color="auto" w:fill="auto"/>
            <w:noWrap/>
            <w:vAlign w:val="center"/>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1,15</w:t>
            </w:r>
          </w:p>
        </w:tc>
        <w:tc>
          <w:tcPr>
            <w:tcW w:w="344" w:type="pct"/>
            <w:tcBorders>
              <w:top w:val="single" w:sz="4" w:space="0" w:color="auto"/>
            </w:tcBorders>
            <w:vAlign w:val="center"/>
          </w:tcPr>
          <w:p w:rsidR="00AA17E3" w:rsidRPr="00804037" w:rsidRDefault="00AA17E3" w:rsidP="00AA17E3">
            <w:pPr>
              <w:spacing w:after="0" w:line="240" w:lineRule="auto"/>
              <w:jc w:val="right"/>
              <w:rPr>
                <w:rFonts w:ascii="Times New Roman" w:eastAsia="Times New Roman" w:hAnsi="Times New Roman" w:cs="Times New Roman"/>
                <w:bCs/>
                <w:sz w:val="16"/>
                <w:szCs w:val="16"/>
                <w:lang w:eastAsia="sk-SK"/>
              </w:rPr>
            </w:pPr>
            <w:r w:rsidRPr="00804037">
              <w:rPr>
                <w:rFonts w:ascii="Times New Roman" w:eastAsia="Times New Roman" w:hAnsi="Times New Roman" w:cs="Times New Roman"/>
                <w:bCs/>
                <w:sz w:val="16"/>
                <w:szCs w:val="16"/>
                <w:lang w:eastAsia="sk-SK"/>
              </w:rPr>
              <w:t>-</w:t>
            </w:r>
          </w:p>
        </w:tc>
        <w:tc>
          <w:tcPr>
            <w:tcW w:w="621" w:type="pct"/>
            <w:tcBorders>
              <w:top w:val="single" w:sz="4" w:space="0" w:color="auto"/>
              <w:left w:val="nil"/>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c>
          <w:tcPr>
            <w:tcW w:w="627" w:type="pct"/>
            <w:tcBorders>
              <w:top w:val="single" w:sz="4" w:space="0" w:color="auto"/>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r>
      <w:tr w:rsidR="00AA17E3" w:rsidRPr="00CD1157" w:rsidTr="00B17481">
        <w:trPr>
          <w:trHeight w:val="300"/>
        </w:trPr>
        <w:tc>
          <w:tcPr>
            <w:tcW w:w="1907" w:type="pct"/>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sz w:val="18"/>
                <w:szCs w:val="18"/>
                <w:lang w:eastAsia="sk-SK"/>
              </w:rPr>
            </w:pPr>
            <w:r w:rsidRPr="00804037">
              <w:rPr>
                <w:rFonts w:ascii="Times New Roman" w:eastAsia="Times New Roman" w:hAnsi="Times New Roman" w:cs="Times New Roman"/>
                <w:sz w:val="18"/>
                <w:szCs w:val="18"/>
                <w:lang w:eastAsia="sk-SK"/>
              </w:rPr>
              <w:t>Objasnenosť trestných činov (v %)</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56,74</w:t>
            </w:r>
          </w:p>
        </w:tc>
        <w:tc>
          <w:tcPr>
            <w:tcW w:w="300" w:type="pct"/>
            <w:gridSpan w:val="2"/>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58,67</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60,6</w:t>
            </w:r>
          </w:p>
        </w:tc>
        <w:tc>
          <w:tcPr>
            <w:tcW w:w="300" w:type="pct"/>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61,95</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60,3</w:t>
            </w:r>
          </w:p>
        </w:tc>
        <w:tc>
          <w:tcPr>
            <w:tcW w:w="344" w:type="pct"/>
            <w:vAlign w:val="center"/>
          </w:tcPr>
          <w:p w:rsidR="00AA17E3" w:rsidRPr="00804037" w:rsidRDefault="00AA17E3" w:rsidP="00AA17E3">
            <w:pPr>
              <w:spacing w:after="0" w:line="240" w:lineRule="auto"/>
              <w:jc w:val="right"/>
              <w:rPr>
                <w:rFonts w:ascii="Times New Roman" w:eastAsia="Times New Roman" w:hAnsi="Times New Roman" w:cs="Times New Roman"/>
                <w:bCs/>
                <w:sz w:val="16"/>
                <w:szCs w:val="16"/>
                <w:lang w:eastAsia="sk-SK"/>
              </w:rPr>
            </w:pPr>
            <w:r w:rsidRPr="00804037">
              <w:rPr>
                <w:rFonts w:ascii="Times New Roman" w:eastAsia="Times New Roman" w:hAnsi="Times New Roman" w:cs="Times New Roman"/>
                <w:bCs/>
                <w:sz w:val="16"/>
                <w:szCs w:val="16"/>
                <w:lang w:eastAsia="sk-SK"/>
              </w:rPr>
              <w:t>-</w:t>
            </w:r>
          </w:p>
        </w:tc>
        <w:tc>
          <w:tcPr>
            <w:tcW w:w="621" w:type="pct"/>
            <w:tcBorders>
              <w:left w:val="nil"/>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c>
          <w:tcPr>
            <w:tcW w:w="627" w:type="pct"/>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r>
      <w:tr w:rsidR="00AA17E3" w:rsidRPr="00CD1157" w:rsidTr="00B17481">
        <w:trPr>
          <w:trHeight w:val="300"/>
        </w:trPr>
        <w:tc>
          <w:tcPr>
            <w:tcW w:w="1907" w:type="pct"/>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sz w:val="18"/>
                <w:szCs w:val="18"/>
                <w:lang w:eastAsia="sk-SK"/>
              </w:rPr>
            </w:pPr>
            <w:r w:rsidRPr="00804037">
              <w:rPr>
                <w:rFonts w:ascii="Times New Roman" w:eastAsia="Times New Roman" w:hAnsi="Times New Roman" w:cs="Times New Roman"/>
                <w:sz w:val="18"/>
                <w:szCs w:val="18"/>
                <w:lang w:eastAsia="sk-SK"/>
              </w:rPr>
              <w:t>Dôvera v políciu (v % obyvateľov)</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47</w:t>
            </w:r>
          </w:p>
        </w:tc>
        <w:tc>
          <w:tcPr>
            <w:tcW w:w="300" w:type="pct"/>
            <w:gridSpan w:val="2"/>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43</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38</w:t>
            </w:r>
          </w:p>
        </w:tc>
        <w:tc>
          <w:tcPr>
            <w:tcW w:w="300" w:type="pct"/>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41</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45</w:t>
            </w:r>
          </w:p>
        </w:tc>
        <w:tc>
          <w:tcPr>
            <w:tcW w:w="344" w:type="pct"/>
            <w:vAlign w:val="center"/>
          </w:tcPr>
          <w:p w:rsidR="00AA17E3" w:rsidRPr="00804037" w:rsidRDefault="00AA17E3" w:rsidP="00AA17E3">
            <w:pPr>
              <w:spacing w:after="0" w:line="240" w:lineRule="auto"/>
              <w:jc w:val="right"/>
              <w:rPr>
                <w:rFonts w:ascii="Times New Roman" w:eastAsia="Times New Roman" w:hAnsi="Times New Roman" w:cs="Times New Roman"/>
                <w:bCs/>
                <w:sz w:val="16"/>
                <w:szCs w:val="16"/>
                <w:lang w:eastAsia="sk-SK"/>
              </w:rPr>
            </w:pPr>
            <w:r w:rsidRPr="00804037">
              <w:rPr>
                <w:rFonts w:ascii="Times New Roman" w:eastAsia="Times New Roman" w:hAnsi="Times New Roman" w:cs="Times New Roman"/>
                <w:bCs/>
                <w:sz w:val="16"/>
                <w:szCs w:val="16"/>
                <w:lang w:eastAsia="sk-SK"/>
              </w:rPr>
              <w:t>42</w:t>
            </w:r>
          </w:p>
        </w:tc>
        <w:tc>
          <w:tcPr>
            <w:tcW w:w="621" w:type="pct"/>
            <w:tcBorders>
              <w:left w:val="nil"/>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c>
          <w:tcPr>
            <w:tcW w:w="627" w:type="pct"/>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r>
      <w:tr w:rsidR="00AA17E3" w:rsidRPr="00CD1157" w:rsidTr="00B17481">
        <w:trPr>
          <w:trHeight w:val="470"/>
        </w:trPr>
        <w:tc>
          <w:tcPr>
            <w:tcW w:w="1907" w:type="pct"/>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sz w:val="18"/>
                <w:szCs w:val="18"/>
                <w:lang w:eastAsia="sk-SK"/>
              </w:rPr>
            </w:pPr>
            <w:r w:rsidRPr="00804037">
              <w:rPr>
                <w:rFonts w:ascii="Times New Roman" w:eastAsia="Times New Roman" w:hAnsi="Times New Roman" w:cs="Times New Roman"/>
                <w:sz w:val="18"/>
                <w:szCs w:val="18"/>
                <w:lang w:eastAsia="sk-SK"/>
              </w:rPr>
              <w:t>Dosiahnuté percento zásahov, pri ktorých je čas dojazdu 20 minút</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92,05</w:t>
            </w:r>
          </w:p>
        </w:tc>
        <w:tc>
          <w:tcPr>
            <w:tcW w:w="300" w:type="pct"/>
            <w:gridSpan w:val="2"/>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90,85</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91,16</w:t>
            </w:r>
          </w:p>
        </w:tc>
        <w:tc>
          <w:tcPr>
            <w:tcW w:w="300" w:type="pct"/>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92,64</w:t>
            </w:r>
          </w:p>
        </w:tc>
        <w:tc>
          <w:tcPr>
            <w:tcW w:w="300" w:type="pct"/>
            <w:tcBorders>
              <w:left w:val="nil"/>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91,83</w:t>
            </w:r>
          </w:p>
        </w:tc>
        <w:tc>
          <w:tcPr>
            <w:tcW w:w="344" w:type="pct"/>
            <w:vAlign w:val="center"/>
          </w:tcPr>
          <w:p w:rsidR="00AA17E3" w:rsidRPr="00804037" w:rsidRDefault="00AA17E3" w:rsidP="00AA17E3">
            <w:pPr>
              <w:spacing w:after="0" w:line="240" w:lineRule="auto"/>
              <w:jc w:val="right"/>
              <w:rPr>
                <w:rFonts w:ascii="Times New Roman" w:eastAsia="Times New Roman" w:hAnsi="Times New Roman" w:cs="Times New Roman"/>
                <w:bCs/>
                <w:sz w:val="16"/>
                <w:szCs w:val="16"/>
                <w:lang w:eastAsia="sk-SK"/>
              </w:rPr>
            </w:pPr>
            <w:r w:rsidRPr="00804037">
              <w:rPr>
                <w:rFonts w:ascii="Times New Roman" w:eastAsia="Times New Roman" w:hAnsi="Times New Roman" w:cs="Times New Roman"/>
                <w:bCs/>
                <w:sz w:val="16"/>
                <w:szCs w:val="16"/>
                <w:lang w:eastAsia="sk-SK"/>
              </w:rPr>
              <w:t>90,53</w:t>
            </w:r>
          </w:p>
        </w:tc>
        <w:tc>
          <w:tcPr>
            <w:tcW w:w="621" w:type="pct"/>
            <w:tcBorders>
              <w:left w:val="nil"/>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c>
          <w:tcPr>
            <w:tcW w:w="627" w:type="pct"/>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r>
      <w:tr w:rsidR="00AA17E3" w:rsidRPr="00CD1157" w:rsidTr="00B17481">
        <w:trPr>
          <w:trHeight w:val="300"/>
        </w:trPr>
        <w:tc>
          <w:tcPr>
            <w:tcW w:w="1907" w:type="pct"/>
            <w:tcBorders>
              <w:bottom w:val="single" w:sz="4" w:space="0" w:color="auto"/>
            </w:tcBorders>
            <w:shd w:val="clear" w:color="auto" w:fill="auto"/>
            <w:vAlign w:val="center"/>
            <w:hideMark/>
          </w:tcPr>
          <w:p w:rsidR="00AA17E3" w:rsidRPr="00804037" w:rsidRDefault="00AA17E3" w:rsidP="00AA17E3">
            <w:pPr>
              <w:spacing w:after="0" w:line="240" w:lineRule="auto"/>
              <w:rPr>
                <w:rFonts w:ascii="Times New Roman" w:eastAsia="Times New Roman" w:hAnsi="Times New Roman" w:cs="Times New Roman"/>
                <w:sz w:val="18"/>
                <w:szCs w:val="18"/>
                <w:lang w:eastAsia="sk-SK"/>
              </w:rPr>
            </w:pPr>
            <w:r w:rsidRPr="00804037">
              <w:rPr>
                <w:rFonts w:ascii="Times New Roman" w:eastAsia="Times New Roman" w:hAnsi="Times New Roman" w:cs="Times New Roman"/>
                <w:sz w:val="18"/>
                <w:szCs w:val="18"/>
                <w:lang w:eastAsia="sk-SK"/>
              </w:rPr>
              <w:t>Reakcia na tiesňovú informáciu do 10 sekúnd  (v %)</w:t>
            </w:r>
          </w:p>
        </w:tc>
        <w:tc>
          <w:tcPr>
            <w:tcW w:w="300" w:type="pct"/>
            <w:tcBorders>
              <w:left w:val="nil"/>
              <w:bottom w:val="single" w:sz="4" w:space="0" w:color="auto"/>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67</w:t>
            </w:r>
          </w:p>
        </w:tc>
        <w:tc>
          <w:tcPr>
            <w:tcW w:w="300" w:type="pct"/>
            <w:gridSpan w:val="2"/>
            <w:tcBorders>
              <w:bottom w:val="single" w:sz="4" w:space="0" w:color="auto"/>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75</w:t>
            </w:r>
          </w:p>
        </w:tc>
        <w:tc>
          <w:tcPr>
            <w:tcW w:w="300" w:type="pct"/>
            <w:tcBorders>
              <w:left w:val="nil"/>
              <w:bottom w:val="single" w:sz="4" w:space="0" w:color="auto"/>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75</w:t>
            </w:r>
          </w:p>
        </w:tc>
        <w:tc>
          <w:tcPr>
            <w:tcW w:w="300" w:type="pct"/>
            <w:tcBorders>
              <w:bottom w:val="single" w:sz="4" w:space="0" w:color="auto"/>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77</w:t>
            </w:r>
          </w:p>
        </w:tc>
        <w:tc>
          <w:tcPr>
            <w:tcW w:w="300" w:type="pct"/>
            <w:tcBorders>
              <w:left w:val="nil"/>
              <w:bottom w:val="single" w:sz="4" w:space="0" w:color="auto"/>
            </w:tcBorders>
            <w:shd w:val="clear" w:color="auto" w:fill="auto"/>
            <w:noWrap/>
            <w:vAlign w:val="center"/>
            <w:hideMark/>
          </w:tcPr>
          <w:p w:rsidR="00AA17E3" w:rsidRPr="00804037" w:rsidRDefault="00AA17E3" w:rsidP="00AA17E3">
            <w:pPr>
              <w:spacing w:after="0" w:line="240" w:lineRule="auto"/>
              <w:jc w:val="right"/>
              <w:rPr>
                <w:rFonts w:ascii="Times New Roman" w:eastAsia="Times New Roman" w:hAnsi="Times New Roman" w:cs="Times New Roman"/>
                <w:sz w:val="16"/>
                <w:szCs w:val="16"/>
                <w:lang w:eastAsia="sk-SK"/>
              </w:rPr>
            </w:pPr>
            <w:r w:rsidRPr="00804037">
              <w:rPr>
                <w:rFonts w:ascii="Times New Roman" w:eastAsia="Times New Roman" w:hAnsi="Times New Roman" w:cs="Times New Roman"/>
                <w:sz w:val="16"/>
                <w:szCs w:val="16"/>
                <w:lang w:eastAsia="sk-SK"/>
              </w:rPr>
              <w:t>76</w:t>
            </w:r>
          </w:p>
        </w:tc>
        <w:tc>
          <w:tcPr>
            <w:tcW w:w="344" w:type="pct"/>
            <w:tcBorders>
              <w:bottom w:val="single" w:sz="4" w:space="0" w:color="auto"/>
            </w:tcBorders>
            <w:vAlign w:val="center"/>
          </w:tcPr>
          <w:p w:rsidR="00AA17E3" w:rsidRPr="00804037" w:rsidRDefault="00AA17E3" w:rsidP="00AA17E3">
            <w:pPr>
              <w:spacing w:after="0" w:line="240" w:lineRule="auto"/>
              <w:jc w:val="right"/>
              <w:rPr>
                <w:rFonts w:ascii="Times New Roman" w:eastAsia="Times New Roman" w:hAnsi="Times New Roman" w:cs="Times New Roman"/>
                <w:bCs/>
                <w:sz w:val="16"/>
                <w:szCs w:val="16"/>
                <w:lang w:eastAsia="sk-SK"/>
              </w:rPr>
            </w:pPr>
            <w:r w:rsidRPr="00804037">
              <w:rPr>
                <w:rFonts w:ascii="Times New Roman" w:eastAsia="Times New Roman" w:hAnsi="Times New Roman" w:cs="Times New Roman"/>
                <w:bCs/>
                <w:sz w:val="16"/>
                <w:szCs w:val="16"/>
                <w:lang w:eastAsia="sk-SK"/>
              </w:rPr>
              <w:t>-</w:t>
            </w:r>
          </w:p>
        </w:tc>
        <w:tc>
          <w:tcPr>
            <w:tcW w:w="621" w:type="pct"/>
            <w:tcBorders>
              <w:left w:val="nil"/>
              <w:bottom w:val="single" w:sz="4" w:space="0" w:color="auto"/>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c>
          <w:tcPr>
            <w:tcW w:w="627" w:type="pct"/>
            <w:tcBorders>
              <w:bottom w:val="single" w:sz="4" w:space="0" w:color="auto"/>
            </w:tcBorders>
            <w:shd w:val="clear" w:color="auto" w:fill="auto"/>
            <w:vAlign w:val="center"/>
          </w:tcPr>
          <w:p w:rsidR="00AA17E3" w:rsidRPr="00804037" w:rsidRDefault="00AA17E3" w:rsidP="00AA17E3">
            <w:pPr>
              <w:spacing w:after="0" w:line="240" w:lineRule="auto"/>
              <w:jc w:val="center"/>
              <w:rPr>
                <w:rFonts w:ascii="Times New Roman" w:eastAsia="Times New Roman" w:hAnsi="Times New Roman" w:cs="Times New Roman"/>
                <w:bCs/>
                <w:color w:val="000000" w:themeColor="text1"/>
                <w:sz w:val="18"/>
                <w:szCs w:val="18"/>
                <w:lang w:eastAsia="sk-SK"/>
              </w:rPr>
            </w:pPr>
            <w:r w:rsidRPr="00804037">
              <w:rPr>
                <w:rFonts w:ascii="Times New Roman" w:eastAsia="Times New Roman" w:hAnsi="Times New Roman" w:cs="Times New Roman"/>
                <w:bCs/>
                <w:color w:val="000000" w:themeColor="text1"/>
                <w:sz w:val="18"/>
                <w:szCs w:val="18"/>
                <w:lang w:eastAsia="sk-SK"/>
              </w:rPr>
              <w:t>TBD</w:t>
            </w:r>
          </w:p>
        </w:tc>
      </w:tr>
      <w:tr w:rsidR="00AA17E3" w:rsidRPr="00CD1157" w:rsidTr="00AA17E3">
        <w:trPr>
          <w:trHeight w:val="300"/>
        </w:trPr>
        <w:tc>
          <w:tcPr>
            <w:tcW w:w="1907" w:type="pct"/>
            <w:tcBorders>
              <w:top w:val="single" w:sz="4" w:space="0" w:color="auto"/>
              <w:left w:val="nil"/>
              <w:right w:val="nil"/>
            </w:tcBorders>
            <w:shd w:val="clear" w:color="auto" w:fill="auto"/>
          </w:tcPr>
          <w:p w:rsidR="00AA17E3" w:rsidRPr="003A4A95" w:rsidRDefault="00AA17E3" w:rsidP="004004BC">
            <w:pPr>
              <w:spacing w:after="0" w:line="240" w:lineRule="auto"/>
              <w:rPr>
                <w:rFonts w:ascii="Times New Roman" w:eastAsia="Times New Roman" w:hAnsi="Times New Roman" w:cs="Times New Roman"/>
                <w:sz w:val="16"/>
                <w:szCs w:val="16"/>
                <w:lang w:eastAsia="sk-SK"/>
              </w:rPr>
            </w:pPr>
          </w:p>
        </w:tc>
        <w:tc>
          <w:tcPr>
            <w:tcW w:w="435" w:type="pct"/>
            <w:gridSpan w:val="2"/>
            <w:tcBorders>
              <w:top w:val="single" w:sz="4" w:space="0" w:color="auto"/>
              <w:left w:val="nil"/>
              <w:right w:val="nil"/>
            </w:tcBorders>
          </w:tcPr>
          <w:p w:rsidR="00AA17E3" w:rsidRPr="003A4A95" w:rsidRDefault="00AA17E3" w:rsidP="004004BC">
            <w:pPr>
              <w:spacing w:after="0" w:line="240" w:lineRule="auto"/>
              <w:jc w:val="right"/>
              <w:rPr>
                <w:rFonts w:ascii="Times New Roman" w:eastAsia="Times New Roman" w:hAnsi="Times New Roman" w:cs="Times New Roman"/>
                <w:i/>
                <w:iCs/>
                <w:sz w:val="16"/>
                <w:szCs w:val="16"/>
                <w:lang w:eastAsia="sk-SK"/>
              </w:rPr>
            </w:pPr>
          </w:p>
        </w:tc>
        <w:tc>
          <w:tcPr>
            <w:tcW w:w="2657" w:type="pct"/>
            <w:gridSpan w:val="7"/>
            <w:tcBorders>
              <w:top w:val="single" w:sz="4" w:space="0" w:color="auto"/>
              <w:left w:val="nil"/>
              <w:right w:val="nil"/>
            </w:tcBorders>
            <w:shd w:val="clear" w:color="auto" w:fill="auto"/>
            <w:noWrap/>
          </w:tcPr>
          <w:p w:rsidR="00AA17E3" w:rsidRPr="003A4A95" w:rsidRDefault="00AA17E3" w:rsidP="004004BC">
            <w:pPr>
              <w:spacing w:after="0" w:line="240" w:lineRule="auto"/>
              <w:jc w:val="right"/>
              <w:rPr>
                <w:rFonts w:ascii="Times New Roman" w:eastAsia="Times New Roman" w:hAnsi="Times New Roman" w:cs="Times New Roman"/>
                <w:b/>
                <w:bCs/>
                <w:sz w:val="16"/>
                <w:szCs w:val="16"/>
                <w:lang w:eastAsia="sk-SK"/>
              </w:rPr>
            </w:pPr>
            <w:r w:rsidRPr="003A4A95">
              <w:rPr>
                <w:rFonts w:ascii="Times New Roman" w:eastAsia="Times New Roman" w:hAnsi="Times New Roman" w:cs="Times New Roman"/>
                <w:i/>
                <w:iCs/>
                <w:sz w:val="16"/>
                <w:szCs w:val="16"/>
                <w:lang w:eastAsia="sk-SK"/>
              </w:rPr>
              <w:t>Zdroj: Eurostat, Eurobarometer, OECD, MV SR, MF SR, AC MS SR</w:t>
            </w:r>
          </w:p>
        </w:tc>
      </w:tr>
    </w:tbl>
    <w:p w:rsidR="00AA17E3" w:rsidRDefault="00AA17E3" w:rsidP="004004BC">
      <w:pPr>
        <w:spacing w:after="0"/>
        <w:jc w:val="both"/>
        <w:rPr>
          <w:rFonts w:ascii="Times New Roman" w:hAnsi="Times New Roman"/>
          <w:color w:val="000000" w:themeColor="text1"/>
          <w:sz w:val="24"/>
          <w:szCs w:val="24"/>
        </w:rPr>
      </w:pPr>
    </w:p>
    <w:p w:rsidR="00AA17E3" w:rsidRPr="00BC2D61" w:rsidRDefault="00AA17E3" w:rsidP="004004BC">
      <w:pPr>
        <w:shd w:val="clear" w:color="auto" w:fill="FFFFFF" w:themeFill="background1"/>
        <w:spacing w:after="0"/>
        <w:jc w:val="both"/>
        <w:rPr>
          <w:rFonts w:ascii="Times New Roman" w:hAnsi="Times New Roman"/>
          <w:color w:val="000000" w:themeColor="text1"/>
          <w:sz w:val="24"/>
          <w:szCs w:val="24"/>
        </w:rPr>
      </w:pPr>
      <w:r w:rsidRPr="007511DD">
        <w:rPr>
          <w:rFonts w:ascii="Times New Roman" w:hAnsi="Times New Roman"/>
          <w:color w:val="000000" w:themeColor="text1"/>
          <w:sz w:val="24"/>
          <w:szCs w:val="24"/>
        </w:rPr>
        <w:t>Jedným z hlavných  cieľov v oblasti bezpečnosti je objasnenosť trestných činov. Dlhodobo sa objasnenosť trestných činov pohyb</w:t>
      </w:r>
      <w:r w:rsidR="00110579">
        <w:rPr>
          <w:rFonts w:ascii="Times New Roman" w:hAnsi="Times New Roman"/>
          <w:color w:val="000000" w:themeColor="text1"/>
          <w:sz w:val="24"/>
          <w:szCs w:val="24"/>
        </w:rPr>
        <w:t>uje okolo 60 %, medzi rokmi</w:t>
      </w:r>
      <w:r w:rsidRPr="007511DD">
        <w:rPr>
          <w:rFonts w:ascii="Times New Roman" w:hAnsi="Times New Roman"/>
          <w:color w:val="000000" w:themeColor="text1"/>
          <w:sz w:val="24"/>
          <w:szCs w:val="24"/>
        </w:rPr>
        <w:t xml:space="preserve"> 2016 až 2020</w:t>
      </w:r>
      <w:r w:rsidR="00110579">
        <w:rPr>
          <w:rFonts w:ascii="Times New Roman" w:hAnsi="Times New Roman"/>
          <w:color w:val="000000" w:themeColor="text1"/>
          <w:sz w:val="24"/>
          <w:szCs w:val="24"/>
        </w:rPr>
        <w:t xml:space="preserve"> bola</w:t>
      </w:r>
      <w:r w:rsidRPr="007511DD">
        <w:rPr>
          <w:rFonts w:ascii="Times New Roman" w:hAnsi="Times New Roman"/>
          <w:color w:val="000000" w:themeColor="text1"/>
          <w:sz w:val="24"/>
          <w:szCs w:val="24"/>
        </w:rPr>
        <w:t xml:space="preserve"> v priemere na úrovni 59,7 %. Cieľom je udržanie úrovne objasnenosti, prípadne jej zvýšenie.</w:t>
      </w:r>
      <w:r w:rsidRPr="00BC2D61">
        <w:rPr>
          <w:rFonts w:ascii="Times New Roman" w:hAnsi="Times New Roman"/>
          <w:color w:val="000000" w:themeColor="text1"/>
          <w:sz w:val="24"/>
          <w:szCs w:val="24"/>
        </w:rPr>
        <w:t xml:space="preserve"> </w:t>
      </w:r>
    </w:p>
    <w:p w:rsidR="00AA17E3" w:rsidRPr="00BC2D61" w:rsidRDefault="00AA17E3" w:rsidP="00AA17E3">
      <w:pPr>
        <w:shd w:val="clear" w:color="auto" w:fill="FFFFFF" w:themeFill="background1"/>
        <w:spacing w:after="0"/>
        <w:jc w:val="both"/>
        <w:rPr>
          <w:rFonts w:ascii="Times New Roman" w:hAnsi="Times New Roman"/>
          <w:color w:val="000000" w:themeColor="text1"/>
          <w:sz w:val="24"/>
          <w:szCs w:val="24"/>
        </w:rPr>
      </w:pPr>
    </w:p>
    <w:p w:rsidR="00AA17E3" w:rsidRPr="00BC2D61" w:rsidRDefault="00AA17E3" w:rsidP="00AA17E3">
      <w:pPr>
        <w:spacing w:after="0"/>
        <w:jc w:val="both"/>
        <w:rPr>
          <w:rFonts w:ascii="Times New Roman" w:hAnsi="Times New Roman"/>
          <w:color w:val="000000" w:themeColor="text1"/>
          <w:sz w:val="24"/>
          <w:szCs w:val="24"/>
        </w:rPr>
      </w:pPr>
      <w:r w:rsidRPr="007511DD">
        <w:rPr>
          <w:rFonts w:ascii="Times New Roman" w:hAnsi="Times New Roman"/>
          <w:color w:val="000000" w:themeColor="text1"/>
          <w:sz w:val="24"/>
          <w:szCs w:val="24"/>
        </w:rPr>
        <w:t>Vláda si dala za cie</w:t>
      </w:r>
      <w:r w:rsidRPr="007511DD">
        <w:rPr>
          <w:rFonts w:ascii="Times New Roman" w:hAnsi="Times New Roman" w:hint="eastAsia"/>
          <w:color w:val="000000" w:themeColor="text1"/>
          <w:sz w:val="24"/>
          <w:szCs w:val="24"/>
        </w:rPr>
        <w:t>ľ</w:t>
      </w:r>
      <w:r w:rsidRPr="007511DD">
        <w:rPr>
          <w:rFonts w:ascii="Times New Roman" w:hAnsi="Times New Roman"/>
          <w:color w:val="000000" w:themeColor="text1"/>
          <w:sz w:val="24"/>
          <w:szCs w:val="24"/>
        </w:rPr>
        <w:t xml:space="preserve"> zvýšiť dôveru v políciu, ktorá je napriek vyšším výdavkom najnižšia spomedzi krajín EÚ. Na Slovensku dôveruje polícii len 42 % obyvate</w:t>
      </w:r>
      <w:r w:rsidRPr="007511DD">
        <w:rPr>
          <w:rFonts w:ascii="Times New Roman" w:hAnsi="Times New Roman" w:hint="eastAsia"/>
          <w:color w:val="000000" w:themeColor="text1"/>
          <w:sz w:val="24"/>
          <w:szCs w:val="24"/>
        </w:rPr>
        <w:t>ľ</w:t>
      </w:r>
      <w:r w:rsidRPr="007511DD">
        <w:rPr>
          <w:rFonts w:ascii="Times New Roman" w:hAnsi="Times New Roman"/>
          <w:color w:val="000000" w:themeColor="text1"/>
          <w:sz w:val="24"/>
          <w:szCs w:val="24"/>
        </w:rPr>
        <w:t>ov, čo predstavuje po</w:t>
      </w:r>
      <w:r w:rsidR="002F3ABA">
        <w:rPr>
          <w:rFonts w:ascii="Times New Roman" w:hAnsi="Times New Roman"/>
          <w:color w:val="000000" w:themeColor="text1"/>
          <w:sz w:val="24"/>
          <w:szCs w:val="24"/>
        </w:rPr>
        <w:t>kles oproti roku 2020 o 3 p. b.</w:t>
      </w:r>
      <w:r w:rsidRPr="007511DD">
        <w:rPr>
          <w:rFonts w:ascii="Times New Roman" w:hAnsi="Times New Roman"/>
          <w:color w:val="000000" w:themeColor="text1"/>
          <w:sz w:val="24"/>
          <w:szCs w:val="24"/>
        </w:rPr>
        <w:t xml:space="preserve"> Problematický je aj vývoj dôvery v políciu, ktorá nestúpa a v posledných 5 rokoch je stabilná na úrovni približne 40 %.</w:t>
      </w:r>
      <w:r w:rsidRPr="00BC2D61">
        <w:rPr>
          <w:rFonts w:ascii="Times New Roman" w:hAnsi="Times New Roman"/>
          <w:color w:val="000000" w:themeColor="text1"/>
          <w:sz w:val="24"/>
          <w:szCs w:val="24"/>
        </w:rPr>
        <w:t xml:space="preserve"> </w:t>
      </w:r>
    </w:p>
    <w:p w:rsidR="00AA17E3" w:rsidRPr="00BC2D61" w:rsidRDefault="00AA17E3" w:rsidP="00AA17E3">
      <w:pPr>
        <w:spacing w:after="0"/>
        <w:jc w:val="both"/>
        <w:rPr>
          <w:rFonts w:ascii="Times New Roman" w:hAnsi="Times New Roman"/>
          <w:color w:val="000000" w:themeColor="text1"/>
          <w:sz w:val="24"/>
          <w:szCs w:val="24"/>
        </w:rPr>
      </w:pPr>
    </w:p>
    <w:p w:rsidR="00AA17E3" w:rsidRDefault="00AA17E3" w:rsidP="00AA17E3">
      <w:pPr>
        <w:spacing w:after="0"/>
        <w:jc w:val="both"/>
        <w:rPr>
          <w:rFonts w:ascii="Times New Roman" w:hAnsi="Times New Roman"/>
          <w:color w:val="000000" w:themeColor="text1"/>
          <w:sz w:val="24"/>
          <w:szCs w:val="24"/>
        </w:rPr>
      </w:pPr>
      <w:r w:rsidRPr="007511DD">
        <w:rPr>
          <w:rFonts w:ascii="Times New Roman" w:hAnsi="Times New Roman"/>
          <w:color w:val="000000" w:themeColor="text1"/>
          <w:sz w:val="24"/>
          <w:szCs w:val="24"/>
        </w:rPr>
        <w:t>Jedným z hlavných cie</w:t>
      </w:r>
      <w:r w:rsidRPr="007511DD">
        <w:rPr>
          <w:rFonts w:ascii="Times New Roman" w:hAnsi="Times New Roman" w:hint="eastAsia"/>
          <w:color w:val="000000" w:themeColor="text1"/>
          <w:sz w:val="24"/>
          <w:szCs w:val="24"/>
        </w:rPr>
        <w:t>ľ</w:t>
      </w:r>
      <w:r w:rsidRPr="007511DD">
        <w:rPr>
          <w:rFonts w:ascii="Times New Roman" w:hAnsi="Times New Roman"/>
          <w:color w:val="000000" w:themeColor="text1"/>
          <w:sz w:val="24"/>
          <w:szCs w:val="24"/>
        </w:rPr>
        <w:t>ov Hasi</w:t>
      </w:r>
      <w:r w:rsidRPr="007511DD">
        <w:rPr>
          <w:rFonts w:ascii="Times New Roman" w:hAnsi="Times New Roman" w:hint="eastAsia"/>
          <w:color w:val="000000" w:themeColor="text1"/>
          <w:sz w:val="24"/>
          <w:szCs w:val="24"/>
        </w:rPr>
        <w:t>č</w:t>
      </w:r>
      <w:r w:rsidRPr="007511DD">
        <w:rPr>
          <w:rFonts w:ascii="Times New Roman" w:hAnsi="Times New Roman"/>
          <w:color w:val="000000" w:themeColor="text1"/>
          <w:sz w:val="24"/>
          <w:szCs w:val="24"/>
        </w:rPr>
        <w:t>ského a záchranného zboru je rýchlos</w:t>
      </w:r>
      <w:r w:rsidRPr="007511DD">
        <w:rPr>
          <w:rFonts w:ascii="Times New Roman" w:hAnsi="Times New Roman" w:hint="eastAsia"/>
          <w:color w:val="000000" w:themeColor="text1"/>
          <w:sz w:val="24"/>
          <w:szCs w:val="24"/>
        </w:rPr>
        <w:t>ť</w:t>
      </w:r>
      <w:r w:rsidRPr="007511DD">
        <w:rPr>
          <w:rFonts w:ascii="Times New Roman" w:hAnsi="Times New Roman"/>
          <w:color w:val="000000" w:themeColor="text1"/>
          <w:sz w:val="24"/>
          <w:szCs w:val="24"/>
        </w:rPr>
        <w:t xml:space="preserve"> zásahu, cie</w:t>
      </w:r>
      <w:r w:rsidRPr="007511DD">
        <w:rPr>
          <w:rFonts w:ascii="Times New Roman" w:hAnsi="Times New Roman" w:hint="eastAsia"/>
          <w:color w:val="000000" w:themeColor="text1"/>
          <w:sz w:val="24"/>
          <w:szCs w:val="24"/>
        </w:rPr>
        <w:t>ľ</w:t>
      </w:r>
      <w:r w:rsidRPr="007511DD">
        <w:rPr>
          <w:rFonts w:ascii="Times New Roman" w:hAnsi="Times New Roman"/>
          <w:color w:val="000000" w:themeColor="text1"/>
          <w:sz w:val="24"/>
          <w:szCs w:val="24"/>
        </w:rPr>
        <w:t xml:space="preserve">om je v </w:t>
      </w:r>
      <w:r w:rsidRPr="007511DD">
        <w:rPr>
          <w:rFonts w:ascii="Times New Roman" w:hAnsi="Times New Roman"/>
          <w:color w:val="000000" w:themeColor="text1"/>
          <w:sz w:val="24"/>
          <w:szCs w:val="24"/>
        </w:rPr>
        <w:br/>
        <w:t>90 % prípadov dorazi</w:t>
      </w:r>
      <w:r w:rsidRPr="007511DD">
        <w:rPr>
          <w:rFonts w:ascii="Times New Roman" w:hAnsi="Times New Roman" w:hint="eastAsia"/>
          <w:color w:val="000000" w:themeColor="text1"/>
          <w:sz w:val="24"/>
          <w:szCs w:val="24"/>
        </w:rPr>
        <w:t>ť</w:t>
      </w:r>
      <w:r w:rsidRPr="007511DD">
        <w:rPr>
          <w:rFonts w:ascii="Times New Roman" w:hAnsi="Times New Roman"/>
          <w:color w:val="000000" w:themeColor="text1"/>
          <w:sz w:val="24"/>
          <w:szCs w:val="24"/>
        </w:rPr>
        <w:t xml:space="preserve"> na miesto do 20 minút. V roku 2020 cie</w:t>
      </w:r>
      <w:r w:rsidRPr="007511DD">
        <w:rPr>
          <w:rFonts w:ascii="Times New Roman" w:hAnsi="Times New Roman" w:hint="eastAsia"/>
          <w:color w:val="000000" w:themeColor="text1"/>
          <w:sz w:val="24"/>
          <w:szCs w:val="24"/>
        </w:rPr>
        <w:t>ľ</w:t>
      </w:r>
      <w:r w:rsidRPr="007511DD">
        <w:rPr>
          <w:rFonts w:ascii="Times New Roman" w:hAnsi="Times New Roman"/>
          <w:color w:val="000000" w:themeColor="text1"/>
          <w:sz w:val="24"/>
          <w:szCs w:val="24"/>
        </w:rPr>
        <w:t xml:space="preserve"> splnili v takmer 92 % prípadov.  Hasi</w:t>
      </w:r>
      <w:r w:rsidRPr="007511DD">
        <w:rPr>
          <w:rFonts w:ascii="Times New Roman" w:hAnsi="Times New Roman" w:hint="eastAsia"/>
          <w:color w:val="000000" w:themeColor="text1"/>
          <w:sz w:val="24"/>
          <w:szCs w:val="24"/>
        </w:rPr>
        <w:t>č</w:t>
      </w:r>
      <w:r w:rsidRPr="007511DD">
        <w:rPr>
          <w:rFonts w:ascii="Times New Roman" w:hAnsi="Times New Roman"/>
          <w:color w:val="000000" w:themeColor="text1"/>
          <w:sz w:val="24"/>
          <w:szCs w:val="24"/>
        </w:rPr>
        <w:t>ský a záchranný zbor každoro</w:t>
      </w:r>
      <w:r w:rsidRPr="007511DD">
        <w:rPr>
          <w:rFonts w:ascii="Times New Roman" w:hAnsi="Times New Roman" w:hint="eastAsia"/>
          <w:color w:val="000000" w:themeColor="text1"/>
          <w:sz w:val="24"/>
          <w:szCs w:val="24"/>
        </w:rPr>
        <w:t>č</w:t>
      </w:r>
      <w:r w:rsidRPr="007511DD">
        <w:rPr>
          <w:rFonts w:ascii="Times New Roman" w:hAnsi="Times New Roman"/>
          <w:color w:val="000000" w:themeColor="text1"/>
          <w:sz w:val="24"/>
          <w:szCs w:val="24"/>
        </w:rPr>
        <w:t>ne zasa</w:t>
      </w:r>
      <w:r w:rsidR="002F3ABA">
        <w:rPr>
          <w:rFonts w:ascii="Times New Roman" w:hAnsi="Times New Roman"/>
          <w:color w:val="000000" w:themeColor="text1"/>
          <w:sz w:val="24"/>
          <w:szCs w:val="24"/>
        </w:rPr>
        <w:t>huje zhruba 30 tisíc</w:t>
      </w:r>
      <w:r w:rsidRPr="007511DD">
        <w:rPr>
          <w:rFonts w:ascii="Times New Roman" w:hAnsi="Times New Roman"/>
          <w:color w:val="000000" w:themeColor="text1"/>
          <w:sz w:val="24"/>
          <w:szCs w:val="24"/>
        </w:rPr>
        <w:t>krát, tento po</w:t>
      </w:r>
      <w:r w:rsidRPr="007511DD">
        <w:rPr>
          <w:rFonts w:ascii="Times New Roman" w:hAnsi="Times New Roman" w:hint="eastAsia"/>
          <w:color w:val="000000" w:themeColor="text1"/>
          <w:sz w:val="24"/>
          <w:szCs w:val="24"/>
        </w:rPr>
        <w:t>č</w:t>
      </w:r>
      <w:r w:rsidRPr="007511DD">
        <w:rPr>
          <w:rFonts w:ascii="Times New Roman" w:hAnsi="Times New Roman"/>
          <w:color w:val="000000" w:themeColor="text1"/>
          <w:sz w:val="24"/>
          <w:szCs w:val="24"/>
        </w:rPr>
        <w:t>et sa dlhodobo nemení.</w:t>
      </w:r>
    </w:p>
    <w:p w:rsidR="002F3ABA" w:rsidRPr="0012688B" w:rsidRDefault="002F3ABA" w:rsidP="00AA17E3">
      <w:pPr>
        <w:spacing w:after="0"/>
        <w:jc w:val="both"/>
        <w:rPr>
          <w:rFonts w:ascii="Times New Roman" w:hAnsi="Times New Roman"/>
          <w:color w:val="000000" w:themeColor="text1"/>
          <w:sz w:val="24"/>
          <w:szCs w:val="24"/>
          <w:highlight w:val="cyan"/>
        </w:rPr>
      </w:pPr>
    </w:p>
    <w:p w:rsidR="00DE42FF" w:rsidRDefault="00AA17E3" w:rsidP="00DE42FF">
      <w:pPr>
        <w:spacing w:after="0"/>
        <w:jc w:val="both"/>
        <w:rPr>
          <w:rFonts w:ascii="Times New Roman" w:hAnsi="Times New Roman"/>
          <w:sz w:val="24"/>
          <w:szCs w:val="24"/>
        </w:rPr>
      </w:pPr>
      <w:r w:rsidRPr="00644A23">
        <w:rPr>
          <w:rFonts w:ascii="Times New Roman" w:hAnsi="Times New Roman"/>
          <w:sz w:val="24"/>
          <w:szCs w:val="24"/>
        </w:rPr>
        <w:t xml:space="preserve">V roku 2022 sa zdroje štátneho rozpočtu pre oblasť bezpečnosti rozpočtujú v sume </w:t>
      </w:r>
      <w:r w:rsidRPr="00644A23">
        <w:rPr>
          <w:rFonts w:ascii="Times New Roman" w:hAnsi="Times New Roman"/>
          <w:sz w:val="24"/>
          <w:szCs w:val="24"/>
        </w:rPr>
        <w:br/>
        <w:t>1,1</w:t>
      </w:r>
      <w:r>
        <w:rPr>
          <w:rFonts w:ascii="Times New Roman" w:hAnsi="Times New Roman"/>
          <w:sz w:val="24"/>
          <w:szCs w:val="24"/>
        </w:rPr>
        <w:t>2</w:t>
      </w:r>
      <w:r w:rsidRPr="00644A23">
        <w:rPr>
          <w:rFonts w:ascii="Times New Roman" w:hAnsi="Times New Roman"/>
          <w:sz w:val="24"/>
          <w:szCs w:val="24"/>
        </w:rPr>
        <w:t xml:space="preserve"> mld. eur.</w:t>
      </w:r>
      <w:r w:rsidRPr="00F711A7">
        <w:rPr>
          <w:rFonts w:ascii="Times New Roman" w:hAnsi="Times New Roman"/>
          <w:sz w:val="24"/>
          <w:szCs w:val="24"/>
        </w:rPr>
        <w:t xml:space="preserve"> V uvedenej sume sú rozpočtované výdavky na ochran</w:t>
      </w:r>
      <w:r>
        <w:rPr>
          <w:rFonts w:ascii="Times New Roman" w:hAnsi="Times New Roman"/>
          <w:sz w:val="24"/>
          <w:szCs w:val="24"/>
        </w:rPr>
        <w:t>u</w:t>
      </w:r>
      <w:r w:rsidRPr="00F711A7">
        <w:rPr>
          <w:rFonts w:ascii="Times New Roman" w:hAnsi="Times New Roman"/>
          <w:sz w:val="24"/>
          <w:szCs w:val="24"/>
        </w:rPr>
        <w:t xml:space="preserve"> verejného poriadku a bezpečnosti kapitoly Ministerstva vnútra SR, Národného bezpečnostného úradu SR, Slovenskej informačnej služby a Zboru väzenskej a justičnej stráže.</w:t>
      </w:r>
    </w:p>
    <w:p w:rsidR="00DE42FF" w:rsidRPr="00DE42FF" w:rsidRDefault="00DE42FF" w:rsidP="00DE42FF">
      <w:pPr>
        <w:spacing w:after="0"/>
        <w:jc w:val="both"/>
        <w:rPr>
          <w:rFonts w:ascii="Times New Roman" w:hAnsi="Times New Roman"/>
          <w:sz w:val="24"/>
          <w:szCs w:val="24"/>
        </w:rPr>
      </w:pPr>
    </w:p>
    <w:tbl>
      <w:tblPr>
        <w:tblpPr w:leftFromText="141" w:rightFromText="141" w:vertAnchor="text" w:horzAnchor="margin" w:tblpY="273"/>
        <w:tblW w:w="5000" w:type="pct"/>
        <w:tblCellMar>
          <w:left w:w="70" w:type="dxa"/>
          <w:right w:w="70" w:type="dxa"/>
        </w:tblCellMar>
        <w:tblLook w:val="04A0" w:firstRow="1" w:lastRow="0" w:firstColumn="1" w:lastColumn="0" w:noHBand="0" w:noVBand="1"/>
      </w:tblPr>
      <w:tblGrid>
        <w:gridCol w:w="2026"/>
        <w:gridCol w:w="875"/>
        <w:gridCol w:w="1031"/>
        <w:gridCol w:w="1031"/>
        <w:gridCol w:w="1031"/>
        <w:gridCol w:w="1031"/>
        <w:gridCol w:w="1031"/>
        <w:gridCol w:w="1016"/>
      </w:tblGrid>
      <w:tr w:rsidR="00DE42FF" w:rsidRPr="00DE42FF" w:rsidTr="00877233">
        <w:trPr>
          <w:trHeight w:val="261"/>
        </w:trPr>
        <w:tc>
          <w:tcPr>
            <w:tcW w:w="1117" w:type="pct"/>
            <w:tcBorders>
              <w:top w:val="single" w:sz="4" w:space="0" w:color="auto"/>
              <w:bottom w:val="single" w:sz="4" w:space="0" w:color="auto"/>
            </w:tcBorders>
            <w:shd w:val="clear" w:color="auto" w:fill="auto"/>
            <w:noWrap/>
            <w:vAlign w:val="bottom"/>
          </w:tcPr>
          <w:p w:rsidR="00DE42FF" w:rsidRPr="00DE42FF" w:rsidRDefault="00DE42FF" w:rsidP="00DE42FF">
            <w:pPr>
              <w:rPr>
                <w:rFonts w:ascii="Times New Roman" w:hAnsi="Times New Roman"/>
                <w:b/>
                <w:sz w:val="16"/>
                <w:szCs w:val="16"/>
              </w:rPr>
            </w:pPr>
            <w:r w:rsidRPr="00DE42FF">
              <w:rPr>
                <w:rFonts w:ascii="Times New Roman" w:hAnsi="Times New Roman"/>
                <w:b/>
                <w:sz w:val="16"/>
                <w:szCs w:val="16"/>
              </w:rPr>
              <w:t>v tis. eur</w:t>
            </w:r>
          </w:p>
        </w:tc>
        <w:tc>
          <w:tcPr>
            <w:tcW w:w="482" w:type="pct"/>
            <w:tcBorders>
              <w:top w:val="single" w:sz="4" w:space="0" w:color="auto"/>
              <w:bottom w:val="single" w:sz="4" w:space="0" w:color="auto"/>
            </w:tcBorders>
            <w:shd w:val="clear" w:color="auto" w:fill="auto"/>
            <w:vAlign w:val="center"/>
          </w:tcPr>
          <w:p w:rsidR="00DE42FF" w:rsidRPr="00DE42FF" w:rsidRDefault="00DE42FF" w:rsidP="00DE42FF">
            <w:pPr>
              <w:jc w:val="right"/>
              <w:rPr>
                <w:rFonts w:ascii="Times New Roman" w:hAnsi="Times New Roman"/>
                <w:b/>
                <w:bCs/>
                <w:color w:val="000000"/>
                <w:sz w:val="16"/>
                <w:szCs w:val="16"/>
              </w:rPr>
            </w:pPr>
            <w:r w:rsidRPr="00DE42FF">
              <w:rPr>
                <w:rFonts w:ascii="Times New Roman" w:hAnsi="Times New Roman"/>
                <w:b/>
                <w:bCs/>
                <w:color w:val="000000"/>
                <w:sz w:val="16"/>
                <w:szCs w:val="16"/>
              </w:rPr>
              <w:t>2019 S</w:t>
            </w:r>
          </w:p>
        </w:tc>
        <w:tc>
          <w:tcPr>
            <w:tcW w:w="568" w:type="pct"/>
            <w:tcBorders>
              <w:top w:val="single" w:sz="4" w:space="0" w:color="auto"/>
              <w:bottom w:val="single" w:sz="4" w:space="0" w:color="auto"/>
            </w:tcBorders>
            <w:shd w:val="clear" w:color="auto" w:fill="auto"/>
            <w:noWrap/>
            <w:vAlign w:val="center"/>
          </w:tcPr>
          <w:p w:rsidR="00DE42FF" w:rsidRPr="00DE42FF" w:rsidRDefault="00DE42FF" w:rsidP="00DE42FF">
            <w:pPr>
              <w:jc w:val="right"/>
              <w:rPr>
                <w:rFonts w:ascii="Times New Roman" w:hAnsi="Times New Roman"/>
                <w:b/>
                <w:bCs/>
                <w:color w:val="000000"/>
                <w:sz w:val="16"/>
                <w:szCs w:val="16"/>
                <w:highlight w:val="yellow"/>
              </w:rPr>
            </w:pPr>
            <w:r w:rsidRPr="00DE42FF">
              <w:rPr>
                <w:rFonts w:ascii="Times New Roman" w:hAnsi="Times New Roman"/>
                <w:b/>
                <w:bCs/>
                <w:color w:val="000000"/>
                <w:sz w:val="16"/>
                <w:szCs w:val="16"/>
              </w:rPr>
              <w:t xml:space="preserve">2020 S </w:t>
            </w:r>
          </w:p>
        </w:tc>
        <w:tc>
          <w:tcPr>
            <w:tcW w:w="568" w:type="pct"/>
            <w:tcBorders>
              <w:top w:val="single" w:sz="4" w:space="0" w:color="auto"/>
              <w:bottom w:val="single" w:sz="4" w:space="0" w:color="auto"/>
            </w:tcBorders>
            <w:shd w:val="clear" w:color="auto" w:fill="auto"/>
            <w:noWrap/>
            <w:vAlign w:val="center"/>
          </w:tcPr>
          <w:p w:rsidR="00DE42FF" w:rsidRPr="00DE42FF" w:rsidRDefault="00DE42FF" w:rsidP="00DE42FF">
            <w:pPr>
              <w:jc w:val="right"/>
              <w:rPr>
                <w:rFonts w:ascii="Times New Roman" w:hAnsi="Times New Roman"/>
                <w:b/>
                <w:bCs/>
                <w:color w:val="000000"/>
                <w:sz w:val="16"/>
                <w:szCs w:val="16"/>
              </w:rPr>
            </w:pPr>
            <w:r w:rsidRPr="00DE42FF">
              <w:rPr>
                <w:rFonts w:ascii="Times New Roman" w:hAnsi="Times New Roman"/>
                <w:b/>
                <w:bCs/>
                <w:color w:val="000000"/>
                <w:sz w:val="16"/>
                <w:szCs w:val="16"/>
              </w:rPr>
              <w:t>2021 R</w:t>
            </w:r>
          </w:p>
        </w:tc>
        <w:tc>
          <w:tcPr>
            <w:tcW w:w="568" w:type="pct"/>
            <w:tcBorders>
              <w:top w:val="single" w:sz="4" w:space="0" w:color="auto"/>
              <w:bottom w:val="single" w:sz="4" w:space="0" w:color="auto"/>
            </w:tcBorders>
            <w:shd w:val="clear" w:color="auto" w:fill="auto"/>
            <w:vAlign w:val="center"/>
          </w:tcPr>
          <w:p w:rsidR="00DE42FF" w:rsidRPr="00DE42FF" w:rsidRDefault="00DE42FF" w:rsidP="00DE42FF">
            <w:pPr>
              <w:jc w:val="right"/>
              <w:rPr>
                <w:rFonts w:ascii="Times New Roman" w:hAnsi="Times New Roman"/>
                <w:b/>
                <w:bCs/>
                <w:color w:val="000000"/>
                <w:sz w:val="16"/>
                <w:szCs w:val="16"/>
              </w:rPr>
            </w:pPr>
            <w:r w:rsidRPr="00DE42FF">
              <w:rPr>
                <w:rFonts w:ascii="Times New Roman" w:hAnsi="Times New Roman"/>
                <w:b/>
                <w:bCs/>
                <w:color w:val="000000"/>
                <w:sz w:val="16"/>
                <w:szCs w:val="16"/>
              </w:rPr>
              <w:t>2021 OS</w:t>
            </w:r>
          </w:p>
        </w:tc>
        <w:tc>
          <w:tcPr>
            <w:tcW w:w="568" w:type="pct"/>
            <w:tcBorders>
              <w:top w:val="single" w:sz="4" w:space="0" w:color="auto"/>
              <w:bottom w:val="single" w:sz="4" w:space="0" w:color="auto"/>
            </w:tcBorders>
            <w:shd w:val="clear" w:color="auto" w:fill="auto"/>
            <w:noWrap/>
            <w:vAlign w:val="center"/>
          </w:tcPr>
          <w:p w:rsidR="00DE42FF" w:rsidRPr="00DE42FF" w:rsidRDefault="00DE42FF" w:rsidP="00DE42FF">
            <w:pPr>
              <w:jc w:val="right"/>
              <w:rPr>
                <w:rFonts w:ascii="Times New Roman" w:hAnsi="Times New Roman"/>
                <w:b/>
                <w:bCs/>
                <w:color w:val="000000"/>
                <w:sz w:val="16"/>
                <w:szCs w:val="16"/>
              </w:rPr>
            </w:pPr>
            <w:r w:rsidRPr="00DE42FF">
              <w:rPr>
                <w:rFonts w:ascii="Times New Roman" w:hAnsi="Times New Roman"/>
                <w:b/>
                <w:bCs/>
                <w:color w:val="000000"/>
                <w:sz w:val="16"/>
                <w:szCs w:val="16"/>
              </w:rPr>
              <w:t>2022 N</w:t>
            </w:r>
          </w:p>
        </w:tc>
        <w:tc>
          <w:tcPr>
            <w:tcW w:w="568" w:type="pct"/>
            <w:tcBorders>
              <w:top w:val="single" w:sz="4" w:space="0" w:color="auto"/>
              <w:bottom w:val="single" w:sz="4" w:space="0" w:color="auto"/>
            </w:tcBorders>
            <w:shd w:val="clear" w:color="auto" w:fill="auto"/>
            <w:noWrap/>
            <w:vAlign w:val="center"/>
          </w:tcPr>
          <w:p w:rsidR="00DE42FF" w:rsidRPr="00DE42FF" w:rsidRDefault="00DE42FF" w:rsidP="00DE42FF">
            <w:pPr>
              <w:jc w:val="right"/>
              <w:rPr>
                <w:rFonts w:ascii="Times New Roman" w:hAnsi="Times New Roman"/>
                <w:b/>
                <w:bCs/>
                <w:color w:val="000000"/>
                <w:sz w:val="16"/>
                <w:szCs w:val="16"/>
              </w:rPr>
            </w:pPr>
            <w:r w:rsidRPr="00DE42FF">
              <w:rPr>
                <w:rFonts w:ascii="Times New Roman" w:hAnsi="Times New Roman"/>
                <w:b/>
                <w:bCs/>
                <w:color w:val="000000"/>
                <w:sz w:val="16"/>
                <w:szCs w:val="16"/>
              </w:rPr>
              <w:t>2023 N</w:t>
            </w:r>
          </w:p>
        </w:tc>
        <w:tc>
          <w:tcPr>
            <w:tcW w:w="560" w:type="pct"/>
            <w:tcBorders>
              <w:top w:val="single" w:sz="4" w:space="0" w:color="auto"/>
              <w:bottom w:val="single" w:sz="4" w:space="0" w:color="auto"/>
            </w:tcBorders>
            <w:shd w:val="clear" w:color="auto" w:fill="auto"/>
            <w:noWrap/>
            <w:vAlign w:val="center"/>
          </w:tcPr>
          <w:p w:rsidR="00DE42FF" w:rsidRPr="00DE42FF" w:rsidRDefault="00DE42FF" w:rsidP="00DE42FF">
            <w:pPr>
              <w:jc w:val="right"/>
              <w:rPr>
                <w:rFonts w:ascii="Times New Roman" w:hAnsi="Times New Roman"/>
                <w:b/>
                <w:bCs/>
                <w:color w:val="000000"/>
                <w:sz w:val="16"/>
                <w:szCs w:val="16"/>
              </w:rPr>
            </w:pPr>
            <w:r w:rsidRPr="00DE42FF">
              <w:rPr>
                <w:rFonts w:ascii="Times New Roman" w:hAnsi="Times New Roman"/>
                <w:b/>
                <w:bCs/>
                <w:color w:val="000000"/>
                <w:sz w:val="16"/>
                <w:szCs w:val="16"/>
              </w:rPr>
              <w:t>2024 N</w:t>
            </w:r>
          </w:p>
        </w:tc>
      </w:tr>
      <w:tr w:rsidR="00DE42FF" w:rsidRPr="00DE42FF" w:rsidTr="00877233">
        <w:trPr>
          <w:trHeight w:val="261"/>
        </w:trPr>
        <w:tc>
          <w:tcPr>
            <w:tcW w:w="1117" w:type="pct"/>
            <w:tcBorders>
              <w:top w:val="single" w:sz="4" w:space="0" w:color="auto"/>
            </w:tcBorders>
            <w:shd w:val="clear" w:color="auto" w:fill="auto"/>
            <w:vAlign w:val="bottom"/>
          </w:tcPr>
          <w:p w:rsidR="00DE42FF" w:rsidRPr="00DE42FF" w:rsidRDefault="00DE42FF" w:rsidP="00DE42FF">
            <w:pPr>
              <w:rPr>
                <w:rFonts w:ascii="Times New Roman" w:hAnsi="Times New Roman"/>
                <w:b/>
                <w:bCs/>
                <w:sz w:val="16"/>
                <w:szCs w:val="16"/>
              </w:rPr>
            </w:pPr>
            <w:r w:rsidRPr="00DE42FF">
              <w:rPr>
                <w:rFonts w:ascii="Times New Roman" w:hAnsi="Times New Roman"/>
                <w:b/>
                <w:bCs/>
                <w:sz w:val="16"/>
                <w:szCs w:val="16"/>
              </w:rPr>
              <w:t>Bezpečnosť</w:t>
            </w:r>
          </w:p>
        </w:tc>
        <w:tc>
          <w:tcPr>
            <w:tcW w:w="482" w:type="pct"/>
            <w:tcBorders>
              <w:top w:val="single" w:sz="4" w:space="0" w:color="auto"/>
            </w:tcBorders>
            <w:shd w:val="clear" w:color="auto" w:fill="FFFFFF" w:themeFill="background1"/>
            <w:noWrap/>
            <w:vAlign w:val="center"/>
          </w:tcPr>
          <w:p w:rsidR="00DE42FF" w:rsidRPr="00DE42FF" w:rsidRDefault="00DE42FF" w:rsidP="00DE42FF">
            <w:pPr>
              <w:contextualSpacing/>
              <w:jc w:val="right"/>
              <w:rPr>
                <w:rFonts w:ascii="Times New Roman" w:hAnsi="Times New Roman" w:cs="Times New Roman"/>
                <w:b/>
                <w:bCs/>
                <w:color w:val="000000"/>
                <w:sz w:val="16"/>
                <w:szCs w:val="16"/>
              </w:rPr>
            </w:pPr>
            <w:r w:rsidRPr="00DE42FF">
              <w:rPr>
                <w:rFonts w:ascii="Times New Roman" w:hAnsi="Times New Roman" w:cs="Times New Roman"/>
                <w:b/>
                <w:bCs/>
                <w:color w:val="000000"/>
                <w:sz w:val="16"/>
                <w:szCs w:val="16"/>
              </w:rPr>
              <w:t>1 161 612</w:t>
            </w:r>
          </w:p>
        </w:tc>
        <w:tc>
          <w:tcPr>
            <w:tcW w:w="568" w:type="pct"/>
            <w:tcBorders>
              <w:top w:val="single" w:sz="4" w:space="0" w:color="auto"/>
            </w:tcBorders>
            <w:shd w:val="clear" w:color="auto" w:fill="FFFFFF" w:themeFill="background1"/>
            <w:noWrap/>
            <w:vAlign w:val="center"/>
          </w:tcPr>
          <w:p w:rsidR="00DE42FF" w:rsidRPr="00DE42FF" w:rsidRDefault="00DE42FF" w:rsidP="00DE42FF">
            <w:pPr>
              <w:contextualSpacing/>
              <w:jc w:val="right"/>
              <w:rPr>
                <w:rFonts w:ascii="Times New Roman" w:hAnsi="Times New Roman" w:cs="Times New Roman"/>
                <w:b/>
                <w:bCs/>
                <w:color w:val="000000"/>
                <w:sz w:val="16"/>
                <w:szCs w:val="16"/>
              </w:rPr>
            </w:pPr>
            <w:r w:rsidRPr="00DE42FF">
              <w:rPr>
                <w:rFonts w:ascii="Times New Roman" w:hAnsi="Times New Roman" w:cs="Times New Roman"/>
                <w:b/>
                <w:bCs/>
                <w:color w:val="000000"/>
                <w:sz w:val="16"/>
                <w:szCs w:val="16"/>
              </w:rPr>
              <w:t>1 168 496</w:t>
            </w:r>
          </w:p>
        </w:tc>
        <w:tc>
          <w:tcPr>
            <w:tcW w:w="568" w:type="pct"/>
            <w:tcBorders>
              <w:top w:val="single" w:sz="4" w:space="0" w:color="auto"/>
            </w:tcBorders>
            <w:shd w:val="clear" w:color="auto" w:fill="FFFFFF" w:themeFill="background1"/>
            <w:noWrap/>
            <w:vAlign w:val="center"/>
          </w:tcPr>
          <w:p w:rsidR="00DE42FF" w:rsidRPr="00DE42FF" w:rsidRDefault="00DE42FF" w:rsidP="00DE42FF">
            <w:pPr>
              <w:contextualSpacing/>
              <w:jc w:val="right"/>
              <w:rPr>
                <w:rFonts w:ascii="Times New Roman" w:hAnsi="Times New Roman" w:cs="Times New Roman"/>
                <w:b/>
                <w:bCs/>
                <w:color w:val="000000"/>
                <w:sz w:val="16"/>
                <w:szCs w:val="16"/>
                <w:highlight w:val="red"/>
              </w:rPr>
            </w:pPr>
            <w:r w:rsidRPr="00DE42FF">
              <w:rPr>
                <w:rFonts w:ascii="Times New Roman" w:hAnsi="Times New Roman" w:cs="Times New Roman"/>
                <w:b/>
                <w:bCs/>
                <w:color w:val="000000"/>
                <w:sz w:val="16"/>
                <w:szCs w:val="16"/>
              </w:rPr>
              <w:t>1 070 738</w:t>
            </w:r>
          </w:p>
        </w:tc>
        <w:tc>
          <w:tcPr>
            <w:tcW w:w="568" w:type="pct"/>
            <w:tcBorders>
              <w:top w:val="single" w:sz="4" w:space="0" w:color="auto"/>
            </w:tcBorders>
            <w:shd w:val="clear" w:color="auto" w:fill="FFFFFF" w:themeFill="background1"/>
            <w:vAlign w:val="center"/>
          </w:tcPr>
          <w:p w:rsidR="00DE42FF" w:rsidRPr="00DE42FF" w:rsidRDefault="00DE42FF" w:rsidP="00DE42FF">
            <w:pPr>
              <w:contextualSpacing/>
              <w:jc w:val="right"/>
              <w:rPr>
                <w:rFonts w:ascii="Times New Roman" w:hAnsi="Times New Roman" w:cs="Times New Roman"/>
                <w:b/>
                <w:bCs/>
                <w:color w:val="000000"/>
                <w:sz w:val="16"/>
                <w:szCs w:val="16"/>
              </w:rPr>
            </w:pPr>
            <w:r w:rsidRPr="00DE42FF">
              <w:rPr>
                <w:rFonts w:ascii="Times New Roman" w:hAnsi="Times New Roman" w:cs="Times New Roman"/>
                <w:b/>
                <w:bCs/>
                <w:color w:val="000000"/>
                <w:sz w:val="16"/>
                <w:szCs w:val="16"/>
              </w:rPr>
              <w:t>1 103 141</w:t>
            </w:r>
          </w:p>
        </w:tc>
        <w:tc>
          <w:tcPr>
            <w:tcW w:w="568" w:type="pct"/>
            <w:tcBorders>
              <w:top w:val="single" w:sz="4" w:space="0" w:color="auto"/>
            </w:tcBorders>
            <w:shd w:val="clear" w:color="auto" w:fill="FFFFFF" w:themeFill="background1"/>
            <w:noWrap/>
            <w:vAlign w:val="center"/>
          </w:tcPr>
          <w:p w:rsidR="00DE42FF" w:rsidRPr="00DE42FF" w:rsidRDefault="00DE42FF" w:rsidP="00DE42FF">
            <w:pPr>
              <w:contextualSpacing/>
              <w:jc w:val="right"/>
              <w:rPr>
                <w:rFonts w:ascii="Times New Roman" w:hAnsi="Times New Roman" w:cs="Times New Roman"/>
                <w:b/>
                <w:bCs/>
                <w:color w:val="000000"/>
                <w:sz w:val="16"/>
                <w:szCs w:val="16"/>
              </w:rPr>
            </w:pPr>
            <w:r w:rsidRPr="00DE42FF">
              <w:rPr>
                <w:rFonts w:ascii="Times New Roman" w:hAnsi="Times New Roman" w:cs="Times New Roman"/>
                <w:b/>
                <w:bCs/>
                <w:color w:val="000000"/>
                <w:sz w:val="16"/>
                <w:szCs w:val="16"/>
              </w:rPr>
              <w:t>1 118 227</w:t>
            </w:r>
          </w:p>
        </w:tc>
        <w:tc>
          <w:tcPr>
            <w:tcW w:w="568" w:type="pct"/>
            <w:tcBorders>
              <w:top w:val="single" w:sz="4" w:space="0" w:color="auto"/>
            </w:tcBorders>
            <w:shd w:val="clear" w:color="auto" w:fill="FFFFFF" w:themeFill="background1"/>
            <w:noWrap/>
            <w:vAlign w:val="center"/>
          </w:tcPr>
          <w:p w:rsidR="00DE42FF" w:rsidRPr="00DE42FF" w:rsidRDefault="00DE42FF" w:rsidP="00DE42FF">
            <w:pPr>
              <w:contextualSpacing/>
              <w:jc w:val="right"/>
              <w:rPr>
                <w:rFonts w:ascii="Times New Roman" w:hAnsi="Times New Roman" w:cs="Times New Roman"/>
                <w:b/>
                <w:bCs/>
                <w:color w:val="000000"/>
                <w:sz w:val="16"/>
                <w:szCs w:val="16"/>
              </w:rPr>
            </w:pPr>
            <w:r w:rsidRPr="00DE42FF">
              <w:rPr>
                <w:rFonts w:ascii="Times New Roman" w:hAnsi="Times New Roman" w:cs="Times New Roman"/>
                <w:b/>
                <w:bCs/>
                <w:color w:val="000000"/>
                <w:sz w:val="16"/>
                <w:szCs w:val="16"/>
              </w:rPr>
              <w:t>1 102 952</w:t>
            </w:r>
          </w:p>
        </w:tc>
        <w:tc>
          <w:tcPr>
            <w:tcW w:w="560" w:type="pct"/>
            <w:tcBorders>
              <w:top w:val="single" w:sz="4" w:space="0" w:color="auto"/>
            </w:tcBorders>
            <w:shd w:val="clear" w:color="auto" w:fill="FFFFFF" w:themeFill="background1"/>
            <w:noWrap/>
            <w:vAlign w:val="center"/>
          </w:tcPr>
          <w:p w:rsidR="00DE42FF" w:rsidRPr="00DE42FF" w:rsidRDefault="00DE42FF" w:rsidP="00DE42FF">
            <w:pPr>
              <w:contextualSpacing/>
              <w:jc w:val="right"/>
              <w:rPr>
                <w:rFonts w:ascii="Times New Roman" w:hAnsi="Times New Roman" w:cs="Times New Roman"/>
                <w:b/>
                <w:bCs/>
                <w:color w:val="000000"/>
                <w:sz w:val="16"/>
                <w:szCs w:val="16"/>
              </w:rPr>
            </w:pPr>
            <w:r w:rsidRPr="00DE42FF">
              <w:rPr>
                <w:rFonts w:ascii="Times New Roman" w:hAnsi="Times New Roman" w:cs="Times New Roman"/>
                <w:b/>
                <w:bCs/>
                <w:color w:val="000000"/>
                <w:sz w:val="16"/>
                <w:szCs w:val="16"/>
              </w:rPr>
              <w:t>1 093 283</w:t>
            </w:r>
          </w:p>
        </w:tc>
      </w:tr>
      <w:tr w:rsidR="00DE42FF" w:rsidRPr="00DE42FF" w:rsidTr="00877233">
        <w:trPr>
          <w:trHeight w:val="261"/>
        </w:trPr>
        <w:tc>
          <w:tcPr>
            <w:tcW w:w="1117" w:type="pct"/>
            <w:shd w:val="clear" w:color="000000" w:fill="FFFFFF"/>
            <w:vAlign w:val="bottom"/>
          </w:tcPr>
          <w:p w:rsidR="00DE42FF" w:rsidRPr="00DE42FF" w:rsidRDefault="00DE42FF" w:rsidP="00DE42FF">
            <w:pPr>
              <w:rPr>
                <w:rFonts w:ascii="Times New Roman" w:hAnsi="Times New Roman"/>
                <w:sz w:val="16"/>
                <w:szCs w:val="16"/>
              </w:rPr>
            </w:pPr>
            <w:r w:rsidRPr="00DE42FF">
              <w:rPr>
                <w:rFonts w:ascii="Times New Roman" w:hAnsi="Times New Roman"/>
                <w:sz w:val="16"/>
                <w:szCs w:val="16"/>
              </w:rPr>
              <w:t>Ochrana verejného poriadku a bezpečnosti</w:t>
            </w:r>
          </w:p>
        </w:tc>
        <w:tc>
          <w:tcPr>
            <w:tcW w:w="482" w:type="pct"/>
            <w:tcBorders>
              <w:top w:val="nil"/>
            </w:tcBorders>
            <w:shd w:val="clear" w:color="000000" w:fill="FFFFFF"/>
            <w:noWrap/>
            <w:vAlign w:val="center"/>
          </w:tcPr>
          <w:p w:rsidR="00DE42FF" w:rsidRPr="00DE42FF" w:rsidRDefault="00DE42FF" w:rsidP="00DE42FF">
            <w:pPr>
              <w:contextualSpacing/>
              <w:jc w:val="right"/>
              <w:rPr>
                <w:rFonts w:ascii="Times New Roman" w:hAnsi="Times New Roman" w:cs="Times New Roman"/>
                <w:bCs/>
                <w:sz w:val="16"/>
                <w:szCs w:val="16"/>
              </w:rPr>
            </w:pPr>
            <w:r w:rsidRPr="00DE42FF">
              <w:rPr>
                <w:rFonts w:ascii="Times New Roman" w:hAnsi="Times New Roman" w:cs="Times New Roman"/>
                <w:color w:val="000000"/>
                <w:sz w:val="16"/>
                <w:szCs w:val="16"/>
              </w:rPr>
              <w:t>840 007</w:t>
            </w:r>
          </w:p>
        </w:tc>
        <w:tc>
          <w:tcPr>
            <w:tcW w:w="568" w:type="pct"/>
            <w:tcBorders>
              <w:top w:val="nil"/>
            </w:tcBorders>
            <w:shd w:val="clear" w:color="000000" w:fill="FFFFFF"/>
            <w:noWrap/>
            <w:vAlign w:val="center"/>
          </w:tcPr>
          <w:p w:rsidR="00DE42FF" w:rsidRPr="00DE42FF" w:rsidRDefault="00DE42FF" w:rsidP="00DE42FF">
            <w:pPr>
              <w:contextualSpacing/>
              <w:jc w:val="right"/>
              <w:rPr>
                <w:rFonts w:ascii="Times New Roman" w:hAnsi="Times New Roman" w:cs="Times New Roman"/>
                <w:bCs/>
                <w:sz w:val="16"/>
                <w:szCs w:val="16"/>
              </w:rPr>
            </w:pPr>
            <w:r w:rsidRPr="00DE42FF">
              <w:rPr>
                <w:rFonts w:ascii="Times New Roman" w:hAnsi="Times New Roman" w:cs="Times New Roman"/>
                <w:color w:val="000000"/>
                <w:sz w:val="16"/>
                <w:szCs w:val="16"/>
              </w:rPr>
              <w:t>866 818</w:t>
            </w:r>
          </w:p>
        </w:tc>
        <w:tc>
          <w:tcPr>
            <w:tcW w:w="568" w:type="pct"/>
            <w:tcBorders>
              <w:top w:val="nil"/>
            </w:tcBorders>
            <w:shd w:val="clear" w:color="000000" w:fill="FFFFFF"/>
            <w:vAlign w:val="center"/>
          </w:tcPr>
          <w:p w:rsidR="00DE42FF" w:rsidRPr="00DE42FF" w:rsidRDefault="00DE42FF" w:rsidP="00DE42FF">
            <w:pPr>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813 484</w:t>
            </w:r>
          </w:p>
        </w:tc>
        <w:tc>
          <w:tcPr>
            <w:tcW w:w="568"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835 159</w:t>
            </w:r>
          </w:p>
        </w:tc>
        <w:tc>
          <w:tcPr>
            <w:tcW w:w="568"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844 935</w:t>
            </w:r>
          </w:p>
        </w:tc>
        <w:tc>
          <w:tcPr>
            <w:tcW w:w="568"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828 460</w:t>
            </w:r>
          </w:p>
        </w:tc>
        <w:tc>
          <w:tcPr>
            <w:tcW w:w="560"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814 264</w:t>
            </w:r>
          </w:p>
        </w:tc>
      </w:tr>
      <w:tr w:rsidR="00DE42FF" w:rsidRPr="00DE42FF" w:rsidTr="00877233">
        <w:trPr>
          <w:trHeight w:val="261"/>
        </w:trPr>
        <w:tc>
          <w:tcPr>
            <w:tcW w:w="1117" w:type="pct"/>
            <w:shd w:val="clear" w:color="000000" w:fill="FFFFFF"/>
            <w:vAlign w:val="bottom"/>
          </w:tcPr>
          <w:p w:rsidR="00DE42FF" w:rsidRPr="00DE42FF" w:rsidRDefault="00DE42FF" w:rsidP="00DE42FF">
            <w:pPr>
              <w:rPr>
                <w:rFonts w:ascii="Times New Roman" w:hAnsi="Times New Roman"/>
                <w:sz w:val="16"/>
                <w:szCs w:val="16"/>
              </w:rPr>
            </w:pPr>
            <w:r w:rsidRPr="00DE42FF">
              <w:rPr>
                <w:rFonts w:ascii="Times New Roman" w:hAnsi="Times New Roman"/>
                <w:sz w:val="16"/>
                <w:szCs w:val="16"/>
              </w:rPr>
              <w:t>Záchranné zložky</w:t>
            </w:r>
          </w:p>
        </w:tc>
        <w:tc>
          <w:tcPr>
            <w:tcW w:w="482" w:type="pct"/>
            <w:tcBorders>
              <w:top w:val="nil"/>
            </w:tcBorders>
            <w:shd w:val="clear" w:color="000000" w:fill="FFFFFF"/>
            <w:noWrap/>
            <w:vAlign w:val="center"/>
          </w:tcPr>
          <w:p w:rsidR="00DE42FF" w:rsidRPr="00DE42FF" w:rsidRDefault="00DE42FF" w:rsidP="00DE42FF">
            <w:pPr>
              <w:contextualSpacing/>
              <w:jc w:val="right"/>
              <w:rPr>
                <w:rFonts w:ascii="Times New Roman" w:hAnsi="Times New Roman" w:cs="Times New Roman"/>
                <w:bCs/>
                <w:sz w:val="16"/>
                <w:szCs w:val="16"/>
              </w:rPr>
            </w:pPr>
            <w:r w:rsidRPr="00DE42FF">
              <w:rPr>
                <w:rFonts w:ascii="Times New Roman" w:hAnsi="Times New Roman" w:cs="Times New Roman"/>
                <w:color w:val="000000"/>
                <w:sz w:val="16"/>
                <w:szCs w:val="16"/>
              </w:rPr>
              <w:t>189 113</w:t>
            </w:r>
          </w:p>
        </w:tc>
        <w:tc>
          <w:tcPr>
            <w:tcW w:w="568" w:type="pct"/>
            <w:tcBorders>
              <w:top w:val="nil"/>
            </w:tcBorders>
            <w:shd w:val="clear" w:color="000000" w:fill="FFFFFF"/>
            <w:noWrap/>
            <w:vAlign w:val="center"/>
          </w:tcPr>
          <w:p w:rsidR="00DE42FF" w:rsidRPr="00DE42FF" w:rsidRDefault="00DE42FF" w:rsidP="00DE42FF">
            <w:pPr>
              <w:contextualSpacing/>
              <w:jc w:val="right"/>
              <w:rPr>
                <w:rFonts w:ascii="Times New Roman" w:hAnsi="Times New Roman" w:cs="Times New Roman"/>
                <w:bCs/>
                <w:sz w:val="16"/>
                <w:szCs w:val="16"/>
              </w:rPr>
            </w:pPr>
            <w:r w:rsidRPr="00DE42FF">
              <w:rPr>
                <w:rFonts w:ascii="Times New Roman" w:hAnsi="Times New Roman" w:cs="Times New Roman"/>
                <w:color w:val="000000"/>
                <w:sz w:val="16"/>
                <w:szCs w:val="16"/>
              </w:rPr>
              <w:t>165 614</w:t>
            </w:r>
          </w:p>
        </w:tc>
        <w:tc>
          <w:tcPr>
            <w:tcW w:w="568" w:type="pct"/>
            <w:tcBorders>
              <w:top w:val="nil"/>
            </w:tcBorders>
            <w:shd w:val="clear" w:color="000000" w:fill="FFFFFF"/>
            <w:vAlign w:val="center"/>
          </w:tcPr>
          <w:p w:rsidR="00DE42FF" w:rsidRPr="00DE42FF" w:rsidRDefault="00DE42FF" w:rsidP="00DE42FF">
            <w:pPr>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142 099</w:t>
            </w:r>
          </w:p>
        </w:tc>
        <w:tc>
          <w:tcPr>
            <w:tcW w:w="568"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143 708</w:t>
            </w:r>
          </w:p>
        </w:tc>
        <w:tc>
          <w:tcPr>
            <w:tcW w:w="568"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145 517</w:t>
            </w:r>
          </w:p>
        </w:tc>
        <w:tc>
          <w:tcPr>
            <w:tcW w:w="568"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145 517</w:t>
            </w:r>
          </w:p>
        </w:tc>
        <w:tc>
          <w:tcPr>
            <w:tcW w:w="560" w:type="pct"/>
            <w:tcBorders>
              <w:top w:val="nil"/>
            </w:tcBorders>
            <w:shd w:val="clear" w:color="000000" w:fill="FFFFFF"/>
            <w:vAlign w:val="center"/>
          </w:tcPr>
          <w:p w:rsidR="00DE42FF" w:rsidRPr="00DE42FF" w:rsidRDefault="00DE42FF" w:rsidP="00DE42FF">
            <w:pPr>
              <w:autoSpaceDE w:val="0"/>
              <w:autoSpaceDN w:val="0"/>
              <w:adjustRightInd w:val="0"/>
              <w:contextualSpacing/>
              <w:jc w:val="right"/>
              <w:rPr>
                <w:rFonts w:ascii="Times New Roman" w:hAnsi="Times New Roman" w:cs="Times New Roman"/>
                <w:sz w:val="16"/>
                <w:szCs w:val="16"/>
              </w:rPr>
            </w:pPr>
            <w:r w:rsidRPr="00DE42FF">
              <w:rPr>
                <w:rFonts w:ascii="Times New Roman" w:hAnsi="Times New Roman" w:cs="Times New Roman"/>
                <w:color w:val="000000"/>
                <w:sz w:val="16"/>
                <w:szCs w:val="16"/>
              </w:rPr>
              <w:t>145 516</w:t>
            </w:r>
          </w:p>
        </w:tc>
      </w:tr>
      <w:tr w:rsidR="00DE42FF" w:rsidRPr="00DE42FF" w:rsidTr="00877233">
        <w:trPr>
          <w:trHeight w:val="261"/>
        </w:trPr>
        <w:tc>
          <w:tcPr>
            <w:tcW w:w="1117" w:type="pct"/>
            <w:shd w:val="clear" w:color="000000" w:fill="FFFFFF"/>
            <w:vAlign w:val="bottom"/>
          </w:tcPr>
          <w:p w:rsidR="00DE42FF" w:rsidRPr="00DE42FF" w:rsidRDefault="00DE42FF" w:rsidP="00DE42FF">
            <w:pPr>
              <w:rPr>
                <w:rFonts w:ascii="Times New Roman" w:hAnsi="Times New Roman"/>
                <w:sz w:val="16"/>
                <w:szCs w:val="16"/>
              </w:rPr>
            </w:pPr>
            <w:r w:rsidRPr="00DE42FF">
              <w:rPr>
                <w:rFonts w:ascii="Times New Roman" w:hAnsi="Times New Roman"/>
                <w:sz w:val="16"/>
                <w:szCs w:val="16"/>
              </w:rPr>
              <w:t>Národný bezpečnostný úrad SR</w:t>
            </w:r>
          </w:p>
        </w:tc>
        <w:tc>
          <w:tcPr>
            <w:tcW w:w="482" w:type="pct"/>
            <w:tcBorders>
              <w:top w:val="nil"/>
            </w:tcBorders>
            <w:shd w:val="clear" w:color="auto" w:fill="auto"/>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20 908</w:t>
            </w:r>
          </w:p>
        </w:tc>
        <w:tc>
          <w:tcPr>
            <w:tcW w:w="568" w:type="pct"/>
            <w:tcBorders>
              <w:top w:val="nil"/>
            </w:tcBorders>
            <w:shd w:val="clear" w:color="auto" w:fill="auto"/>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14 132</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12 731</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12 838</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color w:val="000000"/>
                <w:sz w:val="16"/>
                <w:szCs w:val="16"/>
                <w:lang w:eastAsia="sk-SK"/>
              </w:rPr>
            </w:pPr>
            <w:r w:rsidRPr="00DE42FF">
              <w:rPr>
                <w:rFonts w:ascii="Times New Roman" w:hAnsi="Times New Roman" w:cs="Times New Roman"/>
                <w:color w:val="000000"/>
                <w:sz w:val="16"/>
                <w:szCs w:val="16"/>
              </w:rPr>
              <w:t>12 844</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color w:val="000000"/>
                <w:sz w:val="16"/>
                <w:szCs w:val="16"/>
                <w:lang w:eastAsia="sk-SK"/>
              </w:rPr>
            </w:pPr>
            <w:r w:rsidRPr="00DE42FF">
              <w:rPr>
                <w:rFonts w:ascii="Times New Roman" w:hAnsi="Times New Roman" w:cs="Times New Roman"/>
                <w:color w:val="000000"/>
                <w:sz w:val="16"/>
                <w:szCs w:val="16"/>
              </w:rPr>
              <w:t>13 080</w:t>
            </w:r>
          </w:p>
        </w:tc>
        <w:tc>
          <w:tcPr>
            <w:tcW w:w="560"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color w:val="000000"/>
                <w:sz w:val="16"/>
                <w:szCs w:val="16"/>
                <w:lang w:eastAsia="sk-SK"/>
              </w:rPr>
            </w:pPr>
            <w:r w:rsidRPr="00DE42FF">
              <w:rPr>
                <w:rFonts w:ascii="Times New Roman" w:hAnsi="Times New Roman" w:cs="Times New Roman"/>
                <w:color w:val="000000"/>
                <w:sz w:val="16"/>
                <w:szCs w:val="16"/>
              </w:rPr>
              <w:t>13 080</w:t>
            </w:r>
          </w:p>
        </w:tc>
      </w:tr>
      <w:tr w:rsidR="00DE42FF" w:rsidRPr="00DE42FF" w:rsidTr="00877233">
        <w:trPr>
          <w:trHeight w:val="261"/>
        </w:trPr>
        <w:tc>
          <w:tcPr>
            <w:tcW w:w="1117" w:type="pct"/>
            <w:shd w:val="clear" w:color="000000" w:fill="FFFFFF"/>
            <w:vAlign w:val="bottom"/>
          </w:tcPr>
          <w:p w:rsidR="00DE42FF" w:rsidRPr="00DE42FF" w:rsidRDefault="00DE42FF" w:rsidP="00DE42FF">
            <w:pPr>
              <w:rPr>
                <w:rFonts w:ascii="Times New Roman" w:hAnsi="Times New Roman"/>
                <w:sz w:val="16"/>
                <w:szCs w:val="16"/>
              </w:rPr>
            </w:pPr>
            <w:r w:rsidRPr="00DE42FF">
              <w:rPr>
                <w:rFonts w:ascii="Times New Roman" w:hAnsi="Times New Roman"/>
                <w:sz w:val="16"/>
                <w:szCs w:val="16"/>
              </w:rPr>
              <w:t>Slovenská informačná služba</w:t>
            </w:r>
          </w:p>
        </w:tc>
        <w:tc>
          <w:tcPr>
            <w:tcW w:w="482" w:type="pct"/>
            <w:tcBorders>
              <w:top w:val="nil"/>
            </w:tcBorders>
            <w:shd w:val="clear" w:color="auto" w:fill="auto"/>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71 340</w:t>
            </w:r>
          </w:p>
        </w:tc>
        <w:tc>
          <w:tcPr>
            <w:tcW w:w="568" w:type="pct"/>
            <w:tcBorders>
              <w:top w:val="nil"/>
            </w:tcBorders>
            <w:shd w:val="clear" w:color="auto" w:fill="auto"/>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82 071</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59 965</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68 976</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color w:val="000000"/>
                <w:sz w:val="16"/>
                <w:szCs w:val="16"/>
                <w:lang w:eastAsia="sk-SK"/>
              </w:rPr>
            </w:pPr>
            <w:r w:rsidRPr="00DE42FF">
              <w:rPr>
                <w:rFonts w:ascii="Times New Roman" w:hAnsi="Times New Roman" w:cs="Times New Roman"/>
                <w:color w:val="000000"/>
                <w:sz w:val="16"/>
                <w:szCs w:val="16"/>
              </w:rPr>
              <w:t>63 968</w:t>
            </w:r>
          </w:p>
        </w:tc>
        <w:tc>
          <w:tcPr>
            <w:tcW w:w="568"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color w:val="000000"/>
                <w:sz w:val="16"/>
                <w:szCs w:val="16"/>
                <w:lang w:eastAsia="sk-SK"/>
              </w:rPr>
            </w:pPr>
            <w:r w:rsidRPr="00DE42FF">
              <w:rPr>
                <w:rFonts w:ascii="Times New Roman" w:hAnsi="Times New Roman" w:cs="Times New Roman"/>
                <w:color w:val="000000"/>
                <w:sz w:val="16"/>
                <w:szCs w:val="16"/>
              </w:rPr>
              <w:t>63 968</w:t>
            </w:r>
          </w:p>
        </w:tc>
        <w:tc>
          <w:tcPr>
            <w:tcW w:w="560" w:type="pct"/>
            <w:tcBorders>
              <w:top w:val="nil"/>
            </w:tcBorders>
            <w:shd w:val="clear" w:color="auto" w:fill="auto"/>
            <w:vAlign w:val="center"/>
          </w:tcPr>
          <w:p w:rsidR="00DE42FF" w:rsidRPr="00DE42FF" w:rsidRDefault="00DE42FF" w:rsidP="00DE42FF">
            <w:pPr>
              <w:contextualSpacing/>
              <w:jc w:val="right"/>
              <w:rPr>
                <w:rFonts w:ascii="Times New Roman" w:hAnsi="Times New Roman" w:cs="Times New Roman"/>
                <w:color w:val="000000"/>
                <w:sz w:val="16"/>
                <w:szCs w:val="16"/>
                <w:lang w:eastAsia="sk-SK"/>
              </w:rPr>
            </w:pPr>
            <w:r w:rsidRPr="00DE42FF">
              <w:rPr>
                <w:rFonts w:ascii="Times New Roman" w:hAnsi="Times New Roman" w:cs="Times New Roman"/>
                <w:color w:val="000000"/>
                <w:sz w:val="16"/>
                <w:szCs w:val="16"/>
              </w:rPr>
              <w:t>63 968</w:t>
            </w:r>
          </w:p>
        </w:tc>
      </w:tr>
      <w:tr w:rsidR="00DE42FF" w:rsidRPr="00DE42FF" w:rsidTr="00877233">
        <w:trPr>
          <w:trHeight w:val="261"/>
        </w:trPr>
        <w:tc>
          <w:tcPr>
            <w:tcW w:w="1117" w:type="pct"/>
            <w:tcBorders>
              <w:bottom w:val="single" w:sz="4" w:space="0" w:color="auto"/>
            </w:tcBorders>
            <w:shd w:val="clear" w:color="auto" w:fill="auto"/>
            <w:vAlign w:val="bottom"/>
          </w:tcPr>
          <w:p w:rsidR="00DE42FF" w:rsidRPr="00DE42FF" w:rsidRDefault="00DE42FF" w:rsidP="00DE42FF">
            <w:pPr>
              <w:rPr>
                <w:rFonts w:ascii="Times New Roman" w:hAnsi="Times New Roman"/>
                <w:sz w:val="16"/>
                <w:szCs w:val="16"/>
              </w:rPr>
            </w:pPr>
            <w:r w:rsidRPr="00DE42FF">
              <w:rPr>
                <w:rFonts w:ascii="Times New Roman" w:hAnsi="Times New Roman"/>
                <w:sz w:val="16"/>
                <w:szCs w:val="16"/>
              </w:rPr>
              <w:t>Osobitný účet soc. zabezpečenia</w:t>
            </w:r>
          </w:p>
        </w:tc>
        <w:tc>
          <w:tcPr>
            <w:tcW w:w="482" w:type="pct"/>
            <w:tcBorders>
              <w:top w:val="nil"/>
              <w:bottom w:val="single" w:sz="4" w:space="0" w:color="auto"/>
            </w:tcBorders>
            <w:shd w:val="clear" w:color="000000" w:fill="FFFFFF"/>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40 244</w:t>
            </w:r>
          </w:p>
        </w:tc>
        <w:tc>
          <w:tcPr>
            <w:tcW w:w="568" w:type="pct"/>
            <w:tcBorders>
              <w:top w:val="nil"/>
              <w:bottom w:val="single" w:sz="4" w:space="0" w:color="auto"/>
            </w:tcBorders>
            <w:shd w:val="clear" w:color="000000" w:fill="FFFFFF"/>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39 862</w:t>
            </w:r>
          </w:p>
        </w:tc>
        <w:tc>
          <w:tcPr>
            <w:tcW w:w="568" w:type="pct"/>
            <w:tcBorders>
              <w:top w:val="nil"/>
              <w:bottom w:val="single" w:sz="4" w:space="0" w:color="auto"/>
            </w:tcBorders>
            <w:shd w:val="clear" w:color="000000" w:fill="FFFFFF"/>
            <w:noWrap/>
            <w:vAlign w:val="center"/>
          </w:tcPr>
          <w:p w:rsidR="00DE42FF" w:rsidRPr="00DE42FF" w:rsidRDefault="00DE42FF" w:rsidP="00DE42FF">
            <w:pPr>
              <w:contextualSpacing/>
              <w:jc w:val="right"/>
              <w:rPr>
                <w:rFonts w:ascii="Times New Roman" w:hAnsi="Times New Roman" w:cs="Times New Roman"/>
                <w:bCs/>
                <w:color w:val="000000"/>
                <w:sz w:val="16"/>
                <w:szCs w:val="16"/>
              </w:rPr>
            </w:pPr>
            <w:r w:rsidRPr="00DE42FF">
              <w:rPr>
                <w:rFonts w:ascii="Times New Roman" w:hAnsi="Times New Roman" w:cs="Times New Roman"/>
                <w:color w:val="000000"/>
                <w:sz w:val="16"/>
                <w:szCs w:val="16"/>
              </w:rPr>
              <w:t>42 459</w:t>
            </w:r>
          </w:p>
        </w:tc>
        <w:tc>
          <w:tcPr>
            <w:tcW w:w="568" w:type="pct"/>
            <w:tcBorders>
              <w:top w:val="nil"/>
              <w:bottom w:val="single" w:sz="4" w:space="0" w:color="auto"/>
            </w:tcBorders>
            <w:shd w:val="clear" w:color="000000" w:fill="FFFFFF"/>
            <w:vAlign w:val="center"/>
          </w:tcPr>
          <w:p w:rsidR="00DE42FF" w:rsidRPr="00DE42FF" w:rsidRDefault="00DE42FF" w:rsidP="00DE42FF">
            <w:pPr>
              <w:contextualSpacing/>
              <w:jc w:val="right"/>
              <w:rPr>
                <w:rFonts w:ascii="Times New Roman" w:hAnsi="Times New Roman" w:cs="Times New Roman"/>
                <w:bCs/>
                <w:color w:val="000000"/>
                <w:sz w:val="16"/>
                <w:szCs w:val="16"/>
                <w:highlight w:val="yellow"/>
              </w:rPr>
            </w:pPr>
            <w:r w:rsidRPr="00DE42FF">
              <w:rPr>
                <w:rFonts w:ascii="Times New Roman" w:hAnsi="Times New Roman" w:cs="Times New Roman"/>
                <w:color w:val="000000"/>
                <w:sz w:val="16"/>
                <w:szCs w:val="16"/>
              </w:rPr>
              <w:t>42 459</w:t>
            </w:r>
          </w:p>
        </w:tc>
        <w:tc>
          <w:tcPr>
            <w:tcW w:w="568" w:type="pct"/>
            <w:tcBorders>
              <w:top w:val="nil"/>
              <w:bottom w:val="single" w:sz="4" w:space="0" w:color="auto"/>
            </w:tcBorders>
            <w:shd w:val="clear" w:color="000000" w:fill="FFFFFF"/>
            <w:vAlign w:val="center"/>
          </w:tcPr>
          <w:p w:rsidR="00DE42FF" w:rsidRPr="00DE42FF" w:rsidRDefault="00DE42FF" w:rsidP="00DE42FF">
            <w:pPr>
              <w:contextualSpacing/>
              <w:jc w:val="right"/>
              <w:rPr>
                <w:rFonts w:ascii="Times New Roman" w:hAnsi="Times New Roman" w:cs="Times New Roman"/>
                <w:bCs/>
                <w:color w:val="000000"/>
                <w:sz w:val="16"/>
                <w:szCs w:val="16"/>
                <w:highlight w:val="yellow"/>
              </w:rPr>
            </w:pPr>
            <w:r w:rsidRPr="00DE42FF">
              <w:rPr>
                <w:rFonts w:ascii="Times New Roman" w:hAnsi="Times New Roman" w:cs="Times New Roman"/>
                <w:color w:val="000000"/>
                <w:sz w:val="16"/>
                <w:szCs w:val="16"/>
              </w:rPr>
              <w:t>50 962</w:t>
            </w:r>
          </w:p>
        </w:tc>
        <w:tc>
          <w:tcPr>
            <w:tcW w:w="568" w:type="pct"/>
            <w:tcBorders>
              <w:top w:val="nil"/>
              <w:bottom w:val="single" w:sz="4" w:space="0" w:color="auto"/>
            </w:tcBorders>
            <w:shd w:val="clear" w:color="000000" w:fill="FFFFFF"/>
            <w:vAlign w:val="center"/>
          </w:tcPr>
          <w:p w:rsidR="00DE42FF" w:rsidRPr="00DE42FF" w:rsidRDefault="00DE42FF" w:rsidP="00DE42FF">
            <w:pPr>
              <w:contextualSpacing/>
              <w:jc w:val="right"/>
              <w:rPr>
                <w:rFonts w:ascii="Times New Roman" w:hAnsi="Times New Roman" w:cs="Times New Roman"/>
                <w:bCs/>
                <w:color w:val="000000"/>
                <w:sz w:val="16"/>
                <w:szCs w:val="16"/>
                <w:highlight w:val="yellow"/>
              </w:rPr>
            </w:pPr>
            <w:r w:rsidRPr="00DE42FF">
              <w:rPr>
                <w:rFonts w:ascii="Times New Roman" w:hAnsi="Times New Roman" w:cs="Times New Roman"/>
                <w:color w:val="000000"/>
                <w:sz w:val="16"/>
                <w:szCs w:val="16"/>
              </w:rPr>
              <w:t>51 926</w:t>
            </w:r>
          </w:p>
        </w:tc>
        <w:tc>
          <w:tcPr>
            <w:tcW w:w="560" w:type="pct"/>
            <w:tcBorders>
              <w:top w:val="nil"/>
              <w:bottom w:val="single" w:sz="4" w:space="0" w:color="auto"/>
            </w:tcBorders>
            <w:shd w:val="clear" w:color="000000" w:fill="FFFFFF"/>
            <w:vAlign w:val="center"/>
          </w:tcPr>
          <w:p w:rsidR="00DE42FF" w:rsidRPr="00DE42FF" w:rsidRDefault="00DE42FF" w:rsidP="00DE42FF">
            <w:pPr>
              <w:contextualSpacing/>
              <w:jc w:val="right"/>
              <w:rPr>
                <w:rFonts w:ascii="Times New Roman" w:hAnsi="Times New Roman" w:cs="Times New Roman"/>
                <w:bCs/>
                <w:color w:val="000000"/>
                <w:sz w:val="16"/>
                <w:szCs w:val="16"/>
                <w:highlight w:val="yellow"/>
              </w:rPr>
            </w:pPr>
            <w:r w:rsidRPr="00DE42FF">
              <w:rPr>
                <w:rFonts w:ascii="Times New Roman" w:hAnsi="Times New Roman" w:cs="Times New Roman"/>
                <w:color w:val="000000"/>
                <w:sz w:val="16"/>
                <w:szCs w:val="16"/>
              </w:rPr>
              <w:t>56 453</w:t>
            </w:r>
          </w:p>
        </w:tc>
      </w:tr>
    </w:tbl>
    <w:p w:rsidR="00AA17E3" w:rsidRPr="008D7238" w:rsidRDefault="00DE42FF" w:rsidP="00AA17E3">
      <w:pPr>
        <w:pStyle w:val="Popis"/>
        <w:keepNext/>
        <w:rPr>
          <w:rFonts w:ascii="Times New Roman" w:hAnsi="Times New Roman"/>
          <w:b/>
          <w:i w:val="0"/>
          <w:sz w:val="20"/>
          <w:szCs w:val="20"/>
        </w:rPr>
      </w:pPr>
      <w:bookmarkStart w:id="412" w:name="_Toc84845316"/>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92</w:t>
      </w:r>
      <w:r w:rsidRPr="002C35FD">
        <w:rPr>
          <w:rFonts w:ascii="Times New Roman" w:hAnsi="Times New Roman" w:cs="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w:t>
      </w:r>
      <w:r w:rsidR="00E50BA2">
        <w:rPr>
          <w:rFonts w:ascii="Times New Roman" w:hAnsi="Times New Roman"/>
          <w:b/>
          <w:i w:val="0"/>
          <w:color w:val="5B9BD5" w:themeColor="accent1"/>
          <w:sz w:val="20"/>
          <w:szCs w:val="20"/>
        </w:rPr>
        <w:t>–</w:t>
      </w:r>
      <w:r w:rsidRPr="009C3AE2">
        <w:rPr>
          <w:rFonts w:ascii="Times New Roman" w:hAnsi="Times New Roman"/>
          <w:b/>
          <w:i w:val="0"/>
          <w:color w:val="5B9BD5" w:themeColor="accent1"/>
          <w:sz w:val="20"/>
          <w:szCs w:val="20"/>
        </w:rPr>
        <w:t xml:space="preserve"> </w:t>
      </w:r>
      <w:r w:rsidR="00E50BA2">
        <w:rPr>
          <w:rFonts w:ascii="Times New Roman" w:hAnsi="Times New Roman"/>
          <w:b/>
          <w:i w:val="0"/>
          <w:color w:val="5B9BD5" w:themeColor="accent1"/>
          <w:sz w:val="20"/>
          <w:szCs w:val="20"/>
        </w:rPr>
        <w:t>Výdavky na b</w:t>
      </w:r>
      <w:r w:rsidRPr="009C3AE2">
        <w:rPr>
          <w:rFonts w:ascii="Times New Roman" w:hAnsi="Times New Roman"/>
          <w:b/>
          <w:i w:val="0"/>
          <w:color w:val="5B9BD5" w:themeColor="accent1"/>
          <w:sz w:val="20"/>
          <w:szCs w:val="20"/>
        </w:rPr>
        <w:t>ezpečnosť</w:t>
      </w:r>
      <w:bookmarkEnd w:id="412"/>
    </w:p>
    <w:p w:rsidR="00AA17E3" w:rsidRDefault="00AA17E3" w:rsidP="009224A5">
      <w:pPr>
        <w:spacing w:after="0"/>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9224A5" w:rsidRDefault="009224A5" w:rsidP="009224A5">
      <w:pPr>
        <w:spacing w:after="0"/>
        <w:jc w:val="both"/>
        <w:rPr>
          <w:rFonts w:ascii="Times New Roman" w:hAnsi="Times New Roman"/>
          <w:sz w:val="24"/>
          <w:szCs w:val="24"/>
        </w:rPr>
      </w:pPr>
    </w:p>
    <w:p w:rsidR="00AA17E3" w:rsidRDefault="00AA17E3" w:rsidP="009224A5">
      <w:pPr>
        <w:spacing w:after="0"/>
        <w:jc w:val="both"/>
        <w:rPr>
          <w:rFonts w:ascii="Times New Roman" w:hAnsi="Times New Roman"/>
          <w:sz w:val="24"/>
          <w:szCs w:val="24"/>
        </w:rPr>
      </w:pPr>
      <w:r w:rsidRPr="00F711A7">
        <w:rPr>
          <w:rFonts w:ascii="Times New Roman" w:hAnsi="Times New Roman"/>
          <w:sz w:val="24"/>
          <w:szCs w:val="24"/>
        </w:rPr>
        <w:t>Ochrana verejného poriadku a bezpe</w:t>
      </w:r>
      <w:r w:rsidRPr="00F711A7">
        <w:rPr>
          <w:rFonts w:ascii="Times New Roman" w:hAnsi="Times New Roman" w:hint="eastAsia"/>
          <w:sz w:val="24"/>
          <w:szCs w:val="24"/>
        </w:rPr>
        <w:t>č</w:t>
      </w:r>
      <w:r w:rsidRPr="00F711A7">
        <w:rPr>
          <w:rFonts w:ascii="Times New Roman" w:hAnsi="Times New Roman"/>
          <w:sz w:val="24"/>
          <w:szCs w:val="24"/>
        </w:rPr>
        <w:t>nosti zah</w:t>
      </w:r>
      <w:r w:rsidRPr="00F711A7">
        <w:rPr>
          <w:rFonts w:ascii="Times New Roman" w:hAnsi="Times New Roman" w:hint="eastAsia"/>
          <w:sz w:val="24"/>
          <w:szCs w:val="24"/>
        </w:rPr>
        <w:t>ŕň</w:t>
      </w:r>
      <w:r w:rsidRPr="00F711A7">
        <w:rPr>
          <w:rFonts w:ascii="Times New Roman" w:hAnsi="Times New Roman"/>
          <w:sz w:val="24"/>
          <w:szCs w:val="24"/>
        </w:rPr>
        <w:t>a bežné a kapitálové výdavky na zabezpe</w:t>
      </w:r>
      <w:r w:rsidRPr="00F711A7">
        <w:rPr>
          <w:rFonts w:ascii="Times New Roman" w:hAnsi="Times New Roman" w:hint="eastAsia"/>
          <w:sz w:val="24"/>
          <w:szCs w:val="24"/>
        </w:rPr>
        <w:t>č</w:t>
      </w:r>
      <w:r w:rsidRPr="00F711A7">
        <w:rPr>
          <w:rFonts w:ascii="Times New Roman" w:hAnsi="Times New Roman"/>
          <w:sz w:val="24"/>
          <w:szCs w:val="24"/>
        </w:rPr>
        <w:t xml:space="preserve">enie </w:t>
      </w:r>
      <w:r w:rsidRPr="00F711A7">
        <w:rPr>
          <w:rFonts w:ascii="Times New Roman" w:hAnsi="Times New Roman" w:hint="eastAsia"/>
          <w:sz w:val="24"/>
          <w:szCs w:val="24"/>
        </w:rPr>
        <w:t>č</w:t>
      </w:r>
      <w:r w:rsidRPr="00F711A7">
        <w:rPr>
          <w:rFonts w:ascii="Times New Roman" w:hAnsi="Times New Roman"/>
          <w:sz w:val="24"/>
          <w:szCs w:val="24"/>
        </w:rPr>
        <w:t>innosti justi</w:t>
      </w:r>
      <w:r w:rsidRPr="00F711A7">
        <w:rPr>
          <w:rFonts w:ascii="Times New Roman" w:hAnsi="Times New Roman" w:hint="eastAsia"/>
          <w:sz w:val="24"/>
          <w:szCs w:val="24"/>
        </w:rPr>
        <w:t>č</w:t>
      </w:r>
      <w:r w:rsidRPr="00F711A7">
        <w:rPr>
          <w:rFonts w:ascii="Times New Roman" w:hAnsi="Times New Roman"/>
          <w:sz w:val="24"/>
          <w:szCs w:val="24"/>
        </w:rPr>
        <w:t>nej polície, kriminálnej polície, finan</w:t>
      </w:r>
      <w:r w:rsidRPr="00F711A7">
        <w:rPr>
          <w:rFonts w:ascii="Times New Roman" w:hAnsi="Times New Roman" w:hint="eastAsia"/>
          <w:sz w:val="24"/>
          <w:szCs w:val="24"/>
        </w:rPr>
        <w:t>č</w:t>
      </w:r>
      <w:r w:rsidRPr="00F711A7">
        <w:rPr>
          <w:rFonts w:ascii="Times New Roman" w:hAnsi="Times New Roman"/>
          <w:sz w:val="24"/>
          <w:szCs w:val="24"/>
        </w:rPr>
        <w:t>nej polície, poriadkovej polície, dopravnej polície, mýtnej polície, inšpek</w:t>
      </w:r>
      <w:r w:rsidRPr="00F711A7">
        <w:rPr>
          <w:rFonts w:ascii="Times New Roman" w:hAnsi="Times New Roman" w:hint="eastAsia"/>
          <w:sz w:val="24"/>
          <w:szCs w:val="24"/>
        </w:rPr>
        <w:t>č</w:t>
      </w:r>
      <w:r w:rsidRPr="00F711A7">
        <w:rPr>
          <w:rFonts w:ascii="Times New Roman" w:hAnsi="Times New Roman"/>
          <w:sz w:val="24"/>
          <w:szCs w:val="24"/>
        </w:rPr>
        <w:t>nej služby Policajného zboru, kriminalistického a expertízneho ústavu Policajného zboru, železni</w:t>
      </w:r>
      <w:r w:rsidRPr="00F711A7">
        <w:rPr>
          <w:rFonts w:ascii="Times New Roman" w:hAnsi="Times New Roman" w:hint="eastAsia"/>
          <w:sz w:val="24"/>
          <w:szCs w:val="24"/>
        </w:rPr>
        <w:t>č</w:t>
      </w:r>
      <w:r w:rsidRPr="00F711A7">
        <w:rPr>
          <w:rFonts w:ascii="Times New Roman" w:hAnsi="Times New Roman"/>
          <w:sz w:val="24"/>
          <w:szCs w:val="24"/>
        </w:rPr>
        <w:t xml:space="preserve">nej polície, úradu pre ochranu ústavných </w:t>
      </w:r>
      <w:r w:rsidRPr="00F711A7">
        <w:rPr>
          <w:rFonts w:ascii="Times New Roman" w:hAnsi="Times New Roman" w:hint="eastAsia"/>
          <w:sz w:val="24"/>
          <w:szCs w:val="24"/>
        </w:rPr>
        <w:t>č</w:t>
      </w:r>
      <w:r w:rsidRPr="00F711A7">
        <w:rPr>
          <w:rFonts w:ascii="Times New Roman" w:hAnsi="Times New Roman"/>
          <w:sz w:val="24"/>
          <w:szCs w:val="24"/>
        </w:rPr>
        <w:t>inite</w:t>
      </w:r>
      <w:r w:rsidRPr="00F711A7">
        <w:rPr>
          <w:rFonts w:ascii="Times New Roman" w:hAnsi="Times New Roman" w:hint="eastAsia"/>
          <w:sz w:val="24"/>
          <w:szCs w:val="24"/>
        </w:rPr>
        <w:t>ľ</w:t>
      </w:r>
      <w:r w:rsidRPr="00F711A7">
        <w:rPr>
          <w:rFonts w:ascii="Times New Roman" w:hAnsi="Times New Roman"/>
          <w:sz w:val="24"/>
          <w:szCs w:val="24"/>
        </w:rPr>
        <w:t xml:space="preserve">ov a diplomatických misií </w:t>
      </w:r>
      <w:r w:rsidRPr="00FC0931">
        <w:rPr>
          <w:rFonts w:ascii="Times New Roman" w:hAnsi="Times New Roman"/>
          <w:sz w:val="24"/>
          <w:szCs w:val="24"/>
        </w:rPr>
        <w:t>Ministerstva vnútra</w:t>
      </w:r>
      <w:r w:rsidRPr="00F711A7">
        <w:rPr>
          <w:rFonts w:ascii="Times New Roman" w:hAnsi="Times New Roman"/>
          <w:sz w:val="24"/>
          <w:szCs w:val="24"/>
        </w:rPr>
        <w:t xml:space="preserve"> SR. </w:t>
      </w:r>
    </w:p>
    <w:p w:rsidR="00AA17E3" w:rsidRDefault="00AA17E3" w:rsidP="00AA17E3">
      <w:pPr>
        <w:spacing w:after="0"/>
        <w:jc w:val="both"/>
        <w:rPr>
          <w:rFonts w:ascii="Times New Roman" w:hAnsi="Times New Roman"/>
          <w:sz w:val="24"/>
          <w:szCs w:val="24"/>
        </w:rPr>
      </w:pPr>
    </w:p>
    <w:p w:rsidR="00AA17E3" w:rsidRPr="00F711A7" w:rsidRDefault="00AA17E3" w:rsidP="00AA17E3">
      <w:pPr>
        <w:spacing w:after="0"/>
        <w:jc w:val="both"/>
        <w:rPr>
          <w:rFonts w:ascii="Times New Roman" w:hAnsi="Times New Roman"/>
          <w:sz w:val="24"/>
          <w:szCs w:val="24"/>
        </w:rPr>
      </w:pPr>
      <w:r w:rsidRPr="00F711A7">
        <w:rPr>
          <w:rFonts w:ascii="Times New Roman" w:hAnsi="Times New Roman"/>
          <w:sz w:val="24"/>
          <w:szCs w:val="24"/>
        </w:rPr>
        <w:t>Ide najmä o zabezpe</w:t>
      </w:r>
      <w:r w:rsidRPr="00F711A7">
        <w:rPr>
          <w:rFonts w:ascii="Times New Roman" w:hAnsi="Times New Roman" w:hint="eastAsia"/>
          <w:sz w:val="24"/>
          <w:szCs w:val="24"/>
        </w:rPr>
        <w:t>č</w:t>
      </w:r>
      <w:r w:rsidRPr="00F711A7">
        <w:rPr>
          <w:rFonts w:ascii="Times New Roman" w:hAnsi="Times New Roman"/>
          <w:sz w:val="24"/>
          <w:szCs w:val="24"/>
        </w:rPr>
        <w:t>enie platov a s nimi súvisiacich odvodov a nevyhnutné výdavky ur</w:t>
      </w:r>
      <w:r w:rsidRPr="00F711A7">
        <w:rPr>
          <w:rFonts w:ascii="Times New Roman" w:hAnsi="Times New Roman" w:hint="eastAsia"/>
          <w:sz w:val="24"/>
          <w:szCs w:val="24"/>
        </w:rPr>
        <w:t>č</w:t>
      </w:r>
      <w:r w:rsidRPr="00F711A7">
        <w:rPr>
          <w:rFonts w:ascii="Times New Roman" w:hAnsi="Times New Roman"/>
          <w:sz w:val="24"/>
          <w:szCs w:val="24"/>
        </w:rPr>
        <w:t>ené na prevádzku príslušných organizácií a útvarov. Okrem toho sa pre políciu rozpo</w:t>
      </w:r>
      <w:r w:rsidRPr="00F711A7">
        <w:rPr>
          <w:rFonts w:ascii="Times New Roman" w:hAnsi="Times New Roman" w:hint="eastAsia"/>
          <w:sz w:val="24"/>
          <w:szCs w:val="24"/>
        </w:rPr>
        <w:t>č</w:t>
      </w:r>
      <w:r w:rsidRPr="00F711A7">
        <w:rPr>
          <w:rFonts w:ascii="Times New Roman" w:hAnsi="Times New Roman"/>
          <w:sz w:val="24"/>
          <w:szCs w:val="24"/>
        </w:rPr>
        <w:t>tujú výdavky na zabezpe</w:t>
      </w:r>
      <w:r w:rsidRPr="00F711A7">
        <w:rPr>
          <w:rFonts w:ascii="Times New Roman" w:hAnsi="Times New Roman" w:hint="eastAsia"/>
          <w:sz w:val="24"/>
          <w:szCs w:val="24"/>
        </w:rPr>
        <w:t>č</w:t>
      </w:r>
      <w:r w:rsidRPr="00F711A7">
        <w:rPr>
          <w:rFonts w:ascii="Times New Roman" w:hAnsi="Times New Roman"/>
          <w:sz w:val="24"/>
          <w:szCs w:val="24"/>
        </w:rPr>
        <w:t>enie výu</w:t>
      </w:r>
      <w:r w:rsidRPr="00F711A7">
        <w:rPr>
          <w:rFonts w:ascii="Times New Roman" w:hAnsi="Times New Roman" w:hint="eastAsia"/>
          <w:sz w:val="24"/>
          <w:szCs w:val="24"/>
        </w:rPr>
        <w:t>č</w:t>
      </w:r>
      <w:r w:rsidRPr="00F711A7">
        <w:rPr>
          <w:rFonts w:ascii="Times New Roman" w:hAnsi="Times New Roman"/>
          <w:sz w:val="24"/>
          <w:szCs w:val="24"/>
        </w:rPr>
        <w:t>by základného policajného vzdelania, prípravu nižších policajných dôstojníkov a špecializovaného vzdelania pre priamy výkon policajnej služby. Túto prípravu zabezpe</w:t>
      </w:r>
      <w:r w:rsidRPr="00F711A7">
        <w:rPr>
          <w:rFonts w:ascii="Times New Roman" w:hAnsi="Times New Roman" w:hint="eastAsia"/>
          <w:sz w:val="24"/>
          <w:szCs w:val="24"/>
        </w:rPr>
        <w:t>č</w:t>
      </w:r>
      <w:r w:rsidRPr="00F711A7">
        <w:rPr>
          <w:rFonts w:ascii="Times New Roman" w:hAnsi="Times New Roman"/>
          <w:sz w:val="24"/>
          <w:szCs w:val="24"/>
        </w:rPr>
        <w:t>ujú stredné odborné školy PZ. Vyšší stupe</w:t>
      </w:r>
      <w:r w:rsidRPr="00F711A7">
        <w:rPr>
          <w:rFonts w:ascii="Times New Roman" w:hAnsi="Times New Roman" w:hint="eastAsia"/>
          <w:sz w:val="24"/>
          <w:szCs w:val="24"/>
        </w:rPr>
        <w:t>ň</w:t>
      </w:r>
      <w:r w:rsidRPr="00F711A7">
        <w:rPr>
          <w:rFonts w:ascii="Times New Roman" w:hAnsi="Times New Roman"/>
          <w:sz w:val="24"/>
          <w:szCs w:val="24"/>
        </w:rPr>
        <w:t xml:space="preserve"> prípravy policajtov a bezpe</w:t>
      </w:r>
      <w:r w:rsidRPr="00F711A7">
        <w:rPr>
          <w:rFonts w:ascii="Times New Roman" w:hAnsi="Times New Roman" w:hint="eastAsia"/>
          <w:sz w:val="24"/>
          <w:szCs w:val="24"/>
        </w:rPr>
        <w:t>č</w:t>
      </w:r>
      <w:r w:rsidRPr="00F711A7">
        <w:rPr>
          <w:rFonts w:ascii="Times New Roman" w:hAnsi="Times New Roman"/>
          <w:sz w:val="24"/>
          <w:szCs w:val="24"/>
        </w:rPr>
        <w:t xml:space="preserve">nostných služieb, </w:t>
      </w:r>
      <w:r w:rsidRPr="00F711A7">
        <w:rPr>
          <w:rFonts w:ascii="Times New Roman" w:hAnsi="Times New Roman" w:hint="eastAsia"/>
          <w:sz w:val="24"/>
          <w:szCs w:val="24"/>
        </w:rPr>
        <w:t>ď</w:t>
      </w:r>
      <w:r w:rsidRPr="00F711A7">
        <w:rPr>
          <w:rFonts w:ascii="Times New Roman" w:hAnsi="Times New Roman"/>
          <w:sz w:val="24"/>
          <w:szCs w:val="24"/>
        </w:rPr>
        <w:t>alšie vzdelávanie vrátane vedeckého poznania a výchovy zabezpe</w:t>
      </w:r>
      <w:r w:rsidRPr="00F711A7">
        <w:rPr>
          <w:rFonts w:ascii="Times New Roman" w:hAnsi="Times New Roman" w:hint="eastAsia"/>
          <w:sz w:val="24"/>
          <w:szCs w:val="24"/>
        </w:rPr>
        <w:t>č</w:t>
      </w:r>
      <w:r w:rsidRPr="00F711A7">
        <w:rPr>
          <w:rFonts w:ascii="Times New Roman" w:hAnsi="Times New Roman"/>
          <w:sz w:val="24"/>
          <w:szCs w:val="24"/>
        </w:rPr>
        <w:t>uje Akadémia PZ.</w:t>
      </w:r>
    </w:p>
    <w:p w:rsidR="00AA17E3" w:rsidRDefault="00AA17E3" w:rsidP="00AA17E3">
      <w:pPr>
        <w:spacing w:after="0"/>
        <w:jc w:val="both"/>
        <w:rPr>
          <w:rFonts w:ascii="Times New Roman" w:hAnsi="Times New Roman"/>
          <w:sz w:val="24"/>
          <w:szCs w:val="24"/>
        </w:rPr>
      </w:pPr>
      <w:r w:rsidRPr="00F711A7">
        <w:rPr>
          <w:rFonts w:ascii="Times New Roman" w:hAnsi="Times New Roman"/>
          <w:sz w:val="24"/>
          <w:szCs w:val="24"/>
        </w:rPr>
        <w:t xml:space="preserve">Výdavky pre </w:t>
      </w:r>
      <w:r>
        <w:rPr>
          <w:rFonts w:ascii="Times New Roman" w:hAnsi="Times New Roman"/>
          <w:bCs/>
          <w:sz w:val="24"/>
          <w:szCs w:val="24"/>
        </w:rPr>
        <w:t>z</w:t>
      </w:r>
      <w:r w:rsidRPr="00F711A7">
        <w:rPr>
          <w:rFonts w:ascii="Times New Roman" w:hAnsi="Times New Roman"/>
          <w:bCs/>
          <w:sz w:val="24"/>
          <w:szCs w:val="24"/>
        </w:rPr>
        <w:t>áchranné zložky</w:t>
      </w:r>
      <w:r w:rsidRPr="00F711A7">
        <w:rPr>
          <w:rFonts w:ascii="Times New Roman" w:hAnsi="Times New Roman"/>
          <w:sz w:val="24"/>
          <w:szCs w:val="24"/>
        </w:rPr>
        <w:t xml:space="preserve"> smerujú na ochranu života, zdravia a majetku pred požiarmi, účinkami živelných pohrôm a v horských podmienkach v zmysle platnej legislatívy a na rok </w:t>
      </w:r>
      <w:r w:rsidRPr="00094C5D">
        <w:rPr>
          <w:rFonts w:ascii="Times New Roman" w:hAnsi="Times New Roman"/>
          <w:sz w:val="24"/>
          <w:szCs w:val="24"/>
        </w:rPr>
        <w:t>2022 sa rozpočtuje suma 146 mil. eur.</w:t>
      </w:r>
      <w:r w:rsidRPr="00F711A7">
        <w:rPr>
          <w:rFonts w:ascii="Times New Roman" w:hAnsi="Times New Roman"/>
          <w:sz w:val="24"/>
          <w:szCs w:val="24"/>
        </w:rPr>
        <w:t xml:space="preserve"> </w:t>
      </w:r>
    </w:p>
    <w:p w:rsidR="00AA17E3" w:rsidRPr="00F711A7" w:rsidRDefault="00AA17E3" w:rsidP="00AA17E3">
      <w:pPr>
        <w:spacing w:after="0"/>
        <w:jc w:val="both"/>
        <w:rPr>
          <w:rFonts w:ascii="Times New Roman" w:hAnsi="Times New Roman"/>
          <w:sz w:val="24"/>
          <w:szCs w:val="24"/>
        </w:rPr>
      </w:pPr>
    </w:p>
    <w:p w:rsidR="00AA17E3" w:rsidRDefault="00AA17E3" w:rsidP="00AA17E3">
      <w:pPr>
        <w:spacing w:after="0"/>
        <w:jc w:val="both"/>
        <w:rPr>
          <w:rFonts w:ascii="Times New Roman" w:hAnsi="Times New Roman"/>
          <w:sz w:val="24"/>
          <w:szCs w:val="24"/>
        </w:rPr>
      </w:pPr>
      <w:r w:rsidRPr="00F711A7">
        <w:rPr>
          <w:rFonts w:ascii="Times New Roman" w:hAnsi="Times New Roman"/>
          <w:sz w:val="24"/>
          <w:szCs w:val="24"/>
        </w:rPr>
        <w:t xml:space="preserve">Nad rámec rozpočtovaných zdrojov v oblasti bezpečnosti (pre PZ a HaZZ) je povinný odvod vo výške 8 % výberu z povinného zmluvného poistenia (ďalej len PZP) motorových vozidiel za predchádzajúci rok. Prostriedky rozdelí </w:t>
      </w:r>
      <w:r w:rsidRPr="00FC0931">
        <w:rPr>
          <w:rFonts w:ascii="Times New Roman" w:hAnsi="Times New Roman"/>
          <w:sz w:val="24"/>
          <w:szCs w:val="24"/>
        </w:rPr>
        <w:t>Ministerstv</w:t>
      </w:r>
      <w:r>
        <w:rPr>
          <w:rFonts w:ascii="Times New Roman" w:hAnsi="Times New Roman"/>
          <w:sz w:val="24"/>
          <w:szCs w:val="24"/>
        </w:rPr>
        <w:t>o</w:t>
      </w:r>
      <w:r w:rsidRPr="00FC0931">
        <w:rPr>
          <w:rFonts w:ascii="Times New Roman" w:hAnsi="Times New Roman"/>
          <w:sz w:val="24"/>
          <w:szCs w:val="24"/>
        </w:rPr>
        <w:t xml:space="preserve"> vnútra </w:t>
      </w:r>
      <w:r w:rsidRPr="00F711A7">
        <w:rPr>
          <w:rFonts w:ascii="Times New Roman" w:hAnsi="Times New Roman"/>
          <w:sz w:val="24"/>
          <w:szCs w:val="24"/>
        </w:rPr>
        <w:t>SR po prerokovaní s</w:t>
      </w:r>
      <w:r>
        <w:rPr>
          <w:rFonts w:ascii="Times New Roman" w:hAnsi="Times New Roman"/>
          <w:sz w:val="24"/>
          <w:szCs w:val="24"/>
        </w:rPr>
        <w:t> </w:t>
      </w:r>
      <w:r w:rsidRPr="00F711A7">
        <w:rPr>
          <w:rFonts w:ascii="Times New Roman" w:hAnsi="Times New Roman"/>
          <w:sz w:val="24"/>
          <w:szCs w:val="24"/>
        </w:rPr>
        <w:t>M</w:t>
      </w:r>
      <w:r>
        <w:rPr>
          <w:rFonts w:ascii="Times New Roman" w:hAnsi="Times New Roman"/>
          <w:sz w:val="24"/>
          <w:szCs w:val="24"/>
        </w:rPr>
        <w:t>inisterstvom financií</w:t>
      </w:r>
      <w:r w:rsidRPr="00F711A7">
        <w:rPr>
          <w:rFonts w:ascii="Times New Roman" w:hAnsi="Times New Roman"/>
          <w:sz w:val="24"/>
          <w:szCs w:val="24"/>
        </w:rPr>
        <w:t xml:space="preserve"> SR hasi</w:t>
      </w:r>
      <w:r w:rsidRPr="00F711A7">
        <w:rPr>
          <w:rFonts w:ascii="Times New Roman" w:hAnsi="Times New Roman" w:hint="eastAsia"/>
          <w:sz w:val="24"/>
          <w:szCs w:val="24"/>
        </w:rPr>
        <w:t>č</w:t>
      </w:r>
      <w:r w:rsidRPr="00F711A7">
        <w:rPr>
          <w:rFonts w:ascii="Times New Roman" w:hAnsi="Times New Roman"/>
          <w:sz w:val="24"/>
          <w:szCs w:val="24"/>
        </w:rPr>
        <w:t>ským jednotkám na úhradu nákladov spojených s obstaraním materiálno-technického vybavenia, jeho údržbou a s prevádzkovaním a zložkám ministerstva vnútra na úhradu nákladov spojených s obstaraním technických prostriedkov potrebných na plnenie úloh súvisiacich s výkonom doh</w:t>
      </w:r>
      <w:r w:rsidRPr="00F711A7">
        <w:rPr>
          <w:rFonts w:ascii="Times New Roman" w:hAnsi="Times New Roman" w:hint="eastAsia"/>
          <w:sz w:val="24"/>
          <w:szCs w:val="24"/>
        </w:rPr>
        <w:t>ľ</w:t>
      </w:r>
      <w:r w:rsidRPr="00F711A7">
        <w:rPr>
          <w:rFonts w:ascii="Times New Roman" w:hAnsi="Times New Roman"/>
          <w:sz w:val="24"/>
          <w:szCs w:val="24"/>
        </w:rPr>
        <w:t>adu nad bezpe</w:t>
      </w:r>
      <w:r w:rsidRPr="00F711A7">
        <w:rPr>
          <w:rFonts w:ascii="Times New Roman" w:hAnsi="Times New Roman" w:hint="eastAsia"/>
          <w:sz w:val="24"/>
          <w:szCs w:val="24"/>
        </w:rPr>
        <w:t>č</w:t>
      </w:r>
      <w:r w:rsidRPr="00F711A7">
        <w:rPr>
          <w:rFonts w:ascii="Times New Roman" w:hAnsi="Times New Roman"/>
          <w:sz w:val="24"/>
          <w:szCs w:val="24"/>
        </w:rPr>
        <w:t>nos</w:t>
      </w:r>
      <w:r w:rsidRPr="00F711A7">
        <w:rPr>
          <w:rFonts w:ascii="Times New Roman" w:hAnsi="Times New Roman" w:hint="eastAsia"/>
          <w:sz w:val="24"/>
          <w:szCs w:val="24"/>
        </w:rPr>
        <w:t>ť</w:t>
      </w:r>
      <w:r w:rsidRPr="00F711A7">
        <w:rPr>
          <w:rFonts w:ascii="Times New Roman" w:hAnsi="Times New Roman"/>
          <w:sz w:val="24"/>
          <w:szCs w:val="24"/>
        </w:rPr>
        <w:t>ou a plynulos</w:t>
      </w:r>
      <w:r w:rsidRPr="00F711A7">
        <w:rPr>
          <w:rFonts w:ascii="Times New Roman" w:hAnsi="Times New Roman" w:hint="eastAsia"/>
          <w:sz w:val="24"/>
          <w:szCs w:val="24"/>
        </w:rPr>
        <w:t>ť</w:t>
      </w:r>
      <w:r w:rsidRPr="00F711A7">
        <w:rPr>
          <w:rFonts w:ascii="Times New Roman" w:hAnsi="Times New Roman"/>
          <w:sz w:val="24"/>
          <w:szCs w:val="24"/>
        </w:rPr>
        <w:t xml:space="preserve">ou cestnej premávky, </w:t>
      </w:r>
      <w:r w:rsidR="002F3ABA">
        <w:rPr>
          <w:rFonts w:ascii="Times New Roman" w:hAnsi="Times New Roman"/>
          <w:sz w:val="24"/>
          <w:szCs w:val="24"/>
        </w:rPr>
        <w:t xml:space="preserve">s </w:t>
      </w:r>
      <w:r w:rsidRPr="00F711A7">
        <w:rPr>
          <w:rFonts w:ascii="Times New Roman" w:hAnsi="Times New Roman"/>
          <w:sz w:val="24"/>
          <w:szCs w:val="24"/>
        </w:rPr>
        <w:t>objas</w:t>
      </w:r>
      <w:r w:rsidRPr="00F711A7">
        <w:rPr>
          <w:rFonts w:ascii="Times New Roman" w:hAnsi="Times New Roman" w:hint="eastAsia"/>
          <w:sz w:val="24"/>
          <w:szCs w:val="24"/>
        </w:rPr>
        <w:t>ň</w:t>
      </w:r>
      <w:r w:rsidR="002F3ABA">
        <w:rPr>
          <w:rFonts w:ascii="Times New Roman" w:hAnsi="Times New Roman"/>
          <w:sz w:val="24"/>
          <w:szCs w:val="24"/>
        </w:rPr>
        <w:t>ovaním</w:t>
      </w:r>
      <w:r w:rsidRPr="00F711A7">
        <w:rPr>
          <w:rFonts w:ascii="Times New Roman" w:hAnsi="Times New Roman"/>
          <w:sz w:val="24"/>
          <w:szCs w:val="24"/>
        </w:rPr>
        <w:t xml:space="preserve"> prí</w:t>
      </w:r>
      <w:r w:rsidRPr="00F711A7">
        <w:rPr>
          <w:rFonts w:ascii="Times New Roman" w:hAnsi="Times New Roman" w:hint="eastAsia"/>
          <w:sz w:val="24"/>
          <w:szCs w:val="24"/>
        </w:rPr>
        <w:t>č</w:t>
      </w:r>
      <w:r w:rsidRPr="00F711A7">
        <w:rPr>
          <w:rFonts w:ascii="Times New Roman" w:hAnsi="Times New Roman"/>
          <w:sz w:val="24"/>
          <w:szCs w:val="24"/>
        </w:rPr>
        <w:t>in nehôd v cestnej doprave, s výstavbou a vybavením koordina</w:t>
      </w:r>
      <w:r w:rsidRPr="00F711A7">
        <w:rPr>
          <w:rFonts w:ascii="Times New Roman" w:hAnsi="Times New Roman" w:hint="eastAsia"/>
          <w:sz w:val="24"/>
          <w:szCs w:val="24"/>
        </w:rPr>
        <w:t>č</w:t>
      </w:r>
      <w:r w:rsidRPr="00F711A7">
        <w:rPr>
          <w:rFonts w:ascii="Times New Roman" w:hAnsi="Times New Roman"/>
          <w:sz w:val="24"/>
          <w:szCs w:val="24"/>
        </w:rPr>
        <w:t>ných stredísk integrovaného záchranného systému a opera</w:t>
      </w:r>
      <w:r w:rsidRPr="00F711A7">
        <w:rPr>
          <w:rFonts w:ascii="Times New Roman" w:hAnsi="Times New Roman" w:hint="eastAsia"/>
          <w:sz w:val="24"/>
          <w:szCs w:val="24"/>
        </w:rPr>
        <w:t>č</w:t>
      </w:r>
      <w:r w:rsidRPr="00F711A7">
        <w:rPr>
          <w:rFonts w:ascii="Times New Roman" w:hAnsi="Times New Roman"/>
          <w:sz w:val="24"/>
          <w:szCs w:val="24"/>
        </w:rPr>
        <w:t>ných stredísk ties</w:t>
      </w:r>
      <w:r w:rsidRPr="00F711A7">
        <w:rPr>
          <w:rFonts w:ascii="Times New Roman" w:hAnsi="Times New Roman" w:hint="eastAsia"/>
          <w:sz w:val="24"/>
          <w:szCs w:val="24"/>
        </w:rPr>
        <w:t>ň</w:t>
      </w:r>
      <w:r w:rsidRPr="00F711A7">
        <w:rPr>
          <w:rFonts w:ascii="Times New Roman" w:hAnsi="Times New Roman"/>
          <w:sz w:val="24"/>
          <w:szCs w:val="24"/>
        </w:rPr>
        <w:t>ového volania a s výstavbou a obstaraním technického vybavenia opera</w:t>
      </w:r>
      <w:r w:rsidRPr="00F711A7">
        <w:rPr>
          <w:rFonts w:ascii="Times New Roman" w:hAnsi="Times New Roman" w:hint="eastAsia"/>
          <w:sz w:val="24"/>
          <w:szCs w:val="24"/>
        </w:rPr>
        <w:t>č</w:t>
      </w:r>
      <w:r w:rsidRPr="00F711A7">
        <w:rPr>
          <w:rFonts w:ascii="Times New Roman" w:hAnsi="Times New Roman"/>
          <w:sz w:val="24"/>
          <w:szCs w:val="24"/>
        </w:rPr>
        <w:t>ných stredísk ties</w:t>
      </w:r>
      <w:r w:rsidRPr="00F711A7">
        <w:rPr>
          <w:rFonts w:ascii="Times New Roman" w:hAnsi="Times New Roman" w:hint="eastAsia"/>
          <w:sz w:val="24"/>
          <w:szCs w:val="24"/>
        </w:rPr>
        <w:t>ň</w:t>
      </w:r>
      <w:r w:rsidRPr="00F711A7">
        <w:rPr>
          <w:rFonts w:ascii="Times New Roman" w:hAnsi="Times New Roman"/>
          <w:sz w:val="24"/>
          <w:szCs w:val="24"/>
        </w:rPr>
        <w:t>ového volania záchrannej zdravotnej služby.</w:t>
      </w:r>
    </w:p>
    <w:p w:rsidR="00AA17E3" w:rsidRPr="006748AF" w:rsidRDefault="00AA17E3" w:rsidP="00AA17E3">
      <w:pPr>
        <w:spacing w:after="0"/>
        <w:jc w:val="both"/>
        <w:rPr>
          <w:rFonts w:ascii="Times New Roman" w:hAnsi="Times New Roman"/>
        </w:rPr>
      </w:pPr>
    </w:p>
    <w:tbl>
      <w:tblPr>
        <w:tblpPr w:leftFromText="141" w:rightFromText="141" w:vertAnchor="text" w:horzAnchor="margin" w:tblpY="305"/>
        <w:tblW w:w="5000" w:type="pct"/>
        <w:tblLayout w:type="fixed"/>
        <w:tblCellMar>
          <w:left w:w="70" w:type="dxa"/>
          <w:right w:w="70" w:type="dxa"/>
        </w:tblCellMar>
        <w:tblLook w:val="04A0" w:firstRow="1" w:lastRow="0" w:firstColumn="1" w:lastColumn="0" w:noHBand="0" w:noVBand="1"/>
      </w:tblPr>
      <w:tblGrid>
        <w:gridCol w:w="2552"/>
        <w:gridCol w:w="930"/>
        <w:gridCol w:w="931"/>
        <w:gridCol w:w="933"/>
        <w:gridCol w:w="931"/>
        <w:gridCol w:w="933"/>
        <w:gridCol w:w="931"/>
        <w:gridCol w:w="931"/>
      </w:tblGrid>
      <w:tr w:rsidR="00AA17E3" w:rsidRPr="00877462" w:rsidTr="00AA17E3">
        <w:trPr>
          <w:trHeight w:val="261"/>
        </w:trPr>
        <w:tc>
          <w:tcPr>
            <w:tcW w:w="1407" w:type="pct"/>
            <w:tcBorders>
              <w:top w:val="single" w:sz="4" w:space="0" w:color="auto"/>
              <w:bottom w:val="single" w:sz="4" w:space="0" w:color="auto"/>
            </w:tcBorders>
            <w:shd w:val="clear" w:color="auto" w:fill="auto"/>
            <w:noWrap/>
            <w:vAlign w:val="center"/>
          </w:tcPr>
          <w:p w:rsidR="00AA17E3" w:rsidRPr="00257A31" w:rsidRDefault="00AA17E3" w:rsidP="00AA17E3">
            <w:pPr>
              <w:rPr>
                <w:rFonts w:ascii="Times New Roman" w:hAnsi="Times New Roman"/>
                <w:b/>
                <w:sz w:val="16"/>
                <w:szCs w:val="16"/>
              </w:rPr>
            </w:pPr>
            <w:r w:rsidRPr="00257A31">
              <w:rPr>
                <w:rFonts w:ascii="Times New Roman" w:hAnsi="Times New Roman"/>
                <w:b/>
                <w:sz w:val="16"/>
                <w:szCs w:val="16"/>
              </w:rPr>
              <w:t>v tis. eur</w:t>
            </w:r>
          </w:p>
        </w:tc>
        <w:tc>
          <w:tcPr>
            <w:tcW w:w="513" w:type="pct"/>
            <w:tcBorders>
              <w:top w:val="single" w:sz="4" w:space="0" w:color="auto"/>
              <w:bottom w:val="single" w:sz="4" w:space="0" w:color="auto"/>
            </w:tcBorders>
            <w:shd w:val="clear" w:color="auto" w:fill="auto"/>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201</w:t>
            </w:r>
            <w:r>
              <w:rPr>
                <w:rFonts w:ascii="Times New Roman" w:hAnsi="Times New Roman"/>
                <w:b/>
                <w:bCs/>
                <w:color w:val="000000"/>
                <w:sz w:val="16"/>
                <w:szCs w:val="16"/>
              </w:rPr>
              <w:t>9</w:t>
            </w:r>
            <w:r w:rsidRPr="00257A31">
              <w:rPr>
                <w:rFonts w:ascii="Times New Roman" w:hAnsi="Times New Roman"/>
                <w:b/>
                <w:bCs/>
                <w:color w:val="000000"/>
                <w:sz w:val="16"/>
                <w:szCs w:val="16"/>
              </w:rPr>
              <w:t xml:space="preserve"> S</w:t>
            </w:r>
          </w:p>
        </w:tc>
        <w:tc>
          <w:tcPr>
            <w:tcW w:w="513"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highlight w:val="yellow"/>
              </w:rPr>
            </w:pPr>
            <w:r w:rsidRPr="00257A31">
              <w:rPr>
                <w:rFonts w:ascii="Times New Roman" w:hAnsi="Times New Roman"/>
                <w:b/>
                <w:bCs/>
                <w:color w:val="000000"/>
                <w:sz w:val="16"/>
                <w:szCs w:val="16"/>
              </w:rPr>
              <w:t>20</w:t>
            </w:r>
            <w:r>
              <w:rPr>
                <w:rFonts w:ascii="Times New Roman" w:hAnsi="Times New Roman"/>
                <w:b/>
                <w:bCs/>
                <w:color w:val="000000"/>
                <w:sz w:val="16"/>
                <w:szCs w:val="16"/>
              </w:rPr>
              <w:t>20</w:t>
            </w:r>
            <w:r w:rsidRPr="00257A31">
              <w:rPr>
                <w:rFonts w:ascii="Times New Roman" w:hAnsi="Times New Roman"/>
                <w:b/>
                <w:bCs/>
                <w:color w:val="000000"/>
                <w:sz w:val="16"/>
                <w:szCs w:val="16"/>
              </w:rPr>
              <w:t xml:space="preserve"> S </w:t>
            </w:r>
          </w:p>
        </w:tc>
        <w:tc>
          <w:tcPr>
            <w:tcW w:w="514"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R</w:t>
            </w:r>
          </w:p>
        </w:tc>
        <w:tc>
          <w:tcPr>
            <w:tcW w:w="513" w:type="pct"/>
            <w:tcBorders>
              <w:top w:val="single" w:sz="4" w:space="0" w:color="auto"/>
              <w:bottom w:val="single" w:sz="4" w:space="0" w:color="auto"/>
            </w:tcBorders>
            <w:shd w:val="clear" w:color="auto" w:fill="auto"/>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OS</w:t>
            </w:r>
          </w:p>
        </w:tc>
        <w:tc>
          <w:tcPr>
            <w:tcW w:w="514"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w:t>
            </w:r>
            <w:r>
              <w:rPr>
                <w:rFonts w:ascii="Times New Roman" w:hAnsi="Times New Roman"/>
                <w:b/>
                <w:bCs/>
                <w:color w:val="000000"/>
                <w:sz w:val="16"/>
                <w:szCs w:val="16"/>
              </w:rPr>
              <w:t>022</w:t>
            </w:r>
            <w:r w:rsidRPr="00257A31">
              <w:rPr>
                <w:rFonts w:ascii="Times New Roman" w:hAnsi="Times New Roman"/>
                <w:b/>
                <w:bCs/>
                <w:color w:val="000000"/>
                <w:sz w:val="16"/>
                <w:szCs w:val="16"/>
              </w:rPr>
              <w:t xml:space="preserve"> N</w:t>
            </w:r>
          </w:p>
        </w:tc>
        <w:tc>
          <w:tcPr>
            <w:tcW w:w="513"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3</w:t>
            </w:r>
            <w:r w:rsidRPr="00257A31">
              <w:rPr>
                <w:rFonts w:ascii="Times New Roman" w:hAnsi="Times New Roman"/>
                <w:b/>
                <w:bCs/>
                <w:color w:val="000000"/>
                <w:sz w:val="16"/>
                <w:szCs w:val="16"/>
              </w:rPr>
              <w:t xml:space="preserve"> N</w:t>
            </w:r>
          </w:p>
        </w:tc>
        <w:tc>
          <w:tcPr>
            <w:tcW w:w="513"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4</w:t>
            </w:r>
            <w:r w:rsidRPr="00257A31">
              <w:rPr>
                <w:rFonts w:ascii="Times New Roman" w:hAnsi="Times New Roman"/>
                <w:b/>
                <w:bCs/>
                <w:color w:val="000000"/>
                <w:sz w:val="16"/>
                <w:szCs w:val="16"/>
              </w:rPr>
              <w:t xml:space="preserve"> N</w:t>
            </w:r>
          </w:p>
        </w:tc>
      </w:tr>
      <w:tr w:rsidR="00AA17E3" w:rsidRPr="00877462" w:rsidTr="00AA17E3">
        <w:trPr>
          <w:trHeight w:val="261"/>
        </w:trPr>
        <w:tc>
          <w:tcPr>
            <w:tcW w:w="1407" w:type="pct"/>
            <w:shd w:val="clear" w:color="auto" w:fill="auto"/>
            <w:vAlign w:val="bottom"/>
          </w:tcPr>
          <w:p w:rsidR="00AA17E3" w:rsidRPr="005003D0" w:rsidRDefault="00AA17E3" w:rsidP="00AA17E3">
            <w:pPr>
              <w:rPr>
                <w:rFonts w:ascii="Times New Roman" w:hAnsi="Times New Roman"/>
                <w:sz w:val="16"/>
                <w:szCs w:val="16"/>
              </w:rPr>
            </w:pPr>
            <w:r>
              <w:rPr>
                <w:rFonts w:ascii="Times New Roman" w:hAnsi="Times New Roman"/>
                <w:sz w:val="16"/>
                <w:szCs w:val="16"/>
              </w:rPr>
              <w:t>Príjmy</w:t>
            </w:r>
          </w:p>
        </w:tc>
        <w:tc>
          <w:tcPr>
            <w:tcW w:w="513" w:type="pct"/>
            <w:shd w:val="clear" w:color="auto" w:fill="auto"/>
            <w:noWrap/>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28 464</w:t>
            </w:r>
          </w:p>
        </w:tc>
        <w:tc>
          <w:tcPr>
            <w:tcW w:w="513" w:type="pct"/>
            <w:shd w:val="clear" w:color="auto" w:fill="auto"/>
            <w:noWrap/>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30 018</w:t>
            </w:r>
          </w:p>
        </w:tc>
        <w:tc>
          <w:tcPr>
            <w:tcW w:w="514" w:type="pct"/>
            <w:shd w:val="clear" w:color="auto" w:fill="auto"/>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27 994</w:t>
            </w:r>
          </w:p>
        </w:tc>
        <w:tc>
          <w:tcPr>
            <w:tcW w:w="513" w:type="pct"/>
            <w:shd w:val="clear" w:color="auto" w:fill="auto"/>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31 120</w:t>
            </w:r>
          </w:p>
        </w:tc>
        <w:tc>
          <w:tcPr>
            <w:tcW w:w="514" w:type="pct"/>
            <w:shd w:val="clear" w:color="auto" w:fill="auto"/>
            <w:vAlign w:val="bottom"/>
          </w:tcPr>
          <w:p w:rsidR="00AA17E3" w:rsidRPr="005003D0" w:rsidRDefault="00AA17E3" w:rsidP="00AA17E3">
            <w:pPr>
              <w:autoSpaceDE w:val="0"/>
              <w:autoSpaceDN w:val="0"/>
              <w:adjustRightInd w:val="0"/>
              <w:jc w:val="right"/>
              <w:rPr>
                <w:rFonts w:ascii="Times New Roman" w:hAnsi="Times New Roman"/>
                <w:sz w:val="16"/>
                <w:szCs w:val="16"/>
              </w:rPr>
            </w:pPr>
            <w:r>
              <w:rPr>
                <w:rFonts w:ascii="Times New Roman" w:hAnsi="Times New Roman"/>
                <w:sz w:val="16"/>
                <w:szCs w:val="16"/>
              </w:rPr>
              <w:t>33 190</w:t>
            </w:r>
          </w:p>
        </w:tc>
        <w:tc>
          <w:tcPr>
            <w:tcW w:w="513" w:type="pct"/>
            <w:shd w:val="clear" w:color="auto" w:fill="auto"/>
            <w:vAlign w:val="bottom"/>
          </w:tcPr>
          <w:p w:rsidR="00AA17E3" w:rsidRPr="005003D0" w:rsidRDefault="00AA17E3" w:rsidP="00AA17E3">
            <w:pPr>
              <w:autoSpaceDE w:val="0"/>
              <w:autoSpaceDN w:val="0"/>
              <w:adjustRightInd w:val="0"/>
              <w:jc w:val="right"/>
              <w:rPr>
                <w:rFonts w:ascii="Times New Roman" w:hAnsi="Times New Roman"/>
                <w:sz w:val="16"/>
                <w:szCs w:val="16"/>
              </w:rPr>
            </w:pPr>
            <w:r>
              <w:rPr>
                <w:rFonts w:ascii="Times New Roman" w:hAnsi="Times New Roman"/>
                <w:sz w:val="16"/>
                <w:szCs w:val="16"/>
              </w:rPr>
              <w:t>35 579</w:t>
            </w:r>
          </w:p>
        </w:tc>
        <w:tc>
          <w:tcPr>
            <w:tcW w:w="513" w:type="pct"/>
            <w:shd w:val="clear" w:color="auto" w:fill="auto"/>
            <w:vAlign w:val="bottom"/>
          </w:tcPr>
          <w:p w:rsidR="00AA17E3" w:rsidRPr="005003D0" w:rsidRDefault="00AA17E3" w:rsidP="00AA17E3">
            <w:pPr>
              <w:autoSpaceDE w:val="0"/>
              <w:autoSpaceDN w:val="0"/>
              <w:adjustRightInd w:val="0"/>
              <w:jc w:val="right"/>
              <w:rPr>
                <w:rFonts w:ascii="Times New Roman" w:hAnsi="Times New Roman"/>
                <w:sz w:val="16"/>
                <w:szCs w:val="16"/>
              </w:rPr>
            </w:pPr>
            <w:r>
              <w:rPr>
                <w:rFonts w:ascii="Times New Roman" w:hAnsi="Times New Roman"/>
                <w:sz w:val="16"/>
                <w:szCs w:val="16"/>
              </w:rPr>
              <w:t>38 431</w:t>
            </w:r>
          </w:p>
        </w:tc>
      </w:tr>
      <w:tr w:rsidR="00AA17E3" w:rsidRPr="00877462" w:rsidTr="00AA17E3">
        <w:trPr>
          <w:trHeight w:val="261"/>
        </w:trPr>
        <w:tc>
          <w:tcPr>
            <w:tcW w:w="1407" w:type="pct"/>
            <w:tcBorders>
              <w:bottom w:val="single" w:sz="4" w:space="0" w:color="auto"/>
            </w:tcBorders>
            <w:shd w:val="clear" w:color="auto" w:fill="auto"/>
            <w:vAlign w:val="bottom"/>
          </w:tcPr>
          <w:p w:rsidR="00AA17E3" w:rsidRPr="005003D0" w:rsidRDefault="00AA17E3" w:rsidP="00AA17E3">
            <w:pPr>
              <w:rPr>
                <w:rFonts w:ascii="Times New Roman" w:hAnsi="Times New Roman"/>
                <w:sz w:val="16"/>
                <w:szCs w:val="16"/>
              </w:rPr>
            </w:pPr>
            <w:r w:rsidRPr="005003D0">
              <w:rPr>
                <w:rFonts w:ascii="Times New Roman" w:hAnsi="Times New Roman"/>
                <w:sz w:val="16"/>
                <w:szCs w:val="16"/>
              </w:rPr>
              <w:t xml:space="preserve">Výdavky </w:t>
            </w:r>
          </w:p>
        </w:tc>
        <w:tc>
          <w:tcPr>
            <w:tcW w:w="513" w:type="pct"/>
            <w:tcBorders>
              <w:bottom w:val="single" w:sz="4" w:space="0" w:color="auto"/>
            </w:tcBorders>
            <w:shd w:val="clear" w:color="auto" w:fill="auto"/>
            <w:noWrap/>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25 525</w:t>
            </w:r>
          </w:p>
        </w:tc>
        <w:tc>
          <w:tcPr>
            <w:tcW w:w="513" w:type="pct"/>
            <w:tcBorders>
              <w:bottom w:val="single" w:sz="4" w:space="0" w:color="auto"/>
            </w:tcBorders>
            <w:shd w:val="clear" w:color="auto" w:fill="auto"/>
            <w:noWrap/>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30 018</w:t>
            </w:r>
          </w:p>
        </w:tc>
        <w:tc>
          <w:tcPr>
            <w:tcW w:w="514" w:type="pct"/>
            <w:tcBorders>
              <w:bottom w:val="single" w:sz="4" w:space="0" w:color="auto"/>
            </w:tcBorders>
            <w:shd w:val="clear" w:color="auto" w:fill="auto"/>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0</w:t>
            </w:r>
          </w:p>
        </w:tc>
        <w:tc>
          <w:tcPr>
            <w:tcW w:w="513" w:type="pct"/>
            <w:tcBorders>
              <w:bottom w:val="single" w:sz="4" w:space="0" w:color="auto"/>
            </w:tcBorders>
            <w:shd w:val="clear" w:color="auto" w:fill="auto"/>
            <w:vAlign w:val="bottom"/>
          </w:tcPr>
          <w:p w:rsidR="00AA17E3" w:rsidRPr="005003D0" w:rsidRDefault="00AA17E3" w:rsidP="00AA17E3">
            <w:pPr>
              <w:jc w:val="right"/>
              <w:rPr>
                <w:rFonts w:ascii="Times New Roman" w:eastAsia="Calibri" w:hAnsi="Times New Roman"/>
                <w:sz w:val="16"/>
                <w:szCs w:val="16"/>
              </w:rPr>
            </w:pPr>
            <w:r>
              <w:rPr>
                <w:rFonts w:ascii="Times New Roman" w:eastAsia="Calibri" w:hAnsi="Times New Roman"/>
                <w:sz w:val="16"/>
                <w:szCs w:val="16"/>
              </w:rPr>
              <w:t>26 566</w:t>
            </w:r>
          </w:p>
        </w:tc>
        <w:tc>
          <w:tcPr>
            <w:tcW w:w="514" w:type="pct"/>
            <w:tcBorders>
              <w:bottom w:val="single" w:sz="4" w:space="0" w:color="auto"/>
            </w:tcBorders>
            <w:shd w:val="clear" w:color="auto" w:fill="auto"/>
            <w:vAlign w:val="bottom"/>
          </w:tcPr>
          <w:p w:rsidR="00AA17E3" w:rsidRPr="005003D0" w:rsidRDefault="00AA17E3" w:rsidP="00AA17E3">
            <w:pPr>
              <w:jc w:val="right"/>
              <w:rPr>
                <w:rFonts w:ascii="Times New Roman" w:hAnsi="Times New Roman"/>
                <w:sz w:val="16"/>
                <w:szCs w:val="16"/>
              </w:rPr>
            </w:pPr>
            <w:r>
              <w:rPr>
                <w:rFonts w:ascii="Times New Roman" w:hAnsi="Times New Roman"/>
                <w:sz w:val="16"/>
                <w:szCs w:val="16"/>
              </w:rPr>
              <w:t>33 190</w:t>
            </w:r>
          </w:p>
        </w:tc>
        <w:tc>
          <w:tcPr>
            <w:tcW w:w="513" w:type="pct"/>
            <w:tcBorders>
              <w:bottom w:val="single" w:sz="4" w:space="0" w:color="auto"/>
            </w:tcBorders>
            <w:shd w:val="clear" w:color="auto" w:fill="auto"/>
            <w:vAlign w:val="bottom"/>
          </w:tcPr>
          <w:p w:rsidR="00AA17E3" w:rsidRPr="005003D0" w:rsidRDefault="00AA17E3" w:rsidP="00AA17E3">
            <w:pPr>
              <w:jc w:val="right"/>
              <w:rPr>
                <w:rFonts w:ascii="Times New Roman" w:hAnsi="Times New Roman"/>
                <w:sz w:val="16"/>
                <w:szCs w:val="16"/>
              </w:rPr>
            </w:pPr>
            <w:r>
              <w:rPr>
                <w:rFonts w:ascii="Times New Roman" w:hAnsi="Times New Roman"/>
                <w:sz w:val="16"/>
                <w:szCs w:val="16"/>
              </w:rPr>
              <w:t>35 579</w:t>
            </w:r>
          </w:p>
        </w:tc>
        <w:tc>
          <w:tcPr>
            <w:tcW w:w="513" w:type="pct"/>
            <w:tcBorders>
              <w:bottom w:val="single" w:sz="4" w:space="0" w:color="auto"/>
            </w:tcBorders>
            <w:shd w:val="clear" w:color="auto" w:fill="auto"/>
            <w:vAlign w:val="bottom"/>
          </w:tcPr>
          <w:p w:rsidR="00AA17E3" w:rsidRPr="005003D0" w:rsidRDefault="00AA17E3" w:rsidP="00AA17E3">
            <w:pPr>
              <w:jc w:val="right"/>
              <w:rPr>
                <w:rFonts w:ascii="Times New Roman" w:hAnsi="Times New Roman"/>
                <w:sz w:val="16"/>
                <w:szCs w:val="16"/>
              </w:rPr>
            </w:pPr>
            <w:r>
              <w:rPr>
                <w:rFonts w:ascii="Times New Roman" w:hAnsi="Times New Roman"/>
                <w:sz w:val="16"/>
                <w:szCs w:val="16"/>
              </w:rPr>
              <w:t>38 431</w:t>
            </w:r>
          </w:p>
        </w:tc>
      </w:tr>
    </w:tbl>
    <w:p w:rsidR="00AA17E3" w:rsidRPr="008D7238" w:rsidRDefault="00AA17E3" w:rsidP="00716683">
      <w:pPr>
        <w:pStyle w:val="Popis"/>
        <w:keepNext/>
        <w:spacing w:after="0"/>
        <w:rPr>
          <w:rFonts w:ascii="Times New Roman" w:hAnsi="Times New Roman"/>
          <w:b/>
          <w:i w:val="0"/>
          <w:sz w:val="20"/>
          <w:szCs w:val="20"/>
        </w:rPr>
      </w:pPr>
      <w:bookmarkStart w:id="413" w:name="_Toc53054822"/>
      <w:bookmarkStart w:id="414" w:name="_Toc53078014"/>
      <w:bookmarkStart w:id="415" w:name="_Toc53086416"/>
      <w:bookmarkStart w:id="416" w:name="_Toc84528440"/>
      <w:bookmarkStart w:id="417" w:name="_Toc84845317"/>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93</w:t>
      </w:r>
      <w:r w:rsidRPr="002C35FD">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sidRPr="009C3AE2">
        <w:rPr>
          <w:rFonts w:ascii="Times New Roman" w:hAnsi="Times New Roman"/>
          <w:b/>
          <w:i w:val="0"/>
          <w:color w:val="5B9BD5" w:themeColor="accent1"/>
          <w:sz w:val="20"/>
          <w:szCs w:val="20"/>
        </w:rPr>
        <w:t>– Účet z odvodu poistného z PZP motorových vozidiel</w:t>
      </w:r>
      <w:bookmarkEnd w:id="413"/>
      <w:bookmarkEnd w:id="414"/>
      <w:bookmarkEnd w:id="415"/>
      <w:bookmarkEnd w:id="416"/>
      <w:bookmarkEnd w:id="417"/>
    </w:p>
    <w:p w:rsidR="00AA17E3" w:rsidRPr="002B16FD" w:rsidRDefault="00AA17E3" w:rsidP="009224A5">
      <w:pPr>
        <w:spacing w:after="0"/>
        <w:jc w:val="both"/>
        <w:rPr>
          <w:rFonts w:ascii="Times New Roman" w:hAnsi="Times New Roman"/>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MF SR</w:t>
      </w:r>
    </w:p>
    <w:p w:rsidR="009224A5" w:rsidRDefault="009224A5" w:rsidP="009224A5">
      <w:pPr>
        <w:spacing w:after="0"/>
        <w:jc w:val="both"/>
        <w:rPr>
          <w:rFonts w:ascii="Times New Roman" w:hAnsi="Times New Roman"/>
          <w:sz w:val="24"/>
          <w:szCs w:val="24"/>
        </w:rPr>
      </w:pPr>
    </w:p>
    <w:p w:rsidR="00AA17E3" w:rsidRPr="00D46564" w:rsidRDefault="00AA17E3" w:rsidP="009224A5">
      <w:pPr>
        <w:spacing w:after="0"/>
        <w:jc w:val="both"/>
        <w:rPr>
          <w:rFonts w:ascii="Times New Roman" w:hAnsi="Times New Roman"/>
          <w:sz w:val="24"/>
          <w:szCs w:val="24"/>
        </w:rPr>
      </w:pPr>
      <w:r w:rsidRPr="00D46564">
        <w:rPr>
          <w:rFonts w:ascii="Times New Roman" w:hAnsi="Times New Roman"/>
          <w:sz w:val="24"/>
          <w:szCs w:val="24"/>
        </w:rPr>
        <w:t xml:space="preserve">Rozpočet pre kapitolu Národný bezpečnostný úrad SR umožní finančne zabezpečiť plnenie úloh na úseku ochrany utajovaných informácií, riadenia a podpory programov, dôveryhodných služieb, kybernetickej bezpečnosti, technickej spôsobilosti informačných technológií a v medzirezortnom programe Informačné technológie financované zo štátneho rozpočtu. Výdavky na rok 2022 sa rozpočtujú v sume 12,8 mil. eur. Úrad je zriaďovateľom príspevkovej organizácie Kompetenčné a certifikačné centrum kybernetickej bezpečnosti. </w:t>
      </w:r>
    </w:p>
    <w:p w:rsidR="00AA17E3" w:rsidRPr="00D46564" w:rsidRDefault="00AA17E3" w:rsidP="00AA17E3">
      <w:pPr>
        <w:spacing w:after="0"/>
        <w:jc w:val="both"/>
        <w:rPr>
          <w:rFonts w:ascii="Times New Roman" w:hAnsi="Times New Roman"/>
          <w:sz w:val="24"/>
          <w:szCs w:val="24"/>
        </w:rPr>
      </w:pPr>
    </w:p>
    <w:p w:rsidR="00AA17E3" w:rsidRDefault="00AA17E3" w:rsidP="00AA17E3">
      <w:pPr>
        <w:spacing w:after="0"/>
        <w:jc w:val="both"/>
        <w:rPr>
          <w:rFonts w:ascii="Times New Roman" w:hAnsi="Times New Roman"/>
          <w:sz w:val="24"/>
          <w:szCs w:val="24"/>
        </w:rPr>
      </w:pPr>
      <w:r w:rsidRPr="00D46564">
        <w:rPr>
          <w:rFonts w:ascii="Times New Roman" w:hAnsi="Times New Roman"/>
          <w:sz w:val="24"/>
          <w:szCs w:val="24"/>
        </w:rPr>
        <w:t>Rozpočet výdavkov kapitoly Slovenská informačná služba v sume 64,0 mil. eur zabezpečí krytie bežných prevádzkových výdavkov súvisiacich s hlavnou činnosťou kapitoly a kapitálových výdavkov určených na modernizáciu informačných a komunikačných technológií Slovenskej informačnej služby.</w:t>
      </w:r>
    </w:p>
    <w:p w:rsidR="00AA17E3" w:rsidRPr="00F711A7" w:rsidRDefault="00AA17E3" w:rsidP="00AA17E3">
      <w:pPr>
        <w:spacing w:after="0"/>
        <w:jc w:val="both"/>
        <w:rPr>
          <w:rFonts w:ascii="Times New Roman" w:hAnsi="Times New Roman"/>
          <w:sz w:val="24"/>
          <w:szCs w:val="24"/>
        </w:rPr>
      </w:pPr>
    </w:p>
    <w:p w:rsidR="00AA17E3" w:rsidRDefault="00AA17E3" w:rsidP="00AA17E3">
      <w:pPr>
        <w:spacing w:after="0"/>
        <w:jc w:val="both"/>
        <w:rPr>
          <w:rFonts w:ascii="Times New Roman" w:hAnsi="Times New Roman"/>
          <w:b/>
          <w:color w:val="5B9BD5" w:themeColor="accent1"/>
          <w:sz w:val="24"/>
          <w:szCs w:val="24"/>
        </w:rPr>
      </w:pPr>
      <w:r w:rsidRPr="00F711A7">
        <w:rPr>
          <w:rFonts w:ascii="Times New Roman" w:hAnsi="Times New Roman"/>
          <w:b/>
          <w:color w:val="5B9BD5" w:themeColor="accent1"/>
          <w:sz w:val="24"/>
          <w:szCs w:val="24"/>
        </w:rPr>
        <w:t>Väzenstvo</w:t>
      </w:r>
    </w:p>
    <w:p w:rsidR="00756EC8" w:rsidRPr="00F711A7" w:rsidRDefault="00756EC8" w:rsidP="00AA17E3">
      <w:pPr>
        <w:spacing w:after="0"/>
        <w:jc w:val="both"/>
        <w:rPr>
          <w:rFonts w:ascii="Times New Roman" w:hAnsi="Times New Roman"/>
          <w:sz w:val="24"/>
          <w:szCs w:val="24"/>
        </w:rPr>
      </w:pPr>
    </w:p>
    <w:p w:rsidR="00AA17E3" w:rsidRPr="00FC1207" w:rsidRDefault="00AA17E3" w:rsidP="00AA17E3">
      <w:pPr>
        <w:spacing w:after="0"/>
        <w:jc w:val="both"/>
        <w:rPr>
          <w:rFonts w:ascii="Times New Roman" w:hAnsi="Times New Roman"/>
          <w:sz w:val="24"/>
          <w:szCs w:val="24"/>
        </w:rPr>
      </w:pPr>
      <w:r w:rsidRPr="00FC1207">
        <w:rPr>
          <w:rFonts w:ascii="Times New Roman" w:hAnsi="Times New Roman"/>
          <w:sz w:val="24"/>
          <w:szCs w:val="24"/>
        </w:rPr>
        <w:t>Väzenstvo na Slovensku je podmienené dynamikou rastu počtu obvinených a odsúdených, a s tým súvisiacou ochranou a strážením ústavov a záväzkom, ktorý prijala vláda SR schválením Koncepcie väzenstva, ako reakciu na Správu o výsledkoch druhej periodickej návštevy SR delegáciou Európskeho výboru na zabránenie mučenia a neľudského či ponižujúceho zaobchádzania alebo trestania, cieľom ktorej je prispôsobovanie podmienok vo väzenstve podmienkam vytvoreným vo vyspelých európskych štátoch.</w:t>
      </w:r>
    </w:p>
    <w:p w:rsidR="00AA17E3" w:rsidRPr="00FC1207" w:rsidRDefault="00AA17E3" w:rsidP="00AA17E3">
      <w:pPr>
        <w:spacing w:after="0"/>
        <w:jc w:val="both"/>
        <w:rPr>
          <w:rFonts w:ascii="Times New Roman" w:hAnsi="Times New Roman"/>
          <w:sz w:val="24"/>
          <w:szCs w:val="24"/>
        </w:rPr>
      </w:pPr>
    </w:p>
    <w:p w:rsidR="00AA17E3" w:rsidRDefault="00AA17E3" w:rsidP="00AA17E3">
      <w:pPr>
        <w:spacing w:after="0"/>
        <w:jc w:val="both"/>
        <w:rPr>
          <w:rFonts w:ascii="Times New Roman" w:hAnsi="Times New Roman"/>
          <w:sz w:val="24"/>
          <w:szCs w:val="24"/>
        </w:rPr>
      </w:pPr>
      <w:r w:rsidRPr="00FC1207">
        <w:rPr>
          <w:rFonts w:ascii="Times New Roman" w:hAnsi="Times New Roman"/>
          <w:sz w:val="24"/>
          <w:szCs w:val="24"/>
        </w:rPr>
        <w:t xml:space="preserve">Pre väzenstvo sa v roku 2022 zabezpečujú výdavky na energie, pracovné odevy a potraviny. Zvyšuje sa príplatok zdravotníckym pracovníkom ZVJS, ako aj príspevok na bývanie a rizikový príplatok. Valorizujú sa pracovné odmeny obvinených a odsúdených. Od roku 2022 sa zabezpečuje platba za dostupnosť pre PPP Rimavská Sobota-Sabová v súlade s uznesením vlády SR č. 97/2018 v sume 2,50 mil. eur. </w:t>
      </w:r>
    </w:p>
    <w:p w:rsidR="00AA17E3" w:rsidRPr="00FC1207" w:rsidRDefault="00AA17E3" w:rsidP="00AA17E3">
      <w:pPr>
        <w:spacing w:after="0"/>
        <w:jc w:val="both"/>
        <w:rPr>
          <w:rFonts w:ascii="Times New Roman" w:hAnsi="Times New Roman"/>
          <w:sz w:val="24"/>
          <w:szCs w:val="24"/>
        </w:rPr>
      </w:pPr>
    </w:p>
    <w:p w:rsidR="00AA17E3" w:rsidRDefault="00AA17E3" w:rsidP="00AA17E3">
      <w:pPr>
        <w:spacing w:after="0"/>
        <w:jc w:val="both"/>
        <w:rPr>
          <w:rFonts w:ascii="Times New Roman" w:hAnsi="Times New Roman"/>
          <w:sz w:val="24"/>
          <w:szCs w:val="24"/>
        </w:rPr>
      </w:pPr>
      <w:r>
        <w:rPr>
          <w:rFonts w:ascii="Times New Roman" w:hAnsi="Times New Roman"/>
          <w:sz w:val="24"/>
          <w:szCs w:val="24"/>
        </w:rPr>
        <w:t>Od roku 2</w:t>
      </w:r>
      <w:r w:rsidRPr="00FC1207">
        <w:rPr>
          <w:rFonts w:ascii="Times New Roman" w:hAnsi="Times New Roman"/>
          <w:sz w:val="24"/>
          <w:szCs w:val="24"/>
        </w:rPr>
        <w:t>022</w:t>
      </w:r>
      <w:r>
        <w:rPr>
          <w:rFonts w:ascii="Times New Roman" w:hAnsi="Times New Roman"/>
          <w:sz w:val="24"/>
          <w:szCs w:val="24"/>
        </w:rPr>
        <w:t xml:space="preserve"> neuvažuje ZVJS, že bude potrebná dotácia na osobitný účet a výdavky budú plne kryté príjmami.</w:t>
      </w:r>
    </w:p>
    <w:p w:rsidR="00AA17E3" w:rsidRPr="00F711A7" w:rsidRDefault="00AA17E3" w:rsidP="00AA17E3">
      <w:pPr>
        <w:spacing w:after="0"/>
        <w:jc w:val="both"/>
        <w:rPr>
          <w:rFonts w:ascii="Times New Roman" w:hAnsi="Times New Roman"/>
          <w:sz w:val="24"/>
          <w:szCs w:val="24"/>
        </w:rPr>
      </w:pPr>
    </w:p>
    <w:tbl>
      <w:tblPr>
        <w:tblpPr w:leftFromText="141" w:rightFromText="141" w:vertAnchor="text" w:horzAnchor="margin" w:tblpY="276"/>
        <w:tblW w:w="5000" w:type="pct"/>
        <w:tblCellMar>
          <w:left w:w="70" w:type="dxa"/>
          <w:right w:w="70" w:type="dxa"/>
        </w:tblCellMar>
        <w:tblLook w:val="04A0" w:firstRow="1" w:lastRow="0" w:firstColumn="1" w:lastColumn="0" w:noHBand="0" w:noVBand="1"/>
      </w:tblPr>
      <w:tblGrid>
        <w:gridCol w:w="2504"/>
        <w:gridCol w:w="940"/>
        <w:gridCol w:w="938"/>
        <w:gridCol w:w="938"/>
        <w:gridCol w:w="938"/>
        <w:gridCol w:w="938"/>
        <w:gridCol w:w="938"/>
        <w:gridCol w:w="938"/>
      </w:tblGrid>
      <w:tr w:rsidR="00AA17E3" w:rsidRPr="00582AE9" w:rsidTr="00AA17E3">
        <w:trPr>
          <w:trHeight w:val="261"/>
        </w:trPr>
        <w:tc>
          <w:tcPr>
            <w:tcW w:w="1380" w:type="pct"/>
            <w:tcBorders>
              <w:top w:val="single" w:sz="4" w:space="0" w:color="auto"/>
              <w:bottom w:val="single" w:sz="4" w:space="0" w:color="auto"/>
            </w:tcBorders>
            <w:shd w:val="clear" w:color="auto" w:fill="auto"/>
            <w:noWrap/>
            <w:vAlign w:val="bottom"/>
            <w:hideMark/>
          </w:tcPr>
          <w:p w:rsidR="00AA17E3" w:rsidRPr="00DF3749" w:rsidRDefault="00AA17E3" w:rsidP="00AA17E3">
            <w:pPr>
              <w:rPr>
                <w:rFonts w:ascii="Times New Roman" w:hAnsi="Times New Roman"/>
                <w:b/>
                <w:color w:val="000000"/>
                <w:sz w:val="16"/>
                <w:szCs w:val="16"/>
              </w:rPr>
            </w:pPr>
            <w:r w:rsidRPr="00DF3749">
              <w:rPr>
                <w:rFonts w:ascii="Times New Roman" w:hAnsi="Times New Roman"/>
                <w:b/>
                <w:color w:val="000000"/>
                <w:sz w:val="16"/>
                <w:szCs w:val="16"/>
              </w:rPr>
              <w:t>v tis. eur</w:t>
            </w:r>
          </w:p>
        </w:tc>
        <w:tc>
          <w:tcPr>
            <w:tcW w:w="518"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2019 S</w:t>
            </w:r>
          </w:p>
        </w:tc>
        <w:tc>
          <w:tcPr>
            <w:tcW w:w="51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2020 S</w:t>
            </w:r>
          </w:p>
        </w:tc>
        <w:tc>
          <w:tcPr>
            <w:tcW w:w="51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2021</w:t>
            </w:r>
          </w:p>
        </w:tc>
        <w:tc>
          <w:tcPr>
            <w:tcW w:w="51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2021 OS</w:t>
            </w:r>
          </w:p>
        </w:tc>
        <w:tc>
          <w:tcPr>
            <w:tcW w:w="51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2022 N</w:t>
            </w:r>
          </w:p>
        </w:tc>
        <w:tc>
          <w:tcPr>
            <w:tcW w:w="51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2023 N</w:t>
            </w:r>
          </w:p>
        </w:tc>
        <w:tc>
          <w:tcPr>
            <w:tcW w:w="51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2024 N</w:t>
            </w:r>
          </w:p>
        </w:tc>
      </w:tr>
      <w:tr w:rsidR="00AA17E3" w:rsidRPr="00582AE9" w:rsidTr="00AA17E3">
        <w:trPr>
          <w:trHeight w:val="261"/>
        </w:trPr>
        <w:tc>
          <w:tcPr>
            <w:tcW w:w="1380" w:type="pct"/>
            <w:tcBorders>
              <w:top w:val="single" w:sz="4" w:space="0" w:color="auto"/>
            </w:tcBorders>
            <w:shd w:val="clear" w:color="auto" w:fill="auto"/>
            <w:noWrap/>
            <w:vAlign w:val="bottom"/>
            <w:hideMark/>
          </w:tcPr>
          <w:p w:rsidR="00AA17E3" w:rsidRPr="005003D0" w:rsidRDefault="00AA17E3" w:rsidP="00AA17E3">
            <w:pPr>
              <w:rPr>
                <w:rFonts w:ascii="Times New Roman" w:hAnsi="Times New Roman"/>
                <w:b/>
                <w:bCs/>
                <w:color w:val="000000"/>
                <w:sz w:val="16"/>
                <w:szCs w:val="16"/>
              </w:rPr>
            </w:pPr>
            <w:r>
              <w:rPr>
                <w:rFonts w:ascii="Times New Roman" w:hAnsi="Times New Roman"/>
                <w:b/>
                <w:bCs/>
                <w:color w:val="000000"/>
                <w:sz w:val="16"/>
                <w:szCs w:val="16"/>
              </w:rPr>
              <w:t>Väzenstvo</w:t>
            </w:r>
          </w:p>
        </w:tc>
        <w:tc>
          <w:tcPr>
            <w:tcW w:w="518" w:type="pct"/>
            <w:tcBorders>
              <w:top w:val="nil"/>
              <w:left w:val="nil"/>
              <w:bottom w:val="nil"/>
              <w:right w:val="nil"/>
            </w:tcBorders>
            <w:shd w:val="clear" w:color="auto" w:fill="auto"/>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w:t>
            </w:r>
            <w:r>
              <w:rPr>
                <w:rFonts w:ascii="Times New Roman" w:hAnsi="Times New Roman"/>
                <w:b/>
                <w:color w:val="000000"/>
                <w:sz w:val="16"/>
                <w:szCs w:val="16"/>
              </w:rPr>
              <w:t>77 457</w:t>
            </w:r>
          </w:p>
        </w:tc>
        <w:tc>
          <w:tcPr>
            <w:tcW w:w="517" w:type="pct"/>
            <w:tcBorders>
              <w:top w:val="nil"/>
              <w:left w:val="nil"/>
              <w:bottom w:val="nil"/>
              <w:right w:val="nil"/>
            </w:tcBorders>
            <w:shd w:val="clear" w:color="auto" w:fill="auto"/>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w:t>
            </w:r>
            <w:r>
              <w:rPr>
                <w:rFonts w:ascii="Times New Roman" w:hAnsi="Times New Roman"/>
                <w:b/>
                <w:color w:val="000000"/>
                <w:sz w:val="16"/>
                <w:szCs w:val="16"/>
              </w:rPr>
              <w:t>70 447</w:t>
            </w:r>
          </w:p>
        </w:tc>
        <w:tc>
          <w:tcPr>
            <w:tcW w:w="517" w:type="pct"/>
            <w:tcBorders>
              <w:top w:val="nil"/>
              <w:left w:val="nil"/>
              <w:bottom w:val="nil"/>
              <w:right w:val="nil"/>
            </w:tcBorders>
            <w:shd w:val="clear" w:color="auto" w:fill="auto"/>
            <w:noWrap/>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25</w:t>
            </w:r>
            <w:r>
              <w:rPr>
                <w:rFonts w:ascii="Times New Roman" w:hAnsi="Times New Roman"/>
                <w:b/>
                <w:color w:val="000000"/>
                <w:sz w:val="16"/>
                <w:szCs w:val="16"/>
              </w:rPr>
              <w:t>6 863</w:t>
            </w:r>
          </w:p>
        </w:tc>
        <w:tc>
          <w:tcPr>
            <w:tcW w:w="517" w:type="pct"/>
            <w:tcBorders>
              <w:top w:val="nil"/>
              <w:left w:val="nil"/>
              <w:bottom w:val="nil"/>
              <w:right w:val="nil"/>
            </w:tcBorders>
            <w:shd w:val="clear" w:color="auto" w:fill="auto"/>
            <w:noWrap/>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282 163</w:t>
            </w:r>
          </w:p>
        </w:tc>
        <w:tc>
          <w:tcPr>
            <w:tcW w:w="517" w:type="pct"/>
            <w:tcBorders>
              <w:top w:val="nil"/>
              <w:left w:val="nil"/>
              <w:bottom w:val="nil"/>
              <w:right w:val="nil"/>
            </w:tcBorders>
            <w:shd w:val="clear" w:color="auto" w:fill="auto"/>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w:t>
            </w:r>
            <w:r>
              <w:rPr>
                <w:rFonts w:ascii="Times New Roman" w:hAnsi="Times New Roman"/>
                <w:b/>
                <w:color w:val="000000"/>
                <w:sz w:val="16"/>
                <w:szCs w:val="16"/>
              </w:rPr>
              <w:t>85 081</w:t>
            </w:r>
          </w:p>
        </w:tc>
        <w:tc>
          <w:tcPr>
            <w:tcW w:w="517" w:type="pct"/>
            <w:tcBorders>
              <w:top w:val="nil"/>
              <w:left w:val="nil"/>
              <w:bottom w:val="nil"/>
              <w:right w:val="nil"/>
            </w:tcBorders>
            <w:shd w:val="clear" w:color="auto" w:fill="auto"/>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w:t>
            </w:r>
            <w:r>
              <w:rPr>
                <w:rFonts w:ascii="Times New Roman" w:hAnsi="Times New Roman"/>
                <w:b/>
                <w:color w:val="000000"/>
                <w:sz w:val="16"/>
                <w:szCs w:val="16"/>
              </w:rPr>
              <w:t>90 409</w:t>
            </w:r>
          </w:p>
        </w:tc>
        <w:tc>
          <w:tcPr>
            <w:tcW w:w="517" w:type="pct"/>
            <w:tcBorders>
              <w:top w:val="nil"/>
              <w:left w:val="nil"/>
              <w:bottom w:val="nil"/>
              <w:right w:val="nil"/>
            </w:tcBorders>
            <w:shd w:val="clear" w:color="auto" w:fill="auto"/>
            <w:vAlign w:val="bottom"/>
          </w:tcPr>
          <w:p w:rsidR="00AA17E3" w:rsidRPr="00FC1207" w:rsidRDefault="00AA17E3" w:rsidP="00AA17E3">
            <w:pPr>
              <w:jc w:val="right"/>
              <w:rPr>
                <w:rFonts w:ascii="Times New Roman" w:hAnsi="Times New Roman"/>
                <w:b/>
                <w:bCs/>
                <w:color w:val="000000"/>
                <w:sz w:val="16"/>
                <w:szCs w:val="16"/>
              </w:rPr>
            </w:pPr>
            <w:r w:rsidRPr="00FC1207">
              <w:rPr>
                <w:rFonts w:ascii="Times New Roman" w:hAnsi="Times New Roman"/>
                <w:b/>
                <w:color w:val="000000"/>
                <w:sz w:val="16"/>
                <w:szCs w:val="16"/>
              </w:rPr>
              <w:t>29</w:t>
            </w:r>
            <w:r>
              <w:rPr>
                <w:rFonts w:ascii="Times New Roman" w:hAnsi="Times New Roman"/>
                <w:b/>
                <w:color w:val="000000"/>
                <w:sz w:val="16"/>
                <w:szCs w:val="16"/>
              </w:rPr>
              <w:t>4 932</w:t>
            </w:r>
          </w:p>
        </w:tc>
      </w:tr>
      <w:tr w:rsidR="00AA17E3" w:rsidRPr="00582AE9" w:rsidTr="00AA17E3">
        <w:trPr>
          <w:trHeight w:val="261"/>
        </w:trPr>
        <w:tc>
          <w:tcPr>
            <w:tcW w:w="1380" w:type="pct"/>
            <w:shd w:val="clear" w:color="auto" w:fill="auto"/>
            <w:noWrap/>
            <w:vAlign w:val="bottom"/>
          </w:tcPr>
          <w:p w:rsidR="00AA17E3" w:rsidRPr="009D6B50" w:rsidRDefault="00AA17E3" w:rsidP="00AA17E3">
            <w:pPr>
              <w:rPr>
                <w:rFonts w:ascii="Times New Roman" w:hAnsi="Times New Roman"/>
                <w:color w:val="000000"/>
                <w:sz w:val="16"/>
                <w:szCs w:val="16"/>
              </w:rPr>
            </w:pPr>
            <w:r>
              <w:rPr>
                <w:rFonts w:ascii="Times New Roman" w:hAnsi="Times New Roman"/>
                <w:color w:val="000000"/>
                <w:sz w:val="16"/>
                <w:szCs w:val="16"/>
              </w:rPr>
              <w:t>výdavky ŠR na väzenstvo</w:t>
            </w:r>
          </w:p>
        </w:tc>
        <w:tc>
          <w:tcPr>
            <w:tcW w:w="518" w:type="pct"/>
            <w:shd w:val="clear" w:color="auto" w:fill="auto"/>
            <w:noWrap/>
            <w:vAlign w:val="bottom"/>
          </w:tcPr>
          <w:p w:rsidR="00AA17E3" w:rsidRPr="00FC1207" w:rsidRDefault="00AA17E3" w:rsidP="00AA17E3">
            <w:pPr>
              <w:jc w:val="right"/>
              <w:rPr>
                <w:rFonts w:ascii="Times New Roman" w:hAnsi="Times New Roman"/>
                <w:color w:val="000000"/>
                <w:sz w:val="16"/>
                <w:szCs w:val="16"/>
              </w:rPr>
            </w:pPr>
            <w:r>
              <w:rPr>
                <w:rFonts w:ascii="Times New Roman" w:hAnsi="Times New Roman"/>
                <w:bCs/>
                <w:color w:val="000000"/>
                <w:sz w:val="16"/>
                <w:szCs w:val="16"/>
              </w:rPr>
              <w:t>238 291</w:t>
            </w:r>
          </w:p>
        </w:tc>
        <w:tc>
          <w:tcPr>
            <w:tcW w:w="517" w:type="pct"/>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bCs/>
                <w:color w:val="000000"/>
                <w:sz w:val="16"/>
                <w:szCs w:val="16"/>
              </w:rPr>
              <w:t>2</w:t>
            </w:r>
            <w:r>
              <w:rPr>
                <w:rFonts w:ascii="Times New Roman" w:hAnsi="Times New Roman"/>
                <w:bCs/>
                <w:color w:val="000000"/>
                <w:sz w:val="16"/>
                <w:szCs w:val="16"/>
              </w:rPr>
              <w:t>31 717</w:t>
            </w:r>
          </w:p>
        </w:tc>
        <w:tc>
          <w:tcPr>
            <w:tcW w:w="517" w:type="pct"/>
            <w:shd w:val="clear" w:color="auto" w:fill="auto"/>
            <w:noWrap/>
            <w:vAlign w:val="bottom"/>
          </w:tcPr>
          <w:p w:rsidR="00AA17E3" w:rsidRPr="00EC681B" w:rsidRDefault="00AA17E3" w:rsidP="00AA17E3">
            <w:pPr>
              <w:jc w:val="right"/>
              <w:rPr>
                <w:rFonts w:ascii="Times New Roman" w:hAnsi="Times New Roman"/>
                <w:color w:val="000000"/>
                <w:sz w:val="16"/>
                <w:szCs w:val="16"/>
                <w:highlight w:val="green"/>
              </w:rPr>
            </w:pPr>
            <w:r w:rsidRPr="008879A1">
              <w:rPr>
                <w:rFonts w:ascii="Times New Roman" w:hAnsi="Times New Roman"/>
                <w:bCs/>
                <w:color w:val="000000"/>
                <w:sz w:val="16"/>
                <w:szCs w:val="16"/>
              </w:rPr>
              <w:t>215 814</w:t>
            </w:r>
          </w:p>
        </w:tc>
        <w:tc>
          <w:tcPr>
            <w:tcW w:w="517" w:type="pct"/>
            <w:shd w:val="clear" w:color="auto" w:fill="auto"/>
            <w:noWrap/>
            <w:vAlign w:val="bottom"/>
          </w:tcPr>
          <w:p w:rsidR="00AA17E3" w:rsidRPr="00EC681B" w:rsidRDefault="00AA17E3" w:rsidP="00AA17E3">
            <w:pPr>
              <w:jc w:val="right"/>
              <w:rPr>
                <w:rFonts w:ascii="Times New Roman" w:hAnsi="Times New Roman"/>
                <w:color w:val="000000"/>
                <w:sz w:val="16"/>
                <w:szCs w:val="16"/>
                <w:highlight w:val="green"/>
              </w:rPr>
            </w:pPr>
            <w:r w:rsidRPr="008879A1">
              <w:rPr>
                <w:rFonts w:ascii="Times New Roman" w:hAnsi="Times New Roman"/>
                <w:bCs/>
                <w:color w:val="000000"/>
                <w:sz w:val="16"/>
                <w:szCs w:val="16"/>
              </w:rPr>
              <w:t>241 114</w:t>
            </w:r>
          </w:p>
        </w:tc>
        <w:tc>
          <w:tcPr>
            <w:tcW w:w="517" w:type="pct"/>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bCs/>
                <w:color w:val="000000"/>
                <w:sz w:val="16"/>
                <w:szCs w:val="16"/>
              </w:rPr>
              <w:t>2</w:t>
            </w:r>
            <w:r>
              <w:rPr>
                <w:rFonts w:ascii="Times New Roman" w:hAnsi="Times New Roman"/>
                <w:bCs/>
                <w:color w:val="000000"/>
                <w:sz w:val="16"/>
                <w:szCs w:val="16"/>
              </w:rPr>
              <w:t>32 855</w:t>
            </w:r>
          </w:p>
        </w:tc>
        <w:tc>
          <w:tcPr>
            <w:tcW w:w="517" w:type="pct"/>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bCs/>
                <w:color w:val="000000"/>
                <w:sz w:val="16"/>
                <w:szCs w:val="16"/>
              </w:rPr>
              <w:t>2</w:t>
            </w:r>
            <w:r>
              <w:rPr>
                <w:rFonts w:ascii="Times New Roman" w:hAnsi="Times New Roman"/>
                <w:bCs/>
                <w:color w:val="000000"/>
                <w:sz w:val="16"/>
                <w:szCs w:val="16"/>
              </w:rPr>
              <w:t>40 373</w:t>
            </w:r>
          </w:p>
        </w:tc>
        <w:tc>
          <w:tcPr>
            <w:tcW w:w="517" w:type="pct"/>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bCs/>
                <w:color w:val="000000"/>
                <w:sz w:val="16"/>
                <w:szCs w:val="16"/>
              </w:rPr>
              <w:t>2</w:t>
            </w:r>
            <w:r>
              <w:rPr>
                <w:rFonts w:ascii="Times New Roman" w:hAnsi="Times New Roman"/>
                <w:bCs/>
                <w:color w:val="000000"/>
                <w:sz w:val="16"/>
                <w:szCs w:val="16"/>
              </w:rPr>
              <w:t>40 373</w:t>
            </w:r>
          </w:p>
        </w:tc>
      </w:tr>
      <w:tr w:rsidR="00AA17E3" w:rsidRPr="00582AE9" w:rsidTr="00AA17E3">
        <w:trPr>
          <w:trHeight w:val="261"/>
        </w:trPr>
        <w:tc>
          <w:tcPr>
            <w:tcW w:w="1380" w:type="pct"/>
            <w:tcBorders>
              <w:bottom w:val="single" w:sz="4" w:space="0" w:color="auto"/>
            </w:tcBorders>
            <w:shd w:val="clear" w:color="auto" w:fill="auto"/>
            <w:noWrap/>
            <w:vAlign w:val="bottom"/>
          </w:tcPr>
          <w:p w:rsidR="00AA17E3" w:rsidRPr="005003D0" w:rsidRDefault="00AA17E3" w:rsidP="00AA17E3">
            <w:pPr>
              <w:rPr>
                <w:rFonts w:ascii="Times New Roman" w:hAnsi="Times New Roman"/>
                <w:color w:val="000000"/>
                <w:sz w:val="16"/>
                <w:szCs w:val="16"/>
              </w:rPr>
            </w:pPr>
            <w:r w:rsidRPr="009D6B50">
              <w:rPr>
                <w:rFonts w:ascii="Times New Roman" w:hAnsi="Times New Roman"/>
                <w:color w:val="000000"/>
                <w:sz w:val="16"/>
                <w:szCs w:val="16"/>
              </w:rPr>
              <w:t>výdavky osobitného ú</w:t>
            </w:r>
            <w:r w:rsidRPr="009D6B50">
              <w:rPr>
                <w:rFonts w:ascii="Times New Roman" w:hAnsi="Times New Roman" w:hint="eastAsia"/>
                <w:color w:val="000000"/>
                <w:sz w:val="16"/>
                <w:szCs w:val="16"/>
              </w:rPr>
              <w:t>č</w:t>
            </w:r>
            <w:r w:rsidRPr="009D6B50">
              <w:rPr>
                <w:rFonts w:ascii="Times New Roman" w:hAnsi="Times New Roman"/>
                <w:color w:val="000000"/>
                <w:sz w:val="16"/>
                <w:szCs w:val="16"/>
              </w:rPr>
              <w:t>tu</w:t>
            </w:r>
          </w:p>
        </w:tc>
        <w:tc>
          <w:tcPr>
            <w:tcW w:w="518"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39 166</w:t>
            </w:r>
          </w:p>
        </w:tc>
        <w:tc>
          <w:tcPr>
            <w:tcW w:w="517"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38 730</w:t>
            </w:r>
          </w:p>
        </w:tc>
        <w:tc>
          <w:tcPr>
            <w:tcW w:w="517"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41 049</w:t>
            </w:r>
          </w:p>
        </w:tc>
        <w:tc>
          <w:tcPr>
            <w:tcW w:w="517"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41 049</w:t>
            </w:r>
          </w:p>
        </w:tc>
        <w:tc>
          <w:tcPr>
            <w:tcW w:w="517"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49 226</w:t>
            </w:r>
          </w:p>
        </w:tc>
        <w:tc>
          <w:tcPr>
            <w:tcW w:w="517"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50 036</w:t>
            </w:r>
          </w:p>
        </w:tc>
        <w:tc>
          <w:tcPr>
            <w:tcW w:w="517" w:type="pct"/>
            <w:tcBorders>
              <w:bottom w:val="single" w:sz="4" w:space="0" w:color="auto"/>
            </w:tcBorders>
            <w:shd w:val="clear" w:color="auto" w:fill="auto"/>
            <w:noWrap/>
            <w:vAlign w:val="bottom"/>
          </w:tcPr>
          <w:p w:rsidR="00AA17E3" w:rsidRPr="00FC1207" w:rsidRDefault="00AA17E3" w:rsidP="00AA17E3">
            <w:pPr>
              <w:jc w:val="right"/>
              <w:rPr>
                <w:rFonts w:ascii="Times New Roman" w:hAnsi="Times New Roman"/>
                <w:color w:val="000000"/>
                <w:sz w:val="16"/>
                <w:szCs w:val="16"/>
              </w:rPr>
            </w:pPr>
            <w:r w:rsidRPr="00FC1207">
              <w:rPr>
                <w:rFonts w:ascii="Times New Roman" w:hAnsi="Times New Roman"/>
                <w:color w:val="000000"/>
                <w:sz w:val="16"/>
                <w:szCs w:val="16"/>
              </w:rPr>
              <w:t>54 559</w:t>
            </w:r>
          </w:p>
        </w:tc>
      </w:tr>
    </w:tbl>
    <w:p w:rsidR="00AA17E3" w:rsidRPr="007C2F50" w:rsidRDefault="00AA17E3" w:rsidP="00AA17E3">
      <w:pPr>
        <w:pStyle w:val="Popis"/>
        <w:keepNext/>
        <w:rPr>
          <w:rFonts w:ascii="Times New Roman" w:hAnsi="Times New Roman"/>
          <w:b/>
          <w:i w:val="0"/>
          <w:sz w:val="20"/>
          <w:szCs w:val="20"/>
        </w:rPr>
      </w:pPr>
      <w:bookmarkStart w:id="418" w:name="_Toc53054823"/>
      <w:bookmarkStart w:id="419" w:name="_Toc53078015"/>
      <w:bookmarkStart w:id="420" w:name="_Toc53086417"/>
      <w:bookmarkStart w:id="421" w:name="_Toc84528441"/>
      <w:bookmarkStart w:id="422" w:name="_Toc84845318"/>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94</w:t>
      </w:r>
      <w:r w:rsidRPr="002C35FD">
        <w:rPr>
          <w:rFonts w:ascii="Times New Roman" w:hAnsi="Times New Roman" w:cs="Times New Roman"/>
          <w:b/>
          <w:i w:val="0"/>
          <w:color w:val="5B9BD5" w:themeColor="accent1"/>
          <w:sz w:val="20"/>
          <w:szCs w:val="20"/>
        </w:rPr>
        <w:fldChar w:fldCharType="end"/>
      </w:r>
      <w:r w:rsidR="00804037">
        <w:rPr>
          <w:rFonts w:ascii="Times New Roman" w:hAnsi="Times New Roman" w:cs="Times New Roman"/>
          <w:b/>
          <w:i w:val="0"/>
          <w:color w:val="5B9BD5" w:themeColor="accent1"/>
          <w:sz w:val="20"/>
          <w:szCs w:val="20"/>
        </w:rPr>
        <w:t xml:space="preserve"> </w:t>
      </w:r>
      <w:r w:rsidR="00E50BA2">
        <w:rPr>
          <w:rFonts w:ascii="Times New Roman" w:hAnsi="Times New Roman"/>
          <w:b/>
          <w:i w:val="0"/>
          <w:color w:val="5B9BD5" w:themeColor="accent1"/>
          <w:sz w:val="20"/>
          <w:szCs w:val="20"/>
        </w:rPr>
        <w:t>–</w:t>
      </w:r>
      <w:r w:rsidRPr="009C3AE2">
        <w:rPr>
          <w:rFonts w:ascii="Times New Roman" w:hAnsi="Times New Roman"/>
          <w:b/>
          <w:i w:val="0"/>
          <w:color w:val="5B9BD5" w:themeColor="accent1"/>
          <w:sz w:val="20"/>
          <w:szCs w:val="20"/>
        </w:rPr>
        <w:t xml:space="preserve"> </w:t>
      </w:r>
      <w:r w:rsidR="00E50BA2">
        <w:rPr>
          <w:rFonts w:ascii="Times New Roman" w:hAnsi="Times New Roman"/>
          <w:b/>
          <w:i w:val="0"/>
          <w:color w:val="5B9BD5" w:themeColor="accent1"/>
          <w:sz w:val="20"/>
          <w:szCs w:val="20"/>
        </w:rPr>
        <w:t>Výdavky na v</w:t>
      </w:r>
      <w:r w:rsidRPr="009C3AE2">
        <w:rPr>
          <w:rFonts w:ascii="Times New Roman" w:hAnsi="Times New Roman"/>
          <w:b/>
          <w:i w:val="0"/>
          <w:color w:val="5B9BD5" w:themeColor="accent1"/>
          <w:sz w:val="20"/>
          <w:szCs w:val="20"/>
        </w:rPr>
        <w:t>äzenstvo</w:t>
      </w:r>
      <w:bookmarkEnd w:id="418"/>
      <w:bookmarkEnd w:id="419"/>
      <w:bookmarkEnd w:id="420"/>
      <w:bookmarkEnd w:id="421"/>
      <w:bookmarkEnd w:id="422"/>
    </w:p>
    <w:p w:rsidR="00AA17E3" w:rsidRPr="00AA343C" w:rsidRDefault="00AA17E3" w:rsidP="009224A5">
      <w:pPr>
        <w:spacing w:after="0"/>
        <w:ind w:firstLine="708"/>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9224A5" w:rsidRDefault="009224A5" w:rsidP="009224A5">
      <w:pPr>
        <w:spacing w:after="0"/>
        <w:jc w:val="both"/>
        <w:rPr>
          <w:rFonts w:ascii="Times New Roman" w:hAnsi="Times New Roman"/>
          <w:sz w:val="24"/>
          <w:szCs w:val="24"/>
        </w:rPr>
      </w:pPr>
    </w:p>
    <w:p w:rsidR="009224A5" w:rsidRPr="00F711A7" w:rsidRDefault="00AA17E3" w:rsidP="00AA17E3">
      <w:pPr>
        <w:spacing w:after="0"/>
        <w:jc w:val="both"/>
        <w:rPr>
          <w:rFonts w:ascii="Times New Roman" w:hAnsi="Times New Roman"/>
          <w:sz w:val="24"/>
          <w:szCs w:val="24"/>
        </w:rPr>
      </w:pPr>
      <w:r w:rsidRPr="00CD2235">
        <w:rPr>
          <w:rFonts w:ascii="Times New Roman" w:hAnsi="Times New Roman"/>
          <w:sz w:val="24"/>
          <w:szCs w:val="24"/>
        </w:rPr>
        <w:t xml:space="preserve">V ústavoch na výkon väzby a v ústavoch na výkon trestu odňatia slobody bolo k 8. septembru 2021 umiestnených </w:t>
      </w:r>
      <w:r w:rsidRPr="00CD2235">
        <w:rPr>
          <w:rFonts w:ascii="Times New Roman" w:hAnsi="Times New Roman"/>
          <w:bCs/>
          <w:sz w:val="24"/>
          <w:szCs w:val="24"/>
        </w:rPr>
        <w:t>spolu 10 317 osôb,</w:t>
      </w:r>
      <w:r w:rsidRPr="00CD2235">
        <w:rPr>
          <w:rFonts w:ascii="Times New Roman" w:hAnsi="Times New Roman"/>
          <w:sz w:val="24"/>
          <w:szCs w:val="24"/>
        </w:rPr>
        <w:t xml:space="preserve"> z toho 1 492 obvinených a 8 825 odsúdených.</w:t>
      </w:r>
    </w:p>
    <w:tbl>
      <w:tblPr>
        <w:tblpPr w:leftFromText="141" w:rightFromText="141" w:vertAnchor="text" w:tblpY="294"/>
        <w:tblW w:w="5000" w:type="pct"/>
        <w:tblCellMar>
          <w:left w:w="70" w:type="dxa"/>
          <w:right w:w="70" w:type="dxa"/>
        </w:tblCellMar>
        <w:tblLook w:val="04A0" w:firstRow="1" w:lastRow="0" w:firstColumn="1" w:lastColumn="0" w:noHBand="0" w:noVBand="1"/>
      </w:tblPr>
      <w:tblGrid>
        <w:gridCol w:w="2835"/>
        <w:gridCol w:w="811"/>
        <w:gridCol w:w="20"/>
        <w:gridCol w:w="878"/>
        <w:gridCol w:w="18"/>
        <w:gridCol w:w="884"/>
        <w:gridCol w:w="20"/>
        <w:gridCol w:w="882"/>
        <w:gridCol w:w="13"/>
        <w:gridCol w:w="889"/>
        <w:gridCol w:w="7"/>
        <w:gridCol w:w="904"/>
        <w:gridCol w:w="911"/>
      </w:tblGrid>
      <w:tr w:rsidR="00AA17E3" w:rsidRPr="00927E21" w:rsidTr="00AA17E3">
        <w:trPr>
          <w:trHeight w:val="261"/>
        </w:trPr>
        <w:tc>
          <w:tcPr>
            <w:tcW w:w="1563" w:type="pct"/>
            <w:tcBorders>
              <w:top w:val="single" w:sz="4" w:space="0" w:color="auto"/>
              <w:bottom w:val="single" w:sz="4" w:space="0" w:color="auto"/>
            </w:tcBorders>
            <w:shd w:val="clear" w:color="auto" w:fill="auto"/>
            <w:noWrap/>
            <w:vAlign w:val="center"/>
          </w:tcPr>
          <w:p w:rsidR="00AA17E3" w:rsidRPr="00927E21" w:rsidRDefault="00AA17E3" w:rsidP="00AA17E3">
            <w:pPr>
              <w:rPr>
                <w:rFonts w:ascii="Times New Roman" w:hAnsi="Times New Roman"/>
                <w:b/>
                <w:bCs/>
                <w:color w:val="000000"/>
                <w:sz w:val="16"/>
                <w:szCs w:val="16"/>
              </w:rPr>
            </w:pPr>
          </w:p>
        </w:tc>
        <w:tc>
          <w:tcPr>
            <w:tcW w:w="447"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2019 S</w:t>
            </w:r>
          </w:p>
        </w:tc>
        <w:tc>
          <w:tcPr>
            <w:tcW w:w="495"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2020 S</w:t>
            </w:r>
          </w:p>
        </w:tc>
        <w:tc>
          <w:tcPr>
            <w:tcW w:w="497"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2021</w:t>
            </w:r>
          </w:p>
        </w:tc>
        <w:tc>
          <w:tcPr>
            <w:tcW w:w="497"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2021 OS</w:t>
            </w:r>
          </w:p>
        </w:tc>
        <w:tc>
          <w:tcPr>
            <w:tcW w:w="497"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2022 N</w:t>
            </w:r>
          </w:p>
        </w:tc>
        <w:tc>
          <w:tcPr>
            <w:tcW w:w="502"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2023 N</w:t>
            </w:r>
          </w:p>
        </w:tc>
        <w:tc>
          <w:tcPr>
            <w:tcW w:w="502"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2024 N</w:t>
            </w:r>
          </w:p>
        </w:tc>
      </w:tr>
      <w:tr w:rsidR="00AA17E3" w:rsidRPr="00927E21" w:rsidTr="00AA17E3">
        <w:trPr>
          <w:trHeight w:val="261"/>
        </w:trPr>
        <w:tc>
          <w:tcPr>
            <w:tcW w:w="1563" w:type="pct"/>
            <w:tcBorders>
              <w:top w:val="single" w:sz="4" w:space="0" w:color="auto"/>
            </w:tcBorders>
            <w:shd w:val="clear" w:color="auto" w:fill="auto"/>
            <w:noWrap/>
            <w:vAlign w:val="center"/>
            <w:hideMark/>
          </w:tcPr>
          <w:p w:rsidR="00AA17E3" w:rsidRPr="00927E21" w:rsidRDefault="00AA17E3" w:rsidP="00AA17E3">
            <w:pPr>
              <w:rPr>
                <w:rFonts w:ascii="Times New Roman" w:hAnsi="Times New Roman"/>
                <w:color w:val="000000"/>
                <w:sz w:val="16"/>
                <w:szCs w:val="16"/>
              </w:rPr>
            </w:pPr>
            <w:r w:rsidRPr="00927E21">
              <w:rPr>
                <w:rFonts w:ascii="Times New Roman" w:hAnsi="Times New Roman"/>
                <w:color w:val="000000"/>
                <w:sz w:val="16"/>
                <w:szCs w:val="16"/>
              </w:rPr>
              <w:t>priemerný počet obvinených</w:t>
            </w:r>
          </w:p>
        </w:tc>
        <w:tc>
          <w:tcPr>
            <w:tcW w:w="447" w:type="pct"/>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1 546</w:t>
            </w:r>
          </w:p>
        </w:tc>
        <w:tc>
          <w:tcPr>
            <w:tcW w:w="495"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1 640</w:t>
            </w:r>
          </w:p>
        </w:tc>
        <w:tc>
          <w:tcPr>
            <w:tcW w:w="497"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1 658</w:t>
            </w:r>
          </w:p>
        </w:tc>
        <w:tc>
          <w:tcPr>
            <w:tcW w:w="497"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1 667</w:t>
            </w:r>
          </w:p>
        </w:tc>
        <w:tc>
          <w:tcPr>
            <w:tcW w:w="497"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1 682</w:t>
            </w:r>
          </w:p>
        </w:tc>
        <w:tc>
          <w:tcPr>
            <w:tcW w:w="502"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1 697</w:t>
            </w:r>
          </w:p>
        </w:tc>
        <w:tc>
          <w:tcPr>
            <w:tcW w:w="502" w:type="pct"/>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1 712</w:t>
            </w:r>
          </w:p>
        </w:tc>
      </w:tr>
      <w:tr w:rsidR="00AA17E3" w:rsidRPr="00927E21" w:rsidTr="00AA17E3">
        <w:trPr>
          <w:trHeight w:val="261"/>
        </w:trPr>
        <w:tc>
          <w:tcPr>
            <w:tcW w:w="1563" w:type="pct"/>
            <w:shd w:val="clear" w:color="auto" w:fill="auto"/>
            <w:noWrap/>
            <w:vAlign w:val="center"/>
            <w:hideMark/>
          </w:tcPr>
          <w:p w:rsidR="00AA17E3" w:rsidRPr="00927E21" w:rsidRDefault="00AA17E3" w:rsidP="00AA17E3">
            <w:pPr>
              <w:rPr>
                <w:rFonts w:ascii="Times New Roman" w:hAnsi="Times New Roman"/>
                <w:color w:val="000000"/>
                <w:sz w:val="16"/>
                <w:szCs w:val="16"/>
              </w:rPr>
            </w:pPr>
            <w:r w:rsidRPr="00927E21">
              <w:rPr>
                <w:rFonts w:ascii="Times New Roman" w:hAnsi="Times New Roman"/>
                <w:color w:val="000000"/>
                <w:sz w:val="16"/>
                <w:szCs w:val="16"/>
              </w:rPr>
              <w:t>priemerný počet odsúdených</w:t>
            </w:r>
          </w:p>
        </w:tc>
        <w:tc>
          <w:tcPr>
            <w:tcW w:w="447" w:type="pct"/>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9 036</w:t>
            </w:r>
          </w:p>
        </w:tc>
        <w:tc>
          <w:tcPr>
            <w:tcW w:w="495"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8 964</w:t>
            </w:r>
          </w:p>
        </w:tc>
        <w:tc>
          <w:tcPr>
            <w:tcW w:w="497"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9 162</w:t>
            </w:r>
          </w:p>
        </w:tc>
        <w:tc>
          <w:tcPr>
            <w:tcW w:w="497"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8 953</w:t>
            </w:r>
          </w:p>
        </w:tc>
        <w:tc>
          <w:tcPr>
            <w:tcW w:w="497"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9 054</w:t>
            </w:r>
          </w:p>
        </w:tc>
        <w:tc>
          <w:tcPr>
            <w:tcW w:w="502"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9 155</w:t>
            </w:r>
          </w:p>
        </w:tc>
        <w:tc>
          <w:tcPr>
            <w:tcW w:w="502" w:type="pct"/>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9 256</w:t>
            </w:r>
          </w:p>
        </w:tc>
      </w:tr>
      <w:tr w:rsidR="00AA17E3" w:rsidRPr="001D1C0A" w:rsidTr="00AA17E3">
        <w:trPr>
          <w:trHeight w:val="261"/>
        </w:trPr>
        <w:tc>
          <w:tcPr>
            <w:tcW w:w="1563" w:type="pct"/>
            <w:tcBorders>
              <w:bottom w:val="single" w:sz="4" w:space="0" w:color="auto"/>
            </w:tcBorders>
            <w:shd w:val="clear" w:color="auto" w:fill="auto"/>
            <w:noWrap/>
            <w:vAlign w:val="center"/>
            <w:hideMark/>
          </w:tcPr>
          <w:p w:rsidR="00AA17E3" w:rsidRPr="00927E21" w:rsidRDefault="00AA17E3" w:rsidP="00AA17E3">
            <w:pPr>
              <w:rPr>
                <w:rFonts w:ascii="Times New Roman" w:hAnsi="Times New Roman"/>
                <w:b/>
                <w:bCs/>
                <w:color w:val="000000"/>
                <w:sz w:val="16"/>
                <w:szCs w:val="16"/>
              </w:rPr>
            </w:pPr>
            <w:r w:rsidRPr="00927E21">
              <w:rPr>
                <w:rFonts w:ascii="Times New Roman" w:hAnsi="Times New Roman"/>
                <w:b/>
                <w:bCs/>
                <w:color w:val="000000"/>
                <w:sz w:val="16"/>
                <w:szCs w:val="16"/>
              </w:rPr>
              <w:t>obvinení a odsúdení spolu</w:t>
            </w:r>
          </w:p>
        </w:tc>
        <w:tc>
          <w:tcPr>
            <w:tcW w:w="447" w:type="pct"/>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10 347</w:t>
            </w:r>
          </w:p>
        </w:tc>
        <w:tc>
          <w:tcPr>
            <w:tcW w:w="495"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10 604</w:t>
            </w:r>
          </w:p>
        </w:tc>
        <w:tc>
          <w:tcPr>
            <w:tcW w:w="497"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10 820</w:t>
            </w:r>
          </w:p>
        </w:tc>
        <w:tc>
          <w:tcPr>
            <w:tcW w:w="497"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10 620</w:t>
            </w:r>
          </w:p>
        </w:tc>
        <w:tc>
          <w:tcPr>
            <w:tcW w:w="497"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10 736</w:t>
            </w:r>
          </w:p>
        </w:tc>
        <w:tc>
          <w:tcPr>
            <w:tcW w:w="502"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10 852</w:t>
            </w:r>
          </w:p>
        </w:tc>
        <w:tc>
          <w:tcPr>
            <w:tcW w:w="502" w:type="pct"/>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10 968</w:t>
            </w:r>
          </w:p>
        </w:tc>
      </w:tr>
      <w:tr w:rsidR="00AA17E3" w:rsidRPr="00927E21" w:rsidTr="00AA17E3">
        <w:trPr>
          <w:trHeight w:val="261"/>
        </w:trPr>
        <w:tc>
          <w:tcPr>
            <w:tcW w:w="1563" w:type="pct"/>
            <w:tcBorders>
              <w:top w:val="single" w:sz="4" w:space="0" w:color="auto"/>
            </w:tcBorders>
            <w:shd w:val="clear" w:color="auto" w:fill="auto"/>
            <w:vAlign w:val="center"/>
            <w:hideMark/>
          </w:tcPr>
          <w:p w:rsidR="00AA17E3" w:rsidRPr="00927E21" w:rsidRDefault="00AA17E3" w:rsidP="00AA17E3">
            <w:pPr>
              <w:rPr>
                <w:rFonts w:ascii="Times New Roman" w:hAnsi="Times New Roman"/>
                <w:b/>
                <w:bCs/>
                <w:color w:val="000000"/>
                <w:sz w:val="16"/>
                <w:szCs w:val="14"/>
              </w:rPr>
            </w:pPr>
            <w:r w:rsidRPr="00927E21">
              <w:rPr>
                <w:rFonts w:ascii="Times New Roman" w:hAnsi="Times New Roman"/>
                <w:b/>
                <w:bCs/>
                <w:color w:val="000000"/>
                <w:sz w:val="16"/>
                <w:szCs w:val="14"/>
              </w:rPr>
              <w:t>počet príslušníkov a zamestnancov:</w:t>
            </w:r>
          </w:p>
        </w:tc>
        <w:tc>
          <w:tcPr>
            <w:tcW w:w="458"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5 516</w:t>
            </w:r>
          </w:p>
        </w:tc>
        <w:tc>
          <w:tcPr>
            <w:tcW w:w="494"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5 767</w:t>
            </w:r>
          </w:p>
        </w:tc>
        <w:tc>
          <w:tcPr>
            <w:tcW w:w="498"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5 831</w:t>
            </w:r>
          </w:p>
        </w:tc>
        <w:tc>
          <w:tcPr>
            <w:tcW w:w="493"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5 831</w:t>
            </w:r>
          </w:p>
        </w:tc>
        <w:tc>
          <w:tcPr>
            <w:tcW w:w="494" w:type="pct"/>
            <w:gridSpan w:val="2"/>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5 831</w:t>
            </w:r>
          </w:p>
        </w:tc>
        <w:tc>
          <w:tcPr>
            <w:tcW w:w="498" w:type="pct"/>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5 831</w:t>
            </w:r>
          </w:p>
        </w:tc>
        <w:tc>
          <w:tcPr>
            <w:tcW w:w="502" w:type="pct"/>
            <w:tcBorders>
              <w:top w:val="single" w:sz="4" w:space="0" w:color="auto"/>
            </w:tcBorders>
            <w:shd w:val="clear" w:color="auto" w:fill="auto"/>
            <w:noWrap/>
            <w:vAlign w:val="center"/>
            <w:hideMark/>
          </w:tcPr>
          <w:p w:rsidR="00AA17E3" w:rsidRPr="00CD2235" w:rsidRDefault="00AA17E3" w:rsidP="00AA17E3">
            <w:pPr>
              <w:jc w:val="right"/>
              <w:rPr>
                <w:rFonts w:ascii="Times New Roman" w:hAnsi="Times New Roman"/>
                <w:b/>
                <w:bCs/>
                <w:color w:val="000000"/>
                <w:sz w:val="16"/>
                <w:szCs w:val="16"/>
              </w:rPr>
            </w:pPr>
            <w:r w:rsidRPr="00CD2235">
              <w:rPr>
                <w:rFonts w:ascii="Times New Roman" w:hAnsi="Times New Roman"/>
                <w:b/>
                <w:bCs/>
                <w:color w:val="000000"/>
                <w:sz w:val="16"/>
                <w:szCs w:val="16"/>
              </w:rPr>
              <w:t>5 831</w:t>
            </w:r>
          </w:p>
        </w:tc>
      </w:tr>
      <w:tr w:rsidR="00AA17E3" w:rsidRPr="00927E21" w:rsidTr="00AA17E3">
        <w:trPr>
          <w:trHeight w:val="261"/>
        </w:trPr>
        <w:tc>
          <w:tcPr>
            <w:tcW w:w="1563" w:type="pct"/>
            <w:shd w:val="clear" w:color="auto" w:fill="auto"/>
            <w:noWrap/>
            <w:vAlign w:val="center"/>
            <w:hideMark/>
          </w:tcPr>
          <w:p w:rsidR="00AA17E3" w:rsidRPr="00927E21" w:rsidRDefault="00AA17E3" w:rsidP="00AA17E3">
            <w:pPr>
              <w:rPr>
                <w:rFonts w:ascii="Times New Roman" w:hAnsi="Times New Roman"/>
                <w:color w:val="000000"/>
                <w:sz w:val="16"/>
                <w:szCs w:val="14"/>
              </w:rPr>
            </w:pPr>
            <w:r w:rsidRPr="00927E21">
              <w:rPr>
                <w:rFonts w:ascii="Times New Roman" w:hAnsi="Times New Roman"/>
                <w:color w:val="000000"/>
                <w:sz w:val="16"/>
                <w:szCs w:val="14"/>
              </w:rPr>
              <w:t>z toho: počet príslušníkov ZVJS</w:t>
            </w:r>
          </w:p>
        </w:tc>
        <w:tc>
          <w:tcPr>
            <w:tcW w:w="458"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4 797</w:t>
            </w:r>
          </w:p>
        </w:tc>
        <w:tc>
          <w:tcPr>
            <w:tcW w:w="494"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5 046</w:t>
            </w:r>
          </w:p>
        </w:tc>
        <w:tc>
          <w:tcPr>
            <w:tcW w:w="498"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5 146</w:t>
            </w:r>
          </w:p>
        </w:tc>
        <w:tc>
          <w:tcPr>
            <w:tcW w:w="493"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5 146</w:t>
            </w:r>
          </w:p>
        </w:tc>
        <w:tc>
          <w:tcPr>
            <w:tcW w:w="494" w:type="pct"/>
            <w:gridSpan w:val="2"/>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5 146</w:t>
            </w:r>
          </w:p>
        </w:tc>
        <w:tc>
          <w:tcPr>
            <w:tcW w:w="498" w:type="pct"/>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5 146</w:t>
            </w:r>
          </w:p>
        </w:tc>
        <w:tc>
          <w:tcPr>
            <w:tcW w:w="502" w:type="pct"/>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5 146</w:t>
            </w:r>
          </w:p>
        </w:tc>
      </w:tr>
      <w:tr w:rsidR="00AA17E3" w:rsidRPr="00927E21" w:rsidTr="00AA17E3">
        <w:trPr>
          <w:trHeight w:val="261"/>
        </w:trPr>
        <w:tc>
          <w:tcPr>
            <w:tcW w:w="1563" w:type="pct"/>
            <w:tcBorders>
              <w:bottom w:val="single" w:sz="4" w:space="0" w:color="auto"/>
            </w:tcBorders>
            <w:shd w:val="clear" w:color="auto" w:fill="auto"/>
            <w:noWrap/>
            <w:vAlign w:val="center"/>
            <w:hideMark/>
          </w:tcPr>
          <w:p w:rsidR="00AA17E3" w:rsidRPr="00927E21" w:rsidRDefault="00AA17E3" w:rsidP="00AA17E3">
            <w:pPr>
              <w:rPr>
                <w:rFonts w:ascii="Times New Roman" w:hAnsi="Times New Roman"/>
                <w:color w:val="000000"/>
                <w:sz w:val="16"/>
                <w:szCs w:val="14"/>
              </w:rPr>
            </w:pPr>
            <w:r w:rsidRPr="00927E21">
              <w:rPr>
                <w:rFonts w:ascii="Times New Roman" w:hAnsi="Times New Roman"/>
                <w:color w:val="000000"/>
                <w:sz w:val="16"/>
                <w:szCs w:val="14"/>
              </w:rPr>
              <w:t xml:space="preserve">            počet zamestnancov</w:t>
            </w:r>
          </w:p>
        </w:tc>
        <w:tc>
          <w:tcPr>
            <w:tcW w:w="458"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719</w:t>
            </w:r>
          </w:p>
        </w:tc>
        <w:tc>
          <w:tcPr>
            <w:tcW w:w="494"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721</w:t>
            </w:r>
          </w:p>
        </w:tc>
        <w:tc>
          <w:tcPr>
            <w:tcW w:w="498"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685</w:t>
            </w:r>
          </w:p>
        </w:tc>
        <w:tc>
          <w:tcPr>
            <w:tcW w:w="493"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685</w:t>
            </w:r>
          </w:p>
        </w:tc>
        <w:tc>
          <w:tcPr>
            <w:tcW w:w="494" w:type="pct"/>
            <w:gridSpan w:val="2"/>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685</w:t>
            </w:r>
          </w:p>
        </w:tc>
        <w:tc>
          <w:tcPr>
            <w:tcW w:w="498" w:type="pct"/>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685</w:t>
            </w:r>
          </w:p>
        </w:tc>
        <w:tc>
          <w:tcPr>
            <w:tcW w:w="502" w:type="pct"/>
            <w:tcBorders>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685</w:t>
            </w:r>
          </w:p>
        </w:tc>
      </w:tr>
      <w:tr w:rsidR="00AA17E3" w:rsidRPr="00582AE9" w:rsidTr="00AA17E3">
        <w:trPr>
          <w:trHeight w:val="261"/>
        </w:trPr>
        <w:tc>
          <w:tcPr>
            <w:tcW w:w="1563" w:type="pct"/>
            <w:tcBorders>
              <w:top w:val="single" w:sz="4" w:space="0" w:color="auto"/>
              <w:bottom w:val="single" w:sz="4" w:space="0" w:color="auto"/>
            </w:tcBorders>
            <w:shd w:val="clear" w:color="auto" w:fill="auto"/>
            <w:noWrap/>
            <w:vAlign w:val="center"/>
            <w:hideMark/>
          </w:tcPr>
          <w:p w:rsidR="00AA17E3" w:rsidRPr="00927E21" w:rsidRDefault="00AA17E3" w:rsidP="00AA17E3">
            <w:pPr>
              <w:rPr>
                <w:rFonts w:ascii="Times New Roman" w:hAnsi="Times New Roman"/>
                <w:color w:val="000000"/>
                <w:sz w:val="16"/>
                <w:szCs w:val="14"/>
              </w:rPr>
            </w:pPr>
            <w:r w:rsidRPr="00927E21">
              <w:rPr>
                <w:rFonts w:ascii="Times New Roman" w:hAnsi="Times New Roman"/>
                <w:color w:val="000000"/>
                <w:sz w:val="16"/>
                <w:szCs w:val="14"/>
              </w:rPr>
              <w:t xml:space="preserve">podiel zamestnancov väzenstva na väzňa </w:t>
            </w:r>
          </w:p>
        </w:tc>
        <w:tc>
          <w:tcPr>
            <w:tcW w:w="458"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0,53</w:t>
            </w:r>
          </w:p>
        </w:tc>
        <w:tc>
          <w:tcPr>
            <w:tcW w:w="494"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0,54</w:t>
            </w:r>
          </w:p>
        </w:tc>
        <w:tc>
          <w:tcPr>
            <w:tcW w:w="498"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0,54</w:t>
            </w:r>
          </w:p>
        </w:tc>
        <w:tc>
          <w:tcPr>
            <w:tcW w:w="493"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0,55</w:t>
            </w:r>
          </w:p>
        </w:tc>
        <w:tc>
          <w:tcPr>
            <w:tcW w:w="494" w:type="pct"/>
            <w:gridSpan w:val="2"/>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0,54</w:t>
            </w:r>
          </w:p>
        </w:tc>
        <w:tc>
          <w:tcPr>
            <w:tcW w:w="498"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0,54</w:t>
            </w:r>
          </w:p>
        </w:tc>
        <w:tc>
          <w:tcPr>
            <w:tcW w:w="502" w:type="pct"/>
            <w:tcBorders>
              <w:top w:val="single" w:sz="4" w:space="0" w:color="auto"/>
              <w:bottom w:val="single" w:sz="4" w:space="0" w:color="auto"/>
            </w:tcBorders>
            <w:shd w:val="clear" w:color="auto" w:fill="auto"/>
            <w:noWrap/>
            <w:vAlign w:val="center"/>
            <w:hideMark/>
          </w:tcPr>
          <w:p w:rsidR="00AA17E3" w:rsidRPr="00CD2235" w:rsidRDefault="00AA17E3" w:rsidP="00AA17E3">
            <w:pPr>
              <w:jc w:val="right"/>
              <w:rPr>
                <w:rFonts w:ascii="Times New Roman" w:hAnsi="Times New Roman"/>
                <w:color w:val="000000"/>
                <w:sz w:val="16"/>
                <w:szCs w:val="16"/>
              </w:rPr>
            </w:pPr>
            <w:r w:rsidRPr="00CD2235">
              <w:rPr>
                <w:rFonts w:ascii="Times New Roman" w:hAnsi="Times New Roman"/>
                <w:color w:val="000000"/>
                <w:sz w:val="16"/>
                <w:szCs w:val="16"/>
              </w:rPr>
              <w:t>0,53</w:t>
            </w:r>
          </w:p>
        </w:tc>
      </w:tr>
    </w:tbl>
    <w:p w:rsidR="00AA17E3" w:rsidRPr="00E84E0E" w:rsidRDefault="00AA17E3" w:rsidP="00AA17E3">
      <w:pPr>
        <w:pStyle w:val="Popis"/>
        <w:keepNext/>
        <w:rPr>
          <w:rFonts w:ascii="Times New Roman" w:hAnsi="Times New Roman"/>
          <w:b/>
          <w:i w:val="0"/>
          <w:sz w:val="20"/>
          <w:szCs w:val="20"/>
        </w:rPr>
      </w:pPr>
      <w:bookmarkStart w:id="423" w:name="_Toc53054824"/>
      <w:bookmarkStart w:id="424" w:name="_Toc53078016"/>
      <w:bookmarkStart w:id="425" w:name="_Toc53086418"/>
      <w:bookmarkStart w:id="426" w:name="_Toc84528442"/>
      <w:bookmarkStart w:id="427" w:name="_Toc84845319"/>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95</w:t>
      </w:r>
      <w:r w:rsidRPr="002C35FD">
        <w:rPr>
          <w:rFonts w:ascii="Times New Roman" w:hAnsi="Times New Roman" w:cs="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Priemerné počty obvinených a odsúdených</w:t>
      </w:r>
      <w:bookmarkEnd w:id="423"/>
      <w:bookmarkEnd w:id="424"/>
      <w:bookmarkEnd w:id="425"/>
      <w:bookmarkEnd w:id="426"/>
      <w:bookmarkEnd w:id="427"/>
    </w:p>
    <w:p w:rsidR="00AA17E3" w:rsidRPr="0032025B" w:rsidRDefault="00AA17E3" w:rsidP="009224A5">
      <w:pPr>
        <w:spacing w:after="0"/>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w:t>
      </w:r>
      <w:r>
        <w:rPr>
          <w:rFonts w:ascii="Times New Roman" w:hAnsi="Times New Roman"/>
          <w:i/>
          <w:iCs/>
          <w:sz w:val="16"/>
          <w:szCs w:val="16"/>
        </w:rPr>
        <w:t>S</w:t>
      </w:r>
      <w:r w:rsidRPr="002B16FD">
        <w:rPr>
          <w:rFonts w:ascii="Times New Roman" w:hAnsi="Times New Roman"/>
          <w:i/>
          <w:iCs/>
          <w:sz w:val="16"/>
          <w:szCs w:val="16"/>
        </w:rPr>
        <w:t xml:space="preserve"> SR</w:t>
      </w:r>
    </w:p>
    <w:p w:rsidR="009224A5" w:rsidRDefault="009224A5" w:rsidP="009224A5">
      <w:pPr>
        <w:spacing w:after="0"/>
        <w:jc w:val="both"/>
        <w:rPr>
          <w:rFonts w:ascii="Times New Roman" w:hAnsi="Times New Roman"/>
          <w:b/>
          <w:color w:val="5B9BD5" w:themeColor="accent1"/>
          <w:sz w:val="24"/>
          <w:szCs w:val="24"/>
        </w:rPr>
      </w:pPr>
    </w:p>
    <w:p w:rsidR="00AA17E3" w:rsidRDefault="00AA17E3" w:rsidP="009224A5">
      <w:pPr>
        <w:spacing w:after="0"/>
        <w:jc w:val="both"/>
        <w:rPr>
          <w:rFonts w:ascii="Times New Roman" w:hAnsi="Times New Roman"/>
          <w:b/>
          <w:color w:val="5B9BD5" w:themeColor="accent1"/>
          <w:sz w:val="24"/>
          <w:szCs w:val="24"/>
        </w:rPr>
      </w:pPr>
      <w:r w:rsidRPr="00F711A7">
        <w:rPr>
          <w:rFonts w:ascii="Times New Roman" w:hAnsi="Times New Roman"/>
          <w:b/>
          <w:color w:val="5B9BD5" w:themeColor="accent1"/>
          <w:sz w:val="24"/>
          <w:szCs w:val="24"/>
        </w:rPr>
        <w:t>Súdnictvo a prokuratúra</w:t>
      </w:r>
    </w:p>
    <w:p w:rsidR="004004BC" w:rsidRPr="00F711A7" w:rsidRDefault="004004BC" w:rsidP="009224A5">
      <w:pPr>
        <w:spacing w:after="0"/>
        <w:jc w:val="both"/>
        <w:rPr>
          <w:rFonts w:ascii="Times New Roman" w:hAnsi="Times New Roman"/>
          <w:b/>
          <w:color w:val="5B9BD5" w:themeColor="accent1"/>
          <w:sz w:val="24"/>
          <w:szCs w:val="24"/>
        </w:rPr>
      </w:pPr>
    </w:p>
    <w:p w:rsidR="00AA17E3" w:rsidRDefault="00AA17E3" w:rsidP="00AA17E3">
      <w:pPr>
        <w:spacing w:after="0"/>
        <w:jc w:val="both"/>
        <w:rPr>
          <w:rFonts w:ascii="Times New Roman" w:hAnsi="Times New Roman"/>
          <w:sz w:val="24"/>
          <w:szCs w:val="24"/>
        </w:rPr>
      </w:pPr>
      <w:r w:rsidRPr="007511DD">
        <w:rPr>
          <w:rFonts w:ascii="Times New Roman" w:hAnsi="Times New Roman"/>
          <w:sz w:val="24"/>
          <w:szCs w:val="24"/>
        </w:rPr>
        <w:t>Spravodlivosť v štáte zabezpečuje sústava súdov a prokuratúry. Ministerstvo spravodlivosti zabezpečuje vymožiteľnosť práva na Slovensku prostredníctvom súdneho systému a vykonáva dohľad nad určitými právnickými povolaniami. Dôležitou súčasťou justície sú aj prokuratúry, Ústavný súd SR, Najvyšší súd SR, Kancelária Najvyššieho správneho súdu, Súdna rada SR a verejná ochrankyňa práv.</w:t>
      </w:r>
    </w:p>
    <w:p w:rsidR="00AA17E3" w:rsidRDefault="00AA17E3" w:rsidP="00AA17E3">
      <w:pPr>
        <w:spacing w:after="0"/>
        <w:jc w:val="both"/>
        <w:rPr>
          <w:rFonts w:ascii="Times New Roman" w:hAnsi="Times New Roman"/>
          <w:b/>
          <w:color w:val="5B9BD5" w:themeColor="accent1"/>
          <w:sz w:val="24"/>
          <w:szCs w:val="24"/>
        </w:rPr>
      </w:pPr>
    </w:p>
    <w:p w:rsidR="00AA17E3" w:rsidRPr="00E02BD0" w:rsidRDefault="00AA17E3" w:rsidP="00756EC8">
      <w:pPr>
        <w:spacing w:after="0"/>
      </w:pPr>
      <w:bookmarkStart w:id="428" w:name="_Toc84528443"/>
      <w:bookmarkStart w:id="429" w:name="_Toc84845320"/>
      <w:r w:rsidRPr="00804037">
        <w:rPr>
          <w:rFonts w:ascii="Times New Roman" w:hAnsi="Times New Roman" w:cs="Times New Roman"/>
          <w:b/>
          <w:color w:val="5B9BD5" w:themeColor="accent1"/>
          <w:sz w:val="20"/>
          <w:szCs w:val="20"/>
        </w:rPr>
        <w:t xml:space="preserve">Tabuľka </w:t>
      </w:r>
      <w:r w:rsidRPr="00804037">
        <w:rPr>
          <w:rFonts w:ascii="Times New Roman" w:hAnsi="Times New Roman" w:cs="Times New Roman"/>
          <w:b/>
          <w:color w:val="5B9BD5" w:themeColor="accent1"/>
          <w:sz w:val="20"/>
          <w:szCs w:val="20"/>
        </w:rPr>
        <w:fldChar w:fldCharType="begin"/>
      </w:r>
      <w:r w:rsidRPr="00804037">
        <w:rPr>
          <w:rFonts w:ascii="Times New Roman" w:hAnsi="Times New Roman" w:cs="Times New Roman"/>
          <w:b/>
          <w:color w:val="5B9BD5" w:themeColor="accent1"/>
          <w:sz w:val="20"/>
          <w:szCs w:val="20"/>
        </w:rPr>
        <w:instrText xml:space="preserve"> SEQ Tabuľka \* ARABIC </w:instrText>
      </w:r>
      <w:r w:rsidRPr="00804037">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96</w:t>
      </w:r>
      <w:r w:rsidRPr="00804037">
        <w:rPr>
          <w:rFonts w:ascii="Times New Roman" w:hAnsi="Times New Roman" w:cs="Times New Roman"/>
          <w:b/>
          <w:color w:val="5B9BD5" w:themeColor="accent1"/>
          <w:sz w:val="20"/>
          <w:szCs w:val="20"/>
        </w:rPr>
        <w:fldChar w:fldCharType="end"/>
      </w:r>
      <w:r w:rsidRPr="00E02BD0">
        <w:rPr>
          <w:rFonts w:ascii="Times New Roman" w:hAnsi="Times New Roman"/>
          <w:b/>
          <w:color w:val="5B9BD5" w:themeColor="accent1"/>
          <w:sz w:val="20"/>
          <w:szCs w:val="20"/>
        </w:rPr>
        <w:t xml:space="preserve"> - Kľúčové ukazovatele súdnictva</w:t>
      </w:r>
      <w:bookmarkEnd w:id="428"/>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
        <w:gridCol w:w="3545"/>
        <w:gridCol w:w="568"/>
        <w:gridCol w:w="684"/>
        <w:gridCol w:w="686"/>
        <w:gridCol w:w="686"/>
        <w:gridCol w:w="686"/>
        <w:gridCol w:w="686"/>
        <w:gridCol w:w="682"/>
      </w:tblGrid>
      <w:tr w:rsidR="00AA17E3" w:rsidRPr="000206E7" w:rsidTr="00716683">
        <w:trPr>
          <w:trHeight w:val="20"/>
        </w:trPr>
        <w:tc>
          <w:tcPr>
            <w:tcW w:w="468" w:type="pct"/>
            <w:tcBorders>
              <w:left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b/>
                <w:bCs/>
                <w:sz w:val="18"/>
                <w:szCs w:val="18"/>
              </w:rPr>
              <w:t>Oblasť</w:t>
            </w:r>
          </w:p>
        </w:tc>
        <w:tc>
          <w:tcPr>
            <w:tcW w:w="1954" w:type="pct"/>
            <w:tcBorders>
              <w:left w:val="nil"/>
              <w:right w:val="nil"/>
            </w:tcBorders>
            <w:shd w:val="clear" w:color="auto" w:fill="auto"/>
            <w:vAlign w:val="center"/>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b/>
                <w:bCs/>
                <w:sz w:val="18"/>
                <w:szCs w:val="18"/>
              </w:rPr>
              <w:t>Indikátor</w:t>
            </w:r>
          </w:p>
        </w:tc>
        <w:tc>
          <w:tcPr>
            <w:tcW w:w="313" w:type="pct"/>
            <w:tcBorders>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sz w:val="18"/>
                <w:szCs w:val="18"/>
              </w:rPr>
            </w:pPr>
          </w:p>
        </w:tc>
        <w:tc>
          <w:tcPr>
            <w:tcW w:w="377" w:type="pct"/>
            <w:tcBorders>
              <w:left w:val="nil"/>
              <w:bottom w:val="single" w:sz="4" w:space="0" w:color="auto"/>
              <w:right w:val="nil"/>
            </w:tcBorders>
            <w:shd w:val="clear" w:color="auto" w:fill="auto"/>
            <w:noWrap/>
            <w:vAlign w:val="center"/>
          </w:tcPr>
          <w:p w:rsidR="00AA17E3" w:rsidRPr="00441800" w:rsidRDefault="00AA17E3" w:rsidP="00716683">
            <w:pPr>
              <w:contextualSpacing/>
              <w:jc w:val="right"/>
              <w:rPr>
                <w:rFonts w:ascii="Times New Roman" w:hAnsi="Times New Roman" w:cs="Times New Roman"/>
                <w:sz w:val="18"/>
                <w:szCs w:val="18"/>
              </w:rPr>
            </w:pPr>
            <w:r w:rsidRPr="00441800">
              <w:rPr>
                <w:rFonts w:ascii="Times New Roman" w:hAnsi="Times New Roman" w:cs="Times New Roman"/>
                <w:b/>
                <w:bCs/>
                <w:sz w:val="18"/>
                <w:szCs w:val="18"/>
              </w:rPr>
              <w:t>2017</w:t>
            </w:r>
          </w:p>
        </w:tc>
        <w:tc>
          <w:tcPr>
            <w:tcW w:w="378" w:type="pct"/>
            <w:tcBorders>
              <w:left w:val="nil"/>
              <w:bottom w:val="single" w:sz="4" w:space="0" w:color="auto"/>
              <w:right w:val="nil"/>
            </w:tcBorders>
            <w:shd w:val="clear" w:color="auto" w:fill="auto"/>
            <w:noWrap/>
            <w:vAlign w:val="center"/>
          </w:tcPr>
          <w:p w:rsidR="00AA17E3" w:rsidRPr="00441800" w:rsidRDefault="00AA17E3" w:rsidP="00716683">
            <w:pPr>
              <w:contextualSpacing/>
              <w:jc w:val="right"/>
              <w:rPr>
                <w:rFonts w:ascii="Times New Roman" w:hAnsi="Times New Roman" w:cs="Times New Roman"/>
                <w:sz w:val="18"/>
                <w:szCs w:val="18"/>
              </w:rPr>
            </w:pPr>
            <w:r w:rsidRPr="00441800">
              <w:rPr>
                <w:rFonts w:ascii="Times New Roman" w:hAnsi="Times New Roman" w:cs="Times New Roman"/>
                <w:b/>
                <w:bCs/>
                <w:sz w:val="18"/>
                <w:szCs w:val="18"/>
              </w:rPr>
              <w:t>2018</w:t>
            </w:r>
          </w:p>
        </w:tc>
        <w:tc>
          <w:tcPr>
            <w:tcW w:w="378" w:type="pct"/>
            <w:tcBorders>
              <w:left w:val="nil"/>
              <w:bottom w:val="single" w:sz="4" w:space="0" w:color="auto"/>
              <w:right w:val="nil"/>
            </w:tcBorders>
            <w:shd w:val="clear" w:color="auto" w:fill="auto"/>
            <w:noWrap/>
            <w:vAlign w:val="center"/>
          </w:tcPr>
          <w:p w:rsidR="00AA17E3" w:rsidRPr="00441800" w:rsidRDefault="00AA17E3" w:rsidP="00716683">
            <w:pPr>
              <w:contextualSpacing/>
              <w:jc w:val="right"/>
              <w:rPr>
                <w:rFonts w:ascii="Times New Roman" w:hAnsi="Times New Roman" w:cs="Times New Roman"/>
                <w:sz w:val="18"/>
                <w:szCs w:val="18"/>
              </w:rPr>
            </w:pPr>
            <w:r w:rsidRPr="00441800">
              <w:rPr>
                <w:rFonts w:ascii="Times New Roman" w:hAnsi="Times New Roman" w:cs="Times New Roman"/>
                <w:b/>
                <w:bCs/>
                <w:sz w:val="18"/>
                <w:szCs w:val="18"/>
              </w:rPr>
              <w:t>2019</w:t>
            </w:r>
          </w:p>
        </w:tc>
        <w:tc>
          <w:tcPr>
            <w:tcW w:w="378" w:type="pct"/>
            <w:tcBorders>
              <w:left w:val="nil"/>
              <w:bottom w:val="single" w:sz="4" w:space="0" w:color="auto"/>
              <w:right w:val="nil"/>
            </w:tcBorders>
            <w:shd w:val="clear" w:color="auto" w:fill="auto"/>
            <w:noWrap/>
            <w:vAlign w:val="center"/>
          </w:tcPr>
          <w:p w:rsidR="00AA17E3" w:rsidRPr="00441800" w:rsidRDefault="00AA17E3" w:rsidP="00716683">
            <w:pPr>
              <w:contextualSpacing/>
              <w:jc w:val="right"/>
              <w:rPr>
                <w:rFonts w:ascii="Times New Roman" w:hAnsi="Times New Roman" w:cs="Times New Roman"/>
                <w:sz w:val="18"/>
                <w:szCs w:val="18"/>
              </w:rPr>
            </w:pPr>
            <w:r w:rsidRPr="00441800">
              <w:rPr>
                <w:rFonts w:ascii="Times New Roman" w:hAnsi="Times New Roman" w:cs="Times New Roman"/>
                <w:b/>
                <w:bCs/>
                <w:sz w:val="18"/>
                <w:szCs w:val="18"/>
              </w:rPr>
              <w:t>2020</w:t>
            </w:r>
          </w:p>
        </w:tc>
        <w:tc>
          <w:tcPr>
            <w:tcW w:w="378" w:type="pct"/>
            <w:tcBorders>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
                <w:bCs/>
                <w:sz w:val="18"/>
                <w:szCs w:val="18"/>
              </w:rPr>
            </w:pPr>
            <w:r w:rsidRPr="00441800">
              <w:rPr>
                <w:rFonts w:ascii="Times New Roman" w:hAnsi="Times New Roman" w:cs="Times New Roman"/>
                <w:b/>
                <w:bCs/>
                <w:sz w:val="18"/>
                <w:szCs w:val="18"/>
              </w:rPr>
              <w:t>Cieľ 2024</w:t>
            </w:r>
          </w:p>
        </w:tc>
        <w:tc>
          <w:tcPr>
            <w:tcW w:w="376" w:type="pct"/>
            <w:tcBorders>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
                <w:bCs/>
                <w:sz w:val="18"/>
                <w:szCs w:val="18"/>
              </w:rPr>
            </w:pPr>
            <w:r w:rsidRPr="00441800">
              <w:rPr>
                <w:rFonts w:ascii="Times New Roman" w:hAnsi="Times New Roman" w:cs="Times New Roman"/>
                <w:b/>
                <w:bCs/>
                <w:sz w:val="18"/>
                <w:szCs w:val="18"/>
              </w:rPr>
              <w:t>Cieľ 2030</w:t>
            </w:r>
          </w:p>
        </w:tc>
      </w:tr>
      <w:tr w:rsidR="00AA17E3" w:rsidRPr="000206E7" w:rsidTr="00716683">
        <w:trPr>
          <w:trHeight w:val="20"/>
        </w:trPr>
        <w:tc>
          <w:tcPr>
            <w:tcW w:w="468" w:type="pct"/>
            <w:vMerge w:val="restart"/>
            <w:tcBorders>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 xml:space="preserve">Súdnictvo </w:t>
            </w:r>
          </w:p>
        </w:tc>
        <w:tc>
          <w:tcPr>
            <w:tcW w:w="1954" w:type="pct"/>
            <w:vMerge w:val="restart"/>
            <w:tcBorders>
              <w:left w:val="nil"/>
              <w:right w:val="nil"/>
            </w:tcBorders>
            <w:shd w:val="clear" w:color="auto" w:fill="auto"/>
            <w:vAlign w:val="center"/>
            <w:hideMark/>
          </w:tcPr>
          <w:p w:rsidR="00AA17E3" w:rsidRPr="00441800" w:rsidRDefault="00AA17E3" w:rsidP="00AA17E3">
            <w:pPr>
              <w:contextualSpacing/>
              <w:rPr>
                <w:rFonts w:ascii="Times New Roman" w:hAnsi="Times New Roman" w:cs="Times New Roman"/>
                <w:sz w:val="18"/>
                <w:szCs w:val="18"/>
              </w:rPr>
            </w:pPr>
            <w:r w:rsidRPr="00441800">
              <w:rPr>
                <w:rFonts w:ascii="Times New Roman" w:hAnsi="Times New Roman" w:cs="Times New Roman"/>
                <w:sz w:val="18"/>
                <w:szCs w:val="18"/>
              </w:rPr>
              <w:t>Vnímanie nezávislosti súdneho systému firmami (podiel odpovedí very good and fairly good)</w:t>
            </w:r>
          </w:p>
        </w:tc>
        <w:tc>
          <w:tcPr>
            <w:tcW w:w="313" w:type="pct"/>
            <w:tcBorders>
              <w:left w:val="nil"/>
              <w:bottom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SK</w:t>
            </w:r>
          </w:p>
        </w:tc>
        <w:tc>
          <w:tcPr>
            <w:tcW w:w="377"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10</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14</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19</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15</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 </w:t>
            </w:r>
          </w:p>
        </w:tc>
        <w:tc>
          <w:tcPr>
            <w:tcW w:w="378" w:type="pct"/>
            <w:tcBorders>
              <w:left w:val="nil"/>
              <w:bottom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c>
          <w:tcPr>
            <w:tcW w:w="376" w:type="pct"/>
            <w:tcBorders>
              <w:left w:val="nil"/>
              <w:bottom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r>
      <w:tr w:rsidR="00AA17E3" w:rsidRPr="000206E7" w:rsidTr="00716683">
        <w:trPr>
          <w:trHeight w:val="20"/>
        </w:trPr>
        <w:tc>
          <w:tcPr>
            <w:tcW w:w="468" w:type="pct"/>
            <w:vMerge/>
            <w:tcBorders>
              <w:left w:val="nil"/>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1954" w:type="pct"/>
            <w:vMerge/>
            <w:tcBorders>
              <w:left w:val="nil"/>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313"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EÚ</w:t>
            </w:r>
          </w:p>
        </w:tc>
        <w:tc>
          <w:tcPr>
            <w:tcW w:w="377"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49</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48</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51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54</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 </w:t>
            </w:r>
          </w:p>
        </w:tc>
        <w:tc>
          <w:tcPr>
            <w:tcW w:w="378" w:type="pct"/>
            <w:tcBorders>
              <w:top w:val="nil"/>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p>
        </w:tc>
        <w:tc>
          <w:tcPr>
            <w:tcW w:w="376" w:type="pct"/>
            <w:tcBorders>
              <w:top w:val="nil"/>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p>
        </w:tc>
      </w:tr>
      <w:tr w:rsidR="00AA17E3" w:rsidRPr="000206E7" w:rsidTr="00716683">
        <w:trPr>
          <w:trHeight w:val="20"/>
        </w:trPr>
        <w:tc>
          <w:tcPr>
            <w:tcW w:w="468" w:type="pct"/>
            <w:vMerge w:val="restart"/>
            <w:tcBorders>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 xml:space="preserve">Súdnictvo </w:t>
            </w:r>
          </w:p>
        </w:tc>
        <w:tc>
          <w:tcPr>
            <w:tcW w:w="1954" w:type="pct"/>
            <w:vMerge w:val="restart"/>
            <w:tcBorders>
              <w:left w:val="nil"/>
              <w:right w:val="nil"/>
            </w:tcBorders>
            <w:shd w:val="clear" w:color="auto" w:fill="auto"/>
            <w:vAlign w:val="center"/>
            <w:hideMark/>
          </w:tcPr>
          <w:p w:rsidR="00AA17E3" w:rsidRPr="00441800" w:rsidRDefault="00AA17E3" w:rsidP="00AA17E3">
            <w:pPr>
              <w:contextualSpacing/>
              <w:rPr>
                <w:rFonts w:ascii="Times New Roman" w:hAnsi="Times New Roman" w:cs="Times New Roman"/>
                <w:sz w:val="18"/>
                <w:szCs w:val="18"/>
              </w:rPr>
            </w:pPr>
            <w:r w:rsidRPr="00441800">
              <w:rPr>
                <w:rFonts w:ascii="Times New Roman" w:hAnsi="Times New Roman" w:cs="Times New Roman"/>
                <w:sz w:val="18"/>
                <w:szCs w:val="18"/>
              </w:rPr>
              <w:t>Dôvera v justíciu (v % obyvateľov)</w:t>
            </w:r>
          </w:p>
        </w:tc>
        <w:tc>
          <w:tcPr>
            <w:tcW w:w="313" w:type="pct"/>
            <w:tcBorders>
              <w:left w:val="nil"/>
              <w:bottom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SK</w:t>
            </w:r>
          </w:p>
        </w:tc>
        <w:tc>
          <w:tcPr>
            <w:tcW w:w="377"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27</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31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23</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28</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 </w:t>
            </w:r>
          </w:p>
        </w:tc>
        <w:tc>
          <w:tcPr>
            <w:tcW w:w="378" w:type="pct"/>
            <w:tcBorders>
              <w:left w:val="nil"/>
              <w:bottom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c>
          <w:tcPr>
            <w:tcW w:w="376" w:type="pct"/>
            <w:tcBorders>
              <w:left w:val="nil"/>
              <w:bottom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r>
      <w:tr w:rsidR="00AA17E3" w:rsidRPr="000206E7" w:rsidTr="00716683">
        <w:trPr>
          <w:trHeight w:val="20"/>
        </w:trPr>
        <w:tc>
          <w:tcPr>
            <w:tcW w:w="468" w:type="pct"/>
            <w:vMerge/>
            <w:tcBorders>
              <w:left w:val="nil"/>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1954" w:type="pct"/>
            <w:vMerge/>
            <w:tcBorders>
              <w:left w:val="nil"/>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313"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EÚ</w:t>
            </w:r>
          </w:p>
        </w:tc>
        <w:tc>
          <w:tcPr>
            <w:tcW w:w="377"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50</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51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51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27</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 </w:t>
            </w:r>
          </w:p>
        </w:tc>
        <w:tc>
          <w:tcPr>
            <w:tcW w:w="378" w:type="pct"/>
            <w:tcBorders>
              <w:top w:val="nil"/>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p>
        </w:tc>
        <w:tc>
          <w:tcPr>
            <w:tcW w:w="376" w:type="pct"/>
            <w:tcBorders>
              <w:top w:val="nil"/>
              <w:left w:val="nil"/>
              <w:bottom w:val="single" w:sz="4" w:space="0" w:color="auto"/>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p>
        </w:tc>
      </w:tr>
      <w:tr w:rsidR="00AA17E3" w:rsidRPr="000206E7" w:rsidTr="00716683">
        <w:trPr>
          <w:trHeight w:val="20"/>
        </w:trPr>
        <w:tc>
          <w:tcPr>
            <w:tcW w:w="468" w:type="pct"/>
            <w:vMerge w:val="restart"/>
            <w:tcBorders>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 xml:space="preserve">Súdnictvo </w:t>
            </w:r>
          </w:p>
        </w:tc>
        <w:tc>
          <w:tcPr>
            <w:tcW w:w="1954" w:type="pct"/>
            <w:vMerge w:val="restart"/>
            <w:tcBorders>
              <w:left w:val="nil"/>
              <w:right w:val="nil"/>
            </w:tcBorders>
            <w:shd w:val="clear" w:color="auto" w:fill="auto"/>
            <w:vAlign w:val="center"/>
            <w:hideMark/>
          </w:tcPr>
          <w:p w:rsidR="00AA17E3" w:rsidRPr="00441800" w:rsidRDefault="00AA17E3" w:rsidP="00AA17E3">
            <w:pPr>
              <w:contextualSpacing/>
              <w:rPr>
                <w:rFonts w:ascii="Times New Roman" w:hAnsi="Times New Roman" w:cs="Times New Roman"/>
                <w:sz w:val="18"/>
                <w:szCs w:val="18"/>
              </w:rPr>
            </w:pPr>
            <w:r w:rsidRPr="00441800">
              <w:rPr>
                <w:rFonts w:ascii="Times New Roman" w:hAnsi="Times New Roman" w:cs="Times New Roman"/>
                <w:sz w:val="18"/>
                <w:szCs w:val="18"/>
              </w:rPr>
              <w:t>Miera rozhodovania v netrestných veciach na OS SR</w:t>
            </w:r>
          </w:p>
        </w:tc>
        <w:tc>
          <w:tcPr>
            <w:tcW w:w="313" w:type="pct"/>
            <w:tcBorders>
              <w:left w:val="nil"/>
              <w:bottom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SK</w:t>
            </w:r>
          </w:p>
        </w:tc>
        <w:tc>
          <w:tcPr>
            <w:tcW w:w="377"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108</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111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91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 </w:t>
            </w:r>
          </w:p>
        </w:tc>
        <w:tc>
          <w:tcPr>
            <w:tcW w:w="378" w:type="pct"/>
            <w:tcBorders>
              <w:left w:val="nil"/>
              <w:bottom w:val="nil"/>
              <w:right w:val="nil"/>
            </w:tcBorders>
            <w:shd w:val="clear" w:color="auto" w:fill="auto"/>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c>
          <w:tcPr>
            <w:tcW w:w="376" w:type="pct"/>
            <w:tcBorders>
              <w:left w:val="nil"/>
              <w:bottom w:val="nil"/>
              <w:right w:val="nil"/>
            </w:tcBorders>
            <w:shd w:val="clear" w:color="auto" w:fill="auto"/>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r>
      <w:tr w:rsidR="00AA17E3" w:rsidRPr="000206E7" w:rsidTr="00716683">
        <w:trPr>
          <w:trHeight w:val="20"/>
        </w:trPr>
        <w:tc>
          <w:tcPr>
            <w:tcW w:w="468" w:type="pct"/>
            <w:vMerge/>
            <w:tcBorders>
              <w:left w:val="nil"/>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1954" w:type="pct"/>
            <w:vMerge/>
            <w:tcBorders>
              <w:left w:val="nil"/>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313" w:type="pct"/>
            <w:tcBorders>
              <w:top w:val="nil"/>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CEPEJ</w:t>
            </w:r>
          </w:p>
        </w:tc>
        <w:tc>
          <w:tcPr>
            <w:tcW w:w="377"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100</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101</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b/>
                <w:bCs/>
                <w:sz w:val="18"/>
                <w:szCs w:val="18"/>
              </w:rPr>
            </w:pPr>
            <w:r w:rsidRPr="00441800">
              <w:rPr>
                <w:rFonts w:ascii="Times New Roman" w:hAnsi="Times New Roman" w:cs="Times New Roman"/>
                <w:sz w:val="18"/>
                <w:szCs w:val="18"/>
              </w:rPr>
              <w:t>-</w:t>
            </w:r>
          </w:p>
        </w:tc>
        <w:tc>
          <w:tcPr>
            <w:tcW w:w="378"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 </w:t>
            </w:r>
          </w:p>
        </w:tc>
        <w:tc>
          <w:tcPr>
            <w:tcW w:w="378" w:type="pct"/>
            <w:tcBorders>
              <w:top w:val="nil"/>
              <w:left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p>
        </w:tc>
        <w:tc>
          <w:tcPr>
            <w:tcW w:w="376" w:type="pct"/>
            <w:tcBorders>
              <w:top w:val="nil"/>
              <w:left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p>
        </w:tc>
      </w:tr>
      <w:tr w:rsidR="00AA17E3" w:rsidRPr="000206E7" w:rsidTr="00716683">
        <w:trPr>
          <w:trHeight w:val="20"/>
        </w:trPr>
        <w:tc>
          <w:tcPr>
            <w:tcW w:w="468" w:type="pct"/>
            <w:tcBorders>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Väzenstvo</w:t>
            </w:r>
          </w:p>
        </w:tc>
        <w:tc>
          <w:tcPr>
            <w:tcW w:w="1954" w:type="pct"/>
            <w:tcBorders>
              <w:left w:val="nil"/>
              <w:right w:val="nil"/>
            </w:tcBorders>
            <w:shd w:val="clear" w:color="auto" w:fill="auto"/>
            <w:vAlign w:val="center"/>
            <w:hideMark/>
          </w:tcPr>
          <w:p w:rsidR="00AA17E3" w:rsidRPr="00441800" w:rsidRDefault="00AA17E3" w:rsidP="00AA17E3">
            <w:pPr>
              <w:contextualSpacing/>
              <w:rPr>
                <w:rFonts w:ascii="Times New Roman" w:hAnsi="Times New Roman" w:cs="Times New Roman"/>
                <w:sz w:val="18"/>
                <w:szCs w:val="18"/>
              </w:rPr>
            </w:pPr>
            <w:r w:rsidRPr="00441800">
              <w:rPr>
                <w:rFonts w:ascii="Times New Roman" w:hAnsi="Times New Roman" w:cs="Times New Roman"/>
                <w:sz w:val="18"/>
                <w:szCs w:val="18"/>
              </w:rPr>
              <w:t>Miera recidívy (penitenciárnej) (podiel v % k celkovému počtu odsúdených)</w:t>
            </w:r>
          </w:p>
        </w:tc>
        <w:tc>
          <w:tcPr>
            <w:tcW w:w="313" w:type="pct"/>
            <w:tcBorders>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SK</w:t>
            </w:r>
          </w:p>
        </w:tc>
        <w:tc>
          <w:tcPr>
            <w:tcW w:w="377" w:type="pct"/>
            <w:tcBorders>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63</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64</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63</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64</w:t>
            </w:r>
            <w:r w:rsidR="00441800">
              <w:rPr>
                <w:rFonts w:ascii="Times New Roman" w:hAnsi="Times New Roman" w:cs="Times New Roman"/>
                <w:sz w:val="18"/>
                <w:szCs w:val="18"/>
              </w:rPr>
              <w:t xml:space="preserve"> </w:t>
            </w:r>
            <w:r w:rsidRPr="00441800">
              <w:rPr>
                <w:rFonts w:ascii="Times New Roman" w:hAnsi="Times New Roman" w:cs="Times New Roman"/>
                <w:sz w:val="18"/>
                <w:szCs w:val="18"/>
              </w:rPr>
              <w:t>%</w:t>
            </w:r>
          </w:p>
        </w:tc>
        <w:tc>
          <w:tcPr>
            <w:tcW w:w="378" w:type="pct"/>
            <w:tcBorders>
              <w:left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c>
          <w:tcPr>
            <w:tcW w:w="376" w:type="pct"/>
            <w:tcBorders>
              <w:left w:val="nil"/>
              <w:right w:val="nil"/>
            </w:tcBorders>
            <w:shd w:val="clear" w:color="auto" w:fill="auto"/>
            <w:noWrap/>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r>
      <w:tr w:rsidR="00AA17E3" w:rsidRPr="000206E7" w:rsidTr="004004BC">
        <w:trPr>
          <w:trHeight w:val="20"/>
        </w:trPr>
        <w:tc>
          <w:tcPr>
            <w:tcW w:w="468" w:type="pct"/>
            <w:tcBorders>
              <w:left w:val="nil"/>
              <w:bottom w:val="single" w:sz="4" w:space="0" w:color="auto"/>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Väzenstvo</w:t>
            </w:r>
          </w:p>
        </w:tc>
        <w:tc>
          <w:tcPr>
            <w:tcW w:w="1954" w:type="pct"/>
            <w:tcBorders>
              <w:left w:val="nil"/>
              <w:bottom w:val="single" w:sz="4" w:space="0" w:color="auto"/>
              <w:right w:val="nil"/>
            </w:tcBorders>
            <w:shd w:val="clear" w:color="auto" w:fill="auto"/>
            <w:vAlign w:val="center"/>
            <w:hideMark/>
          </w:tcPr>
          <w:p w:rsidR="00AA17E3" w:rsidRPr="002F3ABA" w:rsidRDefault="00AA17E3" w:rsidP="002F3ABA">
            <w:pPr>
              <w:contextualSpacing/>
              <w:rPr>
                <w:rFonts w:ascii="Times New Roman" w:hAnsi="Times New Roman" w:cs="Times New Roman"/>
                <w:sz w:val="18"/>
                <w:szCs w:val="18"/>
                <w:vertAlign w:val="superscript"/>
              </w:rPr>
            </w:pPr>
            <w:r w:rsidRPr="00441800">
              <w:rPr>
                <w:rFonts w:ascii="Times New Roman" w:hAnsi="Times New Roman" w:cs="Times New Roman"/>
                <w:sz w:val="18"/>
                <w:szCs w:val="18"/>
              </w:rPr>
              <w:t xml:space="preserve"> Ubytovacia plocha na 1 väznenú osobu v</w:t>
            </w:r>
            <w:r w:rsidR="002F3ABA">
              <w:rPr>
                <w:rFonts w:ascii="Times New Roman" w:hAnsi="Times New Roman" w:cs="Times New Roman"/>
                <w:sz w:val="18"/>
                <w:szCs w:val="18"/>
              </w:rPr>
              <w:t> </w:t>
            </w:r>
            <w:r w:rsidRPr="00441800">
              <w:rPr>
                <w:rFonts w:ascii="Times New Roman" w:hAnsi="Times New Roman" w:cs="Times New Roman"/>
                <w:sz w:val="18"/>
                <w:szCs w:val="18"/>
              </w:rPr>
              <w:t>m</w:t>
            </w:r>
            <w:r w:rsidR="002F3ABA">
              <w:rPr>
                <w:rFonts w:ascii="Times New Roman" w:hAnsi="Times New Roman" w:cs="Times New Roman"/>
                <w:sz w:val="18"/>
                <w:szCs w:val="18"/>
                <w:vertAlign w:val="superscript"/>
              </w:rPr>
              <w:t>2</w:t>
            </w:r>
          </w:p>
        </w:tc>
        <w:tc>
          <w:tcPr>
            <w:tcW w:w="313" w:type="pct"/>
            <w:tcBorders>
              <w:left w:val="nil"/>
              <w:bottom w:val="single" w:sz="4" w:space="0" w:color="auto"/>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SK</w:t>
            </w:r>
          </w:p>
        </w:tc>
        <w:tc>
          <w:tcPr>
            <w:tcW w:w="377" w:type="pct"/>
            <w:tcBorders>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 </w:t>
            </w:r>
          </w:p>
        </w:tc>
        <w:tc>
          <w:tcPr>
            <w:tcW w:w="378" w:type="pct"/>
            <w:tcBorders>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3,52</w:t>
            </w:r>
          </w:p>
        </w:tc>
        <w:tc>
          <w:tcPr>
            <w:tcW w:w="378" w:type="pct"/>
            <w:tcBorders>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3,52</w:t>
            </w:r>
          </w:p>
        </w:tc>
        <w:tc>
          <w:tcPr>
            <w:tcW w:w="378" w:type="pct"/>
            <w:tcBorders>
              <w:left w:val="nil"/>
              <w:bottom w:val="single" w:sz="4" w:space="0" w:color="auto"/>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 </w:t>
            </w:r>
          </w:p>
        </w:tc>
        <w:tc>
          <w:tcPr>
            <w:tcW w:w="378" w:type="pct"/>
            <w:tcBorders>
              <w:left w:val="nil"/>
              <w:bottom w:val="single" w:sz="4" w:space="0" w:color="auto"/>
              <w:right w:val="nil"/>
            </w:tcBorders>
            <w:shd w:val="clear" w:color="auto" w:fill="auto"/>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c>
          <w:tcPr>
            <w:tcW w:w="376" w:type="pct"/>
            <w:tcBorders>
              <w:left w:val="nil"/>
              <w:bottom w:val="single" w:sz="4" w:space="0" w:color="auto"/>
              <w:right w:val="nil"/>
            </w:tcBorders>
            <w:shd w:val="clear" w:color="auto" w:fill="auto"/>
            <w:vAlign w:val="center"/>
          </w:tcPr>
          <w:p w:rsidR="00AA17E3" w:rsidRPr="00441800" w:rsidRDefault="00AA17E3" w:rsidP="00AA17E3">
            <w:pPr>
              <w:contextualSpacing/>
              <w:jc w:val="center"/>
              <w:rPr>
                <w:rFonts w:ascii="Times New Roman" w:hAnsi="Times New Roman" w:cs="Times New Roman"/>
                <w:bCs/>
                <w:color w:val="000000" w:themeColor="text1"/>
                <w:sz w:val="16"/>
                <w:szCs w:val="16"/>
              </w:rPr>
            </w:pPr>
            <w:r w:rsidRPr="00441800">
              <w:rPr>
                <w:rFonts w:ascii="Times New Roman" w:eastAsia="Times New Roman" w:hAnsi="Times New Roman" w:cs="Times New Roman"/>
                <w:bCs/>
                <w:color w:val="000000" w:themeColor="text1"/>
                <w:sz w:val="16"/>
                <w:szCs w:val="16"/>
                <w:lang w:eastAsia="sk-SK"/>
              </w:rPr>
              <w:t>TBD</w:t>
            </w:r>
          </w:p>
        </w:tc>
      </w:tr>
      <w:tr w:rsidR="00AA17E3" w:rsidRPr="000206E7" w:rsidTr="004004BC">
        <w:trPr>
          <w:trHeight w:val="20"/>
        </w:trPr>
        <w:tc>
          <w:tcPr>
            <w:tcW w:w="468" w:type="pct"/>
            <w:vMerge w:val="restart"/>
            <w:tcBorders>
              <w:left w:val="nil"/>
              <w:bottom w:val="single" w:sz="4" w:space="0" w:color="auto"/>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Väzenstvo</w:t>
            </w:r>
          </w:p>
        </w:tc>
        <w:tc>
          <w:tcPr>
            <w:tcW w:w="1954" w:type="pct"/>
            <w:vMerge w:val="restart"/>
            <w:tcBorders>
              <w:left w:val="nil"/>
              <w:bottom w:val="single" w:sz="4" w:space="0" w:color="auto"/>
              <w:right w:val="nil"/>
            </w:tcBorders>
            <w:shd w:val="clear" w:color="auto" w:fill="auto"/>
            <w:vAlign w:val="center"/>
            <w:hideMark/>
          </w:tcPr>
          <w:p w:rsidR="00AA17E3" w:rsidRPr="00441800" w:rsidRDefault="00AA17E3" w:rsidP="00AA17E3">
            <w:pPr>
              <w:contextualSpacing/>
              <w:rPr>
                <w:rFonts w:ascii="Times New Roman" w:hAnsi="Times New Roman" w:cs="Times New Roman"/>
                <w:sz w:val="18"/>
                <w:szCs w:val="18"/>
              </w:rPr>
            </w:pPr>
            <w:r w:rsidRPr="00441800">
              <w:rPr>
                <w:rFonts w:ascii="Times New Roman" w:hAnsi="Times New Roman" w:cs="Times New Roman"/>
                <w:sz w:val="18"/>
                <w:szCs w:val="18"/>
              </w:rPr>
              <w:t xml:space="preserve">Index väzenskej populácie  </w:t>
            </w:r>
          </w:p>
        </w:tc>
        <w:tc>
          <w:tcPr>
            <w:tcW w:w="313" w:type="pct"/>
            <w:tcBorders>
              <w:left w:val="nil"/>
              <w:bottom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SK</w:t>
            </w:r>
          </w:p>
        </w:tc>
        <w:tc>
          <w:tcPr>
            <w:tcW w:w="377"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189</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190</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194</w:t>
            </w:r>
          </w:p>
        </w:tc>
        <w:tc>
          <w:tcPr>
            <w:tcW w:w="378" w:type="pct"/>
            <w:tcBorders>
              <w:left w:val="nil"/>
              <w:bottom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 </w:t>
            </w:r>
          </w:p>
        </w:tc>
        <w:tc>
          <w:tcPr>
            <w:tcW w:w="378" w:type="pct"/>
            <w:tcBorders>
              <w:left w:val="nil"/>
              <w:bottom w:val="nil"/>
              <w:right w:val="nil"/>
            </w:tcBorders>
            <w:shd w:val="clear" w:color="auto" w:fill="auto"/>
            <w:vAlign w:val="center"/>
          </w:tcPr>
          <w:p w:rsidR="00AA17E3" w:rsidRPr="00441800" w:rsidRDefault="00AA17E3" w:rsidP="00AA17E3">
            <w:pPr>
              <w:contextualSpacing/>
              <w:jc w:val="center"/>
              <w:rPr>
                <w:rFonts w:ascii="Times New Roman" w:hAnsi="Times New Roman" w:cs="Times New Roman"/>
                <w:bCs/>
                <w:color w:val="000000" w:themeColor="text1"/>
                <w:sz w:val="18"/>
                <w:szCs w:val="18"/>
              </w:rPr>
            </w:pPr>
            <w:r w:rsidRPr="00441800">
              <w:rPr>
                <w:rFonts w:ascii="Times New Roman" w:eastAsia="Times New Roman" w:hAnsi="Times New Roman" w:cs="Times New Roman"/>
                <w:bCs/>
                <w:color w:val="000000" w:themeColor="text1"/>
                <w:sz w:val="16"/>
                <w:szCs w:val="16"/>
                <w:lang w:eastAsia="sk-SK"/>
              </w:rPr>
              <w:t>TBD</w:t>
            </w:r>
          </w:p>
        </w:tc>
        <w:tc>
          <w:tcPr>
            <w:tcW w:w="376" w:type="pct"/>
            <w:tcBorders>
              <w:left w:val="nil"/>
              <w:bottom w:val="nil"/>
              <w:right w:val="nil"/>
            </w:tcBorders>
            <w:shd w:val="clear" w:color="auto" w:fill="auto"/>
            <w:vAlign w:val="center"/>
          </w:tcPr>
          <w:p w:rsidR="00AA17E3" w:rsidRPr="00441800" w:rsidRDefault="00AA17E3" w:rsidP="00AA17E3">
            <w:pPr>
              <w:contextualSpacing/>
              <w:jc w:val="center"/>
              <w:rPr>
                <w:rFonts w:ascii="Times New Roman" w:hAnsi="Times New Roman" w:cs="Times New Roman"/>
                <w:bCs/>
                <w:color w:val="000000" w:themeColor="text1"/>
                <w:sz w:val="18"/>
                <w:szCs w:val="18"/>
              </w:rPr>
            </w:pPr>
            <w:r w:rsidRPr="00441800">
              <w:rPr>
                <w:rFonts w:ascii="Times New Roman" w:eastAsia="Times New Roman" w:hAnsi="Times New Roman" w:cs="Times New Roman"/>
                <w:bCs/>
                <w:color w:val="000000" w:themeColor="text1"/>
                <w:sz w:val="16"/>
                <w:szCs w:val="16"/>
                <w:lang w:eastAsia="sk-SK"/>
              </w:rPr>
              <w:t>TBD</w:t>
            </w:r>
          </w:p>
        </w:tc>
      </w:tr>
      <w:tr w:rsidR="00AA17E3" w:rsidRPr="000206E7" w:rsidTr="004004BC">
        <w:trPr>
          <w:trHeight w:val="20"/>
        </w:trPr>
        <w:tc>
          <w:tcPr>
            <w:tcW w:w="468" w:type="pct"/>
            <w:vMerge/>
            <w:tcBorders>
              <w:top w:val="nil"/>
              <w:left w:val="nil"/>
              <w:bottom w:val="single" w:sz="4" w:space="0" w:color="auto"/>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1954" w:type="pct"/>
            <w:vMerge/>
            <w:tcBorders>
              <w:top w:val="nil"/>
              <w:left w:val="nil"/>
              <w:bottom w:val="single" w:sz="4" w:space="0" w:color="auto"/>
              <w:right w:val="nil"/>
            </w:tcBorders>
            <w:vAlign w:val="center"/>
            <w:hideMark/>
          </w:tcPr>
          <w:p w:rsidR="00AA17E3" w:rsidRPr="00441800" w:rsidRDefault="00AA17E3" w:rsidP="00AA17E3">
            <w:pPr>
              <w:contextualSpacing/>
              <w:rPr>
                <w:rFonts w:ascii="Times New Roman" w:hAnsi="Times New Roman" w:cs="Times New Roman"/>
                <w:sz w:val="18"/>
                <w:szCs w:val="18"/>
              </w:rPr>
            </w:pPr>
          </w:p>
        </w:tc>
        <w:tc>
          <w:tcPr>
            <w:tcW w:w="313" w:type="pct"/>
            <w:tcBorders>
              <w:top w:val="nil"/>
              <w:left w:val="nil"/>
              <w:right w:val="nil"/>
            </w:tcBorders>
            <w:shd w:val="clear" w:color="auto" w:fill="auto"/>
            <w:noWrap/>
            <w:vAlign w:val="center"/>
            <w:hideMark/>
          </w:tcPr>
          <w:p w:rsidR="00AA17E3" w:rsidRPr="00441800" w:rsidRDefault="00AA17E3" w:rsidP="00AA17E3">
            <w:pPr>
              <w:contextualSpacing/>
              <w:jc w:val="center"/>
              <w:rPr>
                <w:rFonts w:ascii="Times New Roman" w:hAnsi="Times New Roman" w:cs="Times New Roman"/>
                <w:sz w:val="18"/>
                <w:szCs w:val="18"/>
              </w:rPr>
            </w:pPr>
            <w:r w:rsidRPr="00441800">
              <w:rPr>
                <w:rFonts w:ascii="Times New Roman" w:hAnsi="Times New Roman" w:cs="Times New Roman"/>
                <w:sz w:val="18"/>
                <w:szCs w:val="18"/>
              </w:rPr>
              <w:t>EÚ</w:t>
            </w:r>
          </w:p>
        </w:tc>
        <w:tc>
          <w:tcPr>
            <w:tcW w:w="377"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128</w:t>
            </w:r>
          </w:p>
        </w:tc>
        <w:tc>
          <w:tcPr>
            <w:tcW w:w="378"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124</w:t>
            </w:r>
          </w:p>
        </w:tc>
        <w:tc>
          <w:tcPr>
            <w:tcW w:w="378"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129</w:t>
            </w:r>
          </w:p>
        </w:tc>
        <w:tc>
          <w:tcPr>
            <w:tcW w:w="378" w:type="pct"/>
            <w:tcBorders>
              <w:top w:val="nil"/>
              <w:left w:val="nil"/>
              <w:right w:val="nil"/>
            </w:tcBorders>
            <w:shd w:val="clear" w:color="auto" w:fill="auto"/>
            <w:noWrap/>
            <w:vAlign w:val="center"/>
            <w:hideMark/>
          </w:tcPr>
          <w:p w:rsidR="00AA17E3" w:rsidRPr="00441800" w:rsidRDefault="00AA17E3" w:rsidP="00AA17E3">
            <w:pPr>
              <w:contextualSpacing/>
              <w:jc w:val="right"/>
              <w:rPr>
                <w:rFonts w:ascii="Times New Roman" w:hAnsi="Times New Roman" w:cs="Times New Roman"/>
                <w:sz w:val="18"/>
                <w:szCs w:val="18"/>
              </w:rPr>
            </w:pPr>
            <w:r w:rsidRPr="00441800">
              <w:rPr>
                <w:rFonts w:ascii="Times New Roman" w:hAnsi="Times New Roman" w:cs="Times New Roman"/>
                <w:sz w:val="18"/>
                <w:szCs w:val="18"/>
              </w:rPr>
              <w:t>- </w:t>
            </w:r>
          </w:p>
        </w:tc>
        <w:tc>
          <w:tcPr>
            <w:tcW w:w="378" w:type="pct"/>
            <w:tcBorders>
              <w:top w:val="nil"/>
              <w:left w:val="nil"/>
              <w:right w:val="nil"/>
            </w:tcBorders>
            <w:shd w:val="clear" w:color="auto" w:fill="auto"/>
            <w:noWrap/>
            <w:hideMark/>
          </w:tcPr>
          <w:p w:rsidR="00AA17E3" w:rsidRPr="00441800" w:rsidRDefault="00AA17E3" w:rsidP="00AA17E3">
            <w:pPr>
              <w:contextualSpacing/>
              <w:jc w:val="center"/>
              <w:rPr>
                <w:rFonts w:ascii="Times New Roman" w:hAnsi="Times New Roman" w:cs="Times New Roman"/>
                <w:bCs/>
                <w:sz w:val="18"/>
                <w:szCs w:val="18"/>
              </w:rPr>
            </w:pPr>
            <w:r w:rsidRPr="00441800">
              <w:rPr>
                <w:rFonts w:ascii="Times New Roman" w:hAnsi="Times New Roman" w:cs="Times New Roman"/>
                <w:bCs/>
                <w:sz w:val="18"/>
                <w:szCs w:val="18"/>
              </w:rPr>
              <w:t>172</w:t>
            </w:r>
          </w:p>
        </w:tc>
        <w:tc>
          <w:tcPr>
            <w:tcW w:w="376" w:type="pct"/>
            <w:tcBorders>
              <w:top w:val="nil"/>
              <w:left w:val="nil"/>
              <w:right w:val="nil"/>
            </w:tcBorders>
            <w:shd w:val="clear" w:color="auto" w:fill="auto"/>
            <w:noWrap/>
            <w:hideMark/>
          </w:tcPr>
          <w:p w:rsidR="00AA17E3" w:rsidRPr="00441800" w:rsidRDefault="00AA17E3" w:rsidP="00AA17E3">
            <w:pPr>
              <w:contextualSpacing/>
              <w:jc w:val="center"/>
              <w:rPr>
                <w:rFonts w:ascii="Times New Roman" w:hAnsi="Times New Roman" w:cs="Times New Roman"/>
                <w:bCs/>
                <w:sz w:val="18"/>
                <w:szCs w:val="18"/>
              </w:rPr>
            </w:pPr>
            <w:r w:rsidRPr="00441800">
              <w:rPr>
                <w:rFonts w:ascii="Times New Roman" w:hAnsi="Times New Roman" w:cs="Times New Roman"/>
                <w:bCs/>
                <w:sz w:val="18"/>
                <w:szCs w:val="18"/>
              </w:rPr>
              <w:t>125</w:t>
            </w:r>
          </w:p>
        </w:tc>
      </w:tr>
    </w:tbl>
    <w:p w:rsidR="00AA17E3" w:rsidRDefault="00AA17E3" w:rsidP="00AA17E3">
      <w:pPr>
        <w:jc w:val="both"/>
        <w:rPr>
          <w:rFonts w:ascii="Times New Roman" w:hAnsi="Times New Roman" w:cs="Times New Roman"/>
          <w:sz w:val="24"/>
          <w:highlight w:val="cyan"/>
        </w:rPr>
      </w:pPr>
    </w:p>
    <w:p w:rsidR="00AA17E3" w:rsidRDefault="00AA17E3" w:rsidP="005D60CF">
      <w:pPr>
        <w:spacing w:after="0"/>
        <w:jc w:val="both"/>
        <w:rPr>
          <w:rFonts w:ascii="Times New Roman" w:hAnsi="Times New Roman" w:cs="Times New Roman"/>
          <w:color w:val="000000" w:themeColor="text1"/>
          <w:sz w:val="24"/>
        </w:rPr>
      </w:pPr>
      <w:r w:rsidRPr="007511DD">
        <w:rPr>
          <w:rFonts w:ascii="Times New Roman" w:hAnsi="Times New Roman" w:cs="Times New Roman"/>
          <w:sz w:val="24"/>
        </w:rPr>
        <w:t>V</w:t>
      </w:r>
      <w:r w:rsidR="002F3ABA">
        <w:rPr>
          <w:rFonts w:ascii="Times New Roman" w:hAnsi="Times New Roman" w:cs="Times New Roman"/>
          <w:sz w:val="24"/>
        </w:rPr>
        <w:t xml:space="preserve"> roku </w:t>
      </w:r>
      <w:r w:rsidRPr="007511DD">
        <w:rPr>
          <w:rFonts w:ascii="Times New Roman" w:hAnsi="Times New Roman" w:cs="Times New Roman"/>
          <w:sz w:val="24"/>
        </w:rPr>
        <w:t xml:space="preserve">2020 dosiahlo Slovensko v dôveryhodnosti súdnictva </w:t>
      </w:r>
      <w:r w:rsidRPr="007511DD">
        <w:rPr>
          <w:rFonts w:ascii="Times New Roman" w:hAnsi="Times New Roman" w:cs="Times New Roman"/>
          <w:color w:val="000000" w:themeColor="text1"/>
          <w:sz w:val="24"/>
        </w:rPr>
        <w:t>druhý najhorší výsledok spomedzi členov EÚ. Negatívne vnímajú slovenské súdnictvo aj firmy (štvrté najhoršie miesto v EÚ). Významný prepad dôveryhodnosti  nastal najmä v poslednom období (údaje podľa Gallup World Poll).</w:t>
      </w:r>
    </w:p>
    <w:p w:rsidR="005D60CF" w:rsidRPr="00BC2D61" w:rsidRDefault="005D60CF" w:rsidP="005D60CF">
      <w:pPr>
        <w:spacing w:after="0"/>
        <w:jc w:val="both"/>
        <w:rPr>
          <w:rFonts w:ascii="Times New Roman" w:hAnsi="Times New Roman" w:cs="Times New Roman"/>
          <w:color w:val="000000" w:themeColor="text1"/>
          <w:sz w:val="24"/>
        </w:rPr>
      </w:pPr>
    </w:p>
    <w:p w:rsidR="00AA17E3" w:rsidRPr="00BC2D61" w:rsidRDefault="00AA17E3" w:rsidP="005D60CF">
      <w:pPr>
        <w:spacing w:after="0"/>
        <w:jc w:val="both"/>
        <w:rPr>
          <w:rFonts w:ascii="Times New Roman" w:hAnsi="Times New Roman" w:cs="Times New Roman"/>
          <w:color w:val="000000" w:themeColor="text1"/>
          <w:sz w:val="24"/>
        </w:rPr>
      </w:pPr>
      <w:r w:rsidRPr="007511DD">
        <w:rPr>
          <w:rFonts w:ascii="Times New Roman" w:hAnsi="Times New Roman" w:cs="Times New Roman"/>
          <w:bCs/>
          <w:color w:val="000000" w:themeColor="text1"/>
          <w:sz w:val="24"/>
        </w:rPr>
        <w:t>Z hľadiska schopnosti vysporiadania sa súdov s nápadom vecí je situácia o niečo lepšia</w:t>
      </w:r>
      <w:r w:rsidRPr="007511DD">
        <w:rPr>
          <w:rFonts w:ascii="Times New Roman" w:hAnsi="Times New Roman" w:cs="Times New Roman"/>
          <w:color w:val="000000" w:themeColor="text1"/>
          <w:sz w:val="24"/>
        </w:rPr>
        <w:t>. V netrestnej agende  je v ukazovateli dispozičného času vybavenia veci na 19. mieste spomedzi 42 krajín a v ukazovateli miery vybavenia  došlých vecí na 3. mieste spomedzi 49 krajín Rady Európy. Vo väčšine posledných rokov dokázali slovenské súdy vyriešiť všetky došlé veci v danom roku, čiastočne sa dokázali vysporiadať aj so staršími prípadmi. V roku 2019 sa miera rozhodovania prepadla na 91 %, mal</w:t>
      </w:r>
      <w:r w:rsidR="00D10C0E">
        <w:rPr>
          <w:rFonts w:ascii="Times New Roman" w:hAnsi="Times New Roman" w:cs="Times New Roman"/>
          <w:color w:val="000000" w:themeColor="text1"/>
          <w:sz w:val="24"/>
        </w:rPr>
        <w:t>o</w:t>
      </w:r>
      <w:r w:rsidRPr="007511DD">
        <w:rPr>
          <w:rFonts w:ascii="Times New Roman" w:hAnsi="Times New Roman" w:cs="Times New Roman"/>
          <w:color w:val="000000" w:themeColor="text1"/>
          <w:sz w:val="24"/>
        </w:rPr>
        <w:t xml:space="preserve"> by to byť však iba jednoročné zníženie miery rozhodovania.</w:t>
      </w:r>
      <w:r w:rsidRPr="00BC2D61">
        <w:rPr>
          <w:rFonts w:ascii="Times New Roman" w:hAnsi="Times New Roman" w:cs="Times New Roman"/>
          <w:color w:val="000000" w:themeColor="text1"/>
          <w:sz w:val="24"/>
        </w:rPr>
        <w:t xml:space="preserve">  </w:t>
      </w:r>
    </w:p>
    <w:p w:rsidR="00AA17E3" w:rsidRPr="00BC2D61" w:rsidRDefault="00AA17E3" w:rsidP="00AA17E3">
      <w:pPr>
        <w:spacing w:after="0"/>
        <w:jc w:val="both"/>
        <w:rPr>
          <w:rFonts w:ascii="Times New Roman" w:hAnsi="Times New Roman" w:cs="Times New Roman"/>
          <w:color w:val="000000" w:themeColor="text1"/>
          <w:sz w:val="24"/>
        </w:rPr>
      </w:pPr>
    </w:p>
    <w:p w:rsidR="00AA17E3" w:rsidRPr="000206E7" w:rsidRDefault="00AA17E3" w:rsidP="00AA17E3">
      <w:pPr>
        <w:spacing w:after="0"/>
        <w:jc w:val="both"/>
        <w:rPr>
          <w:rFonts w:ascii="Times New Roman" w:hAnsi="Times New Roman"/>
          <w:b/>
          <w:sz w:val="24"/>
          <w:szCs w:val="24"/>
        </w:rPr>
      </w:pPr>
      <w:r w:rsidRPr="007511DD">
        <w:rPr>
          <w:rFonts w:ascii="Times New Roman" w:hAnsi="Times New Roman"/>
          <w:color w:val="000000" w:themeColor="text1"/>
          <w:sz w:val="24"/>
          <w:szCs w:val="24"/>
        </w:rPr>
        <w:t>Miera recidívy a index väzenskej populácie patria medzi hlavné sledované indikátory v oblasti Zboru väzenskej a justi</w:t>
      </w:r>
      <w:r w:rsidRPr="007511DD">
        <w:rPr>
          <w:rFonts w:ascii="Times New Roman" w:hAnsi="Times New Roman" w:hint="eastAsia"/>
          <w:color w:val="000000" w:themeColor="text1"/>
          <w:sz w:val="24"/>
          <w:szCs w:val="24"/>
        </w:rPr>
        <w:t>č</w:t>
      </w:r>
      <w:r w:rsidRPr="007511DD">
        <w:rPr>
          <w:rFonts w:ascii="Times New Roman" w:hAnsi="Times New Roman"/>
          <w:color w:val="000000" w:themeColor="text1"/>
          <w:sz w:val="24"/>
          <w:szCs w:val="24"/>
        </w:rPr>
        <w:t>nej stráže. Výchovným programom po</w:t>
      </w:r>
      <w:r w:rsidRPr="007511DD">
        <w:rPr>
          <w:rFonts w:ascii="Times New Roman" w:hAnsi="Times New Roman" w:hint="eastAsia"/>
          <w:color w:val="000000" w:themeColor="text1"/>
          <w:sz w:val="24"/>
          <w:szCs w:val="24"/>
        </w:rPr>
        <w:t>č</w:t>
      </w:r>
      <w:r w:rsidRPr="007511DD">
        <w:rPr>
          <w:rFonts w:ascii="Times New Roman" w:hAnsi="Times New Roman"/>
          <w:color w:val="000000" w:themeColor="text1"/>
          <w:sz w:val="24"/>
          <w:szCs w:val="24"/>
        </w:rPr>
        <w:t>as výkonu trestu je možné zníži</w:t>
      </w:r>
      <w:r w:rsidRPr="007511DD">
        <w:rPr>
          <w:rFonts w:ascii="Times New Roman" w:hAnsi="Times New Roman" w:hint="eastAsia"/>
          <w:color w:val="000000" w:themeColor="text1"/>
          <w:sz w:val="24"/>
          <w:szCs w:val="24"/>
        </w:rPr>
        <w:t>ť</w:t>
      </w:r>
      <w:r w:rsidRPr="007511DD">
        <w:rPr>
          <w:rFonts w:ascii="Times New Roman" w:hAnsi="Times New Roman"/>
          <w:color w:val="000000" w:themeColor="text1"/>
          <w:sz w:val="24"/>
          <w:szCs w:val="24"/>
        </w:rPr>
        <w:t xml:space="preserve"> mieru recidívy. Index väzenskej populácie, ktorý sleduje počet väznených osôb na 100 tis. obyvateľov, v posledných rokoch rastie, oproti iným krajinám EÚ je o polovicu vyšší. Medzi hlavné indikátory patrí aj ubytovacia plocha  na jedného väz</w:t>
      </w:r>
      <w:r w:rsidRPr="007511DD">
        <w:rPr>
          <w:rFonts w:ascii="Times New Roman" w:hAnsi="Times New Roman" w:hint="eastAsia"/>
          <w:color w:val="000000" w:themeColor="text1"/>
          <w:sz w:val="24"/>
          <w:szCs w:val="24"/>
        </w:rPr>
        <w:t>ň</w:t>
      </w:r>
      <w:r w:rsidRPr="007511DD">
        <w:rPr>
          <w:rFonts w:ascii="Times New Roman" w:hAnsi="Times New Roman"/>
          <w:color w:val="000000" w:themeColor="text1"/>
          <w:sz w:val="24"/>
          <w:szCs w:val="24"/>
        </w:rPr>
        <w:t>a, jej úroveň je stabilná, no v budúcnosti sa bude pravdepodobne zvyšovať.</w:t>
      </w:r>
      <w:r w:rsidRPr="000206E7">
        <w:rPr>
          <w:rFonts w:ascii="Times New Roman" w:hAnsi="Times New Roman"/>
          <w:b/>
          <w:sz w:val="24"/>
          <w:szCs w:val="24"/>
        </w:rPr>
        <w:t xml:space="preserve"> </w:t>
      </w:r>
    </w:p>
    <w:p w:rsidR="009A3DA3" w:rsidRPr="005D60CF" w:rsidRDefault="009A3DA3" w:rsidP="009A3DA3">
      <w:pPr>
        <w:pStyle w:val="Popis"/>
        <w:keepNext/>
        <w:spacing w:after="0"/>
        <w:rPr>
          <w:rFonts w:ascii="Times New Roman" w:hAnsi="Times New Roman"/>
          <w:b/>
          <w:i w:val="0"/>
          <w:sz w:val="24"/>
          <w:szCs w:val="20"/>
        </w:rPr>
      </w:pPr>
    </w:p>
    <w:tbl>
      <w:tblPr>
        <w:tblpPr w:leftFromText="141" w:rightFromText="141" w:vertAnchor="text" w:horzAnchor="margin" w:tblpY="262"/>
        <w:tblW w:w="5000" w:type="pct"/>
        <w:tblCellMar>
          <w:left w:w="70" w:type="dxa"/>
          <w:right w:w="70" w:type="dxa"/>
        </w:tblCellMar>
        <w:tblLook w:val="04A0" w:firstRow="1" w:lastRow="0" w:firstColumn="1" w:lastColumn="0" w:noHBand="0" w:noVBand="1"/>
      </w:tblPr>
      <w:tblGrid>
        <w:gridCol w:w="2127"/>
        <w:gridCol w:w="993"/>
        <w:gridCol w:w="993"/>
        <w:gridCol w:w="992"/>
        <w:gridCol w:w="992"/>
        <w:gridCol w:w="992"/>
        <w:gridCol w:w="992"/>
        <w:gridCol w:w="991"/>
      </w:tblGrid>
      <w:tr w:rsidR="00AA17E3" w:rsidRPr="00877462" w:rsidTr="00AA17E3">
        <w:trPr>
          <w:trHeight w:val="261"/>
        </w:trPr>
        <w:tc>
          <w:tcPr>
            <w:tcW w:w="1172" w:type="pct"/>
            <w:tcBorders>
              <w:top w:val="single" w:sz="4" w:space="0" w:color="auto"/>
              <w:bottom w:val="single" w:sz="4" w:space="0" w:color="auto"/>
            </w:tcBorders>
            <w:shd w:val="clear" w:color="auto" w:fill="auto"/>
            <w:noWrap/>
            <w:vAlign w:val="center"/>
          </w:tcPr>
          <w:p w:rsidR="00AA17E3" w:rsidRPr="00257A31" w:rsidRDefault="00AA17E3" w:rsidP="00AA17E3">
            <w:pPr>
              <w:rPr>
                <w:rFonts w:ascii="Times New Roman" w:hAnsi="Times New Roman"/>
                <w:b/>
                <w:sz w:val="16"/>
                <w:szCs w:val="16"/>
              </w:rPr>
            </w:pPr>
            <w:r w:rsidRPr="00257A31">
              <w:rPr>
                <w:rFonts w:ascii="Times New Roman" w:hAnsi="Times New Roman"/>
                <w:b/>
                <w:sz w:val="16"/>
                <w:szCs w:val="16"/>
              </w:rPr>
              <w:t>v tis. eur</w:t>
            </w:r>
          </w:p>
        </w:tc>
        <w:tc>
          <w:tcPr>
            <w:tcW w:w="547" w:type="pct"/>
            <w:tcBorders>
              <w:top w:val="single" w:sz="4" w:space="0" w:color="auto"/>
              <w:bottom w:val="single" w:sz="4" w:space="0" w:color="auto"/>
            </w:tcBorders>
            <w:shd w:val="clear" w:color="auto" w:fill="auto"/>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201</w:t>
            </w:r>
            <w:r>
              <w:rPr>
                <w:rFonts w:ascii="Times New Roman" w:hAnsi="Times New Roman"/>
                <w:b/>
                <w:bCs/>
                <w:color w:val="000000"/>
                <w:sz w:val="16"/>
                <w:szCs w:val="16"/>
              </w:rPr>
              <w:t>9</w:t>
            </w:r>
            <w:r w:rsidRPr="00257A31">
              <w:rPr>
                <w:rFonts w:ascii="Times New Roman" w:hAnsi="Times New Roman"/>
                <w:b/>
                <w:bCs/>
                <w:color w:val="000000"/>
                <w:sz w:val="16"/>
                <w:szCs w:val="16"/>
              </w:rPr>
              <w:t xml:space="preserve"> S</w:t>
            </w:r>
          </w:p>
        </w:tc>
        <w:tc>
          <w:tcPr>
            <w:tcW w:w="547"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highlight w:val="yellow"/>
              </w:rPr>
            </w:pPr>
            <w:r w:rsidRPr="00257A31">
              <w:rPr>
                <w:rFonts w:ascii="Times New Roman" w:hAnsi="Times New Roman"/>
                <w:b/>
                <w:bCs/>
                <w:color w:val="000000"/>
                <w:sz w:val="16"/>
                <w:szCs w:val="16"/>
              </w:rPr>
              <w:t>20</w:t>
            </w:r>
            <w:r>
              <w:rPr>
                <w:rFonts w:ascii="Times New Roman" w:hAnsi="Times New Roman"/>
                <w:b/>
                <w:bCs/>
                <w:color w:val="000000"/>
                <w:sz w:val="16"/>
                <w:szCs w:val="16"/>
              </w:rPr>
              <w:t>20</w:t>
            </w:r>
            <w:r w:rsidRPr="00257A31">
              <w:rPr>
                <w:rFonts w:ascii="Times New Roman" w:hAnsi="Times New Roman"/>
                <w:b/>
                <w:bCs/>
                <w:color w:val="000000"/>
                <w:sz w:val="16"/>
                <w:szCs w:val="16"/>
              </w:rPr>
              <w:t xml:space="preserve"> S </w:t>
            </w:r>
          </w:p>
        </w:tc>
        <w:tc>
          <w:tcPr>
            <w:tcW w:w="547"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R</w:t>
            </w:r>
          </w:p>
        </w:tc>
        <w:tc>
          <w:tcPr>
            <w:tcW w:w="547" w:type="pct"/>
            <w:tcBorders>
              <w:top w:val="single" w:sz="4" w:space="0" w:color="auto"/>
              <w:bottom w:val="single" w:sz="4" w:space="0" w:color="auto"/>
            </w:tcBorders>
            <w:shd w:val="clear" w:color="auto" w:fill="auto"/>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OS</w:t>
            </w:r>
          </w:p>
        </w:tc>
        <w:tc>
          <w:tcPr>
            <w:tcW w:w="547"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w:t>
            </w:r>
            <w:r>
              <w:rPr>
                <w:rFonts w:ascii="Times New Roman" w:hAnsi="Times New Roman"/>
                <w:b/>
                <w:bCs/>
                <w:color w:val="000000"/>
                <w:sz w:val="16"/>
                <w:szCs w:val="16"/>
              </w:rPr>
              <w:t>022</w:t>
            </w:r>
            <w:r w:rsidRPr="00257A31">
              <w:rPr>
                <w:rFonts w:ascii="Times New Roman" w:hAnsi="Times New Roman"/>
                <w:b/>
                <w:bCs/>
                <w:color w:val="000000"/>
                <w:sz w:val="16"/>
                <w:szCs w:val="16"/>
              </w:rPr>
              <w:t xml:space="preserve"> N</w:t>
            </w:r>
          </w:p>
        </w:tc>
        <w:tc>
          <w:tcPr>
            <w:tcW w:w="547"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3</w:t>
            </w:r>
            <w:r w:rsidRPr="00257A31">
              <w:rPr>
                <w:rFonts w:ascii="Times New Roman" w:hAnsi="Times New Roman"/>
                <w:b/>
                <w:bCs/>
                <w:color w:val="000000"/>
                <w:sz w:val="16"/>
                <w:szCs w:val="16"/>
              </w:rPr>
              <w:t xml:space="preserve"> N</w:t>
            </w:r>
          </w:p>
        </w:tc>
        <w:tc>
          <w:tcPr>
            <w:tcW w:w="546" w:type="pct"/>
            <w:tcBorders>
              <w:top w:val="single" w:sz="4" w:space="0" w:color="auto"/>
              <w:bottom w:val="single" w:sz="4" w:space="0" w:color="auto"/>
            </w:tcBorders>
            <w:shd w:val="clear" w:color="auto" w:fill="auto"/>
            <w:noWrap/>
            <w:vAlign w:val="center"/>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4</w:t>
            </w:r>
            <w:r w:rsidRPr="00257A31">
              <w:rPr>
                <w:rFonts w:ascii="Times New Roman" w:hAnsi="Times New Roman"/>
                <w:b/>
                <w:bCs/>
                <w:color w:val="000000"/>
                <w:sz w:val="16"/>
                <w:szCs w:val="16"/>
              </w:rPr>
              <w:t xml:space="preserve"> N</w:t>
            </w:r>
          </w:p>
        </w:tc>
      </w:tr>
      <w:tr w:rsidR="00AA17E3" w:rsidRPr="00E03D3A" w:rsidTr="00AA17E3">
        <w:trPr>
          <w:trHeight w:val="261"/>
        </w:trPr>
        <w:tc>
          <w:tcPr>
            <w:tcW w:w="1172" w:type="pct"/>
            <w:tcBorders>
              <w:top w:val="single" w:sz="4" w:space="0" w:color="auto"/>
            </w:tcBorders>
            <w:shd w:val="clear" w:color="auto" w:fill="auto"/>
            <w:vAlign w:val="bottom"/>
          </w:tcPr>
          <w:p w:rsidR="00AA17E3" w:rsidRPr="00D94D20" w:rsidRDefault="00AA17E3" w:rsidP="00AA17E3">
            <w:pPr>
              <w:rPr>
                <w:rFonts w:ascii="Times New Roman" w:hAnsi="Times New Roman"/>
                <w:b/>
                <w:bCs/>
                <w:sz w:val="16"/>
                <w:szCs w:val="16"/>
              </w:rPr>
            </w:pPr>
            <w:r w:rsidRPr="00D94D20">
              <w:rPr>
                <w:rFonts w:ascii="Times New Roman" w:hAnsi="Times New Roman"/>
                <w:b/>
                <w:bCs/>
                <w:sz w:val="16"/>
                <w:szCs w:val="16"/>
              </w:rPr>
              <w:t>Súdnictvo a prokuratúra</w:t>
            </w:r>
          </w:p>
        </w:tc>
        <w:tc>
          <w:tcPr>
            <w:tcW w:w="547" w:type="pct"/>
            <w:tcBorders>
              <w:top w:val="nil"/>
              <w:left w:val="nil"/>
              <w:bottom w:val="nil"/>
              <w:right w:val="nil"/>
            </w:tcBorders>
            <w:shd w:val="clear" w:color="auto" w:fill="auto"/>
            <w:noWrap/>
          </w:tcPr>
          <w:p w:rsidR="00AA17E3" w:rsidRPr="003E6202" w:rsidRDefault="00AA17E3" w:rsidP="00AA17E3">
            <w:pPr>
              <w:jc w:val="right"/>
              <w:rPr>
                <w:rFonts w:ascii="Times New Roman" w:hAnsi="Times New Roman"/>
                <w:b/>
                <w:bCs/>
                <w:color w:val="000000"/>
                <w:sz w:val="16"/>
                <w:szCs w:val="16"/>
                <w:highlight w:val="green"/>
              </w:rPr>
            </w:pPr>
            <w:r w:rsidRPr="00E64CA0">
              <w:rPr>
                <w:rFonts w:ascii="Times New Roman" w:hAnsi="Times New Roman"/>
                <w:b/>
                <w:bCs/>
                <w:color w:val="000000"/>
                <w:sz w:val="16"/>
                <w:szCs w:val="16"/>
              </w:rPr>
              <w:t>423 455</w:t>
            </w:r>
          </w:p>
        </w:tc>
        <w:tc>
          <w:tcPr>
            <w:tcW w:w="547" w:type="pct"/>
            <w:tcBorders>
              <w:top w:val="nil"/>
              <w:left w:val="nil"/>
              <w:bottom w:val="nil"/>
              <w:right w:val="nil"/>
            </w:tcBorders>
            <w:shd w:val="clear" w:color="auto" w:fill="auto"/>
            <w:noWrap/>
          </w:tcPr>
          <w:p w:rsidR="00AA17E3" w:rsidRPr="003E6202" w:rsidRDefault="00AA17E3" w:rsidP="00AA17E3">
            <w:pPr>
              <w:jc w:val="right"/>
              <w:rPr>
                <w:rFonts w:ascii="Times New Roman" w:hAnsi="Times New Roman"/>
                <w:b/>
                <w:bCs/>
                <w:color w:val="000000"/>
                <w:sz w:val="16"/>
                <w:szCs w:val="16"/>
                <w:highlight w:val="green"/>
              </w:rPr>
            </w:pPr>
            <w:r w:rsidRPr="00860187">
              <w:rPr>
                <w:rFonts w:ascii="Times New Roman" w:hAnsi="Times New Roman"/>
                <w:b/>
                <w:bCs/>
                <w:color w:val="000000"/>
                <w:sz w:val="16"/>
                <w:szCs w:val="16"/>
              </w:rPr>
              <w:t>439 194</w:t>
            </w:r>
          </w:p>
        </w:tc>
        <w:tc>
          <w:tcPr>
            <w:tcW w:w="547" w:type="pct"/>
            <w:tcBorders>
              <w:top w:val="nil"/>
              <w:left w:val="nil"/>
              <w:bottom w:val="nil"/>
              <w:right w:val="nil"/>
            </w:tcBorders>
            <w:shd w:val="clear" w:color="auto" w:fill="auto"/>
            <w:noWrap/>
          </w:tcPr>
          <w:p w:rsidR="00AA17E3" w:rsidRPr="003E6202" w:rsidRDefault="00AA17E3" w:rsidP="00AA17E3">
            <w:pPr>
              <w:jc w:val="right"/>
              <w:rPr>
                <w:rFonts w:ascii="Times New Roman" w:hAnsi="Times New Roman"/>
                <w:b/>
                <w:bCs/>
                <w:color w:val="000000"/>
                <w:sz w:val="16"/>
                <w:szCs w:val="16"/>
                <w:highlight w:val="green"/>
              </w:rPr>
            </w:pPr>
            <w:r w:rsidRPr="00DD7051">
              <w:rPr>
                <w:rFonts w:ascii="Times New Roman" w:hAnsi="Times New Roman"/>
                <w:b/>
                <w:bCs/>
                <w:color w:val="000000"/>
                <w:sz w:val="16"/>
                <w:szCs w:val="16"/>
              </w:rPr>
              <w:t>404 948</w:t>
            </w:r>
          </w:p>
        </w:tc>
        <w:tc>
          <w:tcPr>
            <w:tcW w:w="547" w:type="pct"/>
            <w:tcBorders>
              <w:top w:val="nil"/>
              <w:left w:val="nil"/>
              <w:bottom w:val="nil"/>
              <w:right w:val="nil"/>
            </w:tcBorders>
            <w:shd w:val="clear" w:color="auto" w:fill="auto"/>
          </w:tcPr>
          <w:p w:rsidR="00AA17E3" w:rsidRPr="003E6202" w:rsidRDefault="00AA17E3" w:rsidP="00AA17E3">
            <w:pPr>
              <w:jc w:val="right"/>
              <w:rPr>
                <w:rFonts w:ascii="Times New Roman" w:hAnsi="Times New Roman"/>
                <w:b/>
                <w:bCs/>
                <w:color w:val="000000"/>
                <w:sz w:val="16"/>
                <w:szCs w:val="16"/>
                <w:highlight w:val="green"/>
              </w:rPr>
            </w:pPr>
            <w:r w:rsidRPr="00B112D8">
              <w:rPr>
                <w:rFonts w:ascii="Times New Roman" w:hAnsi="Times New Roman"/>
                <w:b/>
                <w:bCs/>
                <w:color w:val="000000"/>
                <w:sz w:val="16"/>
                <w:szCs w:val="16"/>
              </w:rPr>
              <w:t>483 281</w:t>
            </w:r>
          </w:p>
        </w:tc>
        <w:tc>
          <w:tcPr>
            <w:tcW w:w="547" w:type="pct"/>
            <w:tcBorders>
              <w:top w:val="nil"/>
              <w:left w:val="nil"/>
              <w:bottom w:val="nil"/>
              <w:right w:val="nil"/>
            </w:tcBorders>
            <w:shd w:val="clear" w:color="auto" w:fill="auto"/>
            <w:noWrap/>
          </w:tcPr>
          <w:p w:rsidR="00AA17E3" w:rsidRPr="003E6202" w:rsidRDefault="0099665B" w:rsidP="00AA17E3">
            <w:pPr>
              <w:jc w:val="right"/>
              <w:rPr>
                <w:rFonts w:ascii="Times New Roman" w:hAnsi="Times New Roman"/>
                <w:b/>
                <w:bCs/>
                <w:color w:val="000000"/>
                <w:sz w:val="16"/>
                <w:szCs w:val="16"/>
                <w:highlight w:val="green"/>
              </w:rPr>
            </w:pPr>
            <w:r w:rsidRPr="00E876F8">
              <w:rPr>
                <w:rFonts w:ascii="Times New Roman" w:hAnsi="Times New Roman"/>
                <w:b/>
                <w:bCs/>
                <w:color w:val="000000"/>
                <w:sz w:val="16"/>
                <w:szCs w:val="16"/>
              </w:rPr>
              <w:t>494 416</w:t>
            </w:r>
          </w:p>
        </w:tc>
        <w:tc>
          <w:tcPr>
            <w:tcW w:w="547" w:type="pct"/>
            <w:tcBorders>
              <w:top w:val="nil"/>
              <w:left w:val="nil"/>
              <w:bottom w:val="nil"/>
              <w:right w:val="nil"/>
            </w:tcBorders>
            <w:shd w:val="clear" w:color="auto" w:fill="auto"/>
            <w:noWrap/>
          </w:tcPr>
          <w:p w:rsidR="00AA17E3" w:rsidRPr="003E6202" w:rsidRDefault="0099665B" w:rsidP="00AA17E3">
            <w:pPr>
              <w:jc w:val="right"/>
              <w:rPr>
                <w:rFonts w:ascii="Times New Roman" w:hAnsi="Times New Roman"/>
                <w:b/>
                <w:bCs/>
                <w:color w:val="000000"/>
                <w:sz w:val="16"/>
                <w:szCs w:val="16"/>
                <w:highlight w:val="green"/>
              </w:rPr>
            </w:pPr>
            <w:r w:rsidRPr="00E876F8">
              <w:rPr>
                <w:rFonts w:ascii="Times New Roman" w:hAnsi="Times New Roman"/>
                <w:b/>
                <w:bCs/>
                <w:color w:val="000000"/>
                <w:sz w:val="16"/>
                <w:szCs w:val="16"/>
              </w:rPr>
              <w:t>540 740</w:t>
            </w:r>
          </w:p>
        </w:tc>
        <w:tc>
          <w:tcPr>
            <w:tcW w:w="546" w:type="pct"/>
            <w:tcBorders>
              <w:top w:val="nil"/>
              <w:left w:val="nil"/>
              <w:bottom w:val="nil"/>
              <w:right w:val="nil"/>
            </w:tcBorders>
            <w:shd w:val="clear" w:color="auto" w:fill="auto"/>
            <w:noWrap/>
          </w:tcPr>
          <w:p w:rsidR="00AA17E3" w:rsidRPr="00E03D3A" w:rsidRDefault="0099665B" w:rsidP="00AA17E3">
            <w:pPr>
              <w:jc w:val="right"/>
              <w:rPr>
                <w:rFonts w:ascii="Times New Roman" w:hAnsi="Times New Roman"/>
                <w:b/>
                <w:bCs/>
                <w:color w:val="000000"/>
                <w:sz w:val="16"/>
                <w:szCs w:val="16"/>
              </w:rPr>
            </w:pPr>
            <w:r w:rsidRPr="00E876F8">
              <w:rPr>
                <w:rFonts w:ascii="Times New Roman" w:hAnsi="Times New Roman"/>
                <w:b/>
                <w:bCs/>
                <w:color w:val="000000"/>
                <w:sz w:val="16"/>
                <w:szCs w:val="16"/>
              </w:rPr>
              <w:t>536 983</w:t>
            </w:r>
          </w:p>
        </w:tc>
      </w:tr>
      <w:tr w:rsidR="00AA17E3" w:rsidRPr="003E6202" w:rsidTr="00AA17E3">
        <w:trPr>
          <w:trHeight w:val="261"/>
        </w:trPr>
        <w:tc>
          <w:tcPr>
            <w:tcW w:w="1172" w:type="pct"/>
            <w:shd w:val="clear" w:color="auto" w:fill="auto"/>
            <w:vAlign w:val="bottom"/>
          </w:tcPr>
          <w:p w:rsidR="00AA17E3" w:rsidRPr="00045DAB" w:rsidRDefault="00AA17E3" w:rsidP="00AA17E3">
            <w:pPr>
              <w:rPr>
                <w:rFonts w:ascii="Times New Roman" w:hAnsi="Times New Roman"/>
                <w:sz w:val="15"/>
                <w:szCs w:val="15"/>
              </w:rPr>
            </w:pPr>
            <w:r w:rsidRPr="00045DAB">
              <w:rPr>
                <w:rFonts w:ascii="Times New Roman" w:hAnsi="Times New Roman"/>
                <w:sz w:val="15"/>
                <w:szCs w:val="15"/>
              </w:rPr>
              <w:t>Ministerstvo spravodlivosti</w:t>
            </w:r>
          </w:p>
        </w:tc>
        <w:tc>
          <w:tcPr>
            <w:tcW w:w="547" w:type="pct"/>
            <w:shd w:val="clear" w:color="auto" w:fill="auto"/>
            <w:noWrap/>
          </w:tcPr>
          <w:p w:rsidR="00AA17E3" w:rsidRPr="0058441F" w:rsidRDefault="00AA17E3" w:rsidP="00AA17E3">
            <w:pPr>
              <w:jc w:val="right"/>
              <w:rPr>
                <w:rFonts w:ascii="Times New Roman" w:hAnsi="Times New Roman"/>
                <w:bCs/>
                <w:sz w:val="16"/>
                <w:szCs w:val="16"/>
              </w:rPr>
            </w:pPr>
            <w:r w:rsidRPr="00E64CA0">
              <w:rPr>
                <w:rFonts w:ascii="Times New Roman" w:hAnsi="Times New Roman"/>
                <w:bCs/>
                <w:sz w:val="16"/>
                <w:szCs w:val="16"/>
              </w:rPr>
              <w:t>280 533</w:t>
            </w:r>
          </w:p>
        </w:tc>
        <w:tc>
          <w:tcPr>
            <w:tcW w:w="547" w:type="pct"/>
            <w:shd w:val="clear" w:color="auto" w:fill="auto"/>
            <w:noWrap/>
          </w:tcPr>
          <w:p w:rsidR="00AA17E3" w:rsidRPr="0058441F" w:rsidRDefault="00AA17E3" w:rsidP="00AA17E3">
            <w:pPr>
              <w:jc w:val="right"/>
              <w:rPr>
                <w:rFonts w:ascii="Times New Roman" w:hAnsi="Times New Roman"/>
                <w:bCs/>
                <w:sz w:val="16"/>
                <w:szCs w:val="16"/>
              </w:rPr>
            </w:pPr>
            <w:r w:rsidRPr="0058441F">
              <w:rPr>
                <w:rFonts w:ascii="Times New Roman" w:hAnsi="Times New Roman"/>
                <w:bCs/>
                <w:sz w:val="16"/>
                <w:szCs w:val="16"/>
              </w:rPr>
              <w:t>293 170</w:t>
            </w:r>
          </w:p>
        </w:tc>
        <w:tc>
          <w:tcPr>
            <w:tcW w:w="547" w:type="pct"/>
            <w:shd w:val="clear" w:color="auto" w:fill="auto"/>
          </w:tcPr>
          <w:p w:rsidR="00AA17E3" w:rsidRPr="00EC681B" w:rsidRDefault="00AA17E3" w:rsidP="00AA17E3">
            <w:pPr>
              <w:jc w:val="right"/>
              <w:rPr>
                <w:rFonts w:ascii="Times New Roman" w:hAnsi="Times New Roman"/>
                <w:bCs/>
                <w:sz w:val="16"/>
                <w:szCs w:val="16"/>
                <w:highlight w:val="green"/>
              </w:rPr>
            </w:pPr>
            <w:r w:rsidRPr="00DD7051">
              <w:rPr>
                <w:rFonts w:ascii="Times New Roman" w:hAnsi="Times New Roman"/>
                <w:bCs/>
                <w:sz w:val="16"/>
                <w:szCs w:val="16"/>
              </w:rPr>
              <w:t>260 084</w:t>
            </w:r>
          </w:p>
        </w:tc>
        <w:tc>
          <w:tcPr>
            <w:tcW w:w="547" w:type="pct"/>
            <w:shd w:val="clear" w:color="auto" w:fill="auto"/>
          </w:tcPr>
          <w:p w:rsidR="00AA17E3" w:rsidRPr="00B112D8" w:rsidRDefault="00AA17E3" w:rsidP="00AA17E3">
            <w:pPr>
              <w:jc w:val="right"/>
              <w:rPr>
                <w:rFonts w:ascii="Times New Roman" w:hAnsi="Times New Roman"/>
                <w:bCs/>
                <w:sz w:val="16"/>
                <w:szCs w:val="16"/>
              </w:rPr>
            </w:pPr>
            <w:r w:rsidRPr="00B112D8">
              <w:rPr>
                <w:rFonts w:ascii="Times New Roman" w:hAnsi="Times New Roman"/>
                <w:bCs/>
                <w:sz w:val="16"/>
                <w:szCs w:val="16"/>
              </w:rPr>
              <w:t>321 556</w:t>
            </w:r>
          </w:p>
        </w:tc>
        <w:tc>
          <w:tcPr>
            <w:tcW w:w="547" w:type="pct"/>
            <w:shd w:val="clear" w:color="auto" w:fill="auto"/>
          </w:tcPr>
          <w:p w:rsidR="00AA17E3" w:rsidRPr="00B112D8" w:rsidRDefault="00AA17E3" w:rsidP="00AA17E3">
            <w:pPr>
              <w:jc w:val="right"/>
              <w:rPr>
                <w:rFonts w:ascii="Times New Roman" w:hAnsi="Times New Roman"/>
                <w:bCs/>
                <w:sz w:val="16"/>
                <w:szCs w:val="16"/>
              </w:rPr>
            </w:pPr>
            <w:r w:rsidRPr="00B112D8">
              <w:rPr>
                <w:rFonts w:ascii="Times New Roman" w:hAnsi="Times New Roman"/>
                <w:bCs/>
                <w:sz w:val="16"/>
                <w:szCs w:val="16"/>
              </w:rPr>
              <w:t>339 995</w:t>
            </w:r>
          </w:p>
        </w:tc>
        <w:tc>
          <w:tcPr>
            <w:tcW w:w="547" w:type="pct"/>
            <w:shd w:val="clear" w:color="auto" w:fill="auto"/>
          </w:tcPr>
          <w:p w:rsidR="00AA17E3" w:rsidRPr="0058441F" w:rsidRDefault="00AA17E3" w:rsidP="00AA17E3">
            <w:pPr>
              <w:jc w:val="right"/>
              <w:rPr>
                <w:rFonts w:ascii="Times New Roman" w:hAnsi="Times New Roman"/>
                <w:bCs/>
                <w:sz w:val="16"/>
                <w:szCs w:val="16"/>
              </w:rPr>
            </w:pPr>
            <w:r w:rsidRPr="0058441F">
              <w:rPr>
                <w:rFonts w:ascii="Times New Roman" w:hAnsi="Times New Roman"/>
                <w:bCs/>
                <w:sz w:val="16"/>
                <w:szCs w:val="16"/>
              </w:rPr>
              <w:t>387 022</w:t>
            </w:r>
          </w:p>
        </w:tc>
        <w:tc>
          <w:tcPr>
            <w:tcW w:w="546" w:type="pct"/>
            <w:shd w:val="clear" w:color="auto" w:fill="auto"/>
          </w:tcPr>
          <w:p w:rsidR="00AA17E3" w:rsidRPr="0058441F" w:rsidRDefault="00AA17E3" w:rsidP="00AA17E3">
            <w:pPr>
              <w:jc w:val="right"/>
              <w:rPr>
                <w:rFonts w:ascii="Times New Roman" w:hAnsi="Times New Roman"/>
                <w:bCs/>
                <w:sz w:val="16"/>
                <w:szCs w:val="16"/>
              </w:rPr>
            </w:pPr>
            <w:r w:rsidRPr="0058441F">
              <w:rPr>
                <w:rFonts w:ascii="Times New Roman" w:hAnsi="Times New Roman"/>
                <w:bCs/>
                <w:sz w:val="16"/>
                <w:szCs w:val="16"/>
              </w:rPr>
              <w:t>383 358</w:t>
            </w:r>
          </w:p>
        </w:tc>
      </w:tr>
      <w:tr w:rsidR="00AA17E3" w:rsidRPr="00877462" w:rsidTr="00AA17E3">
        <w:trPr>
          <w:trHeight w:val="261"/>
        </w:trPr>
        <w:tc>
          <w:tcPr>
            <w:tcW w:w="1172" w:type="pct"/>
            <w:shd w:val="clear" w:color="auto" w:fill="auto"/>
            <w:vAlign w:val="bottom"/>
          </w:tcPr>
          <w:p w:rsidR="00AA17E3" w:rsidRPr="00045DAB" w:rsidRDefault="00AA17E3" w:rsidP="00AA17E3">
            <w:pPr>
              <w:rPr>
                <w:rFonts w:ascii="Times New Roman" w:hAnsi="Times New Roman"/>
                <w:sz w:val="15"/>
                <w:szCs w:val="15"/>
              </w:rPr>
            </w:pPr>
            <w:r w:rsidRPr="00045DAB">
              <w:rPr>
                <w:rFonts w:ascii="Times New Roman" w:hAnsi="Times New Roman"/>
                <w:sz w:val="15"/>
                <w:szCs w:val="15"/>
              </w:rPr>
              <w:t>Kancelária Najvyššieho súdu</w:t>
            </w:r>
          </w:p>
        </w:tc>
        <w:tc>
          <w:tcPr>
            <w:tcW w:w="547" w:type="pct"/>
            <w:shd w:val="clear" w:color="auto" w:fill="auto"/>
            <w:noWrap/>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17 852</w:t>
            </w:r>
          </w:p>
        </w:tc>
        <w:tc>
          <w:tcPr>
            <w:tcW w:w="547" w:type="pct"/>
            <w:shd w:val="clear" w:color="auto" w:fill="auto"/>
            <w:noWrap/>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16 012</w:t>
            </w:r>
          </w:p>
        </w:tc>
        <w:tc>
          <w:tcPr>
            <w:tcW w:w="547" w:type="pct"/>
            <w:shd w:val="clear" w:color="auto" w:fill="auto"/>
            <w:noWrap/>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16 195</w:t>
            </w:r>
          </w:p>
        </w:tc>
        <w:tc>
          <w:tcPr>
            <w:tcW w:w="547" w:type="pct"/>
            <w:shd w:val="clear" w:color="auto" w:fill="auto"/>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17 429</w:t>
            </w:r>
          </w:p>
        </w:tc>
        <w:tc>
          <w:tcPr>
            <w:tcW w:w="547" w:type="pct"/>
            <w:shd w:val="clear" w:color="auto" w:fill="auto"/>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13 478</w:t>
            </w:r>
          </w:p>
        </w:tc>
        <w:tc>
          <w:tcPr>
            <w:tcW w:w="547" w:type="pct"/>
            <w:shd w:val="clear" w:color="auto" w:fill="auto"/>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13 045</w:t>
            </w:r>
          </w:p>
        </w:tc>
        <w:tc>
          <w:tcPr>
            <w:tcW w:w="546" w:type="pct"/>
            <w:shd w:val="clear" w:color="auto" w:fill="auto"/>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13 045</w:t>
            </w:r>
          </w:p>
        </w:tc>
      </w:tr>
      <w:tr w:rsidR="00AA17E3" w:rsidRPr="00877462" w:rsidTr="00AA17E3">
        <w:trPr>
          <w:trHeight w:val="261"/>
        </w:trPr>
        <w:tc>
          <w:tcPr>
            <w:tcW w:w="1172" w:type="pct"/>
            <w:shd w:val="clear" w:color="auto" w:fill="auto"/>
            <w:vAlign w:val="bottom"/>
          </w:tcPr>
          <w:p w:rsidR="00AA17E3" w:rsidRPr="00045DAB" w:rsidRDefault="00AA17E3" w:rsidP="00AA17E3">
            <w:pPr>
              <w:rPr>
                <w:rFonts w:ascii="Times New Roman" w:hAnsi="Times New Roman"/>
                <w:sz w:val="15"/>
                <w:szCs w:val="15"/>
              </w:rPr>
            </w:pPr>
            <w:r w:rsidRPr="00045DAB">
              <w:rPr>
                <w:rFonts w:ascii="Times New Roman" w:hAnsi="Times New Roman"/>
                <w:sz w:val="15"/>
                <w:szCs w:val="15"/>
              </w:rPr>
              <w:t>Kancelária Ústavného súdu</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6 570</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6 916</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7 347</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7 642</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7 </w:t>
            </w:r>
            <w:r>
              <w:rPr>
                <w:rFonts w:ascii="Times New Roman" w:hAnsi="Times New Roman"/>
                <w:bCs/>
                <w:sz w:val="16"/>
                <w:szCs w:val="16"/>
              </w:rPr>
              <w:t>4</w:t>
            </w:r>
            <w:r w:rsidRPr="009B3B5B">
              <w:rPr>
                <w:rFonts w:ascii="Times New Roman" w:hAnsi="Times New Roman"/>
                <w:bCs/>
                <w:sz w:val="16"/>
                <w:szCs w:val="16"/>
              </w:rPr>
              <w:t>14</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 xml:space="preserve">7 </w:t>
            </w:r>
            <w:r>
              <w:rPr>
                <w:rFonts w:ascii="Times New Roman" w:hAnsi="Times New Roman"/>
                <w:bCs/>
                <w:sz w:val="16"/>
                <w:szCs w:val="16"/>
              </w:rPr>
              <w:t>4</w:t>
            </w:r>
            <w:r w:rsidRPr="009B3B5B">
              <w:rPr>
                <w:rFonts w:ascii="Times New Roman" w:hAnsi="Times New Roman"/>
                <w:bCs/>
                <w:sz w:val="16"/>
                <w:szCs w:val="16"/>
              </w:rPr>
              <w:t>52</w:t>
            </w:r>
          </w:p>
        </w:tc>
        <w:tc>
          <w:tcPr>
            <w:tcW w:w="546"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 xml:space="preserve">7 </w:t>
            </w:r>
            <w:r>
              <w:rPr>
                <w:rFonts w:ascii="Times New Roman" w:hAnsi="Times New Roman"/>
                <w:bCs/>
                <w:sz w:val="16"/>
                <w:szCs w:val="16"/>
              </w:rPr>
              <w:t>4</w:t>
            </w:r>
            <w:r w:rsidRPr="009B3B5B">
              <w:rPr>
                <w:rFonts w:ascii="Times New Roman" w:hAnsi="Times New Roman"/>
                <w:bCs/>
                <w:sz w:val="16"/>
                <w:szCs w:val="16"/>
              </w:rPr>
              <w:t>52</w:t>
            </w:r>
          </w:p>
        </w:tc>
      </w:tr>
      <w:tr w:rsidR="00AA17E3" w:rsidRPr="00877462" w:rsidTr="00AA17E3">
        <w:trPr>
          <w:trHeight w:val="261"/>
        </w:trPr>
        <w:tc>
          <w:tcPr>
            <w:tcW w:w="1172" w:type="pct"/>
            <w:shd w:val="clear" w:color="auto" w:fill="auto"/>
            <w:vAlign w:val="bottom"/>
          </w:tcPr>
          <w:p w:rsidR="00AA17E3" w:rsidRPr="00045DAB" w:rsidRDefault="00AA17E3" w:rsidP="00AA17E3">
            <w:pPr>
              <w:rPr>
                <w:rFonts w:ascii="Times New Roman" w:hAnsi="Times New Roman"/>
                <w:sz w:val="15"/>
                <w:szCs w:val="15"/>
              </w:rPr>
            </w:pPr>
            <w:r w:rsidRPr="00045DAB">
              <w:rPr>
                <w:rFonts w:ascii="Times New Roman" w:hAnsi="Times New Roman"/>
                <w:sz w:val="15"/>
                <w:szCs w:val="15"/>
              </w:rPr>
              <w:t>Kancelária Súdnej rady</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1 209</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1 312</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1 121</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2 357</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2 225</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2 225</w:t>
            </w:r>
          </w:p>
        </w:tc>
        <w:tc>
          <w:tcPr>
            <w:tcW w:w="546"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2 225</w:t>
            </w:r>
          </w:p>
        </w:tc>
      </w:tr>
      <w:tr w:rsidR="00AA17E3" w:rsidRPr="00877462" w:rsidTr="00AA17E3">
        <w:trPr>
          <w:trHeight w:val="261"/>
        </w:trPr>
        <w:tc>
          <w:tcPr>
            <w:tcW w:w="1172" w:type="pct"/>
            <w:shd w:val="clear" w:color="auto" w:fill="auto"/>
            <w:vAlign w:val="bottom"/>
          </w:tcPr>
          <w:p w:rsidR="00AA17E3" w:rsidRPr="00045DAB" w:rsidRDefault="00AA17E3" w:rsidP="00AA17E3">
            <w:pPr>
              <w:rPr>
                <w:rFonts w:ascii="Times New Roman" w:hAnsi="Times New Roman"/>
                <w:sz w:val="15"/>
                <w:szCs w:val="15"/>
              </w:rPr>
            </w:pPr>
            <w:r w:rsidRPr="00045DAB">
              <w:rPr>
                <w:rFonts w:ascii="Times New Roman" w:hAnsi="Times New Roman"/>
                <w:sz w:val="15"/>
                <w:szCs w:val="15"/>
              </w:rPr>
              <w:t>Generálna prokuratúra</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112 713</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116 931</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115 423</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119 124</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119 510</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119 510</w:t>
            </w:r>
          </w:p>
        </w:tc>
        <w:tc>
          <w:tcPr>
            <w:tcW w:w="546"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119 510</w:t>
            </w:r>
          </w:p>
        </w:tc>
      </w:tr>
      <w:tr w:rsidR="00AA17E3" w:rsidRPr="00877462" w:rsidTr="00AA17E3">
        <w:trPr>
          <w:trHeight w:val="261"/>
        </w:trPr>
        <w:tc>
          <w:tcPr>
            <w:tcW w:w="1172" w:type="pct"/>
            <w:shd w:val="clear" w:color="auto" w:fill="auto"/>
            <w:vAlign w:val="bottom"/>
          </w:tcPr>
          <w:p w:rsidR="00AA17E3" w:rsidRPr="00CD2235" w:rsidRDefault="00AA17E3" w:rsidP="00AA17E3">
            <w:pPr>
              <w:rPr>
                <w:rFonts w:ascii="Times New Roman" w:hAnsi="Times New Roman"/>
                <w:sz w:val="15"/>
                <w:szCs w:val="15"/>
              </w:rPr>
            </w:pPr>
            <w:r w:rsidRPr="00CD2235">
              <w:rPr>
                <w:rFonts w:ascii="Times New Roman" w:hAnsi="Times New Roman"/>
                <w:sz w:val="15"/>
                <w:szCs w:val="15"/>
              </w:rPr>
              <w:t>Kancelária Najvyššieho správneho súdu</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0</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0</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0</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4 499</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5 567</w:t>
            </w:r>
          </w:p>
        </w:tc>
        <w:tc>
          <w:tcPr>
            <w:tcW w:w="547"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5 567</w:t>
            </w:r>
          </w:p>
        </w:tc>
        <w:tc>
          <w:tcPr>
            <w:tcW w:w="546" w:type="pct"/>
            <w:shd w:val="clear" w:color="auto" w:fill="auto"/>
          </w:tcPr>
          <w:p w:rsidR="00AA17E3" w:rsidRPr="009B3B5B" w:rsidRDefault="00AA17E3" w:rsidP="00AA17E3">
            <w:pPr>
              <w:jc w:val="right"/>
              <w:rPr>
                <w:rFonts w:ascii="Times New Roman" w:hAnsi="Times New Roman"/>
                <w:bCs/>
                <w:sz w:val="16"/>
                <w:szCs w:val="16"/>
              </w:rPr>
            </w:pPr>
            <w:r w:rsidRPr="009B3B5B">
              <w:rPr>
                <w:rFonts w:ascii="Times New Roman" w:hAnsi="Times New Roman"/>
                <w:bCs/>
                <w:sz w:val="16"/>
                <w:szCs w:val="16"/>
              </w:rPr>
              <w:t>5 567</w:t>
            </w:r>
          </w:p>
        </w:tc>
      </w:tr>
      <w:tr w:rsidR="00AA17E3" w:rsidRPr="00877462" w:rsidTr="00AA17E3">
        <w:trPr>
          <w:trHeight w:val="261"/>
        </w:trPr>
        <w:tc>
          <w:tcPr>
            <w:tcW w:w="1172" w:type="pct"/>
            <w:shd w:val="clear" w:color="auto" w:fill="auto"/>
            <w:vAlign w:val="bottom"/>
          </w:tcPr>
          <w:p w:rsidR="00AA17E3" w:rsidRPr="00822891" w:rsidRDefault="00AA17E3" w:rsidP="00AA17E3">
            <w:pPr>
              <w:rPr>
                <w:rFonts w:ascii="Times New Roman" w:hAnsi="Times New Roman"/>
                <w:sz w:val="15"/>
                <w:szCs w:val="15"/>
              </w:rPr>
            </w:pPr>
            <w:r w:rsidRPr="00822891">
              <w:rPr>
                <w:rFonts w:ascii="Times New Roman" w:hAnsi="Times New Roman"/>
                <w:color w:val="000000"/>
                <w:sz w:val="15"/>
                <w:szCs w:val="15"/>
              </w:rPr>
              <w:t>Kancelária verejného ochrancu práv</w:t>
            </w:r>
          </w:p>
        </w:tc>
        <w:tc>
          <w:tcPr>
            <w:tcW w:w="547" w:type="pct"/>
            <w:tcBorders>
              <w:top w:val="nil"/>
            </w:tcBorders>
            <w:shd w:val="clear" w:color="000000" w:fill="FFFFFF"/>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sz w:val="16"/>
                <w:szCs w:val="16"/>
              </w:rPr>
              <w:t xml:space="preserve">1 </w:t>
            </w:r>
            <w:r>
              <w:rPr>
                <w:rFonts w:ascii="Times New Roman" w:hAnsi="Times New Roman"/>
                <w:sz w:val="16"/>
                <w:szCs w:val="16"/>
              </w:rPr>
              <w:t>709</w:t>
            </w:r>
          </w:p>
        </w:tc>
        <w:tc>
          <w:tcPr>
            <w:tcW w:w="547" w:type="pct"/>
            <w:tcBorders>
              <w:top w:val="nil"/>
            </w:tcBorders>
            <w:shd w:val="clear" w:color="000000" w:fill="FFFFFF"/>
            <w:noWrap/>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1 857</w:t>
            </w:r>
          </w:p>
        </w:tc>
        <w:tc>
          <w:tcPr>
            <w:tcW w:w="547" w:type="pct"/>
            <w:tcBorders>
              <w:top w:val="nil"/>
            </w:tcBorders>
            <w:shd w:val="clear" w:color="000000" w:fill="FFFFFF"/>
            <w:noWrap/>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1 729</w:t>
            </w:r>
          </w:p>
        </w:tc>
        <w:tc>
          <w:tcPr>
            <w:tcW w:w="547" w:type="pct"/>
            <w:tcBorders>
              <w:top w:val="nil"/>
            </w:tcBorders>
            <w:shd w:val="clear" w:color="000000" w:fill="FFFFFF"/>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1 976</w:t>
            </w:r>
          </w:p>
        </w:tc>
        <w:tc>
          <w:tcPr>
            <w:tcW w:w="547" w:type="pct"/>
            <w:tcBorders>
              <w:top w:val="nil"/>
            </w:tcBorders>
            <w:shd w:val="clear" w:color="000000" w:fill="FFFFFF"/>
          </w:tcPr>
          <w:p w:rsidR="00AA17E3" w:rsidRPr="009B3B5B" w:rsidRDefault="0099665B" w:rsidP="00AA17E3">
            <w:pPr>
              <w:jc w:val="right"/>
              <w:rPr>
                <w:rFonts w:ascii="Times New Roman" w:hAnsi="Times New Roman"/>
                <w:bCs/>
                <w:sz w:val="16"/>
                <w:szCs w:val="16"/>
              </w:rPr>
            </w:pPr>
            <w:r>
              <w:rPr>
                <w:rFonts w:ascii="Times New Roman" w:hAnsi="Times New Roman"/>
                <w:bCs/>
                <w:sz w:val="16"/>
                <w:szCs w:val="16"/>
              </w:rPr>
              <w:t>1 767</w:t>
            </w:r>
          </w:p>
        </w:tc>
        <w:tc>
          <w:tcPr>
            <w:tcW w:w="547" w:type="pct"/>
            <w:tcBorders>
              <w:top w:val="nil"/>
            </w:tcBorders>
            <w:shd w:val="clear" w:color="000000" w:fill="FFFFFF"/>
          </w:tcPr>
          <w:p w:rsidR="00AA17E3" w:rsidRPr="009B3B5B" w:rsidRDefault="0099665B" w:rsidP="00AA17E3">
            <w:pPr>
              <w:jc w:val="right"/>
              <w:rPr>
                <w:rFonts w:ascii="Times New Roman" w:hAnsi="Times New Roman"/>
                <w:bCs/>
                <w:sz w:val="16"/>
                <w:szCs w:val="16"/>
              </w:rPr>
            </w:pPr>
            <w:r>
              <w:rPr>
                <w:rFonts w:ascii="Times New Roman" w:hAnsi="Times New Roman"/>
                <w:bCs/>
                <w:sz w:val="16"/>
                <w:szCs w:val="16"/>
              </w:rPr>
              <w:t>1 767</w:t>
            </w:r>
          </w:p>
        </w:tc>
        <w:tc>
          <w:tcPr>
            <w:tcW w:w="546" w:type="pct"/>
            <w:tcBorders>
              <w:top w:val="nil"/>
            </w:tcBorders>
            <w:shd w:val="clear" w:color="000000" w:fill="FFFFFF"/>
          </w:tcPr>
          <w:p w:rsidR="00AA17E3" w:rsidRPr="009B3B5B" w:rsidRDefault="0099665B" w:rsidP="00AA17E3">
            <w:pPr>
              <w:jc w:val="right"/>
              <w:rPr>
                <w:rFonts w:ascii="Times New Roman" w:hAnsi="Times New Roman"/>
                <w:bCs/>
                <w:sz w:val="16"/>
                <w:szCs w:val="16"/>
              </w:rPr>
            </w:pPr>
            <w:r>
              <w:rPr>
                <w:rFonts w:ascii="Times New Roman" w:hAnsi="Times New Roman"/>
                <w:bCs/>
                <w:sz w:val="16"/>
                <w:szCs w:val="16"/>
              </w:rPr>
              <w:t>1 767</w:t>
            </w:r>
          </w:p>
        </w:tc>
      </w:tr>
      <w:tr w:rsidR="00AA17E3" w:rsidRPr="00877462" w:rsidTr="00AA17E3">
        <w:trPr>
          <w:trHeight w:val="261"/>
        </w:trPr>
        <w:tc>
          <w:tcPr>
            <w:tcW w:w="1172" w:type="pct"/>
            <w:shd w:val="clear" w:color="auto" w:fill="auto"/>
            <w:vAlign w:val="bottom"/>
          </w:tcPr>
          <w:p w:rsidR="00AA17E3" w:rsidRPr="00822891" w:rsidRDefault="00AA17E3" w:rsidP="00AA17E3">
            <w:pPr>
              <w:rPr>
                <w:rFonts w:ascii="Times New Roman" w:hAnsi="Times New Roman"/>
                <w:sz w:val="15"/>
                <w:szCs w:val="15"/>
              </w:rPr>
            </w:pPr>
            <w:r w:rsidRPr="00822891">
              <w:rPr>
                <w:rFonts w:ascii="Times New Roman" w:hAnsi="Times New Roman"/>
                <w:color w:val="000000"/>
                <w:sz w:val="15"/>
                <w:szCs w:val="15"/>
              </w:rPr>
              <w:t>Ústav pamäti národa</w:t>
            </w:r>
          </w:p>
        </w:tc>
        <w:tc>
          <w:tcPr>
            <w:tcW w:w="547" w:type="pct"/>
            <w:tcBorders>
              <w:top w:val="nil"/>
            </w:tcBorders>
            <w:shd w:val="clear" w:color="000000" w:fill="FFFFFF"/>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sz w:val="16"/>
                <w:szCs w:val="16"/>
              </w:rPr>
              <w:t>2 099</w:t>
            </w:r>
          </w:p>
        </w:tc>
        <w:tc>
          <w:tcPr>
            <w:tcW w:w="547" w:type="pct"/>
            <w:tcBorders>
              <w:top w:val="nil"/>
            </w:tcBorders>
            <w:shd w:val="clear" w:color="000000" w:fill="FFFFFF"/>
            <w:noWrap/>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2 160</w:t>
            </w:r>
          </w:p>
        </w:tc>
        <w:tc>
          <w:tcPr>
            <w:tcW w:w="547" w:type="pct"/>
            <w:tcBorders>
              <w:top w:val="nil"/>
            </w:tcBorders>
            <w:shd w:val="clear" w:color="000000" w:fill="FFFFFF"/>
            <w:noWrap/>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2 199</w:t>
            </w:r>
          </w:p>
        </w:tc>
        <w:tc>
          <w:tcPr>
            <w:tcW w:w="547" w:type="pct"/>
            <w:tcBorders>
              <w:top w:val="nil"/>
            </w:tcBorders>
            <w:shd w:val="clear" w:color="000000" w:fill="FFFFFF"/>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7 249</w:t>
            </w:r>
          </w:p>
        </w:tc>
        <w:tc>
          <w:tcPr>
            <w:tcW w:w="547" w:type="pct"/>
            <w:tcBorders>
              <w:top w:val="nil"/>
            </w:tcBorders>
            <w:shd w:val="clear" w:color="000000" w:fill="FFFFFF"/>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2 624</w:t>
            </w:r>
          </w:p>
        </w:tc>
        <w:tc>
          <w:tcPr>
            <w:tcW w:w="547" w:type="pct"/>
            <w:tcBorders>
              <w:top w:val="nil"/>
            </w:tcBorders>
            <w:shd w:val="clear" w:color="000000" w:fill="FFFFFF"/>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2 511</w:t>
            </w:r>
          </w:p>
        </w:tc>
        <w:tc>
          <w:tcPr>
            <w:tcW w:w="546" w:type="pct"/>
            <w:tcBorders>
              <w:top w:val="nil"/>
            </w:tcBorders>
            <w:shd w:val="clear" w:color="000000" w:fill="FFFFFF"/>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2 419</w:t>
            </w:r>
          </w:p>
        </w:tc>
      </w:tr>
      <w:tr w:rsidR="00AA17E3" w:rsidRPr="00877462" w:rsidTr="00AA17E3">
        <w:trPr>
          <w:trHeight w:val="261"/>
        </w:trPr>
        <w:tc>
          <w:tcPr>
            <w:tcW w:w="1172" w:type="pct"/>
            <w:shd w:val="clear" w:color="auto" w:fill="auto"/>
            <w:vAlign w:val="bottom"/>
          </w:tcPr>
          <w:p w:rsidR="00AA17E3" w:rsidRPr="00822891" w:rsidRDefault="00AA17E3" w:rsidP="00AA17E3">
            <w:pPr>
              <w:rPr>
                <w:rFonts w:ascii="Times New Roman" w:hAnsi="Times New Roman"/>
                <w:sz w:val="15"/>
                <w:szCs w:val="15"/>
              </w:rPr>
            </w:pPr>
            <w:r w:rsidRPr="00822891">
              <w:rPr>
                <w:rFonts w:ascii="Times New Roman" w:hAnsi="Times New Roman"/>
                <w:color w:val="000000"/>
                <w:sz w:val="15"/>
                <w:szCs w:val="15"/>
              </w:rPr>
              <w:t>Slovenské národné stredisko pre ľudské práva</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sidRPr="009B3B5B">
              <w:rPr>
                <w:rFonts w:ascii="Times New Roman" w:hAnsi="Times New Roman"/>
                <w:color w:val="000000"/>
                <w:sz w:val="16"/>
                <w:szCs w:val="16"/>
              </w:rPr>
              <w:t>77</w:t>
            </w:r>
            <w:r>
              <w:rPr>
                <w:rFonts w:ascii="Times New Roman" w:hAnsi="Times New Roman"/>
                <w:color w:val="000000"/>
                <w:sz w:val="16"/>
                <w:szCs w:val="16"/>
              </w:rPr>
              <w:t>0</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836</w:t>
            </w:r>
          </w:p>
        </w:tc>
        <w:tc>
          <w:tcPr>
            <w:tcW w:w="547" w:type="pct"/>
            <w:shd w:val="clear" w:color="auto" w:fill="auto"/>
            <w:noWrap/>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850</w:t>
            </w:r>
          </w:p>
        </w:tc>
        <w:tc>
          <w:tcPr>
            <w:tcW w:w="547" w:type="pct"/>
            <w:shd w:val="clear" w:color="auto" w:fill="auto"/>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850</w:t>
            </w:r>
          </w:p>
        </w:tc>
        <w:tc>
          <w:tcPr>
            <w:tcW w:w="547" w:type="pct"/>
            <w:shd w:val="clear" w:color="auto" w:fill="auto"/>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944</w:t>
            </w:r>
          </w:p>
        </w:tc>
        <w:tc>
          <w:tcPr>
            <w:tcW w:w="547" w:type="pct"/>
            <w:shd w:val="clear" w:color="auto" w:fill="auto"/>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870</w:t>
            </w:r>
          </w:p>
        </w:tc>
        <w:tc>
          <w:tcPr>
            <w:tcW w:w="546" w:type="pct"/>
            <w:shd w:val="clear" w:color="auto" w:fill="auto"/>
          </w:tcPr>
          <w:p w:rsidR="00AA17E3" w:rsidRPr="009B3B5B" w:rsidRDefault="00AA17E3" w:rsidP="00AA17E3">
            <w:pPr>
              <w:jc w:val="right"/>
              <w:rPr>
                <w:rFonts w:ascii="Times New Roman" w:hAnsi="Times New Roman"/>
                <w:bCs/>
                <w:sz w:val="16"/>
                <w:szCs w:val="16"/>
              </w:rPr>
            </w:pPr>
            <w:r>
              <w:rPr>
                <w:rFonts w:ascii="Times New Roman" w:hAnsi="Times New Roman"/>
                <w:bCs/>
                <w:sz w:val="16"/>
                <w:szCs w:val="16"/>
              </w:rPr>
              <w:t>870</w:t>
            </w:r>
          </w:p>
        </w:tc>
      </w:tr>
      <w:tr w:rsidR="00AA17E3" w:rsidRPr="00877462" w:rsidTr="00AA17E3">
        <w:trPr>
          <w:trHeight w:val="261"/>
        </w:trPr>
        <w:tc>
          <w:tcPr>
            <w:tcW w:w="1172" w:type="pct"/>
            <w:tcBorders>
              <w:bottom w:val="single" w:sz="4" w:space="0" w:color="auto"/>
            </w:tcBorders>
            <w:shd w:val="clear" w:color="auto" w:fill="auto"/>
            <w:vAlign w:val="bottom"/>
          </w:tcPr>
          <w:p w:rsidR="00AA17E3" w:rsidRPr="00822891" w:rsidRDefault="00AA17E3" w:rsidP="00AA17E3">
            <w:pPr>
              <w:rPr>
                <w:rFonts w:ascii="Times New Roman" w:hAnsi="Times New Roman"/>
                <w:color w:val="000000"/>
                <w:sz w:val="15"/>
                <w:szCs w:val="15"/>
              </w:rPr>
            </w:pPr>
            <w:r w:rsidRPr="00822891">
              <w:rPr>
                <w:rFonts w:ascii="Times New Roman" w:hAnsi="Times New Roman"/>
                <w:color w:val="000000"/>
                <w:sz w:val="15"/>
                <w:szCs w:val="15"/>
              </w:rPr>
              <w:t>Úrad na ochranu oznamovate</w:t>
            </w:r>
            <w:r w:rsidRPr="00822891">
              <w:rPr>
                <w:rFonts w:ascii="Times New Roman" w:hAnsi="Times New Roman" w:hint="eastAsia"/>
                <w:color w:val="000000"/>
                <w:sz w:val="15"/>
                <w:szCs w:val="15"/>
              </w:rPr>
              <w:t>ľ</w:t>
            </w:r>
            <w:r w:rsidRPr="00822891">
              <w:rPr>
                <w:rFonts w:ascii="Times New Roman" w:hAnsi="Times New Roman"/>
                <w:color w:val="000000"/>
                <w:sz w:val="15"/>
                <w:szCs w:val="15"/>
              </w:rPr>
              <w:t>ov protispolo</w:t>
            </w:r>
            <w:r w:rsidRPr="00822891">
              <w:rPr>
                <w:rFonts w:ascii="Times New Roman" w:hAnsi="Times New Roman" w:hint="eastAsia"/>
                <w:color w:val="000000"/>
                <w:sz w:val="15"/>
                <w:szCs w:val="15"/>
              </w:rPr>
              <w:t>č</w:t>
            </w:r>
            <w:r w:rsidRPr="00822891">
              <w:rPr>
                <w:rFonts w:ascii="Times New Roman" w:hAnsi="Times New Roman"/>
                <w:color w:val="000000"/>
                <w:sz w:val="15"/>
                <w:szCs w:val="15"/>
              </w:rPr>
              <w:t xml:space="preserve">enskej </w:t>
            </w:r>
            <w:r w:rsidRPr="00822891">
              <w:rPr>
                <w:rFonts w:ascii="Times New Roman" w:hAnsi="Times New Roman" w:hint="eastAsia"/>
                <w:color w:val="000000"/>
                <w:sz w:val="15"/>
                <w:szCs w:val="15"/>
              </w:rPr>
              <w:t>č</w:t>
            </w:r>
            <w:r w:rsidRPr="00822891">
              <w:rPr>
                <w:rFonts w:ascii="Times New Roman" w:hAnsi="Times New Roman"/>
                <w:color w:val="000000"/>
                <w:sz w:val="15"/>
                <w:szCs w:val="15"/>
              </w:rPr>
              <w:t>innosti</w:t>
            </w:r>
          </w:p>
        </w:tc>
        <w:tc>
          <w:tcPr>
            <w:tcW w:w="547" w:type="pct"/>
            <w:tcBorders>
              <w:bottom w:val="single" w:sz="4" w:space="0" w:color="auto"/>
            </w:tcBorders>
            <w:shd w:val="clear" w:color="auto" w:fill="auto"/>
            <w:noWrap/>
          </w:tcPr>
          <w:p w:rsidR="00AA17E3" w:rsidRPr="009B3B5B" w:rsidRDefault="00AA17E3" w:rsidP="00AA17E3">
            <w:pPr>
              <w:jc w:val="right"/>
              <w:rPr>
                <w:rFonts w:ascii="Times New Roman" w:hAnsi="Times New Roman"/>
                <w:color w:val="000000"/>
                <w:sz w:val="16"/>
                <w:szCs w:val="16"/>
              </w:rPr>
            </w:pPr>
            <w:r>
              <w:rPr>
                <w:rFonts w:ascii="Times New Roman" w:hAnsi="Times New Roman"/>
                <w:color w:val="000000"/>
                <w:sz w:val="16"/>
                <w:szCs w:val="16"/>
              </w:rPr>
              <w:t>0</w:t>
            </w:r>
          </w:p>
        </w:tc>
        <w:tc>
          <w:tcPr>
            <w:tcW w:w="547" w:type="pct"/>
            <w:tcBorders>
              <w:bottom w:val="single" w:sz="4" w:space="0" w:color="auto"/>
            </w:tcBorders>
            <w:shd w:val="clear" w:color="auto" w:fill="auto"/>
            <w:noWrap/>
          </w:tcPr>
          <w:p w:rsidR="00AA17E3" w:rsidRPr="009B3B5B" w:rsidRDefault="00AA17E3" w:rsidP="00AA17E3">
            <w:pPr>
              <w:jc w:val="right"/>
              <w:rPr>
                <w:rFonts w:ascii="Times New Roman" w:hAnsi="Times New Roman"/>
                <w:color w:val="000000"/>
                <w:sz w:val="16"/>
                <w:szCs w:val="16"/>
              </w:rPr>
            </w:pPr>
            <w:r>
              <w:rPr>
                <w:rFonts w:ascii="Times New Roman" w:hAnsi="Times New Roman"/>
                <w:color w:val="000000"/>
                <w:sz w:val="16"/>
                <w:szCs w:val="16"/>
              </w:rPr>
              <w:t>0</w:t>
            </w:r>
          </w:p>
        </w:tc>
        <w:tc>
          <w:tcPr>
            <w:tcW w:w="547" w:type="pct"/>
            <w:tcBorders>
              <w:bottom w:val="single" w:sz="4" w:space="0" w:color="auto"/>
            </w:tcBorders>
            <w:shd w:val="clear" w:color="auto" w:fill="auto"/>
            <w:noWrap/>
          </w:tcPr>
          <w:p w:rsidR="00AA17E3" w:rsidRPr="009B3B5B" w:rsidRDefault="00AA17E3" w:rsidP="00AA17E3">
            <w:pPr>
              <w:jc w:val="right"/>
              <w:rPr>
                <w:rFonts w:ascii="Times New Roman" w:hAnsi="Times New Roman"/>
                <w:color w:val="000000"/>
                <w:sz w:val="16"/>
                <w:szCs w:val="16"/>
              </w:rPr>
            </w:pPr>
            <w:r>
              <w:rPr>
                <w:rFonts w:ascii="Times New Roman" w:hAnsi="Times New Roman"/>
                <w:color w:val="000000"/>
                <w:sz w:val="16"/>
                <w:szCs w:val="16"/>
              </w:rPr>
              <w:t>0</w:t>
            </w:r>
          </w:p>
        </w:tc>
        <w:tc>
          <w:tcPr>
            <w:tcW w:w="547" w:type="pct"/>
            <w:tcBorders>
              <w:bottom w:val="single" w:sz="4" w:space="0" w:color="auto"/>
            </w:tcBorders>
            <w:shd w:val="clear" w:color="auto" w:fill="auto"/>
          </w:tcPr>
          <w:p w:rsidR="00AA17E3" w:rsidRPr="009B3B5B" w:rsidRDefault="00AA17E3" w:rsidP="00AA17E3">
            <w:pPr>
              <w:jc w:val="right"/>
              <w:rPr>
                <w:rFonts w:ascii="Times New Roman" w:hAnsi="Times New Roman"/>
                <w:color w:val="000000"/>
                <w:sz w:val="16"/>
                <w:szCs w:val="16"/>
              </w:rPr>
            </w:pPr>
            <w:r>
              <w:rPr>
                <w:rFonts w:ascii="Times New Roman" w:hAnsi="Times New Roman"/>
                <w:color w:val="000000"/>
                <w:sz w:val="16"/>
                <w:szCs w:val="16"/>
              </w:rPr>
              <w:t>599</w:t>
            </w:r>
          </w:p>
        </w:tc>
        <w:tc>
          <w:tcPr>
            <w:tcW w:w="547" w:type="pct"/>
            <w:tcBorders>
              <w:bottom w:val="single" w:sz="4" w:space="0" w:color="auto"/>
            </w:tcBorders>
            <w:shd w:val="clear" w:color="auto" w:fill="auto"/>
          </w:tcPr>
          <w:p w:rsidR="00AA17E3" w:rsidRPr="009B3B5B" w:rsidRDefault="00AA17E3" w:rsidP="00AA17E3">
            <w:pPr>
              <w:jc w:val="right"/>
              <w:rPr>
                <w:rFonts w:ascii="Times New Roman" w:hAnsi="Times New Roman"/>
                <w:bCs/>
                <w:color w:val="000000"/>
                <w:sz w:val="16"/>
                <w:szCs w:val="16"/>
              </w:rPr>
            </w:pPr>
            <w:r>
              <w:rPr>
                <w:rFonts w:ascii="Times New Roman" w:hAnsi="Times New Roman"/>
                <w:bCs/>
                <w:color w:val="000000"/>
                <w:sz w:val="16"/>
                <w:szCs w:val="16"/>
              </w:rPr>
              <w:t>893</w:t>
            </w:r>
          </w:p>
        </w:tc>
        <w:tc>
          <w:tcPr>
            <w:tcW w:w="547" w:type="pct"/>
            <w:tcBorders>
              <w:bottom w:val="single" w:sz="4" w:space="0" w:color="auto"/>
            </w:tcBorders>
            <w:shd w:val="clear" w:color="auto" w:fill="auto"/>
          </w:tcPr>
          <w:p w:rsidR="00AA17E3" w:rsidRPr="009B3B5B" w:rsidRDefault="00AA17E3" w:rsidP="00AA17E3">
            <w:pPr>
              <w:jc w:val="right"/>
              <w:rPr>
                <w:rFonts w:ascii="Times New Roman" w:hAnsi="Times New Roman"/>
                <w:bCs/>
                <w:color w:val="000000"/>
                <w:sz w:val="16"/>
                <w:szCs w:val="16"/>
              </w:rPr>
            </w:pPr>
            <w:r>
              <w:rPr>
                <w:rFonts w:ascii="Times New Roman" w:hAnsi="Times New Roman"/>
                <w:bCs/>
                <w:color w:val="000000"/>
                <w:sz w:val="16"/>
                <w:szCs w:val="16"/>
              </w:rPr>
              <w:t>772</w:t>
            </w:r>
          </w:p>
        </w:tc>
        <w:tc>
          <w:tcPr>
            <w:tcW w:w="546" w:type="pct"/>
            <w:tcBorders>
              <w:bottom w:val="single" w:sz="4" w:space="0" w:color="auto"/>
            </w:tcBorders>
            <w:shd w:val="clear" w:color="auto" w:fill="auto"/>
          </w:tcPr>
          <w:p w:rsidR="00AA17E3" w:rsidRPr="009B3B5B" w:rsidRDefault="00AA17E3" w:rsidP="00AA17E3">
            <w:pPr>
              <w:jc w:val="right"/>
              <w:rPr>
                <w:rFonts w:ascii="Times New Roman" w:hAnsi="Times New Roman"/>
                <w:bCs/>
                <w:color w:val="000000"/>
                <w:sz w:val="16"/>
                <w:szCs w:val="16"/>
              </w:rPr>
            </w:pPr>
            <w:r>
              <w:rPr>
                <w:rFonts w:ascii="Times New Roman" w:hAnsi="Times New Roman"/>
                <w:bCs/>
                <w:color w:val="000000"/>
                <w:sz w:val="16"/>
                <w:szCs w:val="16"/>
              </w:rPr>
              <w:t>772</w:t>
            </w:r>
          </w:p>
        </w:tc>
      </w:tr>
    </w:tbl>
    <w:p w:rsidR="0099665B" w:rsidRPr="009A3DA3" w:rsidRDefault="0099665B" w:rsidP="0099665B">
      <w:pPr>
        <w:pStyle w:val="Popis"/>
        <w:keepNext/>
        <w:spacing w:after="0"/>
        <w:rPr>
          <w:rFonts w:ascii="Times New Roman" w:hAnsi="Times New Roman"/>
          <w:b/>
          <w:i w:val="0"/>
          <w:sz w:val="20"/>
          <w:szCs w:val="20"/>
        </w:rPr>
      </w:pPr>
      <w:bookmarkStart w:id="430" w:name="_Toc84845321"/>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97</w:t>
      </w:r>
      <w:r w:rsidRPr="002C35F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00E50BA2">
        <w:rPr>
          <w:rFonts w:ascii="Times New Roman" w:hAnsi="Times New Roman"/>
          <w:b/>
          <w:i w:val="0"/>
          <w:color w:val="5B9BD5" w:themeColor="accent1"/>
          <w:sz w:val="20"/>
          <w:szCs w:val="20"/>
        </w:rPr>
        <w:t>–</w:t>
      </w:r>
      <w:r w:rsidRPr="009C3AE2">
        <w:rPr>
          <w:rFonts w:ascii="Times New Roman" w:hAnsi="Times New Roman"/>
          <w:b/>
          <w:i w:val="0"/>
          <w:color w:val="5B9BD5" w:themeColor="accent1"/>
          <w:sz w:val="20"/>
          <w:szCs w:val="20"/>
        </w:rPr>
        <w:t xml:space="preserve"> </w:t>
      </w:r>
      <w:r w:rsidR="00E50BA2">
        <w:rPr>
          <w:rFonts w:ascii="Times New Roman" w:hAnsi="Times New Roman"/>
          <w:b/>
          <w:i w:val="0"/>
          <w:color w:val="5B9BD5" w:themeColor="accent1"/>
          <w:sz w:val="20"/>
          <w:szCs w:val="20"/>
        </w:rPr>
        <w:t>Výdavky na súdnictvo a prokuratúru</w:t>
      </w:r>
      <w:bookmarkEnd w:id="430"/>
    </w:p>
    <w:p w:rsidR="00AA17E3" w:rsidRPr="0099665B" w:rsidRDefault="0099665B" w:rsidP="0099665B">
      <w:pPr>
        <w:spacing w:after="0"/>
        <w:jc w:val="both"/>
        <w:rPr>
          <w:rFonts w:ascii="Times New Roman" w:hAnsi="Times New Roman" w:cs="Times New Roman"/>
          <w:i/>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Times New Roman" w:hAnsi="Times New Roman" w:cs="Times New Roman"/>
          <w:i/>
          <w:sz w:val="16"/>
          <w:szCs w:val="16"/>
        </w:rPr>
        <w:t xml:space="preserve">          Z</w:t>
      </w:r>
      <w:r w:rsidRPr="0099665B">
        <w:rPr>
          <w:rFonts w:ascii="Times New Roman" w:hAnsi="Times New Roman" w:cs="Times New Roman"/>
          <w:i/>
          <w:sz w:val="16"/>
          <w:szCs w:val="16"/>
        </w:rPr>
        <w:t>droj: MF SR</w:t>
      </w:r>
    </w:p>
    <w:p w:rsidR="00756EC8" w:rsidRDefault="00756EC8" w:rsidP="0099665B">
      <w:pPr>
        <w:spacing w:after="0"/>
        <w:jc w:val="both"/>
        <w:rPr>
          <w:rFonts w:ascii="Times New Roman" w:hAnsi="Times New Roman"/>
          <w:sz w:val="24"/>
          <w:szCs w:val="24"/>
        </w:rPr>
      </w:pPr>
    </w:p>
    <w:p w:rsidR="00AA17E3" w:rsidRDefault="00AA17E3" w:rsidP="0099665B">
      <w:pPr>
        <w:spacing w:after="0"/>
        <w:jc w:val="both"/>
        <w:rPr>
          <w:rFonts w:ascii="Times New Roman" w:hAnsi="Times New Roman"/>
          <w:sz w:val="24"/>
          <w:szCs w:val="24"/>
        </w:rPr>
      </w:pPr>
      <w:r w:rsidRPr="009B3B5B">
        <w:rPr>
          <w:rFonts w:ascii="Times New Roman" w:hAnsi="Times New Roman"/>
          <w:sz w:val="24"/>
          <w:szCs w:val="24"/>
        </w:rPr>
        <w:t>V rámci súdnictv</w:t>
      </w:r>
      <w:r>
        <w:rPr>
          <w:rFonts w:ascii="Times New Roman" w:hAnsi="Times New Roman"/>
          <w:sz w:val="24"/>
          <w:szCs w:val="24"/>
        </w:rPr>
        <w:t>a</w:t>
      </w:r>
      <w:r w:rsidRPr="009B3B5B">
        <w:rPr>
          <w:rFonts w:ascii="Times New Roman" w:hAnsi="Times New Roman"/>
          <w:sz w:val="24"/>
          <w:szCs w:val="24"/>
        </w:rPr>
        <w:t xml:space="preserve"> </w:t>
      </w:r>
      <w:r>
        <w:rPr>
          <w:rFonts w:ascii="Times New Roman" w:hAnsi="Times New Roman"/>
          <w:sz w:val="24"/>
          <w:szCs w:val="24"/>
        </w:rPr>
        <w:t xml:space="preserve">sa </w:t>
      </w:r>
      <w:r w:rsidRPr="009B3B5B">
        <w:rPr>
          <w:rFonts w:ascii="Times New Roman" w:hAnsi="Times New Roman"/>
          <w:sz w:val="24"/>
          <w:szCs w:val="24"/>
        </w:rPr>
        <w:t xml:space="preserve">rozpočtujú výdavky v sume </w:t>
      </w:r>
      <w:r>
        <w:rPr>
          <w:rFonts w:ascii="Times New Roman" w:hAnsi="Times New Roman"/>
          <w:sz w:val="24"/>
          <w:szCs w:val="24"/>
        </w:rPr>
        <w:t>340</w:t>
      </w:r>
      <w:r w:rsidR="006A3C7F">
        <w:rPr>
          <w:rFonts w:ascii="Times New Roman" w:hAnsi="Times New Roman"/>
          <w:sz w:val="24"/>
          <w:szCs w:val="24"/>
        </w:rPr>
        <w:t xml:space="preserve"> mil. eur</w:t>
      </w:r>
      <w:r>
        <w:rPr>
          <w:rFonts w:ascii="Times New Roman" w:hAnsi="Times New Roman"/>
          <w:sz w:val="24"/>
          <w:szCs w:val="24"/>
        </w:rPr>
        <w:t>.</w:t>
      </w:r>
      <w:r w:rsidR="006A3C7F" w:rsidRPr="006A3C7F">
        <w:t xml:space="preserve"> </w:t>
      </w:r>
      <w:r w:rsidR="006A3C7F" w:rsidRPr="006A3C7F">
        <w:rPr>
          <w:rFonts w:ascii="Times New Roman" w:hAnsi="Times New Roman"/>
          <w:sz w:val="24"/>
          <w:szCs w:val="24"/>
        </w:rPr>
        <w:t>Na budovanie analytických jednotiek sú rozpočtované prostriedky v sume 1,38 mil. eur.</w:t>
      </w:r>
      <w:r>
        <w:rPr>
          <w:rFonts w:ascii="Times New Roman" w:hAnsi="Times New Roman"/>
          <w:sz w:val="24"/>
          <w:szCs w:val="24"/>
        </w:rPr>
        <w:t xml:space="preserve"> V rámci návrhu rozpočtu je zohľadnené </w:t>
      </w:r>
      <w:r w:rsidRPr="009B3B5B">
        <w:rPr>
          <w:rFonts w:ascii="Times New Roman" w:hAnsi="Times New Roman"/>
          <w:sz w:val="24"/>
          <w:szCs w:val="24"/>
        </w:rPr>
        <w:t>čiastočn</w:t>
      </w:r>
      <w:r>
        <w:rPr>
          <w:rFonts w:ascii="Times New Roman" w:hAnsi="Times New Roman"/>
          <w:sz w:val="24"/>
          <w:szCs w:val="24"/>
        </w:rPr>
        <w:t xml:space="preserve">é zmiernenie </w:t>
      </w:r>
      <w:r w:rsidRPr="009B3B5B">
        <w:rPr>
          <w:rFonts w:ascii="Times New Roman" w:hAnsi="Times New Roman"/>
          <w:sz w:val="24"/>
          <w:szCs w:val="24"/>
        </w:rPr>
        <w:t xml:space="preserve">viazania 10% v sume 7,17 mil. eur. Na </w:t>
      </w:r>
      <w:r w:rsidRPr="00FE5748">
        <w:rPr>
          <w:rFonts w:ascii="Times New Roman" w:hAnsi="Times New Roman"/>
          <w:sz w:val="24"/>
          <w:szCs w:val="24"/>
        </w:rPr>
        <w:t>podporu softvérových komponentov (Oracle, registratúra, DMS) sa rozpočtuje suma 708 tis. eur. Na reorganizáciu súdov a renovácie budov, ako aj na digitalizáciu a analytické kapacity a tiež na digitalizáciu procesov insolvenčného konania sú rozpočtované prostriedky z Plánu obnovy a odolnosti vrátane DPH vo výške 66,1 mil. eur.</w:t>
      </w:r>
    </w:p>
    <w:p w:rsidR="00AA17E3" w:rsidRPr="00F711A7" w:rsidRDefault="00AA17E3" w:rsidP="00AA17E3">
      <w:pPr>
        <w:spacing w:after="0"/>
        <w:jc w:val="both"/>
        <w:rPr>
          <w:rFonts w:ascii="Times New Roman" w:hAnsi="Times New Roman"/>
          <w:sz w:val="24"/>
          <w:szCs w:val="24"/>
        </w:rPr>
      </w:pPr>
    </w:p>
    <w:tbl>
      <w:tblPr>
        <w:tblpPr w:leftFromText="141" w:rightFromText="141" w:vertAnchor="text" w:horzAnchor="margin" w:tblpY="266"/>
        <w:tblW w:w="5000" w:type="pct"/>
        <w:tblCellMar>
          <w:left w:w="70" w:type="dxa"/>
          <w:right w:w="70" w:type="dxa"/>
        </w:tblCellMar>
        <w:tblLook w:val="04A0" w:firstRow="1" w:lastRow="0" w:firstColumn="1" w:lastColumn="0" w:noHBand="0" w:noVBand="1"/>
      </w:tblPr>
      <w:tblGrid>
        <w:gridCol w:w="2610"/>
        <w:gridCol w:w="920"/>
        <w:gridCol w:w="956"/>
        <w:gridCol w:w="918"/>
        <w:gridCol w:w="918"/>
        <w:gridCol w:w="918"/>
        <w:gridCol w:w="918"/>
        <w:gridCol w:w="914"/>
      </w:tblGrid>
      <w:tr w:rsidR="00AA17E3" w:rsidRPr="00E94385" w:rsidTr="00AA17E3">
        <w:trPr>
          <w:trHeight w:val="261"/>
        </w:trPr>
        <w:tc>
          <w:tcPr>
            <w:tcW w:w="1438" w:type="pct"/>
            <w:tcBorders>
              <w:top w:val="single" w:sz="4" w:space="0" w:color="auto"/>
              <w:bottom w:val="single" w:sz="4" w:space="0" w:color="auto"/>
            </w:tcBorders>
            <w:shd w:val="clear" w:color="auto" w:fill="auto"/>
            <w:vAlign w:val="center"/>
            <w:hideMark/>
          </w:tcPr>
          <w:p w:rsidR="00AA17E3" w:rsidRPr="00257A31" w:rsidRDefault="00AA17E3" w:rsidP="00AA17E3">
            <w:pPr>
              <w:rPr>
                <w:rFonts w:ascii="Times New Roman" w:hAnsi="Times New Roman"/>
                <w:b/>
                <w:sz w:val="16"/>
                <w:szCs w:val="16"/>
              </w:rPr>
            </w:pPr>
            <w:r w:rsidRPr="00257A31">
              <w:rPr>
                <w:rFonts w:ascii="Times New Roman" w:hAnsi="Times New Roman"/>
                <w:b/>
                <w:sz w:val="16"/>
                <w:szCs w:val="16"/>
              </w:rPr>
              <w:t>v tis. eur</w:t>
            </w:r>
          </w:p>
        </w:tc>
        <w:tc>
          <w:tcPr>
            <w:tcW w:w="507"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201</w:t>
            </w:r>
            <w:r>
              <w:rPr>
                <w:rFonts w:ascii="Times New Roman" w:hAnsi="Times New Roman"/>
                <w:b/>
                <w:bCs/>
                <w:color w:val="000000"/>
                <w:sz w:val="16"/>
                <w:szCs w:val="16"/>
              </w:rPr>
              <w:t>9</w:t>
            </w:r>
            <w:r w:rsidRPr="00257A31">
              <w:rPr>
                <w:rFonts w:ascii="Times New Roman" w:hAnsi="Times New Roman"/>
                <w:b/>
                <w:bCs/>
                <w:color w:val="000000"/>
                <w:sz w:val="16"/>
                <w:szCs w:val="16"/>
              </w:rPr>
              <w:t xml:space="preserve"> S</w:t>
            </w:r>
          </w:p>
        </w:tc>
        <w:tc>
          <w:tcPr>
            <w:tcW w:w="527"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highlight w:val="yellow"/>
              </w:rPr>
            </w:pPr>
            <w:r w:rsidRPr="00257A31">
              <w:rPr>
                <w:rFonts w:ascii="Times New Roman" w:hAnsi="Times New Roman"/>
                <w:b/>
                <w:bCs/>
                <w:color w:val="000000"/>
                <w:sz w:val="16"/>
                <w:szCs w:val="16"/>
              </w:rPr>
              <w:t>20</w:t>
            </w:r>
            <w:r>
              <w:rPr>
                <w:rFonts w:ascii="Times New Roman" w:hAnsi="Times New Roman"/>
                <w:b/>
                <w:bCs/>
                <w:color w:val="000000"/>
                <w:sz w:val="16"/>
                <w:szCs w:val="16"/>
              </w:rPr>
              <w:t>20</w:t>
            </w:r>
            <w:r w:rsidRPr="00257A31">
              <w:rPr>
                <w:rFonts w:ascii="Times New Roman" w:hAnsi="Times New Roman"/>
                <w:b/>
                <w:bCs/>
                <w:color w:val="000000"/>
                <w:sz w:val="16"/>
                <w:szCs w:val="16"/>
              </w:rPr>
              <w:t xml:space="preserve"> S </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R</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OS</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w:t>
            </w:r>
            <w:r>
              <w:rPr>
                <w:rFonts w:ascii="Times New Roman" w:hAnsi="Times New Roman"/>
                <w:b/>
                <w:bCs/>
                <w:color w:val="000000"/>
                <w:sz w:val="16"/>
                <w:szCs w:val="16"/>
              </w:rPr>
              <w:t>022</w:t>
            </w:r>
            <w:r w:rsidRPr="00257A31">
              <w:rPr>
                <w:rFonts w:ascii="Times New Roman" w:hAnsi="Times New Roman"/>
                <w:b/>
                <w:bCs/>
                <w:color w:val="000000"/>
                <w:sz w:val="16"/>
                <w:szCs w:val="16"/>
              </w:rPr>
              <w:t xml:space="preserve"> N</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3</w:t>
            </w:r>
            <w:r w:rsidRPr="00257A31">
              <w:rPr>
                <w:rFonts w:ascii="Times New Roman" w:hAnsi="Times New Roman"/>
                <w:b/>
                <w:bCs/>
                <w:color w:val="000000"/>
                <w:sz w:val="16"/>
                <w:szCs w:val="16"/>
              </w:rPr>
              <w:t xml:space="preserve"> N</w:t>
            </w:r>
          </w:p>
        </w:tc>
        <w:tc>
          <w:tcPr>
            <w:tcW w:w="504"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4</w:t>
            </w:r>
            <w:r w:rsidRPr="00257A31">
              <w:rPr>
                <w:rFonts w:ascii="Times New Roman" w:hAnsi="Times New Roman"/>
                <w:b/>
                <w:bCs/>
                <w:color w:val="000000"/>
                <w:sz w:val="16"/>
                <w:szCs w:val="16"/>
              </w:rPr>
              <w:t xml:space="preserve"> N</w:t>
            </w:r>
          </w:p>
        </w:tc>
      </w:tr>
      <w:tr w:rsidR="00AA17E3" w:rsidRPr="00E94385" w:rsidTr="00AA17E3">
        <w:trPr>
          <w:trHeight w:val="261"/>
        </w:trPr>
        <w:tc>
          <w:tcPr>
            <w:tcW w:w="1438" w:type="pct"/>
            <w:tcBorders>
              <w:top w:val="single" w:sz="4" w:space="0" w:color="auto"/>
              <w:bottom w:val="single" w:sz="4" w:space="0" w:color="auto"/>
            </w:tcBorders>
            <w:shd w:val="clear" w:color="auto" w:fill="auto"/>
            <w:vAlign w:val="center"/>
            <w:hideMark/>
          </w:tcPr>
          <w:p w:rsidR="00AA17E3" w:rsidRPr="00E94385" w:rsidRDefault="00AA17E3" w:rsidP="00AA17E3">
            <w:pPr>
              <w:rPr>
                <w:rFonts w:ascii="Times New Roman" w:hAnsi="Times New Roman"/>
                <w:color w:val="000000"/>
                <w:sz w:val="16"/>
                <w:szCs w:val="16"/>
              </w:rPr>
            </w:pPr>
            <w:r>
              <w:rPr>
                <w:rFonts w:ascii="Times New Roman" w:hAnsi="Times New Roman"/>
                <w:color w:val="000000"/>
                <w:sz w:val="16"/>
                <w:szCs w:val="16"/>
              </w:rPr>
              <w:t>O</w:t>
            </w:r>
            <w:r w:rsidRPr="00E94385">
              <w:rPr>
                <w:rFonts w:ascii="Times New Roman" w:hAnsi="Times New Roman"/>
                <w:color w:val="000000"/>
                <w:sz w:val="16"/>
                <w:szCs w:val="16"/>
              </w:rPr>
              <w:t>dmeny a náhrady za služby*</w:t>
            </w:r>
          </w:p>
        </w:tc>
        <w:tc>
          <w:tcPr>
            <w:tcW w:w="507" w:type="pct"/>
            <w:tcBorders>
              <w:top w:val="single" w:sz="4" w:space="0" w:color="auto"/>
              <w:bottom w:val="single" w:sz="4" w:space="0" w:color="auto"/>
            </w:tcBorders>
            <w:shd w:val="clear" w:color="auto" w:fill="auto"/>
            <w:noWrap/>
            <w:vAlign w:val="bottom"/>
            <w:hideMark/>
          </w:tcPr>
          <w:p w:rsidR="00AA17E3" w:rsidRPr="00E94385" w:rsidRDefault="00AA17E3" w:rsidP="00AA17E3">
            <w:pPr>
              <w:jc w:val="right"/>
              <w:rPr>
                <w:rFonts w:ascii="Times New Roman" w:hAnsi="Times New Roman"/>
                <w:sz w:val="16"/>
                <w:szCs w:val="16"/>
              </w:rPr>
            </w:pPr>
            <w:r>
              <w:rPr>
                <w:rFonts w:ascii="Times New Roman" w:hAnsi="Times New Roman"/>
                <w:sz w:val="16"/>
                <w:szCs w:val="16"/>
              </w:rPr>
              <w:t>19 639</w:t>
            </w:r>
          </w:p>
        </w:tc>
        <w:tc>
          <w:tcPr>
            <w:tcW w:w="527" w:type="pct"/>
            <w:tcBorders>
              <w:top w:val="single" w:sz="4" w:space="0" w:color="auto"/>
              <w:bottom w:val="single" w:sz="4" w:space="0" w:color="auto"/>
            </w:tcBorders>
            <w:shd w:val="clear" w:color="auto" w:fill="auto"/>
            <w:noWrap/>
            <w:vAlign w:val="bottom"/>
          </w:tcPr>
          <w:p w:rsidR="00AA17E3" w:rsidRPr="009B3B5B" w:rsidRDefault="00AA17E3" w:rsidP="00AA17E3">
            <w:pPr>
              <w:jc w:val="right"/>
              <w:rPr>
                <w:rFonts w:ascii="Times New Roman" w:hAnsi="Times New Roman"/>
                <w:sz w:val="16"/>
                <w:szCs w:val="16"/>
              </w:rPr>
            </w:pPr>
            <w:r w:rsidRPr="009B3B5B">
              <w:rPr>
                <w:rFonts w:ascii="Times New Roman" w:hAnsi="Times New Roman"/>
                <w:sz w:val="16"/>
                <w:szCs w:val="16"/>
              </w:rPr>
              <w:t>18 153</w:t>
            </w:r>
          </w:p>
        </w:tc>
        <w:tc>
          <w:tcPr>
            <w:tcW w:w="506" w:type="pct"/>
            <w:tcBorders>
              <w:top w:val="single" w:sz="4" w:space="0" w:color="auto"/>
              <w:bottom w:val="single" w:sz="4" w:space="0" w:color="auto"/>
            </w:tcBorders>
            <w:shd w:val="clear" w:color="auto" w:fill="auto"/>
            <w:noWrap/>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17 577</w:t>
            </w:r>
          </w:p>
        </w:tc>
        <w:tc>
          <w:tcPr>
            <w:tcW w:w="506" w:type="pct"/>
            <w:tcBorders>
              <w:top w:val="single" w:sz="4" w:space="0" w:color="auto"/>
              <w:bottom w:val="single" w:sz="4" w:space="0" w:color="auto"/>
            </w:tcBorders>
            <w:shd w:val="clear" w:color="auto" w:fill="auto"/>
            <w:noWrap/>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17 577</w:t>
            </w:r>
          </w:p>
        </w:tc>
        <w:tc>
          <w:tcPr>
            <w:tcW w:w="506" w:type="pct"/>
            <w:tcBorders>
              <w:top w:val="single" w:sz="4" w:space="0" w:color="auto"/>
              <w:bottom w:val="single" w:sz="4" w:space="0" w:color="auto"/>
            </w:tcBorders>
            <w:shd w:val="clear" w:color="auto" w:fill="auto"/>
            <w:noWrap/>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15 629</w:t>
            </w:r>
          </w:p>
        </w:tc>
        <w:tc>
          <w:tcPr>
            <w:tcW w:w="506" w:type="pct"/>
            <w:tcBorders>
              <w:top w:val="single" w:sz="4" w:space="0" w:color="auto"/>
              <w:bottom w:val="single" w:sz="4" w:space="0" w:color="auto"/>
            </w:tcBorders>
            <w:shd w:val="clear" w:color="auto" w:fill="auto"/>
            <w:noWrap/>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15 629</w:t>
            </w:r>
          </w:p>
        </w:tc>
        <w:tc>
          <w:tcPr>
            <w:tcW w:w="504" w:type="pct"/>
            <w:tcBorders>
              <w:top w:val="single" w:sz="4" w:space="0" w:color="auto"/>
              <w:bottom w:val="single" w:sz="4" w:space="0" w:color="auto"/>
            </w:tcBorders>
            <w:shd w:val="clear" w:color="auto" w:fill="auto"/>
            <w:noWrap/>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15 629</w:t>
            </w:r>
          </w:p>
        </w:tc>
      </w:tr>
    </w:tbl>
    <w:p w:rsidR="00AA17E3" w:rsidRPr="00107251" w:rsidRDefault="00AA17E3" w:rsidP="00AA17E3">
      <w:pPr>
        <w:pStyle w:val="Popis"/>
        <w:keepNext/>
        <w:rPr>
          <w:rFonts w:ascii="Times New Roman" w:hAnsi="Times New Roman"/>
          <w:b/>
          <w:i w:val="0"/>
          <w:sz w:val="20"/>
          <w:szCs w:val="20"/>
        </w:rPr>
      </w:pPr>
      <w:bookmarkStart w:id="431" w:name="_Toc53054827"/>
      <w:bookmarkStart w:id="432" w:name="_Toc53078019"/>
      <w:bookmarkStart w:id="433" w:name="_Toc53086421"/>
      <w:bookmarkStart w:id="434" w:name="_Toc84528445"/>
      <w:bookmarkStart w:id="435" w:name="_Toc84845322"/>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98</w:t>
      </w:r>
      <w:r w:rsidRPr="002C35FD">
        <w:rPr>
          <w:rFonts w:ascii="Times New Roman" w:hAnsi="Times New Roman" w:cs="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Odmeny a náhrady za služby</w:t>
      </w:r>
      <w:bookmarkEnd w:id="431"/>
      <w:bookmarkEnd w:id="432"/>
      <w:bookmarkEnd w:id="433"/>
      <w:bookmarkEnd w:id="434"/>
      <w:bookmarkEnd w:id="435"/>
    </w:p>
    <w:p w:rsidR="00AA17E3" w:rsidRPr="00E94385" w:rsidRDefault="00AA17E3" w:rsidP="00756EC8">
      <w:pPr>
        <w:spacing w:after="0"/>
        <w:jc w:val="both"/>
        <w:rPr>
          <w:rFonts w:ascii="Times New Roman" w:hAnsi="Times New Roman"/>
          <w:color w:val="000000"/>
          <w:sz w:val="16"/>
          <w:szCs w:val="16"/>
        </w:rPr>
      </w:pPr>
      <w:r w:rsidRPr="009D65C9">
        <w:rPr>
          <w:rFonts w:ascii="Times New Roman" w:hAnsi="Times New Roman"/>
          <w:i/>
          <w:color w:val="000000"/>
          <w:sz w:val="16"/>
          <w:szCs w:val="16"/>
        </w:rPr>
        <w:t xml:space="preserve">*Výdavky na odmeny a náhrady pre advokátov, notárov, exekútorov, svedkov, tlmočníkov, prekladateľov a znalcov. </w:t>
      </w:r>
      <w:r>
        <w:rPr>
          <w:rFonts w:ascii="Times New Roman" w:hAnsi="Times New Roman"/>
          <w:color w:val="000000"/>
          <w:sz w:val="16"/>
          <w:szCs w:val="16"/>
        </w:rPr>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56EC8" w:rsidRDefault="00756EC8" w:rsidP="00756EC8">
      <w:pPr>
        <w:spacing w:after="0"/>
        <w:jc w:val="both"/>
        <w:rPr>
          <w:rFonts w:ascii="Times New Roman" w:hAnsi="Times New Roman"/>
          <w:sz w:val="24"/>
          <w:szCs w:val="24"/>
        </w:rPr>
      </w:pPr>
    </w:p>
    <w:p w:rsidR="00AA17E3" w:rsidRDefault="00AA17E3" w:rsidP="00756EC8">
      <w:pPr>
        <w:spacing w:after="0"/>
        <w:jc w:val="both"/>
        <w:rPr>
          <w:rFonts w:ascii="Times New Roman" w:hAnsi="Times New Roman"/>
          <w:sz w:val="24"/>
          <w:szCs w:val="24"/>
        </w:rPr>
      </w:pPr>
      <w:r w:rsidRPr="009B3B5B">
        <w:rPr>
          <w:rFonts w:ascii="Times New Roman" w:hAnsi="Times New Roman"/>
          <w:sz w:val="24"/>
          <w:szCs w:val="24"/>
        </w:rPr>
        <w:t xml:space="preserve">Súdnictvo </w:t>
      </w:r>
      <w:r>
        <w:rPr>
          <w:rFonts w:ascii="Times New Roman" w:hAnsi="Times New Roman"/>
          <w:sz w:val="24"/>
          <w:szCs w:val="24"/>
        </w:rPr>
        <w:t>rozpočtuje</w:t>
      </w:r>
      <w:r w:rsidRPr="009B3B5B">
        <w:rPr>
          <w:rFonts w:ascii="Times New Roman" w:hAnsi="Times New Roman"/>
          <w:sz w:val="24"/>
          <w:szCs w:val="24"/>
        </w:rPr>
        <w:t xml:space="preserve"> pre advokátov, notárov, exekútorov, svedkov, tlmočníkov, prekladateľov a znalcov, ako i na odmeny a náhrady za služby na rok 2022 prostriedky v sume 15,6 mil. eur.</w:t>
      </w:r>
    </w:p>
    <w:p w:rsidR="00FA7DE1" w:rsidRPr="00F711A7" w:rsidRDefault="00FA7DE1" w:rsidP="00AA17E3">
      <w:pPr>
        <w:spacing w:after="0"/>
        <w:jc w:val="both"/>
        <w:rPr>
          <w:rFonts w:ascii="Times New Roman" w:hAnsi="Times New Roman"/>
          <w:spacing w:val="-4"/>
          <w:sz w:val="24"/>
          <w:szCs w:val="24"/>
        </w:rPr>
      </w:pPr>
    </w:p>
    <w:tbl>
      <w:tblPr>
        <w:tblpPr w:leftFromText="141" w:rightFromText="141" w:vertAnchor="text" w:horzAnchor="margin" w:tblpY="264"/>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08"/>
        <w:gridCol w:w="920"/>
        <w:gridCol w:w="956"/>
        <w:gridCol w:w="918"/>
        <w:gridCol w:w="918"/>
        <w:gridCol w:w="918"/>
        <w:gridCol w:w="918"/>
        <w:gridCol w:w="916"/>
      </w:tblGrid>
      <w:tr w:rsidR="00AA17E3" w:rsidRPr="00E94385" w:rsidTr="00AA17E3">
        <w:trPr>
          <w:trHeight w:val="261"/>
        </w:trPr>
        <w:tc>
          <w:tcPr>
            <w:tcW w:w="1437" w:type="pct"/>
            <w:shd w:val="clear" w:color="auto" w:fill="auto"/>
            <w:noWrap/>
            <w:vAlign w:val="center"/>
            <w:hideMark/>
          </w:tcPr>
          <w:p w:rsidR="00AA17E3" w:rsidRPr="00257A31" w:rsidRDefault="00AA17E3" w:rsidP="00AA17E3">
            <w:pPr>
              <w:rPr>
                <w:rFonts w:ascii="Times New Roman" w:hAnsi="Times New Roman"/>
                <w:b/>
                <w:sz w:val="16"/>
                <w:szCs w:val="16"/>
              </w:rPr>
            </w:pPr>
            <w:r w:rsidRPr="00257A31">
              <w:rPr>
                <w:rFonts w:ascii="Times New Roman" w:hAnsi="Times New Roman"/>
                <w:b/>
                <w:sz w:val="16"/>
                <w:szCs w:val="16"/>
              </w:rPr>
              <w:t>v tis. eur</w:t>
            </w:r>
          </w:p>
        </w:tc>
        <w:tc>
          <w:tcPr>
            <w:tcW w:w="507"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201</w:t>
            </w:r>
            <w:r>
              <w:rPr>
                <w:rFonts w:ascii="Times New Roman" w:hAnsi="Times New Roman"/>
                <w:b/>
                <w:bCs/>
                <w:color w:val="000000"/>
                <w:sz w:val="16"/>
                <w:szCs w:val="16"/>
              </w:rPr>
              <w:t>9</w:t>
            </w:r>
            <w:r w:rsidRPr="00257A31">
              <w:rPr>
                <w:rFonts w:ascii="Times New Roman" w:hAnsi="Times New Roman"/>
                <w:b/>
                <w:bCs/>
                <w:color w:val="000000"/>
                <w:sz w:val="16"/>
                <w:szCs w:val="16"/>
              </w:rPr>
              <w:t xml:space="preserve"> S</w:t>
            </w:r>
          </w:p>
        </w:tc>
        <w:tc>
          <w:tcPr>
            <w:tcW w:w="527"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highlight w:val="yellow"/>
              </w:rPr>
            </w:pPr>
            <w:r w:rsidRPr="00257A31">
              <w:rPr>
                <w:rFonts w:ascii="Times New Roman" w:hAnsi="Times New Roman"/>
                <w:b/>
                <w:bCs/>
                <w:color w:val="000000"/>
                <w:sz w:val="16"/>
                <w:szCs w:val="16"/>
              </w:rPr>
              <w:t>20</w:t>
            </w:r>
            <w:r>
              <w:rPr>
                <w:rFonts w:ascii="Times New Roman" w:hAnsi="Times New Roman"/>
                <w:b/>
                <w:bCs/>
                <w:color w:val="000000"/>
                <w:sz w:val="16"/>
                <w:szCs w:val="16"/>
              </w:rPr>
              <w:t>20</w:t>
            </w:r>
            <w:r w:rsidRPr="00257A31">
              <w:rPr>
                <w:rFonts w:ascii="Times New Roman" w:hAnsi="Times New Roman"/>
                <w:b/>
                <w:bCs/>
                <w:color w:val="000000"/>
                <w:sz w:val="16"/>
                <w:szCs w:val="16"/>
              </w:rPr>
              <w:t xml:space="preserve"> S </w:t>
            </w:r>
          </w:p>
        </w:tc>
        <w:tc>
          <w:tcPr>
            <w:tcW w:w="506"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R</w:t>
            </w:r>
          </w:p>
        </w:tc>
        <w:tc>
          <w:tcPr>
            <w:tcW w:w="506"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OS</w:t>
            </w:r>
          </w:p>
        </w:tc>
        <w:tc>
          <w:tcPr>
            <w:tcW w:w="506"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w:t>
            </w:r>
            <w:r>
              <w:rPr>
                <w:rFonts w:ascii="Times New Roman" w:hAnsi="Times New Roman"/>
                <w:b/>
                <w:bCs/>
                <w:color w:val="000000"/>
                <w:sz w:val="16"/>
                <w:szCs w:val="16"/>
              </w:rPr>
              <w:t>022</w:t>
            </w:r>
            <w:r w:rsidRPr="00257A31">
              <w:rPr>
                <w:rFonts w:ascii="Times New Roman" w:hAnsi="Times New Roman"/>
                <w:b/>
                <w:bCs/>
                <w:color w:val="000000"/>
                <w:sz w:val="16"/>
                <w:szCs w:val="16"/>
              </w:rPr>
              <w:t xml:space="preserve"> N</w:t>
            </w:r>
          </w:p>
        </w:tc>
        <w:tc>
          <w:tcPr>
            <w:tcW w:w="506"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3</w:t>
            </w:r>
            <w:r w:rsidRPr="00257A31">
              <w:rPr>
                <w:rFonts w:ascii="Times New Roman" w:hAnsi="Times New Roman"/>
                <w:b/>
                <w:bCs/>
                <w:color w:val="000000"/>
                <w:sz w:val="16"/>
                <w:szCs w:val="16"/>
              </w:rPr>
              <w:t xml:space="preserve"> N</w:t>
            </w:r>
          </w:p>
        </w:tc>
        <w:tc>
          <w:tcPr>
            <w:tcW w:w="505" w:type="pct"/>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4</w:t>
            </w:r>
            <w:r w:rsidRPr="00257A31">
              <w:rPr>
                <w:rFonts w:ascii="Times New Roman" w:hAnsi="Times New Roman"/>
                <w:b/>
                <w:bCs/>
                <w:color w:val="000000"/>
                <w:sz w:val="16"/>
                <w:szCs w:val="16"/>
              </w:rPr>
              <w:t xml:space="preserve"> N</w:t>
            </w:r>
          </w:p>
        </w:tc>
      </w:tr>
      <w:tr w:rsidR="00AA17E3" w:rsidRPr="00E94385" w:rsidTr="00AA17E3">
        <w:trPr>
          <w:trHeight w:val="261"/>
        </w:trPr>
        <w:tc>
          <w:tcPr>
            <w:tcW w:w="1437" w:type="pct"/>
            <w:shd w:val="clear" w:color="auto" w:fill="auto"/>
            <w:vAlign w:val="center"/>
            <w:hideMark/>
          </w:tcPr>
          <w:p w:rsidR="00AA17E3" w:rsidRPr="00E94385" w:rsidRDefault="00AA17E3" w:rsidP="00AA17E3">
            <w:pPr>
              <w:rPr>
                <w:rFonts w:ascii="Times New Roman" w:hAnsi="Times New Roman"/>
                <w:color w:val="000000"/>
                <w:sz w:val="16"/>
                <w:szCs w:val="16"/>
              </w:rPr>
            </w:pPr>
            <w:r w:rsidRPr="00E94385">
              <w:rPr>
                <w:rFonts w:ascii="Times New Roman" w:hAnsi="Times New Roman"/>
                <w:color w:val="000000"/>
                <w:sz w:val="16"/>
                <w:szCs w:val="16"/>
              </w:rPr>
              <w:t>Odškodňovanie v oblasti súdnictva</w:t>
            </w:r>
          </w:p>
        </w:tc>
        <w:tc>
          <w:tcPr>
            <w:tcW w:w="507" w:type="pct"/>
            <w:shd w:val="clear" w:color="auto" w:fill="auto"/>
            <w:vAlign w:val="bottom"/>
            <w:hideMark/>
          </w:tcPr>
          <w:p w:rsidR="00AA17E3" w:rsidRPr="00E94385" w:rsidRDefault="00AA17E3" w:rsidP="00AA17E3">
            <w:pPr>
              <w:jc w:val="right"/>
              <w:rPr>
                <w:rFonts w:ascii="Times New Roman" w:hAnsi="Times New Roman"/>
                <w:sz w:val="16"/>
                <w:szCs w:val="16"/>
              </w:rPr>
            </w:pPr>
            <w:r>
              <w:rPr>
                <w:rFonts w:ascii="Times New Roman" w:hAnsi="Times New Roman"/>
                <w:sz w:val="16"/>
                <w:szCs w:val="16"/>
              </w:rPr>
              <w:t>376</w:t>
            </w:r>
          </w:p>
        </w:tc>
        <w:tc>
          <w:tcPr>
            <w:tcW w:w="527" w:type="pct"/>
            <w:shd w:val="clear" w:color="auto" w:fill="auto"/>
            <w:vAlign w:val="bottom"/>
          </w:tcPr>
          <w:p w:rsidR="00AA17E3" w:rsidRPr="009B3B5B" w:rsidRDefault="00AA17E3" w:rsidP="00AA17E3">
            <w:pPr>
              <w:jc w:val="right"/>
              <w:rPr>
                <w:rFonts w:ascii="Times New Roman" w:hAnsi="Times New Roman"/>
                <w:sz w:val="16"/>
                <w:szCs w:val="16"/>
              </w:rPr>
            </w:pPr>
            <w:r w:rsidRPr="009B3B5B">
              <w:rPr>
                <w:rFonts w:ascii="Times New Roman" w:hAnsi="Times New Roman"/>
                <w:sz w:val="16"/>
                <w:szCs w:val="16"/>
              </w:rPr>
              <w:t>869</w:t>
            </w:r>
          </w:p>
        </w:tc>
        <w:tc>
          <w:tcPr>
            <w:tcW w:w="506" w:type="pct"/>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405</w:t>
            </w:r>
          </w:p>
        </w:tc>
        <w:tc>
          <w:tcPr>
            <w:tcW w:w="506" w:type="pct"/>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405</w:t>
            </w:r>
          </w:p>
        </w:tc>
        <w:tc>
          <w:tcPr>
            <w:tcW w:w="506" w:type="pct"/>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405</w:t>
            </w:r>
          </w:p>
        </w:tc>
        <w:tc>
          <w:tcPr>
            <w:tcW w:w="506" w:type="pct"/>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405</w:t>
            </w:r>
          </w:p>
        </w:tc>
        <w:tc>
          <w:tcPr>
            <w:tcW w:w="505" w:type="pct"/>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405</w:t>
            </w:r>
          </w:p>
        </w:tc>
      </w:tr>
    </w:tbl>
    <w:p w:rsidR="00AA17E3" w:rsidRPr="009C3AE2" w:rsidRDefault="00AA17E3" w:rsidP="00AA17E3">
      <w:pPr>
        <w:pStyle w:val="Popis"/>
        <w:keepNext/>
        <w:rPr>
          <w:rFonts w:ascii="Times New Roman" w:hAnsi="Times New Roman"/>
          <w:b/>
          <w:i w:val="0"/>
          <w:color w:val="5B9BD5" w:themeColor="accent1"/>
          <w:sz w:val="20"/>
          <w:szCs w:val="20"/>
        </w:rPr>
      </w:pPr>
      <w:bookmarkStart w:id="436" w:name="_Toc53054828"/>
      <w:bookmarkStart w:id="437" w:name="_Toc53078020"/>
      <w:bookmarkStart w:id="438" w:name="_Toc53086422"/>
      <w:bookmarkStart w:id="439" w:name="_Toc84528446"/>
      <w:bookmarkStart w:id="440" w:name="_Toc84845323"/>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99</w:t>
      </w:r>
      <w:r w:rsidRPr="002C35FD">
        <w:rPr>
          <w:rFonts w:ascii="Times New Roman" w:hAnsi="Times New Roman" w:cs="Times New Roman"/>
          <w:b/>
          <w:i w:val="0"/>
          <w:color w:val="5B9BD5" w:themeColor="accent1"/>
          <w:sz w:val="20"/>
          <w:szCs w:val="20"/>
        </w:rPr>
        <w:fldChar w:fldCharType="end"/>
      </w:r>
      <w:r w:rsidR="00441800">
        <w:rPr>
          <w:rFonts w:ascii="Times New Roman" w:hAnsi="Times New Roman" w:cs="Times New Roman"/>
          <w:b/>
          <w:i w:val="0"/>
          <w:color w:val="5B9BD5" w:themeColor="accent1"/>
          <w:sz w:val="20"/>
          <w:szCs w:val="20"/>
        </w:rPr>
        <w:t xml:space="preserve"> </w:t>
      </w:r>
      <w:r w:rsidRPr="009C3AE2">
        <w:rPr>
          <w:rFonts w:ascii="Times New Roman" w:hAnsi="Times New Roman"/>
          <w:b/>
          <w:i w:val="0"/>
          <w:color w:val="5B9BD5" w:themeColor="accent1"/>
          <w:sz w:val="20"/>
          <w:szCs w:val="20"/>
        </w:rPr>
        <w:t>- Odškodňovanie v oblasti súdnictva</w:t>
      </w:r>
      <w:bookmarkEnd w:id="436"/>
      <w:bookmarkEnd w:id="437"/>
      <w:bookmarkEnd w:id="438"/>
      <w:bookmarkEnd w:id="439"/>
      <w:bookmarkEnd w:id="440"/>
    </w:p>
    <w:p w:rsidR="00756EC8" w:rsidRPr="009224A5" w:rsidRDefault="00AA17E3" w:rsidP="00756EC8">
      <w:pPr>
        <w:autoSpaceDE w:val="0"/>
        <w:autoSpaceDN w:val="0"/>
        <w:adjustRightInd w:val="0"/>
        <w:spacing w:after="0"/>
        <w:jc w:val="both"/>
        <w:rPr>
          <w:rFonts w:ascii="Arial Narrow" w:hAnsi="Arial Narrow"/>
          <w:sz w:val="16"/>
          <w:szCs w:val="16"/>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AA17E3" w:rsidRDefault="00AA17E3" w:rsidP="00756EC8">
      <w:pPr>
        <w:autoSpaceDE w:val="0"/>
        <w:autoSpaceDN w:val="0"/>
        <w:adjustRightInd w:val="0"/>
        <w:spacing w:after="0"/>
        <w:jc w:val="both"/>
        <w:rPr>
          <w:rFonts w:ascii="Times New Roman" w:hAnsi="Times New Roman"/>
          <w:sz w:val="24"/>
          <w:szCs w:val="24"/>
        </w:rPr>
      </w:pPr>
      <w:r w:rsidRPr="009B3B5B">
        <w:rPr>
          <w:rFonts w:ascii="Times New Roman" w:hAnsi="Times New Roman"/>
          <w:sz w:val="24"/>
          <w:szCs w:val="24"/>
        </w:rPr>
        <w:t>Prerokovanie žiadostí o odškodnenie podľa zákonov č. 105/2002 Z. z. (ide o jednorazový finančný príspevok príslušníkom československých zahraničných alebo spojeneckých armád) a</w:t>
      </w:r>
      <w:r w:rsidR="00D10C0E">
        <w:rPr>
          <w:rFonts w:ascii="Times New Roman" w:hAnsi="Times New Roman"/>
          <w:sz w:val="24"/>
          <w:szCs w:val="24"/>
        </w:rPr>
        <w:t xml:space="preserve"> č. </w:t>
      </w:r>
      <w:r w:rsidRPr="009B3B5B">
        <w:rPr>
          <w:rFonts w:ascii="Times New Roman" w:hAnsi="Times New Roman"/>
          <w:sz w:val="24"/>
          <w:szCs w:val="24"/>
        </w:rPr>
        <w:t>305/1999 Z. z. o zmiernení niektorých krívd osobám deportovaným do nacistických koncentračných táborov a zajateckých táborov sa malo ukončiť už v roku 2006, avšak agenda odškodňovania bude prebiehať v zmysle platných zákonov a tiež na základe súdnych rozhodnutí do obdobia rokov 2020 až 2023. Žiadosti, ktoré boli podané v zákonom stanovenej lehote</w:t>
      </w:r>
      <w:r w:rsidR="00D10C0E">
        <w:rPr>
          <w:rFonts w:ascii="Times New Roman" w:hAnsi="Times New Roman"/>
          <w:sz w:val="24"/>
          <w:szCs w:val="24"/>
        </w:rPr>
        <w:t>,</w:t>
      </w:r>
      <w:r w:rsidRPr="009B3B5B">
        <w:rPr>
          <w:rFonts w:ascii="Times New Roman" w:hAnsi="Times New Roman"/>
          <w:sz w:val="24"/>
          <w:szCs w:val="24"/>
        </w:rPr>
        <w:t xml:space="preserve"> nie sú časovo obmedzené, nárok na odškodnenie nezaniká, čiže je potrebné čakať na ukončenie právoplatných dedičských konaní.</w:t>
      </w:r>
    </w:p>
    <w:p w:rsidR="00756EC8" w:rsidRPr="00F711A7" w:rsidRDefault="00756EC8" w:rsidP="00756EC8">
      <w:pPr>
        <w:autoSpaceDE w:val="0"/>
        <w:autoSpaceDN w:val="0"/>
        <w:adjustRightInd w:val="0"/>
        <w:spacing w:after="0"/>
        <w:jc w:val="both"/>
        <w:rPr>
          <w:rFonts w:ascii="Times New Roman" w:hAnsi="Times New Roman"/>
          <w:sz w:val="24"/>
          <w:szCs w:val="24"/>
        </w:rPr>
      </w:pPr>
    </w:p>
    <w:tbl>
      <w:tblPr>
        <w:tblpPr w:leftFromText="141" w:rightFromText="141" w:vertAnchor="text" w:horzAnchor="margin" w:tblpY="285"/>
        <w:tblW w:w="5000" w:type="pct"/>
        <w:tblCellMar>
          <w:left w:w="70" w:type="dxa"/>
          <w:right w:w="70" w:type="dxa"/>
        </w:tblCellMar>
        <w:tblLook w:val="04A0" w:firstRow="1" w:lastRow="0" w:firstColumn="1" w:lastColumn="0" w:noHBand="0" w:noVBand="1"/>
      </w:tblPr>
      <w:tblGrid>
        <w:gridCol w:w="2606"/>
        <w:gridCol w:w="920"/>
        <w:gridCol w:w="956"/>
        <w:gridCol w:w="918"/>
        <w:gridCol w:w="918"/>
        <w:gridCol w:w="918"/>
        <w:gridCol w:w="918"/>
        <w:gridCol w:w="918"/>
      </w:tblGrid>
      <w:tr w:rsidR="00AA17E3" w:rsidRPr="00E94385" w:rsidTr="00AA17E3">
        <w:trPr>
          <w:trHeight w:val="261"/>
        </w:trPr>
        <w:tc>
          <w:tcPr>
            <w:tcW w:w="1436" w:type="pct"/>
            <w:tcBorders>
              <w:top w:val="single" w:sz="4" w:space="0" w:color="auto"/>
              <w:bottom w:val="single" w:sz="4" w:space="0" w:color="auto"/>
            </w:tcBorders>
            <w:shd w:val="clear" w:color="auto" w:fill="auto"/>
            <w:noWrap/>
            <w:vAlign w:val="center"/>
            <w:hideMark/>
          </w:tcPr>
          <w:p w:rsidR="00AA17E3" w:rsidRPr="00257A31" w:rsidRDefault="00AA17E3" w:rsidP="00AA17E3">
            <w:pPr>
              <w:rPr>
                <w:rFonts w:ascii="Times New Roman" w:hAnsi="Times New Roman"/>
                <w:b/>
                <w:sz w:val="16"/>
                <w:szCs w:val="16"/>
              </w:rPr>
            </w:pPr>
            <w:r w:rsidRPr="00257A31">
              <w:rPr>
                <w:rFonts w:ascii="Times New Roman" w:hAnsi="Times New Roman"/>
                <w:b/>
                <w:sz w:val="16"/>
                <w:szCs w:val="16"/>
              </w:rPr>
              <w:t>v tis. eur</w:t>
            </w:r>
          </w:p>
        </w:tc>
        <w:tc>
          <w:tcPr>
            <w:tcW w:w="507"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201</w:t>
            </w:r>
            <w:r>
              <w:rPr>
                <w:rFonts w:ascii="Times New Roman" w:hAnsi="Times New Roman"/>
                <w:b/>
                <w:bCs/>
                <w:color w:val="000000"/>
                <w:sz w:val="16"/>
                <w:szCs w:val="16"/>
              </w:rPr>
              <w:t>9</w:t>
            </w:r>
            <w:r w:rsidRPr="00257A31">
              <w:rPr>
                <w:rFonts w:ascii="Times New Roman" w:hAnsi="Times New Roman"/>
                <w:b/>
                <w:bCs/>
                <w:color w:val="000000"/>
                <w:sz w:val="16"/>
                <w:szCs w:val="16"/>
              </w:rPr>
              <w:t xml:space="preserve"> S</w:t>
            </w:r>
          </w:p>
        </w:tc>
        <w:tc>
          <w:tcPr>
            <w:tcW w:w="527"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highlight w:val="yellow"/>
              </w:rPr>
            </w:pPr>
            <w:r w:rsidRPr="00257A31">
              <w:rPr>
                <w:rFonts w:ascii="Times New Roman" w:hAnsi="Times New Roman"/>
                <w:b/>
                <w:bCs/>
                <w:color w:val="000000"/>
                <w:sz w:val="16"/>
                <w:szCs w:val="16"/>
              </w:rPr>
              <w:t>20</w:t>
            </w:r>
            <w:r>
              <w:rPr>
                <w:rFonts w:ascii="Times New Roman" w:hAnsi="Times New Roman"/>
                <w:b/>
                <w:bCs/>
                <w:color w:val="000000"/>
                <w:sz w:val="16"/>
                <w:szCs w:val="16"/>
              </w:rPr>
              <w:t>20</w:t>
            </w:r>
            <w:r w:rsidRPr="00257A31">
              <w:rPr>
                <w:rFonts w:ascii="Times New Roman" w:hAnsi="Times New Roman"/>
                <w:b/>
                <w:bCs/>
                <w:color w:val="000000"/>
                <w:sz w:val="16"/>
                <w:szCs w:val="16"/>
              </w:rPr>
              <w:t xml:space="preserve"> S </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R</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1</w:t>
            </w:r>
            <w:r w:rsidRPr="00257A31">
              <w:rPr>
                <w:rFonts w:ascii="Times New Roman" w:hAnsi="Times New Roman"/>
                <w:b/>
                <w:bCs/>
                <w:color w:val="000000"/>
                <w:sz w:val="16"/>
                <w:szCs w:val="16"/>
              </w:rPr>
              <w:t xml:space="preserve"> OS</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w:t>
            </w:r>
            <w:r>
              <w:rPr>
                <w:rFonts w:ascii="Times New Roman" w:hAnsi="Times New Roman"/>
                <w:b/>
                <w:bCs/>
                <w:color w:val="000000"/>
                <w:sz w:val="16"/>
                <w:szCs w:val="16"/>
              </w:rPr>
              <w:t>022</w:t>
            </w:r>
            <w:r w:rsidRPr="00257A31">
              <w:rPr>
                <w:rFonts w:ascii="Times New Roman" w:hAnsi="Times New Roman"/>
                <w:b/>
                <w:bCs/>
                <w:color w:val="000000"/>
                <w:sz w:val="16"/>
                <w:szCs w:val="16"/>
              </w:rPr>
              <w:t xml:space="preserve"> N</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3</w:t>
            </w:r>
            <w:r w:rsidRPr="00257A31">
              <w:rPr>
                <w:rFonts w:ascii="Times New Roman" w:hAnsi="Times New Roman"/>
                <w:b/>
                <w:bCs/>
                <w:color w:val="000000"/>
                <w:sz w:val="16"/>
                <w:szCs w:val="16"/>
              </w:rPr>
              <w:t xml:space="preserve"> N</w:t>
            </w:r>
          </w:p>
        </w:tc>
        <w:tc>
          <w:tcPr>
            <w:tcW w:w="506" w:type="pct"/>
            <w:tcBorders>
              <w:top w:val="single" w:sz="4" w:space="0" w:color="auto"/>
              <w:bottom w:val="single" w:sz="4" w:space="0" w:color="auto"/>
            </w:tcBorders>
            <w:shd w:val="clear" w:color="auto" w:fill="auto"/>
            <w:noWrap/>
            <w:vAlign w:val="center"/>
            <w:hideMark/>
          </w:tcPr>
          <w:p w:rsidR="00AA17E3" w:rsidRPr="00257A31" w:rsidRDefault="00AA17E3" w:rsidP="00AA17E3">
            <w:pPr>
              <w:jc w:val="right"/>
              <w:rPr>
                <w:rFonts w:ascii="Times New Roman" w:hAnsi="Times New Roman"/>
                <w:b/>
                <w:bCs/>
                <w:color w:val="000000"/>
                <w:sz w:val="16"/>
                <w:szCs w:val="16"/>
              </w:rPr>
            </w:pPr>
            <w:r w:rsidRPr="00257A31">
              <w:rPr>
                <w:rFonts w:ascii="Times New Roman" w:hAnsi="Times New Roman"/>
                <w:b/>
                <w:bCs/>
                <w:color w:val="000000"/>
                <w:sz w:val="16"/>
                <w:szCs w:val="16"/>
              </w:rPr>
              <w:t>202</w:t>
            </w:r>
            <w:r>
              <w:rPr>
                <w:rFonts w:ascii="Times New Roman" w:hAnsi="Times New Roman"/>
                <w:b/>
                <w:bCs/>
                <w:color w:val="000000"/>
                <w:sz w:val="16"/>
                <w:szCs w:val="16"/>
              </w:rPr>
              <w:t>4</w:t>
            </w:r>
            <w:r w:rsidRPr="00257A31">
              <w:rPr>
                <w:rFonts w:ascii="Times New Roman" w:hAnsi="Times New Roman"/>
                <w:b/>
                <w:bCs/>
                <w:color w:val="000000"/>
                <w:sz w:val="16"/>
                <w:szCs w:val="16"/>
              </w:rPr>
              <w:t xml:space="preserve"> N</w:t>
            </w:r>
          </w:p>
        </w:tc>
      </w:tr>
      <w:tr w:rsidR="00AA17E3" w:rsidRPr="00E94385" w:rsidTr="00AA17E3">
        <w:trPr>
          <w:trHeight w:val="261"/>
        </w:trPr>
        <w:tc>
          <w:tcPr>
            <w:tcW w:w="1436" w:type="pct"/>
            <w:tcBorders>
              <w:top w:val="single" w:sz="4" w:space="0" w:color="auto"/>
              <w:bottom w:val="single" w:sz="4" w:space="0" w:color="auto"/>
            </w:tcBorders>
            <w:shd w:val="clear" w:color="auto" w:fill="auto"/>
            <w:vAlign w:val="center"/>
            <w:hideMark/>
          </w:tcPr>
          <w:p w:rsidR="00AA17E3" w:rsidRPr="00E94385" w:rsidRDefault="00AA17E3" w:rsidP="00AA17E3">
            <w:pPr>
              <w:rPr>
                <w:rFonts w:ascii="Times New Roman" w:hAnsi="Times New Roman"/>
                <w:color w:val="000000"/>
                <w:sz w:val="14"/>
                <w:szCs w:val="14"/>
              </w:rPr>
            </w:pPr>
            <w:r w:rsidRPr="00E94385">
              <w:rPr>
                <w:rFonts w:ascii="Times New Roman" w:hAnsi="Times New Roman"/>
                <w:color w:val="000000"/>
                <w:sz w:val="14"/>
                <w:szCs w:val="14"/>
              </w:rPr>
              <w:t>Odškodňovanie v oblasti administratíva</w:t>
            </w:r>
          </w:p>
        </w:tc>
        <w:tc>
          <w:tcPr>
            <w:tcW w:w="507" w:type="pct"/>
            <w:tcBorders>
              <w:top w:val="single" w:sz="4" w:space="0" w:color="auto"/>
              <w:bottom w:val="single" w:sz="4" w:space="0" w:color="auto"/>
            </w:tcBorders>
            <w:shd w:val="clear" w:color="auto" w:fill="auto"/>
            <w:vAlign w:val="bottom"/>
            <w:hideMark/>
          </w:tcPr>
          <w:p w:rsidR="00AA17E3" w:rsidRPr="00E94385" w:rsidRDefault="00AA17E3" w:rsidP="00AA17E3">
            <w:pPr>
              <w:jc w:val="right"/>
              <w:rPr>
                <w:rFonts w:ascii="Times New Roman" w:hAnsi="Times New Roman"/>
                <w:sz w:val="16"/>
                <w:szCs w:val="16"/>
              </w:rPr>
            </w:pPr>
            <w:r>
              <w:rPr>
                <w:rFonts w:ascii="Times New Roman" w:hAnsi="Times New Roman"/>
                <w:sz w:val="16"/>
                <w:szCs w:val="16"/>
              </w:rPr>
              <w:t>4 465</w:t>
            </w:r>
          </w:p>
        </w:tc>
        <w:tc>
          <w:tcPr>
            <w:tcW w:w="527" w:type="pct"/>
            <w:tcBorders>
              <w:top w:val="single" w:sz="4" w:space="0" w:color="auto"/>
              <w:bottom w:val="single" w:sz="4" w:space="0" w:color="auto"/>
            </w:tcBorders>
            <w:shd w:val="clear" w:color="auto" w:fill="auto"/>
            <w:vAlign w:val="bottom"/>
          </w:tcPr>
          <w:p w:rsidR="00AA17E3" w:rsidRPr="009B3B5B" w:rsidRDefault="00AA17E3" w:rsidP="00AA17E3">
            <w:pPr>
              <w:jc w:val="right"/>
              <w:rPr>
                <w:rFonts w:ascii="Times New Roman" w:hAnsi="Times New Roman"/>
                <w:sz w:val="16"/>
                <w:szCs w:val="16"/>
              </w:rPr>
            </w:pPr>
            <w:r w:rsidRPr="009B3B5B">
              <w:rPr>
                <w:rFonts w:ascii="Times New Roman" w:hAnsi="Times New Roman"/>
                <w:sz w:val="16"/>
                <w:szCs w:val="16"/>
              </w:rPr>
              <w:t>1 364</w:t>
            </w:r>
          </w:p>
        </w:tc>
        <w:tc>
          <w:tcPr>
            <w:tcW w:w="506" w:type="pct"/>
            <w:tcBorders>
              <w:top w:val="single" w:sz="4" w:space="0" w:color="auto"/>
              <w:bottom w:val="single" w:sz="4" w:space="0" w:color="auto"/>
            </w:tcBorders>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950</w:t>
            </w:r>
          </w:p>
        </w:tc>
        <w:tc>
          <w:tcPr>
            <w:tcW w:w="506" w:type="pct"/>
            <w:tcBorders>
              <w:top w:val="single" w:sz="4" w:space="0" w:color="auto"/>
              <w:bottom w:val="single" w:sz="4" w:space="0" w:color="auto"/>
            </w:tcBorders>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950</w:t>
            </w:r>
          </w:p>
        </w:tc>
        <w:tc>
          <w:tcPr>
            <w:tcW w:w="506" w:type="pct"/>
            <w:tcBorders>
              <w:top w:val="single" w:sz="4" w:space="0" w:color="auto"/>
              <w:bottom w:val="single" w:sz="4" w:space="0" w:color="auto"/>
            </w:tcBorders>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3 501</w:t>
            </w:r>
          </w:p>
        </w:tc>
        <w:tc>
          <w:tcPr>
            <w:tcW w:w="506" w:type="pct"/>
            <w:tcBorders>
              <w:top w:val="single" w:sz="4" w:space="0" w:color="auto"/>
              <w:bottom w:val="single" w:sz="4" w:space="0" w:color="auto"/>
            </w:tcBorders>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3 501</w:t>
            </w:r>
          </w:p>
        </w:tc>
        <w:tc>
          <w:tcPr>
            <w:tcW w:w="506" w:type="pct"/>
            <w:tcBorders>
              <w:top w:val="single" w:sz="4" w:space="0" w:color="auto"/>
              <w:bottom w:val="single" w:sz="4" w:space="0" w:color="auto"/>
            </w:tcBorders>
            <w:shd w:val="clear" w:color="auto" w:fill="auto"/>
            <w:vAlign w:val="bottom"/>
          </w:tcPr>
          <w:p w:rsidR="00AA17E3" w:rsidRPr="009B3B5B" w:rsidRDefault="00AA17E3" w:rsidP="00AA17E3">
            <w:pPr>
              <w:jc w:val="right"/>
              <w:rPr>
                <w:rFonts w:ascii="Times New Roman" w:hAnsi="Times New Roman"/>
                <w:color w:val="000000"/>
                <w:sz w:val="16"/>
                <w:szCs w:val="16"/>
              </w:rPr>
            </w:pPr>
            <w:r w:rsidRPr="009B3B5B">
              <w:rPr>
                <w:rFonts w:ascii="Times New Roman" w:hAnsi="Times New Roman"/>
                <w:color w:val="000000"/>
                <w:sz w:val="16"/>
                <w:szCs w:val="16"/>
              </w:rPr>
              <w:t>3 501</w:t>
            </w:r>
          </w:p>
        </w:tc>
      </w:tr>
    </w:tbl>
    <w:p w:rsidR="00AA17E3" w:rsidRPr="009C3AE2" w:rsidRDefault="00AA17E3" w:rsidP="00AA17E3">
      <w:pPr>
        <w:pStyle w:val="Popis"/>
        <w:keepNext/>
        <w:rPr>
          <w:rFonts w:ascii="Times New Roman" w:hAnsi="Times New Roman"/>
          <w:b/>
          <w:i w:val="0"/>
          <w:color w:val="5B9BD5" w:themeColor="accent1"/>
          <w:sz w:val="20"/>
          <w:szCs w:val="20"/>
        </w:rPr>
      </w:pPr>
      <w:bookmarkStart w:id="441" w:name="_Toc53054829"/>
      <w:bookmarkStart w:id="442" w:name="_Toc53078021"/>
      <w:bookmarkStart w:id="443" w:name="_Toc53086423"/>
      <w:bookmarkStart w:id="444" w:name="_Toc84528447"/>
      <w:bookmarkStart w:id="445" w:name="_Toc84845324"/>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100</w:t>
      </w:r>
      <w:r w:rsidRPr="002C35FD">
        <w:rPr>
          <w:rFonts w:ascii="Times New Roman" w:hAnsi="Times New Roman" w:cs="Times New Roman"/>
          <w:b/>
          <w:i w:val="0"/>
          <w:color w:val="5B9BD5" w:themeColor="accent1"/>
          <w:sz w:val="20"/>
          <w:szCs w:val="20"/>
        </w:rPr>
        <w:fldChar w:fldCharType="end"/>
      </w:r>
      <w:r w:rsidR="00441800">
        <w:rPr>
          <w:rFonts w:ascii="Times New Roman" w:hAnsi="Times New Roman" w:cs="Times New Roman"/>
          <w:b/>
          <w:i w:val="0"/>
          <w:color w:val="5B9BD5" w:themeColor="accent1"/>
          <w:sz w:val="20"/>
          <w:szCs w:val="20"/>
        </w:rPr>
        <w:t xml:space="preserve"> </w:t>
      </w:r>
      <w:r w:rsidRPr="009C3AE2">
        <w:rPr>
          <w:rFonts w:ascii="Times New Roman" w:hAnsi="Times New Roman"/>
          <w:b/>
          <w:i w:val="0"/>
          <w:color w:val="5B9BD5" w:themeColor="accent1"/>
          <w:sz w:val="20"/>
          <w:szCs w:val="20"/>
        </w:rPr>
        <w:t>- Odškodňovanie v oblasti administratíva</w:t>
      </w:r>
      <w:bookmarkEnd w:id="441"/>
      <w:bookmarkEnd w:id="442"/>
      <w:bookmarkEnd w:id="443"/>
      <w:bookmarkEnd w:id="444"/>
      <w:bookmarkEnd w:id="445"/>
    </w:p>
    <w:p w:rsidR="00AA17E3" w:rsidRDefault="00AA17E3" w:rsidP="00756EC8">
      <w:pPr>
        <w:autoSpaceDE w:val="0"/>
        <w:autoSpaceDN w:val="0"/>
        <w:adjustRightInd w:val="0"/>
        <w:spacing w:after="0"/>
        <w:jc w:val="both"/>
        <w:rPr>
          <w:rFonts w:ascii="Arial Narrow" w:hAnsi="Arial Narrow"/>
          <w:sz w:val="16"/>
          <w:szCs w:val="16"/>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56EC8" w:rsidRDefault="00756EC8" w:rsidP="00756EC8">
      <w:pPr>
        <w:spacing w:after="0"/>
        <w:jc w:val="both"/>
        <w:rPr>
          <w:rFonts w:ascii="Times New Roman" w:hAnsi="Times New Roman" w:cs="Times New Roman"/>
          <w:sz w:val="24"/>
          <w:szCs w:val="24"/>
        </w:rPr>
      </w:pPr>
    </w:p>
    <w:p w:rsidR="00AA17E3" w:rsidRDefault="00AA17E3" w:rsidP="00756EC8">
      <w:pPr>
        <w:spacing w:after="0"/>
        <w:jc w:val="both"/>
        <w:rPr>
          <w:rFonts w:ascii="Times New Roman" w:hAnsi="Times New Roman" w:cs="Times New Roman"/>
          <w:sz w:val="24"/>
          <w:szCs w:val="24"/>
        </w:rPr>
      </w:pPr>
      <w:r w:rsidRPr="001F3790">
        <w:rPr>
          <w:rFonts w:ascii="Times New Roman" w:hAnsi="Times New Roman" w:cs="Times New Roman"/>
          <w:sz w:val="24"/>
          <w:szCs w:val="24"/>
        </w:rPr>
        <w:t>Kapitola rozpočtuje výdavky na odškodňovanie v oblasti administratíva, ide o výdavky na odškodnenia v zmysle platnej legislatívy, a to pre obete trestných činov, zodpovednosti za škodu spôsobenú pri výkone verejnej moci alebo rozhodnutím orgánu štátu alebo jeho nesprávnym postupom, za súdnu rehabilitáciu</w:t>
      </w:r>
      <w:r>
        <w:rPr>
          <w:rFonts w:ascii="Times New Roman" w:hAnsi="Times New Roman" w:cs="Times New Roman"/>
          <w:sz w:val="24"/>
          <w:szCs w:val="24"/>
        </w:rPr>
        <w:t xml:space="preserve"> </w:t>
      </w:r>
      <w:r w:rsidRPr="001F3790">
        <w:rPr>
          <w:rFonts w:ascii="Times New Roman" w:hAnsi="Times New Roman" w:cs="Times New Roman"/>
          <w:sz w:val="24"/>
          <w:szCs w:val="24"/>
        </w:rPr>
        <w:t>a tiež na odškodnenia podľa rozhodnutí Európskeho súdu pre ľudské práva.</w:t>
      </w:r>
    </w:p>
    <w:p w:rsidR="00756EC8" w:rsidRPr="001F3790" w:rsidRDefault="00756EC8" w:rsidP="00756EC8">
      <w:pPr>
        <w:spacing w:after="0"/>
        <w:jc w:val="both"/>
        <w:rPr>
          <w:rFonts w:ascii="Times New Roman" w:hAnsi="Times New Roman" w:cs="Times New Roman"/>
          <w:sz w:val="24"/>
          <w:szCs w:val="24"/>
        </w:rPr>
      </w:pPr>
    </w:p>
    <w:p w:rsidR="00AA17E3" w:rsidRPr="009B3B5B" w:rsidRDefault="00AA17E3" w:rsidP="00AA17E3">
      <w:pPr>
        <w:spacing w:after="0"/>
        <w:jc w:val="both"/>
        <w:rPr>
          <w:rFonts w:ascii="Times New Roman" w:hAnsi="Times New Roman" w:cs="Times New Roman"/>
          <w:sz w:val="24"/>
          <w:szCs w:val="24"/>
        </w:rPr>
      </w:pPr>
      <w:r>
        <w:rPr>
          <w:rFonts w:ascii="Times New Roman" w:hAnsi="Times New Roman" w:cs="Times New Roman"/>
          <w:sz w:val="24"/>
          <w:szCs w:val="24"/>
        </w:rPr>
        <w:t>Pre úrad ministerstva sa zabezpečujú</w:t>
      </w:r>
      <w:r w:rsidRPr="009B3B5B">
        <w:rPr>
          <w:rFonts w:ascii="Times New Roman" w:hAnsi="Times New Roman" w:cs="Times New Roman"/>
          <w:sz w:val="24"/>
          <w:szCs w:val="24"/>
        </w:rPr>
        <w:t xml:space="preserve"> výdavky v sume 32,3 mil. eur, na zabezpečenie činnosti ústredného orgánu, ktorý ekonomicky, personálne, legislatívne a metodicky riadi organizácie</w:t>
      </w:r>
      <w:r>
        <w:rPr>
          <w:rFonts w:ascii="Times New Roman" w:hAnsi="Times New Roman" w:cs="Times New Roman"/>
          <w:sz w:val="24"/>
          <w:szCs w:val="24"/>
        </w:rPr>
        <w:t xml:space="preserve"> kapitoly</w:t>
      </w:r>
      <w:r w:rsidRPr="009B3B5B">
        <w:rPr>
          <w:rFonts w:ascii="Times New Roman" w:hAnsi="Times New Roman" w:cs="Times New Roman"/>
          <w:sz w:val="24"/>
          <w:szCs w:val="24"/>
        </w:rPr>
        <w:t>. Úlohy v tomto programe sú zamerané aj na edičnú činnosť a realizáciu odškodňovania občanov v súlade s platnou legislatívou a činnosťou zástupcov SR pred medzinárodnými súdnymi inštitúciami.</w:t>
      </w:r>
    </w:p>
    <w:p w:rsidR="00AA17E3" w:rsidRPr="009B3B5B" w:rsidRDefault="00AA17E3" w:rsidP="00AA17E3">
      <w:pPr>
        <w:spacing w:after="0"/>
        <w:jc w:val="both"/>
        <w:rPr>
          <w:rFonts w:ascii="Times New Roman" w:hAnsi="Times New Roman" w:cs="Times New Roman"/>
          <w:sz w:val="24"/>
          <w:szCs w:val="24"/>
        </w:rPr>
      </w:pPr>
    </w:p>
    <w:p w:rsidR="00AA17E3" w:rsidRPr="009B3B5B" w:rsidRDefault="00AA17E3" w:rsidP="00AA17E3">
      <w:pPr>
        <w:spacing w:after="0"/>
        <w:jc w:val="both"/>
        <w:rPr>
          <w:rFonts w:ascii="Times New Roman" w:hAnsi="Times New Roman" w:cs="Times New Roman"/>
          <w:sz w:val="24"/>
          <w:szCs w:val="24"/>
        </w:rPr>
      </w:pPr>
      <w:r w:rsidRPr="009B3B5B">
        <w:rPr>
          <w:rFonts w:ascii="Times New Roman" w:hAnsi="Times New Roman" w:cs="Times New Roman"/>
          <w:sz w:val="24"/>
          <w:szCs w:val="24"/>
        </w:rPr>
        <w:t xml:space="preserve">Tovary a služby zabezpečujú najnutnejšie výdavky spojené s organizačno-technickým zabezpečením chodu ministerstva spravodlivosti. Ide o výdavky na energie, vodu, dopravné náklady, cestovné (domáce a zahraničné pracovné cesty), všeobecné služby, nájom nebytových priestorov, údržbu bežných prevádzkových zariadení, plánované revízie, odvoz odpadu, prídel do sociálneho fondu, príspevok na stravovanie zamestnancov. </w:t>
      </w:r>
    </w:p>
    <w:p w:rsidR="00AA17E3" w:rsidRPr="009B3B5B" w:rsidRDefault="00AA17E3" w:rsidP="00AA17E3">
      <w:pPr>
        <w:spacing w:after="0"/>
        <w:jc w:val="both"/>
        <w:rPr>
          <w:rFonts w:ascii="Times New Roman" w:hAnsi="Times New Roman" w:cs="Times New Roman"/>
          <w:sz w:val="24"/>
          <w:szCs w:val="24"/>
        </w:rPr>
      </w:pPr>
    </w:p>
    <w:p w:rsidR="00AA17E3" w:rsidRPr="009B3B5B" w:rsidRDefault="00AA17E3" w:rsidP="00AA17E3">
      <w:pPr>
        <w:spacing w:after="0"/>
        <w:jc w:val="both"/>
        <w:rPr>
          <w:rFonts w:ascii="Times New Roman" w:hAnsi="Times New Roman" w:cs="Times New Roman"/>
          <w:sz w:val="24"/>
          <w:szCs w:val="24"/>
        </w:rPr>
      </w:pPr>
      <w:r w:rsidRPr="009B3B5B">
        <w:rPr>
          <w:rFonts w:ascii="Times New Roman" w:hAnsi="Times New Roman" w:cs="Times New Roman"/>
          <w:sz w:val="24"/>
          <w:szCs w:val="24"/>
        </w:rPr>
        <w:t>Bežné transfery zohľadňujú nároky vyplývajúce pre zamestnancov z náhrady príjmu pri dočasnej pracovnej neschopnosti, odstupného, odchodného, na príplatky k dôchodkom sudcov, na realizáciu odškodnenia osôb podľa platných zákonov a na podporu projektov zameraných na presadzovanie, podporu a ochranu ľudských práv a slobôd a na predchádzanie všetkým formám diskriminácie, rasizmu, xenofóbie, antisemitizmu a prejavom intolerancie.</w:t>
      </w:r>
    </w:p>
    <w:p w:rsidR="00AA17E3" w:rsidRPr="009B3B5B" w:rsidRDefault="00AA17E3" w:rsidP="00AA17E3">
      <w:pPr>
        <w:spacing w:after="0"/>
        <w:jc w:val="both"/>
        <w:rPr>
          <w:rFonts w:ascii="Times New Roman" w:hAnsi="Times New Roman" w:cs="Times New Roman"/>
          <w:sz w:val="24"/>
          <w:szCs w:val="24"/>
        </w:rPr>
      </w:pPr>
    </w:p>
    <w:p w:rsidR="00AA17E3" w:rsidRDefault="00AA17E3" w:rsidP="00AA17E3">
      <w:pPr>
        <w:spacing w:after="0"/>
        <w:jc w:val="both"/>
        <w:rPr>
          <w:rFonts w:ascii="Times New Roman" w:hAnsi="Times New Roman" w:cs="Times New Roman"/>
          <w:sz w:val="24"/>
          <w:szCs w:val="24"/>
        </w:rPr>
      </w:pPr>
      <w:r w:rsidRPr="009B3B5B">
        <w:rPr>
          <w:rFonts w:ascii="Times New Roman" w:hAnsi="Times New Roman" w:cs="Times New Roman"/>
          <w:sz w:val="24"/>
          <w:szCs w:val="24"/>
        </w:rPr>
        <w:t>Pre Kanceláriu Ústavného súdu SR sa na rok 2022 rozpočtujú výdavky na zabezpečenie kvalifikovaného výkonu súdnej moci vrátane zabezpečenia ochrany ústavnosti v presne vymedzených prípadoch s osobitným zreteľom na ochranu práv a slobôd a súladnosť slovenského právneho poriadku v sume 7,</w:t>
      </w:r>
      <w:r>
        <w:rPr>
          <w:rFonts w:ascii="Times New Roman" w:hAnsi="Times New Roman" w:cs="Times New Roman"/>
          <w:sz w:val="24"/>
          <w:szCs w:val="24"/>
        </w:rPr>
        <w:t>4</w:t>
      </w:r>
      <w:r w:rsidRPr="009B3B5B">
        <w:rPr>
          <w:rFonts w:ascii="Times New Roman" w:hAnsi="Times New Roman" w:cs="Times New Roman"/>
          <w:sz w:val="24"/>
          <w:szCs w:val="24"/>
        </w:rPr>
        <w:t>1 mil. eur.</w:t>
      </w:r>
    </w:p>
    <w:p w:rsidR="00AA17E3" w:rsidRPr="00F711A7" w:rsidRDefault="00AA17E3" w:rsidP="00AA17E3">
      <w:pPr>
        <w:spacing w:after="0"/>
        <w:jc w:val="both"/>
        <w:rPr>
          <w:rFonts w:ascii="Times New Roman" w:hAnsi="Times New Roman" w:cs="Times New Roman"/>
          <w:sz w:val="24"/>
          <w:szCs w:val="24"/>
        </w:rPr>
      </w:pPr>
    </w:p>
    <w:p w:rsidR="00AA17E3" w:rsidRPr="009B3B5B" w:rsidRDefault="00AA17E3" w:rsidP="00AA17E3">
      <w:pPr>
        <w:spacing w:after="0"/>
        <w:jc w:val="both"/>
        <w:rPr>
          <w:rFonts w:ascii="Times New Roman" w:hAnsi="Times New Roman" w:cs="Times New Roman"/>
          <w:sz w:val="24"/>
          <w:szCs w:val="24"/>
        </w:rPr>
      </w:pPr>
      <w:r w:rsidRPr="009B3B5B">
        <w:rPr>
          <w:rFonts w:ascii="Times New Roman" w:hAnsi="Times New Roman" w:cs="Times New Roman"/>
          <w:sz w:val="24"/>
          <w:szCs w:val="24"/>
        </w:rPr>
        <w:t xml:space="preserve">Výdavky pre Kanceláriu Najvyššieho súdu SR sú rozpočtované v sume 13,5 mil. eur a sú určené na plnenie úloh spojených s odborným, organizačným, personálnym, ekonomickým, administratívnym a technickým zabezpečením činnosti najvyššieho súdu podľa osobitných predpisov, ako aj na zabezpečenie kvalifikovaného výkonu súdnej moci. </w:t>
      </w:r>
    </w:p>
    <w:p w:rsidR="00AA17E3" w:rsidRPr="009B3B5B" w:rsidRDefault="00AA17E3" w:rsidP="00AA17E3">
      <w:pPr>
        <w:spacing w:after="0"/>
        <w:jc w:val="both"/>
        <w:rPr>
          <w:rFonts w:ascii="Times New Roman" w:hAnsi="Times New Roman" w:cs="Times New Roman"/>
          <w:sz w:val="24"/>
          <w:szCs w:val="24"/>
        </w:rPr>
      </w:pPr>
    </w:p>
    <w:p w:rsidR="00AA17E3" w:rsidRPr="002C44E9" w:rsidRDefault="00AA17E3" w:rsidP="00AA17E3">
      <w:pPr>
        <w:spacing w:after="0"/>
        <w:jc w:val="both"/>
        <w:rPr>
          <w:rFonts w:ascii="Times New Roman" w:hAnsi="Times New Roman" w:cs="Times New Roman"/>
          <w:sz w:val="24"/>
          <w:szCs w:val="24"/>
        </w:rPr>
      </w:pPr>
      <w:r w:rsidRPr="009B3B5B">
        <w:rPr>
          <w:rFonts w:ascii="Times New Roman" w:hAnsi="Times New Roman" w:cs="Times New Roman"/>
          <w:sz w:val="24"/>
          <w:szCs w:val="24"/>
        </w:rPr>
        <w:t xml:space="preserve">Výdavky pre Kanceláriu Súdnej rady SR sú rozpočtované v sume 2,23 mil. eur a sú určené na zabezpečenie úloh spojených s odborným, organizačným, administratívnym a technickým zabezpečením činností súdnej rady. Súdna rada plní úlohy verejnej kontroly súdnictva a zároveň má kompetencie súvisiace s prípravou a predkladaním návrhov právnych predpisov upravujúcich organizáciu súdnictva a konanie pred súdmi. Medziročný rast výdavkov je spôsobený zmenami v súdnictve ako aj prechodom sídla Súdnej rady do správy </w:t>
      </w:r>
      <w:r>
        <w:rPr>
          <w:rFonts w:ascii="Times New Roman" w:hAnsi="Times New Roman" w:cs="Times New Roman"/>
          <w:sz w:val="24"/>
          <w:szCs w:val="24"/>
        </w:rPr>
        <w:t>kapitoly</w:t>
      </w:r>
      <w:r w:rsidRPr="009B3B5B">
        <w:rPr>
          <w:rFonts w:ascii="Times New Roman" w:hAnsi="Times New Roman" w:cs="Times New Roman"/>
          <w:sz w:val="24"/>
          <w:szCs w:val="24"/>
        </w:rPr>
        <w:t>.</w:t>
      </w:r>
      <w:r w:rsidRPr="002C44E9">
        <w:rPr>
          <w:rFonts w:ascii="Times New Roman" w:hAnsi="Times New Roman" w:cs="Times New Roman"/>
          <w:sz w:val="24"/>
          <w:szCs w:val="24"/>
        </w:rPr>
        <w:t xml:space="preserve">  </w:t>
      </w:r>
    </w:p>
    <w:p w:rsidR="00AA17E3" w:rsidRPr="00F711A7" w:rsidRDefault="00AA17E3" w:rsidP="00AA17E3">
      <w:pPr>
        <w:spacing w:after="0"/>
        <w:jc w:val="both"/>
        <w:rPr>
          <w:rFonts w:ascii="Times New Roman" w:hAnsi="Times New Roman" w:cs="Times New Roman"/>
          <w:sz w:val="24"/>
          <w:szCs w:val="24"/>
        </w:rPr>
      </w:pPr>
    </w:p>
    <w:p w:rsidR="00AA17E3" w:rsidRPr="009B3B5B" w:rsidRDefault="00AA17E3" w:rsidP="00AA17E3">
      <w:pPr>
        <w:spacing w:after="0"/>
        <w:contextualSpacing/>
        <w:jc w:val="both"/>
        <w:rPr>
          <w:rFonts w:ascii="Times New Roman" w:hAnsi="Times New Roman" w:cs="Times New Roman"/>
          <w:sz w:val="24"/>
          <w:szCs w:val="24"/>
        </w:rPr>
      </w:pPr>
      <w:r w:rsidRPr="009B3B5B">
        <w:rPr>
          <w:rFonts w:ascii="Times New Roman" w:hAnsi="Times New Roman" w:cs="Times New Roman"/>
          <w:sz w:val="24"/>
          <w:szCs w:val="24"/>
        </w:rPr>
        <w:t>Výdavky Generálnej prokuratúry SR sú rozpočtované v sume 119 mil. eur a sú určené na presadzovanie zákonnosti a efektivity vo vyšetrovacích a prokurátorských praktikách, na výkon prokurátorského dozoru v trestnom konaní a dodržiavanie zákonov v netrestnej oblasti. V roku 2022 sa zabezpečuje plnenie úloh Úradu špeciálnej prokuratúry v sume 1,27 mil. eur, ako aj plnenie nových úloh v oblasti informačných technológií v sume 613 tis. eur.</w:t>
      </w:r>
    </w:p>
    <w:p w:rsidR="00AA17E3" w:rsidRPr="009B3B5B" w:rsidRDefault="00AA17E3" w:rsidP="00AA17E3">
      <w:pPr>
        <w:spacing w:after="0"/>
        <w:contextualSpacing/>
        <w:jc w:val="both"/>
        <w:rPr>
          <w:rFonts w:ascii="Times New Roman" w:hAnsi="Times New Roman" w:cs="Times New Roman"/>
          <w:sz w:val="24"/>
          <w:szCs w:val="24"/>
        </w:rPr>
      </w:pPr>
    </w:p>
    <w:p w:rsidR="00AA17E3" w:rsidRDefault="00AA17E3" w:rsidP="00AA17E3">
      <w:pPr>
        <w:spacing w:after="0"/>
        <w:contextualSpacing/>
        <w:jc w:val="both"/>
        <w:rPr>
          <w:rFonts w:ascii="Times New Roman" w:hAnsi="Times New Roman" w:cs="Times New Roman"/>
          <w:sz w:val="24"/>
          <w:szCs w:val="24"/>
        </w:rPr>
      </w:pPr>
      <w:r w:rsidRPr="009B3B5B">
        <w:rPr>
          <w:rFonts w:ascii="Times New Roman" w:hAnsi="Times New Roman" w:cs="Times New Roman"/>
          <w:sz w:val="24"/>
          <w:szCs w:val="24"/>
        </w:rPr>
        <w:t>Pre Kanceláriu Najvyššieho správneho súdu SR sa na rok 2022 rozpočtujú výdavky v sume 5,57 mil. eur. Najvyšší správny súd SR má rovnocenné postavenie s Najvyšším súdom SR a je najvyššou súdnou inštanciou pre oblasť správneho súdnictva. Okrem toho plní funkciu disciplinárneho súdu pre sudcov všeobecných súdov a prokurátorov. Svoju činnosť začal vykonávať od 1. augusta 2021.</w:t>
      </w:r>
    </w:p>
    <w:p w:rsidR="00AA17E3" w:rsidRPr="00F711A7" w:rsidRDefault="00AA17E3" w:rsidP="00AA17E3">
      <w:pPr>
        <w:spacing w:after="0"/>
        <w:contextualSpacing/>
        <w:jc w:val="both"/>
        <w:rPr>
          <w:rFonts w:ascii="Times New Roman" w:hAnsi="Times New Roman" w:cs="Times New Roman"/>
          <w:sz w:val="24"/>
          <w:szCs w:val="24"/>
        </w:rPr>
      </w:pPr>
    </w:p>
    <w:p w:rsidR="00AA17E3" w:rsidRDefault="00AA17E3" w:rsidP="00AA17E3">
      <w:pPr>
        <w:spacing w:after="0"/>
        <w:contextualSpacing/>
        <w:jc w:val="both"/>
        <w:rPr>
          <w:rFonts w:ascii="Times New Roman" w:hAnsi="Times New Roman" w:cs="Times New Roman"/>
          <w:sz w:val="24"/>
          <w:szCs w:val="24"/>
        </w:rPr>
      </w:pPr>
      <w:r w:rsidRPr="009B3B5B">
        <w:rPr>
          <w:rFonts w:ascii="Times New Roman" w:hAnsi="Times New Roman" w:cs="Times New Roman"/>
          <w:sz w:val="24"/>
          <w:szCs w:val="24"/>
          <w:lang w:eastAsia="sk-SK"/>
        </w:rPr>
        <w:t xml:space="preserve">V danej oblasti sa rozpočtujú aj výdavky pre </w:t>
      </w:r>
      <w:r w:rsidRPr="009B3B5B">
        <w:rPr>
          <w:rFonts w:ascii="Times New Roman" w:hAnsi="Times New Roman" w:cs="Times New Roman"/>
          <w:sz w:val="24"/>
          <w:szCs w:val="24"/>
        </w:rPr>
        <w:t>Ústav pamäti národa (ÚPN), Slovenské národné stredisko pre ľudské práva (SNSĽP), Kanceláriu verejného ochrancu práv (KVOP) a Úrad na ochranu oznamovateľov protispoločenskej činnosti (ÚOOPČ). Hlavným východiskom pre činnosť ÚPN je zákon o pamäti národa. SNSĽP plní funkciu národnej inštitúcie na ochranu a podporu ľudských práv a KVOP chráni základné práva a slobody fyzických a právnických osôb v konaní pred orgánmi verejnej správy a orgánmi verejnej moci, ak je ich konanie, rozhodovanie alebo nečinnosť v rozpore s právnym poriadkom. ÚOOPČ oznamuje príslušným orgánom podozrenie z postihu zamestnanca v súvislosti s oznámením protispoločenskej činnosti a taktiež zvyšuje povedomie verejnosti a zamestnávateľov o oznamovaní protispoločenskej činnosti a o poskytovaní ochrany oznamovateľom.</w:t>
      </w:r>
    </w:p>
    <w:p w:rsidR="00AA17E3" w:rsidRPr="00E836C5" w:rsidRDefault="00AA17E3" w:rsidP="00AA17E3">
      <w:pPr>
        <w:spacing w:after="0"/>
        <w:rPr>
          <w:sz w:val="24"/>
          <w:highlight w:val="yellow"/>
          <w:lang w:eastAsia="cs-CZ"/>
        </w:rPr>
      </w:pPr>
    </w:p>
    <w:p w:rsidR="00AA17E3" w:rsidRPr="00B12D35" w:rsidRDefault="00AA17E3" w:rsidP="00AA17E3">
      <w:pPr>
        <w:pStyle w:val="Nadpis2"/>
        <w:spacing w:before="0" w:after="0"/>
        <w:rPr>
          <w:rFonts w:ascii="Times New Roman" w:hAnsi="Times New Roman"/>
          <w:b w:val="0"/>
          <w:i w:val="0"/>
          <w:color w:val="5B9BD5"/>
          <w:sz w:val="24"/>
          <w:szCs w:val="24"/>
        </w:rPr>
      </w:pPr>
      <w:bookmarkStart w:id="446" w:name="_Toc53062620"/>
      <w:bookmarkStart w:id="447" w:name="_Toc53084678"/>
      <w:bookmarkStart w:id="448" w:name="_Toc84528343"/>
      <w:bookmarkStart w:id="449" w:name="_Toc84684766"/>
      <w:r w:rsidRPr="00B12D35">
        <w:rPr>
          <w:rFonts w:ascii="Times New Roman" w:hAnsi="Times New Roman"/>
          <w:i w:val="0"/>
          <w:color w:val="5B9BD5"/>
          <w:sz w:val="24"/>
          <w:szCs w:val="24"/>
        </w:rPr>
        <w:t>4.10. Obrana</w:t>
      </w:r>
      <w:bookmarkEnd w:id="446"/>
      <w:bookmarkEnd w:id="447"/>
      <w:bookmarkEnd w:id="448"/>
      <w:bookmarkEnd w:id="449"/>
    </w:p>
    <w:p w:rsidR="00AA17E3" w:rsidRDefault="00AA17E3" w:rsidP="00AA17E3">
      <w:pPr>
        <w:spacing w:after="0"/>
        <w:jc w:val="both"/>
        <w:rPr>
          <w:rFonts w:ascii="Times New Roman" w:hAnsi="Times New Roman"/>
          <w:szCs w:val="24"/>
          <w:highlight w:val="yellow"/>
        </w:rPr>
      </w:pPr>
    </w:p>
    <w:p w:rsidR="006A36A0" w:rsidRDefault="006A36A0" w:rsidP="006A36A0">
      <w:pPr>
        <w:spacing w:after="0"/>
        <w:jc w:val="both"/>
        <w:rPr>
          <w:rFonts w:ascii="Times New Roman" w:hAnsi="Times New Roman" w:cs="Times New Roman"/>
          <w:sz w:val="24"/>
          <w:szCs w:val="24"/>
        </w:rPr>
      </w:pPr>
      <w:r w:rsidRPr="00E263FF">
        <w:rPr>
          <w:rFonts w:ascii="Times New Roman" w:hAnsi="Times New Roman" w:cs="Times New Roman"/>
          <w:sz w:val="24"/>
          <w:szCs w:val="24"/>
        </w:rPr>
        <w:t>Hlavnou úlohou obrany je chrániť bezpečnosť Slovenska a spojencov s využitím vlastných ozbrojených síl a prostriedkov kolektívnej obrany. Úlohou obrany je aj prispievať k mieru, stabilite a bezpečnosti mimo územia SR nasadením ozbrojených síl v operáciách a misiách a</w:t>
      </w:r>
      <w:r>
        <w:rPr>
          <w:rFonts w:ascii="Times New Roman" w:hAnsi="Times New Roman" w:cs="Times New Roman"/>
          <w:sz w:val="24"/>
          <w:szCs w:val="24"/>
        </w:rPr>
        <w:t> </w:t>
      </w:r>
      <w:r w:rsidRPr="00E263FF">
        <w:rPr>
          <w:rFonts w:ascii="Times New Roman" w:hAnsi="Times New Roman" w:cs="Times New Roman"/>
          <w:sz w:val="24"/>
          <w:szCs w:val="24"/>
        </w:rPr>
        <w:t>podporovať orgány verejnej moci v domácom krízovom manažmente. Naplnenie úloh realizuje Slovenská republika samostatne a prostredníctvom kolektívnej obrany členstvom v</w:t>
      </w:r>
      <w:r>
        <w:rPr>
          <w:rFonts w:ascii="Times New Roman" w:hAnsi="Times New Roman" w:cs="Times New Roman"/>
          <w:sz w:val="24"/>
          <w:szCs w:val="24"/>
        </w:rPr>
        <w:t> </w:t>
      </w:r>
      <w:r w:rsidRPr="00E263FF">
        <w:rPr>
          <w:rFonts w:ascii="Times New Roman" w:hAnsi="Times New Roman" w:cs="Times New Roman"/>
          <w:sz w:val="24"/>
          <w:szCs w:val="24"/>
        </w:rPr>
        <w:t>NATO a obrannou spoluprácou v rámci EÚ.</w:t>
      </w:r>
    </w:p>
    <w:p w:rsidR="006A36A0" w:rsidRDefault="006A36A0" w:rsidP="006A36A0">
      <w:pPr>
        <w:spacing w:after="0"/>
        <w:jc w:val="both"/>
        <w:rPr>
          <w:rFonts w:ascii="Times New Roman" w:hAnsi="Times New Roman" w:cs="Times New Roman"/>
          <w:sz w:val="24"/>
          <w:szCs w:val="24"/>
        </w:rPr>
      </w:pPr>
    </w:p>
    <w:p w:rsidR="006A36A0" w:rsidRDefault="006A36A0" w:rsidP="006A36A0">
      <w:pPr>
        <w:spacing w:after="0"/>
        <w:jc w:val="both"/>
        <w:rPr>
          <w:rFonts w:ascii="Times New Roman" w:hAnsi="Times New Roman" w:cs="Times New Roman"/>
          <w:sz w:val="24"/>
          <w:szCs w:val="24"/>
        </w:rPr>
      </w:pPr>
      <w:r w:rsidRPr="00F9384E">
        <w:rPr>
          <w:rFonts w:ascii="Times New Roman" w:hAnsi="Times New Roman"/>
          <w:sz w:val="24"/>
          <w:szCs w:val="24"/>
        </w:rPr>
        <w:t xml:space="preserve">Obranné výdavky v rokoch 2022 až 2024 </w:t>
      </w:r>
      <w:r>
        <w:rPr>
          <w:rFonts w:ascii="Times New Roman" w:hAnsi="Times New Roman"/>
          <w:sz w:val="24"/>
          <w:szCs w:val="24"/>
        </w:rPr>
        <w:t xml:space="preserve">nominálne </w:t>
      </w:r>
      <w:r w:rsidRPr="00F9384E">
        <w:rPr>
          <w:rFonts w:ascii="Times New Roman" w:hAnsi="Times New Roman"/>
          <w:sz w:val="24"/>
          <w:szCs w:val="24"/>
        </w:rPr>
        <w:t>postupne rastú a</w:t>
      </w:r>
      <w:r>
        <w:rPr>
          <w:rFonts w:ascii="Times New Roman" w:hAnsi="Times New Roman"/>
          <w:sz w:val="24"/>
          <w:szCs w:val="24"/>
        </w:rPr>
        <w:t xml:space="preserve"> od roku 2022 </w:t>
      </w:r>
      <w:r w:rsidRPr="00F9384E">
        <w:rPr>
          <w:rFonts w:ascii="Times New Roman" w:hAnsi="Times New Roman"/>
          <w:sz w:val="24"/>
          <w:szCs w:val="24"/>
        </w:rPr>
        <w:t xml:space="preserve">sú plánované na úrovni 1,80 % HDP. </w:t>
      </w:r>
      <w:r w:rsidRPr="00F9384E">
        <w:rPr>
          <w:rFonts w:ascii="Times New Roman" w:hAnsi="Times New Roman" w:cs="Times New Roman"/>
          <w:sz w:val="24"/>
          <w:szCs w:val="24"/>
        </w:rPr>
        <w:t xml:space="preserve">Oproti rozpočtu roku 2021 budú nominálne výdavky na obranu naďalej rásť na celom rozpočtovom horizonte. V roku 2020 Slovensko splnilo cieľ </w:t>
      </w:r>
      <w:r w:rsidRPr="00513923">
        <w:rPr>
          <w:rFonts w:ascii="Times New Roman" w:hAnsi="Times New Roman" w:cs="Times New Roman"/>
          <w:sz w:val="24"/>
          <w:szCs w:val="24"/>
        </w:rPr>
        <w:t>NATO vynakladať na obranu 2 % HDP, avšak najmä kvôli bezprecede</w:t>
      </w:r>
      <w:r w:rsidRPr="00F9384E">
        <w:rPr>
          <w:rFonts w:ascii="Times New Roman" w:hAnsi="Times New Roman" w:cs="Times New Roman"/>
          <w:sz w:val="24"/>
          <w:szCs w:val="24"/>
        </w:rPr>
        <w:t>ntnému poklesu HDP.</w:t>
      </w:r>
      <w:r w:rsidRPr="00811118">
        <w:rPr>
          <w:rFonts w:ascii="Times New Roman" w:hAnsi="Times New Roman" w:cs="Times New Roman"/>
          <w:sz w:val="24"/>
          <w:szCs w:val="24"/>
        </w:rPr>
        <w:t xml:space="preserve"> </w:t>
      </w:r>
    </w:p>
    <w:p w:rsidR="006A36A0" w:rsidRDefault="006A36A0" w:rsidP="006A36A0">
      <w:pPr>
        <w:spacing w:after="0"/>
        <w:jc w:val="both"/>
        <w:rPr>
          <w:rFonts w:ascii="Times New Roman" w:hAnsi="Times New Roman" w:cs="Times New Roman"/>
          <w:sz w:val="24"/>
          <w:szCs w:val="24"/>
        </w:rPr>
      </w:pPr>
    </w:p>
    <w:p w:rsidR="006A36A0" w:rsidRPr="00192FDB" w:rsidRDefault="006A36A0" w:rsidP="006A36A0">
      <w:pPr>
        <w:pStyle w:val="Popis"/>
        <w:keepNext/>
        <w:spacing w:after="0"/>
        <w:rPr>
          <w:rFonts w:ascii="Times New Roman" w:hAnsi="Times New Roman"/>
          <w:b/>
          <w:i w:val="0"/>
          <w:color w:val="5B9BD5" w:themeColor="accent1"/>
          <w:sz w:val="20"/>
          <w:szCs w:val="20"/>
        </w:rPr>
      </w:pPr>
      <w:bookmarkStart w:id="450" w:name="_Toc84528537"/>
      <w:bookmarkStart w:id="451" w:name="_Toc84848028"/>
      <w:r w:rsidRPr="002F387B">
        <w:rPr>
          <w:rFonts w:ascii="Times New Roman" w:hAnsi="Times New Roman"/>
          <w:b/>
          <w:i w:val="0"/>
          <w:color w:val="5B9BD5" w:themeColor="accent1"/>
          <w:sz w:val="20"/>
          <w:szCs w:val="20"/>
        </w:rPr>
        <w:t xml:space="preserve">Graf </w:t>
      </w:r>
      <w:r w:rsidRPr="002F387B">
        <w:rPr>
          <w:rFonts w:ascii="Times New Roman" w:hAnsi="Times New Roman"/>
          <w:b/>
          <w:i w:val="0"/>
          <w:color w:val="5B9BD5" w:themeColor="accent1"/>
          <w:sz w:val="20"/>
          <w:szCs w:val="20"/>
        </w:rPr>
        <w:fldChar w:fldCharType="begin"/>
      </w:r>
      <w:r w:rsidRPr="002F387B">
        <w:rPr>
          <w:rFonts w:ascii="Times New Roman" w:hAnsi="Times New Roman"/>
          <w:b/>
          <w:i w:val="0"/>
          <w:color w:val="5B9BD5" w:themeColor="accent1"/>
          <w:sz w:val="20"/>
          <w:szCs w:val="20"/>
        </w:rPr>
        <w:instrText xml:space="preserve"> SEQ Obrázok \* ARABIC </w:instrText>
      </w:r>
      <w:r w:rsidRPr="002F387B">
        <w:rPr>
          <w:rFonts w:ascii="Times New Roman" w:hAnsi="Times New Roman"/>
          <w:b/>
          <w:i w:val="0"/>
          <w:color w:val="5B9BD5" w:themeColor="accent1"/>
          <w:sz w:val="20"/>
          <w:szCs w:val="20"/>
        </w:rPr>
        <w:fldChar w:fldCharType="separate"/>
      </w:r>
      <w:r w:rsidR="006E67C6">
        <w:rPr>
          <w:rFonts w:ascii="Times New Roman" w:hAnsi="Times New Roman"/>
          <w:b/>
          <w:i w:val="0"/>
          <w:noProof/>
          <w:color w:val="5B9BD5" w:themeColor="accent1"/>
          <w:sz w:val="20"/>
          <w:szCs w:val="20"/>
        </w:rPr>
        <w:t>37</w:t>
      </w:r>
      <w:r w:rsidRPr="002F387B">
        <w:rPr>
          <w:rFonts w:ascii="Times New Roman" w:hAnsi="Times New Roman"/>
          <w:b/>
          <w:i w:val="0"/>
          <w:color w:val="5B9BD5" w:themeColor="accent1"/>
          <w:sz w:val="20"/>
          <w:szCs w:val="20"/>
        </w:rPr>
        <w:fldChar w:fldCharType="end"/>
      </w:r>
      <w:r w:rsidRPr="002F387B">
        <w:rPr>
          <w:rFonts w:ascii="Times New Roman" w:hAnsi="Times New Roman"/>
          <w:b/>
          <w:i w:val="0"/>
          <w:color w:val="5B9BD5" w:themeColor="accent1"/>
          <w:sz w:val="20"/>
          <w:szCs w:val="20"/>
        </w:rPr>
        <w:t xml:space="preserve"> - Vývoj výdavkov na obranu (mil. eur)</w:t>
      </w:r>
      <w:bookmarkEnd w:id="450"/>
      <w:bookmarkEnd w:id="451"/>
    </w:p>
    <w:p w:rsidR="006A36A0" w:rsidRPr="00083C3F" w:rsidRDefault="002F387B" w:rsidP="006A36A0">
      <w:pPr>
        <w:pBdr>
          <w:top w:val="single" w:sz="4" w:space="1" w:color="auto"/>
        </w:pBdr>
        <w:jc w:val="both"/>
        <w:rPr>
          <w:rFonts w:ascii="Times New Roman" w:hAnsi="Times New Roman"/>
          <w:szCs w:val="24"/>
          <w:highlight w:val="yellow"/>
        </w:rPr>
      </w:pPr>
      <w:r>
        <w:rPr>
          <w:noProof/>
          <w:lang w:eastAsia="sk-SK"/>
        </w:rPr>
        <w:drawing>
          <wp:inline distT="0" distB="0" distL="0" distR="0" wp14:anchorId="3DD8CEA7" wp14:editId="417CB95B">
            <wp:extent cx="5695950" cy="3105150"/>
            <wp:effectExtent l="0" t="0" r="0" b="0"/>
            <wp:docPr id="253" name="Graf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Look w:val="04A0" w:firstRow="1" w:lastRow="0" w:firstColumn="1" w:lastColumn="0" w:noHBand="0" w:noVBand="1"/>
      </w:tblPr>
      <w:tblGrid>
        <w:gridCol w:w="7161"/>
        <w:gridCol w:w="1911"/>
      </w:tblGrid>
      <w:tr w:rsidR="006A36A0" w:rsidRPr="00083C3F" w:rsidTr="006A36A0">
        <w:trPr>
          <w:cantSplit/>
          <w:trHeight w:val="197"/>
        </w:trPr>
        <w:tc>
          <w:tcPr>
            <w:tcW w:w="3947" w:type="pct"/>
            <w:tcBorders>
              <w:top w:val="single" w:sz="4" w:space="0" w:color="000000"/>
            </w:tcBorders>
            <w:shd w:val="clear" w:color="auto" w:fill="auto"/>
          </w:tcPr>
          <w:p w:rsidR="006A36A0" w:rsidRPr="00083C3F" w:rsidRDefault="006A36A0" w:rsidP="006A36A0">
            <w:pPr>
              <w:spacing w:after="0"/>
              <w:rPr>
                <w:rFonts w:ascii="Arial Narrow" w:eastAsia="Calibri" w:hAnsi="Arial Narrow"/>
                <w:bCs/>
                <w:i/>
                <w:iCs/>
                <w:sz w:val="16"/>
                <w:szCs w:val="16"/>
                <w:highlight w:val="yellow"/>
              </w:rPr>
            </w:pPr>
          </w:p>
        </w:tc>
        <w:tc>
          <w:tcPr>
            <w:tcW w:w="1053" w:type="pct"/>
            <w:tcBorders>
              <w:top w:val="single" w:sz="4" w:space="0" w:color="000000"/>
            </w:tcBorders>
            <w:shd w:val="clear" w:color="auto" w:fill="auto"/>
          </w:tcPr>
          <w:p w:rsidR="006A36A0" w:rsidRPr="00083C3F" w:rsidRDefault="006A36A0" w:rsidP="006A36A0">
            <w:pPr>
              <w:spacing w:after="0" w:line="240" w:lineRule="auto"/>
              <w:jc w:val="right"/>
              <w:rPr>
                <w:rFonts w:ascii="Times New Roman" w:eastAsia="Calibri" w:hAnsi="Times New Roman"/>
                <w:i/>
                <w:sz w:val="16"/>
                <w:szCs w:val="16"/>
                <w:highlight w:val="yellow"/>
              </w:rPr>
            </w:pPr>
            <w:r w:rsidRPr="00467DA7">
              <w:rPr>
                <w:rFonts w:ascii="Times New Roman" w:eastAsia="Calibri" w:hAnsi="Times New Roman"/>
                <w:i/>
                <w:sz w:val="16"/>
                <w:szCs w:val="16"/>
              </w:rPr>
              <w:t>Zdroj: MF SR.</w:t>
            </w:r>
          </w:p>
        </w:tc>
      </w:tr>
    </w:tbl>
    <w:p w:rsidR="006A36A0" w:rsidRDefault="006A36A0" w:rsidP="006A36A0">
      <w:pPr>
        <w:spacing w:after="0"/>
        <w:rPr>
          <w:rFonts w:ascii="Times New Roman" w:hAnsi="Times New Roman" w:cs="Times New Roman"/>
          <w:sz w:val="24"/>
          <w:szCs w:val="24"/>
        </w:rPr>
      </w:pPr>
    </w:p>
    <w:p w:rsidR="006A36A0" w:rsidRDefault="006A36A0" w:rsidP="006A36A0">
      <w:pPr>
        <w:spacing w:after="0"/>
        <w:jc w:val="both"/>
        <w:rPr>
          <w:rFonts w:ascii="Times New Roman" w:hAnsi="Times New Roman"/>
          <w:sz w:val="24"/>
          <w:szCs w:val="24"/>
        </w:rPr>
      </w:pPr>
      <w:r w:rsidRPr="00F9384E">
        <w:rPr>
          <w:rFonts w:ascii="Times New Roman" w:hAnsi="Times New Roman"/>
          <w:b/>
          <w:sz w:val="24"/>
          <w:szCs w:val="24"/>
        </w:rPr>
        <w:t>Celkové obranné výdavky sú na rok 2022 rozpočtované vo výške 1,</w:t>
      </w:r>
      <w:r>
        <w:rPr>
          <w:rFonts w:ascii="Times New Roman" w:hAnsi="Times New Roman"/>
          <w:b/>
          <w:sz w:val="24"/>
          <w:szCs w:val="24"/>
        </w:rPr>
        <w:t>80</w:t>
      </w:r>
      <w:r w:rsidRPr="00F9384E">
        <w:rPr>
          <w:rFonts w:ascii="Times New Roman" w:hAnsi="Times New Roman"/>
          <w:b/>
          <w:sz w:val="24"/>
          <w:szCs w:val="24"/>
        </w:rPr>
        <w:t xml:space="preserve"> % HDP</w:t>
      </w:r>
      <w:r w:rsidRPr="00F9384E">
        <w:rPr>
          <w:rFonts w:ascii="Times New Roman" w:hAnsi="Times New Roman"/>
          <w:sz w:val="24"/>
          <w:szCs w:val="24"/>
        </w:rPr>
        <w:t>, vrátane výdavkov ostatných kapitol štátneho rozpočtu v rámci medzirezortných programov Podpora obrany, Hospodárska mobilizácia a ostatných obranných výdavkov. V celkových obranných výdavkoch sú na roky 2022 až 2024 zahrnuté aj kapitálové výdavky Ministerstva obrany SR (ďalej len „MO SR“) alokované v kapitole Všeobecná pokladničná správa (ďalej len „VPS“).</w:t>
      </w:r>
    </w:p>
    <w:p w:rsidR="006A36A0" w:rsidRPr="00083C3F" w:rsidRDefault="006A36A0" w:rsidP="006A36A0">
      <w:pPr>
        <w:spacing w:after="0"/>
        <w:jc w:val="both"/>
        <w:rPr>
          <w:rFonts w:ascii="Times New Roman" w:hAnsi="Times New Roman"/>
          <w:sz w:val="24"/>
          <w:szCs w:val="24"/>
          <w:highlight w:val="yellow"/>
        </w:rPr>
      </w:pPr>
    </w:p>
    <w:p w:rsidR="006A36A0" w:rsidRDefault="006A36A0" w:rsidP="006A36A0">
      <w:pPr>
        <w:keepNext/>
        <w:spacing w:after="0" w:line="240" w:lineRule="auto"/>
        <w:rPr>
          <w:rFonts w:ascii="Times New Roman" w:hAnsi="Times New Roman"/>
          <w:b/>
          <w:iCs/>
          <w:color w:val="5B9BD5" w:themeColor="accent1"/>
          <w:sz w:val="20"/>
          <w:szCs w:val="20"/>
        </w:rPr>
      </w:pPr>
      <w:bookmarkStart w:id="452" w:name="_Toc84528448"/>
      <w:bookmarkStart w:id="453" w:name="_Toc84845325"/>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101</w:t>
      </w:r>
      <w:r w:rsidRPr="007E7AFC">
        <w:rPr>
          <w:rFonts w:ascii="Times New Roman" w:hAnsi="Times New Roman" w:cs="Times New Roman"/>
          <w:b/>
          <w:color w:val="5B9BD5" w:themeColor="accent1"/>
          <w:sz w:val="20"/>
          <w:szCs w:val="20"/>
        </w:rPr>
        <w:fldChar w:fldCharType="end"/>
      </w:r>
      <w:r w:rsidRPr="00BA29F3">
        <w:rPr>
          <w:rFonts w:ascii="Times New Roman" w:hAnsi="Times New Roman"/>
          <w:b/>
          <w:iCs/>
          <w:color w:val="5B9BD5" w:themeColor="accent1"/>
          <w:sz w:val="20"/>
          <w:szCs w:val="20"/>
        </w:rPr>
        <w:t xml:space="preserve"> - Celkové obranné výdavky</w:t>
      </w:r>
      <w:bookmarkEnd w:id="452"/>
      <w:bookmarkEnd w:id="453"/>
    </w:p>
    <w:tbl>
      <w:tblPr>
        <w:tblW w:w="9067" w:type="dxa"/>
        <w:tblLayout w:type="fixed"/>
        <w:tblCellMar>
          <w:left w:w="70" w:type="dxa"/>
          <w:right w:w="70" w:type="dxa"/>
        </w:tblCellMar>
        <w:tblLook w:val="04A0" w:firstRow="1" w:lastRow="0" w:firstColumn="1" w:lastColumn="0" w:noHBand="0" w:noVBand="1"/>
      </w:tblPr>
      <w:tblGrid>
        <w:gridCol w:w="2764"/>
        <w:gridCol w:w="900"/>
        <w:gridCol w:w="900"/>
        <w:gridCol w:w="901"/>
        <w:gridCol w:w="900"/>
        <w:gridCol w:w="901"/>
        <w:gridCol w:w="900"/>
        <w:gridCol w:w="901"/>
      </w:tblGrid>
      <w:tr w:rsidR="006A36A0" w:rsidRPr="00083C3F" w:rsidTr="006A36A0">
        <w:trPr>
          <w:trHeight w:val="255"/>
        </w:trPr>
        <w:tc>
          <w:tcPr>
            <w:tcW w:w="2764" w:type="dxa"/>
            <w:tcBorders>
              <w:top w:val="single" w:sz="4" w:space="0" w:color="auto"/>
              <w:bottom w:val="single" w:sz="4" w:space="0" w:color="auto"/>
            </w:tcBorders>
            <w:shd w:val="clear" w:color="auto" w:fill="auto"/>
            <w:noWrap/>
            <w:vAlign w:val="center"/>
            <w:hideMark/>
          </w:tcPr>
          <w:p w:rsidR="006A36A0" w:rsidRPr="0022221C" w:rsidRDefault="006A36A0" w:rsidP="006A36A0">
            <w:pPr>
              <w:rPr>
                <w:rFonts w:ascii="Times New Roman" w:hAnsi="Times New Roman" w:cs="Times New Roman"/>
                <w:b/>
                <w:bCs/>
                <w:color w:val="000000"/>
                <w:sz w:val="16"/>
                <w:szCs w:val="16"/>
                <w:lang w:eastAsia="sk-SK"/>
              </w:rPr>
            </w:pPr>
            <w:r w:rsidRPr="0022221C">
              <w:rPr>
                <w:rFonts w:ascii="Times New Roman" w:hAnsi="Times New Roman" w:cs="Times New Roman"/>
                <w:b/>
                <w:bCs/>
                <w:color w:val="000000"/>
                <w:sz w:val="16"/>
                <w:szCs w:val="16"/>
                <w:lang w:eastAsia="sk-SK"/>
              </w:rPr>
              <w:t>v tis. eur</w:t>
            </w:r>
          </w:p>
        </w:tc>
        <w:tc>
          <w:tcPr>
            <w:tcW w:w="900" w:type="dxa"/>
            <w:tcBorders>
              <w:top w:val="single" w:sz="4" w:space="0" w:color="auto"/>
              <w:bottom w:val="single" w:sz="4" w:space="0" w:color="auto"/>
            </w:tcBorders>
            <w:shd w:val="clear" w:color="auto" w:fill="auto"/>
            <w:noWrap/>
            <w:vAlign w:val="center"/>
            <w:hideMark/>
          </w:tcPr>
          <w:p w:rsidR="006A36A0" w:rsidRPr="0022221C" w:rsidRDefault="006A36A0" w:rsidP="006A36A0">
            <w:pPr>
              <w:jc w:val="right"/>
              <w:rPr>
                <w:rFonts w:ascii="Times New Roman" w:hAnsi="Times New Roman" w:cs="Times New Roman"/>
                <w:b/>
                <w:bCs/>
                <w:color w:val="000000"/>
                <w:sz w:val="16"/>
                <w:szCs w:val="16"/>
                <w:lang w:eastAsia="sk-SK"/>
              </w:rPr>
            </w:pPr>
            <w:r w:rsidRPr="0022221C">
              <w:rPr>
                <w:rFonts w:ascii="Times New Roman" w:hAnsi="Times New Roman" w:cs="Times New Roman"/>
                <w:b/>
                <w:bCs/>
                <w:color w:val="000000"/>
                <w:sz w:val="16"/>
                <w:szCs w:val="16"/>
              </w:rPr>
              <w:t>2019 S</w:t>
            </w:r>
          </w:p>
        </w:tc>
        <w:tc>
          <w:tcPr>
            <w:tcW w:w="900" w:type="dxa"/>
            <w:tcBorders>
              <w:top w:val="single" w:sz="4" w:space="0" w:color="auto"/>
              <w:bottom w:val="single" w:sz="4" w:space="0" w:color="auto"/>
            </w:tcBorders>
            <w:shd w:val="clear" w:color="auto" w:fill="auto"/>
            <w:noWrap/>
            <w:vAlign w:val="center"/>
            <w:hideMark/>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2020 S</w:t>
            </w:r>
          </w:p>
        </w:tc>
        <w:tc>
          <w:tcPr>
            <w:tcW w:w="901" w:type="dxa"/>
            <w:tcBorders>
              <w:top w:val="single" w:sz="4" w:space="0" w:color="auto"/>
              <w:bottom w:val="single" w:sz="4" w:space="0" w:color="auto"/>
            </w:tcBorders>
            <w:shd w:val="clear" w:color="auto" w:fill="auto"/>
            <w:noWrap/>
            <w:vAlign w:val="center"/>
            <w:hideMark/>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2021 R</w:t>
            </w:r>
          </w:p>
        </w:tc>
        <w:tc>
          <w:tcPr>
            <w:tcW w:w="900" w:type="dxa"/>
            <w:tcBorders>
              <w:top w:val="single" w:sz="4" w:space="0" w:color="auto"/>
              <w:bottom w:val="single" w:sz="4" w:space="0" w:color="auto"/>
            </w:tcBorders>
            <w:shd w:val="clear" w:color="auto" w:fill="auto"/>
            <w:noWrap/>
            <w:vAlign w:val="center"/>
            <w:hideMark/>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2021 OS</w:t>
            </w:r>
          </w:p>
        </w:tc>
        <w:tc>
          <w:tcPr>
            <w:tcW w:w="901" w:type="dxa"/>
            <w:tcBorders>
              <w:top w:val="single" w:sz="4" w:space="0" w:color="auto"/>
              <w:bottom w:val="single" w:sz="4" w:space="0" w:color="auto"/>
            </w:tcBorders>
            <w:shd w:val="clear" w:color="auto" w:fill="auto"/>
            <w:vAlign w:val="center"/>
            <w:hideMark/>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2022 N</w:t>
            </w:r>
          </w:p>
        </w:tc>
        <w:tc>
          <w:tcPr>
            <w:tcW w:w="900" w:type="dxa"/>
            <w:tcBorders>
              <w:top w:val="single" w:sz="4" w:space="0" w:color="auto"/>
              <w:bottom w:val="single" w:sz="4" w:space="0" w:color="auto"/>
            </w:tcBorders>
            <w:shd w:val="clear" w:color="auto" w:fill="auto"/>
            <w:vAlign w:val="center"/>
            <w:hideMark/>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2023 N</w:t>
            </w:r>
          </w:p>
        </w:tc>
        <w:tc>
          <w:tcPr>
            <w:tcW w:w="901" w:type="dxa"/>
            <w:tcBorders>
              <w:top w:val="single" w:sz="4" w:space="0" w:color="auto"/>
              <w:bottom w:val="single" w:sz="4" w:space="0" w:color="auto"/>
            </w:tcBorders>
            <w:shd w:val="clear" w:color="auto" w:fill="auto"/>
            <w:noWrap/>
            <w:vAlign w:val="center"/>
            <w:hideMark/>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2024 N</w:t>
            </w:r>
          </w:p>
        </w:tc>
      </w:tr>
      <w:tr w:rsidR="006A36A0" w:rsidRPr="00083C3F" w:rsidTr="006A36A0">
        <w:trPr>
          <w:trHeight w:val="255"/>
        </w:trPr>
        <w:tc>
          <w:tcPr>
            <w:tcW w:w="2764" w:type="dxa"/>
            <w:tcBorders>
              <w:top w:val="single" w:sz="4" w:space="0" w:color="auto"/>
            </w:tcBorders>
            <w:shd w:val="clear" w:color="auto" w:fill="auto"/>
            <w:noWrap/>
            <w:vAlign w:val="center"/>
          </w:tcPr>
          <w:p w:rsidR="006A36A0" w:rsidRPr="0022221C" w:rsidRDefault="006A36A0" w:rsidP="006A36A0">
            <w:pPr>
              <w:rPr>
                <w:rFonts w:ascii="Times New Roman" w:hAnsi="Times New Roman" w:cs="Times New Roman"/>
                <w:b/>
                <w:bCs/>
                <w:color w:val="000000"/>
                <w:sz w:val="16"/>
                <w:szCs w:val="16"/>
                <w:lang w:eastAsia="sk-SK"/>
              </w:rPr>
            </w:pPr>
            <w:r w:rsidRPr="0022221C">
              <w:rPr>
                <w:rFonts w:ascii="Times New Roman" w:hAnsi="Times New Roman" w:cs="Times New Roman"/>
                <w:b/>
                <w:bCs/>
                <w:color w:val="000000"/>
                <w:sz w:val="16"/>
                <w:szCs w:val="16"/>
                <w:lang w:eastAsia="sk-SK"/>
              </w:rPr>
              <w:t>Ministerstvo obrany SR</w:t>
            </w:r>
          </w:p>
        </w:tc>
        <w:tc>
          <w:tcPr>
            <w:tcW w:w="900"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color w:val="000000"/>
                <w:sz w:val="16"/>
                <w:szCs w:val="16"/>
              </w:rPr>
              <w:t>1 606 316</w:t>
            </w:r>
          </w:p>
        </w:tc>
        <w:tc>
          <w:tcPr>
            <w:tcW w:w="900"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color w:val="000000"/>
                <w:sz w:val="16"/>
                <w:szCs w:val="16"/>
              </w:rPr>
              <w:t>1 792 846</w:t>
            </w:r>
          </w:p>
        </w:tc>
        <w:tc>
          <w:tcPr>
            <w:tcW w:w="901"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color w:val="000000"/>
                <w:sz w:val="16"/>
                <w:szCs w:val="16"/>
              </w:rPr>
              <w:t>1 674 081</w:t>
            </w:r>
          </w:p>
        </w:tc>
        <w:tc>
          <w:tcPr>
            <w:tcW w:w="900"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color w:val="000000"/>
                <w:sz w:val="16"/>
                <w:szCs w:val="16"/>
              </w:rPr>
              <w:t>1 678 235</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1 837 519</w:t>
            </w:r>
          </w:p>
        </w:tc>
        <w:tc>
          <w:tcPr>
            <w:tcW w:w="900"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2 023 298</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2 081 499</w:t>
            </w:r>
          </w:p>
        </w:tc>
      </w:tr>
      <w:tr w:rsidR="006A36A0" w:rsidRPr="00083C3F" w:rsidTr="006A36A0">
        <w:trPr>
          <w:trHeight w:val="255"/>
        </w:trPr>
        <w:tc>
          <w:tcPr>
            <w:tcW w:w="2764" w:type="dxa"/>
            <w:shd w:val="clear" w:color="auto" w:fill="auto"/>
            <w:noWrap/>
            <w:vAlign w:val="center"/>
          </w:tcPr>
          <w:p w:rsidR="006A36A0" w:rsidRPr="00324B72" w:rsidRDefault="006A36A0" w:rsidP="006A36A0">
            <w:pPr>
              <w:rPr>
                <w:rFonts w:ascii="Times New Roman" w:hAnsi="Times New Roman" w:cs="Times New Roman"/>
                <w:bCs/>
                <w:i/>
                <w:color w:val="000000"/>
                <w:sz w:val="16"/>
                <w:szCs w:val="16"/>
                <w:lang w:eastAsia="sk-SK"/>
              </w:rPr>
            </w:pPr>
            <w:r w:rsidRPr="00324B72">
              <w:rPr>
                <w:rFonts w:ascii="Times New Roman" w:hAnsi="Times New Roman" w:cs="Times New Roman"/>
                <w:bCs/>
                <w:i/>
                <w:color w:val="000000"/>
                <w:sz w:val="16"/>
                <w:szCs w:val="16"/>
                <w:lang w:eastAsia="sk-SK"/>
              </w:rPr>
              <w:t xml:space="preserve">     z toho v limite kapitoly MO SR</w:t>
            </w:r>
          </w:p>
        </w:tc>
        <w:tc>
          <w:tcPr>
            <w:tcW w:w="900" w:type="dxa"/>
            <w:tcBorders>
              <w:top w:val="nil"/>
              <w:left w:val="nil"/>
              <w:bottom w:val="nil"/>
              <w:right w:val="nil"/>
            </w:tcBorders>
            <w:shd w:val="clear" w:color="auto" w:fill="auto"/>
            <w:vAlign w:val="bottom"/>
          </w:tcPr>
          <w:p w:rsidR="006A36A0" w:rsidRPr="00324B72" w:rsidRDefault="006A36A0" w:rsidP="006A36A0">
            <w:pPr>
              <w:jc w:val="right"/>
              <w:rPr>
                <w:rFonts w:ascii="Times New Roman" w:hAnsi="Times New Roman" w:cs="Times New Roman"/>
                <w:bCs/>
                <w:i/>
                <w:color w:val="000000"/>
                <w:sz w:val="16"/>
                <w:szCs w:val="16"/>
              </w:rPr>
            </w:pPr>
            <w:r w:rsidRPr="00324B72">
              <w:rPr>
                <w:rFonts w:ascii="Times New Roman" w:hAnsi="Times New Roman" w:cs="Times New Roman"/>
                <w:i/>
                <w:color w:val="000000"/>
                <w:sz w:val="16"/>
                <w:szCs w:val="16"/>
              </w:rPr>
              <w:t>1 606 316</w:t>
            </w:r>
          </w:p>
        </w:tc>
        <w:tc>
          <w:tcPr>
            <w:tcW w:w="900" w:type="dxa"/>
            <w:tcBorders>
              <w:top w:val="nil"/>
              <w:left w:val="nil"/>
              <w:bottom w:val="nil"/>
              <w:right w:val="nil"/>
            </w:tcBorders>
            <w:shd w:val="clear" w:color="auto" w:fill="auto"/>
            <w:vAlign w:val="bottom"/>
          </w:tcPr>
          <w:p w:rsidR="006A36A0" w:rsidRPr="00324B72" w:rsidRDefault="006A36A0" w:rsidP="006A36A0">
            <w:pPr>
              <w:jc w:val="right"/>
              <w:rPr>
                <w:rFonts w:ascii="Times New Roman" w:hAnsi="Times New Roman" w:cs="Times New Roman"/>
                <w:bCs/>
                <w:i/>
                <w:color w:val="000000"/>
                <w:sz w:val="16"/>
                <w:szCs w:val="16"/>
              </w:rPr>
            </w:pPr>
            <w:r w:rsidRPr="00324B72">
              <w:rPr>
                <w:rFonts w:ascii="Times New Roman" w:hAnsi="Times New Roman" w:cs="Times New Roman"/>
                <w:i/>
                <w:color w:val="000000"/>
                <w:sz w:val="16"/>
                <w:szCs w:val="16"/>
              </w:rPr>
              <w:t>1 792 846</w:t>
            </w:r>
          </w:p>
        </w:tc>
        <w:tc>
          <w:tcPr>
            <w:tcW w:w="901" w:type="dxa"/>
            <w:tcBorders>
              <w:top w:val="nil"/>
              <w:left w:val="nil"/>
              <w:bottom w:val="nil"/>
              <w:right w:val="nil"/>
            </w:tcBorders>
            <w:shd w:val="clear" w:color="auto" w:fill="auto"/>
            <w:vAlign w:val="bottom"/>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1 226 714</w:t>
            </w:r>
          </w:p>
        </w:tc>
        <w:tc>
          <w:tcPr>
            <w:tcW w:w="900" w:type="dxa"/>
            <w:tcBorders>
              <w:top w:val="nil"/>
              <w:left w:val="nil"/>
              <w:bottom w:val="nil"/>
              <w:right w:val="nil"/>
            </w:tcBorders>
            <w:shd w:val="clear" w:color="auto" w:fill="auto"/>
            <w:vAlign w:val="bottom"/>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1 554 418</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1 333 186</w:t>
            </w:r>
          </w:p>
        </w:tc>
        <w:tc>
          <w:tcPr>
            <w:tcW w:w="900"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1 482 154</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1 648 055</w:t>
            </w:r>
          </w:p>
        </w:tc>
      </w:tr>
      <w:tr w:rsidR="006A36A0" w:rsidRPr="00083C3F" w:rsidTr="006A36A0">
        <w:trPr>
          <w:trHeight w:val="255"/>
        </w:trPr>
        <w:tc>
          <w:tcPr>
            <w:tcW w:w="2764" w:type="dxa"/>
            <w:shd w:val="clear" w:color="auto" w:fill="auto"/>
            <w:noWrap/>
            <w:vAlign w:val="center"/>
          </w:tcPr>
          <w:p w:rsidR="006A36A0" w:rsidRPr="00324B72" w:rsidRDefault="006A36A0" w:rsidP="006A36A0">
            <w:pPr>
              <w:rPr>
                <w:rFonts w:ascii="Times New Roman" w:hAnsi="Times New Roman" w:cs="Times New Roman"/>
                <w:bCs/>
                <w:i/>
                <w:color w:val="000000"/>
                <w:sz w:val="16"/>
                <w:szCs w:val="16"/>
                <w:lang w:eastAsia="sk-SK"/>
              </w:rPr>
            </w:pPr>
            <w:r w:rsidRPr="00324B72">
              <w:rPr>
                <w:rFonts w:ascii="Times New Roman" w:hAnsi="Times New Roman" w:cs="Times New Roman"/>
                <w:bCs/>
                <w:i/>
                <w:color w:val="000000"/>
                <w:sz w:val="16"/>
                <w:szCs w:val="16"/>
                <w:lang w:eastAsia="sk-SK"/>
              </w:rPr>
              <w:t xml:space="preserve">     z toho kapitálové výdavky MO SR alokované v kapitole VPS</w:t>
            </w:r>
          </w:p>
        </w:tc>
        <w:tc>
          <w:tcPr>
            <w:tcW w:w="900" w:type="dxa"/>
            <w:tcBorders>
              <w:top w:val="nil"/>
              <w:left w:val="nil"/>
              <w:bottom w:val="nil"/>
              <w:right w:val="nil"/>
            </w:tcBorders>
            <w:shd w:val="clear" w:color="auto" w:fill="auto"/>
            <w:vAlign w:val="bottom"/>
          </w:tcPr>
          <w:p w:rsidR="006A36A0" w:rsidRPr="00324B72" w:rsidRDefault="006A36A0" w:rsidP="006A36A0">
            <w:pPr>
              <w:jc w:val="right"/>
              <w:rPr>
                <w:rFonts w:ascii="Times New Roman" w:hAnsi="Times New Roman" w:cs="Times New Roman"/>
                <w:bCs/>
                <w:i/>
                <w:color w:val="000000"/>
                <w:sz w:val="16"/>
                <w:szCs w:val="16"/>
              </w:rPr>
            </w:pPr>
          </w:p>
        </w:tc>
        <w:tc>
          <w:tcPr>
            <w:tcW w:w="900" w:type="dxa"/>
            <w:tcBorders>
              <w:top w:val="nil"/>
              <w:left w:val="nil"/>
              <w:bottom w:val="nil"/>
              <w:right w:val="nil"/>
            </w:tcBorders>
            <w:shd w:val="clear" w:color="auto" w:fill="auto"/>
            <w:vAlign w:val="bottom"/>
          </w:tcPr>
          <w:p w:rsidR="006A36A0" w:rsidRPr="00324B72" w:rsidRDefault="006A36A0" w:rsidP="006A36A0">
            <w:pPr>
              <w:jc w:val="right"/>
              <w:rPr>
                <w:rFonts w:ascii="Times New Roman" w:hAnsi="Times New Roman" w:cs="Times New Roman"/>
                <w:bCs/>
                <w:i/>
                <w:color w:val="000000"/>
                <w:sz w:val="16"/>
                <w:szCs w:val="16"/>
              </w:rPr>
            </w:pP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bCs/>
                <w:i/>
                <w:color w:val="000000"/>
                <w:sz w:val="16"/>
                <w:szCs w:val="16"/>
              </w:rPr>
            </w:pPr>
            <w:r w:rsidRPr="00324B72">
              <w:rPr>
                <w:rFonts w:ascii="Times New Roman" w:hAnsi="Times New Roman" w:cs="Times New Roman"/>
                <w:i/>
                <w:color w:val="000000"/>
                <w:sz w:val="16"/>
                <w:szCs w:val="16"/>
              </w:rPr>
              <w:t>447 366</w:t>
            </w:r>
          </w:p>
        </w:tc>
        <w:tc>
          <w:tcPr>
            <w:tcW w:w="900"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bCs/>
                <w:i/>
                <w:color w:val="000000"/>
                <w:sz w:val="16"/>
                <w:szCs w:val="16"/>
              </w:rPr>
            </w:pPr>
            <w:r w:rsidRPr="00324B72">
              <w:rPr>
                <w:rFonts w:ascii="Times New Roman" w:hAnsi="Times New Roman" w:cs="Times New Roman"/>
                <w:i/>
                <w:color w:val="000000"/>
                <w:sz w:val="16"/>
                <w:szCs w:val="16"/>
              </w:rPr>
              <w:t>123 816</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504 333</w:t>
            </w:r>
          </w:p>
        </w:tc>
        <w:tc>
          <w:tcPr>
            <w:tcW w:w="900"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541 143</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i/>
                <w:color w:val="000000"/>
                <w:sz w:val="16"/>
                <w:szCs w:val="16"/>
              </w:rPr>
            </w:pPr>
            <w:r w:rsidRPr="00324B72">
              <w:rPr>
                <w:rFonts w:ascii="Times New Roman" w:hAnsi="Times New Roman" w:cs="Times New Roman"/>
                <w:i/>
                <w:color w:val="000000"/>
                <w:sz w:val="16"/>
                <w:szCs w:val="16"/>
              </w:rPr>
              <w:t>433 444</w:t>
            </w:r>
          </w:p>
        </w:tc>
      </w:tr>
      <w:tr w:rsidR="006A36A0" w:rsidRPr="00083C3F" w:rsidTr="006A36A0">
        <w:trPr>
          <w:trHeight w:val="255"/>
        </w:trPr>
        <w:tc>
          <w:tcPr>
            <w:tcW w:w="2764" w:type="dxa"/>
            <w:shd w:val="clear" w:color="auto" w:fill="auto"/>
            <w:noWrap/>
            <w:vAlign w:val="center"/>
            <w:hideMark/>
          </w:tcPr>
          <w:p w:rsidR="006A36A0" w:rsidRPr="0022221C" w:rsidRDefault="006A36A0" w:rsidP="006A36A0">
            <w:pPr>
              <w:rPr>
                <w:rFonts w:ascii="Times New Roman" w:hAnsi="Times New Roman" w:cs="Times New Roman"/>
                <w:color w:val="000000"/>
                <w:sz w:val="16"/>
                <w:szCs w:val="16"/>
                <w:lang w:eastAsia="sk-SK"/>
              </w:rPr>
            </w:pPr>
            <w:r w:rsidRPr="0022221C">
              <w:rPr>
                <w:rFonts w:ascii="Times New Roman" w:hAnsi="Times New Roman" w:cs="Times New Roman"/>
                <w:color w:val="000000"/>
                <w:sz w:val="16"/>
                <w:szCs w:val="16"/>
                <w:lang w:eastAsia="sk-SK"/>
              </w:rPr>
              <w:t>Podpora obrany</w:t>
            </w:r>
          </w:p>
        </w:tc>
        <w:tc>
          <w:tcPr>
            <w:tcW w:w="900"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3 231</w:t>
            </w:r>
          </w:p>
        </w:tc>
        <w:tc>
          <w:tcPr>
            <w:tcW w:w="900"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2 673</w:t>
            </w:r>
          </w:p>
        </w:tc>
        <w:tc>
          <w:tcPr>
            <w:tcW w:w="901"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2 775</w:t>
            </w:r>
          </w:p>
        </w:tc>
        <w:tc>
          <w:tcPr>
            <w:tcW w:w="900"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3 041</w:t>
            </w:r>
          </w:p>
        </w:tc>
        <w:tc>
          <w:tcPr>
            <w:tcW w:w="901" w:type="dxa"/>
            <w:tcBorders>
              <w:top w:val="nil"/>
              <w:left w:val="nil"/>
              <w:bottom w:val="nil"/>
              <w:right w:val="nil"/>
            </w:tcBorders>
            <w:shd w:val="clear" w:color="auto" w:fill="auto"/>
            <w:vAlign w:val="center"/>
            <w:hideMark/>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2 775</w:t>
            </w:r>
          </w:p>
        </w:tc>
        <w:tc>
          <w:tcPr>
            <w:tcW w:w="900" w:type="dxa"/>
            <w:tcBorders>
              <w:top w:val="nil"/>
              <w:left w:val="nil"/>
              <w:bottom w:val="nil"/>
              <w:right w:val="nil"/>
            </w:tcBorders>
            <w:shd w:val="clear" w:color="auto" w:fill="auto"/>
            <w:vAlign w:val="center"/>
            <w:hideMark/>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2 775</w:t>
            </w:r>
          </w:p>
        </w:tc>
        <w:tc>
          <w:tcPr>
            <w:tcW w:w="901" w:type="dxa"/>
            <w:tcBorders>
              <w:top w:val="nil"/>
              <w:left w:val="nil"/>
              <w:bottom w:val="nil"/>
              <w:right w:val="nil"/>
            </w:tcBorders>
            <w:shd w:val="clear" w:color="auto" w:fill="auto"/>
            <w:vAlign w:val="center"/>
            <w:hideMark/>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2 775</w:t>
            </w:r>
          </w:p>
        </w:tc>
      </w:tr>
      <w:tr w:rsidR="006A36A0" w:rsidRPr="00083C3F" w:rsidTr="006A36A0">
        <w:trPr>
          <w:trHeight w:val="255"/>
        </w:trPr>
        <w:tc>
          <w:tcPr>
            <w:tcW w:w="2764" w:type="dxa"/>
            <w:shd w:val="clear" w:color="auto" w:fill="auto"/>
            <w:noWrap/>
            <w:vAlign w:val="center"/>
            <w:hideMark/>
          </w:tcPr>
          <w:p w:rsidR="006A36A0" w:rsidRPr="0022221C" w:rsidRDefault="006A36A0" w:rsidP="006A36A0">
            <w:pPr>
              <w:rPr>
                <w:rFonts w:ascii="Times New Roman" w:hAnsi="Times New Roman" w:cs="Times New Roman"/>
                <w:color w:val="000000"/>
                <w:sz w:val="16"/>
                <w:szCs w:val="16"/>
                <w:lang w:eastAsia="sk-SK"/>
              </w:rPr>
            </w:pPr>
            <w:r w:rsidRPr="0022221C">
              <w:rPr>
                <w:rFonts w:ascii="Times New Roman" w:hAnsi="Times New Roman" w:cs="Times New Roman"/>
                <w:color w:val="000000"/>
                <w:sz w:val="16"/>
                <w:szCs w:val="16"/>
                <w:lang w:eastAsia="sk-SK"/>
              </w:rPr>
              <w:t>Hospodárska mobilizácia</w:t>
            </w:r>
          </w:p>
        </w:tc>
        <w:tc>
          <w:tcPr>
            <w:tcW w:w="900"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8 610</w:t>
            </w:r>
          </w:p>
        </w:tc>
        <w:tc>
          <w:tcPr>
            <w:tcW w:w="900"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45 577</w:t>
            </w:r>
          </w:p>
        </w:tc>
        <w:tc>
          <w:tcPr>
            <w:tcW w:w="901"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6 001</w:t>
            </w:r>
          </w:p>
        </w:tc>
        <w:tc>
          <w:tcPr>
            <w:tcW w:w="900" w:type="dxa"/>
            <w:tcBorders>
              <w:top w:val="nil"/>
              <w:left w:val="nil"/>
              <w:bottom w:val="nil"/>
              <w:right w:val="nil"/>
            </w:tcBorders>
            <w:shd w:val="clear" w:color="auto" w:fill="auto"/>
            <w:vAlign w:val="bottom"/>
            <w:hideMark/>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150 677</w:t>
            </w:r>
          </w:p>
        </w:tc>
        <w:tc>
          <w:tcPr>
            <w:tcW w:w="901" w:type="dxa"/>
            <w:tcBorders>
              <w:top w:val="nil"/>
              <w:left w:val="nil"/>
              <w:bottom w:val="nil"/>
              <w:right w:val="nil"/>
            </w:tcBorders>
            <w:shd w:val="clear" w:color="auto" w:fill="auto"/>
            <w:vAlign w:val="center"/>
            <w:hideMark/>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6 076</w:t>
            </w:r>
          </w:p>
        </w:tc>
        <w:tc>
          <w:tcPr>
            <w:tcW w:w="900" w:type="dxa"/>
            <w:tcBorders>
              <w:top w:val="nil"/>
              <w:left w:val="nil"/>
              <w:bottom w:val="nil"/>
              <w:right w:val="nil"/>
            </w:tcBorders>
            <w:shd w:val="clear" w:color="auto" w:fill="auto"/>
            <w:vAlign w:val="center"/>
            <w:hideMark/>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6 076</w:t>
            </w:r>
          </w:p>
        </w:tc>
        <w:tc>
          <w:tcPr>
            <w:tcW w:w="901" w:type="dxa"/>
            <w:tcBorders>
              <w:top w:val="nil"/>
              <w:left w:val="nil"/>
              <w:bottom w:val="nil"/>
              <w:right w:val="nil"/>
            </w:tcBorders>
            <w:shd w:val="clear" w:color="auto" w:fill="auto"/>
            <w:vAlign w:val="center"/>
            <w:hideMark/>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6 076</w:t>
            </w:r>
          </w:p>
        </w:tc>
      </w:tr>
      <w:tr w:rsidR="006A36A0" w:rsidRPr="00083C3F" w:rsidTr="006A36A0">
        <w:trPr>
          <w:trHeight w:val="255"/>
        </w:trPr>
        <w:tc>
          <w:tcPr>
            <w:tcW w:w="2764" w:type="dxa"/>
            <w:shd w:val="clear" w:color="auto" w:fill="auto"/>
            <w:noWrap/>
            <w:vAlign w:val="center"/>
          </w:tcPr>
          <w:p w:rsidR="006A36A0" w:rsidRPr="0022221C" w:rsidRDefault="006A36A0" w:rsidP="006A36A0">
            <w:pPr>
              <w:rPr>
                <w:rFonts w:ascii="Times New Roman" w:hAnsi="Times New Roman" w:cs="Times New Roman"/>
                <w:color w:val="000000"/>
                <w:sz w:val="16"/>
                <w:szCs w:val="16"/>
                <w:lang w:eastAsia="sk-SK"/>
              </w:rPr>
            </w:pPr>
            <w:r w:rsidRPr="0022221C">
              <w:rPr>
                <w:rFonts w:ascii="Times New Roman" w:hAnsi="Times New Roman" w:cs="Times New Roman"/>
                <w:color w:val="000000"/>
                <w:sz w:val="16"/>
                <w:szCs w:val="16"/>
                <w:lang w:eastAsia="sk-SK"/>
              </w:rPr>
              <w:t>Ostatné obranné výdavky</w:t>
            </w:r>
          </w:p>
        </w:tc>
        <w:tc>
          <w:tcPr>
            <w:tcW w:w="900"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56</w:t>
            </w:r>
          </w:p>
        </w:tc>
        <w:tc>
          <w:tcPr>
            <w:tcW w:w="900"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20</w:t>
            </w:r>
          </w:p>
        </w:tc>
        <w:tc>
          <w:tcPr>
            <w:tcW w:w="901"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25</w:t>
            </w:r>
          </w:p>
        </w:tc>
        <w:tc>
          <w:tcPr>
            <w:tcW w:w="900" w:type="dxa"/>
            <w:tcBorders>
              <w:top w:val="nil"/>
              <w:left w:val="nil"/>
              <w:bottom w:val="nil"/>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color w:val="000000"/>
                <w:sz w:val="16"/>
                <w:szCs w:val="16"/>
              </w:rPr>
              <w:t>42</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53 268</w:t>
            </w:r>
          </w:p>
        </w:tc>
        <w:tc>
          <w:tcPr>
            <w:tcW w:w="900"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17 861</w:t>
            </w:r>
          </w:p>
        </w:tc>
        <w:tc>
          <w:tcPr>
            <w:tcW w:w="901" w:type="dxa"/>
            <w:tcBorders>
              <w:top w:val="nil"/>
              <w:left w:val="nil"/>
              <w:bottom w:val="nil"/>
              <w:right w:val="nil"/>
            </w:tcBorders>
            <w:shd w:val="clear" w:color="auto" w:fill="auto"/>
            <w:vAlign w:val="center"/>
          </w:tcPr>
          <w:p w:rsidR="006A36A0" w:rsidRPr="00324B72" w:rsidRDefault="006A36A0" w:rsidP="006A36A0">
            <w:pPr>
              <w:jc w:val="right"/>
              <w:rPr>
                <w:rFonts w:ascii="Times New Roman" w:hAnsi="Times New Roman" w:cs="Times New Roman"/>
                <w:color w:val="000000"/>
                <w:sz w:val="16"/>
                <w:szCs w:val="16"/>
              </w:rPr>
            </w:pPr>
            <w:r w:rsidRPr="00324B72">
              <w:rPr>
                <w:rFonts w:ascii="Times New Roman" w:hAnsi="Times New Roman" w:cs="Times New Roman"/>
                <w:color w:val="000000"/>
                <w:sz w:val="16"/>
                <w:szCs w:val="16"/>
              </w:rPr>
              <w:t>19 085</w:t>
            </w:r>
          </w:p>
        </w:tc>
      </w:tr>
      <w:tr w:rsidR="006A36A0" w:rsidRPr="00083C3F" w:rsidTr="006A36A0">
        <w:trPr>
          <w:trHeight w:val="255"/>
        </w:trPr>
        <w:tc>
          <w:tcPr>
            <w:tcW w:w="2764" w:type="dxa"/>
            <w:tcBorders>
              <w:bottom w:val="single" w:sz="4" w:space="0" w:color="auto"/>
            </w:tcBorders>
            <w:shd w:val="clear" w:color="auto" w:fill="auto"/>
            <w:noWrap/>
            <w:vAlign w:val="center"/>
          </w:tcPr>
          <w:p w:rsidR="006A36A0" w:rsidRPr="0022221C" w:rsidRDefault="006A36A0" w:rsidP="006A36A0">
            <w:pPr>
              <w:rPr>
                <w:rFonts w:ascii="Times New Roman" w:hAnsi="Times New Roman" w:cs="Times New Roman"/>
                <w:b/>
                <w:bCs/>
                <w:color w:val="000000"/>
                <w:sz w:val="16"/>
                <w:szCs w:val="16"/>
                <w:lang w:eastAsia="sk-SK"/>
              </w:rPr>
            </w:pPr>
            <w:r w:rsidRPr="0022221C">
              <w:rPr>
                <w:rFonts w:ascii="Times New Roman" w:hAnsi="Times New Roman" w:cs="Times New Roman"/>
                <w:b/>
                <w:bCs/>
                <w:color w:val="000000"/>
                <w:sz w:val="16"/>
                <w:szCs w:val="16"/>
                <w:lang w:eastAsia="sk-SK"/>
              </w:rPr>
              <w:t>Obranné výdavky celkom</w:t>
            </w:r>
          </w:p>
        </w:tc>
        <w:tc>
          <w:tcPr>
            <w:tcW w:w="900"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1 618 213</w:t>
            </w:r>
          </w:p>
        </w:tc>
        <w:tc>
          <w:tcPr>
            <w:tcW w:w="900"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1 841 116</w:t>
            </w:r>
          </w:p>
        </w:tc>
        <w:tc>
          <w:tcPr>
            <w:tcW w:w="901"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1 682 882</w:t>
            </w:r>
          </w:p>
        </w:tc>
        <w:tc>
          <w:tcPr>
            <w:tcW w:w="900"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b/>
                <w:bCs/>
                <w:color w:val="000000"/>
                <w:sz w:val="16"/>
                <w:szCs w:val="16"/>
              </w:rPr>
            </w:pPr>
            <w:r w:rsidRPr="0022221C">
              <w:rPr>
                <w:rFonts w:ascii="Times New Roman" w:hAnsi="Times New Roman" w:cs="Times New Roman"/>
                <w:b/>
                <w:bCs/>
                <w:color w:val="000000"/>
                <w:sz w:val="16"/>
                <w:szCs w:val="16"/>
              </w:rPr>
              <w:t>1 831 994</w:t>
            </w:r>
          </w:p>
        </w:tc>
        <w:tc>
          <w:tcPr>
            <w:tcW w:w="901" w:type="dxa"/>
            <w:tcBorders>
              <w:top w:val="nil"/>
              <w:left w:val="nil"/>
              <w:bottom w:val="single" w:sz="4" w:space="0" w:color="auto"/>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1 899 638</w:t>
            </w:r>
          </w:p>
        </w:tc>
        <w:tc>
          <w:tcPr>
            <w:tcW w:w="900" w:type="dxa"/>
            <w:tcBorders>
              <w:top w:val="nil"/>
              <w:left w:val="nil"/>
              <w:bottom w:val="single" w:sz="4" w:space="0" w:color="auto"/>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2 050 010</w:t>
            </w:r>
          </w:p>
        </w:tc>
        <w:tc>
          <w:tcPr>
            <w:tcW w:w="901" w:type="dxa"/>
            <w:tcBorders>
              <w:top w:val="nil"/>
              <w:left w:val="nil"/>
              <w:bottom w:val="single" w:sz="4" w:space="0" w:color="auto"/>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2 109 436</w:t>
            </w:r>
          </w:p>
        </w:tc>
      </w:tr>
      <w:tr w:rsidR="006A36A0" w:rsidRPr="00083C3F" w:rsidTr="006A36A0">
        <w:trPr>
          <w:trHeight w:val="255"/>
        </w:trPr>
        <w:tc>
          <w:tcPr>
            <w:tcW w:w="2764" w:type="dxa"/>
            <w:tcBorders>
              <w:bottom w:val="single" w:sz="4" w:space="0" w:color="auto"/>
            </w:tcBorders>
            <w:shd w:val="clear" w:color="auto" w:fill="auto"/>
            <w:noWrap/>
            <w:vAlign w:val="center"/>
          </w:tcPr>
          <w:p w:rsidR="006A36A0" w:rsidRPr="0022221C" w:rsidRDefault="006A36A0" w:rsidP="006A36A0">
            <w:pPr>
              <w:rPr>
                <w:rFonts w:ascii="Times New Roman" w:hAnsi="Times New Roman" w:cs="Times New Roman"/>
                <w:color w:val="000000"/>
                <w:sz w:val="16"/>
                <w:szCs w:val="16"/>
                <w:lang w:eastAsia="sk-SK"/>
              </w:rPr>
            </w:pPr>
            <w:r w:rsidRPr="0022221C">
              <w:rPr>
                <w:rFonts w:ascii="Times New Roman" w:hAnsi="Times New Roman" w:cs="Times New Roman"/>
                <w:b/>
                <w:bCs/>
                <w:color w:val="000000"/>
                <w:sz w:val="16"/>
                <w:szCs w:val="16"/>
                <w:lang w:eastAsia="sk-SK"/>
              </w:rPr>
              <w:t>Podiel na HDP v %</w:t>
            </w:r>
          </w:p>
        </w:tc>
        <w:tc>
          <w:tcPr>
            <w:tcW w:w="900"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1,72 </w:t>
            </w:r>
            <w:r w:rsidRPr="0022221C">
              <w:rPr>
                <w:rFonts w:ascii="Times New Roman" w:hAnsi="Times New Roman" w:cs="Times New Roman"/>
                <w:b/>
                <w:bCs/>
                <w:color w:val="000000"/>
                <w:sz w:val="16"/>
                <w:szCs w:val="16"/>
              </w:rPr>
              <w:t>%</w:t>
            </w:r>
          </w:p>
        </w:tc>
        <w:tc>
          <w:tcPr>
            <w:tcW w:w="900"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b/>
                <w:bCs/>
                <w:color w:val="000000"/>
                <w:sz w:val="16"/>
                <w:szCs w:val="16"/>
              </w:rPr>
              <w:t>2,00</w:t>
            </w:r>
            <w:r>
              <w:rPr>
                <w:rFonts w:ascii="Times New Roman" w:hAnsi="Times New Roman" w:cs="Times New Roman"/>
                <w:b/>
                <w:bCs/>
                <w:color w:val="000000"/>
                <w:sz w:val="16"/>
                <w:szCs w:val="16"/>
              </w:rPr>
              <w:t xml:space="preserve"> </w:t>
            </w:r>
            <w:r w:rsidRPr="0022221C">
              <w:rPr>
                <w:rFonts w:ascii="Times New Roman" w:hAnsi="Times New Roman" w:cs="Times New Roman"/>
                <w:b/>
                <w:bCs/>
                <w:color w:val="000000"/>
                <w:sz w:val="16"/>
                <w:szCs w:val="16"/>
              </w:rPr>
              <w:t>%</w:t>
            </w:r>
          </w:p>
        </w:tc>
        <w:tc>
          <w:tcPr>
            <w:tcW w:w="901"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1,73 </w:t>
            </w:r>
            <w:r w:rsidRPr="0022221C">
              <w:rPr>
                <w:rFonts w:ascii="Times New Roman" w:hAnsi="Times New Roman" w:cs="Times New Roman"/>
                <w:b/>
                <w:bCs/>
                <w:color w:val="000000"/>
                <w:sz w:val="16"/>
                <w:szCs w:val="16"/>
              </w:rPr>
              <w:t>%</w:t>
            </w:r>
          </w:p>
        </w:tc>
        <w:tc>
          <w:tcPr>
            <w:tcW w:w="900" w:type="dxa"/>
            <w:tcBorders>
              <w:top w:val="nil"/>
              <w:left w:val="nil"/>
              <w:bottom w:val="single" w:sz="4" w:space="0" w:color="auto"/>
              <w:right w:val="nil"/>
            </w:tcBorders>
            <w:shd w:val="clear" w:color="auto" w:fill="auto"/>
            <w:vAlign w:val="bottom"/>
          </w:tcPr>
          <w:p w:rsidR="006A36A0" w:rsidRPr="0022221C" w:rsidRDefault="006A36A0" w:rsidP="006A36A0">
            <w:pPr>
              <w:jc w:val="right"/>
              <w:rPr>
                <w:rFonts w:ascii="Times New Roman" w:hAnsi="Times New Roman" w:cs="Times New Roman"/>
                <w:color w:val="000000"/>
                <w:sz w:val="16"/>
                <w:szCs w:val="16"/>
              </w:rPr>
            </w:pPr>
            <w:r w:rsidRPr="0022221C">
              <w:rPr>
                <w:rFonts w:ascii="Times New Roman" w:hAnsi="Times New Roman" w:cs="Times New Roman"/>
                <w:b/>
                <w:bCs/>
                <w:color w:val="000000"/>
                <w:sz w:val="16"/>
                <w:szCs w:val="16"/>
              </w:rPr>
              <w:t>1,88</w:t>
            </w:r>
            <w:r>
              <w:rPr>
                <w:rFonts w:ascii="Times New Roman" w:hAnsi="Times New Roman" w:cs="Times New Roman"/>
                <w:b/>
                <w:bCs/>
                <w:color w:val="000000"/>
                <w:sz w:val="16"/>
                <w:szCs w:val="16"/>
              </w:rPr>
              <w:t xml:space="preserve"> </w:t>
            </w:r>
            <w:r w:rsidRPr="0022221C">
              <w:rPr>
                <w:rFonts w:ascii="Times New Roman" w:hAnsi="Times New Roman" w:cs="Times New Roman"/>
                <w:b/>
                <w:bCs/>
                <w:color w:val="000000"/>
                <w:sz w:val="16"/>
                <w:szCs w:val="16"/>
              </w:rPr>
              <w:t>%</w:t>
            </w:r>
          </w:p>
        </w:tc>
        <w:tc>
          <w:tcPr>
            <w:tcW w:w="901" w:type="dxa"/>
            <w:tcBorders>
              <w:top w:val="nil"/>
              <w:left w:val="nil"/>
              <w:bottom w:val="single" w:sz="4" w:space="0" w:color="auto"/>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1,80%</w:t>
            </w:r>
          </w:p>
        </w:tc>
        <w:tc>
          <w:tcPr>
            <w:tcW w:w="900" w:type="dxa"/>
            <w:tcBorders>
              <w:top w:val="nil"/>
              <w:left w:val="nil"/>
              <w:bottom w:val="single" w:sz="4" w:space="0" w:color="auto"/>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1,80%</w:t>
            </w:r>
          </w:p>
        </w:tc>
        <w:tc>
          <w:tcPr>
            <w:tcW w:w="901" w:type="dxa"/>
            <w:tcBorders>
              <w:top w:val="nil"/>
              <w:left w:val="nil"/>
              <w:bottom w:val="single" w:sz="4" w:space="0" w:color="auto"/>
              <w:right w:val="nil"/>
            </w:tcBorders>
            <w:shd w:val="clear" w:color="auto" w:fill="auto"/>
            <w:vAlign w:val="center"/>
          </w:tcPr>
          <w:p w:rsidR="006A36A0" w:rsidRPr="00324B72" w:rsidRDefault="006A36A0" w:rsidP="006A36A0">
            <w:pPr>
              <w:jc w:val="right"/>
              <w:rPr>
                <w:rFonts w:ascii="Times New Roman" w:hAnsi="Times New Roman" w:cs="Times New Roman"/>
                <w:b/>
                <w:color w:val="000000"/>
                <w:sz w:val="16"/>
                <w:szCs w:val="16"/>
              </w:rPr>
            </w:pPr>
            <w:r w:rsidRPr="00324B72">
              <w:rPr>
                <w:rFonts w:ascii="Times New Roman" w:hAnsi="Times New Roman" w:cs="Times New Roman"/>
                <w:b/>
                <w:color w:val="000000"/>
                <w:sz w:val="16"/>
                <w:szCs w:val="16"/>
              </w:rPr>
              <w:t>1,80%</w:t>
            </w:r>
          </w:p>
        </w:tc>
      </w:tr>
    </w:tbl>
    <w:p w:rsidR="006A36A0" w:rsidRPr="00083C3F" w:rsidRDefault="006A36A0" w:rsidP="006A36A0">
      <w:pPr>
        <w:rPr>
          <w:rFonts w:ascii="Times New Roman" w:hAnsi="Times New Roman"/>
          <w:sz w:val="16"/>
          <w:szCs w:val="16"/>
        </w:rPr>
      </w:pPr>
      <w:r w:rsidRPr="00083C3F">
        <w:rPr>
          <w:rFonts w:ascii="Times New Roman" w:hAnsi="Times New Roman"/>
          <w:sz w:val="16"/>
          <w:szCs w:val="16"/>
        </w:rPr>
        <w:t xml:space="preserve">                                                                                                                                                                                                          </w:t>
      </w:r>
      <w:r w:rsidRPr="00083C3F">
        <w:rPr>
          <w:rFonts w:ascii="Times New Roman" w:hAnsi="Times New Roman"/>
          <w:i/>
          <w:iCs/>
          <w:sz w:val="16"/>
          <w:szCs w:val="16"/>
        </w:rPr>
        <w:t>Zdroj: MF SR</w:t>
      </w:r>
    </w:p>
    <w:p w:rsidR="00015EA0" w:rsidRDefault="006A36A0" w:rsidP="006A36A0">
      <w:pPr>
        <w:spacing w:after="0"/>
        <w:jc w:val="both"/>
        <w:rPr>
          <w:rFonts w:ascii="Times New Roman" w:hAnsi="Times New Roman"/>
          <w:sz w:val="24"/>
          <w:szCs w:val="24"/>
        </w:rPr>
      </w:pPr>
      <w:r w:rsidRPr="00F46B91">
        <w:rPr>
          <w:rFonts w:ascii="Times New Roman" w:hAnsi="Times New Roman"/>
          <w:sz w:val="24"/>
          <w:szCs w:val="24"/>
        </w:rPr>
        <w:t>Výdavky kapitoly MO SR budú v roku 2022 tvoriť 97 % celkových výdavkov na obranu. V</w:t>
      </w:r>
      <w:r w:rsidRPr="00422FF7">
        <w:rPr>
          <w:rFonts w:ascii="Times New Roman" w:hAnsi="Times New Roman"/>
          <w:sz w:val="24"/>
          <w:szCs w:val="24"/>
        </w:rPr>
        <w:t> roku 2022 sú rozpočtované v sume 1,</w:t>
      </w:r>
      <w:r>
        <w:rPr>
          <w:rFonts w:ascii="Times New Roman" w:hAnsi="Times New Roman"/>
          <w:sz w:val="24"/>
          <w:szCs w:val="24"/>
        </w:rPr>
        <w:t>838</w:t>
      </w:r>
      <w:r w:rsidRPr="00422FF7">
        <w:rPr>
          <w:rFonts w:ascii="Times New Roman" w:hAnsi="Times New Roman"/>
          <w:sz w:val="24"/>
          <w:szCs w:val="24"/>
        </w:rPr>
        <w:t xml:space="preserve"> mld. </w:t>
      </w:r>
      <w:r>
        <w:rPr>
          <w:rFonts w:ascii="Times New Roman" w:hAnsi="Times New Roman"/>
          <w:sz w:val="24"/>
          <w:szCs w:val="24"/>
        </w:rPr>
        <w:t>eur,</w:t>
      </w:r>
      <w:r w:rsidRPr="00422FF7">
        <w:rPr>
          <w:rFonts w:ascii="Times New Roman" w:hAnsi="Times New Roman"/>
          <w:sz w:val="24"/>
          <w:szCs w:val="24"/>
        </w:rPr>
        <w:t xml:space="preserve"> z toho </w:t>
      </w:r>
      <w:r>
        <w:rPr>
          <w:rFonts w:ascii="Times New Roman" w:hAnsi="Times New Roman"/>
          <w:sz w:val="24"/>
          <w:szCs w:val="24"/>
        </w:rPr>
        <w:t>v kapitole VPS</w:t>
      </w:r>
      <w:r w:rsidRPr="00422FF7">
        <w:rPr>
          <w:rFonts w:ascii="Times New Roman" w:hAnsi="Times New Roman"/>
          <w:sz w:val="24"/>
          <w:szCs w:val="24"/>
        </w:rPr>
        <w:t xml:space="preserve"> je </w:t>
      </w:r>
      <w:r>
        <w:rPr>
          <w:rFonts w:ascii="Times New Roman" w:hAnsi="Times New Roman"/>
          <w:sz w:val="24"/>
          <w:szCs w:val="24"/>
        </w:rPr>
        <w:t>zabezpečených</w:t>
      </w:r>
      <w:r w:rsidRPr="00422FF7">
        <w:rPr>
          <w:rFonts w:ascii="Times New Roman" w:hAnsi="Times New Roman"/>
          <w:sz w:val="24"/>
          <w:szCs w:val="24"/>
        </w:rPr>
        <w:t xml:space="preserve"> </w:t>
      </w:r>
      <w:r>
        <w:rPr>
          <w:rFonts w:ascii="Times New Roman" w:hAnsi="Times New Roman"/>
          <w:sz w:val="24"/>
          <w:szCs w:val="24"/>
        </w:rPr>
        <w:t>504</w:t>
      </w:r>
      <w:r w:rsidRPr="00422FF7">
        <w:rPr>
          <w:rFonts w:ascii="Times New Roman" w:hAnsi="Times New Roman"/>
          <w:sz w:val="24"/>
          <w:szCs w:val="24"/>
        </w:rPr>
        <w:t xml:space="preserve"> mil. </w:t>
      </w:r>
      <w:r>
        <w:rPr>
          <w:rFonts w:ascii="Times New Roman" w:hAnsi="Times New Roman"/>
          <w:sz w:val="24"/>
          <w:szCs w:val="24"/>
        </w:rPr>
        <w:t xml:space="preserve">eur. </w:t>
      </w:r>
      <w:r w:rsidRPr="00422FF7">
        <w:rPr>
          <w:rFonts w:ascii="Times New Roman" w:hAnsi="Times New Roman"/>
          <w:sz w:val="24"/>
          <w:szCs w:val="24"/>
        </w:rPr>
        <w:t>Bežné výdavky tvoria 7</w:t>
      </w:r>
      <w:r>
        <w:rPr>
          <w:rFonts w:ascii="Times New Roman" w:hAnsi="Times New Roman"/>
          <w:sz w:val="24"/>
          <w:szCs w:val="24"/>
        </w:rPr>
        <w:t>1</w:t>
      </w:r>
      <w:r w:rsidRPr="00422FF7">
        <w:rPr>
          <w:rFonts w:ascii="Times New Roman" w:hAnsi="Times New Roman"/>
          <w:sz w:val="24"/>
          <w:szCs w:val="24"/>
        </w:rPr>
        <w:t xml:space="preserve"> %, predovšetkým platy vojakov a tovary a služby, </w:t>
      </w:r>
      <w:r>
        <w:rPr>
          <w:rFonts w:ascii="Times New Roman" w:hAnsi="Times New Roman"/>
          <w:sz w:val="24"/>
          <w:szCs w:val="24"/>
        </w:rPr>
        <w:t xml:space="preserve">v tom </w:t>
      </w:r>
      <w:r w:rsidRPr="00422FF7">
        <w:rPr>
          <w:rFonts w:ascii="Times New Roman" w:hAnsi="Times New Roman"/>
          <w:sz w:val="24"/>
          <w:szCs w:val="24"/>
        </w:rPr>
        <w:t>najmä nákup munície a oprava a údržba leteckej techniky.</w:t>
      </w:r>
      <w:r w:rsidRPr="00177061">
        <w:rPr>
          <w:rFonts w:ascii="Times New Roman" w:hAnsi="Times New Roman"/>
          <w:sz w:val="24"/>
          <w:szCs w:val="24"/>
        </w:rPr>
        <w:t xml:space="preserve"> </w:t>
      </w:r>
    </w:p>
    <w:p w:rsidR="006A36A0" w:rsidRPr="00177061" w:rsidRDefault="006A36A0" w:rsidP="006A36A0">
      <w:pPr>
        <w:spacing w:after="0"/>
        <w:jc w:val="both"/>
        <w:rPr>
          <w:rFonts w:ascii="Times New Roman" w:hAnsi="Times New Roman"/>
          <w:sz w:val="24"/>
          <w:szCs w:val="24"/>
        </w:rPr>
      </w:pPr>
      <w:r w:rsidRPr="00177061">
        <w:rPr>
          <w:rFonts w:ascii="Times New Roman" w:hAnsi="Times New Roman"/>
          <w:sz w:val="24"/>
          <w:szCs w:val="24"/>
        </w:rPr>
        <w:t xml:space="preserve"> </w:t>
      </w:r>
    </w:p>
    <w:p w:rsidR="006A36A0" w:rsidRDefault="006A36A0" w:rsidP="006A36A0">
      <w:pPr>
        <w:spacing w:after="0"/>
        <w:jc w:val="both"/>
        <w:rPr>
          <w:rFonts w:ascii="Times New Roman" w:hAnsi="Times New Roman" w:cs="Times New Roman"/>
          <w:sz w:val="24"/>
          <w:szCs w:val="24"/>
        </w:rPr>
      </w:pPr>
    </w:p>
    <w:tbl>
      <w:tblPr>
        <w:tblW w:w="5000" w:type="pct"/>
        <w:tblLayout w:type="fixed"/>
        <w:tblCellMar>
          <w:left w:w="0" w:type="dxa"/>
          <w:right w:w="0" w:type="dxa"/>
        </w:tblCellMar>
        <w:tblLook w:val="04A0" w:firstRow="1" w:lastRow="0" w:firstColumn="1" w:lastColumn="0" w:noHBand="0" w:noVBand="1"/>
      </w:tblPr>
      <w:tblGrid>
        <w:gridCol w:w="4393"/>
        <w:gridCol w:w="709"/>
        <w:gridCol w:w="711"/>
        <w:gridCol w:w="568"/>
        <w:gridCol w:w="778"/>
        <w:gridCol w:w="639"/>
        <w:gridCol w:w="639"/>
        <w:gridCol w:w="635"/>
      </w:tblGrid>
      <w:tr w:rsidR="006A36A0" w:rsidRPr="00AE2508" w:rsidTr="006A36A0">
        <w:trPr>
          <w:trHeight w:val="259"/>
        </w:trPr>
        <w:tc>
          <w:tcPr>
            <w:tcW w:w="5000" w:type="pct"/>
            <w:gridSpan w:val="8"/>
            <w:tcBorders>
              <w:bottom w:val="single" w:sz="4" w:space="0" w:color="auto"/>
            </w:tcBorders>
            <w:noWrap/>
            <w:tcMar>
              <w:top w:w="0" w:type="dxa"/>
              <w:left w:w="70" w:type="dxa"/>
              <w:bottom w:w="0" w:type="dxa"/>
              <w:right w:w="70" w:type="dxa"/>
            </w:tcMar>
            <w:vAlign w:val="bottom"/>
            <w:hideMark/>
          </w:tcPr>
          <w:p w:rsidR="006A36A0" w:rsidRPr="00AE2508" w:rsidRDefault="006A36A0" w:rsidP="006A36A0">
            <w:pPr>
              <w:spacing w:after="0"/>
              <w:rPr>
                <w:rFonts w:ascii="Times New Roman" w:hAnsi="Times New Roman" w:cs="Times New Roman"/>
                <w:b/>
              </w:rPr>
            </w:pPr>
            <w:bookmarkStart w:id="454" w:name="_Toc84528449"/>
            <w:bookmarkStart w:id="455" w:name="_Toc84845326"/>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102</w:t>
            </w:r>
            <w:r w:rsidRPr="007E7AFC">
              <w:rPr>
                <w:rFonts w:ascii="Times New Roman" w:hAnsi="Times New Roman" w:cs="Times New Roman"/>
                <w:b/>
                <w:color w:val="5B9BD5" w:themeColor="accent1"/>
                <w:sz w:val="20"/>
                <w:szCs w:val="20"/>
              </w:rPr>
              <w:fldChar w:fldCharType="end"/>
            </w:r>
            <w:r>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rPr>
              <w:t>-</w:t>
            </w:r>
            <w:r w:rsidRPr="00AE2508">
              <w:rPr>
                <w:rFonts w:ascii="Times New Roman" w:hAnsi="Times New Roman" w:cs="Times New Roman"/>
                <w:b/>
                <w:color w:val="5B9BD5" w:themeColor="accent1"/>
                <w:sz w:val="20"/>
              </w:rPr>
              <w:t xml:space="preserve"> Výdavky kapitoly M</w:t>
            </w:r>
            <w:r>
              <w:rPr>
                <w:rFonts w:ascii="Times New Roman" w:hAnsi="Times New Roman" w:cs="Times New Roman"/>
                <w:b/>
                <w:color w:val="5B9BD5" w:themeColor="accent1"/>
                <w:sz w:val="20"/>
              </w:rPr>
              <w:t>inisterstvo obrany</w:t>
            </w:r>
            <w:r w:rsidRPr="00AE2508">
              <w:rPr>
                <w:rFonts w:ascii="Times New Roman" w:hAnsi="Times New Roman" w:cs="Times New Roman"/>
                <w:b/>
                <w:color w:val="5B9BD5" w:themeColor="accent1"/>
                <w:sz w:val="20"/>
              </w:rPr>
              <w:t xml:space="preserve"> SR (mil. eur)</w:t>
            </w:r>
            <w:bookmarkEnd w:id="454"/>
            <w:bookmarkEnd w:id="455"/>
          </w:p>
        </w:tc>
      </w:tr>
      <w:tr w:rsidR="006A36A0" w:rsidRPr="00AE2508" w:rsidTr="006A36A0">
        <w:trPr>
          <w:trHeight w:val="259"/>
        </w:trPr>
        <w:tc>
          <w:tcPr>
            <w:tcW w:w="2421" w:type="pct"/>
            <w:tcBorders>
              <w:top w:val="nil"/>
              <w:bottom w:val="single" w:sz="4" w:space="0" w:color="auto"/>
            </w:tcBorders>
            <w:vAlign w:val="center"/>
            <w:hideMark/>
          </w:tcPr>
          <w:p w:rsidR="006A36A0" w:rsidRPr="00AE2508" w:rsidRDefault="006A36A0" w:rsidP="006A36A0">
            <w:pPr>
              <w:spacing w:after="0" w:line="240" w:lineRule="auto"/>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v mil. eur</w:t>
            </w:r>
          </w:p>
        </w:tc>
        <w:tc>
          <w:tcPr>
            <w:tcW w:w="391" w:type="pct"/>
            <w:tcBorders>
              <w:top w:val="nil"/>
              <w:left w:val="nil"/>
              <w:bottom w:val="single" w:sz="4" w:space="0" w:color="auto"/>
              <w:right w:val="nil"/>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2018S</w:t>
            </w:r>
          </w:p>
        </w:tc>
        <w:tc>
          <w:tcPr>
            <w:tcW w:w="392" w:type="pct"/>
            <w:tcBorders>
              <w:top w:val="nil"/>
              <w:left w:val="nil"/>
              <w:bottom w:val="single" w:sz="4" w:space="0" w:color="auto"/>
              <w:right w:val="nil"/>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2019S</w:t>
            </w:r>
          </w:p>
        </w:tc>
        <w:tc>
          <w:tcPr>
            <w:tcW w:w="313" w:type="pct"/>
            <w:tcBorders>
              <w:top w:val="nil"/>
              <w:left w:val="nil"/>
              <w:bottom w:val="single" w:sz="4" w:space="0" w:color="auto"/>
              <w:right w:val="nil"/>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2020S</w:t>
            </w:r>
          </w:p>
        </w:tc>
        <w:tc>
          <w:tcPr>
            <w:tcW w:w="429" w:type="pct"/>
            <w:tcBorders>
              <w:top w:val="nil"/>
              <w:left w:val="nil"/>
              <w:bottom w:val="single" w:sz="4" w:space="0" w:color="auto"/>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2021OS</w:t>
            </w:r>
          </w:p>
        </w:tc>
        <w:tc>
          <w:tcPr>
            <w:tcW w:w="352" w:type="pct"/>
            <w:tcBorders>
              <w:top w:val="nil"/>
              <w:left w:val="nil"/>
              <w:bottom w:val="single" w:sz="4" w:space="0" w:color="auto"/>
              <w:right w:val="nil"/>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2022N</w:t>
            </w:r>
          </w:p>
        </w:tc>
        <w:tc>
          <w:tcPr>
            <w:tcW w:w="352" w:type="pct"/>
            <w:tcBorders>
              <w:top w:val="nil"/>
              <w:left w:val="nil"/>
              <w:bottom w:val="single" w:sz="4" w:space="0" w:color="auto"/>
              <w:right w:val="nil"/>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2023N</w:t>
            </w:r>
          </w:p>
        </w:tc>
        <w:tc>
          <w:tcPr>
            <w:tcW w:w="351" w:type="pct"/>
            <w:tcBorders>
              <w:top w:val="nil"/>
              <w:left w:val="nil"/>
              <w:bottom w:val="single" w:sz="4" w:space="0" w:color="auto"/>
            </w:tcBorders>
            <w:noWrap/>
            <w:tcMar>
              <w:top w:w="0" w:type="dxa"/>
              <w:left w:w="70" w:type="dxa"/>
              <w:bottom w:w="0" w:type="dxa"/>
              <w:right w:w="70" w:type="dxa"/>
            </w:tcMar>
            <w:vAlign w:val="bottom"/>
            <w:hideMark/>
          </w:tcPr>
          <w:p w:rsidR="006A36A0" w:rsidRPr="00AE2508" w:rsidRDefault="006A36A0" w:rsidP="006A36A0">
            <w:pPr>
              <w:spacing w:after="0" w:line="240" w:lineRule="auto"/>
              <w:jc w:val="center"/>
              <w:rPr>
                <w:rFonts w:ascii="Times New Roman" w:hAnsi="Times New Roman" w:cs="Times New Roman"/>
                <w:b/>
                <w:bCs/>
                <w:color w:val="000000"/>
                <w:sz w:val="16"/>
                <w:szCs w:val="16"/>
                <w:lang w:eastAsia="sk-SK"/>
              </w:rPr>
            </w:pPr>
            <w:r w:rsidRPr="00AE2508">
              <w:rPr>
                <w:rFonts w:ascii="Times New Roman" w:hAnsi="Times New Roman" w:cs="Times New Roman"/>
                <w:b/>
                <w:bCs/>
                <w:color w:val="000000"/>
                <w:sz w:val="16"/>
                <w:szCs w:val="16"/>
              </w:rPr>
              <w:t>2024N</w:t>
            </w:r>
          </w:p>
        </w:tc>
      </w:tr>
      <w:tr w:rsidR="006A36A0" w:rsidRPr="00AE2508" w:rsidTr="006A36A0">
        <w:trPr>
          <w:trHeight w:val="259"/>
        </w:trPr>
        <w:tc>
          <w:tcPr>
            <w:tcW w:w="2421" w:type="pct"/>
            <w:tcBorders>
              <w:top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rPr>
                <w:rFonts w:ascii="Times New Roman" w:hAnsi="Times New Roman" w:cs="Times New Roman"/>
                <w:b/>
                <w:bCs/>
                <w:color w:val="000000"/>
                <w:sz w:val="16"/>
                <w:szCs w:val="16"/>
                <w:lang w:eastAsia="sk-SK"/>
              </w:rPr>
            </w:pPr>
            <w:r w:rsidRPr="00342826">
              <w:rPr>
                <w:rFonts w:ascii="Times New Roman" w:hAnsi="Times New Roman" w:cs="Times New Roman"/>
                <w:b/>
                <w:bCs/>
                <w:color w:val="000000"/>
                <w:sz w:val="16"/>
                <w:szCs w:val="16"/>
              </w:rPr>
              <w:t xml:space="preserve">Ministerstvo obrany SR – celkom </w:t>
            </w:r>
          </w:p>
        </w:tc>
        <w:tc>
          <w:tcPr>
            <w:tcW w:w="391" w:type="pct"/>
            <w:tcBorders>
              <w:top w:val="single" w:sz="4" w:space="0" w:color="auto"/>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1 095</w:t>
            </w:r>
          </w:p>
        </w:tc>
        <w:tc>
          <w:tcPr>
            <w:tcW w:w="392" w:type="pct"/>
            <w:tcBorders>
              <w:top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1 606</w:t>
            </w:r>
          </w:p>
        </w:tc>
        <w:tc>
          <w:tcPr>
            <w:tcW w:w="313" w:type="pct"/>
            <w:tcBorders>
              <w:top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1 792</w:t>
            </w:r>
          </w:p>
        </w:tc>
        <w:tc>
          <w:tcPr>
            <w:tcW w:w="429" w:type="pct"/>
            <w:tcBorders>
              <w:top w:val="single" w:sz="4" w:space="0" w:color="auto"/>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1 678</w:t>
            </w:r>
          </w:p>
        </w:tc>
        <w:tc>
          <w:tcPr>
            <w:tcW w:w="352" w:type="pct"/>
            <w:tcBorders>
              <w:top w:val="single" w:sz="4" w:space="0" w:color="auto"/>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1 838</w:t>
            </w:r>
          </w:p>
        </w:tc>
        <w:tc>
          <w:tcPr>
            <w:tcW w:w="352" w:type="pct"/>
            <w:tcBorders>
              <w:top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2 023</w:t>
            </w:r>
          </w:p>
        </w:tc>
        <w:tc>
          <w:tcPr>
            <w:tcW w:w="351" w:type="pct"/>
            <w:tcBorders>
              <w:top w:val="single" w:sz="4" w:space="0" w:color="auto"/>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highlight w:val="yellow"/>
                <w:lang w:eastAsia="sk-SK"/>
              </w:rPr>
            </w:pPr>
            <w:r w:rsidRPr="00342826">
              <w:rPr>
                <w:rFonts w:ascii="Times New Roman" w:hAnsi="Times New Roman" w:cs="Times New Roman"/>
                <w:b/>
                <w:bCs/>
                <w:color w:val="000000"/>
                <w:sz w:val="16"/>
                <w:szCs w:val="16"/>
              </w:rPr>
              <w:t>2 081</w:t>
            </w:r>
          </w:p>
        </w:tc>
      </w:tr>
      <w:tr w:rsidR="006A36A0" w:rsidRPr="00AE2508" w:rsidTr="006A36A0">
        <w:trPr>
          <w:trHeight w:val="259"/>
        </w:trPr>
        <w:tc>
          <w:tcPr>
            <w:tcW w:w="2421" w:type="pct"/>
            <w:tcBorders>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rPr>
                <w:rFonts w:ascii="Times New Roman" w:hAnsi="Times New Roman" w:cs="Times New Roman"/>
                <w:b/>
                <w:bCs/>
                <w:color w:val="000000"/>
                <w:sz w:val="16"/>
                <w:szCs w:val="16"/>
                <w:lang w:eastAsia="sk-SK"/>
              </w:rPr>
            </w:pPr>
            <w:r w:rsidRPr="00342826">
              <w:rPr>
                <w:rFonts w:ascii="Times New Roman" w:hAnsi="Times New Roman" w:cs="Times New Roman"/>
                <w:color w:val="000000"/>
                <w:sz w:val="16"/>
                <w:szCs w:val="16"/>
              </w:rPr>
              <w:t xml:space="preserve">Bežné výdavky </w:t>
            </w:r>
          </w:p>
        </w:tc>
        <w:tc>
          <w:tcPr>
            <w:tcW w:w="391" w:type="pct"/>
            <w:tcBorders>
              <w:left w:val="nil"/>
              <w:bottom w:val="nil"/>
              <w:righ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858</w:t>
            </w:r>
          </w:p>
        </w:tc>
        <w:tc>
          <w:tcPr>
            <w:tcW w:w="392" w:type="pct"/>
            <w:tcBorders>
              <w:left w:val="nil"/>
              <w:bottom w:val="nil"/>
              <w:righ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996</w:t>
            </w:r>
          </w:p>
        </w:tc>
        <w:tc>
          <w:tcPr>
            <w:tcW w:w="313" w:type="pct"/>
            <w:tcBorders>
              <w:left w:val="nil"/>
              <w:bottom w:val="nil"/>
              <w:righ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1 278</w:t>
            </w:r>
          </w:p>
        </w:tc>
        <w:tc>
          <w:tcPr>
            <w:tcW w:w="429" w:type="pct"/>
            <w:tcBorders>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1 209</w:t>
            </w:r>
          </w:p>
        </w:tc>
        <w:tc>
          <w:tcPr>
            <w:tcW w:w="352" w:type="pct"/>
            <w:tcBorders>
              <w:left w:val="nil"/>
              <w:bottom w:val="nil"/>
              <w:righ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1 311</w:t>
            </w:r>
          </w:p>
        </w:tc>
        <w:tc>
          <w:tcPr>
            <w:tcW w:w="352" w:type="pct"/>
            <w:tcBorders>
              <w:left w:val="nil"/>
              <w:bottom w:val="nil"/>
              <w:righ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1 462</w:t>
            </w:r>
          </w:p>
        </w:tc>
        <w:tc>
          <w:tcPr>
            <w:tcW w:w="351" w:type="pct"/>
            <w:tcBorders>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1 628</w:t>
            </w:r>
          </w:p>
        </w:tc>
      </w:tr>
      <w:tr w:rsidR="006A36A0" w:rsidRPr="00AE2508" w:rsidTr="006A36A0">
        <w:trPr>
          <w:trHeight w:val="259"/>
        </w:trPr>
        <w:tc>
          <w:tcPr>
            <w:tcW w:w="2421" w:type="pct"/>
            <w:tcBorders>
              <w:top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ind w:firstLine="220"/>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 xml:space="preserve">     z toho osobné výdavky zamestnancov (610+620)</w:t>
            </w:r>
          </w:p>
        </w:tc>
        <w:tc>
          <w:tcPr>
            <w:tcW w:w="391" w:type="pct"/>
            <w:tcBorders>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422</w:t>
            </w:r>
          </w:p>
        </w:tc>
        <w:tc>
          <w:tcPr>
            <w:tcW w:w="392"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490</w:t>
            </w:r>
          </w:p>
        </w:tc>
        <w:tc>
          <w:tcPr>
            <w:tcW w:w="313"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601</w:t>
            </w:r>
          </w:p>
        </w:tc>
        <w:tc>
          <w:tcPr>
            <w:tcW w:w="429" w:type="pct"/>
            <w:tcBorders>
              <w:top w:val="nil"/>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591</w:t>
            </w:r>
          </w:p>
        </w:tc>
        <w:tc>
          <w:tcPr>
            <w:tcW w:w="352" w:type="pct"/>
            <w:tcBorders>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597</w:t>
            </w:r>
          </w:p>
        </w:tc>
        <w:tc>
          <w:tcPr>
            <w:tcW w:w="352"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601</w:t>
            </w:r>
          </w:p>
        </w:tc>
        <w:tc>
          <w:tcPr>
            <w:tcW w:w="351" w:type="pct"/>
            <w:tcBorders>
              <w:top w:val="nil"/>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601</w:t>
            </w:r>
          </w:p>
        </w:tc>
      </w:tr>
      <w:tr w:rsidR="006A36A0" w:rsidRPr="00AE2508" w:rsidTr="006A36A0">
        <w:trPr>
          <w:trHeight w:val="259"/>
        </w:trPr>
        <w:tc>
          <w:tcPr>
            <w:tcW w:w="2421" w:type="pct"/>
            <w:tcBorders>
              <w:top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ind w:firstLine="220"/>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 xml:space="preserve">     z toho tovary a služby (630)</w:t>
            </w:r>
          </w:p>
        </w:tc>
        <w:tc>
          <w:tcPr>
            <w:tcW w:w="391" w:type="pct"/>
            <w:tcBorders>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274</w:t>
            </w:r>
          </w:p>
        </w:tc>
        <w:tc>
          <w:tcPr>
            <w:tcW w:w="392"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346</w:t>
            </w:r>
          </w:p>
        </w:tc>
        <w:tc>
          <w:tcPr>
            <w:tcW w:w="313"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482</w:t>
            </w:r>
          </w:p>
        </w:tc>
        <w:tc>
          <w:tcPr>
            <w:tcW w:w="429" w:type="pct"/>
            <w:tcBorders>
              <w:top w:val="nil"/>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452</w:t>
            </w:r>
          </w:p>
        </w:tc>
        <w:tc>
          <w:tcPr>
            <w:tcW w:w="352" w:type="pct"/>
            <w:tcBorders>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563</w:t>
            </w:r>
          </w:p>
        </w:tc>
        <w:tc>
          <w:tcPr>
            <w:tcW w:w="352"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683</w:t>
            </w:r>
          </w:p>
        </w:tc>
        <w:tc>
          <w:tcPr>
            <w:tcW w:w="351" w:type="pct"/>
            <w:tcBorders>
              <w:top w:val="nil"/>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830</w:t>
            </w:r>
          </w:p>
        </w:tc>
      </w:tr>
      <w:tr w:rsidR="006A36A0" w:rsidRPr="00AE2508" w:rsidTr="006A36A0">
        <w:trPr>
          <w:trHeight w:val="259"/>
        </w:trPr>
        <w:tc>
          <w:tcPr>
            <w:tcW w:w="2421" w:type="pct"/>
            <w:tcBorders>
              <w:top w:val="nil"/>
              <w:bottom w:val="nil"/>
            </w:tcBorders>
            <w:noWrap/>
            <w:tcMar>
              <w:top w:w="0" w:type="dxa"/>
              <w:left w:w="70" w:type="dxa"/>
              <w:bottom w:w="0" w:type="dxa"/>
              <w:right w:w="70" w:type="dxa"/>
            </w:tcMar>
            <w:vAlign w:val="center"/>
          </w:tcPr>
          <w:p w:rsidR="006A36A0" w:rsidRPr="0002499E" w:rsidRDefault="006A36A0" w:rsidP="006A36A0">
            <w:pPr>
              <w:spacing w:after="0" w:line="240" w:lineRule="auto"/>
              <w:ind w:firstLine="220"/>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 xml:space="preserve">     z toho bežné transfery (640)</w:t>
            </w:r>
          </w:p>
        </w:tc>
        <w:tc>
          <w:tcPr>
            <w:tcW w:w="391" w:type="pct"/>
            <w:tcBorders>
              <w:left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162</w:t>
            </w:r>
          </w:p>
        </w:tc>
        <w:tc>
          <w:tcPr>
            <w:tcW w:w="392" w:type="pct"/>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160</w:t>
            </w:r>
          </w:p>
        </w:tc>
        <w:tc>
          <w:tcPr>
            <w:tcW w:w="313" w:type="pct"/>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195</w:t>
            </w:r>
          </w:p>
        </w:tc>
        <w:tc>
          <w:tcPr>
            <w:tcW w:w="429" w:type="pct"/>
            <w:tcBorders>
              <w:top w:val="nil"/>
              <w:left w:val="nil"/>
              <w:bottom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166</w:t>
            </w:r>
          </w:p>
        </w:tc>
        <w:tc>
          <w:tcPr>
            <w:tcW w:w="352" w:type="pct"/>
            <w:tcBorders>
              <w:left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152</w:t>
            </w:r>
          </w:p>
        </w:tc>
        <w:tc>
          <w:tcPr>
            <w:tcW w:w="352" w:type="pct"/>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179</w:t>
            </w:r>
          </w:p>
        </w:tc>
        <w:tc>
          <w:tcPr>
            <w:tcW w:w="351" w:type="pct"/>
            <w:tcBorders>
              <w:top w:val="nil"/>
              <w:left w:val="nil"/>
              <w:bottom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iCs/>
                <w:color w:val="000000"/>
                <w:sz w:val="16"/>
                <w:szCs w:val="16"/>
              </w:rPr>
            </w:pPr>
            <w:r w:rsidRPr="00342826">
              <w:rPr>
                <w:rFonts w:ascii="Times New Roman" w:hAnsi="Times New Roman" w:cs="Times New Roman"/>
                <w:i/>
                <w:iCs/>
                <w:color w:val="000000"/>
                <w:sz w:val="16"/>
                <w:szCs w:val="16"/>
              </w:rPr>
              <w:t>197</w:t>
            </w:r>
          </w:p>
        </w:tc>
      </w:tr>
      <w:tr w:rsidR="006A36A0" w:rsidRPr="00AE2508" w:rsidTr="006A36A0">
        <w:trPr>
          <w:trHeight w:val="259"/>
        </w:trPr>
        <w:tc>
          <w:tcPr>
            <w:tcW w:w="2421" w:type="pct"/>
            <w:tcBorders>
              <w:top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rPr>
                <w:rFonts w:ascii="Times New Roman" w:hAnsi="Times New Roman" w:cs="Times New Roman"/>
                <w:b/>
                <w:bCs/>
                <w:color w:val="000000"/>
                <w:sz w:val="16"/>
                <w:szCs w:val="16"/>
                <w:lang w:eastAsia="sk-SK"/>
              </w:rPr>
            </w:pPr>
            <w:r w:rsidRPr="00342826">
              <w:rPr>
                <w:rFonts w:ascii="Times New Roman" w:hAnsi="Times New Roman" w:cs="Times New Roman"/>
                <w:color w:val="000000"/>
                <w:sz w:val="16"/>
                <w:szCs w:val="16"/>
              </w:rPr>
              <w:t>Kapitálové výdavky</w:t>
            </w:r>
          </w:p>
        </w:tc>
        <w:tc>
          <w:tcPr>
            <w:tcW w:w="391" w:type="pct"/>
            <w:tcBorders>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237</w:t>
            </w:r>
          </w:p>
        </w:tc>
        <w:tc>
          <w:tcPr>
            <w:tcW w:w="392"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610</w:t>
            </w:r>
          </w:p>
        </w:tc>
        <w:tc>
          <w:tcPr>
            <w:tcW w:w="313" w:type="pct"/>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513</w:t>
            </w:r>
          </w:p>
        </w:tc>
        <w:tc>
          <w:tcPr>
            <w:tcW w:w="429" w:type="pct"/>
            <w:tcBorders>
              <w:top w:val="nil"/>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469</w:t>
            </w:r>
          </w:p>
        </w:tc>
        <w:tc>
          <w:tcPr>
            <w:tcW w:w="352" w:type="pct"/>
            <w:tcBorders>
              <w:left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color w:val="000000"/>
                <w:sz w:val="16"/>
                <w:szCs w:val="16"/>
              </w:rPr>
            </w:pPr>
            <w:r w:rsidRPr="00342826">
              <w:rPr>
                <w:rFonts w:ascii="Times New Roman" w:hAnsi="Times New Roman" w:cs="Times New Roman"/>
                <w:color w:val="000000"/>
                <w:sz w:val="16"/>
                <w:szCs w:val="16"/>
              </w:rPr>
              <w:t>526</w:t>
            </w:r>
          </w:p>
        </w:tc>
        <w:tc>
          <w:tcPr>
            <w:tcW w:w="352" w:type="pct"/>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color w:val="000000"/>
                <w:sz w:val="16"/>
                <w:szCs w:val="16"/>
              </w:rPr>
            </w:pPr>
            <w:r w:rsidRPr="00342826">
              <w:rPr>
                <w:rFonts w:ascii="Times New Roman" w:hAnsi="Times New Roman" w:cs="Times New Roman"/>
                <w:color w:val="000000"/>
                <w:sz w:val="16"/>
                <w:szCs w:val="16"/>
              </w:rPr>
              <w:t>561</w:t>
            </w:r>
          </w:p>
        </w:tc>
        <w:tc>
          <w:tcPr>
            <w:tcW w:w="351" w:type="pct"/>
            <w:tcBorders>
              <w:top w:val="nil"/>
              <w:left w:val="nil"/>
              <w:bottom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color w:val="000000"/>
                <w:sz w:val="16"/>
                <w:szCs w:val="16"/>
              </w:rPr>
            </w:pPr>
            <w:r w:rsidRPr="00342826">
              <w:rPr>
                <w:rFonts w:ascii="Times New Roman" w:hAnsi="Times New Roman" w:cs="Times New Roman"/>
                <w:color w:val="000000"/>
                <w:sz w:val="16"/>
                <w:szCs w:val="16"/>
              </w:rPr>
              <w:t>453</w:t>
            </w:r>
          </w:p>
        </w:tc>
      </w:tr>
      <w:tr w:rsidR="006A36A0" w:rsidRPr="00AE2508" w:rsidTr="006A36A0">
        <w:trPr>
          <w:trHeight w:val="259"/>
        </w:trPr>
        <w:tc>
          <w:tcPr>
            <w:tcW w:w="2421" w:type="pct"/>
            <w:tcBorders>
              <w:top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ind w:firstLine="220"/>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 xml:space="preserve">     z toho rozpísané v kapitole</w:t>
            </w:r>
          </w:p>
        </w:tc>
        <w:tc>
          <w:tcPr>
            <w:tcW w:w="391" w:type="pct"/>
            <w:tcBorders>
              <w:left w:val="nil"/>
            </w:tcBorders>
            <w:noWrap/>
            <w:tcMar>
              <w:top w:w="0" w:type="dxa"/>
              <w:left w:w="70" w:type="dxa"/>
              <w:bottom w:w="0" w:type="dxa"/>
              <w:right w:w="70" w:type="dxa"/>
            </w:tcMar>
            <w:vAlign w:val="center"/>
            <w:hideMark/>
          </w:tcPr>
          <w:p w:rsidR="006A36A0" w:rsidRPr="0002499E" w:rsidRDefault="006A36A0" w:rsidP="006A36A0">
            <w:pPr>
              <w:spacing w:after="0" w:line="240" w:lineRule="auto"/>
              <w:rPr>
                <w:rFonts w:ascii="Times New Roman" w:hAnsi="Times New Roman" w:cs="Times New Roman"/>
                <w:color w:val="000000"/>
                <w:sz w:val="16"/>
                <w:szCs w:val="16"/>
                <w:lang w:eastAsia="sk-SK"/>
              </w:rPr>
            </w:pPr>
          </w:p>
        </w:tc>
        <w:tc>
          <w:tcPr>
            <w:tcW w:w="392" w:type="pct"/>
            <w:noWrap/>
            <w:tcMar>
              <w:top w:w="0" w:type="dxa"/>
              <w:left w:w="70" w:type="dxa"/>
              <w:bottom w:w="0" w:type="dxa"/>
              <w:right w:w="70" w:type="dxa"/>
            </w:tcMar>
            <w:vAlign w:val="bottom"/>
            <w:hideMark/>
          </w:tcPr>
          <w:p w:rsidR="006A36A0" w:rsidRPr="00964C89" w:rsidRDefault="006A36A0" w:rsidP="006A36A0">
            <w:pPr>
              <w:spacing w:after="0" w:line="240" w:lineRule="auto"/>
              <w:rPr>
                <w:rFonts w:ascii="Times New Roman" w:hAnsi="Times New Roman" w:cs="Times New Roman"/>
                <w:color w:val="000000"/>
                <w:sz w:val="16"/>
                <w:szCs w:val="16"/>
                <w:lang w:eastAsia="sk-SK"/>
              </w:rPr>
            </w:pPr>
          </w:p>
        </w:tc>
        <w:tc>
          <w:tcPr>
            <w:tcW w:w="313" w:type="pct"/>
            <w:noWrap/>
            <w:tcMar>
              <w:top w:w="0" w:type="dxa"/>
              <w:left w:w="70" w:type="dxa"/>
              <w:bottom w:w="0" w:type="dxa"/>
              <w:right w:w="70" w:type="dxa"/>
            </w:tcMar>
            <w:vAlign w:val="bottom"/>
            <w:hideMark/>
          </w:tcPr>
          <w:p w:rsidR="006A36A0" w:rsidRPr="00964C89" w:rsidRDefault="006A36A0" w:rsidP="006A36A0">
            <w:pPr>
              <w:spacing w:after="0" w:line="240" w:lineRule="auto"/>
              <w:rPr>
                <w:rFonts w:ascii="Times New Roman" w:eastAsia="Times New Roman" w:hAnsi="Times New Roman" w:cs="Times New Roman"/>
                <w:sz w:val="16"/>
                <w:szCs w:val="16"/>
                <w:lang w:eastAsia="sk-SK"/>
              </w:rPr>
            </w:pPr>
          </w:p>
        </w:tc>
        <w:tc>
          <w:tcPr>
            <w:tcW w:w="429" w:type="pct"/>
            <w:tcBorders>
              <w:top w:val="nil"/>
              <w:left w:val="nil"/>
              <w:bottom w:val="nil"/>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color w:val="000000"/>
                <w:sz w:val="16"/>
                <w:szCs w:val="16"/>
                <w:lang w:eastAsia="sk-SK"/>
              </w:rPr>
            </w:pPr>
            <w:r w:rsidRPr="00342826">
              <w:rPr>
                <w:rFonts w:ascii="Times New Roman" w:hAnsi="Times New Roman" w:cs="Times New Roman"/>
                <w:i/>
                <w:iCs/>
                <w:color w:val="000000"/>
                <w:sz w:val="16"/>
                <w:szCs w:val="16"/>
              </w:rPr>
              <w:t>345</w:t>
            </w:r>
          </w:p>
        </w:tc>
        <w:tc>
          <w:tcPr>
            <w:tcW w:w="352" w:type="pct"/>
            <w:tcBorders>
              <w:left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sz w:val="16"/>
                <w:szCs w:val="16"/>
              </w:rPr>
            </w:pPr>
            <w:r w:rsidRPr="00342826">
              <w:rPr>
                <w:rFonts w:ascii="Times New Roman" w:hAnsi="Times New Roman" w:cs="Times New Roman"/>
                <w:i/>
                <w:iCs/>
                <w:color w:val="000000"/>
                <w:sz w:val="16"/>
                <w:szCs w:val="16"/>
              </w:rPr>
              <w:t>22</w:t>
            </w:r>
          </w:p>
        </w:tc>
        <w:tc>
          <w:tcPr>
            <w:tcW w:w="352" w:type="pct"/>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sz w:val="16"/>
                <w:szCs w:val="16"/>
              </w:rPr>
            </w:pPr>
            <w:r w:rsidRPr="00342826">
              <w:rPr>
                <w:rFonts w:ascii="Times New Roman" w:hAnsi="Times New Roman" w:cs="Times New Roman"/>
                <w:i/>
                <w:iCs/>
                <w:color w:val="000000"/>
                <w:sz w:val="16"/>
                <w:szCs w:val="16"/>
              </w:rPr>
              <w:t>20</w:t>
            </w:r>
          </w:p>
        </w:tc>
        <w:tc>
          <w:tcPr>
            <w:tcW w:w="351" w:type="pct"/>
            <w:tcBorders>
              <w:top w:val="nil"/>
              <w:left w:val="nil"/>
              <w:bottom w:val="nil"/>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sz w:val="16"/>
                <w:szCs w:val="16"/>
              </w:rPr>
            </w:pPr>
            <w:r w:rsidRPr="00342826">
              <w:rPr>
                <w:rFonts w:ascii="Times New Roman" w:hAnsi="Times New Roman" w:cs="Times New Roman"/>
                <w:i/>
                <w:iCs/>
                <w:color w:val="000000"/>
                <w:sz w:val="16"/>
                <w:szCs w:val="16"/>
              </w:rPr>
              <w:t>20</w:t>
            </w:r>
          </w:p>
        </w:tc>
      </w:tr>
      <w:tr w:rsidR="006A36A0" w:rsidRPr="00AE2508" w:rsidTr="006A36A0">
        <w:trPr>
          <w:trHeight w:val="259"/>
        </w:trPr>
        <w:tc>
          <w:tcPr>
            <w:tcW w:w="2421" w:type="pct"/>
            <w:tcBorders>
              <w:top w:val="nil"/>
              <w:bottom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ind w:firstLine="220"/>
              <w:rPr>
                <w:rFonts w:ascii="Times New Roman" w:hAnsi="Times New Roman" w:cs="Times New Roman"/>
                <w:i/>
                <w:iCs/>
                <w:color w:val="000000"/>
                <w:sz w:val="16"/>
                <w:szCs w:val="16"/>
                <w:lang w:eastAsia="sk-SK"/>
              </w:rPr>
            </w:pPr>
            <w:r w:rsidRPr="00342826">
              <w:rPr>
                <w:rFonts w:ascii="Times New Roman" w:hAnsi="Times New Roman" w:cs="Times New Roman"/>
                <w:i/>
                <w:iCs/>
                <w:color w:val="000000"/>
                <w:sz w:val="16"/>
                <w:szCs w:val="16"/>
              </w:rPr>
              <w:t xml:space="preserve">     z toho vo Všeobecnej pokladničnej správe</w:t>
            </w:r>
          </w:p>
        </w:tc>
        <w:tc>
          <w:tcPr>
            <w:tcW w:w="391" w:type="pct"/>
            <w:tcBorders>
              <w:left w:val="nil"/>
              <w:bottom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 </w:t>
            </w:r>
          </w:p>
        </w:tc>
        <w:tc>
          <w:tcPr>
            <w:tcW w:w="392" w:type="pct"/>
            <w:tcBorders>
              <w:bottom w:val="single" w:sz="4" w:space="0" w:color="auto"/>
            </w:tcBorders>
            <w:noWrap/>
            <w:tcMar>
              <w:top w:w="0" w:type="dxa"/>
              <w:left w:w="70" w:type="dxa"/>
              <w:bottom w:w="0" w:type="dxa"/>
              <w:right w:w="70" w:type="dxa"/>
            </w:tcMar>
            <w:vAlign w:val="bottom"/>
            <w:hideMark/>
          </w:tcPr>
          <w:p w:rsidR="006A36A0" w:rsidRPr="0002499E" w:rsidRDefault="006A36A0" w:rsidP="006A36A0">
            <w:pPr>
              <w:spacing w:after="0" w:line="240" w:lineRule="auto"/>
              <w:rPr>
                <w:rFonts w:ascii="Times New Roman" w:hAnsi="Times New Roman" w:cs="Times New Roman"/>
                <w:color w:val="000000"/>
                <w:sz w:val="16"/>
                <w:szCs w:val="16"/>
                <w:lang w:eastAsia="sk-SK"/>
              </w:rPr>
            </w:pPr>
            <w:r w:rsidRPr="00342826">
              <w:rPr>
                <w:rFonts w:ascii="Times New Roman" w:hAnsi="Times New Roman" w:cs="Times New Roman"/>
                <w:color w:val="000000"/>
                <w:sz w:val="16"/>
                <w:szCs w:val="16"/>
              </w:rPr>
              <w:t> </w:t>
            </w:r>
          </w:p>
        </w:tc>
        <w:tc>
          <w:tcPr>
            <w:tcW w:w="313" w:type="pct"/>
            <w:tcBorders>
              <w:bottom w:val="single" w:sz="4" w:space="0" w:color="auto"/>
            </w:tcBorders>
            <w:noWrap/>
            <w:tcMar>
              <w:top w:w="0" w:type="dxa"/>
              <w:left w:w="70" w:type="dxa"/>
              <w:bottom w:w="0" w:type="dxa"/>
              <w:right w:w="70" w:type="dxa"/>
            </w:tcMar>
            <w:vAlign w:val="bottom"/>
            <w:hideMark/>
          </w:tcPr>
          <w:p w:rsidR="006A36A0" w:rsidRPr="0002499E" w:rsidRDefault="006A36A0" w:rsidP="006A36A0">
            <w:pPr>
              <w:spacing w:after="0" w:line="240" w:lineRule="auto"/>
              <w:rPr>
                <w:rFonts w:ascii="Times New Roman" w:eastAsia="Times New Roman" w:hAnsi="Times New Roman" w:cs="Times New Roman"/>
                <w:sz w:val="16"/>
                <w:szCs w:val="16"/>
                <w:lang w:eastAsia="sk-SK"/>
              </w:rPr>
            </w:pPr>
            <w:r w:rsidRPr="00342826">
              <w:rPr>
                <w:rFonts w:ascii="Times New Roman" w:hAnsi="Times New Roman" w:cs="Times New Roman"/>
                <w:color w:val="000000"/>
                <w:sz w:val="16"/>
                <w:szCs w:val="16"/>
              </w:rPr>
              <w:t> </w:t>
            </w:r>
          </w:p>
        </w:tc>
        <w:tc>
          <w:tcPr>
            <w:tcW w:w="429" w:type="pct"/>
            <w:tcBorders>
              <w:top w:val="nil"/>
              <w:left w:val="nil"/>
              <w:bottom w:val="single" w:sz="4" w:space="0" w:color="auto"/>
            </w:tcBorders>
            <w:noWrap/>
            <w:tcMar>
              <w:top w:w="0" w:type="dxa"/>
              <w:left w:w="70" w:type="dxa"/>
              <w:bottom w:w="0" w:type="dxa"/>
              <w:right w:w="70" w:type="dxa"/>
            </w:tcMar>
            <w:vAlign w:val="center"/>
            <w:hideMark/>
          </w:tcPr>
          <w:p w:rsidR="006A36A0" w:rsidRPr="0002499E" w:rsidRDefault="006A36A0" w:rsidP="006A36A0">
            <w:pPr>
              <w:spacing w:after="0" w:line="240" w:lineRule="auto"/>
              <w:jc w:val="center"/>
              <w:rPr>
                <w:rFonts w:ascii="Times New Roman" w:hAnsi="Times New Roman" w:cs="Times New Roman"/>
                <w:i/>
                <w:color w:val="000000"/>
                <w:sz w:val="16"/>
                <w:szCs w:val="16"/>
                <w:lang w:eastAsia="sk-SK"/>
              </w:rPr>
            </w:pPr>
            <w:r w:rsidRPr="00342826">
              <w:rPr>
                <w:rFonts w:ascii="Times New Roman" w:hAnsi="Times New Roman" w:cs="Times New Roman"/>
                <w:i/>
                <w:iCs/>
                <w:color w:val="000000"/>
                <w:sz w:val="16"/>
                <w:szCs w:val="16"/>
              </w:rPr>
              <w:t>124</w:t>
            </w:r>
          </w:p>
        </w:tc>
        <w:tc>
          <w:tcPr>
            <w:tcW w:w="352" w:type="pct"/>
            <w:tcBorders>
              <w:left w:val="nil"/>
              <w:bottom w:val="single" w:sz="4" w:space="0" w:color="auto"/>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sz w:val="16"/>
                <w:szCs w:val="16"/>
              </w:rPr>
            </w:pPr>
            <w:r w:rsidRPr="00342826">
              <w:rPr>
                <w:rFonts w:ascii="Times New Roman" w:hAnsi="Times New Roman" w:cs="Times New Roman"/>
                <w:i/>
                <w:iCs/>
                <w:color w:val="000000"/>
                <w:sz w:val="16"/>
                <w:szCs w:val="16"/>
              </w:rPr>
              <w:t>504</w:t>
            </w:r>
          </w:p>
        </w:tc>
        <w:tc>
          <w:tcPr>
            <w:tcW w:w="352" w:type="pct"/>
            <w:tcBorders>
              <w:bottom w:val="single" w:sz="4" w:space="0" w:color="auto"/>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sz w:val="16"/>
                <w:szCs w:val="16"/>
              </w:rPr>
            </w:pPr>
            <w:r w:rsidRPr="00342826">
              <w:rPr>
                <w:rFonts w:ascii="Times New Roman" w:hAnsi="Times New Roman" w:cs="Times New Roman"/>
                <w:i/>
                <w:iCs/>
                <w:color w:val="000000"/>
                <w:sz w:val="16"/>
                <w:szCs w:val="16"/>
              </w:rPr>
              <w:t>541</w:t>
            </w:r>
          </w:p>
        </w:tc>
        <w:tc>
          <w:tcPr>
            <w:tcW w:w="351" w:type="pct"/>
            <w:tcBorders>
              <w:top w:val="nil"/>
              <w:left w:val="nil"/>
              <w:bottom w:val="single" w:sz="4" w:space="0" w:color="auto"/>
            </w:tcBorders>
            <w:noWrap/>
            <w:tcMar>
              <w:top w:w="0" w:type="dxa"/>
              <w:left w:w="70" w:type="dxa"/>
              <w:bottom w:w="0" w:type="dxa"/>
              <w:right w:w="70" w:type="dxa"/>
            </w:tcMar>
            <w:vAlign w:val="center"/>
          </w:tcPr>
          <w:p w:rsidR="006A36A0" w:rsidRPr="0002499E" w:rsidRDefault="006A36A0" w:rsidP="006A36A0">
            <w:pPr>
              <w:spacing w:after="0" w:line="240" w:lineRule="auto"/>
              <w:jc w:val="center"/>
              <w:rPr>
                <w:rFonts w:ascii="Times New Roman" w:hAnsi="Times New Roman" w:cs="Times New Roman"/>
                <w:i/>
                <w:sz w:val="16"/>
                <w:szCs w:val="16"/>
              </w:rPr>
            </w:pPr>
            <w:r w:rsidRPr="00342826">
              <w:rPr>
                <w:rFonts w:ascii="Times New Roman" w:hAnsi="Times New Roman" w:cs="Times New Roman"/>
                <w:i/>
                <w:iCs/>
                <w:color w:val="000000"/>
                <w:sz w:val="16"/>
                <w:szCs w:val="16"/>
              </w:rPr>
              <w:t>433</w:t>
            </w:r>
          </w:p>
        </w:tc>
      </w:tr>
      <w:tr w:rsidR="006A36A0" w:rsidRPr="001D3980" w:rsidTr="006A36A0">
        <w:trPr>
          <w:trHeight w:val="259"/>
        </w:trPr>
        <w:tc>
          <w:tcPr>
            <w:tcW w:w="5000" w:type="pct"/>
            <w:gridSpan w:val="8"/>
            <w:tcBorders>
              <w:top w:val="single" w:sz="4" w:space="0" w:color="auto"/>
            </w:tcBorders>
            <w:noWrap/>
            <w:tcMar>
              <w:top w:w="0" w:type="dxa"/>
              <w:left w:w="70" w:type="dxa"/>
              <w:bottom w:w="0" w:type="dxa"/>
              <w:right w:w="70" w:type="dxa"/>
            </w:tcMar>
            <w:hideMark/>
          </w:tcPr>
          <w:p w:rsidR="006A36A0" w:rsidRPr="001D3980" w:rsidRDefault="006A36A0" w:rsidP="006A36A0">
            <w:pPr>
              <w:spacing w:after="0" w:line="240" w:lineRule="auto"/>
              <w:jc w:val="right"/>
              <w:rPr>
                <w:rFonts w:ascii="Times New Roman" w:hAnsi="Times New Roman" w:cs="Times New Roman"/>
                <w:i/>
                <w:sz w:val="16"/>
                <w:szCs w:val="16"/>
                <w:lang w:eastAsia="sk-SK"/>
              </w:rPr>
            </w:pPr>
            <w:r w:rsidRPr="001D3980">
              <w:rPr>
                <w:rFonts w:ascii="Times New Roman" w:hAnsi="Times New Roman" w:cs="Times New Roman"/>
                <w:i/>
                <w:sz w:val="16"/>
                <w:szCs w:val="16"/>
                <w:lang w:eastAsia="sk-SK"/>
              </w:rPr>
              <w:t>Zdroj: MF SR</w:t>
            </w:r>
          </w:p>
        </w:tc>
      </w:tr>
    </w:tbl>
    <w:p w:rsidR="006A36A0" w:rsidRDefault="006A36A0" w:rsidP="006A36A0">
      <w:pPr>
        <w:spacing w:after="0"/>
        <w:jc w:val="both"/>
        <w:rPr>
          <w:rFonts w:ascii="Times New Roman" w:hAnsi="Times New Roman" w:cs="Times New Roman"/>
          <w:sz w:val="24"/>
          <w:szCs w:val="24"/>
        </w:rPr>
      </w:pPr>
    </w:p>
    <w:p w:rsidR="006A36A0" w:rsidRDefault="006A36A0" w:rsidP="006A3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Výdavky MO SR sú v roku 2022 ovplyvnené nasledovnými zapracovanými opatreniami</w:t>
      </w:r>
      <w:r w:rsidRPr="0053764C">
        <w:rPr>
          <w:rFonts w:ascii="Times New Roman" w:hAnsi="Times New Roman" w:cs="Times New Roman"/>
          <w:sz w:val="24"/>
          <w:szCs w:val="24"/>
        </w:rPr>
        <w:t>:</w:t>
      </w:r>
    </w:p>
    <w:p w:rsidR="006A36A0" w:rsidRDefault="006A36A0" w:rsidP="006A36A0">
      <w:pPr>
        <w:pStyle w:val="Odsekzoznamu"/>
        <w:numPr>
          <w:ilvl w:val="0"/>
          <w:numId w:val="24"/>
        </w:numPr>
        <w:spacing w:after="160"/>
        <w:jc w:val="both"/>
        <w:rPr>
          <w:rFonts w:ascii="Times New Roman" w:hAnsi="Times New Roman" w:cs="Times New Roman"/>
        </w:rPr>
      </w:pPr>
      <w:r>
        <w:rPr>
          <w:rFonts w:ascii="Times New Roman" w:hAnsi="Times New Roman" w:cs="Times New Roman"/>
        </w:rPr>
        <w:t>P</w:t>
      </w:r>
      <w:r w:rsidRPr="00EE7871">
        <w:rPr>
          <w:rFonts w:ascii="Times New Roman" w:hAnsi="Times New Roman" w:cs="Times New Roman"/>
        </w:rPr>
        <w:t>okračuje stabilizácia platov profesionálnych vojakov</w:t>
      </w:r>
      <w:r>
        <w:rPr>
          <w:rFonts w:ascii="Times New Roman" w:hAnsi="Times New Roman" w:cs="Times New Roman"/>
        </w:rPr>
        <w:t xml:space="preserve"> v zmysle revízie výdavkov na obranu</w:t>
      </w:r>
      <w:r w:rsidRPr="00EE7871">
        <w:rPr>
          <w:rFonts w:ascii="Times New Roman" w:hAnsi="Times New Roman" w:cs="Times New Roman"/>
        </w:rPr>
        <w:t xml:space="preserve">, </w:t>
      </w:r>
      <w:r>
        <w:rPr>
          <w:rFonts w:ascii="Times New Roman" w:hAnsi="Times New Roman" w:cs="Times New Roman"/>
        </w:rPr>
        <w:t xml:space="preserve">očakávaný fiškálny priestor </w:t>
      </w:r>
      <w:r w:rsidRPr="00EE7871">
        <w:rPr>
          <w:rFonts w:ascii="Times New Roman" w:hAnsi="Times New Roman" w:cs="Times New Roman"/>
        </w:rPr>
        <w:t xml:space="preserve">na rok 2022 </w:t>
      </w:r>
      <w:r w:rsidRPr="00842EF9">
        <w:rPr>
          <w:rFonts w:ascii="Times New Roman" w:hAnsi="Times New Roman" w:cs="Times New Roman"/>
        </w:rPr>
        <w:t xml:space="preserve">oproti roku 2021 </w:t>
      </w:r>
      <w:r>
        <w:rPr>
          <w:rFonts w:ascii="Times New Roman" w:hAnsi="Times New Roman" w:cs="Times New Roman"/>
        </w:rPr>
        <w:t xml:space="preserve">vo výške </w:t>
      </w:r>
      <w:r w:rsidRPr="00EE7871">
        <w:rPr>
          <w:rFonts w:ascii="Times New Roman" w:hAnsi="Times New Roman" w:cs="Times New Roman"/>
        </w:rPr>
        <w:t>19,5 mil. eur</w:t>
      </w:r>
      <w:r>
        <w:rPr>
          <w:rFonts w:ascii="Times New Roman" w:hAnsi="Times New Roman" w:cs="Times New Roman"/>
        </w:rPr>
        <w:t xml:space="preserve"> (35,5 mil. eur štrukturálne oproti 2020) v porovnaní so scenárom, v ktorom by platy rástli bežným tempom.</w:t>
      </w:r>
    </w:p>
    <w:p w:rsidR="006A36A0" w:rsidRDefault="006A36A0" w:rsidP="006A36A0">
      <w:pPr>
        <w:pStyle w:val="Odsekzoznamu"/>
        <w:numPr>
          <w:ilvl w:val="0"/>
          <w:numId w:val="24"/>
        </w:numPr>
        <w:spacing w:after="160"/>
        <w:jc w:val="both"/>
        <w:rPr>
          <w:rFonts w:ascii="Times New Roman" w:hAnsi="Times New Roman" w:cs="Times New Roman"/>
        </w:rPr>
      </w:pPr>
      <w:r>
        <w:rPr>
          <w:rFonts w:ascii="Times New Roman" w:hAnsi="Times New Roman" w:cs="Times New Roman"/>
        </w:rPr>
        <w:t xml:space="preserve">Nárastom kapitálových výdavkov oproti roku 2021 o 57,0 mil. eur na </w:t>
      </w:r>
      <w:r>
        <w:rPr>
          <w:rFonts w:ascii="Times New Roman" w:hAnsi="Times New Roman" w:cs="Times New Roman"/>
        </w:rPr>
        <w:br/>
        <w:t>sumu 526 mil. eur.</w:t>
      </w:r>
    </w:p>
    <w:p w:rsidR="006A36A0" w:rsidRDefault="006A36A0" w:rsidP="006A36A0">
      <w:pPr>
        <w:pStyle w:val="Odsekzoznamu"/>
        <w:numPr>
          <w:ilvl w:val="0"/>
          <w:numId w:val="24"/>
        </w:numPr>
        <w:jc w:val="both"/>
        <w:rPr>
          <w:rFonts w:ascii="Times New Roman" w:hAnsi="Times New Roman" w:cs="Times New Roman"/>
        </w:rPr>
      </w:pPr>
      <w:r>
        <w:rPr>
          <w:rFonts w:ascii="Times New Roman" w:hAnsi="Times New Roman" w:cs="Times New Roman"/>
        </w:rPr>
        <w:t>Nárastom výdavkov na tovary a služby oproti roku 2021 o 111 mil. eur na sumu 563 mil. eur, ktoré smerujú predovšetkým na doplnenie zásob munície a opravu a údržbu vzdušnej techniky.</w:t>
      </w:r>
    </w:p>
    <w:p w:rsidR="006A36A0" w:rsidRPr="00315880" w:rsidRDefault="006A36A0" w:rsidP="006A36A0">
      <w:pPr>
        <w:pStyle w:val="Odsekzoznamu"/>
        <w:jc w:val="both"/>
        <w:rPr>
          <w:rFonts w:ascii="Times New Roman" w:hAnsi="Times New Roman" w:cs="Times New Roman"/>
        </w:rPr>
      </w:pPr>
    </w:p>
    <w:p w:rsidR="006A36A0" w:rsidRDefault="006A36A0" w:rsidP="006A36A0">
      <w:pPr>
        <w:spacing w:after="0"/>
        <w:jc w:val="both"/>
        <w:rPr>
          <w:rFonts w:ascii="Times New Roman" w:hAnsi="Times New Roman"/>
          <w:sz w:val="24"/>
        </w:rPr>
      </w:pPr>
      <w:r w:rsidRPr="001703B9">
        <w:rPr>
          <w:rFonts w:ascii="Times New Roman" w:hAnsi="Times New Roman"/>
          <w:sz w:val="24"/>
        </w:rPr>
        <w:t>Fiškálny priestor vytvára revízia výdavkov z roku 2020, ktorá navrhla opatrenia s potenciálom úspor minimálne 114 mil. eur.  V ro</w:t>
      </w:r>
      <w:r>
        <w:rPr>
          <w:rFonts w:ascii="Times New Roman" w:hAnsi="Times New Roman"/>
          <w:sz w:val="24"/>
        </w:rPr>
        <w:t>ku 2021 sa z plánovaných úspor 17 mil. eur k 30. 6. úspešne plní</w:t>
      </w:r>
      <w:r w:rsidRPr="001703B9">
        <w:rPr>
          <w:rFonts w:ascii="Times New Roman" w:hAnsi="Times New Roman"/>
          <w:sz w:val="24"/>
        </w:rPr>
        <w:t xml:space="preserve"> opatrenia k stabilizácii platov profesionálnych vojakov (16 mil. eur</w:t>
      </w:r>
      <w:r>
        <w:rPr>
          <w:rFonts w:ascii="Times New Roman" w:hAnsi="Times New Roman"/>
          <w:sz w:val="24"/>
        </w:rPr>
        <w:t xml:space="preserve"> celoročne).</w:t>
      </w:r>
      <w:r w:rsidRPr="001703B9">
        <w:rPr>
          <w:rFonts w:ascii="Times New Roman" w:hAnsi="Times New Roman"/>
          <w:sz w:val="24"/>
        </w:rPr>
        <w:t xml:space="preserve"> V roku 2022 existuje okrem opatrení zapracovaných v rozpočte dodatočný potenciál približne 13,5 mil. </w:t>
      </w:r>
      <w:r>
        <w:rPr>
          <w:rFonts w:ascii="Times New Roman" w:hAnsi="Times New Roman"/>
          <w:sz w:val="24"/>
        </w:rPr>
        <w:t>eur dosiahnuteľný optimalizačnými projektami</w:t>
      </w:r>
      <w:r w:rsidRPr="001703B9">
        <w:rPr>
          <w:rFonts w:ascii="Times New Roman" w:hAnsi="Times New Roman"/>
          <w:sz w:val="24"/>
        </w:rPr>
        <w:t xml:space="preserve"> na osobných</w:t>
      </w:r>
      <w:r>
        <w:rPr>
          <w:rFonts w:ascii="Times New Roman" w:hAnsi="Times New Roman"/>
          <w:sz w:val="24"/>
        </w:rPr>
        <w:t xml:space="preserve"> a prevádzkových</w:t>
      </w:r>
      <w:r w:rsidRPr="001703B9">
        <w:rPr>
          <w:rFonts w:ascii="Times New Roman" w:hAnsi="Times New Roman"/>
          <w:sz w:val="24"/>
        </w:rPr>
        <w:t xml:space="preserve"> výdavkoch mi</w:t>
      </w:r>
      <w:r>
        <w:rPr>
          <w:rFonts w:ascii="Times New Roman" w:hAnsi="Times New Roman"/>
          <w:sz w:val="24"/>
        </w:rPr>
        <w:t>nisterstva a veliacich štruktúr.</w:t>
      </w:r>
    </w:p>
    <w:p w:rsidR="006A36A0" w:rsidRDefault="006A36A0" w:rsidP="006A36A0">
      <w:pPr>
        <w:spacing w:after="0"/>
        <w:jc w:val="both"/>
        <w:rPr>
          <w:rFonts w:ascii="Times New Roman" w:hAnsi="Times New Roman" w:cs="Times New Roman"/>
          <w:sz w:val="24"/>
          <w:szCs w:val="24"/>
        </w:rPr>
      </w:pPr>
    </w:p>
    <w:p w:rsidR="006A36A0" w:rsidRDefault="006A36A0" w:rsidP="006A36A0">
      <w:pPr>
        <w:spacing w:after="0"/>
        <w:jc w:val="both"/>
        <w:rPr>
          <w:rFonts w:ascii="Times New Roman" w:hAnsi="Times New Roman" w:cs="Times New Roman"/>
          <w:sz w:val="24"/>
          <w:szCs w:val="24"/>
        </w:rPr>
      </w:pPr>
      <w:r>
        <w:rPr>
          <w:rFonts w:ascii="Times New Roman" w:hAnsi="Times New Roman" w:cs="Times New Roman"/>
          <w:sz w:val="24"/>
          <w:szCs w:val="24"/>
        </w:rPr>
        <w:t>Ministerstvo obrany SR má uzatvorené vykonávacie zmluvy na 14 investičných akcií. Najväčšími projektami sú nákupy stíhacích lietadiel F-16, kolesových húfnic Zuzana 2 a 3D rádiolokátorov s rôznym dosahom.</w:t>
      </w:r>
    </w:p>
    <w:p w:rsidR="006A36A0" w:rsidRDefault="006A36A0" w:rsidP="006A36A0">
      <w:pPr>
        <w:spacing w:after="0"/>
        <w:jc w:val="both"/>
        <w:rPr>
          <w:rFonts w:ascii="Times New Roman" w:hAnsi="Times New Roman" w:cs="Times New Roman"/>
          <w:sz w:val="24"/>
          <w:szCs w:val="24"/>
        </w:rPr>
      </w:pPr>
    </w:p>
    <w:p w:rsidR="006A36A0" w:rsidRDefault="006A36A0" w:rsidP="006A36A0">
      <w:pPr>
        <w:spacing w:after="0"/>
        <w:jc w:val="both"/>
        <w:rPr>
          <w:rFonts w:ascii="Times New Roman" w:hAnsi="Times New Roman"/>
          <w:sz w:val="24"/>
          <w:szCs w:val="24"/>
        </w:rPr>
      </w:pPr>
      <w:r w:rsidRPr="00903A04">
        <w:rPr>
          <w:rFonts w:ascii="Times New Roman" w:hAnsi="Times New Roman"/>
          <w:sz w:val="24"/>
          <w:szCs w:val="24"/>
        </w:rPr>
        <w:t>Celkové výdavky kapitoly MO SR na rok 2022 sa rozpočtujú v sume 1,33 mld. eur.</w:t>
      </w:r>
      <w:r>
        <w:rPr>
          <w:rFonts w:ascii="Times New Roman" w:hAnsi="Times New Roman"/>
          <w:sz w:val="24"/>
          <w:szCs w:val="24"/>
        </w:rPr>
        <w:t xml:space="preserve"> </w:t>
      </w:r>
      <w:r w:rsidRPr="00A24020">
        <w:rPr>
          <w:rFonts w:ascii="Times New Roman" w:hAnsi="Times New Roman"/>
          <w:sz w:val="24"/>
          <w:szCs w:val="24"/>
        </w:rPr>
        <w:t xml:space="preserve">Táto suma nezahŕňa </w:t>
      </w:r>
      <w:r>
        <w:rPr>
          <w:rFonts w:ascii="Times New Roman" w:hAnsi="Times New Roman"/>
          <w:sz w:val="24"/>
          <w:szCs w:val="24"/>
        </w:rPr>
        <w:t>kapitálové výdavky MO SR alokované v kapitole VPS</w:t>
      </w:r>
      <w:r w:rsidRPr="00A24020">
        <w:rPr>
          <w:rFonts w:ascii="Times New Roman" w:hAnsi="Times New Roman"/>
          <w:sz w:val="24"/>
          <w:szCs w:val="24"/>
        </w:rPr>
        <w:t xml:space="preserve"> vo výške </w:t>
      </w:r>
      <w:r>
        <w:rPr>
          <w:rFonts w:ascii="Times New Roman" w:hAnsi="Times New Roman"/>
          <w:sz w:val="24"/>
          <w:szCs w:val="24"/>
        </w:rPr>
        <w:t>504</w:t>
      </w:r>
      <w:r>
        <w:rPr>
          <w:rFonts w:ascii="Times New Roman" w:hAnsi="Times New Roman" w:cs="Times New Roman"/>
          <w:sz w:val="24"/>
          <w:szCs w:val="24"/>
        </w:rPr>
        <w:t xml:space="preserve"> mil. eur</w:t>
      </w:r>
      <w:r w:rsidRPr="00A24020">
        <w:rPr>
          <w:rFonts w:ascii="Times New Roman" w:hAnsi="Times New Roman" w:cs="Times New Roman"/>
          <w:sz w:val="24"/>
          <w:szCs w:val="24"/>
        </w:rPr>
        <w:t>.</w:t>
      </w:r>
      <w:r w:rsidRPr="00903A04">
        <w:rPr>
          <w:rFonts w:ascii="Times New Roman" w:hAnsi="Times New Roman" w:cs="Times New Roman"/>
          <w:i/>
          <w:sz w:val="16"/>
        </w:rPr>
        <w:t xml:space="preserve"> </w:t>
      </w:r>
      <w:r w:rsidRPr="00903A04">
        <w:rPr>
          <w:rFonts w:ascii="Times New Roman" w:hAnsi="Times New Roman"/>
          <w:sz w:val="24"/>
          <w:szCs w:val="24"/>
        </w:rPr>
        <w:t xml:space="preserve"> </w:t>
      </w:r>
      <w:r w:rsidRPr="00903A04">
        <w:rPr>
          <w:rFonts w:ascii="Times New Roman" w:hAnsi="Times New Roman" w:cs="Times New Roman"/>
          <w:i/>
          <w:sz w:val="16"/>
        </w:rPr>
        <w:t xml:space="preserve"> </w:t>
      </w:r>
      <w:r w:rsidRPr="00903A04">
        <w:rPr>
          <w:rFonts w:ascii="Times New Roman" w:hAnsi="Times New Roman"/>
          <w:sz w:val="24"/>
          <w:szCs w:val="24"/>
        </w:rPr>
        <w:t xml:space="preserve"> Rozpočet MO SR sa skladá z nasledovných oblastí.</w:t>
      </w:r>
      <w:r w:rsidRPr="00083C3F">
        <w:rPr>
          <w:rFonts w:ascii="Times New Roman" w:hAnsi="Times New Roman"/>
          <w:sz w:val="24"/>
          <w:szCs w:val="24"/>
        </w:rPr>
        <w:t xml:space="preserve"> </w:t>
      </w: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015EA0" w:rsidRDefault="00015EA0" w:rsidP="006A36A0">
      <w:pPr>
        <w:spacing w:after="0"/>
        <w:jc w:val="both"/>
        <w:rPr>
          <w:rFonts w:ascii="Times New Roman" w:hAnsi="Times New Roman"/>
          <w:sz w:val="24"/>
          <w:szCs w:val="24"/>
        </w:rPr>
      </w:pPr>
    </w:p>
    <w:p w:rsidR="006A36A0" w:rsidRPr="00083C3F" w:rsidRDefault="006A36A0" w:rsidP="006A36A0">
      <w:pPr>
        <w:spacing w:after="0"/>
        <w:jc w:val="both"/>
        <w:rPr>
          <w:rFonts w:ascii="Times New Roman" w:hAnsi="Times New Roman"/>
          <w:sz w:val="24"/>
          <w:szCs w:val="24"/>
        </w:rPr>
      </w:pPr>
    </w:p>
    <w:p w:rsidR="006A36A0" w:rsidRPr="00903A04" w:rsidRDefault="006A36A0" w:rsidP="006A36A0">
      <w:pPr>
        <w:keepNext/>
        <w:spacing w:after="0" w:line="240" w:lineRule="auto"/>
        <w:rPr>
          <w:rFonts w:ascii="Times New Roman" w:hAnsi="Times New Roman"/>
          <w:b/>
          <w:iCs/>
          <w:color w:val="5B9BD5" w:themeColor="accent1"/>
          <w:sz w:val="20"/>
          <w:szCs w:val="20"/>
        </w:rPr>
      </w:pPr>
      <w:bookmarkStart w:id="456" w:name="_Toc84528451"/>
      <w:bookmarkStart w:id="457" w:name="_Toc84845327"/>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103</w:t>
      </w:r>
      <w:r w:rsidRPr="007E7AFC">
        <w:rPr>
          <w:rFonts w:ascii="Times New Roman" w:hAnsi="Times New Roman" w:cs="Times New Roman"/>
          <w:b/>
          <w:color w:val="5B9BD5" w:themeColor="accent1"/>
          <w:sz w:val="20"/>
          <w:szCs w:val="20"/>
        </w:rPr>
        <w:fldChar w:fldCharType="end"/>
      </w:r>
      <w:r>
        <w:rPr>
          <w:rFonts w:ascii="Times New Roman" w:hAnsi="Times New Roman"/>
          <w:b/>
          <w:iCs/>
          <w:color w:val="5B9BD5" w:themeColor="accent1"/>
          <w:sz w:val="20"/>
          <w:szCs w:val="20"/>
        </w:rPr>
        <w:t xml:space="preserve"> – Výdavky na oblasti Ministerstva obrany</w:t>
      </w:r>
      <w:r w:rsidRPr="00903A04">
        <w:rPr>
          <w:rFonts w:ascii="Times New Roman" w:hAnsi="Times New Roman"/>
          <w:b/>
          <w:iCs/>
          <w:color w:val="5B9BD5" w:themeColor="accent1"/>
          <w:sz w:val="20"/>
          <w:szCs w:val="20"/>
        </w:rPr>
        <w:t xml:space="preserve"> SR</w:t>
      </w:r>
      <w:bookmarkEnd w:id="456"/>
      <w:bookmarkEnd w:id="457"/>
    </w:p>
    <w:tbl>
      <w:tblPr>
        <w:tblW w:w="9072" w:type="dxa"/>
        <w:tblInd w:w="70" w:type="dxa"/>
        <w:tblLayout w:type="fixed"/>
        <w:tblCellMar>
          <w:left w:w="70" w:type="dxa"/>
          <w:right w:w="70" w:type="dxa"/>
        </w:tblCellMar>
        <w:tblLook w:val="04A0" w:firstRow="1" w:lastRow="0" w:firstColumn="1" w:lastColumn="0" w:noHBand="0" w:noVBand="1"/>
      </w:tblPr>
      <w:tblGrid>
        <w:gridCol w:w="3544"/>
        <w:gridCol w:w="789"/>
        <w:gridCol w:w="790"/>
        <w:gridCol w:w="790"/>
        <w:gridCol w:w="789"/>
        <w:gridCol w:w="790"/>
        <w:gridCol w:w="790"/>
        <w:gridCol w:w="790"/>
      </w:tblGrid>
      <w:tr w:rsidR="006A36A0" w:rsidRPr="00903A04" w:rsidTr="006A36A0">
        <w:trPr>
          <w:trHeight w:val="255"/>
        </w:trPr>
        <w:tc>
          <w:tcPr>
            <w:tcW w:w="3544" w:type="dxa"/>
            <w:tcBorders>
              <w:top w:val="single" w:sz="4" w:space="0" w:color="auto"/>
              <w:left w:val="nil"/>
              <w:bottom w:val="single" w:sz="4" w:space="0" w:color="auto"/>
              <w:right w:val="nil"/>
            </w:tcBorders>
            <w:shd w:val="clear" w:color="auto" w:fill="auto"/>
            <w:noWrap/>
            <w:vAlign w:val="center"/>
            <w:hideMark/>
          </w:tcPr>
          <w:p w:rsidR="006A36A0" w:rsidRPr="00903A04" w:rsidRDefault="006A36A0" w:rsidP="006A36A0">
            <w:pPr>
              <w:rPr>
                <w:rFonts w:ascii="Times New Roman" w:hAnsi="Times New Roman"/>
                <w:b/>
                <w:bCs/>
                <w:color w:val="000000"/>
                <w:sz w:val="16"/>
                <w:szCs w:val="16"/>
                <w:lang w:eastAsia="sk-SK"/>
              </w:rPr>
            </w:pPr>
            <w:r>
              <w:rPr>
                <w:rFonts w:ascii="Times New Roman" w:hAnsi="Times New Roman"/>
                <w:b/>
                <w:bCs/>
                <w:color w:val="000000"/>
                <w:sz w:val="16"/>
                <w:szCs w:val="16"/>
                <w:lang w:eastAsia="sk-SK"/>
              </w:rPr>
              <w:t>v tis. e</w:t>
            </w:r>
            <w:r w:rsidRPr="00903A04">
              <w:rPr>
                <w:rFonts w:ascii="Times New Roman" w:hAnsi="Times New Roman"/>
                <w:b/>
                <w:bCs/>
                <w:color w:val="000000"/>
                <w:sz w:val="16"/>
                <w:szCs w:val="16"/>
                <w:lang w:eastAsia="sk-SK"/>
              </w:rPr>
              <w:t>ur</w:t>
            </w:r>
          </w:p>
        </w:tc>
        <w:tc>
          <w:tcPr>
            <w:tcW w:w="789"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2019 S</w:t>
            </w:r>
          </w:p>
        </w:tc>
        <w:tc>
          <w:tcPr>
            <w:tcW w:w="790"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2020 S</w:t>
            </w:r>
          </w:p>
        </w:tc>
        <w:tc>
          <w:tcPr>
            <w:tcW w:w="790"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2021 R</w:t>
            </w:r>
          </w:p>
        </w:tc>
        <w:tc>
          <w:tcPr>
            <w:tcW w:w="789"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2021 OS</w:t>
            </w:r>
          </w:p>
        </w:tc>
        <w:tc>
          <w:tcPr>
            <w:tcW w:w="790"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2022 N</w:t>
            </w:r>
          </w:p>
        </w:tc>
        <w:tc>
          <w:tcPr>
            <w:tcW w:w="790"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2023 N</w:t>
            </w:r>
          </w:p>
        </w:tc>
        <w:tc>
          <w:tcPr>
            <w:tcW w:w="790" w:type="dxa"/>
            <w:tcBorders>
              <w:top w:val="single" w:sz="4" w:space="0" w:color="auto"/>
              <w:left w:val="nil"/>
              <w:bottom w:val="single" w:sz="4" w:space="0" w:color="auto"/>
              <w:right w:val="nil"/>
            </w:tcBorders>
            <w:shd w:val="clear" w:color="auto" w:fill="auto"/>
            <w:noWrap/>
            <w:vAlign w:val="bottom"/>
            <w:hideMark/>
          </w:tcPr>
          <w:p w:rsidR="006A36A0" w:rsidRPr="00904FDD" w:rsidRDefault="006A36A0" w:rsidP="006A36A0">
            <w:pPr>
              <w:jc w:val="center"/>
              <w:rPr>
                <w:rFonts w:ascii="Times New Roman" w:hAnsi="Times New Roman" w:cs="Times New Roman"/>
                <w:b/>
                <w:bCs/>
                <w:color w:val="000000"/>
                <w:sz w:val="16"/>
                <w:szCs w:val="16"/>
              </w:rPr>
            </w:pPr>
            <w:r w:rsidRPr="00904FDD">
              <w:rPr>
                <w:rFonts w:ascii="Times New Roman" w:hAnsi="Times New Roman" w:cs="Times New Roman"/>
                <w:b/>
                <w:bCs/>
                <w:color w:val="000000"/>
                <w:sz w:val="16"/>
                <w:szCs w:val="16"/>
              </w:rPr>
              <w:t>2024 N</w:t>
            </w:r>
          </w:p>
        </w:tc>
      </w:tr>
      <w:tr w:rsidR="006A36A0" w:rsidRPr="00904FDD" w:rsidTr="006A36A0">
        <w:trPr>
          <w:trHeight w:val="255"/>
        </w:trPr>
        <w:tc>
          <w:tcPr>
            <w:tcW w:w="3544" w:type="dxa"/>
            <w:tcBorders>
              <w:top w:val="nil"/>
              <w:left w:val="nil"/>
              <w:bottom w:val="nil"/>
              <w:right w:val="nil"/>
            </w:tcBorders>
            <w:shd w:val="clear" w:color="auto" w:fill="auto"/>
            <w:noWrap/>
            <w:vAlign w:val="bottom"/>
            <w:hideMark/>
          </w:tcPr>
          <w:p w:rsidR="006A36A0" w:rsidRPr="00903A04" w:rsidRDefault="006A36A0" w:rsidP="006A36A0">
            <w:pPr>
              <w:rPr>
                <w:rFonts w:ascii="Times New Roman" w:hAnsi="Times New Roman"/>
                <w:b/>
                <w:bCs/>
                <w:color w:val="000000"/>
                <w:sz w:val="16"/>
                <w:szCs w:val="16"/>
                <w:lang w:eastAsia="sk-SK"/>
              </w:rPr>
            </w:pPr>
            <w:r w:rsidRPr="00903A04">
              <w:rPr>
                <w:rFonts w:ascii="Times New Roman" w:hAnsi="Times New Roman"/>
                <w:b/>
                <w:bCs/>
                <w:color w:val="000000"/>
                <w:sz w:val="16"/>
                <w:szCs w:val="16"/>
                <w:lang w:eastAsia="sk-SK"/>
              </w:rPr>
              <w:t>Ministerstvo obrany SR</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1 606 316</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1 792 846</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1 226 714</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1 554 418</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1 333 186</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1 482 154</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b/>
                <w:color w:val="000000"/>
                <w:sz w:val="16"/>
                <w:szCs w:val="16"/>
              </w:rPr>
            </w:pPr>
            <w:r w:rsidRPr="00904FDD">
              <w:rPr>
                <w:rFonts w:ascii="Times New Roman" w:hAnsi="Times New Roman" w:cs="Times New Roman"/>
                <w:color w:val="000000"/>
                <w:sz w:val="16"/>
                <w:szCs w:val="16"/>
              </w:rPr>
              <w:t>1 648 055</w:t>
            </w:r>
          </w:p>
        </w:tc>
      </w:tr>
      <w:tr w:rsidR="006A36A0" w:rsidRPr="00904FDD" w:rsidTr="006A36A0">
        <w:trPr>
          <w:trHeight w:val="255"/>
        </w:trPr>
        <w:tc>
          <w:tcPr>
            <w:tcW w:w="3544" w:type="dxa"/>
            <w:tcBorders>
              <w:top w:val="nil"/>
              <w:left w:val="nil"/>
              <w:bottom w:val="nil"/>
              <w:right w:val="nil"/>
            </w:tcBorders>
            <w:shd w:val="clear" w:color="auto" w:fill="auto"/>
            <w:noWrap/>
            <w:vAlign w:val="bottom"/>
            <w:hideMark/>
          </w:tcPr>
          <w:p w:rsidR="006A36A0" w:rsidRPr="00903A04" w:rsidRDefault="006A36A0" w:rsidP="006A36A0">
            <w:pPr>
              <w:rPr>
                <w:rFonts w:ascii="Times New Roman" w:hAnsi="Times New Roman"/>
                <w:sz w:val="16"/>
                <w:szCs w:val="16"/>
                <w:lang w:eastAsia="sk-SK"/>
              </w:rPr>
            </w:pPr>
            <w:r w:rsidRPr="00903A04">
              <w:rPr>
                <w:rFonts w:ascii="Times New Roman" w:hAnsi="Times New Roman"/>
                <w:sz w:val="16"/>
                <w:szCs w:val="16"/>
                <w:lang w:eastAsia="sk-SK"/>
              </w:rPr>
              <w:t>Rozvoj obrany</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707 766</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717 347</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115 581</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439 994</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149 193</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88 175</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43 007</w:t>
            </w:r>
          </w:p>
        </w:tc>
      </w:tr>
      <w:tr w:rsidR="006A36A0" w:rsidRPr="00904FDD" w:rsidTr="006A36A0">
        <w:trPr>
          <w:trHeight w:val="255"/>
        </w:trPr>
        <w:tc>
          <w:tcPr>
            <w:tcW w:w="3544" w:type="dxa"/>
            <w:tcBorders>
              <w:top w:val="nil"/>
              <w:left w:val="nil"/>
              <w:bottom w:val="nil"/>
              <w:right w:val="nil"/>
            </w:tcBorders>
            <w:shd w:val="clear" w:color="auto" w:fill="auto"/>
            <w:noWrap/>
            <w:vAlign w:val="bottom"/>
            <w:hideMark/>
          </w:tcPr>
          <w:p w:rsidR="006A36A0" w:rsidRPr="00903A04" w:rsidRDefault="006A36A0" w:rsidP="006A36A0">
            <w:pPr>
              <w:rPr>
                <w:rFonts w:ascii="Times New Roman" w:hAnsi="Times New Roman"/>
                <w:color w:val="000000"/>
                <w:sz w:val="16"/>
                <w:szCs w:val="16"/>
                <w:lang w:eastAsia="sk-SK"/>
              </w:rPr>
            </w:pPr>
            <w:r w:rsidRPr="00903A04">
              <w:rPr>
                <w:rFonts w:ascii="Times New Roman" w:hAnsi="Times New Roman"/>
                <w:color w:val="000000"/>
                <w:sz w:val="16"/>
                <w:szCs w:val="16"/>
                <w:lang w:eastAsia="sk-SK"/>
              </w:rPr>
              <w:t>Obrana</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893 891</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1 073 514</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1 104 896</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1 106 229</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1 176 172</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1 382 493</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1 596 059</w:t>
            </w:r>
          </w:p>
        </w:tc>
      </w:tr>
      <w:tr w:rsidR="006A36A0" w:rsidRPr="00904FDD" w:rsidTr="006A36A0">
        <w:trPr>
          <w:trHeight w:val="255"/>
        </w:trPr>
        <w:tc>
          <w:tcPr>
            <w:tcW w:w="3544" w:type="dxa"/>
            <w:tcBorders>
              <w:top w:val="nil"/>
              <w:left w:val="nil"/>
              <w:bottom w:val="nil"/>
              <w:right w:val="nil"/>
            </w:tcBorders>
            <w:shd w:val="clear" w:color="auto" w:fill="auto"/>
            <w:noWrap/>
            <w:vAlign w:val="bottom"/>
            <w:hideMark/>
          </w:tcPr>
          <w:p w:rsidR="006A36A0" w:rsidRPr="00903A04" w:rsidRDefault="006A36A0" w:rsidP="006A36A0">
            <w:pPr>
              <w:rPr>
                <w:rFonts w:ascii="Times New Roman" w:hAnsi="Times New Roman"/>
                <w:color w:val="000000"/>
                <w:sz w:val="16"/>
                <w:szCs w:val="16"/>
                <w:lang w:eastAsia="sk-SK"/>
              </w:rPr>
            </w:pPr>
            <w:r w:rsidRPr="00903A04">
              <w:rPr>
                <w:rFonts w:ascii="Times New Roman" w:hAnsi="Times New Roman"/>
                <w:color w:val="000000"/>
                <w:sz w:val="16"/>
                <w:szCs w:val="16"/>
                <w:lang w:eastAsia="sk-SK"/>
              </w:rPr>
              <w:t xml:space="preserve">Podpora obrany (MO SR) </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1 298</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1 069</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1 050</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2 908</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2 500</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3 000</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3 500</w:t>
            </w:r>
          </w:p>
        </w:tc>
      </w:tr>
      <w:tr w:rsidR="006A36A0" w:rsidRPr="00904FDD" w:rsidTr="006A36A0">
        <w:trPr>
          <w:trHeight w:val="255"/>
        </w:trPr>
        <w:tc>
          <w:tcPr>
            <w:tcW w:w="3544" w:type="dxa"/>
            <w:tcBorders>
              <w:top w:val="nil"/>
              <w:left w:val="nil"/>
              <w:bottom w:val="nil"/>
              <w:right w:val="nil"/>
            </w:tcBorders>
            <w:shd w:val="clear" w:color="auto" w:fill="auto"/>
            <w:noWrap/>
            <w:vAlign w:val="bottom"/>
          </w:tcPr>
          <w:p w:rsidR="006A36A0" w:rsidRPr="00903A04" w:rsidRDefault="006A36A0" w:rsidP="006A36A0">
            <w:pPr>
              <w:rPr>
                <w:rFonts w:ascii="Times New Roman" w:hAnsi="Times New Roman"/>
                <w:color w:val="000000"/>
                <w:sz w:val="16"/>
                <w:szCs w:val="16"/>
                <w:lang w:eastAsia="sk-SK"/>
              </w:rPr>
            </w:pPr>
            <w:r w:rsidRPr="00903A04">
              <w:rPr>
                <w:rFonts w:ascii="Times New Roman" w:hAnsi="Times New Roman"/>
                <w:color w:val="000000"/>
                <w:sz w:val="16"/>
                <w:szCs w:val="16"/>
                <w:lang w:eastAsia="sk-SK"/>
              </w:rPr>
              <w:t>Hospodárska mobilizácia (MO SR)</w:t>
            </w:r>
          </w:p>
        </w:tc>
        <w:tc>
          <w:tcPr>
            <w:tcW w:w="789"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3 235</w:t>
            </w:r>
          </w:p>
        </w:tc>
        <w:tc>
          <w:tcPr>
            <w:tcW w:w="790"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749</w:t>
            </w:r>
          </w:p>
        </w:tc>
        <w:tc>
          <w:tcPr>
            <w:tcW w:w="790"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5 000</w:t>
            </w:r>
          </w:p>
        </w:tc>
        <w:tc>
          <w:tcPr>
            <w:tcW w:w="789"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5 000</w:t>
            </w:r>
          </w:p>
        </w:tc>
        <w:tc>
          <w:tcPr>
            <w:tcW w:w="790"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5 000</w:t>
            </w:r>
          </w:p>
        </w:tc>
        <w:tc>
          <w:tcPr>
            <w:tcW w:w="790"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8 000</w:t>
            </w:r>
          </w:p>
        </w:tc>
        <w:tc>
          <w:tcPr>
            <w:tcW w:w="790" w:type="dxa"/>
            <w:tcBorders>
              <w:top w:val="nil"/>
              <w:left w:val="nil"/>
              <w:bottom w:val="nil"/>
              <w:right w:val="nil"/>
            </w:tcBorders>
            <w:shd w:val="clear" w:color="auto" w:fill="auto"/>
            <w:noWrap/>
            <w:vAlign w:val="center"/>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5 000</w:t>
            </w:r>
          </w:p>
        </w:tc>
      </w:tr>
      <w:tr w:rsidR="006A36A0" w:rsidRPr="00904FDD" w:rsidTr="006A36A0">
        <w:trPr>
          <w:trHeight w:val="255"/>
        </w:trPr>
        <w:tc>
          <w:tcPr>
            <w:tcW w:w="3544" w:type="dxa"/>
            <w:tcBorders>
              <w:top w:val="nil"/>
              <w:left w:val="nil"/>
              <w:bottom w:val="nil"/>
              <w:right w:val="nil"/>
            </w:tcBorders>
            <w:shd w:val="clear" w:color="auto" w:fill="auto"/>
            <w:noWrap/>
            <w:vAlign w:val="bottom"/>
            <w:hideMark/>
          </w:tcPr>
          <w:p w:rsidR="006A36A0" w:rsidRPr="00903A04" w:rsidRDefault="006A36A0" w:rsidP="006A36A0">
            <w:pPr>
              <w:rPr>
                <w:rFonts w:ascii="Times New Roman" w:hAnsi="Times New Roman"/>
                <w:color w:val="000000"/>
                <w:sz w:val="16"/>
                <w:szCs w:val="16"/>
                <w:lang w:eastAsia="sk-SK"/>
              </w:rPr>
            </w:pPr>
            <w:r w:rsidRPr="00903A04">
              <w:rPr>
                <w:rFonts w:ascii="Times New Roman" w:hAnsi="Times New Roman"/>
                <w:color w:val="000000"/>
                <w:sz w:val="16"/>
                <w:szCs w:val="16"/>
                <w:lang w:eastAsia="sk-SK"/>
              </w:rPr>
              <w:t>Účasť civil. exp. na aktivit. KM mimo SR (MO SR)</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94</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106</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162</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162</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293</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458</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458</w:t>
            </w:r>
          </w:p>
        </w:tc>
      </w:tr>
      <w:tr w:rsidR="006A36A0" w:rsidRPr="00904FDD" w:rsidTr="006A36A0">
        <w:trPr>
          <w:trHeight w:val="255"/>
        </w:trPr>
        <w:tc>
          <w:tcPr>
            <w:tcW w:w="3544" w:type="dxa"/>
            <w:tcBorders>
              <w:top w:val="nil"/>
              <w:left w:val="nil"/>
              <w:bottom w:val="nil"/>
              <w:right w:val="nil"/>
            </w:tcBorders>
            <w:shd w:val="clear" w:color="auto" w:fill="auto"/>
            <w:noWrap/>
            <w:vAlign w:val="bottom"/>
            <w:hideMark/>
          </w:tcPr>
          <w:p w:rsidR="006A36A0" w:rsidRPr="00903A04" w:rsidRDefault="006A36A0" w:rsidP="006A36A0">
            <w:pPr>
              <w:rPr>
                <w:rFonts w:ascii="Times New Roman" w:hAnsi="Times New Roman"/>
                <w:color w:val="000000"/>
                <w:sz w:val="16"/>
                <w:szCs w:val="16"/>
                <w:lang w:eastAsia="sk-SK"/>
              </w:rPr>
            </w:pPr>
            <w:r w:rsidRPr="00903A04">
              <w:rPr>
                <w:rFonts w:ascii="Times New Roman" w:hAnsi="Times New Roman"/>
                <w:color w:val="000000"/>
                <w:sz w:val="16"/>
                <w:szCs w:val="16"/>
                <w:lang w:eastAsia="sk-SK"/>
              </w:rPr>
              <w:t>Oficiálna rozvojová pomoc</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32</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60</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22</w:t>
            </w:r>
          </w:p>
        </w:tc>
        <w:tc>
          <w:tcPr>
            <w:tcW w:w="789"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122</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24</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26</w:t>
            </w:r>
          </w:p>
        </w:tc>
        <w:tc>
          <w:tcPr>
            <w:tcW w:w="790" w:type="dxa"/>
            <w:tcBorders>
              <w:top w:val="nil"/>
              <w:left w:val="nil"/>
              <w:bottom w:val="nil"/>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28</w:t>
            </w:r>
          </w:p>
        </w:tc>
      </w:tr>
      <w:tr w:rsidR="006A36A0" w:rsidRPr="00904FDD" w:rsidTr="006A36A0">
        <w:trPr>
          <w:trHeight w:val="255"/>
        </w:trPr>
        <w:tc>
          <w:tcPr>
            <w:tcW w:w="3544" w:type="dxa"/>
            <w:tcBorders>
              <w:top w:val="nil"/>
              <w:left w:val="nil"/>
              <w:bottom w:val="single" w:sz="4" w:space="0" w:color="auto"/>
              <w:right w:val="nil"/>
            </w:tcBorders>
            <w:shd w:val="clear" w:color="auto" w:fill="auto"/>
            <w:noWrap/>
            <w:vAlign w:val="bottom"/>
            <w:hideMark/>
          </w:tcPr>
          <w:p w:rsidR="006A36A0" w:rsidRPr="00903A04" w:rsidRDefault="006A36A0" w:rsidP="006A36A0">
            <w:pPr>
              <w:rPr>
                <w:rFonts w:ascii="Times New Roman" w:hAnsi="Times New Roman"/>
                <w:color w:val="000000"/>
                <w:sz w:val="16"/>
                <w:szCs w:val="16"/>
                <w:lang w:eastAsia="sk-SK"/>
              </w:rPr>
            </w:pPr>
            <w:r w:rsidRPr="00903A04">
              <w:rPr>
                <w:rFonts w:ascii="Times New Roman" w:hAnsi="Times New Roman"/>
                <w:color w:val="000000"/>
                <w:sz w:val="16"/>
                <w:szCs w:val="16"/>
                <w:lang w:eastAsia="sk-SK"/>
              </w:rPr>
              <w:t>2. etapa implementácie MZP SZO v SR</w:t>
            </w:r>
          </w:p>
        </w:tc>
        <w:tc>
          <w:tcPr>
            <w:tcW w:w="789"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0</w:t>
            </w:r>
          </w:p>
        </w:tc>
        <w:tc>
          <w:tcPr>
            <w:tcW w:w="790"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0</w:t>
            </w:r>
          </w:p>
        </w:tc>
        <w:tc>
          <w:tcPr>
            <w:tcW w:w="790"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w:t>
            </w:r>
          </w:p>
        </w:tc>
        <w:tc>
          <w:tcPr>
            <w:tcW w:w="789"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w:t>
            </w:r>
          </w:p>
        </w:tc>
        <w:tc>
          <w:tcPr>
            <w:tcW w:w="790"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w:t>
            </w:r>
          </w:p>
        </w:tc>
        <w:tc>
          <w:tcPr>
            <w:tcW w:w="790"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w:t>
            </w:r>
          </w:p>
        </w:tc>
        <w:tc>
          <w:tcPr>
            <w:tcW w:w="790" w:type="dxa"/>
            <w:tcBorders>
              <w:top w:val="nil"/>
              <w:left w:val="nil"/>
              <w:bottom w:val="single" w:sz="4" w:space="0" w:color="auto"/>
              <w:right w:val="nil"/>
            </w:tcBorders>
            <w:shd w:val="clear" w:color="auto" w:fill="auto"/>
            <w:noWrap/>
            <w:vAlign w:val="center"/>
            <w:hideMark/>
          </w:tcPr>
          <w:p w:rsidR="006A36A0" w:rsidRPr="00904FDD" w:rsidRDefault="006A36A0" w:rsidP="006A36A0">
            <w:pPr>
              <w:jc w:val="right"/>
              <w:rPr>
                <w:rFonts w:ascii="Times New Roman" w:hAnsi="Times New Roman" w:cs="Times New Roman"/>
                <w:color w:val="000000"/>
                <w:sz w:val="16"/>
                <w:szCs w:val="16"/>
              </w:rPr>
            </w:pPr>
            <w:r w:rsidRPr="00904FDD">
              <w:rPr>
                <w:rFonts w:ascii="Times New Roman" w:hAnsi="Times New Roman" w:cs="Times New Roman"/>
                <w:color w:val="000000"/>
                <w:sz w:val="16"/>
                <w:szCs w:val="16"/>
              </w:rPr>
              <w:t>3</w:t>
            </w:r>
          </w:p>
        </w:tc>
      </w:tr>
    </w:tbl>
    <w:p w:rsidR="006A36A0" w:rsidRPr="00483EA6" w:rsidRDefault="006A36A0" w:rsidP="006A36A0">
      <w:pPr>
        <w:spacing w:after="0" w:line="240" w:lineRule="auto"/>
        <w:rPr>
          <w:rFonts w:ascii="Times New Roman" w:hAnsi="Times New Roman"/>
          <w:sz w:val="16"/>
          <w:szCs w:val="16"/>
        </w:rPr>
      </w:pPr>
      <w:r w:rsidRPr="00483EA6">
        <w:rPr>
          <w:rFonts w:ascii="Times New Roman" w:hAnsi="Times New Roman"/>
          <w:i/>
          <w:iCs/>
          <w:sz w:val="16"/>
          <w:szCs w:val="16"/>
        </w:rPr>
        <w:t xml:space="preserve">                                                                                                                                                                                                            Zdroj: MF SR                                                                                                                                                                                                          </w:t>
      </w:r>
    </w:p>
    <w:p w:rsidR="006A36A0" w:rsidRPr="005A02A6" w:rsidRDefault="006A36A0" w:rsidP="006A36A0">
      <w:pPr>
        <w:spacing w:after="0"/>
        <w:rPr>
          <w:rFonts w:ascii="Times New Roman" w:hAnsi="Times New Roman"/>
          <w:b/>
          <w:color w:val="5B9BD5"/>
          <w:sz w:val="24"/>
          <w:szCs w:val="24"/>
          <w:highlight w:val="lightGray"/>
        </w:rPr>
      </w:pPr>
    </w:p>
    <w:p w:rsidR="006A36A0" w:rsidRDefault="006A36A0" w:rsidP="006A36A0">
      <w:pPr>
        <w:spacing w:after="0"/>
        <w:rPr>
          <w:rFonts w:ascii="Times New Roman" w:hAnsi="Times New Roman"/>
          <w:b/>
          <w:color w:val="5B9BD5"/>
          <w:sz w:val="24"/>
          <w:szCs w:val="24"/>
        </w:rPr>
      </w:pPr>
      <w:r w:rsidRPr="00903A04">
        <w:rPr>
          <w:rFonts w:ascii="Times New Roman" w:hAnsi="Times New Roman"/>
          <w:b/>
          <w:color w:val="5B9BD5"/>
          <w:sz w:val="24"/>
          <w:szCs w:val="24"/>
        </w:rPr>
        <w:t>Rozvoj obrany</w:t>
      </w:r>
    </w:p>
    <w:p w:rsidR="006A36A0" w:rsidRPr="00903A04" w:rsidRDefault="006A36A0" w:rsidP="006A36A0">
      <w:pPr>
        <w:spacing w:after="0"/>
        <w:rPr>
          <w:rFonts w:ascii="Times New Roman" w:hAnsi="Times New Roman"/>
          <w:b/>
          <w:color w:val="5B9BD5"/>
          <w:sz w:val="24"/>
          <w:szCs w:val="24"/>
        </w:rPr>
      </w:pPr>
    </w:p>
    <w:p w:rsidR="006A36A0" w:rsidRPr="00903A04" w:rsidRDefault="006A36A0" w:rsidP="006A36A0">
      <w:pPr>
        <w:spacing w:after="0"/>
        <w:jc w:val="both"/>
        <w:rPr>
          <w:rFonts w:ascii="Times New Roman" w:hAnsi="Times New Roman"/>
          <w:sz w:val="24"/>
          <w:szCs w:val="24"/>
        </w:rPr>
      </w:pPr>
      <w:r w:rsidRPr="00903A04">
        <w:rPr>
          <w:rFonts w:ascii="Times New Roman" w:hAnsi="Times New Roman"/>
          <w:sz w:val="24"/>
          <w:szCs w:val="24"/>
        </w:rPr>
        <w:t>V programovej štruktúre kapitoly MO SR sú v rámci programu Rozvoj obrany</w:t>
      </w:r>
      <w:r w:rsidRPr="00903A04">
        <w:rPr>
          <w:rFonts w:ascii="Times New Roman" w:hAnsi="Times New Roman"/>
          <w:b/>
          <w:sz w:val="24"/>
          <w:szCs w:val="24"/>
        </w:rPr>
        <w:t xml:space="preserve"> </w:t>
      </w:r>
      <w:r w:rsidRPr="00903A04">
        <w:rPr>
          <w:rFonts w:ascii="Times New Roman" w:hAnsi="Times New Roman"/>
          <w:sz w:val="24"/>
          <w:szCs w:val="24"/>
        </w:rPr>
        <w:t xml:space="preserve">vyčlenené prostriedky na rok 2022 v sume 149 mil. eur </w:t>
      </w:r>
      <w:r w:rsidRPr="00115863">
        <w:rPr>
          <w:rFonts w:ascii="Times New Roman" w:hAnsi="Times New Roman"/>
          <w:sz w:val="24"/>
          <w:szCs w:val="24"/>
        </w:rPr>
        <w:t xml:space="preserve">a </w:t>
      </w:r>
      <w:r w:rsidRPr="00115863">
        <w:rPr>
          <w:rFonts w:ascii="Times New Roman" w:hAnsi="Times New Roman"/>
          <w:sz w:val="24"/>
        </w:rPr>
        <w:t xml:space="preserve">kapitálové výdavky alokované v kapitole VPS v sume </w:t>
      </w:r>
      <w:r>
        <w:rPr>
          <w:rFonts w:ascii="Times New Roman" w:hAnsi="Times New Roman"/>
          <w:sz w:val="24"/>
        </w:rPr>
        <w:t>489</w:t>
      </w:r>
      <w:r w:rsidRPr="00115863">
        <w:rPr>
          <w:rFonts w:ascii="Times New Roman" w:hAnsi="Times New Roman"/>
          <w:sz w:val="24"/>
        </w:rPr>
        <w:t xml:space="preserve"> mil. eur.</w:t>
      </w:r>
      <w:r>
        <w:rPr>
          <w:rFonts w:ascii="Times New Roman" w:hAnsi="Times New Roman"/>
          <w:sz w:val="24"/>
        </w:rPr>
        <w:t xml:space="preserve"> </w:t>
      </w:r>
      <w:r w:rsidRPr="00324E4C">
        <w:rPr>
          <w:rFonts w:ascii="Times New Roman" w:hAnsi="Times New Roman"/>
          <w:sz w:val="24"/>
        </w:rPr>
        <w:t>Program je určený</w:t>
      </w:r>
      <w:r w:rsidRPr="00324E4C">
        <w:rPr>
          <w:rFonts w:ascii="Times New Roman" w:hAnsi="Times New Roman"/>
          <w:sz w:val="24"/>
          <w:szCs w:val="24"/>
        </w:rPr>
        <w:t xml:space="preserve"> </w:t>
      </w:r>
      <w:r w:rsidRPr="00903A04">
        <w:rPr>
          <w:rFonts w:ascii="Times New Roman" w:hAnsi="Times New Roman"/>
          <w:sz w:val="24"/>
          <w:szCs w:val="24"/>
        </w:rPr>
        <w:t xml:space="preserve">na rozvojové aktivity rezortu, a to najmä na rozvoj výzbroje, techniky a materiálu, rozvoj komunikačných a informačných systémov, rozvoj infraštruktúry a rozvoj centrálnej logistiky.   </w:t>
      </w:r>
    </w:p>
    <w:p w:rsidR="006A36A0" w:rsidRPr="005A02A6" w:rsidRDefault="006A36A0" w:rsidP="006A36A0">
      <w:pPr>
        <w:spacing w:after="0"/>
        <w:jc w:val="both"/>
        <w:rPr>
          <w:rFonts w:ascii="Times New Roman" w:hAnsi="Times New Roman"/>
          <w:sz w:val="24"/>
          <w:szCs w:val="24"/>
          <w:highlight w:val="lightGray"/>
        </w:rPr>
      </w:pPr>
    </w:p>
    <w:p w:rsidR="006A36A0" w:rsidRPr="00AC25C7" w:rsidRDefault="006A36A0" w:rsidP="006A36A0">
      <w:pPr>
        <w:spacing w:after="0"/>
        <w:jc w:val="both"/>
        <w:rPr>
          <w:rFonts w:ascii="Times New Roman" w:hAnsi="Times New Roman"/>
          <w:sz w:val="24"/>
        </w:rPr>
      </w:pPr>
      <w:r w:rsidRPr="00903A04">
        <w:rPr>
          <w:rFonts w:ascii="Times New Roman" w:hAnsi="Times New Roman"/>
          <w:sz w:val="24"/>
        </w:rPr>
        <w:t xml:space="preserve">Celkové výdavky na rozvoj obrany sú plánované v sume </w:t>
      </w:r>
      <w:r>
        <w:rPr>
          <w:rFonts w:ascii="Times New Roman" w:hAnsi="Times New Roman"/>
          <w:sz w:val="24"/>
        </w:rPr>
        <w:t>638</w:t>
      </w:r>
      <w:r w:rsidRPr="00903A04">
        <w:rPr>
          <w:rFonts w:ascii="Times New Roman" w:hAnsi="Times New Roman"/>
          <w:sz w:val="24"/>
        </w:rPr>
        <w:t xml:space="preserve"> mil. eur. </w:t>
      </w:r>
      <w:r w:rsidRPr="00AC25C7">
        <w:rPr>
          <w:rFonts w:ascii="Times New Roman" w:hAnsi="Times New Roman"/>
          <w:sz w:val="24"/>
        </w:rPr>
        <w:t>Výdavky na investičné projekty v realizačnej fáze („zazmluvnené“ výdavky) sú v roku 2022 vo výške 384 mil. eur.</w:t>
      </w:r>
    </w:p>
    <w:p w:rsidR="006A36A0" w:rsidRPr="005A02A6" w:rsidRDefault="006A36A0" w:rsidP="006A36A0">
      <w:pPr>
        <w:spacing w:after="0"/>
        <w:jc w:val="both"/>
        <w:rPr>
          <w:rFonts w:ascii="Times New Roman" w:hAnsi="Times New Roman"/>
          <w:sz w:val="24"/>
          <w:highlight w:val="lightGray"/>
        </w:rPr>
      </w:pPr>
    </w:p>
    <w:p w:rsidR="006A36A0" w:rsidRDefault="006A36A0" w:rsidP="006A36A0">
      <w:pPr>
        <w:spacing w:after="0"/>
        <w:rPr>
          <w:rFonts w:ascii="Times New Roman" w:hAnsi="Times New Roman"/>
          <w:b/>
          <w:color w:val="5B9BD5"/>
          <w:sz w:val="24"/>
          <w:szCs w:val="24"/>
        </w:rPr>
      </w:pPr>
      <w:r w:rsidRPr="00903A04">
        <w:rPr>
          <w:rFonts w:ascii="Times New Roman" w:hAnsi="Times New Roman"/>
          <w:b/>
          <w:color w:val="5B9BD5"/>
          <w:sz w:val="24"/>
          <w:szCs w:val="24"/>
        </w:rPr>
        <w:t>Obrana</w:t>
      </w:r>
    </w:p>
    <w:p w:rsidR="006A36A0" w:rsidRPr="00903A04" w:rsidRDefault="006A36A0" w:rsidP="006A36A0">
      <w:pPr>
        <w:spacing w:after="0"/>
        <w:rPr>
          <w:rFonts w:ascii="Times New Roman" w:hAnsi="Times New Roman"/>
          <w:b/>
          <w:color w:val="5B9BD5"/>
          <w:sz w:val="24"/>
          <w:szCs w:val="24"/>
        </w:rPr>
      </w:pPr>
    </w:p>
    <w:p w:rsidR="006A36A0" w:rsidRPr="00903A04" w:rsidRDefault="006A36A0" w:rsidP="006A36A0">
      <w:pPr>
        <w:spacing w:after="0"/>
        <w:jc w:val="both"/>
        <w:rPr>
          <w:rFonts w:ascii="Times New Roman" w:hAnsi="Times New Roman"/>
          <w:sz w:val="24"/>
          <w:szCs w:val="24"/>
        </w:rPr>
      </w:pPr>
      <w:r w:rsidRPr="00903A04">
        <w:rPr>
          <w:rFonts w:ascii="Times New Roman" w:hAnsi="Times New Roman"/>
          <w:sz w:val="24"/>
          <w:szCs w:val="24"/>
        </w:rPr>
        <w:t>V rámci programu Obrana</w:t>
      </w:r>
      <w:r w:rsidRPr="00903A04">
        <w:rPr>
          <w:rFonts w:ascii="Times New Roman" w:hAnsi="Times New Roman"/>
          <w:b/>
          <w:sz w:val="24"/>
          <w:szCs w:val="24"/>
        </w:rPr>
        <w:t xml:space="preserve"> </w:t>
      </w:r>
      <w:r w:rsidRPr="00903A04">
        <w:rPr>
          <w:rFonts w:ascii="Times New Roman" w:hAnsi="Times New Roman"/>
          <w:sz w:val="24"/>
          <w:szCs w:val="24"/>
        </w:rPr>
        <w:t>sú rozpočtované výdavky na rok 2022 v sume 1,18 mld. eur najmä na Velenie a zaručovanie obrany, t. j. na činnosť ozbrojených síl SR vrátane operácií medzinárodného krízového manažmentu, na Riadenie a podporu obrany, t. j. najmä  na špeciálnu podporu, bezpečnostnú podporu, správu nehnuteľného majetku a na činnosť 10 rozpočtových organizácii v zriaďovateľskej pôsobnosti MO SR.</w:t>
      </w:r>
    </w:p>
    <w:p w:rsidR="006A36A0" w:rsidRPr="00903A04" w:rsidRDefault="006A36A0" w:rsidP="006A36A0">
      <w:pPr>
        <w:spacing w:after="0"/>
        <w:jc w:val="both"/>
        <w:rPr>
          <w:rFonts w:ascii="Times New Roman" w:hAnsi="Times New Roman"/>
          <w:sz w:val="24"/>
          <w:szCs w:val="24"/>
        </w:rPr>
      </w:pPr>
    </w:p>
    <w:p w:rsidR="006A36A0" w:rsidRPr="00903A04" w:rsidRDefault="006A36A0" w:rsidP="006A36A0">
      <w:pPr>
        <w:spacing w:after="0"/>
        <w:jc w:val="both"/>
        <w:rPr>
          <w:rFonts w:ascii="Times New Roman" w:hAnsi="Times New Roman"/>
          <w:sz w:val="24"/>
          <w:szCs w:val="24"/>
        </w:rPr>
      </w:pPr>
      <w:r w:rsidRPr="00903A04">
        <w:rPr>
          <w:rFonts w:ascii="Times New Roman" w:hAnsi="Times New Roman"/>
          <w:sz w:val="24"/>
          <w:szCs w:val="24"/>
        </w:rPr>
        <w:t>V rámci systému sociálneho zabezpečenia definovaného v zákone č. 328/2002 Z. z. o sociálnom zabezpečení policajtov a vojakov v roku 2022 sú vyčlenené prostriedky na osobitný účet v sume 57,3 mil. eur.</w:t>
      </w:r>
    </w:p>
    <w:p w:rsidR="006A36A0" w:rsidRPr="00903A04" w:rsidRDefault="006A36A0" w:rsidP="006A36A0">
      <w:pPr>
        <w:spacing w:after="0"/>
        <w:jc w:val="both"/>
        <w:rPr>
          <w:rFonts w:ascii="Times New Roman" w:hAnsi="Times New Roman"/>
          <w:sz w:val="24"/>
          <w:szCs w:val="24"/>
        </w:rPr>
      </w:pPr>
    </w:p>
    <w:p w:rsidR="006A36A0" w:rsidRPr="00903A04" w:rsidRDefault="006A36A0" w:rsidP="006A36A0">
      <w:pPr>
        <w:spacing w:after="0"/>
        <w:jc w:val="both"/>
        <w:rPr>
          <w:rFonts w:ascii="Times New Roman" w:hAnsi="Times New Roman"/>
          <w:sz w:val="24"/>
        </w:rPr>
      </w:pPr>
      <w:r w:rsidRPr="00903A04">
        <w:rPr>
          <w:rFonts w:ascii="Times New Roman" w:hAnsi="Times New Roman"/>
          <w:sz w:val="24"/>
        </w:rPr>
        <w:t xml:space="preserve">Peňažnou dávkou poskytovanou vojakom je aj stabilizačný príspevok, ktorý sa vypláca v zmysle  zákona č. 281/2015 Z. z. o štátnej službe profesionálnych vojakov. Prostriedky určené na stabilizačný príspevok na rok 2022 sú rozpočtované v sume 54,8 mil. eur.  </w:t>
      </w:r>
    </w:p>
    <w:p w:rsidR="006A36A0" w:rsidRPr="00903A04" w:rsidRDefault="006A36A0" w:rsidP="006A36A0">
      <w:pPr>
        <w:spacing w:after="0"/>
        <w:jc w:val="both"/>
        <w:rPr>
          <w:rFonts w:ascii="Times New Roman" w:hAnsi="Times New Roman"/>
          <w:sz w:val="24"/>
        </w:rPr>
      </w:pPr>
    </w:p>
    <w:p w:rsidR="006A36A0" w:rsidRPr="00903A04" w:rsidRDefault="006A36A0" w:rsidP="006A36A0">
      <w:pPr>
        <w:spacing w:after="0" w:line="240" w:lineRule="auto"/>
        <w:jc w:val="both"/>
        <w:rPr>
          <w:rFonts w:ascii="Times New Roman" w:hAnsi="Times New Roman"/>
          <w:sz w:val="24"/>
          <w:szCs w:val="24"/>
        </w:rPr>
      </w:pPr>
      <w:r w:rsidRPr="00903A04">
        <w:rPr>
          <w:rFonts w:ascii="Times New Roman" w:hAnsi="Times New Roman"/>
          <w:sz w:val="24"/>
          <w:szCs w:val="24"/>
        </w:rPr>
        <w:t xml:space="preserve">V oblasti operácií mimo územia štátu kapitola disponuje finančnými prostriedkami na rok 2022 v sume 55,4 mil. eur. K 31. augustu 2021 pôsobilo v rámci operácií mimo územia štátu </w:t>
      </w:r>
      <w:r w:rsidRPr="00903A04">
        <w:rPr>
          <w:rFonts w:ascii="Times New Roman" w:hAnsi="Times New Roman"/>
          <w:sz w:val="24"/>
          <w:szCs w:val="24"/>
        </w:rPr>
        <w:br/>
        <w:t xml:space="preserve">437 vojakov. Slovenskí vojaci pôsobia v nasledovných operáciách a misiách: </w:t>
      </w:r>
    </w:p>
    <w:p w:rsidR="006A36A0" w:rsidRPr="00903A04" w:rsidRDefault="006A36A0" w:rsidP="006A36A0">
      <w:pPr>
        <w:spacing w:after="0" w:line="240" w:lineRule="auto"/>
        <w:jc w:val="both"/>
        <w:rPr>
          <w:rFonts w:ascii="Times New Roman" w:hAnsi="Times New Roman"/>
          <w:sz w:val="24"/>
          <w:szCs w:val="24"/>
        </w:rPr>
      </w:pPr>
      <w:r w:rsidRPr="00903A04">
        <w:rPr>
          <w:rFonts w:ascii="Times New Roman" w:hAnsi="Times New Roman"/>
          <w:sz w:val="24"/>
          <w:szCs w:val="24"/>
        </w:rPr>
        <w:t xml:space="preserve">Operácie OSN: </w:t>
      </w:r>
      <w:r w:rsidRPr="00903A04">
        <w:rPr>
          <w:rFonts w:ascii="Times New Roman" w:hAnsi="Times New Roman"/>
          <w:sz w:val="24"/>
          <w:szCs w:val="24"/>
        </w:rPr>
        <w:tab/>
      </w:r>
      <w:r>
        <w:rPr>
          <w:rFonts w:ascii="Times New Roman" w:hAnsi="Times New Roman"/>
          <w:sz w:val="24"/>
          <w:szCs w:val="24"/>
        </w:rPr>
        <w:t xml:space="preserve">UNFICYP Cyprus - </w:t>
      </w:r>
      <w:r w:rsidRPr="00903A04">
        <w:rPr>
          <w:rFonts w:ascii="Times New Roman" w:hAnsi="Times New Roman"/>
          <w:sz w:val="24"/>
          <w:szCs w:val="24"/>
        </w:rPr>
        <w:t>239 osôb, UNTSO Sýria - 3 osoby,</w:t>
      </w:r>
    </w:p>
    <w:p w:rsidR="006A36A0" w:rsidRPr="00903A04" w:rsidRDefault="006A36A0" w:rsidP="006A36A0">
      <w:pPr>
        <w:spacing w:after="0" w:line="240" w:lineRule="auto"/>
        <w:ind w:left="2124" w:hanging="2124"/>
        <w:jc w:val="both"/>
        <w:rPr>
          <w:rFonts w:ascii="Times New Roman" w:hAnsi="Times New Roman"/>
          <w:sz w:val="24"/>
          <w:szCs w:val="24"/>
        </w:rPr>
      </w:pPr>
      <w:r w:rsidRPr="00903A04">
        <w:rPr>
          <w:rFonts w:ascii="Times New Roman" w:hAnsi="Times New Roman"/>
          <w:sz w:val="24"/>
          <w:szCs w:val="24"/>
        </w:rPr>
        <w:t xml:space="preserve">Operácie EÚ: </w:t>
      </w:r>
      <w:r w:rsidRPr="00903A04">
        <w:rPr>
          <w:rFonts w:ascii="Times New Roman" w:hAnsi="Times New Roman"/>
          <w:sz w:val="24"/>
          <w:szCs w:val="24"/>
        </w:rPr>
        <w:tab/>
        <w:t>Althea Bosna a Hercegovina - 46 osôb, EÚ MM Gruzínsko - 1 osoba,   EUNAV</w:t>
      </w:r>
      <w:r>
        <w:rPr>
          <w:rFonts w:ascii="Times New Roman" w:hAnsi="Times New Roman"/>
          <w:sz w:val="24"/>
          <w:szCs w:val="24"/>
        </w:rPr>
        <w:t xml:space="preserve">FOR MED IRINI - </w:t>
      </w:r>
      <w:r w:rsidRPr="00903A04">
        <w:rPr>
          <w:rFonts w:ascii="Times New Roman" w:hAnsi="Times New Roman"/>
          <w:sz w:val="24"/>
          <w:szCs w:val="24"/>
        </w:rPr>
        <w:t xml:space="preserve">2 osoby, EUTM </w:t>
      </w:r>
      <w:r>
        <w:rPr>
          <w:rFonts w:ascii="Times New Roman" w:hAnsi="Times New Roman"/>
          <w:sz w:val="24"/>
          <w:szCs w:val="24"/>
        </w:rPr>
        <w:t xml:space="preserve">Mali - </w:t>
      </w:r>
      <w:r w:rsidRPr="00903A04">
        <w:rPr>
          <w:rFonts w:ascii="Times New Roman" w:hAnsi="Times New Roman"/>
          <w:sz w:val="24"/>
          <w:szCs w:val="24"/>
        </w:rPr>
        <w:t>4 osoby, EUTM </w:t>
      </w:r>
      <w:r>
        <w:rPr>
          <w:rFonts w:ascii="Times New Roman" w:hAnsi="Times New Roman"/>
          <w:sz w:val="24"/>
          <w:szCs w:val="24"/>
        </w:rPr>
        <w:t xml:space="preserve">RCA - </w:t>
      </w:r>
      <w:r w:rsidRPr="00903A04">
        <w:rPr>
          <w:rFonts w:ascii="Times New Roman" w:hAnsi="Times New Roman"/>
          <w:sz w:val="24"/>
          <w:szCs w:val="24"/>
        </w:rPr>
        <w:t>2 osoby,</w:t>
      </w:r>
    </w:p>
    <w:p w:rsidR="006A36A0" w:rsidRPr="00903A04" w:rsidRDefault="006A36A0" w:rsidP="006A36A0">
      <w:pPr>
        <w:spacing w:after="0" w:line="240" w:lineRule="auto"/>
        <w:ind w:left="2124" w:hanging="2124"/>
        <w:jc w:val="both"/>
        <w:rPr>
          <w:rFonts w:ascii="Times New Roman" w:hAnsi="Times New Roman"/>
          <w:sz w:val="24"/>
          <w:szCs w:val="24"/>
        </w:rPr>
      </w:pPr>
      <w:r w:rsidRPr="00903A04">
        <w:rPr>
          <w:rFonts w:ascii="Times New Roman" w:hAnsi="Times New Roman"/>
          <w:sz w:val="24"/>
          <w:szCs w:val="24"/>
        </w:rPr>
        <w:t xml:space="preserve">Operácie NATO: </w:t>
      </w:r>
      <w:r w:rsidRPr="00903A04">
        <w:rPr>
          <w:rFonts w:ascii="Times New Roman" w:hAnsi="Times New Roman"/>
          <w:sz w:val="24"/>
          <w:szCs w:val="24"/>
        </w:rPr>
        <w:tab/>
        <w:t>NATO HQ Sarajevo - 1 osoba, NATO MISSION IRAQ - 5 osôb,                      eFP Lotyšsko - 134 osôb,</w:t>
      </w:r>
    </w:p>
    <w:p w:rsidR="006A36A0" w:rsidRPr="00903A04" w:rsidRDefault="006A36A0" w:rsidP="006A36A0">
      <w:pPr>
        <w:spacing w:after="0" w:line="240" w:lineRule="auto"/>
        <w:ind w:left="2127" w:hanging="2127"/>
        <w:jc w:val="both"/>
        <w:rPr>
          <w:rFonts w:ascii="Times New Roman" w:hAnsi="Times New Roman"/>
          <w:sz w:val="24"/>
          <w:szCs w:val="24"/>
        </w:rPr>
      </w:pPr>
      <w:r w:rsidRPr="00903A04">
        <w:rPr>
          <w:rFonts w:ascii="Times New Roman" w:hAnsi="Times New Roman"/>
          <w:sz w:val="24"/>
          <w:szCs w:val="24"/>
        </w:rPr>
        <w:t xml:space="preserve">SPOLU: </w:t>
      </w:r>
      <w:r w:rsidRPr="00903A04">
        <w:rPr>
          <w:rFonts w:ascii="Times New Roman" w:hAnsi="Times New Roman"/>
          <w:sz w:val="24"/>
          <w:szCs w:val="24"/>
        </w:rPr>
        <w:tab/>
        <w:t>437 vojakov k 31. augustu 2021.</w:t>
      </w:r>
    </w:p>
    <w:p w:rsidR="006A36A0" w:rsidRPr="00903A04" w:rsidRDefault="006A36A0" w:rsidP="006A36A0">
      <w:pPr>
        <w:spacing w:after="0" w:line="240" w:lineRule="auto"/>
        <w:jc w:val="both"/>
        <w:rPr>
          <w:rFonts w:ascii="Times New Roman" w:hAnsi="Times New Roman"/>
          <w:bCs/>
          <w:sz w:val="24"/>
          <w:szCs w:val="24"/>
        </w:rPr>
      </w:pPr>
    </w:p>
    <w:p w:rsidR="006A36A0" w:rsidRPr="00903A04" w:rsidRDefault="006A36A0" w:rsidP="006A36A0">
      <w:pPr>
        <w:spacing w:after="0" w:line="240" w:lineRule="auto"/>
        <w:jc w:val="both"/>
        <w:rPr>
          <w:rFonts w:ascii="Times New Roman" w:hAnsi="Times New Roman"/>
          <w:sz w:val="24"/>
          <w:szCs w:val="24"/>
        </w:rPr>
      </w:pPr>
      <w:r w:rsidRPr="00903A04">
        <w:rPr>
          <w:rFonts w:ascii="Times New Roman" w:hAnsi="Times New Roman"/>
          <w:bCs/>
          <w:sz w:val="24"/>
          <w:szCs w:val="24"/>
        </w:rPr>
        <w:t xml:space="preserve">MO SR má vo svojej zriaďovateľskej pôsobnosti príspevkovú organizáciu </w:t>
      </w:r>
      <w:r w:rsidRPr="00903A04">
        <w:rPr>
          <w:rFonts w:ascii="Times New Roman" w:hAnsi="Times New Roman"/>
          <w:sz w:val="24"/>
          <w:szCs w:val="24"/>
        </w:rPr>
        <w:t xml:space="preserve">Ústredná vojenská nemocnica SNP Ružomberok – FN, ktorá má rozpočtované výdavky na rok 2022 v sume </w:t>
      </w:r>
      <w:r w:rsidRPr="00903A04">
        <w:rPr>
          <w:rFonts w:ascii="Times New Roman" w:hAnsi="Times New Roman"/>
          <w:sz w:val="24"/>
          <w:szCs w:val="24"/>
        </w:rPr>
        <w:br/>
        <w:t xml:space="preserve">73,2 mil. eur a príspevkovú organizáciu Bytová agentúra rezortu ministerstva obrany Trenčín, ktorá má rozpočtované výdavky na rok 2022 v sume 5,85 mil. eur.     </w:t>
      </w:r>
    </w:p>
    <w:p w:rsidR="006A36A0" w:rsidRPr="00903A04" w:rsidRDefault="006A36A0" w:rsidP="006A36A0">
      <w:pPr>
        <w:spacing w:after="0"/>
        <w:jc w:val="both"/>
        <w:rPr>
          <w:rFonts w:ascii="Times New Roman" w:hAnsi="Times New Roman"/>
          <w:sz w:val="24"/>
          <w:szCs w:val="24"/>
        </w:rPr>
      </w:pPr>
    </w:p>
    <w:p w:rsidR="006A36A0" w:rsidRPr="00903A04" w:rsidRDefault="006A36A0" w:rsidP="006A36A0">
      <w:pPr>
        <w:spacing w:after="0"/>
        <w:jc w:val="both"/>
        <w:rPr>
          <w:rFonts w:ascii="Times New Roman" w:hAnsi="Times New Roman"/>
          <w:sz w:val="24"/>
        </w:rPr>
      </w:pPr>
      <w:r w:rsidRPr="00903A04">
        <w:rPr>
          <w:rFonts w:ascii="Times New Roman" w:hAnsi="Times New Roman"/>
          <w:sz w:val="24"/>
        </w:rPr>
        <w:t>V súlade so zákonom o poskytovaní dotácií v pôsobnosti MO SR sú na rok 2022 plánované prostriedky na dotácie pre Vojenské lesy a majetky, š. p. Pliešovce vo výške 3,20 mil. eur na lesníctvo.</w:t>
      </w:r>
    </w:p>
    <w:p w:rsidR="006A36A0" w:rsidRPr="00903A04" w:rsidRDefault="006A36A0" w:rsidP="006A36A0">
      <w:pPr>
        <w:spacing w:after="0"/>
        <w:jc w:val="both"/>
        <w:rPr>
          <w:sz w:val="24"/>
        </w:rPr>
      </w:pPr>
    </w:p>
    <w:p w:rsidR="006A36A0" w:rsidRDefault="006A36A0" w:rsidP="006A36A0">
      <w:pPr>
        <w:spacing w:after="0"/>
        <w:jc w:val="both"/>
        <w:rPr>
          <w:rFonts w:ascii="Times New Roman" w:hAnsi="Times New Roman"/>
          <w:sz w:val="24"/>
        </w:rPr>
      </w:pPr>
      <w:r w:rsidRPr="00903A04">
        <w:rPr>
          <w:rFonts w:ascii="Times New Roman" w:hAnsi="Times New Roman"/>
          <w:sz w:val="24"/>
        </w:rPr>
        <w:t xml:space="preserve">V rámci programu Obrana má MO SR alokované kapitálové výdavky v kapitole VPS na rok 2022 v sume 15,5 mil. eur. Celkové výdavky v programe Obrana sú plánované v sume </w:t>
      </w:r>
      <w:r w:rsidRPr="00903A04">
        <w:rPr>
          <w:rFonts w:ascii="Times New Roman" w:hAnsi="Times New Roman"/>
          <w:sz w:val="24"/>
        </w:rPr>
        <w:br/>
        <w:t xml:space="preserve">1,19 mld. eur.     </w:t>
      </w:r>
    </w:p>
    <w:p w:rsidR="006A36A0" w:rsidRPr="00903A04" w:rsidRDefault="006A36A0" w:rsidP="006A36A0">
      <w:pPr>
        <w:spacing w:after="0"/>
        <w:jc w:val="both"/>
        <w:rPr>
          <w:rFonts w:ascii="Times New Roman" w:hAnsi="Times New Roman"/>
          <w:sz w:val="24"/>
        </w:rPr>
      </w:pPr>
    </w:p>
    <w:p w:rsidR="006A36A0" w:rsidRDefault="006A36A0" w:rsidP="006A36A0">
      <w:pPr>
        <w:spacing w:after="0"/>
        <w:rPr>
          <w:rFonts w:ascii="Times New Roman" w:hAnsi="Times New Roman"/>
          <w:b/>
          <w:color w:val="5B9BD5"/>
          <w:sz w:val="24"/>
          <w:szCs w:val="24"/>
        </w:rPr>
      </w:pPr>
      <w:r w:rsidRPr="00903A04">
        <w:rPr>
          <w:rFonts w:ascii="Times New Roman" w:hAnsi="Times New Roman"/>
          <w:b/>
          <w:color w:val="5B9BD5"/>
          <w:sz w:val="24"/>
          <w:szCs w:val="24"/>
        </w:rPr>
        <w:t>Podpora obrany štátu a ostatné výdavky</w:t>
      </w:r>
    </w:p>
    <w:p w:rsidR="006A36A0" w:rsidRPr="00903A04" w:rsidRDefault="006A36A0" w:rsidP="006A36A0">
      <w:pPr>
        <w:spacing w:after="0"/>
        <w:rPr>
          <w:rFonts w:ascii="Times New Roman" w:hAnsi="Times New Roman"/>
          <w:b/>
          <w:color w:val="5B9BD5"/>
          <w:sz w:val="24"/>
          <w:szCs w:val="24"/>
        </w:rPr>
      </w:pPr>
    </w:p>
    <w:p w:rsidR="006A36A0" w:rsidRPr="00903A04" w:rsidRDefault="006A36A0" w:rsidP="006A36A0">
      <w:pPr>
        <w:spacing w:after="0"/>
        <w:jc w:val="both"/>
        <w:rPr>
          <w:rFonts w:ascii="Times New Roman" w:hAnsi="Times New Roman"/>
          <w:sz w:val="24"/>
          <w:szCs w:val="24"/>
        </w:rPr>
      </w:pPr>
      <w:r w:rsidRPr="00903A04">
        <w:rPr>
          <w:rFonts w:ascii="Times New Roman" w:hAnsi="Times New Roman"/>
          <w:sz w:val="24"/>
          <w:szCs w:val="24"/>
        </w:rPr>
        <w:t xml:space="preserve">V rámci medzirezortných programov sa zabezpečujú úlohy na rok 2022 v celkovej sume </w:t>
      </w:r>
      <w:r w:rsidRPr="00903A04">
        <w:rPr>
          <w:rFonts w:ascii="Times New Roman" w:hAnsi="Times New Roman"/>
          <w:sz w:val="24"/>
          <w:szCs w:val="24"/>
        </w:rPr>
        <w:br/>
        <w:t>7,82 mil. eur v oblasti výskumu a vývoja na podporu obrany štátu, hospodárskej mobilizácie, účasti civilných expertov na aktivitách krízového manažmentu mimo územia SR, oficiálnej rozvojovej pomoci a realizácie II. etapy implementácie MZP SZO v SR.</w:t>
      </w:r>
    </w:p>
    <w:p w:rsidR="006A36A0" w:rsidRPr="00903A04" w:rsidRDefault="006A36A0" w:rsidP="006A36A0">
      <w:pPr>
        <w:spacing w:after="0"/>
        <w:jc w:val="both"/>
        <w:rPr>
          <w:rFonts w:ascii="Times New Roman" w:hAnsi="Times New Roman"/>
          <w:sz w:val="24"/>
          <w:szCs w:val="24"/>
        </w:rPr>
      </w:pPr>
    </w:p>
    <w:p w:rsidR="006A36A0" w:rsidRPr="00903A04" w:rsidRDefault="006A36A0" w:rsidP="006A36A0">
      <w:pPr>
        <w:spacing w:after="0"/>
        <w:jc w:val="both"/>
        <w:rPr>
          <w:rFonts w:ascii="Times New Roman" w:hAnsi="Times New Roman"/>
          <w:sz w:val="24"/>
          <w:szCs w:val="24"/>
        </w:rPr>
      </w:pPr>
      <w:r w:rsidRPr="00903A04">
        <w:rPr>
          <w:rFonts w:ascii="Times New Roman" w:hAnsi="Times New Roman"/>
          <w:sz w:val="24"/>
          <w:szCs w:val="24"/>
        </w:rPr>
        <w:t>MO SR je gestorom medzirezortného programu Podpora obrany štátu, ktorý v roku 2022 disponuje prostriedkami v sume 5,28 mil. eur vrátane výdavkov ostatných kapitol štátneho rozpočtu, z toho MO SR v sume 2,50 mil. eur. Prostredníctvom daného programu sa zabezpečujú  požiadavky ozbrojených síl SR, ktoré sú potrebné na zabezpe</w:t>
      </w:r>
      <w:r w:rsidRPr="00903A04">
        <w:rPr>
          <w:rFonts w:ascii="Times New Roman" w:hAnsi="Times New Roman" w:hint="eastAsia"/>
          <w:sz w:val="24"/>
          <w:szCs w:val="24"/>
        </w:rPr>
        <w:t>č</w:t>
      </w:r>
      <w:r w:rsidRPr="00903A04">
        <w:rPr>
          <w:rFonts w:ascii="Times New Roman" w:hAnsi="Times New Roman"/>
          <w:sz w:val="24"/>
          <w:szCs w:val="24"/>
        </w:rPr>
        <w:t xml:space="preserve">ovanie obrany štátu. Zámerom programu je výskumno-vývojová základňa zabezpečujúca rozvoj obranných spôsobilostí ozbrojených síl SR pri využívaní kapacít obranného priemyslu SR a medzinárodnej spolupráce. </w:t>
      </w:r>
    </w:p>
    <w:p w:rsidR="006A36A0" w:rsidRPr="00903A04" w:rsidRDefault="006A36A0" w:rsidP="006A36A0">
      <w:pPr>
        <w:spacing w:after="0"/>
        <w:jc w:val="both"/>
        <w:rPr>
          <w:rFonts w:ascii="Times New Roman" w:hAnsi="Times New Roman"/>
          <w:sz w:val="24"/>
          <w:szCs w:val="24"/>
        </w:rPr>
      </w:pPr>
      <w:r w:rsidRPr="00903A04">
        <w:rPr>
          <w:rFonts w:ascii="Times New Roman" w:hAnsi="Times New Roman"/>
          <w:sz w:val="24"/>
          <w:szCs w:val="24"/>
        </w:rPr>
        <w:t xml:space="preserve">  </w:t>
      </w:r>
    </w:p>
    <w:p w:rsidR="006A36A0" w:rsidRDefault="006A36A0" w:rsidP="006A36A0">
      <w:pPr>
        <w:spacing w:after="0"/>
        <w:jc w:val="both"/>
        <w:rPr>
          <w:rFonts w:ascii="Times New Roman" w:hAnsi="Times New Roman"/>
          <w:bCs/>
          <w:sz w:val="24"/>
          <w:szCs w:val="24"/>
        </w:rPr>
      </w:pPr>
      <w:r w:rsidRPr="00903A04">
        <w:rPr>
          <w:rFonts w:ascii="Times New Roman" w:hAnsi="Times New Roman"/>
          <w:sz w:val="24"/>
          <w:szCs w:val="24"/>
        </w:rPr>
        <w:t xml:space="preserve">Výdavky na samostatných účtoch kapitoly v sume 223 mil. eur sú určené predovšetkým </w:t>
      </w:r>
      <w:r w:rsidRPr="00903A04">
        <w:rPr>
          <w:rFonts w:ascii="Times New Roman" w:hAnsi="Times New Roman"/>
          <w:bCs/>
          <w:sz w:val="24"/>
          <w:szCs w:val="24"/>
        </w:rPr>
        <w:t>na financovanie sociálneho zabezpečenia vojakov, podnikateľskú činnosť Akadémie ozbrojených síl M. R. Štefánika v Liptovskom Mikuláši a na výdavky v súvislosti s prijatými prostriedkami na základe darovacej zmluvy alebo formou dotácie alebo grantu na projekty pre vysoké školy.</w:t>
      </w:r>
    </w:p>
    <w:p w:rsidR="006A36A0" w:rsidRDefault="006A36A0" w:rsidP="006A36A0">
      <w:pPr>
        <w:spacing w:after="0"/>
        <w:jc w:val="both"/>
        <w:rPr>
          <w:rFonts w:ascii="Times New Roman" w:hAnsi="Times New Roman"/>
          <w:sz w:val="24"/>
        </w:rPr>
      </w:pPr>
    </w:p>
    <w:p w:rsidR="006A36A0" w:rsidRDefault="006A36A0" w:rsidP="006A36A0">
      <w:pPr>
        <w:spacing w:after="0"/>
        <w:jc w:val="both"/>
        <w:rPr>
          <w:rFonts w:ascii="Times New Roman" w:hAnsi="Times New Roman"/>
          <w:sz w:val="24"/>
          <w:szCs w:val="24"/>
        </w:rPr>
      </w:pPr>
      <w:r w:rsidRPr="00DD3AD9">
        <w:rPr>
          <w:rFonts w:ascii="Times New Roman" w:hAnsi="Times New Roman"/>
          <w:sz w:val="24"/>
          <w:szCs w:val="24"/>
        </w:rPr>
        <w:t>Výsledkovými ukazovate</w:t>
      </w:r>
      <w:r w:rsidRPr="00DD3AD9">
        <w:rPr>
          <w:rFonts w:ascii="Times New Roman" w:hAnsi="Times New Roman" w:hint="eastAsia"/>
          <w:sz w:val="24"/>
          <w:szCs w:val="24"/>
        </w:rPr>
        <w:t>ľ</w:t>
      </w:r>
      <w:r w:rsidRPr="00DD3AD9">
        <w:rPr>
          <w:rFonts w:ascii="Times New Roman" w:hAnsi="Times New Roman"/>
          <w:sz w:val="24"/>
          <w:szCs w:val="24"/>
        </w:rPr>
        <w:t>mi pre obranu sú plnenie cie</w:t>
      </w:r>
      <w:r w:rsidRPr="00DD3AD9">
        <w:rPr>
          <w:rFonts w:ascii="Times New Roman" w:hAnsi="Times New Roman" w:hint="eastAsia"/>
          <w:sz w:val="24"/>
          <w:szCs w:val="24"/>
        </w:rPr>
        <w:t>ľ</w:t>
      </w:r>
      <w:r w:rsidRPr="00DD3AD9">
        <w:rPr>
          <w:rFonts w:ascii="Times New Roman" w:hAnsi="Times New Roman"/>
          <w:sz w:val="24"/>
          <w:szCs w:val="24"/>
        </w:rPr>
        <w:t>ov spôsobilostí, opera</w:t>
      </w:r>
      <w:r w:rsidRPr="00DD3AD9">
        <w:rPr>
          <w:rFonts w:ascii="Times New Roman" w:hAnsi="Times New Roman" w:hint="eastAsia"/>
          <w:sz w:val="24"/>
          <w:szCs w:val="24"/>
        </w:rPr>
        <w:t>č</w:t>
      </w:r>
      <w:r w:rsidRPr="00DD3AD9">
        <w:rPr>
          <w:rFonts w:ascii="Times New Roman" w:hAnsi="Times New Roman"/>
          <w:sz w:val="24"/>
          <w:szCs w:val="24"/>
        </w:rPr>
        <w:t>ná pripravenos</w:t>
      </w:r>
      <w:r w:rsidRPr="00DD3AD9">
        <w:rPr>
          <w:rFonts w:ascii="Times New Roman" w:hAnsi="Times New Roman" w:hint="eastAsia"/>
          <w:sz w:val="24"/>
          <w:szCs w:val="24"/>
        </w:rPr>
        <w:t>ť</w:t>
      </w:r>
      <w:r w:rsidRPr="00DD3AD9">
        <w:rPr>
          <w:rFonts w:ascii="Times New Roman" w:hAnsi="Times New Roman"/>
          <w:sz w:val="24"/>
          <w:szCs w:val="24"/>
        </w:rPr>
        <w:t xml:space="preserve"> a nasadenie v medzinárodných operáciách.</w:t>
      </w:r>
    </w:p>
    <w:p w:rsidR="006A36A0" w:rsidRDefault="006A36A0" w:rsidP="006A36A0">
      <w:pPr>
        <w:spacing w:after="0"/>
        <w:jc w:val="both"/>
        <w:rPr>
          <w:rFonts w:ascii="Times New Roman" w:hAnsi="Times New Roman"/>
          <w:color w:val="5B9BD5"/>
          <w:sz w:val="24"/>
          <w:szCs w:val="24"/>
        </w:rPr>
      </w:pPr>
    </w:p>
    <w:p w:rsidR="006A36A0" w:rsidRDefault="006A36A0" w:rsidP="006A36A0">
      <w:pPr>
        <w:spacing w:after="0"/>
        <w:jc w:val="both"/>
        <w:rPr>
          <w:rFonts w:ascii="Times New Roman" w:hAnsi="Times New Roman"/>
          <w:color w:val="5B9BD5"/>
          <w:sz w:val="24"/>
          <w:szCs w:val="24"/>
        </w:rPr>
      </w:pPr>
    </w:p>
    <w:p w:rsidR="00015EA0" w:rsidRDefault="00015EA0" w:rsidP="006A36A0">
      <w:pPr>
        <w:spacing w:after="0"/>
        <w:jc w:val="both"/>
        <w:rPr>
          <w:rFonts w:ascii="Times New Roman" w:hAnsi="Times New Roman"/>
          <w:color w:val="5B9BD5"/>
          <w:sz w:val="24"/>
          <w:szCs w:val="24"/>
        </w:rPr>
      </w:pPr>
    </w:p>
    <w:p w:rsidR="00015EA0" w:rsidRDefault="00015EA0" w:rsidP="006A36A0">
      <w:pPr>
        <w:spacing w:after="0"/>
        <w:jc w:val="both"/>
        <w:rPr>
          <w:rFonts w:ascii="Times New Roman" w:hAnsi="Times New Roman"/>
          <w:color w:val="5B9BD5"/>
          <w:sz w:val="24"/>
          <w:szCs w:val="24"/>
        </w:rPr>
      </w:pPr>
    </w:p>
    <w:p w:rsidR="00015EA0" w:rsidRDefault="00015EA0" w:rsidP="006A36A0">
      <w:pPr>
        <w:spacing w:after="0"/>
        <w:jc w:val="both"/>
        <w:rPr>
          <w:rFonts w:ascii="Times New Roman" w:hAnsi="Times New Roman"/>
          <w:color w:val="5B9BD5"/>
          <w:sz w:val="24"/>
          <w:szCs w:val="24"/>
        </w:rPr>
      </w:pPr>
    </w:p>
    <w:p w:rsidR="00015EA0" w:rsidRDefault="00015EA0" w:rsidP="006A36A0">
      <w:pPr>
        <w:spacing w:after="0"/>
        <w:jc w:val="both"/>
        <w:rPr>
          <w:rFonts w:ascii="Times New Roman" w:hAnsi="Times New Roman"/>
          <w:color w:val="5B9BD5"/>
          <w:sz w:val="24"/>
          <w:szCs w:val="24"/>
        </w:rPr>
      </w:pPr>
    </w:p>
    <w:p w:rsidR="00015EA0" w:rsidRDefault="00015EA0" w:rsidP="006A36A0">
      <w:pPr>
        <w:spacing w:after="0"/>
        <w:jc w:val="both"/>
        <w:rPr>
          <w:rFonts w:ascii="Times New Roman" w:hAnsi="Times New Roman"/>
          <w:color w:val="5B9BD5"/>
          <w:sz w:val="24"/>
          <w:szCs w:val="24"/>
        </w:rPr>
      </w:pPr>
    </w:p>
    <w:p w:rsidR="00015EA0" w:rsidRPr="00DD3AD9" w:rsidRDefault="00015EA0" w:rsidP="006A36A0">
      <w:pPr>
        <w:spacing w:after="0"/>
        <w:jc w:val="both"/>
        <w:rPr>
          <w:rFonts w:ascii="Times New Roman" w:hAnsi="Times New Roman"/>
          <w:color w:val="5B9BD5"/>
          <w:sz w:val="24"/>
          <w:szCs w:val="24"/>
        </w:rPr>
      </w:pPr>
    </w:p>
    <w:p w:rsidR="006A36A0" w:rsidRPr="003F447B" w:rsidRDefault="006A36A0" w:rsidP="006A36A0">
      <w:pPr>
        <w:spacing w:after="0"/>
        <w:jc w:val="both"/>
        <w:rPr>
          <w:rFonts w:ascii="Times New Roman" w:hAnsi="Times New Roman"/>
          <w:b/>
          <w:color w:val="5B9BD5"/>
          <w:sz w:val="20"/>
        </w:rPr>
      </w:pPr>
      <w:bookmarkStart w:id="458" w:name="_Toc84528452"/>
      <w:bookmarkStart w:id="459" w:name="_Toc84845328"/>
      <w:r w:rsidRPr="007E7AFC">
        <w:rPr>
          <w:rFonts w:ascii="Times New Roman" w:hAnsi="Times New Roman" w:cs="Times New Roman"/>
          <w:b/>
          <w:color w:val="5B9BD5" w:themeColor="accent1"/>
          <w:sz w:val="20"/>
          <w:szCs w:val="20"/>
        </w:rPr>
        <w:t xml:space="preserve">Tabuľka </w:t>
      </w:r>
      <w:r w:rsidRPr="007E7AFC">
        <w:rPr>
          <w:rFonts w:ascii="Times New Roman" w:hAnsi="Times New Roman" w:cs="Times New Roman"/>
          <w:b/>
          <w:color w:val="5B9BD5" w:themeColor="accent1"/>
          <w:sz w:val="20"/>
          <w:szCs w:val="20"/>
        </w:rPr>
        <w:fldChar w:fldCharType="begin"/>
      </w:r>
      <w:r w:rsidRPr="007E7AFC">
        <w:rPr>
          <w:rFonts w:ascii="Times New Roman" w:hAnsi="Times New Roman" w:cs="Times New Roman"/>
          <w:b/>
          <w:color w:val="5B9BD5" w:themeColor="accent1"/>
          <w:sz w:val="20"/>
          <w:szCs w:val="20"/>
        </w:rPr>
        <w:instrText xml:space="preserve"> SEQ Tabuľka \* ARABIC </w:instrText>
      </w:r>
      <w:r w:rsidRPr="007E7AFC">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104</w:t>
      </w:r>
      <w:r w:rsidRPr="007E7AFC">
        <w:rPr>
          <w:rFonts w:ascii="Times New Roman" w:hAnsi="Times New Roman" w:cs="Times New Roman"/>
          <w:b/>
          <w:color w:val="5B9BD5" w:themeColor="accent1"/>
          <w:sz w:val="20"/>
          <w:szCs w:val="20"/>
        </w:rPr>
        <w:fldChar w:fldCharType="end"/>
      </w:r>
      <w:r w:rsidRPr="00C85795">
        <w:rPr>
          <w:rFonts w:ascii="Times New Roman" w:hAnsi="Times New Roman"/>
          <w:b/>
          <w:color w:val="5B9BD5"/>
          <w:sz w:val="20"/>
        </w:rPr>
        <w:t xml:space="preserve"> – Kľúčové ukazovatele pre obranu</w:t>
      </w:r>
      <w:bookmarkEnd w:id="458"/>
      <w:bookmarkEnd w:id="459"/>
    </w:p>
    <w:tbl>
      <w:tblPr>
        <w:tblW w:w="5000" w:type="pct"/>
        <w:shd w:val="clear" w:color="auto" w:fill="FFFFFF"/>
        <w:tblLayout w:type="fixed"/>
        <w:tblCellMar>
          <w:left w:w="57" w:type="dxa"/>
          <w:right w:w="57" w:type="dxa"/>
        </w:tblCellMar>
        <w:tblLook w:val="04A0" w:firstRow="1" w:lastRow="0" w:firstColumn="1" w:lastColumn="0" w:noHBand="0" w:noVBand="1"/>
      </w:tblPr>
      <w:tblGrid>
        <w:gridCol w:w="1418"/>
        <w:gridCol w:w="3259"/>
        <w:gridCol w:w="1136"/>
        <w:gridCol w:w="564"/>
        <w:gridCol w:w="570"/>
        <w:gridCol w:w="566"/>
        <w:gridCol w:w="548"/>
        <w:gridCol w:w="303"/>
        <w:gridCol w:w="142"/>
        <w:gridCol w:w="566"/>
      </w:tblGrid>
      <w:tr w:rsidR="006A36A0" w:rsidRPr="001703B9" w:rsidTr="006A36A0">
        <w:trPr>
          <w:trHeight w:val="309"/>
        </w:trPr>
        <w:tc>
          <w:tcPr>
            <w:tcW w:w="2578" w:type="pct"/>
            <w:gridSpan w:val="2"/>
            <w:tcBorders>
              <w:top w:val="single" w:sz="4" w:space="0" w:color="auto"/>
              <w:bottom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b/>
                <w:bCs/>
                <w:color w:val="000000"/>
                <w:sz w:val="16"/>
                <w:szCs w:val="16"/>
              </w:rPr>
            </w:pPr>
            <w:r w:rsidRPr="001703B9">
              <w:rPr>
                <w:rFonts w:ascii="Times New Roman" w:eastAsia="Calibri" w:hAnsi="Times New Roman" w:cs="Times New Roman"/>
                <w:b/>
                <w:bCs/>
                <w:color w:val="000000"/>
                <w:sz w:val="16"/>
                <w:szCs w:val="16"/>
              </w:rPr>
              <w:t>Indikátor</w:t>
            </w:r>
          </w:p>
        </w:tc>
        <w:tc>
          <w:tcPr>
            <w:tcW w:w="626" w:type="pct"/>
            <w:tcBorders>
              <w:top w:val="single" w:sz="4" w:space="0" w:color="auto"/>
              <w:bottom w:val="single" w:sz="4" w:space="0" w:color="auto"/>
            </w:tcBorders>
            <w:shd w:val="clear" w:color="auto" w:fill="FFFFFF"/>
            <w:noWrap/>
            <w:vAlign w:val="center"/>
            <w:hideMark/>
          </w:tcPr>
          <w:p w:rsidR="006A36A0" w:rsidRPr="001703B9" w:rsidRDefault="006A36A0" w:rsidP="006A36A0">
            <w:pPr>
              <w:spacing w:after="0" w:line="240" w:lineRule="auto"/>
              <w:jc w:val="center"/>
              <w:rPr>
                <w:rFonts w:ascii="Times New Roman" w:eastAsia="Calibri" w:hAnsi="Times New Roman" w:cs="Times New Roman"/>
                <w:b/>
                <w:bCs/>
                <w:color w:val="000000"/>
                <w:sz w:val="16"/>
                <w:szCs w:val="16"/>
              </w:rPr>
            </w:pPr>
          </w:p>
        </w:tc>
        <w:tc>
          <w:tcPr>
            <w:tcW w:w="311" w:type="pct"/>
            <w:tcBorders>
              <w:top w:val="single" w:sz="4" w:space="0" w:color="auto"/>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b/>
                <w:bCs/>
                <w:color w:val="000000"/>
                <w:sz w:val="16"/>
                <w:szCs w:val="16"/>
              </w:rPr>
            </w:pPr>
            <w:r w:rsidRPr="001703B9">
              <w:rPr>
                <w:rFonts w:ascii="Times New Roman" w:eastAsia="Calibri" w:hAnsi="Times New Roman" w:cs="Times New Roman"/>
                <w:b/>
                <w:bCs/>
                <w:color w:val="000000"/>
                <w:sz w:val="16"/>
                <w:szCs w:val="16"/>
              </w:rPr>
              <w:t>2017</w:t>
            </w:r>
          </w:p>
        </w:tc>
        <w:tc>
          <w:tcPr>
            <w:tcW w:w="314" w:type="pct"/>
            <w:tcBorders>
              <w:top w:val="single" w:sz="4" w:space="0" w:color="auto"/>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b/>
                <w:bCs/>
                <w:color w:val="000000"/>
                <w:sz w:val="16"/>
                <w:szCs w:val="16"/>
              </w:rPr>
            </w:pPr>
            <w:r w:rsidRPr="001703B9">
              <w:rPr>
                <w:rFonts w:ascii="Times New Roman" w:eastAsia="Calibri" w:hAnsi="Times New Roman" w:cs="Times New Roman"/>
                <w:b/>
                <w:bCs/>
                <w:color w:val="000000"/>
                <w:sz w:val="16"/>
                <w:szCs w:val="16"/>
              </w:rPr>
              <w:t>2018</w:t>
            </w:r>
          </w:p>
        </w:tc>
        <w:tc>
          <w:tcPr>
            <w:tcW w:w="312" w:type="pct"/>
            <w:tcBorders>
              <w:top w:val="single" w:sz="4" w:space="0" w:color="auto"/>
              <w:bottom w:val="single" w:sz="4" w:space="0" w:color="auto"/>
            </w:tcBorders>
            <w:shd w:val="clear" w:color="auto" w:fill="FFFFFF"/>
            <w:noWrap/>
            <w:vAlign w:val="center"/>
            <w:hideMark/>
          </w:tcPr>
          <w:p w:rsidR="006A36A0" w:rsidRPr="001703B9" w:rsidRDefault="006A36A0" w:rsidP="006A36A0">
            <w:pPr>
              <w:spacing w:after="0" w:line="240" w:lineRule="auto"/>
              <w:jc w:val="center"/>
              <w:rPr>
                <w:rFonts w:ascii="Times New Roman" w:eastAsia="Calibri" w:hAnsi="Times New Roman" w:cs="Times New Roman"/>
                <w:b/>
                <w:bCs/>
                <w:color w:val="000000"/>
                <w:sz w:val="16"/>
                <w:szCs w:val="16"/>
              </w:rPr>
            </w:pPr>
            <w:r w:rsidRPr="001703B9">
              <w:rPr>
                <w:rFonts w:ascii="Times New Roman" w:eastAsia="Calibri" w:hAnsi="Times New Roman" w:cs="Times New Roman"/>
                <w:b/>
                <w:bCs/>
                <w:color w:val="000000"/>
                <w:sz w:val="16"/>
                <w:szCs w:val="16"/>
              </w:rPr>
              <w:t>2019</w:t>
            </w:r>
          </w:p>
        </w:tc>
        <w:tc>
          <w:tcPr>
            <w:tcW w:w="302" w:type="pct"/>
            <w:tcBorders>
              <w:top w:val="single" w:sz="4" w:space="0" w:color="auto"/>
              <w:bottom w:val="single" w:sz="4" w:space="0" w:color="auto"/>
            </w:tcBorders>
            <w:shd w:val="clear" w:color="auto" w:fill="FFFFFF"/>
            <w:noWrap/>
            <w:vAlign w:val="center"/>
            <w:hideMark/>
          </w:tcPr>
          <w:p w:rsidR="006A36A0" w:rsidRPr="001703B9" w:rsidRDefault="006A36A0" w:rsidP="006A36A0">
            <w:pPr>
              <w:spacing w:after="0" w:line="240" w:lineRule="auto"/>
              <w:jc w:val="center"/>
              <w:rPr>
                <w:rFonts w:ascii="Times New Roman" w:eastAsia="Calibri" w:hAnsi="Times New Roman" w:cs="Times New Roman"/>
                <w:b/>
                <w:bCs/>
                <w:color w:val="000000"/>
                <w:sz w:val="16"/>
                <w:szCs w:val="16"/>
              </w:rPr>
            </w:pPr>
            <w:r w:rsidRPr="001703B9">
              <w:rPr>
                <w:rFonts w:ascii="Times New Roman" w:eastAsia="Calibri" w:hAnsi="Times New Roman" w:cs="Times New Roman"/>
                <w:b/>
                <w:bCs/>
                <w:color w:val="000000"/>
                <w:sz w:val="16"/>
                <w:szCs w:val="16"/>
              </w:rPr>
              <w:t>2020</w:t>
            </w:r>
          </w:p>
        </w:tc>
        <w:tc>
          <w:tcPr>
            <w:tcW w:w="245" w:type="pct"/>
            <w:gridSpan w:val="2"/>
            <w:tcBorders>
              <w:top w:val="single" w:sz="4" w:space="0" w:color="auto"/>
              <w:bottom w:val="single" w:sz="4" w:space="0" w:color="auto"/>
            </w:tcBorders>
            <w:shd w:val="clear" w:color="auto" w:fill="FFFFFF"/>
            <w:noWrap/>
            <w:vAlign w:val="center"/>
            <w:hideMark/>
          </w:tcPr>
          <w:p w:rsidR="006A36A0" w:rsidRPr="001703B9" w:rsidRDefault="006A36A0" w:rsidP="006A36A0">
            <w:pPr>
              <w:spacing w:after="0" w:line="240" w:lineRule="auto"/>
              <w:jc w:val="center"/>
              <w:rPr>
                <w:rFonts w:ascii="Times New Roman" w:hAnsi="Times New Roman" w:cs="Times New Roman"/>
                <w:b/>
                <w:bCs/>
                <w:spacing w:val="-4"/>
                <w:sz w:val="16"/>
                <w:szCs w:val="16"/>
              </w:rPr>
            </w:pPr>
            <w:r w:rsidRPr="001703B9">
              <w:rPr>
                <w:rFonts w:ascii="Times New Roman" w:hAnsi="Times New Roman" w:cs="Times New Roman"/>
                <w:b/>
                <w:bCs/>
                <w:spacing w:val="-4"/>
                <w:sz w:val="16"/>
                <w:szCs w:val="16"/>
              </w:rPr>
              <w:t xml:space="preserve">Cieľ </w:t>
            </w:r>
          </w:p>
          <w:p w:rsidR="006A36A0" w:rsidRPr="001703B9" w:rsidRDefault="006A36A0" w:rsidP="006A36A0">
            <w:pPr>
              <w:spacing w:after="0" w:line="240" w:lineRule="auto"/>
              <w:jc w:val="center"/>
              <w:rPr>
                <w:rFonts w:ascii="Times New Roman" w:eastAsia="Calibri" w:hAnsi="Times New Roman" w:cs="Times New Roman"/>
                <w:b/>
                <w:bCs/>
                <w:color w:val="000000"/>
                <w:spacing w:val="-4"/>
                <w:sz w:val="16"/>
                <w:szCs w:val="16"/>
              </w:rPr>
            </w:pPr>
            <w:r w:rsidRPr="001703B9">
              <w:rPr>
                <w:rFonts w:ascii="Times New Roman" w:hAnsi="Times New Roman" w:cs="Times New Roman"/>
                <w:b/>
                <w:bCs/>
                <w:spacing w:val="-4"/>
                <w:sz w:val="16"/>
                <w:szCs w:val="16"/>
              </w:rPr>
              <w:t>2024</w:t>
            </w:r>
          </w:p>
        </w:tc>
        <w:tc>
          <w:tcPr>
            <w:tcW w:w="313" w:type="pct"/>
            <w:tcBorders>
              <w:top w:val="single" w:sz="4" w:space="0" w:color="auto"/>
              <w:bottom w:val="single" w:sz="4" w:space="0" w:color="auto"/>
            </w:tcBorders>
            <w:shd w:val="clear" w:color="auto" w:fill="FFFFFF"/>
          </w:tcPr>
          <w:p w:rsidR="006A36A0" w:rsidRPr="001703B9" w:rsidRDefault="006A36A0" w:rsidP="006A36A0">
            <w:pPr>
              <w:spacing w:after="0" w:line="240" w:lineRule="auto"/>
              <w:jc w:val="center"/>
              <w:rPr>
                <w:rFonts w:ascii="Times New Roman" w:eastAsia="Calibri" w:hAnsi="Times New Roman" w:cs="Times New Roman"/>
                <w:b/>
                <w:bCs/>
                <w:color w:val="000000"/>
                <w:spacing w:val="-4"/>
                <w:sz w:val="16"/>
                <w:szCs w:val="16"/>
              </w:rPr>
            </w:pPr>
            <w:r w:rsidRPr="001703B9">
              <w:rPr>
                <w:rFonts w:ascii="Times New Roman" w:hAnsi="Times New Roman" w:cs="Times New Roman"/>
                <w:b/>
                <w:bCs/>
                <w:spacing w:val="-4"/>
                <w:sz w:val="16"/>
                <w:szCs w:val="16"/>
              </w:rPr>
              <w:t>Cieľ 2030</w:t>
            </w:r>
          </w:p>
        </w:tc>
      </w:tr>
      <w:tr w:rsidR="006A36A0" w:rsidRPr="001703B9" w:rsidTr="006A36A0">
        <w:trPr>
          <w:trHeight w:val="17"/>
        </w:trPr>
        <w:tc>
          <w:tcPr>
            <w:tcW w:w="782" w:type="pct"/>
            <w:vMerge w:val="restart"/>
            <w:tcBorders>
              <w:top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b/>
                <w:sz w:val="16"/>
                <w:szCs w:val="16"/>
                <w:vertAlign w:val="superscript"/>
              </w:rPr>
            </w:pPr>
            <w:r w:rsidRPr="001703B9">
              <w:rPr>
                <w:rFonts w:ascii="Times New Roman" w:eastAsia="Calibri" w:hAnsi="Times New Roman" w:cs="Times New Roman"/>
                <w:b/>
                <w:sz w:val="16"/>
                <w:szCs w:val="16"/>
              </w:rPr>
              <w:t>Plnenie cieľov spôsobilostí</w:t>
            </w:r>
          </w:p>
        </w:tc>
        <w:tc>
          <w:tcPr>
            <w:tcW w:w="1796" w:type="pct"/>
            <w:tcBorders>
              <w:top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sz w:val="16"/>
                <w:szCs w:val="16"/>
              </w:rPr>
            </w:pPr>
            <w:r w:rsidRPr="001703B9">
              <w:rPr>
                <w:rFonts w:ascii="Times New Roman" w:eastAsia="Calibri" w:hAnsi="Times New Roman" w:cs="Times New Roman"/>
                <w:sz w:val="16"/>
                <w:szCs w:val="16"/>
              </w:rPr>
              <w:t>Kvantitatívne ciele (%)</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SK</w:t>
            </w:r>
          </w:p>
        </w:tc>
        <w:tc>
          <w:tcPr>
            <w:tcW w:w="311"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N/A</w:t>
            </w:r>
          </w:p>
        </w:tc>
        <w:tc>
          <w:tcPr>
            <w:tcW w:w="314"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78</w:t>
            </w:r>
            <w:r w:rsidRPr="001703B9">
              <w:rPr>
                <w:rFonts w:ascii="Segoe UI Symbol" w:hAnsi="Segoe UI Symbol" w:cs="Segoe UI Symbol"/>
                <w:sz w:val="16"/>
                <w:szCs w:val="16"/>
              </w:rPr>
              <w:t>✓</w:t>
            </w:r>
            <w:r w:rsidRPr="001703B9">
              <w:rPr>
                <w:rFonts w:ascii="Times New Roman" w:eastAsia="Calibri" w:hAnsi="Times New Roman" w:cs="Times New Roman"/>
                <w:sz w:val="16"/>
                <w:szCs w:val="16"/>
                <w:vertAlign w:val="superscript"/>
              </w:rPr>
              <w:t>a</w:t>
            </w:r>
          </w:p>
        </w:tc>
        <w:tc>
          <w:tcPr>
            <w:tcW w:w="312"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N/A</w:t>
            </w:r>
          </w:p>
        </w:tc>
        <w:tc>
          <w:tcPr>
            <w:tcW w:w="302" w:type="pct"/>
            <w:tcBorders>
              <w:top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pacing w:val="-10"/>
                <w:sz w:val="16"/>
                <w:szCs w:val="16"/>
              </w:rPr>
            </w:pPr>
            <w:r w:rsidRPr="001703B9">
              <w:rPr>
                <w:rFonts w:ascii="Times New Roman" w:hAnsi="Times New Roman" w:cs="Times New Roman"/>
                <w:spacing w:val="-10"/>
                <w:sz w:val="16"/>
                <w:szCs w:val="16"/>
              </w:rPr>
              <w:t>81</w:t>
            </w:r>
            <w:r w:rsidRPr="001703B9">
              <w:rPr>
                <w:rFonts w:ascii="Segoe UI Symbol" w:hAnsi="Segoe UI Symbol" w:cs="Segoe UI Symbol"/>
                <w:spacing w:val="-10"/>
                <w:sz w:val="16"/>
                <w:szCs w:val="16"/>
              </w:rPr>
              <w:t>✓</w:t>
            </w:r>
            <w:r w:rsidRPr="001703B9">
              <w:rPr>
                <w:rFonts w:ascii="Times New Roman" w:eastAsia="Calibri" w:hAnsi="Times New Roman" w:cs="Times New Roman"/>
                <w:spacing w:val="-10"/>
                <w:sz w:val="16"/>
                <w:szCs w:val="16"/>
                <w:vertAlign w:val="superscript"/>
              </w:rPr>
              <w:t>a</w:t>
            </w:r>
          </w:p>
        </w:tc>
        <w:tc>
          <w:tcPr>
            <w:tcW w:w="245" w:type="pct"/>
            <w:gridSpan w:val="2"/>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pacing w:val="-10"/>
                <w:sz w:val="16"/>
                <w:szCs w:val="16"/>
              </w:rPr>
            </w:pPr>
            <w:r w:rsidRPr="001703B9">
              <w:rPr>
                <w:rFonts w:ascii="Times New Roman" w:eastAsia="Calibri" w:hAnsi="Times New Roman" w:cs="Times New Roman"/>
                <w:spacing w:val="-10"/>
                <w:sz w:val="16"/>
                <w:szCs w:val="16"/>
              </w:rPr>
              <w:t>75</w:t>
            </w:r>
            <w:r w:rsidRPr="001703B9">
              <w:rPr>
                <w:rFonts w:ascii="Segoe UI Symbol" w:eastAsia="Calibri" w:hAnsi="Segoe UI Symbol" w:cs="Segoe UI Symbol"/>
                <w:spacing w:val="-10"/>
                <w:sz w:val="16"/>
                <w:szCs w:val="16"/>
              </w:rPr>
              <w:t>✓</w:t>
            </w:r>
            <w:r w:rsidRPr="001703B9">
              <w:rPr>
                <w:rFonts w:ascii="Times New Roman" w:eastAsia="Calibri" w:hAnsi="Times New Roman" w:cs="Times New Roman"/>
                <w:spacing w:val="-10"/>
                <w:sz w:val="16"/>
                <w:szCs w:val="16"/>
                <w:vertAlign w:val="superscript"/>
              </w:rPr>
              <w:t>ab</w:t>
            </w:r>
          </w:p>
        </w:tc>
        <w:tc>
          <w:tcPr>
            <w:tcW w:w="313"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TBD</w:t>
            </w:r>
          </w:p>
        </w:tc>
      </w:tr>
      <w:tr w:rsidR="006A36A0" w:rsidRPr="001703B9" w:rsidTr="006A36A0">
        <w:trPr>
          <w:trHeight w:val="17"/>
        </w:trPr>
        <w:tc>
          <w:tcPr>
            <w:tcW w:w="782" w:type="pct"/>
            <w:vMerge/>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b/>
                <w:sz w:val="16"/>
                <w:szCs w:val="16"/>
              </w:rPr>
            </w:pPr>
          </w:p>
        </w:tc>
        <w:tc>
          <w:tcPr>
            <w:tcW w:w="1796" w:type="pct"/>
            <w:tcBorders>
              <w:bottom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sz w:val="16"/>
                <w:szCs w:val="16"/>
                <w:vertAlign w:val="superscript"/>
              </w:rPr>
            </w:pPr>
            <w:r w:rsidRPr="001703B9">
              <w:rPr>
                <w:rFonts w:ascii="Times New Roman" w:eastAsia="Calibri" w:hAnsi="Times New Roman" w:cs="Times New Roman"/>
                <w:sz w:val="16"/>
                <w:szCs w:val="16"/>
              </w:rPr>
              <w:t>Podiel splnených kategórií (%)</w:t>
            </w:r>
          </w:p>
        </w:tc>
        <w:tc>
          <w:tcPr>
            <w:tcW w:w="626"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SK</w:t>
            </w:r>
          </w:p>
        </w:tc>
        <w:tc>
          <w:tcPr>
            <w:tcW w:w="311"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eastAsia="Calibri" w:hAnsi="Times New Roman" w:cs="Times New Roman"/>
                <w:sz w:val="16"/>
                <w:szCs w:val="16"/>
              </w:rPr>
              <w:t>N/A</w:t>
            </w:r>
          </w:p>
        </w:tc>
        <w:tc>
          <w:tcPr>
            <w:tcW w:w="314"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hAnsi="Times New Roman" w:cs="Times New Roman"/>
                <w:sz w:val="16"/>
                <w:szCs w:val="16"/>
              </w:rPr>
              <w:t>N/A</w:t>
            </w:r>
          </w:p>
        </w:tc>
        <w:tc>
          <w:tcPr>
            <w:tcW w:w="312"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hAnsi="Times New Roman" w:cs="Times New Roman"/>
                <w:sz w:val="16"/>
                <w:szCs w:val="16"/>
              </w:rPr>
              <w:t>20</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hAnsi="Times New Roman" w:cs="Times New Roman"/>
                <w:sz w:val="16"/>
                <w:szCs w:val="16"/>
              </w:rPr>
              <w:t>N/A</w:t>
            </w:r>
          </w:p>
        </w:tc>
        <w:tc>
          <w:tcPr>
            <w:tcW w:w="245" w:type="pct"/>
            <w:gridSpan w:val="2"/>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hAnsi="Times New Roman" w:cs="Times New Roman"/>
                <w:sz w:val="16"/>
                <w:szCs w:val="16"/>
              </w:rPr>
            </w:pPr>
            <w:r w:rsidRPr="001703B9">
              <w:rPr>
                <w:rFonts w:ascii="Times New Roman" w:hAnsi="Times New Roman" w:cs="Times New Roman"/>
                <w:sz w:val="16"/>
                <w:szCs w:val="16"/>
              </w:rPr>
              <w:t>60</w:t>
            </w:r>
            <w:r w:rsidRPr="001703B9">
              <w:rPr>
                <w:rFonts w:ascii="Times New Roman" w:hAnsi="Times New Roman" w:cs="Times New Roman"/>
                <w:sz w:val="16"/>
                <w:szCs w:val="16"/>
                <w:vertAlign w:val="superscript"/>
              </w:rPr>
              <w:t>b</w:t>
            </w:r>
          </w:p>
        </w:tc>
        <w:tc>
          <w:tcPr>
            <w:tcW w:w="313"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TBD</w:t>
            </w:r>
          </w:p>
        </w:tc>
      </w:tr>
      <w:tr w:rsidR="006A36A0" w:rsidRPr="001703B9" w:rsidTr="006A36A0">
        <w:trPr>
          <w:trHeight w:val="17"/>
        </w:trPr>
        <w:tc>
          <w:tcPr>
            <w:tcW w:w="782" w:type="pct"/>
            <w:vMerge/>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b/>
                <w:sz w:val="16"/>
                <w:szCs w:val="16"/>
              </w:rPr>
            </w:pPr>
          </w:p>
        </w:tc>
        <w:tc>
          <w:tcPr>
            <w:tcW w:w="1796" w:type="pct"/>
            <w:tcBorders>
              <w:top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sz w:val="16"/>
                <w:szCs w:val="16"/>
                <w:vertAlign w:val="superscript"/>
              </w:rPr>
            </w:pPr>
            <w:r w:rsidRPr="001703B9">
              <w:rPr>
                <w:rFonts w:ascii="Times New Roman" w:eastAsia="Calibri" w:hAnsi="Times New Roman" w:cs="Times New Roman"/>
                <w:sz w:val="16"/>
                <w:szCs w:val="16"/>
              </w:rPr>
              <w:t>Kvalitatívne ciele (%)</w:t>
            </w:r>
            <w:r w:rsidRPr="001703B9">
              <w:rPr>
                <w:rFonts w:ascii="Times New Roman" w:eastAsia="Calibri" w:hAnsi="Times New Roman" w:cs="Times New Roman"/>
                <w:sz w:val="16"/>
                <w:szCs w:val="16"/>
                <w:vertAlign w:val="superscript"/>
              </w:rPr>
              <w:t>g</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SK</w:t>
            </w:r>
          </w:p>
        </w:tc>
        <w:tc>
          <w:tcPr>
            <w:tcW w:w="311"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N/A</w:t>
            </w:r>
          </w:p>
        </w:tc>
        <w:tc>
          <w:tcPr>
            <w:tcW w:w="314"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44X</w:t>
            </w:r>
            <w:r w:rsidRPr="001703B9">
              <w:rPr>
                <w:rFonts w:ascii="Times New Roman" w:eastAsia="Calibri" w:hAnsi="Times New Roman" w:cs="Times New Roman"/>
                <w:sz w:val="16"/>
                <w:szCs w:val="16"/>
                <w:vertAlign w:val="superscript"/>
              </w:rPr>
              <w:t>a</w:t>
            </w:r>
          </w:p>
        </w:tc>
        <w:tc>
          <w:tcPr>
            <w:tcW w:w="312"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N/A</w:t>
            </w:r>
          </w:p>
        </w:tc>
        <w:tc>
          <w:tcPr>
            <w:tcW w:w="302" w:type="pct"/>
            <w:tcBorders>
              <w:top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pacing w:val="-10"/>
                <w:sz w:val="16"/>
                <w:szCs w:val="16"/>
              </w:rPr>
            </w:pPr>
            <w:r w:rsidRPr="001703B9">
              <w:rPr>
                <w:rFonts w:ascii="Times New Roman" w:hAnsi="Times New Roman" w:cs="Times New Roman"/>
                <w:spacing w:val="-10"/>
                <w:sz w:val="16"/>
                <w:szCs w:val="16"/>
              </w:rPr>
              <w:t>41X</w:t>
            </w:r>
            <w:r w:rsidRPr="001703B9">
              <w:rPr>
                <w:rFonts w:ascii="Times New Roman" w:eastAsia="Calibri" w:hAnsi="Times New Roman" w:cs="Times New Roman"/>
                <w:spacing w:val="-10"/>
                <w:sz w:val="16"/>
                <w:szCs w:val="16"/>
                <w:vertAlign w:val="superscript"/>
              </w:rPr>
              <w:t>a</w:t>
            </w:r>
          </w:p>
        </w:tc>
        <w:tc>
          <w:tcPr>
            <w:tcW w:w="245" w:type="pct"/>
            <w:gridSpan w:val="2"/>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pacing w:val="-10"/>
                <w:sz w:val="16"/>
                <w:szCs w:val="16"/>
              </w:rPr>
            </w:pPr>
            <w:r w:rsidRPr="001703B9">
              <w:rPr>
                <w:rFonts w:ascii="Times New Roman" w:eastAsia="Calibri" w:hAnsi="Times New Roman" w:cs="Times New Roman"/>
                <w:spacing w:val="-10"/>
                <w:sz w:val="16"/>
                <w:szCs w:val="16"/>
              </w:rPr>
              <w:t>41X</w:t>
            </w:r>
            <w:r w:rsidRPr="001703B9">
              <w:rPr>
                <w:rFonts w:ascii="Times New Roman" w:eastAsia="Calibri" w:hAnsi="Times New Roman" w:cs="Times New Roman"/>
                <w:spacing w:val="-10"/>
                <w:sz w:val="16"/>
                <w:szCs w:val="16"/>
                <w:vertAlign w:val="superscript"/>
              </w:rPr>
              <w:t>ab</w:t>
            </w:r>
          </w:p>
        </w:tc>
        <w:tc>
          <w:tcPr>
            <w:tcW w:w="313"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TBD</w:t>
            </w:r>
          </w:p>
        </w:tc>
      </w:tr>
      <w:tr w:rsidR="006A36A0" w:rsidRPr="001703B9" w:rsidTr="006A36A0">
        <w:trPr>
          <w:trHeight w:val="17"/>
        </w:trPr>
        <w:tc>
          <w:tcPr>
            <w:tcW w:w="782" w:type="pct"/>
            <w:vMerge/>
            <w:tcBorders>
              <w:bottom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b/>
                <w:sz w:val="16"/>
                <w:szCs w:val="16"/>
              </w:rPr>
            </w:pPr>
          </w:p>
        </w:tc>
        <w:tc>
          <w:tcPr>
            <w:tcW w:w="1796" w:type="pct"/>
            <w:tcBorders>
              <w:bottom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sz w:val="16"/>
                <w:szCs w:val="16"/>
                <w:vertAlign w:val="superscript"/>
              </w:rPr>
            </w:pPr>
            <w:r w:rsidRPr="001703B9">
              <w:rPr>
                <w:rFonts w:ascii="Times New Roman" w:eastAsia="Calibri" w:hAnsi="Times New Roman" w:cs="Times New Roman"/>
                <w:sz w:val="16"/>
                <w:szCs w:val="16"/>
              </w:rPr>
              <w:t>Podiel splnených kategórií (%)</w:t>
            </w:r>
          </w:p>
        </w:tc>
        <w:tc>
          <w:tcPr>
            <w:tcW w:w="626"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SK</w:t>
            </w:r>
          </w:p>
        </w:tc>
        <w:tc>
          <w:tcPr>
            <w:tcW w:w="311"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eastAsia="Calibri" w:hAnsi="Times New Roman" w:cs="Times New Roman"/>
                <w:sz w:val="16"/>
                <w:szCs w:val="16"/>
              </w:rPr>
              <w:t>N/A</w:t>
            </w:r>
          </w:p>
        </w:tc>
        <w:tc>
          <w:tcPr>
            <w:tcW w:w="314"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hAnsi="Times New Roman" w:cs="Times New Roman"/>
                <w:sz w:val="16"/>
                <w:szCs w:val="16"/>
              </w:rPr>
              <w:t>N/A</w:t>
            </w:r>
          </w:p>
        </w:tc>
        <w:tc>
          <w:tcPr>
            <w:tcW w:w="312"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hAnsi="Times New Roman" w:cs="Times New Roman"/>
                <w:sz w:val="16"/>
                <w:szCs w:val="16"/>
              </w:rPr>
              <w:t>20</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trike/>
                <w:sz w:val="16"/>
                <w:szCs w:val="16"/>
              </w:rPr>
            </w:pPr>
            <w:r w:rsidRPr="001703B9">
              <w:rPr>
                <w:rFonts w:ascii="Times New Roman" w:hAnsi="Times New Roman" w:cs="Times New Roman"/>
                <w:sz w:val="16"/>
                <w:szCs w:val="16"/>
              </w:rPr>
              <w:t>N/A</w:t>
            </w:r>
          </w:p>
        </w:tc>
        <w:tc>
          <w:tcPr>
            <w:tcW w:w="245" w:type="pct"/>
            <w:gridSpan w:val="2"/>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60</w:t>
            </w:r>
            <w:r w:rsidRPr="001703B9">
              <w:rPr>
                <w:rFonts w:ascii="Times New Roman" w:hAnsi="Times New Roman" w:cs="Times New Roman"/>
                <w:sz w:val="16"/>
                <w:szCs w:val="16"/>
                <w:vertAlign w:val="superscript"/>
              </w:rPr>
              <w:t>b</w:t>
            </w:r>
          </w:p>
        </w:tc>
        <w:tc>
          <w:tcPr>
            <w:tcW w:w="313"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TBD</w:t>
            </w:r>
          </w:p>
        </w:tc>
      </w:tr>
      <w:tr w:rsidR="006A36A0" w:rsidRPr="001703B9" w:rsidTr="006A36A0">
        <w:trPr>
          <w:trHeight w:val="17"/>
        </w:trPr>
        <w:tc>
          <w:tcPr>
            <w:tcW w:w="782" w:type="pct"/>
            <w:vMerge w:val="restart"/>
            <w:tcBorders>
              <w:top w:val="single" w:sz="4" w:space="0" w:color="auto"/>
            </w:tcBorders>
            <w:shd w:val="clear" w:color="auto" w:fill="FFFFFF"/>
            <w:vAlign w:val="center"/>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b/>
                <w:color w:val="000000"/>
                <w:sz w:val="16"/>
                <w:szCs w:val="16"/>
              </w:rPr>
              <w:t>Nasadenie v medzinárodných operáciách</w:t>
            </w:r>
            <w:r w:rsidRPr="001703B9">
              <w:rPr>
                <w:rFonts w:ascii="Times New Roman" w:eastAsia="Calibri" w:hAnsi="Times New Roman" w:cs="Times New Roman"/>
                <w:color w:val="000000"/>
                <w:sz w:val="16"/>
                <w:szCs w:val="16"/>
              </w:rPr>
              <w:t xml:space="preserve"> </w:t>
            </w:r>
          </w:p>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1796" w:type="pct"/>
            <w:tcBorders>
              <w:top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 xml:space="preserve">Nasaditeľné sily – pozemné (% počtu poz. síl) </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SK</w:t>
            </w:r>
          </w:p>
        </w:tc>
        <w:tc>
          <w:tcPr>
            <w:tcW w:w="311"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50</w:t>
            </w:r>
          </w:p>
        </w:tc>
        <w:tc>
          <w:tcPr>
            <w:tcW w:w="314"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50,5</w:t>
            </w:r>
          </w:p>
        </w:tc>
        <w:tc>
          <w:tcPr>
            <w:tcW w:w="312"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51</w:t>
            </w:r>
          </w:p>
        </w:tc>
        <w:tc>
          <w:tcPr>
            <w:tcW w:w="302" w:type="pct"/>
            <w:tcBorders>
              <w:top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51</w:t>
            </w:r>
          </w:p>
        </w:tc>
        <w:tc>
          <w:tcPr>
            <w:tcW w:w="245" w:type="pct"/>
            <w:gridSpan w:val="2"/>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50</w:t>
            </w:r>
          </w:p>
        </w:tc>
        <w:tc>
          <w:tcPr>
            <w:tcW w:w="313"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50</w:t>
            </w:r>
          </w:p>
        </w:tc>
      </w:tr>
      <w:tr w:rsidR="006A36A0" w:rsidRPr="001703B9" w:rsidTr="006A36A0">
        <w:trPr>
          <w:trHeight w:val="17"/>
        </w:trPr>
        <w:tc>
          <w:tcPr>
            <w:tcW w:w="782" w:type="pct"/>
            <w:vMerge/>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1796" w:type="pct"/>
            <w:tcBorders>
              <w:bottom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Udržateľné sily – pozemné (% počtu poz. síl)</w:t>
            </w:r>
          </w:p>
        </w:tc>
        <w:tc>
          <w:tcPr>
            <w:tcW w:w="626"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SK</w:t>
            </w:r>
          </w:p>
        </w:tc>
        <w:tc>
          <w:tcPr>
            <w:tcW w:w="311"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sz w:val="16"/>
                <w:szCs w:val="16"/>
              </w:rPr>
              <w:t>11,7</w:t>
            </w:r>
          </w:p>
        </w:tc>
        <w:tc>
          <w:tcPr>
            <w:tcW w:w="314"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12</w:t>
            </w:r>
          </w:p>
        </w:tc>
        <w:tc>
          <w:tcPr>
            <w:tcW w:w="312"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hAnsi="Times New Roman" w:cs="Times New Roman"/>
                <w:sz w:val="16"/>
                <w:szCs w:val="16"/>
              </w:rPr>
              <w:t>11</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11</w:t>
            </w:r>
          </w:p>
        </w:tc>
        <w:tc>
          <w:tcPr>
            <w:tcW w:w="245" w:type="pct"/>
            <w:gridSpan w:val="2"/>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10</w:t>
            </w:r>
          </w:p>
        </w:tc>
        <w:tc>
          <w:tcPr>
            <w:tcW w:w="313"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10</w:t>
            </w:r>
          </w:p>
        </w:tc>
      </w:tr>
      <w:tr w:rsidR="006A36A0" w:rsidRPr="001703B9" w:rsidTr="006A36A0">
        <w:trPr>
          <w:trHeight w:val="17"/>
        </w:trPr>
        <w:tc>
          <w:tcPr>
            <w:tcW w:w="782" w:type="pct"/>
            <w:vMerge/>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1796" w:type="pct"/>
            <w:tcBorders>
              <w:top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Nasaditeľné sily – vzdušné (% techniky vzd. síl)</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SK</w:t>
            </w:r>
          </w:p>
        </w:tc>
        <w:tc>
          <w:tcPr>
            <w:tcW w:w="311"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sz w:val="16"/>
                <w:szCs w:val="16"/>
              </w:rPr>
              <w:t>5,7</w:t>
            </w:r>
          </w:p>
        </w:tc>
        <w:tc>
          <w:tcPr>
            <w:tcW w:w="314"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3,1</w:t>
            </w:r>
          </w:p>
        </w:tc>
        <w:tc>
          <w:tcPr>
            <w:tcW w:w="312"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2,8</w:t>
            </w:r>
          </w:p>
        </w:tc>
        <w:tc>
          <w:tcPr>
            <w:tcW w:w="302" w:type="pct"/>
            <w:tcBorders>
              <w:top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8,3</w:t>
            </w:r>
          </w:p>
        </w:tc>
        <w:tc>
          <w:tcPr>
            <w:tcW w:w="245" w:type="pct"/>
            <w:gridSpan w:val="2"/>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38,5</w:t>
            </w:r>
          </w:p>
        </w:tc>
        <w:tc>
          <w:tcPr>
            <w:tcW w:w="313"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40</w:t>
            </w:r>
          </w:p>
        </w:tc>
      </w:tr>
      <w:tr w:rsidR="006A36A0" w:rsidRPr="001703B9" w:rsidTr="006A36A0">
        <w:trPr>
          <w:trHeight w:val="135"/>
        </w:trPr>
        <w:tc>
          <w:tcPr>
            <w:tcW w:w="782" w:type="pct"/>
            <w:vMerge/>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1796" w:type="pct"/>
            <w:tcBorders>
              <w:bottom w:val="single" w:sz="4" w:space="0" w:color="auto"/>
            </w:tcBorders>
            <w:shd w:val="clear" w:color="auto" w:fill="FFFFFF"/>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 xml:space="preserve">Udržateľné sily – vzdušné  (% techniky vzd. síl) </w:t>
            </w:r>
          </w:p>
        </w:tc>
        <w:tc>
          <w:tcPr>
            <w:tcW w:w="626"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SK</w:t>
            </w:r>
          </w:p>
        </w:tc>
        <w:tc>
          <w:tcPr>
            <w:tcW w:w="311"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sz w:val="16"/>
                <w:szCs w:val="16"/>
              </w:rPr>
              <w:t>0</w:t>
            </w:r>
          </w:p>
        </w:tc>
        <w:tc>
          <w:tcPr>
            <w:tcW w:w="314"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0</w:t>
            </w:r>
          </w:p>
        </w:tc>
        <w:tc>
          <w:tcPr>
            <w:tcW w:w="312"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hAnsi="Times New Roman" w:cs="Times New Roman"/>
                <w:sz w:val="16"/>
                <w:szCs w:val="16"/>
              </w:rPr>
              <w:t>0</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0</w:t>
            </w:r>
          </w:p>
        </w:tc>
        <w:tc>
          <w:tcPr>
            <w:tcW w:w="245" w:type="pct"/>
            <w:gridSpan w:val="2"/>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hAnsi="Times New Roman" w:cs="Times New Roman"/>
                <w:sz w:val="16"/>
                <w:szCs w:val="16"/>
              </w:rPr>
              <w:t>0</w:t>
            </w:r>
          </w:p>
        </w:tc>
        <w:tc>
          <w:tcPr>
            <w:tcW w:w="313"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8</w:t>
            </w:r>
          </w:p>
        </w:tc>
      </w:tr>
      <w:tr w:rsidR="006A36A0" w:rsidRPr="001703B9" w:rsidTr="006A36A0">
        <w:trPr>
          <w:trHeight w:val="236"/>
        </w:trPr>
        <w:tc>
          <w:tcPr>
            <w:tcW w:w="782" w:type="pct"/>
            <w:vMerge/>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1796" w:type="pct"/>
            <w:tcBorders>
              <w:top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 xml:space="preserve">Počet vojakov v operáciách (% ozbrojených síl) </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vertAlign w:val="superscript"/>
              </w:rPr>
            </w:pPr>
            <w:r w:rsidRPr="001703B9">
              <w:rPr>
                <w:rFonts w:ascii="Times New Roman" w:eastAsia="Calibri" w:hAnsi="Times New Roman" w:cs="Times New Roman"/>
                <w:color w:val="000000"/>
                <w:sz w:val="16"/>
                <w:szCs w:val="16"/>
              </w:rPr>
              <w:t>SK</w:t>
            </w:r>
          </w:p>
        </w:tc>
        <w:tc>
          <w:tcPr>
            <w:tcW w:w="311"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1,9</w:t>
            </w:r>
          </w:p>
        </w:tc>
        <w:tc>
          <w:tcPr>
            <w:tcW w:w="314"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3</w:t>
            </w:r>
          </w:p>
        </w:tc>
        <w:tc>
          <w:tcPr>
            <w:tcW w:w="312"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4</w:t>
            </w:r>
          </w:p>
        </w:tc>
        <w:tc>
          <w:tcPr>
            <w:tcW w:w="302"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3,8</w:t>
            </w:r>
          </w:p>
        </w:tc>
        <w:tc>
          <w:tcPr>
            <w:tcW w:w="245" w:type="pct"/>
            <w:gridSpan w:val="2"/>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pacing w:val="-2"/>
                <w:sz w:val="16"/>
                <w:szCs w:val="16"/>
              </w:rPr>
            </w:pPr>
            <w:r w:rsidRPr="001703B9">
              <w:rPr>
                <w:rFonts w:ascii="Times New Roman" w:eastAsia="Times New Roman" w:hAnsi="Times New Roman" w:cs="Times New Roman"/>
                <w:spacing w:val="-2"/>
                <w:sz w:val="16"/>
                <w:szCs w:val="16"/>
                <w:lang w:eastAsia="cs-CZ"/>
              </w:rPr>
              <w:t>≥</w:t>
            </w:r>
            <w:r w:rsidRPr="001703B9">
              <w:rPr>
                <w:rFonts w:ascii="Times New Roman" w:hAnsi="Times New Roman" w:cs="Times New Roman"/>
                <w:spacing w:val="-2"/>
                <w:sz w:val="16"/>
                <w:szCs w:val="16"/>
              </w:rPr>
              <w:t>3,6</w:t>
            </w:r>
          </w:p>
        </w:tc>
        <w:tc>
          <w:tcPr>
            <w:tcW w:w="313"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TBD</w:t>
            </w:r>
          </w:p>
        </w:tc>
      </w:tr>
      <w:tr w:rsidR="006A36A0" w:rsidRPr="001703B9" w:rsidTr="006A36A0">
        <w:trPr>
          <w:trHeight w:val="62"/>
        </w:trPr>
        <w:tc>
          <w:tcPr>
            <w:tcW w:w="2578" w:type="pct"/>
            <w:gridSpan w:val="2"/>
            <w:tcBorders>
              <w:top w:val="single" w:sz="4" w:space="0" w:color="auto"/>
              <w:bottom w:val="single" w:sz="4" w:space="0" w:color="auto"/>
            </w:tcBorders>
            <w:shd w:val="clear" w:color="auto" w:fill="FFFFFF"/>
            <w:vAlign w:val="bottom"/>
          </w:tcPr>
          <w:p w:rsidR="006A36A0" w:rsidRPr="001703B9" w:rsidRDefault="006A36A0" w:rsidP="006A36A0">
            <w:pPr>
              <w:spacing w:after="0" w:line="240" w:lineRule="auto"/>
              <w:rPr>
                <w:rFonts w:ascii="Times New Roman" w:eastAsia="Calibri" w:hAnsi="Times New Roman" w:cs="Times New Roman"/>
                <w:b/>
                <w:sz w:val="16"/>
                <w:szCs w:val="16"/>
              </w:rPr>
            </w:pPr>
            <w:r w:rsidRPr="001703B9">
              <w:rPr>
                <w:rFonts w:ascii="Times New Roman" w:eastAsia="Calibri" w:hAnsi="Times New Roman" w:cs="Times New Roman"/>
                <w:b/>
                <w:sz w:val="16"/>
                <w:szCs w:val="16"/>
                <w:lang w:eastAsia="sk-SK"/>
              </w:rPr>
              <w:t>Operačná pripravenosť</w:t>
            </w:r>
          </w:p>
        </w:tc>
        <w:tc>
          <w:tcPr>
            <w:tcW w:w="626" w:type="pct"/>
            <w:tcBorders>
              <w:top w:val="single" w:sz="4" w:space="0" w:color="auto"/>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SK</w:t>
            </w:r>
          </w:p>
        </w:tc>
        <w:tc>
          <w:tcPr>
            <w:tcW w:w="1484" w:type="pct"/>
            <w:gridSpan w:val="6"/>
            <w:tcBorders>
              <w:top w:val="single" w:sz="4" w:space="0" w:color="auto"/>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cieľ bude zadefinovaný a zverejnený</w:t>
            </w:r>
          </w:p>
        </w:tc>
        <w:tc>
          <w:tcPr>
            <w:tcW w:w="313" w:type="pct"/>
            <w:tcBorders>
              <w:top w:val="single" w:sz="4" w:space="0" w:color="auto"/>
              <w:bottom w:val="single" w:sz="4" w:space="0" w:color="auto"/>
            </w:tcBorders>
            <w:shd w:val="clear" w:color="auto" w:fill="FFFFFF"/>
          </w:tcPr>
          <w:p w:rsidR="006A36A0" w:rsidRPr="001703B9" w:rsidRDefault="006A36A0" w:rsidP="006A36A0">
            <w:pPr>
              <w:spacing w:after="0" w:line="240" w:lineRule="auto"/>
              <w:rPr>
                <w:rFonts w:ascii="Times New Roman" w:eastAsia="Times New Roman" w:hAnsi="Times New Roman" w:cs="Times New Roman"/>
                <w:sz w:val="16"/>
                <w:szCs w:val="16"/>
                <w:lang w:eastAsia="cs-CZ"/>
              </w:rPr>
            </w:pPr>
          </w:p>
        </w:tc>
      </w:tr>
      <w:tr w:rsidR="006A36A0" w:rsidRPr="001703B9" w:rsidTr="006A36A0">
        <w:trPr>
          <w:trHeight w:val="62"/>
        </w:trPr>
        <w:tc>
          <w:tcPr>
            <w:tcW w:w="2578" w:type="pct"/>
            <w:gridSpan w:val="2"/>
            <w:vMerge w:val="restart"/>
            <w:tcBorders>
              <w:top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b/>
                <w:sz w:val="16"/>
                <w:szCs w:val="16"/>
              </w:rPr>
              <w:t>Podiel obranných výdavkov na HDP</w:t>
            </w:r>
            <w:r w:rsidRPr="001703B9">
              <w:rPr>
                <w:rFonts w:ascii="Times New Roman" w:eastAsia="Calibri" w:hAnsi="Times New Roman" w:cs="Times New Roman"/>
                <w:sz w:val="16"/>
                <w:szCs w:val="16"/>
              </w:rPr>
              <w:t xml:space="preserve"> (%) </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sz w:val="16"/>
                <w:szCs w:val="16"/>
              </w:rPr>
              <w:t>SK</w:t>
            </w:r>
          </w:p>
        </w:tc>
        <w:tc>
          <w:tcPr>
            <w:tcW w:w="311"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1,11</w:t>
            </w:r>
          </w:p>
        </w:tc>
        <w:tc>
          <w:tcPr>
            <w:tcW w:w="314"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1,23</w:t>
            </w:r>
          </w:p>
        </w:tc>
        <w:tc>
          <w:tcPr>
            <w:tcW w:w="312"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1,71</w:t>
            </w:r>
          </w:p>
        </w:tc>
        <w:tc>
          <w:tcPr>
            <w:tcW w:w="302" w:type="pct"/>
            <w:tcBorders>
              <w:top w:val="single" w:sz="4" w:space="0" w:color="auto"/>
            </w:tcBorders>
            <w:shd w:val="clear" w:color="auto" w:fill="FFFFFF"/>
            <w:noWrap/>
          </w:tcPr>
          <w:p w:rsidR="006A36A0" w:rsidRPr="001703B9" w:rsidRDefault="006A36A0" w:rsidP="006A36A0">
            <w:pPr>
              <w:spacing w:after="0" w:line="240" w:lineRule="auto"/>
              <w:jc w:val="center"/>
              <w:rPr>
                <w:rFonts w:ascii="Times New Roman" w:eastAsia="Times New Roman" w:hAnsi="Times New Roman" w:cs="Times New Roman"/>
                <w:sz w:val="16"/>
                <w:szCs w:val="16"/>
                <w:vertAlign w:val="superscript"/>
                <w:lang w:eastAsia="cs-CZ"/>
              </w:rPr>
            </w:pPr>
            <w:r w:rsidRPr="001703B9">
              <w:rPr>
                <w:rFonts w:ascii="Times New Roman" w:eastAsia="Times New Roman" w:hAnsi="Times New Roman" w:cs="Times New Roman"/>
                <w:sz w:val="16"/>
                <w:szCs w:val="16"/>
                <w:lang w:eastAsia="cs-CZ"/>
              </w:rPr>
              <w:t>1,96</w:t>
            </w:r>
            <w:r w:rsidRPr="001703B9">
              <w:rPr>
                <w:rFonts w:ascii="Times New Roman" w:eastAsia="Times New Roman" w:hAnsi="Times New Roman" w:cs="Times New Roman"/>
                <w:sz w:val="16"/>
                <w:szCs w:val="16"/>
                <w:vertAlign w:val="superscript"/>
                <w:lang w:eastAsia="cs-CZ"/>
              </w:rPr>
              <w:t>c</w:t>
            </w:r>
          </w:p>
        </w:tc>
        <w:tc>
          <w:tcPr>
            <w:tcW w:w="245" w:type="pct"/>
            <w:gridSpan w:val="2"/>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vertAlign w:val="superscript"/>
                <w:lang w:eastAsia="cs-CZ"/>
              </w:rPr>
            </w:pPr>
            <w:r w:rsidRPr="001703B9">
              <w:rPr>
                <w:rFonts w:ascii="Times New Roman" w:eastAsia="Times New Roman" w:hAnsi="Times New Roman" w:cs="Times New Roman"/>
                <w:sz w:val="16"/>
                <w:szCs w:val="16"/>
                <w:lang w:eastAsia="cs-CZ"/>
              </w:rPr>
              <w:t>≥2</w:t>
            </w:r>
            <w:r w:rsidRPr="001703B9">
              <w:rPr>
                <w:rFonts w:ascii="Times New Roman" w:eastAsia="Times New Roman" w:hAnsi="Times New Roman" w:cs="Times New Roman"/>
                <w:sz w:val="16"/>
                <w:szCs w:val="16"/>
                <w:vertAlign w:val="superscript"/>
                <w:lang w:eastAsia="cs-CZ"/>
              </w:rPr>
              <w:t>e</w:t>
            </w:r>
          </w:p>
        </w:tc>
        <w:tc>
          <w:tcPr>
            <w:tcW w:w="313"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vertAlign w:val="superscript"/>
                <w:lang w:eastAsia="cs-CZ"/>
              </w:rPr>
            </w:pPr>
            <w:r w:rsidRPr="001703B9">
              <w:rPr>
                <w:rFonts w:ascii="Times New Roman" w:eastAsia="Times New Roman" w:hAnsi="Times New Roman" w:cs="Times New Roman"/>
                <w:sz w:val="16"/>
                <w:szCs w:val="16"/>
                <w:lang w:eastAsia="cs-CZ"/>
              </w:rPr>
              <w:t>≥2</w:t>
            </w:r>
            <w:r w:rsidRPr="001703B9">
              <w:rPr>
                <w:rFonts w:ascii="Times New Roman" w:eastAsia="Times New Roman" w:hAnsi="Times New Roman" w:cs="Times New Roman"/>
                <w:sz w:val="16"/>
                <w:szCs w:val="16"/>
                <w:vertAlign w:val="superscript"/>
                <w:lang w:eastAsia="cs-CZ"/>
              </w:rPr>
              <w:t>e</w:t>
            </w:r>
          </w:p>
        </w:tc>
      </w:tr>
      <w:tr w:rsidR="006A36A0" w:rsidRPr="001703B9" w:rsidTr="006A36A0">
        <w:trPr>
          <w:trHeight w:val="143"/>
        </w:trPr>
        <w:tc>
          <w:tcPr>
            <w:tcW w:w="2578" w:type="pct"/>
            <w:gridSpan w:val="2"/>
            <w:vMerge/>
            <w:tcBorders>
              <w:bottom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626"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vertAlign w:val="superscript"/>
              </w:rPr>
            </w:pPr>
            <w:r w:rsidRPr="001703B9">
              <w:rPr>
                <w:rFonts w:ascii="Times New Roman" w:eastAsia="Calibri" w:hAnsi="Times New Roman" w:cs="Times New Roman"/>
                <w:sz w:val="16"/>
                <w:szCs w:val="16"/>
              </w:rPr>
              <w:t>NATO v EÚ</w:t>
            </w:r>
            <w:r w:rsidRPr="001703B9">
              <w:rPr>
                <w:rFonts w:ascii="Times New Roman" w:eastAsia="Calibri" w:hAnsi="Times New Roman" w:cs="Times New Roman"/>
                <w:sz w:val="16"/>
                <w:szCs w:val="16"/>
                <w:vertAlign w:val="superscript"/>
              </w:rPr>
              <w:t>d</w:t>
            </w:r>
          </w:p>
        </w:tc>
        <w:tc>
          <w:tcPr>
            <w:tcW w:w="311"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1,39</w:t>
            </w:r>
          </w:p>
        </w:tc>
        <w:tc>
          <w:tcPr>
            <w:tcW w:w="314"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1,47</w:t>
            </w:r>
          </w:p>
        </w:tc>
        <w:tc>
          <w:tcPr>
            <w:tcW w:w="312"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1,59</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z w:val="16"/>
                <w:szCs w:val="16"/>
                <w:vertAlign w:val="superscript"/>
              </w:rPr>
            </w:pPr>
            <w:r w:rsidRPr="001703B9">
              <w:rPr>
                <w:rFonts w:ascii="Times New Roman" w:eastAsia="Calibri" w:hAnsi="Times New Roman" w:cs="Times New Roman"/>
                <w:sz w:val="16"/>
                <w:szCs w:val="16"/>
              </w:rPr>
              <w:t>1,67</w:t>
            </w:r>
            <w:r w:rsidRPr="001703B9">
              <w:rPr>
                <w:rFonts w:ascii="Times New Roman" w:eastAsia="Calibri" w:hAnsi="Times New Roman" w:cs="Times New Roman"/>
                <w:sz w:val="16"/>
                <w:szCs w:val="16"/>
                <w:vertAlign w:val="superscript"/>
              </w:rPr>
              <w:t>c</w:t>
            </w:r>
          </w:p>
        </w:tc>
        <w:tc>
          <w:tcPr>
            <w:tcW w:w="245" w:type="pct"/>
            <w:gridSpan w:val="2"/>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w:t>
            </w:r>
          </w:p>
        </w:tc>
        <w:tc>
          <w:tcPr>
            <w:tcW w:w="313"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w:t>
            </w:r>
          </w:p>
        </w:tc>
      </w:tr>
      <w:tr w:rsidR="006A36A0" w:rsidRPr="001703B9" w:rsidTr="006A36A0">
        <w:trPr>
          <w:trHeight w:val="143"/>
        </w:trPr>
        <w:tc>
          <w:tcPr>
            <w:tcW w:w="2578" w:type="pct"/>
            <w:gridSpan w:val="2"/>
            <w:vMerge w:val="restart"/>
            <w:tcBorders>
              <w:top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b/>
                <w:sz w:val="16"/>
                <w:szCs w:val="16"/>
              </w:rPr>
              <w:t>Podiel výdavkov na hlavnú výzbroj, techniku a súvisiaci výskum z obranných výdavkov</w:t>
            </w:r>
            <w:r w:rsidRPr="001703B9">
              <w:rPr>
                <w:rFonts w:ascii="Times New Roman" w:eastAsia="Calibri" w:hAnsi="Times New Roman" w:cs="Times New Roman"/>
                <w:sz w:val="16"/>
                <w:szCs w:val="16"/>
              </w:rPr>
              <w:t xml:space="preserve"> (%) </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sz w:val="16"/>
                <w:szCs w:val="16"/>
              </w:rPr>
              <w:t>SK</w:t>
            </w:r>
          </w:p>
        </w:tc>
        <w:tc>
          <w:tcPr>
            <w:tcW w:w="311"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17,74</w:t>
            </w:r>
          </w:p>
        </w:tc>
        <w:tc>
          <w:tcPr>
            <w:tcW w:w="314"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22,27</w:t>
            </w:r>
          </w:p>
        </w:tc>
        <w:tc>
          <w:tcPr>
            <w:tcW w:w="312"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40,07</w:t>
            </w:r>
          </w:p>
        </w:tc>
        <w:tc>
          <w:tcPr>
            <w:tcW w:w="302" w:type="pct"/>
            <w:tcBorders>
              <w:top w:val="single" w:sz="4" w:space="0" w:color="auto"/>
            </w:tcBorders>
            <w:shd w:val="clear" w:color="auto" w:fill="FFFFFF"/>
            <w:noWrap/>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31,84</w:t>
            </w:r>
            <w:r w:rsidRPr="001703B9">
              <w:rPr>
                <w:rFonts w:ascii="Times New Roman" w:eastAsia="Times New Roman" w:hAnsi="Times New Roman" w:cs="Times New Roman"/>
                <w:sz w:val="16"/>
                <w:szCs w:val="16"/>
                <w:vertAlign w:val="superscript"/>
                <w:lang w:eastAsia="cs-CZ"/>
              </w:rPr>
              <w:t>c</w:t>
            </w:r>
          </w:p>
        </w:tc>
        <w:tc>
          <w:tcPr>
            <w:tcW w:w="245" w:type="pct"/>
            <w:gridSpan w:val="2"/>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≥20</w:t>
            </w:r>
          </w:p>
        </w:tc>
        <w:tc>
          <w:tcPr>
            <w:tcW w:w="313"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Times New Roman" w:hAnsi="Times New Roman" w:cs="Times New Roman"/>
                <w:sz w:val="16"/>
                <w:szCs w:val="16"/>
                <w:lang w:eastAsia="cs-CZ"/>
              </w:rPr>
            </w:pPr>
            <w:r w:rsidRPr="001703B9">
              <w:rPr>
                <w:rFonts w:ascii="Times New Roman" w:eastAsia="Times New Roman" w:hAnsi="Times New Roman" w:cs="Times New Roman"/>
                <w:sz w:val="16"/>
                <w:szCs w:val="16"/>
                <w:lang w:eastAsia="cs-CZ"/>
              </w:rPr>
              <w:t>≥20</w:t>
            </w:r>
          </w:p>
        </w:tc>
      </w:tr>
      <w:tr w:rsidR="006A36A0" w:rsidRPr="001703B9" w:rsidTr="006A36A0">
        <w:trPr>
          <w:trHeight w:val="143"/>
        </w:trPr>
        <w:tc>
          <w:tcPr>
            <w:tcW w:w="2578" w:type="pct"/>
            <w:gridSpan w:val="2"/>
            <w:vMerge/>
            <w:tcBorders>
              <w:bottom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626"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vertAlign w:val="superscript"/>
              </w:rPr>
            </w:pPr>
            <w:r w:rsidRPr="001703B9">
              <w:rPr>
                <w:rFonts w:ascii="Times New Roman" w:eastAsia="Calibri" w:hAnsi="Times New Roman" w:cs="Times New Roman"/>
                <w:sz w:val="16"/>
                <w:szCs w:val="16"/>
              </w:rPr>
              <w:t>NATO v EÚ</w:t>
            </w:r>
            <w:r w:rsidRPr="001703B9">
              <w:rPr>
                <w:rFonts w:ascii="Times New Roman" w:eastAsia="Calibri" w:hAnsi="Times New Roman" w:cs="Times New Roman"/>
                <w:sz w:val="16"/>
                <w:szCs w:val="16"/>
                <w:vertAlign w:val="superscript"/>
              </w:rPr>
              <w:t>d</w:t>
            </w:r>
          </w:p>
        </w:tc>
        <w:tc>
          <w:tcPr>
            <w:tcW w:w="311"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eastAsia="Calibri" w:hAnsi="Times New Roman" w:cs="Times New Roman"/>
                <w:sz w:val="16"/>
                <w:szCs w:val="16"/>
              </w:rPr>
              <w:t>17,39</w:t>
            </w:r>
          </w:p>
        </w:tc>
        <w:tc>
          <w:tcPr>
            <w:tcW w:w="314"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eastAsia="Calibri" w:hAnsi="Times New Roman" w:cs="Times New Roman"/>
                <w:sz w:val="16"/>
                <w:szCs w:val="16"/>
              </w:rPr>
              <w:t>19,34</w:t>
            </w:r>
          </w:p>
        </w:tc>
        <w:tc>
          <w:tcPr>
            <w:tcW w:w="312"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23,25</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Times New Roman" w:hAnsi="Times New Roman" w:cs="Times New Roman"/>
                <w:sz w:val="16"/>
                <w:szCs w:val="16"/>
                <w:lang w:eastAsia="cs-CZ"/>
              </w:rPr>
              <w:t>22,69</w:t>
            </w:r>
            <w:r w:rsidRPr="001703B9">
              <w:rPr>
                <w:rFonts w:ascii="Times New Roman" w:eastAsia="Times New Roman" w:hAnsi="Times New Roman" w:cs="Times New Roman"/>
                <w:sz w:val="16"/>
                <w:szCs w:val="16"/>
                <w:vertAlign w:val="superscript"/>
                <w:lang w:eastAsia="cs-CZ"/>
              </w:rPr>
              <w:t>c</w:t>
            </w:r>
          </w:p>
        </w:tc>
        <w:tc>
          <w:tcPr>
            <w:tcW w:w="245" w:type="pct"/>
            <w:gridSpan w:val="2"/>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≥20</w:t>
            </w:r>
          </w:p>
        </w:tc>
        <w:tc>
          <w:tcPr>
            <w:tcW w:w="313"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≥20</w:t>
            </w:r>
          </w:p>
        </w:tc>
      </w:tr>
      <w:tr w:rsidR="006A36A0" w:rsidRPr="001703B9" w:rsidTr="006A36A0">
        <w:trPr>
          <w:trHeight w:val="143"/>
        </w:trPr>
        <w:tc>
          <w:tcPr>
            <w:tcW w:w="2578" w:type="pct"/>
            <w:gridSpan w:val="2"/>
            <w:vMerge w:val="restart"/>
            <w:tcBorders>
              <w:top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r w:rsidRPr="001703B9">
              <w:rPr>
                <w:rFonts w:ascii="Times New Roman" w:eastAsia="Calibri" w:hAnsi="Times New Roman" w:cs="Times New Roman"/>
                <w:b/>
                <w:sz w:val="16"/>
                <w:szCs w:val="16"/>
              </w:rPr>
              <w:t>Podiel výdavkov na výskum a vývoj z obranných výdavkov</w:t>
            </w:r>
            <w:r w:rsidRPr="001703B9">
              <w:rPr>
                <w:rFonts w:ascii="Times New Roman" w:eastAsia="Calibri" w:hAnsi="Times New Roman" w:cs="Times New Roman"/>
                <w:sz w:val="16"/>
                <w:szCs w:val="16"/>
              </w:rPr>
              <w:t xml:space="preserve"> (%) </w:t>
            </w:r>
          </w:p>
        </w:tc>
        <w:tc>
          <w:tcPr>
            <w:tcW w:w="626" w:type="pct"/>
            <w:tcBorders>
              <w:top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vertAlign w:val="superscript"/>
              </w:rPr>
            </w:pPr>
            <w:r w:rsidRPr="001703B9">
              <w:rPr>
                <w:rFonts w:ascii="Times New Roman" w:eastAsia="Calibri" w:hAnsi="Times New Roman" w:cs="Times New Roman"/>
                <w:sz w:val="16"/>
                <w:szCs w:val="16"/>
              </w:rPr>
              <w:t>SK</w:t>
            </w:r>
          </w:p>
        </w:tc>
        <w:tc>
          <w:tcPr>
            <w:tcW w:w="311"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eastAsia="Calibri" w:hAnsi="Times New Roman" w:cs="Times New Roman"/>
                <w:sz w:val="16"/>
                <w:szCs w:val="16"/>
              </w:rPr>
              <w:t>0,04</w:t>
            </w:r>
          </w:p>
        </w:tc>
        <w:tc>
          <w:tcPr>
            <w:tcW w:w="314"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FF0000"/>
                <w:sz w:val="16"/>
                <w:szCs w:val="16"/>
              </w:rPr>
            </w:pPr>
            <w:r w:rsidRPr="001703B9">
              <w:rPr>
                <w:rFonts w:ascii="Times New Roman" w:eastAsia="Calibri" w:hAnsi="Times New Roman" w:cs="Times New Roman"/>
                <w:color w:val="000000"/>
                <w:sz w:val="16"/>
                <w:szCs w:val="16"/>
              </w:rPr>
              <w:t>0,01</w:t>
            </w:r>
          </w:p>
        </w:tc>
        <w:tc>
          <w:tcPr>
            <w:tcW w:w="312" w:type="pct"/>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0,03</w:t>
            </w:r>
            <w:r w:rsidRPr="001703B9">
              <w:rPr>
                <w:rFonts w:ascii="Times New Roman" w:eastAsia="Calibri" w:hAnsi="Times New Roman" w:cs="Times New Roman"/>
                <w:color w:val="000000"/>
                <w:sz w:val="16"/>
                <w:szCs w:val="16"/>
                <w:vertAlign w:val="superscript"/>
              </w:rPr>
              <w:t>c</w:t>
            </w:r>
          </w:p>
        </w:tc>
        <w:tc>
          <w:tcPr>
            <w:tcW w:w="302" w:type="pct"/>
            <w:tcBorders>
              <w:top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0,12</w:t>
            </w:r>
            <w:r w:rsidRPr="001703B9">
              <w:rPr>
                <w:rFonts w:ascii="Times New Roman" w:eastAsia="Calibri" w:hAnsi="Times New Roman" w:cs="Times New Roman"/>
                <w:color w:val="000000"/>
                <w:sz w:val="16"/>
                <w:szCs w:val="16"/>
                <w:vertAlign w:val="superscript"/>
              </w:rPr>
              <w:t>c</w:t>
            </w:r>
          </w:p>
        </w:tc>
        <w:tc>
          <w:tcPr>
            <w:tcW w:w="245" w:type="pct"/>
            <w:gridSpan w:val="2"/>
            <w:tcBorders>
              <w:top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vertAlign w:val="superscript"/>
              </w:rPr>
            </w:pPr>
            <w:r w:rsidRPr="001703B9">
              <w:rPr>
                <w:rFonts w:ascii="Times New Roman" w:eastAsia="Calibri" w:hAnsi="Times New Roman" w:cs="Times New Roman"/>
                <w:sz w:val="16"/>
                <w:szCs w:val="16"/>
              </w:rPr>
              <w:t>1</w:t>
            </w:r>
            <w:r w:rsidRPr="001703B9">
              <w:rPr>
                <w:rFonts w:ascii="Times New Roman" w:eastAsia="Calibri" w:hAnsi="Times New Roman" w:cs="Times New Roman"/>
                <w:sz w:val="16"/>
                <w:szCs w:val="16"/>
                <w:vertAlign w:val="superscript"/>
              </w:rPr>
              <w:t>f</w:t>
            </w:r>
          </w:p>
        </w:tc>
        <w:tc>
          <w:tcPr>
            <w:tcW w:w="313" w:type="pct"/>
            <w:tcBorders>
              <w:top w:val="single" w:sz="4" w:space="0" w:color="auto"/>
            </w:tcBorders>
            <w:shd w:val="clear" w:color="auto" w:fill="FFFFFF"/>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w:t>
            </w:r>
          </w:p>
        </w:tc>
      </w:tr>
      <w:tr w:rsidR="006A36A0" w:rsidRPr="001703B9" w:rsidTr="006A36A0">
        <w:trPr>
          <w:trHeight w:val="143"/>
        </w:trPr>
        <w:tc>
          <w:tcPr>
            <w:tcW w:w="2578" w:type="pct"/>
            <w:gridSpan w:val="2"/>
            <w:vMerge/>
            <w:tcBorders>
              <w:bottom w:val="single" w:sz="4" w:space="0" w:color="auto"/>
            </w:tcBorders>
            <w:shd w:val="clear" w:color="auto" w:fill="FFFFFF"/>
            <w:vAlign w:val="center"/>
            <w:hideMark/>
          </w:tcPr>
          <w:p w:rsidR="006A36A0" w:rsidRPr="001703B9" w:rsidRDefault="006A36A0" w:rsidP="006A36A0">
            <w:pPr>
              <w:spacing w:after="0" w:line="240" w:lineRule="auto"/>
              <w:rPr>
                <w:rFonts w:ascii="Times New Roman" w:eastAsia="Calibri" w:hAnsi="Times New Roman" w:cs="Times New Roman"/>
                <w:color w:val="000000"/>
                <w:sz w:val="16"/>
                <w:szCs w:val="16"/>
              </w:rPr>
            </w:pPr>
          </w:p>
        </w:tc>
        <w:tc>
          <w:tcPr>
            <w:tcW w:w="626" w:type="pct"/>
            <w:tcBorders>
              <w:bottom w:val="single" w:sz="4" w:space="0" w:color="auto"/>
            </w:tcBorders>
            <w:shd w:val="clear" w:color="auto" w:fill="FFFFFF"/>
            <w:vAlign w:val="center"/>
            <w:hideMark/>
          </w:tcPr>
          <w:p w:rsidR="006A36A0" w:rsidRPr="001703B9" w:rsidRDefault="006A36A0" w:rsidP="006A36A0">
            <w:pPr>
              <w:spacing w:after="0" w:line="240" w:lineRule="auto"/>
              <w:jc w:val="center"/>
              <w:rPr>
                <w:rFonts w:ascii="Times New Roman" w:eastAsia="Calibri" w:hAnsi="Times New Roman" w:cs="Times New Roman"/>
                <w:color w:val="000000"/>
                <w:sz w:val="16"/>
                <w:szCs w:val="16"/>
                <w:vertAlign w:val="superscript"/>
              </w:rPr>
            </w:pPr>
            <w:r w:rsidRPr="001703B9">
              <w:rPr>
                <w:rFonts w:ascii="Times New Roman" w:eastAsia="Calibri" w:hAnsi="Times New Roman" w:cs="Times New Roman"/>
                <w:sz w:val="16"/>
                <w:szCs w:val="16"/>
              </w:rPr>
              <w:t>NATO v EÚ</w:t>
            </w:r>
            <w:r w:rsidRPr="001703B9">
              <w:rPr>
                <w:rFonts w:ascii="Times New Roman" w:eastAsia="Calibri" w:hAnsi="Times New Roman" w:cs="Times New Roman"/>
                <w:sz w:val="16"/>
                <w:szCs w:val="16"/>
                <w:vertAlign w:val="superscript"/>
              </w:rPr>
              <w:t>d</w:t>
            </w:r>
          </w:p>
        </w:tc>
        <w:tc>
          <w:tcPr>
            <w:tcW w:w="311"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0,87</w:t>
            </w:r>
          </w:p>
        </w:tc>
        <w:tc>
          <w:tcPr>
            <w:tcW w:w="314"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color w:val="000000"/>
                <w:sz w:val="16"/>
                <w:szCs w:val="16"/>
              </w:rPr>
            </w:pPr>
            <w:r w:rsidRPr="001703B9">
              <w:rPr>
                <w:rFonts w:ascii="Times New Roman" w:eastAsia="Calibri" w:hAnsi="Times New Roman" w:cs="Times New Roman"/>
                <w:color w:val="000000"/>
                <w:sz w:val="16"/>
                <w:szCs w:val="16"/>
              </w:rPr>
              <w:t>0,80</w:t>
            </w:r>
          </w:p>
        </w:tc>
        <w:tc>
          <w:tcPr>
            <w:tcW w:w="312" w:type="pct"/>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0,89</w:t>
            </w:r>
            <w:r w:rsidRPr="001703B9">
              <w:rPr>
                <w:rFonts w:ascii="Times New Roman" w:eastAsia="Calibri" w:hAnsi="Times New Roman" w:cs="Times New Roman"/>
                <w:color w:val="000000"/>
                <w:sz w:val="16"/>
                <w:szCs w:val="16"/>
                <w:vertAlign w:val="superscript"/>
              </w:rPr>
              <w:t>c</w:t>
            </w:r>
          </w:p>
        </w:tc>
        <w:tc>
          <w:tcPr>
            <w:tcW w:w="302" w:type="pct"/>
            <w:tcBorders>
              <w:bottom w:val="single" w:sz="4" w:space="0" w:color="auto"/>
            </w:tcBorders>
            <w:shd w:val="clear" w:color="auto" w:fill="FFFFFF"/>
            <w:noWrap/>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hAnsi="Times New Roman" w:cs="Times New Roman"/>
                <w:sz w:val="16"/>
                <w:szCs w:val="16"/>
              </w:rPr>
              <w:t>0,78</w:t>
            </w:r>
            <w:r w:rsidRPr="001703B9">
              <w:rPr>
                <w:rFonts w:ascii="Times New Roman" w:eastAsia="Calibri" w:hAnsi="Times New Roman" w:cs="Times New Roman"/>
                <w:color w:val="000000"/>
                <w:sz w:val="16"/>
                <w:szCs w:val="16"/>
                <w:vertAlign w:val="superscript"/>
              </w:rPr>
              <w:t>c</w:t>
            </w:r>
          </w:p>
        </w:tc>
        <w:tc>
          <w:tcPr>
            <w:tcW w:w="245" w:type="pct"/>
            <w:gridSpan w:val="2"/>
            <w:tcBorders>
              <w:bottom w:val="single" w:sz="4" w:space="0" w:color="auto"/>
            </w:tcBorders>
            <w:shd w:val="clear" w:color="auto" w:fill="FFFFFF"/>
            <w:vAlign w:val="center"/>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w:t>
            </w:r>
          </w:p>
        </w:tc>
        <w:tc>
          <w:tcPr>
            <w:tcW w:w="313" w:type="pct"/>
            <w:tcBorders>
              <w:bottom w:val="single" w:sz="4" w:space="0" w:color="auto"/>
            </w:tcBorders>
            <w:shd w:val="clear" w:color="auto" w:fill="FFFFFF"/>
          </w:tcPr>
          <w:p w:rsidR="006A36A0" w:rsidRPr="001703B9" w:rsidRDefault="006A36A0" w:rsidP="006A36A0">
            <w:pPr>
              <w:spacing w:after="0" w:line="240" w:lineRule="auto"/>
              <w:jc w:val="center"/>
              <w:rPr>
                <w:rFonts w:ascii="Times New Roman" w:eastAsia="Calibri" w:hAnsi="Times New Roman" w:cs="Times New Roman"/>
                <w:sz w:val="16"/>
                <w:szCs w:val="16"/>
              </w:rPr>
            </w:pPr>
            <w:r w:rsidRPr="001703B9">
              <w:rPr>
                <w:rFonts w:ascii="Times New Roman" w:eastAsia="Calibri" w:hAnsi="Times New Roman" w:cs="Times New Roman"/>
                <w:sz w:val="16"/>
                <w:szCs w:val="16"/>
              </w:rPr>
              <w:t>2</w:t>
            </w:r>
          </w:p>
        </w:tc>
      </w:tr>
      <w:tr w:rsidR="006A36A0" w:rsidRPr="00C07CD2" w:rsidTr="006A36A0">
        <w:trPr>
          <w:trHeight w:val="143"/>
        </w:trPr>
        <w:tc>
          <w:tcPr>
            <w:tcW w:w="4610" w:type="pct"/>
            <w:gridSpan w:val="8"/>
            <w:tcBorders>
              <w:top w:val="single" w:sz="4" w:space="0" w:color="auto"/>
            </w:tcBorders>
            <w:shd w:val="clear" w:color="auto" w:fill="FFFFFF"/>
          </w:tcPr>
          <w:p w:rsidR="006A36A0" w:rsidRPr="001703B9" w:rsidDel="00290B96" w:rsidRDefault="006A36A0" w:rsidP="006A36A0">
            <w:pPr>
              <w:spacing w:after="0" w:line="240" w:lineRule="auto"/>
              <w:rPr>
                <w:rFonts w:ascii="Times New Roman" w:eastAsia="Calibri" w:hAnsi="Times New Roman" w:cs="Times New Roman"/>
                <w:i/>
                <w:sz w:val="16"/>
                <w:szCs w:val="16"/>
              </w:rPr>
            </w:pPr>
            <w:r w:rsidRPr="001703B9">
              <w:rPr>
                <w:rFonts w:ascii="Times New Roman" w:eastAsia="Calibri" w:hAnsi="Times New Roman" w:cs="Times New Roman"/>
                <w:i/>
                <w:sz w:val="16"/>
                <w:szCs w:val="16"/>
              </w:rPr>
              <w:t xml:space="preserve">Pozn.: </w:t>
            </w:r>
            <w:r w:rsidRPr="001703B9">
              <w:rPr>
                <w:rFonts w:ascii="Times New Roman" w:eastAsia="Calibri" w:hAnsi="Times New Roman" w:cs="Times New Roman"/>
                <w:i/>
                <w:sz w:val="16"/>
                <w:szCs w:val="16"/>
                <w:vertAlign w:val="superscript"/>
              </w:rPr>
              <w:t>a</w:t>
            </w:r>
            <w:r w:rsidRPr="001703B9">
              <w:t xml:space="preserve"> </w:t>
            </w:r>
            <w:r w:rsidRPr="001703B9">
              <w:rPr>
                <w:rFonts w:ascii="Times New Roman" w:eastAsia="Calibri" w:hAnsi="Times New Roman" w:cs="Times New Roman"/>
                <w:i/>
                <w:sz w:val="16"/>
                <w:szCs w:val="16"/>
              </w:rPr>
              <w:t>Symboly pri údajoch označujú, či SR pri plnení cieľa dosahuje/dosiahne medián NATO (</w:t>
            </w:r>
            <w:r w:rsidRPr="001703B9">
              <w:rPr>
                <w:rFonts w:ascii="Segoe UI Symbol" w:eastAsia="Calibri" w:hAnsi="Segoe UI Symbol" w:cs="Segoe UI Symbol"/>
                <w:i/>
                <w:sz w:val="16"/>
                <w:szCs w:val="16"/>
              </w:rPr>
              <w:t>✓</w:t>
            </w:r>
            <w:r w:rsidRPr="001703B9">
              <w:rPr>
                <w:rFonts w:ascii="Times New Roman" w:eastAsia="Calibri" w:hAnsi="Times New Roman" w:cs="Times New Roman"/>
                <w:i/>
                <w:sz w:val="16"/>
                <w:szCs w:val="16"/>
              </w:rPr>
              <w:t xml:space="preserve">) alebo nie (X). Medián NATO sa neuvádza z dôvodu utajenia. </w:t>
            </w:r>
            <w:r w:rsidRPr="001703B9">
              <w:rPr>
                <w:rFonts w:ascii="Times New Roman" w:eastAsia="Calibri" w:hAnsi="Times New Roman" w:cs="Times New Roman"/>
                <w:i/>
                <w:sz w:val="16"/>
                <w:szCs w:val="16"/>
                <w:vertAlign w:val="superscript"/>
              </w:rPr>
              <w:t>b</w:t>
            </w:r>
            <w:r w:rsidRPr="001703B9">
              <w:rPr>
                <w:rFonts w:ascii="Times New Roman" w:eastAsia="Calibri" w:hAnsi="Times New Roman" w:cs="Times New Roman"/>
                <w:i/>
                <w:sz w:val="16"/>
                <w:szCs w:val="16"/>
              </w:rPr>
              <w:t xml:space="preserve"> Ciele sú stanovené na rok 2023 v súlade s vykazovaním NATO. </w:t>
            </w:r>
            <w:r w:rsidRPr="001703B9">
              <w:rPr>
                <w:rFonts w:ascii="Times New Roman" w:eastAsia="Calibri" w:hAnsi="Times New Roman" w:cs="Times New Roman"/>
                <w:i/>
                <w:sz w:val="16"/>
                <w:szCs w:val="16"/>
                <w:vertAlign w:val="superscript"/>
              </w:rPr>
              <w:t xml:space="preserve">c </w:t>
            </w:r>
            <w:r w:rsidRPr="001703B9">
              <w:rPr>
                <w:rFonts w:ascii="Times New Roman" w:eastAsia="Calibri" w:hAnsi="Times New Roman" w:cs="Times New Roman"/>
                <w:i/>
                <w:sz w:val="16"/>
                <w:szCs w:val="16"/>
              </w:rPr>
              <w:t xml:space="preserve">odhad NATO </w:t>
            </w:r>
            <w:r w:rsidRPr="001703B9">
              <w:rPr>
                <w:rFonts w:ascii="Times New Roman" w:eastAsia="Calibri" w:hAnsi="Times New Roman" w:cs="Times New Roman"/>
                <w:i/>
                <w:sz w:val="16"/>
                <w:szCs w:val="16"/>
                <w:vertAlign w:val="superscript"/>
              </w:rPr>
              <w:t xml:space="preserve">d </w:t>
            </w:r>
            <w:r w:rsidRPr="001703B9">
              <w:rPr>
                <w:rFonts w:ascii="Times New Roman" w:eastAsia="Calibri" w:hAnsi="Times New Roman" w:cs="Times New Roman"/>
                <w:i/>
                <w:sz w:val="16"/>
                <w:szCs w:val="16"/>
              </w:rPr>
              <w:t xml:space="preserve">NATO v EÚ zahŕňa Spojené kráľovstvo do konca roku 2019. </w:t>
            </w:r>
            <w:r w:rsidRPr="001703B9">
              <w:rPr>
                <w:rFonts w:ascii="Times New Roman" w:eastAsia="Calibri" w:hAnsi="Times New Roman" w:cs="Times New Roman"/>
                <w:i/>
                <w:sz w:val="16"/>
                <w:szCs w:val="16"/>
                <w:vertAlign w:val="superscript"/>
              </w:rPr>
              <w:t xml:space="preserve">e </w:t>
            </w:r>
            <w:r w:rsidRPr="001703B9">
              <w:rPr>
                <w:rFonts w:ascii="Times New Roman" w:eastAsia="Calibri" w:hAnsi="Times New Roman" w:cs="Times New Roman"/>
                <w:i/>
                <w:sz w:val="16"/>
                <w:szCs w:val="16"/>
              </w:rPr>
              <w:t>Nastavenie hodnoty nie je v pôsobnosti kapitoly MO SR.</w:t>
            </w:r>
            <w:r w:rsidRPr="001703B9">
              <w:rPr>
                <w:rFonts w:ascii="Times New Roman" w:eastAsia="Calibri" w:hAnsi="Times New Roman" w:cs="Times New Roman"/>
                <w:i/>
                <w:sz w:val="16"/>
                <w:szCs w:val="16"/>
                <w:vertAlign w:val="superscript"/>
              </w:rPr>
              <w:t xml:space="preserve"> f </w:t>
            </w:r>
            <w:r w:rsidRPr="001703B9">
              <w:rPr>
                <w:rFonts w:ascii="Times New Roman" w:eastAsia="Calibri" w:hAnsi="Times New Roman" w:cs="Times New Roman"/>
                <w:i/>
                <w:sz w:val="16"/>
                <w:szCs w:val="16"/>
              </w:rPr>
              <w:t>Ambícia stanovená Programovým vyhlásením vlády SR 2021 – 2024. N/A – hodnoty sú nedostupné resp. nedefinované</w:t>
            </w:r>
          </w:p>
        </w:tc>
        <w:tc>
          <w:tcPr>
            <w:tcW w:w="390" w:type="pct"/>
            <w:gridSpan w:val="2"/>
            <w:tcBorders>
              <w:top w:val="single" w:sz="4" w:space="0" w:color="auto"/>
            </w:tcBorders>
            <w:shd w:val="clear" w:color="auto" w:fill="FFFFFF"/>
          </w:tcPr>
          <w:p w:rsidR="006A36A0" w:rsidRPr="00C07CD2" w:rsidRDefault="006A36A0" w:rsidP="006A36A0">
            <w:pPr>
              <w:spacing w:after="0" w:line="240" w:lineRule="auto"/>
              <w:jc w:val="right"/>
              <w:rPr>
                <w:rFonts w:ascii="Times New Roman" w:eastAsia="Calibri" w:hAnsi="Times New Roman" w:cs="Times New Roman"/>
                <w:i/>
                <w:sz w:val="16"/>
                <w:szCs w:val="16"/>
              </w:rPr>
            </w:pPr>
            <w:r w:rsidRPr="001703B9">
              <w:rPr>
                <w:rFonts w:ascii="Times New Roman" w:eastAsia="Calibri" w:hAnsi="Times New Roman" w:cs="Times New Roman"/>
                <w:i/>
                <w:sz w:val="16"/>
                <w:szCs w:val="16"/>
              </w:rPr>
              <w:t xml:space="preserve"> Zdroj: NATO, MO SR</w:t>
            </w:r>
          </w:p>
        </w:tc>
      </w:tr>
    </w:tbl>
    <w:p w:rsidR="006A36A0" w:rsidRDefault="006A36A0" w:rsidP="006A36A0">
      <w:pPr>
        <w:spacing w:after="0"/>
        <w:jc w:val="both"/>
        <w:rPr>
          <w:rFonts w:ascii="Times New Roman" w:hAnsi="Times New Roman"/>
          <w:color w:val="5B9BD5"/>
          <w:sz w:val="24"/>
          <w:szCs w:val="24"/>
        </w:rPr>
      </w:pPr>
    </w:p>
    <w:p w:rsidR="006A36A0" w:rsidRPr="00DD3AD9" w:rsidRDefault="006A36A0" w:rsidP="006A36A0">
      <w:pPr>
        <w:spacing w:after="0"/>
        <w:jc w:val="both"/>
        <w:rPr>
          <w:rFonts w:ascii="Times New Roman" w:hAnsi="Times New Roman"/>
          <w:sz w:val="24"/>
        </w:rPr>
      </w:pPr>
      <w:r w:rsidRPr="00DD3AD9">
        <w:rPr>
          <w:rFonts w:ascii="Times New Roman" w:hAnsi="Times New Roman"/>
          <w:sz w:val="24"/>
        </w:rPr>
        <w:t xml:space="preserve">Cieľom obrannej politiky je zlepšiť plnenie cieľov spôsobilostí, ktoré sú príspevkom do spoločnej obrany NATO, v požadovanom rozsahu, kvalite a čase. Ozbrojené sily SR </w:t>
      </w:r>
      <w:r w:rsidRPr="00DD3AD9">
        <w:rPr>
          <w:rFonts w:ascii="Times New Roman" w:hAnsi="Times New Roman"/>
          <w:sz w:val="24"/>
          <w:szCs w:val="24"/>
        </w:rPr>
        <w:t>(ďalej len „</w:t>
      </w:r>
      <w:r w:rsidRPr="00DD3AD9">
        <w:rPr>
          <w:rFonts w:ascii="Times New Roman" w:hAnsi="Times New Roman"/>
          <w:sz w:val="24"/>
        </w:rPr>
        <w:t>OS SR</w:t>
      </w:r>
      <w:r w:rsidRPr="00DD3AD9">
        <w:rPr>
          <w:rFonts w:ascii="Times New Roman" w:hAnsi="Times New Roman"/>
          <w:sz w:val="24"/>
          <w:szCs w:val="24"/>
        </w:rPr>
        <w:t xml:space="preserve">“) </w:t>
      </w:r>
      <w:r w:rsidRPr="00DD3AD9">
        <w:rPr>
          <w:rFonts w:ascii="Times New Roman" w:hAnsi="Times New Roman"/>
          <w:sz w:val="24"/>
        </w:rPr>
        <w:t>poskytujú 81 % jednotiek požadovaných Alianciou, ale len v podpriemernej kvalite (41 %). Vzhľadom na vyššiu náročnosť nových cieľov spôsobilostí</w:t>
      </w:r>
      <w:r>
        <w:rPr>
          <w:rFonts w:ascii="Times New Roman" w:hAnsi="Times New Roman"/>
          <w:sz w:val="24"/>
        </w:rPr>
        <w:t xml:space="preserve"> MO SR</w:t>
      </w:r>
      <w:r w:rsidRPr="00DD3AD9">
        <w:rPr>
          <w:rFonts w:ascii="Times New Roman" w:hAnsi="Times New Roman"/>
          <w:sz w:val="24"/>
        </w:rPr>
        <w:t xml:space="preserve"> plánuje v roku 2023 poskytovať 75 % potrebných jednotiek, na kvalitatívnej úrovni 41 %, pričom minimálne pri kvantitatívnych cieľoch udržať plnenie nad mediánom NATO. SR prijala v roku 2017 celkovo 90 cieľov, rozdelených na pozemné sily, vzdušné sily, podporné sily, sily pre špeciálne operácie a ciele týkajúce sa stabilizácie a rekonštrukcie (príspevok k obnove krízových regiónov). Z týchto piatich kategórií plní Slovensko požiadavky iba v oblasti stabilizácie a rekonštrukcie (20 %), cieľom je zvýšiť podiel plnených kategórií na 60 %.</w:t>
      </w:r>
      <w:r w:rsidRPr="00DD3AD9">
        <w:rPr>
          <w:sz w:val="24"/>
        </w:rPr>
        <w:t xml:space="preserve"> </w:t>
      </w:r>
      <w:r w:rsidRPr="00DD3AD9">
        <w:rPr>
          <w:rFonts w:ascii="Times New Roman" w:hAnsi="Times New Roman"/>
          <w:sz w:val="24"/>
        </w:rPr>
        <w:t>Úroveň operačnej pripravenosti jednotiek na plnenie úloh sa v roku 2020 stabilizovala, ale zostáva nedostatočná. Ciele pripravenosti OS SR na plnenie úloh Obrannej stratégie SR budú zadefinované a zverejnené počas roka 2022.</w:t>
      </w:r>
    </w:p>
    <w:p w:rsidR="006A36A0" w:rsidRPr="00DD3AD9" w:rsidRDefault="006A36A0" w:rsidP="006A36A0">
      <w:pPr>
        <w:spacing w:after="0"/>
        <w:jc w:val="both"/>
        <w:rPr>
          <w:rFonts w:ascii="Times New Roman" w:hAnsi="Times New Roman"/>
          <w:sz w:val="24"/>
        </w:rPr>
      </w:pPr>
    </w:p>
    <w:p w:rsidR="006A36A0" w:rsidRDefault="006A36A0" w:rsidP="006A36A0">
      <w:pPr>
        <w:spacing w:after="0"/>
        <w:jc w:val="both"/>
        <w:rPr>
          <w:rFonts w:ascii="Times New Roman" w:hAnsi="Times New Roman"/>
          <w:sz w:val="24"/>
        </w:rPr>
      </w:pPr>
      <w:r w:rsidRPr="00DD3AD9">
        <w:rPr>
          <w:rFonts w:ascii="Times New Roman" w:hAnsi="Times New Roman"/>
          <w:sz w:val="24"/>
        </w:rPr>
        <w:t>Predpokladom úspešného pôsobenia vojakov v operáciách a mis</w:t>
      </w:r>
      <w:r>
        <w:rPr>
          <w:rFonts w:ascii="Times New Roman" w:hAnsi="Times New Roman"/>
          <w:sz w:val="24"/>
        </w:rPr>
        <w:t>i</w:t>
      </w:r>
      <w:r w:rsidRPr="00DD3AD9">
        <w:rPr>
          <w:rFonts w:ascii="Times New Roman" w:hAnsi="Times New Roman"/>
          <w:sz w:val="24"/>
        </w:rPr>
        <w:t xml:space="preserve">ách je dosiahnuť nasaditeľnosť a udržateľnosť na úrovni záväzku NATO – pri pozemných silách nasaditeľnosť 50 % a udržateľnosť 10 %, pri vzdušných silách nasaditeľnosť 40 % a udržateľnosť 8 %. Pozemné sily ciele v roku 2020 dosiahli, vzdušné sily dosahujú pri nasaditeľnosti len pätinu cieľa (8,3 %) a ich udržateľnosť zodpovedá nule. Vďaka dodávkam novej techniky je v roku 2024 cieľom vzdušných síl zvýšiť nasaditeľnosť tesne k hranici požadovanej NATO (38,5 %), avšak zvýšenie udržateľnosti sa nateraz neplánuje. Z hľadiska počtu vojakov nasadených v operáciách NATO hodnotí slovenský príspevok do operácií ako primeraný veľkosti ozbrojených síl. V roku 2020 bolo v zahraničí nasadených 3,8 % OS SR. Cieľom na rok 2024 je udržiavať v operáciách minimálne 3,6 % </w:t>
      </w:r>
      <w:r w:rsidRPr="00396A59">
        <w:rPr>
          <w:rFonts w:ascii="Times New Roman" w:hAnsi="Times New Roman"/>
          <w:sz w:val="24"/>
        </w:rPr>
        <w:t>OS SR (513 vojakov).</w:t>
      </w:r>
    </w:p>
    <w:p w:rsidR="006A36A0" w:rsidRDefault="006A36A0" w:rsidP="006A36A0">
      <w:pPr>
        <w:spacing w:after="0"/>
        <w:jc w:val="both"/>
        <w:rPr>
          <w:rFonts w:ascii="Times New Roman" w:hAnsi="Times New Roman"/>
          <w:sz w:val="24"/>
        </w:rPr>
      </w:pPr>
    </w:p>
    <w:p w:rsidR="006A36A0" w:rsidRDefault="006A36A0" w:rsidP="006A36A0">
      <w:pPr>
        <w:spacing w:after="0"/>
        <w:jc w:val="both"/>
        <w:rPr>
          <w:rFonts w:ascii="Times New Roman" w:hAnsi="Times New Roman" w:cs="Times New Roman"/>
          <w:sz w:val="24"/>
          <w:szCs w:val="24"/>
        </w:rPr>
      </w:pPr>
      <w:r w:rsidRPr="00C80C11">
        <w:rPr>
          <w:rFonts w:ascii="Times New Roman" w:hAnsi="Times New Roman" w:cs="Times New Roman"/>
          <w:sz w:val="24"/>
          <w:szCs w:val="24"/>
        </w:rPr>
        <w:t>Výdavky Slovenska na obranu sú dlhodobo porovnateľné s referenčnými krajinami</w:t>
      </w:r>
      <w:r w:rsidRPr="00C80C11">
        <w:rPr>
          <w:rStyle w:val="Odkaznapoznmkupodiarou"/>
          <w:rFonts w:ascii="Times New Roman" w:hAnsi="Times New Roman"/>
          <w:sz w:val="24"/>
          <w:szCs w:val="24"/>
        </w:rPr>
        <w:footnoteReference w:id="58"/>
      </w:r>
      <w:r>
        <w:rPr>
          <w:rFonts w:ascii="Times New Roman" w:hAnsi="Times New Roman" w:cs="Times New Roman"/>
          <w:sz w:val="24"/>
          <w:szCs w:val="24"/>
        </w:rPr>
        <w:t>.</w:t>
      </w:r>
      <w:r w:rsidRPr="00C80C11">
        <w:rPr>
          <w:rFonts w:ascii="Times New Roman" w:hAnsi="Times New Roman" w:cs="Times New Roman"/>
          <w:sz w:val="24"/>
          <w:szCs w:val="24"/>
        </w:rPr>
        <w:t xml:space="preserve"> Výdavky Slovenska na </w:t>
      </w:r>
      <w:r>
        <w:rPr>
          <w:rFonts w:ascii="Times New Roman" w:hAnsi="Times New Roman" w:cs="Times New Roman"/>
          <w:sz w:val="24"/>
          <w:szCs w:val="24"/>
        </w:rPr>
        <w:t>obranu medzi rokmi 2014 až 2021 podľa údajov NATO</w:t>
      </w:r>
      <w:r w:rsidRPr="00C80C11">
        <w:rPr>
          <w:rFonts w:ascii="Times New Roman" w:hAnsi="Times New Roman" w:cs="Times New Roman"/>
          <w:sz w:val="24"/>
          <w:szCs w:val="24"/>
        </w:rPr>
        <w:t xml:space="preserve"> rástli tretím najvyšším tempom zo všetkých krajín </w:t>
      </w:r>
      <w:r>
        <w:rPr>
          <w:rFonts w:ascii="Times New Roman" w:hAnsi="Times New Roman" w:cs="Times New Roman"/>
          <w:sz w:val="24"/>
          <w:szCs w:val="24"/>
        </w:rPr>
        <w:t>aliancie</w:t>
      </w:r>
      <w:r w:rsidRPr="00C80C11">
        <w:rPr>
          <w:rFonts w:ascii="Times New Roman" w:hAnsi="Times New Roman" w:cs="Times New Roman"/>
          <w:sz w:val="24"/>
          <w:szCs w:val="24"/>
        </w:rPr>
        <w:t>.</w:t>
      </w:r>
      <w:r>
        <w:rPr>
          <w:rFonts w:ascii="Times New Roman" w:hAnsi="Times New Roman" w:cs="Times New Roman"/>
          <w:sz w:val="24"/>
          <w:szCs w:val="24"/>
        </w:rPr>
        <w:t xml:space="preserve"> </w:t>
      </w:r>
    </w:p>
    <w:p w:rsidR="006A36A0" w:rsidRDefault="006A36A0" w:rsidP="006A36A0">
      <w:pPr>
        <w:spacing w:after="0"/>
        <w:jc w:val="both"/>
        <w:rPr>
          <w:rFonts w:ascii="Times New Roman" w:hAnsi="Times New Roman" w:cs="Times New Roman"/>
          <w:sz w:val="24"/>
          <w:szCs w:val="24"/>
        </w:rPr>
      </w:pPr>
    </w:p>
    <w:p w:rsidR="006A36A0" w:rsidRPr="00192FDB" w:rsidRDefault="006A36A0" w:rsidP="006A36A0">
      <w:pPr>
        <w:pStyle w:val="Popis"/>
        <w:keepNext/>
        <w:spacing w:after="0"/>
        <w:rPr>
          <w:rFonts w:ascii="Times New Roman" w:hAnsi="Times New Roman"/>
          <w:b/>
          <w:i w:val="0"/>
          <w:color w:val="5B9BD5" w:themeColor="accent1"/>
          <w:sz w:val="20"/>
          <w:szCs w:val="20"/>
        </w:rPr>
      </w:pPr>
      <w:bookmarkStart w:id="460" w:name="_Toc84528538"/>
      <w:bookmarkStart w:id="461" w:name="_Toc84848029"/>
      <w:r w:rsidRPr="002F387B">
        <w:rPr>
          <w:rFonts w:ascii="Times New Roman" w:hAnsi="Times New Roman" w:cs="Times New Roman"/>
          <w:b/>
          <w:i w:val="0"/>
          <w:color w:val="5B9BD5" w:themeColor="accent1"/>
          <w:sz w:val="20"/>
          <w:szCs w:val="20"/>
        </w:rPr>
        <w:t xml:space="preserve">Graf </w:t>
      </w:r>
      <w:r w:rsidRPr="002F387B">
        <w:rPr>
          <w:rFonts w:ascii="Times New Roman" w:hAnsi="Times New Roman" w:cs="Times New Roman"/>
          <w:b/>
          <w:i w:val="0"/>
          <w:color w:val="5B9BD5" w:themeColor="accent1"/>
          <w:sz w:val="20"/>
          <w:szCs w:val="20"/>
        </w:rPr>
        <w:fldChar w:fldCharType="begin"/>
      </w:r>
      <w:r w:rsidRPr="002F387B">
        <w:rPr>
          <w:rFonts w:ascii="Times New Roman" w:hAnsi="Times New Roman" w:cs="Times New Roman"/>
          <w:b/>
          <w:i w:val="0"/>
          <w:color w:val="5B9BD5" w:themeColor="accent1"/>
          <w:sz w:val="20"/>
          <w:szCs w:val="20"/>
        </w:rPr>
        <w:instrText xml:space="preserve"> SEQ Obrázok \* ARABIC </w:instrText>
      </w:r>
      <w:r w:rsidRPr="002F387B">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38</w:t>
      </w:r>
      <w:r w:rsidRPr="002F387B">
        <w:rPr>
          <w:rFonts w:ascii="Times New Roman" w:hAnsi="Times New Roman" w:cs="Times New Roman"/>
          <w:b/>
          <w:i w:val="0"/>
          <w:color w:val="5B9BD5" w:themeColor="accent1"/>
          <w:sz w:val="20"/>
          <w:szCs w:val="20"/>
        </w:rPr>
        <w:fldChar w:fldCharType="end"/>
      </w:r>
      <w:r w:rsidRPr="002F387B">
        <w:rPr>
          <w:rFonts w:ascii="Times New Roman" w:hAnsi="Times New Roman"/>
          <w:b/>
          <w:i w:val="0"/>
          <w:color w:val="5B9BD5" w:themeColor="accent1"/>
          <w:sz w:val="20"/>
          <w:szCs w:val="20"/>
        </w:rPr>
        <w:t xml:space="preserve"> - Vývoj výdavkov na obranu (kapitola MO SR a medzirezortné výdavky, % HDP)</w:t>
      </w:r>
      <w:bookmarkEnd w:id="460"/>
      <w:bookmarkEnd w:id="461"/>
    </w:p>
    <w:p w:rsidR="006A36A0" w:rsidRPr="00E86ABB" w:rsidRDefault="002F387B" w:rsidP="006A36A0">
      <w:pPr>
        <w:pBdr>
          <w:top w:val="single" w:sz="4" w:space="1" w:color="auto"/>
        </w:pBdr>
        <w:jc w:val="both"/>
        <w:rPr>
          <w:rFonts w:ascii="Times New Roman" w:hAnsi="Times New Roman"/>
          <w:strike/>
          <w:szCs w:val="24"/>
          <w:highlight w:val="yellow"/>
        </w:rPr>
      </w:pPr>
      <w:r w:rsidRPr="00E86ABB">
        <w:rPr>
          <w:strike/>
          <w:noProof/>
          <w:lang w:eastAsia="sk-SK"/>
        </w:rPr>
        <w:drawing>
          <wp:inline distT="0" distB="0" distL="0" distR="0" wp14:anchorId="624B75B3" wp14:editId="03EF3956">
            <wp:extent cx="5760720" cy="3000375"/>
            <wp:effectExtent l="0" t="0" r="0" b="0"/>
            <wp:docPr id="254" name="Graf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5000" w:type="pct"/>
        <w:tblLook w:val="04A0" w:firstRow="1" w:lastRow="0" w:firstColumn="1" w:lastColumn="0" w:noHBand="0" w:noVBand="1"/>
      </w:tblPr>
      <w:tblGrid>
        <w:gridCol w:w="7161"/>
        <w:gridCol w:w="1911"/>
      </w:tblGrid>
      <w:tr w:rsidR="006A36A0" w:rsidRPr="00E86ABB" w:rsidTr="006A36A0">
        <w:trPr>
          <w:cantSplit/>
          <w:trHeight w:val="197"/>
        </w:trPr>
        <w:tc>
          <w:tcPr>
            <w:tcW w:w="3947" w:type="pct"/>
            <w:tcBorders>
              <w:top w:val="single" w:sz="4" w:space="0" w:color="000000"/>
            </w:tcBorders>
            <w:shd w:val="clear" w:color="auto" w:fill="auto"/>
          </w:tcPr>
          <w:p w:rsidR="006A36A0" w:rsidRPr="00E86ABB" w:rsidRDefault="006A36A0" w:rsidP="006A36A0">
            <w:pPr>
              <w:spacing w:after="0"/>
              <w:jc w:val="both"/>
              <w:rPr>
                <w:rFonts w:ascii="Arial Narrow" w:eastAsia="Calibri" w:hAnsi="Arial Narrow"/>
                <w:bCs/>
                <w:i/>
                <w:iCs/>
                <w:strike/>
                <w:sz w:val="16"/>
                <w:szCs w:val="16"/>
                <w:highlight w:val="yellow"/>
              </w:rPr>
            </w:pPr>
            <w:r w:rsidRPr="00CA72B5">
              <w:rPr>
                <w:rFonts w:ascii="Times New Roman" w:hAnsi="Times New Roman" w:cs="Times New Roman"/>
                <w:i/>
                <w:iCs/>
                <w:color w:val="000000"/>
                <w:sz w:val="16"/>
                <w:szCs w:val="16"/>
              </w:rPr>
              <w:t>Pozn.: Na kalkuláciu priemeru sú využité aritmetické priemery. Údaje sa môžu líšiť od grafov NATO používajúcich vážený priemer. S – skutočnosť, OS – očakávaná skutočnosť, N – návrh rozpočtu. F3 – zakladajúca referenčná skupina (Dánsko, Belgicko, Holandsko), C3 – stredoeurópska referenčná skupina (Česká republika, Maďarsko, Litva). NATO v EÚ zahŕňa Spojené kráľovstvo</w:t>
            </w:r>
            <w:r>
              <w:rPr>
                <w:rFonts w:ascii="Times New Roman" w:hAnsi="Times New Roman" w:cs="Times New Roman"/>
                <w:i/>
                <w:iCs/>
                <w:color w:val="000000"/>
                <w:sz w:val="16"/>
                <w:szCs w:val="16"/>
              </w:rPr>
              <w:t xml:space="preserve"> do konca roku 2019</w:t>
            </w:r>
            <w:r w:rsidRPr="00CA72B5">
              <w:rPr>
                <w:rFonts w:ascii="Times New Roman" w:hAnsi="Times New Roman" w:cs="Times New Roman"/>
                <w:i/>
                <w:iCs/>
                <w:color w:val="000000"/>
                <w:sz w:val="16"/>
                <w:szCs w:val="16"/>
              </w:rPr>
              <w:t>. 2020 je S pre Slovensko, OS pre referenčné skupiny.</w:t>
            </w:r>
            <w:r>
              <w:rPr>
                <w:rFonts w:ascii="Times New Roman" w:hAnsi="Times New Roman" w:cs="Times New Roman"/>
                <w:i/>
                <w:iCs/>
                <w:color w:val="000000"/>
                <w:sz w:val="16"/>
                <w:szCs w:val="16"/>
              </w:rPr>
              <w:t xml:space="preserve"> Roky 2019 – 2021 pre Slovensko pracujú s odhadom HDP podľa IFP 9/2021.</w:t>
            </w:r>
          </w:p>
        </w:tc>
        <w:tc>
          <w:tcPr>
            <w:tcW w:w="1053" w:type="pct"/>
            <w:tcBorders>
              <w:top w:val="single" w:sz="4" w:space="0" w:color="000000"/>
            </w:tcBorders>
            <w:shd w:val="clear" w:color="auto" w:fill="auto"/>
          </w:tcPr>
          <w:p w:rsidR="006A36A0" w:rsidRPr="00E86ABB" w:rsidRDefault="006A36A0" w:rsidP="006A36A0">
            <w:pPr>
              <w:jc w:val="both"/>
              <w:rPr>
                <w:rFonts w:ascii="Times New Roman" w:eastAsia="Calibri" w:hAnsi="Times New Roman"/>
                <w:i/>
                <w:strike/>
                <w:sz w:val="16"/>
                <w:szCs w:val="16"/>
                <w:highlight w:val="yellow"/>
              </w:rPr>
            </w:pPr>
            <w:r w:rsidRPr="00467DA7">
              <w:rPr>
                <w:rFonts w:ascii="Times New Roman" w:eastAsia="Calibri" w:hAnsi="Times New Roman"/>
                <w:i/>
                <w:sz w:val="16"/>
                <w:szCs w:val="16"/>
              </w:rPr>
              <w:t>Zdroj: NATO, MO SR, MF SR. Spracovanie: MF SR</w:t>
            </w:r>
          </w:p>
        </w:tc>
      </w:tr>
    </w:tbl>
    <w:p w:rsidR="00AA17E3" w:rsidRDefault="00AA17E3" w:rsidP="00AA17E3">
      <w:pPr>
        <w:spacing w:after="0"/>
        <w:jc w:val="both"/>
        <w:rPr>
          <w:rFonts w:ascii="Times New Roman" w:hAnsi="Times New Roman"/>
          <w:bCs/>
          <w:sz w:val="24"/>
          <w:szCs w:val="24"/>
          <w:highlight w:val="yellow"/>
        </w:rPr>
      </w:pPr>
    </w:p>
    <w:p w:rsidR="006A36A0" w:rsidRPr="00E836C5" w:rsidRDefault="006A36A0" w:rsidP="00AA17E3">
      <w:pPr>
        <w:spacing w:after="0"/>
        <w:jc w:val="both"/>
        <w:rPr>
          <w:rFonts w:ascii="Times New Roman" w:hAnsi="Times New Roman"/>
          <w:bCs/>
          <w:sz w:val="24"/>
          <w:szCs w:val="24"/>
          <w:highlight w:val="yellow"/>
        </w:rPr>
      </w:pPr>
    </w:p>
    <w:p w:rsidR="00AA17E3" w:rsidRPr="00B12D35" w:rsidRDefault="00AA17E3" w:rsidP="00AA17E3">
      <w:pPr>
        <w:pStyle w:val="Nadpis2"/>
        <w:spacing w:before="0" w:after="0"/>
        <w:rPr>
          <w:rFonts w:ascii="Times New Roman" w:hAnsi="Times New Roman"/>
          <w:bCs w:val="0"/>
          <w:i w:val="0"/>
          <w:color w:val="5B9BD5" w:themeColor="accent1"/>
          <w:sz w:val="24"/>
          <w:szCs w:val="24"/>
        </w:rPr>
      </w:pPr>
      <w:bookmarkStart w:id="462" w:name="_Toc53062621"/>
      <w:bookmarkStart w:id="463" w:name="_Toc53084679"/>
      <w:bookmarkStart w:id="464" w:name="_Toc84528344"/>
      <w:bookmarkStart w:id="465" w:name="_Toc84684767"/>
      <w:r w:rsidRPr="00B12D35">
        <w:rPr>
          <w:rFonts w:ascii="Times New Roman" w:hAnsi="Times New Roman"/>
          <w:bCs w:val="0"/>
          <w:i w:val="0"/>
          <w:color w:val="5B9BD5" w:themeColor="accent1"/>
          <w:sz w:val="24"/>
          <w:szCs w:val="24"/>
        </w:rPr>
        <w:t>4.11. Financie</w:t>
      </w:r>
      <w:bookmarkEnd w:id="462"/>
      <w:bookmarkEnd w:id="463"/>
      <w:bookmarkEnd w:id="464"/>
      <w:bookmarkEnd w:id="465"/>
    </w:p>
    <w:p w:rsidR="00AA17E3" w:rsidRDefault="00AA17E3" w:rsidP="00AA17E3">
      <w:pPr>
        <w:spacing w:after="0" w:line="240" w:lineRule="auto"/>
        <w:jc w:val="both"/>
        <w:rPr>
          <w:rFonts w:ascii="Times New Roman" w:eastAsia="Times New Roman" w:hAnsi="Times New Roman" w:cs="Times New Roman"/>
          <w:b/>
          <w:bCs/>
          <w:iCs/>
          <w:color w:val="5B9BD5" w:themeColor="accent1"/>
          <w:sz w:val="24"/>
          <w:szCs w:val="24"/>
          <w:highlight w:val="yellow"/>
          <w:lang w:eastAsia="sk-SK"/>
        </w:rPr>
      </w:pPr>
    </w:p>
    <w:p w:rsidR="00AA17E3" w:rsidRDefault="00AA17E3" w:rsidP="00AA17E3">
      <w:pPr>
        <w:spacing w:after="0"/>
        <w:jc w:val="both"/>
        <w:rPr>
          <w:rFonts w:ascii="Times New Roman" w:hAnsi="Times New Roman"/>
          <w:sz w:val="24"/>
          <w:szCs w:val="24"/>
        </w:rPr>
      </w:pPr>
      <w:r w:rsidRPr="00740502">
        <w:rPr>
          <w:rFonts w:ascii="Times New Roman" w:hAnsi="Times New Roman"/>
          <w:bCs/>
          <w:color w:val="000000"/>
          <w:sz w:val="24"/>
          <w:szCs w:val="24"/>
        </w:rPr>
        <w:t>Hlavnou úlohou vlády vo  verejných financiách</w:t>
      </w:r>
      <w:r>
        <w:rPr>
          <w:rFonts w:ascii="Times New Roman" w:hAnsi="Times New Roman"/>
          <w:bCs/>
          <w:color w:val="000000"/>
          <w:sz w:val="24"/>
          <w:szCs w:val="24"/>
        </w:rPr>
        <w:t xml:space="preserve"> je ich dlhodobá udržateľnosť. </w:t>
      </w:r>
      <w:r w:rsidRPr="00740502">
        <w:rPr>
          <w:rFonts w:ascii="Times New Roman" w:hAnsi="Times New Roman"/>
          <w:bCs/>
          <w:color w:val="000000"/>
          <w:sz w:val="24"/>
          <w:szCs w:val="24"/>
        </w:rPr>
        <w:t xml:space="preserve">Cieli sa súlad príjmov a výdavkov verejnej správy s makroekonomickými a strategickými cieľmi politík vlády a sledovanie efektívneho výberu a využitia zdrojov. </w:t>
      </w:r>
      <w:r w:rsidRPr="00740502">
        <w:rPr>
          <w:rFonts w:ascii="Times New Roman" w:hAnsi="Times New Roman"/>
          <w:color w:val="000000"/>
          <w:sz w:val="24"/>
          <w:szCs w:val="24"/>
        </w:rPr>
        <w:t xml:space="preserve">Medzi najdôležitejšie úlohy patrí </w:t>
      </w:r>
      <w:r w:rsidRPr="00740502">
        <w:rPr>
          <w:rFonts w:ascii="Times New Roman" w:hAnsi="Times New Roman"/>
          <w:sz w:val="24"/>
          <w:szCs w:val="24"/>
        </w:rPr>
        <w:t>tvorba a uskutočňovanie fiškálnej politiky vrátane tvorby a realizácie rozpočtu verejnej správy. Na financovanie výdavkov a realizáciu rozpočtu je nevyhnutný efektívny výber daní a odvodov a riadenie štátneho dlhu a likvidity. Efektívnosť verejných výdavkov je zabezpečovaná pravidelnými revíziami výdavkov a hodnotením investícií.</w:t>
      </w:r>
    </w:p>
    <w:p w:rsidR="00B302BE" w:rsidRDefault="00B302BE"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E541B0" w:rsidRDefault="00E541B0" w:rsidP="00AA17E3">
      <w:pPr>
        <w:spacing w:after="0"/>
        <w:jc w:val="both"/>
        <w:rPr>
          <w:rFonts w:ascii="Times New Roman" w:hAnsi="Times New Roman"/>
          <w:sz w:val="24"/>
          <w:szCs w:val="24"/>
        </w:rPr>
      </w:pPr>
    </w:p>
    <w:p w:rsidR="00AA17E3" w:rsidRDefault="00AA17E3" w:rsidP="00AA17E3">
      <w:pPr>
        <w:spacing w:after="0" w:line="240" w:lineRule="auto"/>
        <w:rPr>
          <w:rFonts w:ascii="Times New Roman" w:hAnsi="Times New Roman" w:cs="Times New Roman"/>
          <w:b/>
          <w:iCs/>
          <w:color w:val="5B9BD5" w:themeColor="accent1"/>
          <w:sz w:val="20"/>
          <w:szCs w:val="20"/>
        </w:rPr>
      </w:pPr>
      <w:bookmarkStart w:id="466" w:name="_Toc52978203"/>
      <w:bookmarkStart w:id="467" w:name="_Toc53054172"/>
      <w:bookmarkStart w:id="468" w:name="_Toc53054833"/>
      <w:bookmarkStart w:id="469" w:name="_Toc53078025"/>
      <w:bookmarkStart w:id="470" w:name="_Toc53086427"/>
      <w:bookmarkStart w:id="471" w:name="_Toc84528453"/>
      <w:bookmarkStart w:id="472" w:name="_Toc84845329"/>
      <w:r w:rsidRPr="002734EC">
        <w:rPr>
          <w:rFonts w:ascii="Times New Roman" w:hAnsi="Times New Roman" w:cs="Times New Roman"/>
          <w:b/>
          <w:iCs/>
          <w:color w:val="5B9BD5" w:themeColor="accent1"/>
          <w:sz w:val="20"/>
          <w:szCs w:val="20"/>
        </w:rPr>
        <w:t xml:space="preserve">Tabuľka </w:t>
      </w:r>
      <w:r w:rsidRPr="002734EC">
        <w:rPr>
          <w:rFonts w:ascii="Times New Roman" w:hAnsi="Times New Roman" w:cs="Times New Roman"/>
          <w:b/>
          <w:iCs/>
          <w:color w:val="5B9BD5" w:themeColor="accent1"/>
          <w:sz w:val="20"/>
          <w:szCs w:val="20"/>
        </w:rPr>
        <w:fldChar w:fldCharType="begin"/>
      </w:r>
      <w:r w:rsidRPr="002734EC">
        <w:rPr>
          <w:rFonts w:ascii="Times New Roman" w:hAnsi="Times New Roman" w:cs="Times New Roman"/>
          <w:b/>
          <w:iCs/>
          <w:color w:val="5B9BD5" w:themeColor="accent1"/>
          <w:sz w:val="20"/>
          <w:szCs w:val="20"/>
        </w:rPr>
        <w:instrText xml:space="preserve"> SEQ Tabuľka \* ARABIC </w:instrText>
      </w:r>
      <w:r w:rsidRPr="002734EC">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105</w:t>
      </w:r>
      <w:r w:rsidRPr="002734EC">
        <w:rPr>
          <w:rFonts w:ascii="Times New Roman" w:hAnsi="Times New Roman" w:cs="Times New Roman"/>
          <w:b/>
          <w:iCs/>
          <w:color w:val="5B9BD5" w:themeColor="accent1"/>
          <w:sz w:val="20"/>
          <w:szCs w:val="20"/>
        </w:rPr>
        <w:fldChar w:fldCharType="end"/>
      </w:r>
      <w:r w:rsidR="003360AD">
        <w:rPr>
          <w:rFonts w:ascii="Times New Roman" w:hAnsi="Times New Roman" w:cs="Times New Roman"/>
          <w:b/>
          <w:iCs/>
          <w:color w:val="5B9BD5" w:themeColor="accent1"/>
          <w:sz w:val="20"/>
          <w:szCs w:val="20"/>
        </w:rPr>
        <w:t xml:space="preserve"> - Kľúčové ukazovatele f</w:t>
      </w:r>
      <w:r w:rsidRPr="002734EC">
        <w:rPr>
          <w:rFonts w:ascii="Times New Roman" w:hAnsi="Times New Roman" w:cs="Times New Roman"/>
          <w:b/>
          <w:iCs/>
          <w:color w:val="5B9BD5" w:themeColor="accent1"/>
          <w:sz w:val="20"/>
          <w:szCs w:val="20"/>
        </w:rPr>
        <w:t>inancií</w:t>
      </w:r>
      <w:bookmarkEnd w:id="466"/>
      <w:bookmarkEnd w:id="467"/>
      <w:bookmarkEnd w:id="468"/>
      <w:bookmarkEnd w:id="469"/>
      <w:bookmarkEnd w:id="470"/>
      <w:bookmarkEnd w:id="471"/>
      <w:bookmarkEnd w:id="472"/>
    </w:p>
    <w:tbl>
      <w:tblPr>
        <w:tblW w:w="8919" w:type="dxa"/>
        <w:tblCellMar>
          <w:left w:w="70" w:type="dxa"/>
          <w:right w:w="70" w:type="dxa"/>
        </w:tblCellMar>
        <w:tblLook w:val="04A0" w:firstRow="1" w:lastRow="0" w:firstColumn="1" w:lastColumn="0" w:noHBand="0" w:noVBand="1"/>
      </w:tblPr>
      <w:tblGrid>
        <w:gridCol w:w="3544"/>
        <w:gridCol w:w="576"/>
        <w:gridCol w:w="664"/>
        <w:gridCol w:w="664"/>
        <w:gridCol w:w="781"/>
        <w:gridCol w:w="834"/>
        <w:gridCol w:w="928"/>
        <w:gridCol w:w="928"/>
      </w:tblGrid>
      <w:tr w:rsidR="00AA17E3" w:rsidRPr="008E7786" w:rsidTr="00AA17E3">
        <w:trPr>
          <w:trHeight w:val="239"/>
        </w:trPr>
        <w:tc>
          <w:tcPr>
            <w:tcW w:w="3544"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Indikátor</w:t>
            </w:r>
          </w:p>
        </w:tc>
        <w:tc>
          <w:tcPr>
            <w:tcW w:w="576" w:type="dxa"/>
            <w:tcBorders>
              <w:top w:val="single" w:sz="8" w:space="0" w:color="auto"/>
              <w:left w:val="nil"/>
              <w:bottom w:val="single" w:sz="8" w:space="0" w:color="auto"/>
              <w:right w:val="nil"/>
            </w:tcBorders>
            <w:shd w:val="clear" w:color="auto" w:fill="auto"/>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 </w:t>
            </w:r>
          </w:p>
        </w:tc>
        <w:tc>
          <w:tcPr>
            <w:tcW w:w="664"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2017</w:t>
            </w:r>
          </w:p>
        </w:tc>
        <w:tc>
          <w:tcPr>
            <w:tcW w:w="664"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2018</w:t>
            </w:r>
          </w:p>
        </w:tc>
        <w:tc>
          <w:tcPr>
            <w:tcW w:w="781"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2019</w:t>
            </w:r>
          </w:p>
        </w:tc>
        <w:tc>
          <w:tcPr>
            <w:tcW w:w="834"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2020</w:t>
            </w:r>
          </w:p>
        </w:tc>
        <w:tc>
          <w:tcPr>
            <w:tcW w:w="928"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Cieľ 2024 (NIRP)</w:t>
            </w:r>
          </w:p>
        </w:tc>
        <w:tc>
          <w:tcPr>
            <w:tcW w:w="928" w:type="dxa"/>
            <w:tcBorders>
              <w:top w:val="single" w:sz="8" w:space="0" w:color="auto"/>
              <w:left w:val="nil"/>
              <w:bottom w:val="single" w:sz="8" w:space="0" w:color="auto"/>
              <w:right w:val="nil"/>
            </w:tcBorders>
            <w:shd w:val="clear" w:color="auto" w:fill="auto"/>
            <w:noWrap/>
            <w:vAlign w:val="center"/>
            <w:hideMark/>
          </w:tcPr>
          <w:p w:rsidR="00AA17E3" w:rsidRPr="008E7786" w:rsidRDefault="00AA17E3" w:rsidP="00AA17E3">
            <w:pPr>
              <w:spacing w:after="0" w:line="240" w:lineRule="auto"/>
              <w:jc w:val="center"/>
              <w:rPr>
                <w:rFonts w:ascii="Times New Roman" w:eastAsia="Times New Roman" w:hAnsi="Times New Roman" w:cs="Times New Roman"/>
                <w:b/>
                <w:bCs/>
                <w:color w:val="000000" w:themeColor="text1"/>
                <w:sz w:val="16"/>
                <w:szCs w:val="16"/>
                <w:lang w:eastAsia="sk-SK"/>
              </w:rPr>
            </w:pPr>
            <w:r w:rsidRPr="008E7786">
              <w:rPr>
                <w:rFonts w:ascii="Times New Roman" w:eastAsia="Times New Roman" w:hAnsi="Times New Roman" w:cs="Times New Roman"/>
                <w:b/>
                <w:bCs/>
                <w:color w:val="000000" w:themeColor="text1"/>
                <w:sz w:val="16"/>
                <w:szCs w:val="16"/>
                <w:lang w:eastAsia="sk-SK"/>
              </w:rPr>
              <w:t>Cieľ 2030 (NIRP)</w:t>
            </w:r>
          </w:p>
        </w:tc>
      </w:tr>
      <w:tr w:rsidR="00AA17E3" w:rsidRPr="008E7786" w:rsidTr="00AA17E3">
        <w:trPr>
          <w:trHeight w:val="692"/>
        </w:trPr>
        <w:tc>
          <w:tcPr>
            <w:tcW w:w="3544" w:type="dxa"/>
            <w:vMerge w:val="restart"/>
            <w:tcBorders>
              <w:top w:val="single" w:sz="8" w:space="0" w:color="auto"/>
              <w:left w:val="nil"/>
              <w:bottom w:val="single" w:sz="8" w:space="0" w:color="000000"/>
              <w:right w:val="nil"/>
            </w:tcBorders>
            <w:shd w:val="clear" w:color="000000" w:fill="FFFFFF"/>
            <w:noWrap/>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S2 – Indikátor dlhodobej udržateľnosti (% HDP)</w:t>
            </w:r>
          </w:p>
        </w:tc>
        <w:tc>
          <w:tcPr>
            <w:tcW w:w="576" w:type="dxa"/>
            <w:tcBorders>
              <w:top w:val="nil"/>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SK</w:t>
            </w:r>
          </w:p>
        </w:tc>
        <w:tc>
          <w:tcPr>
            <w:tcW w:w="664" w:type="dxa"/>
            <w:tcBorders>
              <w:top w:val="nil"/>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2,4</w:t>
            </w:r>
          </w:p>
        </w:tc>
        <w:tc>
          <w:tcPr>
            <w:tcW w:w="664" w:type="dxa"/>
            <w:tcBorders>
              <w:top w:val="nil"/>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2,5</w:t>
            </w:r>
          </w:p>
        </w:tc>
        <w:tc>
          <w:tcPr>
            <w:tcW w:w="781" w:type="dxa"/>
            <w:tcBorders>
              <w:top w:val="nil"/>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3,8</w:t>
            </w:r>
          </w:p>
        </w:tc>
        <w:tc>
          <w:tcPr>
            <w:tcW w:w="834" w:type="dxa"/>
            <w:tcBorders>
              <w:top w:val="nil"/>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7,7</w:t>
            </w:r>
          </w:p>
        </w:tc>
        <w:tc>
          <w:tcPr>
            <w:tcW w:w="928" w:type="dxa"/>
            <w:tcBorders>
              <w:top w:val="nil"/>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928" w:type="dxa"/>
            <w:tcBorders>
              <w:top w:val="nil"/>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w:t>
            </w:r>
          </w:p>
        </w:tc>
      </w:tr>
      <w:tr w:rsidR="00AA17E3" w:rsidRPr="008E7786" w:rsidTr="00B302BE">
        <w:trPr>
          <w:trHeight w:val="758"/>
        </w:trPr>
        <w:tc>
          <w:tcPr>
            <w:tcW w:w="3544" w:type="dxa"/>
            <w:vMerge/>
            <w:tcBorders>
              <w:top w:val="single" w:sz="8" w:space="0" w:color="auto"/>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576"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EÚ</w:t>
            </w:r>
          </w:p>
        </w:tc>
        <w:tc>
          <w:tcPr>
            <w:tcW w:w="66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1,5</w:t>
            </w:r>
          </w:p>
        </w:tc>
        <w:tc>
          <w:tcPr>
            <w:tcW w:w="66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2,0</w:t>
            </w:r>
          </w:p>
        </w:tc>
        <w:tc>
          <w:tcPr>
            <w:tcW w:w="781"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2,4</w:t>
            </w:r>
          </w:p>
        </w:tc>
        <w:tc>
          <w:tcPr>
            <w:tcW w:w="83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1,5</w:t>
            </w:r>
          </w:p>
        </w:tc>
        <w:tc>
          <w:tcPr>
            <w:tcW w:w="928" w:type="dxa"/>
            <w:tcBorders>
              <w:top w:val="nil"/>
              <w:left w:val="nil"/>
              <w:bottom w:val="single" w:sz="4"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928" w:type="dxa"/>
            <w:tcBorders>
              <w:top w:val="nil"/>
              <w:left w:val="nil"/>
              <w:bottom w:val="single" w:sz="4"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8E7786" w:rsidTr="00B302BE">
        <w:trPr>
          <w:trHeight w:val="452"/>
        </w:trPr>
        <w:tc>
          <w:tcPr>
            <w:tcW w:w="3544" w:type="dxa"/>
            <w:vMerge w:val="restart"/>
            <w:tcBorders>
              <w:top w:val="single" w:sz="4" w:space="0" w:color="auto"/>
              <w:left w:val="nil"/>
              <w:right w:val="nil"/>
            </w:tcBorders>
            <w:shd w:val="clear" w:color="000000" w:fill="FFFFFF"/>
            <w:noWrap/>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Štrukturálne saldo (% HDP)</w:t>
            </w:r>
          </w:p>
        </w:tc>
        <w:tc>
          <w:tcPr>
            <w:tcW w:w="576" w:type="dxa"/>
            <w:tcBorders>
              <w:top w:val="single" w:sz="4" w:space="0" w:color="auto"/>
              <w:left w:val="nil"/>
              <w:right w:val="nil"/>
            </w:tcBorders>
            <w:shd w:val="clear" w:color="000000" w:fill="FFFFFF"/>
            <w:noWrap/>
            <w:vAlign w:val="center"/>
            <w:hideMark/>
          </w:tcPr>
          <w:p w:rsidR="00AA17E3" w:rsidRPr="008E7786" w:rsidRDefault="0049163E" w:rsidP="00AA17E3">
            <w:pPr>
              <w:spacing w:after="0" w:line="240" w:lineRule="auto"/>
              <w:jc w:val="center"/>
              <w:rPr>
                <w:rFonts w:ascii="Times New Roman" w:eastAsia="Times New Roman" w:hAnsi="Times New Roman" w:cs="Times New Roman"/>
                <w:sz w:val="16"/>
                <w:szCs w:val="16"/>
                <w:lang w:eastAsia="sk-SK"/>
              </w:rPr>
            </w:pPr>
            <w:hyperlink r:id="rId65" w:anchor="RANGE!_ftn1" w:history="1">
              <w:r w:rsidR="00AA17E3" w:rsidRPr="008E7786">
                <w:rPr>
                  <w:rFonts w:ascii="Times New Roman" w:eastAsia="Times New Roman" w:hAnsi="Times New Roman" w:cs="Times New Roman"/>
                  <w:sz w:val="16"/>
                  <w:szCs w:val="16"/>
                  <w:lang w:eastAsia="sk-SK"/>
                </w:rPr>
                <w:t>SK</w:t>
              </w:r>
            </w:hyperlink>
          </w:p>
        </w:tc>
        <w:tc>
          <w:tcPr>
            <w:tcW w:w="664" w:type="dxa"/>
            <w:tcBorders>
              <w:top w:val="single" w:sz="4" w:space="0" w:color="auto"/>
              <w:left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-1,3</w:t>
            </w:r>
          </w:p>
        </w:tc>
        <w:tc>
          <w:tcPr>
            <w:tcW w:w="664" w:type="dxa"/>
            <w:tcBorders>
              <w:top w:val="single" w:sz="4" w:space="0" w:color="auto"/>
              <w:left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-1,9</w:t>
            </w:r>
          </w:p>
        </w:tc>
        <w:tc>
          <w:tcPr>
            <w:tcW w:w="781" w:type="dxa"/>
            <w:tcBorders>
              <w:top w:val="single" w:sz="4" w:space="0" w:color="auto"/>
              <w:left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-2,3</w:t>
            </w:r>
          </w:p>
        </w:tc>
        <w:tc>
          <w:tcPr>
            <w:tcW w:w="834" w:type="dxa"/>
            <w:tcBorders>
              <w:top w:val="single" w:sz="4" w:space="0" w:color="auto"/>
              <w:left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-4,7</w:t>
            </w:r>
          </w:p>
        </w:tc>
        <w:tc>
          <w:tcPr>
            <w:tcW w:w="928" w:type="dxa"/>
            <w:tcBorders>
              <w:top w:val="single" w:sz="4" w:space="0" w:color="auto"/>
              <w:left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DBP 2022</w:t>
            </w:r>
          </w:p>
        </w:tc>
        <w:tc>
          <w:tcPr>
            <w:tcW w:w="928" w:type="dxa"/>
            <w:tcBorders>
              <w:top w:val="single" w:sz="4" w:space="0" w:color="auto"/>
              <w:left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0,5</w:t>
            </w:r>
          </w:p>
        </w:tc>
      </w:tr>
      <w:tr w:rsidR="00AA17E3" w:rsidRPr="008E7786" w:rsidTr="00B302BE">
        <w:trPr>
          <w:trHeight w:val="426"/>
        </w:trPr>
        <w:tc>
          <w:tcPr>
            <w:tcW w:w="3544" w:type="dxa"/>
            <w:vMerge/>
            <w:tcBorders>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576" w:type="dxa"/>
            <w:tcBorders>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EÚ</w:t>
            </w:r>
          </w:p>
        </w:tc>
        <w:tc>
          <w:tcPr>
            <w:tcW w:w="664" w:type="dxa"/>
            <w:tcBorders>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-0,9</w:t>
            </w:r>
          </w:p>
        </w:tc>
        <w:tc>
          <w:tcPr>
            <w:tcW w:w="664" w:type="dxa"/>
            <w:tcBorders>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-0,9</w:t>
            </w:r>
          </w:p>
        </w:tc>
        <w:tc>
          <w:tcPr>
            <w:tcW w:w="781" w:type="dxa"/>
            <w:tcBorders>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-1,1</w:t>
            </w:r>
          </w:p>
        </w:tc>
        <w:tc>
          <w:tcPr>
            <w:tcW w:w="834" w:type="dxa"/>
            <w:tcBorders>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w:t>
            </w:r>
          </w:p>
        </w:tc>
        <w:tc>
          <w:tcPr>
            <w:tcW w:w="928" w:type="dxa"/>
            <w:tcBorders>
              <w:left w:val="nil"/>
              <w:bottom w:val="single" w:sz="4"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p>
        </w:tc>
        <w:tc>
          <w:tcPr>
            <w:tcW w:w="928" w:type="dxa"/>
            <w:tcBorders>
              <w:left w:val="nil"/>
              <w:bottom w:val="single" w:sz="4"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8E7786" w:rsidTr="00B302BE">
        <w:trPr>
          <w:trHeight w:val="226"/>
        </w:trPr>
        <w:tc>
          <w:tcPr>
            <w:tcW w:w="3544" w:type="dxa"/>
            <w:vMerge w:val="restart"/>
            <w:tcBorders>
              <w:top w:val="single" w:sz="4" w:space="0" w:color="auto"/>
              <w:left w:val="nil"/>
              <w:bottom w:val="single" w:sz="8" w:space="0" w:color="000000"/>
              <w:right w:val="nil"/>
            </w:tcBorders>
            <w:shd w:val="clear" w:color="000000" w:fill="FFFFFF"/>
            <w:noWrap/>
            <w:vAlign w:val="center"/>
            <w:hideMark/>
          </w:tcPr>
          <w:p w:rsidR="00AA17E3" w:rsidRPr="008E7786" w:rsidRDefault="00AA17E3" w:rsidP="00AA17E3">
            <w:pPr>
              <w:spacing w:after="0" w:line="240" w:lineRule="auto"/>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Hrubý dlh (% HDP)</w:t>
            </w:r>
          </w:p>
        </w:tc>
        <w:tc>
          <w:tcPr>
            <w:tcW w:w="576" w:type="dxa"/>
            <w:tcBorders>
              <w:top w:val="single" w:sz="4" w:space="0" w:color="auto"/>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SK</w:t>
            </w:r>
          </w:p>
        </w:tc>
        <w:tc>
          <w:tcPr>
            <w:tcW w:w="664" w:type="dxa"/>
            <w:tcBorders>
              <w:top w:val="single" w:sz="4" w:space="0" w:color="auto"/>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51,5</w:t>
            </w:r>
          </w:p>
        </w:tc>
        <w:tc>
          <w:tcPr>
            <w:tcW w:w="664" w:type="dxa"/>
            <w:tcBorders>
              <w:top w:val="single" w:sz="4" w:space="0" w:color="auto"/>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49,6</w:t>
            </w:r>
          </w:p>
        </w:tc>
        <w:tc>
          <w:tcPr>
            <w:tcW w:w="781" w:type="dxa"/>
            <w:tcBorders>
              <w:top w:val="single" w:sz="4" w:space="0" w:color="auto"/>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48,2</w:t>
            </w:r>
          </w:p>
        </w:tc>
        <w:tc>
          <w:tcPr>
            <w:tcW w:w="834" w:type="dxa"/>
            <w:tcBorders>
              <w:top w:val="single" w:sz="4" w:space="0" w:color="auto"/>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60,6</w:t>
            </w:r>
          </w:p>
        </w:tc>
        <w:tc>
          <w:tcPr>
            <w:tcW w:w="928" w:type="dxa"/>
            <w:tcBorders>
              <w:top w:val="single" w:sz="4" w:space="0" w:color="auto"/>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DBP 2022</w:t>
            </w:r>
          </w:p>
        </w:tc>
        <w:tc>
          <w:tcPr>
            <w:tcW w:w="928" w:type="dxa"/>
            <w:tcBorders>
              <w:top w:val="single" w:sz="4" w:space="0" w:color="auto"/>
              <w:left w:val="nil"/>
              <w:bottom w:val="nil"/>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40</w:t>
            </w:r>
          </w:p>
        </w:tc>
      </w:tr>
      <w:tr w:rsidR="00AA17E3" w:rsidRPr="008E7786" w:rsidTr="00B302BE">
        <w:trPr>
          <w:trHeight w:val="239"/>
        </w:trPr>
        <w:tc>
          <w:tcPr>
            <w:tcW w:w="3544" w:type="dxa"/>
            <w:vMerge/>
            <w:tcBorders>
              <w:top w:val="single" w:sz="8" w:space="0" w:color="auto"/>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sz w:val="16"/>
                <w:szCs w:val="16"/>
                <w:lang w:eastAsia="sk-SK"/>
              </w:rPr>
            </w:pPr>
          </w:p>
        </w:tc>
        <w:tc>
          <w:tcPr>
            <w:tcW w:w="576"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sz w:val="16"/>
                <w:szCs w:val="16"/>
                <w:lang w:eastAsia="sk-SK"/>
              </w:rPr>
            </w:pPr>
            <w:r w:rsidRPr="008E7786">
              <w:rPr>
                <w:rFonts w:ascii="Times New Roman" w:eastAsia="Times New Roman" w:hAnsi="Times New Roman" w:cs="Times New Roman"/>
                <w:sz w:val="16"/>
                <w:szCs w:val="16"/>
                <w:lang w:eastAsia="sk-SK"/>
              </w:rPr>
              <w:t>EÚ</w:t>
            </w:r>
          </w:p>
        </w:tc>
        <w:tc>
          <w:tcPr>
            <w:tcW w:w="66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83,2</w:t>
            </w:r>
          </w:p>
        </w:tc>
        <w:tc>
          <w:tcPr>
            <w:tcW w:w="66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81,2</w:t>
            </w:r>
          </w:p>
        </w:tc>
        <w:tc>
          <w:tcPr>
            <w:tcW w:w="781"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79,2</w:t>
            </w:r>
          </w:p>
        </w:tc>
        <w:tc>
          <w:tcPr>
            <w:tcW w:w="83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92,4</w:t>
            </w:r>
          </w:p>
        </w:tc>
        <w:tc>
          <w:tcPr>
            <w:tcW w:w="928" w:type="dxa"/>
            <w:tcBorders>
              <w:top w:val="nil"/>
              <w:left w:val="nil"/>
              <w:bottom w:val="single" w:sz="4"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928" w:type="dxa"/>
            <w:tcBorders>
              <w:top w:val="nil"/>
              <w:left w:val="nil"/>
              <w:bottom w:val="single" w:sz="4"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8E7786" w:rsidTr="00B302BE">
        <w:trPr>
          <w:trHeight w:val="246"/>
        </w:trPr>
        <w:tc>
          <w:tcPr>
            <w:tcW w:w="3544" w:type="dxa"/>
            <w:vMerge w:val="restart"/>
            <w:tcBorders>
              <w:top w:val="single" w:sz="4" w:space="0" w:color="auto"/>
              <w:left w:val="nil"/>
              <w:bottom w:val="single" w:sz="8" w:space="0" w:color="000000"/>
              <w:right w:val="nil"/>
            </w:tcBorders>
            <w:shd w:val="clear" w:color="000000" w:fill="FFFFFF"/>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Daňový klin (jednotlivec, 50 % priemernej mzdy) (v % nákladov práce)</w:t>
            </w:r>
          </w:p>
        </w:tc>
        <w:tc>
          <w:tcPr>
            <w:tcW w:w="576" w:type="dxa"/>
            <w:tcBorders>
              <w:top w:val="single" w:sz="4" w:space="0" w:color="auto"/>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SK</w:t>
            </w:r>
          </w:p>
        </w:tc>
        <w:tc>
          <w:tcPr>
            <w:tcW w:w="664" w:type="dxa"/>
            <w:tcBorders>
              <w:top w:val="single" w:sz="4" w:space="0" w:color="auto"/>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34,57</w:t>
            </w:r>
          </w:p>
        </w:tc>
        <w:tc>
          <w:tcPr>
            <w:tcW w:w="664" w:type="dxa"/>
            <w:tcBorders>
              <w:top w:val="single" w:sz="4" w:space="0" w:color="auto"/>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36,9</w:t>
            </w:r>
          </w:p>
        </w:tc>
        <w:tc>
          <w:tcPr>
            <w:tcW w:w="781" w:type="dxa"/>
            <w:tcBorders>
              <w:top w:val="single" w:sz="4" w:space="0" w:color="auto"/>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37,31</w:t>
            </w:r>
          </w:p>
        </w:tc>
        <w:tc>
          <w:tcPr>
            <w:tcW w:w="834" w:type="dxa"/>
            <w:tcBorders>
              <w:top w:val="single" w:sz="4" w:space="0" w:color="auto"/>
              <w:left w:val="nil"/>
              <w:bottom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36,18</w:t>
            </w:r>
          </w:p>
        </w:tc>
        <w:tc>
          <w:tcPr>
            <w:tcW w:w="928" w:type="dxa"/>
            <w:vMerge w:val="restart"/>
            <w:tcBorders>
              <w:top w:val="single" w:sz="4" w:space="0" w:color="auto"/>
              <w:left w:val="nil"/>
              <w:bottom w:val="single" w:sz="8" w:space="0" w:color="000000"/>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35,1</w:t>
            </w:r>
          </w:p>
        </w:tc>
        <w:tc>
          <w:tcPr>
            <w:tcW w:w="928" w:type="dxa"/>
            <w:vMerge w:val="restart"/>
            <w:tcBorders>
              <w:top w:val="single" w:sz="4" w:space="0" w:color="auto"/>
              <w:left w:val="nil"/>
              <w:bottom w:val="single" w:sz="8" w:space="0" w:color="000000"/>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29,3</w:t>
            </w:r>
          </w:p>
        </w:tc>
      </w:tr>
      <w:tr w:rsidR="00AA17E3" w:rsidRPr="008E7786" w:rsidTr="00B302BE">
        <w:trPr>
          <w:trHeight w:val="279"/>
        </w:trPr>
        <w:tc>
          <w:tcPr>
            <w:tcW w:w="3544" w:type="dxa"/>
            <w:vMerge/>
            <w:tcBorders>
              <w:top w:val="single" w:sz="8" w:space="0" w:color="auto"/>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576"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EÚ</w:t>
            </w:r>
          </w:p>
        </w:tc>
        <w:tc>
          <w:tcPr>
            <w:tcW w:w="664"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32,92</w:t>
            </w:r>
          </w:p>
        </w:tc>
        <w:tc>
          <w:tcPr>
            <w:tcW w:w="664"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32,56</w:t>
            </w:r>
          </w:p>
        </w:tc>
        <w:tc>
          <w:tcPr>
            <w:tcW w:w="781"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32,15</w:t>
            </w:r>
          </w:p>
        </w:tc>
        <w:tc>
          <w:tcPr>
            <w:tcW w:w="834"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31,28</w:t>
            </w:r>
          </w:p>
        </w:tc>
        <w:tc>
          <w:tcPr>
            <w:tcW w:w="928" w:type="dxa"/>
            <w:vMerge/>
            <w:tcBorders>
              <w:top w:val="single" w:sz="8" w:space="0" w:color="auto"/>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928" w:type="dxa"/>
            <w:vMerge/>
            <w:tcBorders>
              <w:top w:val="single" w:sz="8" w:space="0" w:color="auto"/>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r>
      <w:tr w:rsidR="00AA17E3" w:rsidRPr="008E7786" w:rsidTr="00B302BE">
        <w:trPr>
          <w:trHeight w:val="246"/>
        </w:trPr>
        <w:tc>
          <w:tcPr>
            <w:tcW w:w="3544" w:type="dxa"/>
            <w:vMerge w:val="restart"/>
            <w:tcBorders>
              <w:top w:val="single" w:sz="4" w:space="0" w:color="auto"/>
              <w:left w:val="nil"/>
              <w:bottom w:val="single" w:sz="4" w:space="0" w:color="auto"/>
              <w:right w:val="nil"/>
            </w:tcBorders>
            <w:shd w:val="clear" w:color="auto" w:fill="auto"/>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Podiel menej škodlivých daní na celkových daňových príjmoch (% príjmov)</w:t>
            </w:r>
          </w:p>
        </w:tc>
        <w:tc>
          <w:tcPr>
            <w:tcW w:w="576" w:type="dxa"/>
            <w:tcBorders>
              <w:top w:val="single" w:sz="4" w:space="0" w:color="auto"/>
              <w:left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SK</w:t>
            </w:r>
          </w:p>
        </w:tc>
        <w:tc>
          <w:tcPr>
            <w:tcW w:w="664" w:type="dxa"/>
            <w:tcBorders>
              <w:top w:val="single" w:sz="4" w:space="0" w:color="auto"/>
              <w:left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34,5</w:t>
            </w:r>
          </w:p>
        </w:tc>
        <w:tc>
          <w:tcPr>
            <w:tcW w:w="664" w:type="dxa"/>
            <w:tcBorders>
              <w:top w:val="single" w:sz="4" w:space="0" w:color="auto"/>
              <w:left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34,2</w:t>
            </w:r>
          </w:p>
        </w:tc>
        <w:tc>
          <w:tcPr>
            <w:tcW w:w="781" w:type="dxa"/>
            <w:tcBorders>
              <w:top w:val="single" w:sz="4" w:space="0" w:color="auto"/>
              <w:left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34,4</w:t>
            </w:r>
          </w:p>
        </w:tc>
        <w:tc>
          <w:tcPr>
            <w:tcW w:w="834" w:type="dxa"/>
            <w:tcBorders>
              <w:top w:val="single" w:sz="4" w:space="0" w:color="auto"/>
              <w:left w:val="nil"/>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928" w:type="dxa"/>
            <w:vMerge w:val="restart"/>
            <w:tcBorders>
              <w:top w:val="single" w:sz="4" w:space="0" w:color="auto"/>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35</w:t>
            </w:r>
          </w:p>
        </w:tc>
        <w:tc>
          <w:tcPr>
            <w:tcW w:w="928" w:type="dxa"/>
            <w:vMerge w:val="restart"/>
            <w:tcBorders>
              <w:top w:val="single" w:sz="4" w:space="0" w:color="auto"/>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w:t>
            </w:r>
          </w:p>
        </w:tc>
      </w:tr>
      <w:tr w:rsidR="00AA17E3" w:rsidRPr="008E7786" w:rsidTr="00AA17E3">
        <w:trPr>
          <w:trHeight w:val="252"/>
        </w:trPr>
        <w:tc>
          <w:tcPr>
            <w:tcW w:w="3544" w:type="dxa"/>
            <w:vMerge/>
            <w:tcBorders>
              <w:top w:val="single" w:sz="8" w:space="0" w:color="000000"/>
              <w:left w:val="nil"/>
              <w:bottom w:val="single" w:sz="4" w:space="0" w:color="auto"/>
              <w:right w:val="nil"/>
            </w:tcBorders>
            <w:shd w:val="clear" w:color="auto" w:fill="auto"/>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576"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EÚ</w:t>
            </w:r>
          </w:p>
        </w:tc>
        <w:tc>
          <w:tcPr>
            <w:tcW w:w="664"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36,5</w:t>
            </w:r>
          </w:p>
        </w:tc>
        <w:tc>
          <w:tcPr>
            <w:tcW w:w="664"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36,3</w:t>
            </w:r>
          </w:p>
        </w:tc>
        <w:tc>
          <w:tcPr>
            <w:tcW w:w="781" w:type="dxa"/>
            <w:tcBorders>
              <w:top w:val="nil"/>
              <w:left w:val="nil"/>
              <w:bottom w:val="single" w:sz="4" w:space="0" w:color="auto"/>
              <w:right w:val="nil"/>
            </w:tcBorders>
            <w:shd w:val="clear" w:color="000000" w:fill="FFFFFF"/>
            <w:noWrap/>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36,0</w:t>
            </w:r>
          </w:p>
        </w:tc>
        <w:tc>
          <w:tcPr>
            <w:tcW w:w="834" w:type="dxa"/>
            <w:tcBorders>
              <w:top w:val="nil"/>
              <w:left w:val="nil"/>
              <w:bottom w:val="single" w:sz="4" w:space="0" w:color="auto"/>
              <w:right w:val="nil"/>
            </w:tcBorders>
            <w:shd w:val="clear" w:color="000000" w:fill="FFFFFF"/>
            <w:vAlign w:val="center"/>
            <w:hideMark/>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928" w:type="dxa"/>
            <w:vMerge/>
            <w:tcBorders>
              <w:top w:val="nil"/>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928" w:type="dxa"/>
            <w:vMerge/>
            <w:tcBorders>
              <w:top w:val="nil"/>
              <w:left w:val="nil"/>
              <w:bottom w:val="single" w:sz="4" w:space="0" w:color="auto"/>
              <w:right w:val="nil"/>
            </w:tcBorders>
            <w:vAlign w:val="center"/>
            <w:hideMark/>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r>
      <w:tr w:rsidR="00AA17E3" w:rsidRPr="008E7786" w:rsidTr="00AA17E3">
        <w:trPr>
          <w:trHeight w:val="252"/>
        </w:trPr>
        <w:tc>
          <w:tcPr>
            <w:tcW w:w="3544" w:type="dxa"/>
            <w:vMerge w:val="restart"/>
            <w:tcBorders>
              <w:top w:val="single" w:sz="4" w:space="0" w:color="auto"/>
              <w:left w:val="nil"/>
              <w:right w:val="nil"/>
            </w:tcBorders>
            <w:shd w:val="clear" w:color="auto" w:fill="auto"/>
            <w:vAlign w:val="center"/>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Transparentnosť rozpočtu</w:t>
            </w:r>
          </w:p>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(počet bodov v Open Budget Index)</w:t>
            </w:r>
          </w:p>
        </w:tc>
        <w:tc>
          <w:tcPr>
            <w:tcW w:w="576" w:type="dxa"/>
            <w:tcBorders>
              <w:top w:val="single" w:sz="4" w:space="0" w:color="auto"/>
              <w:left w:val="nil"/>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SK</w:t>
            </w:r>
          </w:p>
        </w:tc>
        <w:tc>
          <w:tcPr>
            <w:tcW w:w="664" w:type="dxa"/>
            <w:tcBorders>
              <w:top w:val="single" w:sz="4" w:space="0" w:color="auto"/>
              <w:left w:val="nil"/>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59</w:t>
            </w:r>
          </w:p>
        </w:tc>
        <w:tc>
          <w:tcPr>
            <w:tcW w:w="664" w:type="dxa"/>
            <w:tcBorders>
              <w:top w:val="single" w:sz="4" w:space="0" w:color="auto"/>
              <w:left w:val="nil"/>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781" w:type="dxa"/>
            <w:tcBorders>
              <w:top w:val="single" w:sz="4" w:space="0" w:color="auto"/>
              <w:left w:val="nil"/>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60</w:t>
            </w:r>
          </w:p>
        </w:tc>
        <w:tc>
          <w:tcPr>
            <w:tcW w:w="834" w:type="dxa"/>
            <w:tcBorders>
              <w:top w:val="single" w:sz="4" w:space="0" w:color="auto"/>
              <w:left w:val="nil"/>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928" w:type="dxa"/>
            <w:vMerge w:val="restart"/>
            <w:tcBorders>
              <w:top w:val="single" w:sz="4" w:space="0" w:color="auto"/>
              <w:left w:val="nil"/>
              <w:right w:val="nil"/>
            </w:tcBorders>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68</w:t>
            </w:r>
          </w:p>
        </w:tc>
        <w:tc>
          <w:tcPr>
            <w:tcW w:w="928" w:type="dxa"/>
            <w:vMerge w:val="restart"/>
            <w:tcBorders>
              <w:top w:val="single" w:sz="4" w:space="0" w:color="auto"/>
              <w:left w:val="nil"/>
              <w:right w:val="nil"/>
            </w:tcBorders>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68</w:t>
            </w:r>
          </w:p>
        </w:tc>
      </w:tr>
      <w:tr w:rsidR="00AA17E3" w:rsidRPr="008E7786" w:rsidTr="00AA17E3">
        <w:trPr>
          <w:trHeight w:val="252"/>
        </w:trPr>
        <w:tc>
          <w:tcPr>
            <w:tcW w:w="3544" w:type="dxa"/>
            <w:vMerge/>
            <w:tcBorders>
              <w:left w:val="nil"/>
              <w:bottom w:val="single" w:sz="8" w:space="0" w:color="000000"/>
              <w:right w:val="nil"/>
            </w:tcBorders>
            <w:shd w:val="clear" w:color="auto" w:fill="auto"/>
            <w:vAlign w:val="center"/>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576" w:type="dxa"/>
            <w:tcBorders>
              <w:left w:val="nil"/>
              <w:bottom w:val="single" w:sz="8" w:space="0" w:color="auto"/>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OECD</w:t>
            </w:r>
          </w:p>
        </w:tc>
        <w:tc>
          <w:tcPr>
            <w:tcW w:w="664" w:type="dxa"/>
            <w:tcBorders>
              <w:left w:val="nil"/>
              <w:bottom w:val="single" w:sz="8" w:space="0" w:color="auto"/>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68</w:t>
            </w:r>
          </w:p>
        </w:tc>
        <w:tc>
          <w:tcPr>
            <w:tcW w:w="664" w:type="dxa"/>
            <w:tcBorders>
              <w:left w:val="nil"/>
              <w:bottom w:val="single" w:sz="8" w:space="0" w:color="auto"/>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781" w:type="dxa"/>
            <w:tcBorders>
              <w:left w:val="nil"/>
              <w:bottom w:val="single" w:sz="8" w:space="0" w:color="auto"/>
              <w:right w:val="nil"/>
            </w:tcBorders>
            <w:shd w:val="clear" w:color="000000" w:fill="FFFFFF"/>
            <w:noWrap/>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68</w:t>
            </w:r>
          </w:p>
        </w:tc>
        <w:tc>
          <w:tcPr>
            <w:tcW w:w="834" w:type="dxa"/>
            <w:tcBorders>
              <w:left w:val="nil"/>
              <w:bottom w:val="single" w:sz="8" w:space="0" w:color="auto"/>
              <w:right w:val="nil"/>
            </w:tcBorders>
            <w:shd w:val="clear" w:color="000000" w:fill="FFFFFF"/>
            <w:vAlign w:val="center"/>
          </w:tcPr>
          <w:p w:rsidR="00AA17E3" w:rsidRPr="008E778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8E7786">
              <w:rPr>
                <w:rFonts w:ascii="Times New Roman" w:eastAsia="Times New Roman" w:hAnsi="Times New Roman" w:cs="Times New Roman"/>
                <w:color w:val="000000"/>
                <w:sz w:val="16"/>
                <w:szCs w:val="16"/>
                <w:lang w:eastAsia="sk-SK"/>
              </w:rPr>
              <w:t>n/a</w:t>
            </w:r>
          </w:p>
        </w:tc>
        <w:tc>
          <w:tcPr>
            <w:tcW w:w="928" w:type="dxa"/>
            <w:vMerge/>
            <w:tcBorders>
              <w:left w:val="nil"/>
              <w:bottom w:val="single" w:sz="8" w:space="0" w:color="000000"/>
              <w:right w:val="nil"/>
            </w:tcBorders>
            <w:vAlign w:val="center"/>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928" w:type="dxa"/>
            <w:vMerge/>
            <w:tcBorders>
              <w:left w:val="nil"/>
              <w:bottom w:val="single" w:sz="8" w:space="0" w:color="000000"/>
              <w:right w:val="nil"/>
            </w:tcBorders>
            <w:vAlign w:val="center"/>
          </w:tcPr>
          <w:p w:rsidR="00AA17E3" w:rsidRPr="008E7786" w:rsidRDefault="00AA17E3" w:rsidP="00AA17E3">
            <w:pPr>
              <w:spacing w:after="0" w:line="240" w:lineRule="auto"/>
              <w:rPr>
                <w:rFonts w:ascii="Times New Roman" w:eastAsia="Times New Roman" w:hAnsi="Times New Roman" w:cs="Times New Roman"/>
                <w:color w:val="000000"/>
                <w:sz w:val="16"/>
                <w:szCs w:val="16"/>
                <w:lang w:eastAsia="sk-SK"/>
              </w:rPr>
            </w:pPr>
          </w:p>
        </w:tc>
      </w:tr>
    </w:tbl>
    <w:p w:rsidR="00AA17E3" w:rsidRPr="00B302BE" w:rsidRDefault="00AA17E3" w:rsidP="00B302BE">
      <w:pPr>
        <w:spacing w:after="0" w:line="240" w:lineRule="auto"/>
        <w:jc w:val="center"/>
        <w:rPr>
          <w:rFonts w:ascii="Times New Roman" w:hAnsi="Times New Roman" w:cs="Times New Roman"/>
          <w:b/>
          <w:iCs/>
          <w:color w:val="5B9BD5" w:themeColor="accent1"/>
          <w:sz w:val="20"/>
          <w:szCs w:val="20"/>
        </w:rPr>
      </w:pPr>
      <w:r>
        <w:rPr>
          <w:rFonts w:ascii="Times New Roman" w:hAnsi="Times New Roman"/>
          <w:i/>
          <w:sz w:val="16"/>
          <w:szCs w:val="16"/>
        </w:rPr>
        <w:t xml:space="preserve">                                                                                                                                                               </w:t>
      </w:r>
      <w:r w:rsidRPr="00CC261A">
        <w:rPr>
          <w:rFonts w:ascii="Times New Roman" w:hAnsi="Times New Roman"/>
          <w:i/>
          <w:sz w:val="16"/>
          <w:szCs w:val="16"/>
        </w:rPr>
        <w:t xml:space="preserve">Zdroj: </w:t>
      </w:r>
      <w:r w:rsidRPr="003336C0">
        <w:rPr>
          <w:rFonts w:ascii="Times New Roman" w:hAnsi="Times New Roman"/>
          <w:i/>
          <w:sz w:val="16"/>
          <w:szCs w:val="16"/>
        </w:rPr>
        <w:t>Eurostat, Open Budget Survey</w:t>
      </w:r>
      <w:r>
        <w:rPr>
          <w:rFonts w:ascii="Times New Roman" w:hAnsi="Times New Roman"/>
          <w:i/>
          <w:sz w:val="16"/>
          <w:szCs w:val="16"/>
        </w:rPr>
        <w:t xml:space="preserve">                                                                                                                                                             </w:t>
      </w:r>
    </w:p>
    <w:p w:rsidR="00B302BE" w:rsidRDefault="00B302BE" w:rsidP="00AA17E3">
      <w:pPr>
        <w:spacing w:after="0" w:line="240" w:lineRule="auto"/>
        <w:jc w:val="both"/>
        <w:rPr>
          <w:rFonts w:ascii="Times New Roman" w:eastAsia="Times New Roman" w:hAnsi="Times New Roman" w:cs="Times New Roman"/>
          <w:sz w:val="24"/>
          <w:szCs w:val="24"/>
          <w:lang w:eastAsia="cs-CZ"/>
        </w:rPr>
      </w:pPr>
    </w:p>
    <w:p w:rsidR="00AA17E3" w:rsidRPr="001957EA" w:rsidRDefault="00AA17E3" w:rsidP="00AA17E3">
      <w:pPr>
        <w:spacing w:after="0" w:line="240" w:lineRule="auto"/>
        <w:jc w:val="both"/>
        <w:rPr>
          <w:rFonts w:ascii="Times New Roman" w:eastAsia="Times New Roman" w:hAnsi="Times New Roman" w:cs="Times New Roman"/>
          <w:sz w:val="24"/>
          <w:szCs w:val="24"/>
          <w:lang w:eastAsia="cs-CZ"/>
        </w:rPr>
      </w:pPr>
      <w:r w:rsidRPr="001957EA">
        <w:rPr>
          <w:rFonts w:ascii="Times New Roman" w:eastAsia="Times New Roman" w:hAnsi="Times New Roman" w:cs="Times New Roman"/>
          <w:sz w:val="24"/>
          <w:szCs w:val="24"/>
          <w:lang w:eastAsia="cs-CZ"/>
        </w:rPr>
        <w:t xml:space="preserve">Ukazovateľ dlhodobej udržateľnosti podľa EK (S2) indikuje vysoké riziko udržateľnosti verejných financií, pričom v dlhodobom výhľade bude najväčšou výzvou starnutie populácie. Kým v roku 2019 bol pomer obyvateľov starších ako 64 rokov na aktívnom obyvateľstve len 23,5 %, v roku 2070 to bude až 57,6 %. </w:t>
      </w:r>
    </w:p>
    <w:p w:rsidR="00AA17E3" w:rsidRPr="001957EA"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7919AB">
        <w:rPr>
          <w:rFonts w:ascii="Times New Roman" w:eastAsia="Times New Roman" w:hAnsi="Times New Roman" w:cs="Times New Roman"/>
          <w:sz w:val="24"/>
          <w:szCs w:val="24"/>
          <w:lang w:eastAsia="cs-CZ"/>
        </w:rPr>
        <w:t>Hrubý dlh verejnej správy dosiahol v roku 2020 výšku 59,7 %</w:t>
      </w:r>
      <w:r w:rsidRPr="007919AB">
        <w:rPr>
          <w:rStyle w:val="Odkaznapoznmkupodiarou"/>
          <w:rFonts w:ascii="Times New Roman" w:eastAsia="Times New Roman" w:hAnsi="Times New Roman"/>
          <w:sz w:val="24"/>
          <w:szCs w:val="24"/>
          <w:lang w:eastAsia="cs-CZ"/>
        </w:rPr>
        <w:footnoteReference w:id="59"/>
      </w:r>
      <w:r w:rsidRPr="007919AB">
        <w:rPr>
          <w:rFonts w:ascii="Times New Roman" w:eastAsia="Times New Roman" w:hAnsi="Times New Roman" w:cs="Times New Roman"/>
          <w:sz w:val="24"/>
          <w:szCs w:val="24"/>
          <w:lang w:eastAsia="cs-CZ"/>
        </w:rPr>
        <w:t xml:space="preserve"> HDP. V porovnaní s rokom 2019 dlh medziročne vzrástol o 11,6 p.</w:t>
      </w:r>
      <w:r>
        <w:rPr>
          <w:rFonts w:ascii="Times New Roman" w:eastAsia="Times New Roman" w:hAnsi="Times New Roman" w:cs="Times New Roman"/>
          <w:sz w:val="24"/>
          <w:szCs w:val="24"/>
          <w:lang w:eastAsia="cs-CZ"/>
        </w:rPr>
        <w:t xml:space="preserve"> </w:t>
      </w:r>
      <w:r w:rsidRPr="007919AB">
        <w:rPr>
          <w:rFonts w:ascii="Times New Roman" w:eastAsia="Times New Roman" w:hAnsi="Times New Roman" w:cs="Times New Roman"/>
          <w:sz w:val="24"/>
          <w:szCs w:val="24"/>
          <w:lang w:eastAsia="cs-CZ"/>
        </w:rPr>
        <w:t xml:space="preserve">b. Hlavnými faktormi rastu sú vysoký deficit ovplyvnený najmä COVID-19 (6,1 p. b.) a predzásobenie sa hotovosťou verejnej správy z dôvodu neistoty vývoja pandémie v priebehu roka 2020 (5,2 p. b.). Pri dosiahnutí vyrovnaného rozpočtu v roku 2024 podľa požiadaviek ústavného zákona by hrubý dlh v rovnakom roku klesol pod úroveň </w:t>
      </w:r>
      <w:r>
        <w:rPr>
          <w:rFonts w:ascii="Times New Roman" w:eastAsia="Times New Roman" w:hAnsi="Times New Roman" w:cs="Times New Roman"/>
          <w:sz w:val="24"/>
          <w:szCs w:val="24"/>
          <w:lang w:eastAsia="cs-CZ"/>
        </w:rPr>
        <w:t xml:space="preserve"> </w:t>
      </w:r>
      <w:r w:rsidRPr="007919AB">
        <w:rPr>
          <w:rFonts w:ascii="Times New Roman" w:eastAsia="Times New Roman" w:hAnsi="Times New Roman" w:cs="Times New Roman"/>
          <w:sz w:val="24"/>
          <w:szCs w:val="24"/>
          <w:lang w:eastAsia="cs-CZ"/>
        </w:rPr>
        <w:t>60 % HDP.</w:t>
      </w:r>
    </w:p>
    <w:p w:rsidR="00AA17E3"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E322EF">
        <w:rPr>
          <w:rFonts w:ascii="Times New Roman" w:eastAsia="Times New Roman" w:hAnsi="Times New Roman" w:cs="Times New Roman"/>
          <w:sz w:val="24"/>
          <w:szCs w:val="24"/>
          <w:lang w:eastAsia="cs-CZ"/>
        </w:rPr>
        <w:t>Z pohľadu dlhodobého ekonomického rastu je nevyhnutné uskutočniť daňovú reformu smerujúcu k prorastovému daňovému mixu. V súlade s medzinárodnými odporúčaniami by daňový mix mal zohľadňovať zvýšenie majetkových a environmentálnych daní a zníženie škodlivých daní, ktoré viac brzdia hospodársky rast. Obe zmeny by viedli k zvyšovaniu podielu menej škodlivých daní na celkových daňovo-odvodových príjmoch.</w:t>
      </w:r>
    </w:p>
    <w:p w:rsidR="00AA17E3"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7919AB" w:rsidRDefault="00AA17E3" w:rsidP="00AA17E3">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Slovensko zlepšuje transparentnosť rozpočtu a bude v nej pokračovať. </w:t>
      </w:r>
      <w:r w:rsidRPr="006D09F6">
        <w:rPr>
          <w:rFonts w:ascii="Times New Roman" w:eastAsia="Times New Roman" w:hAnsi="Times New Roman" w:cs="Times New Roman"/>
          <w:sz w:val="24"/>
          <w:szCs w:val="24"/>
          <w:lang w:eastAsia="cs-CZ"/>
        </w:rPr>
        <w:t xml:space="preserve">Zrozumiteľné, spoľahlivé, úplné a včasné informovanie o rozpočte umožňuje </w:t>
      </w:r>
      <w:r>
        <w:rPr>
          <w:rFonts w:ascii="Times New Roman" w:eastAsia="Times New Roman" w:hAnsi="Times New Roman" w:cs="Times New Roman"/>
          <w:sz w:val="24"/>
          <w:szCs w:val="24"/>
          <w:lang w:eastAsia="cs-CZ"/>
        </w:rPr>
        <w:t xml:space="preserve">lepšiu </w:t>
      </w:r>
      <w:r w:rsidRPr="006D09F6">
        <w:rPr>
          <w:rFonts w:ascii="Times New Roman" w:eastAsia="Times New Roman" w:hAnsi="Times New Roman" w:cs="Times New Roman"/>
          <w:sz w:val="24"/>
          <w:szCs w:val="24"/>
          <w:lang w:eastAsia="cs-CZ"/>
        </w:rPr>
        <w:t xml:space="preserve">diskusiu o </w:t>
      </w:r>
      <w:r>
        <w:rPr>
          <w:rFonts w:ascii="Times New Roman" w:eastAsia="Times New Roman" w:hAnsi="Times New Roman" w:cs="Times New Roman"/>
          <w:sz w:val="24"/>
          <w:szCs w:val="24"/>
          <w:lang w:eastAsia="cs-CZ"/>
        </w:rPr>
        <w:t xml:space="preserve">verejných financiách </w:t>
      </w:r>
      <w:r w:rsidRPr="006D09F6">
        <w:rPr>
          <w:rFonts w:ascii="Times New Roman" w:eastAsia="Times New Roman" w:hAnsi="Times New Roman" w:cs="Times New Roman"/>
          <w:sz w:val="24"/>
          <w:szCs w:val="24"/>
          <w:lang w:eastAsia="cs-CZ"/>
        </w:rPr>
        <w:t>a efektívnu verejnú kontrolu rozpočtu. V medzinárodnom porovnaní je na tom Slovensko podľa celosvetového rebríčka Open Budget Index dobre, v roku 2019 mu patrilo 33. miesto zo 117 hodnotených krajín so ziskom 60 bodov.</w:t>
      </w:r>
    </w:p>
    <w:p w:rsidR="00AA17E3" w:rsidRPr="00126AD0" w:rsidRDefault="00AA17E3" w:rsidP="00AA17E3">
      <w:pPr>
        <w:spacing w:after="0" w:line="240" w:lineRule="auto"/>
        <w:jc w:val="both"/>
        <w:rPr>
          <w:rFonts w:ascii="Times New Roman" w:eastAsia="Times New Roman" w:hAnsi="Times New Roman" w:cs="Times New Roman"/>
          <w:sz w:val="24"/>
          <w:szCs w:val="24"/>
          <w:highlight w:val="yellow"/>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372322">
        <w:rPr>
          <w:rFonts w:ascii="Times New Roman" w:eastAsia="Times New Roman" w:hAnsi="Times New Roman" w:cs="Times New Roman"/>
          <w:sz w:val="24"/>
          <w:szCs w:val="24"/>
          <w:lang w:eastAsia="cs-CZ"/>
        </w:rPr>
        <w:t>V rámci výdavkov na oblasť Financie sa v roku 2022 rozpočtujú prostriedky na finančnú správu, informačné systémy riadenia verejných financií, inštitucionálnu podporu a kontrolu a ostatné činnosti, Exportno-importnú banku SR, Slovenskú konsolidačnú, a. s., Úrad pre dohľad nad výkonom auditu, Radu pre rozpočtovú zodpovednosť</w:t>
      </w:r>
      <w:r>
        <w:rPr>
          <w:rFonts w:ascii="Times New Roman" w:eastAsia="Times New Roman" w:hAnsi="Times New Roman" w:cs="Times New Roman"/>
          <w:sz w:val="24"/>
          <w:szCs w:val="24"/>
          <w:lang w:eastAsia="cs-CZ"/>
        </w:rPr>
        <w:t xml:space="preserve">. V tejto oblasti sú zároveň zahrnuté výdavky </w:t>
      </w:r>
      <w:r w:rsidRPr="00372322">
        <w:rPr>
          <w:rFonts w:ascii="Times New Roman" w:eastAsia="Times New Roman" w:hAnsi="Times New Roman" w:cs="Times New Roman"/>
          <w:sz w:val="24"/>
          <w:szCs w:val="24"/>
          <w:lang w:eastAsia="cs-CZ"/>
        </w:rPr>
        <w:t>kapitol</w:t>
      </w:r>
      <w:r>
        <w:rPr>
          <w:rFonts w:ascii="Times New Roman" w:eastAsia="Times New Roman" w:hAnsi="Times New Roman" w:cs="Times New Roman"/>
          <w:sz w:val="24"/>
          <w:szCs w:val="24"/>
          <w:lang w:eastAsia="cs-CZ"/>
        </w:rPr>
        <w:t>y</w:t>
      </w:r>
      <w:r w:rsidRPr="00372322">
        <w:rPr>
          <w:rFonts w:ascii="Times New Roman" w:eastAsia="Times New Roman" w:hAnsi="Times New Roman" w:cs="Times New Roman"/>
          <w:sz w:val="24"/>
          <w:szCs w:val="24"/>
          <w:lang w:eastAsia="cs-CZ"/>
        </w:rPr>
        <w:t xml:space="preserve"> Všeobecn</w:t>
      </w:r>
      <w:r>
        <w:rPr>
          <w:rFonts w:ascii="Times New Roman" w:eastAsia="Times New Roman" w:hAnsi="Times New Roman" w:cs="Times New Roman"/>
          <w:sz w:val="24"/>
          <w:szCs w:val="24"/>
          <w:lang w:eastAsia="cs-CZ"/>
        </w:rPr>
        <w:t>á</w:t>
      </w:r>
      <w:r w:rsidRPr="00372322">
        <w:rPr>
          <w:rFonts w:ascii="Times New Roman" w:eastAsia="Times New Roman" w:hAnsi="Times New Roman" w:cs="Times New Roman"/>
          <w:sz w:val="24"/>
          <w:szCs w:val="24"/>
          <w:lang w:eastAsia="cs-CZ"/>
        </w:rPr>
        <w:t xml:space="preserve"> pokladničn</w:t>
      </w:r>
      <w:r>
        <w:rPr>
          <w:rFonts w:ascii="Times New Roman" w:eastAsia="Times New Roman" w:hAnsi="Times New Roman" w:cs="Times New Roman"/>
          <w:sz w:val="24"/>
          <w:szCs w:val="24"/>
          <w:lang w:eastAsia="cs-CZ"/>
        </w:rPr>
        <w:t>á</w:t>
      </w:r>
      <w:r w:rsidRPr="00372322">
        <w:rPr>
          <w:rFonts w:ascii="Times New Roman" w:eastAsia="Times New Roman" w:hAnsi="Times New Roman" w:cs="Times New Roman"/>
          <w:sz w:val="24"/>
          <w:szCs w:val="24"/>
          <w:lang w:eastAsia="cs-CZ"/>
        </w:rPr>
        <w:t xml:space="preserve"> správ</w:t>
      </w:r>
      <w:r>
        <w:rPr>
          <w:rFonts w:ascii="Times New Roman" w:eastAsia="Times New Roman" w:hAnsi="Times New Roman" w:cs="Times New Roman"/>
          <w:sz w:val="24"/>
          <w:szCs w:val="24"/>
          <w:lang w:eastAsia="cs-CZ"/>
        </w:rPr>
        <w:t>a</w:t>
      </w:r>
      <w:r w:rsidRPr="00372322">
        <w:rPr>
          <w:rFonts w:ascii="Times New Roman" w:eastAsia="Times New Roman" w:hAnsi="Times New Roman" w:cs="Times New Roman"/>
          <w:sz w:val="24"/>
          <w:szCs w:val="24"/>
          <w:lang w:eastAsia="cs-CZ"/>
        </w:rPr>
        <w:t>.</w:t>
      </w:r>
    </w:p>
    <w:p w:rsidR="00AA17E3" w:rsidRPr="002734EC" w:rsidRDefault="00AA17E3" w:rsidP="00AA17E3">
      <w:pPr>
        <w:spacing w:after="0" w:line="240" w:lineRule="auto"/>
        <w:rPr>
          <w:rFonts w:ascii="Times New Roman" w:hAnsi="Times New Roman" w:cs="Times New Roman"/>
          <w:b/>
          <w:sz w:val="24"/>
          <w:szCs w:val="24"/>
          <w:u w:val="single"/>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473" w:name="_Toc84528454"/>
      <w:bookmarkStart w:id="474" w:name="_Toc84845330"/>
      <w:r w:rsidRPr="002734EC">
        <w:rPr>
          <w:rFonts w:ascii="Times New Roman" w:hAnsi="Times New Roman" w:cs="Times New Roman"/>
          <w:b/>
          <w:iCs/>
          <w:color w:val="5B9BD5" w:themeColor="accent1"/>
          <w:sz w:val="20"/>
          <w:szCs w:val="20"/>
        </w:rPr>
        <w:t xml:space="preserve">Tabuľka </w:t>
      </w:r>
      <w:r w:rsidRPr="002734EC">
        <w:rPr>
          <w:rFonts w:ascii="Times New Roman" w:hAnsi="Times New Roman" w:cs="Times New Roman"/>
          <w:b/>
          <w:iCs/>
          <w:color w:val="5B9BD5" w:themeColor="accent1"/>
          <w:sz w:val="20"/>
          <w:szCs w:val="20"/>
        </w:rPr>
        <w:fldChar w:fldCharType="begin"/>
      </w:r>
      <w:r w:rsidRPr="002734EC">
        <w:rPr>
          <w:rFonts w:ascii="Times New Roman" w:hAnsi="Times New Roman" w:cs="Times New Roman"/>
          <w:b/>
          <w:iCs/>
          <w:color w:val="5B9BD5" w:themeColor="accent1"/>
          <w:sz w:val="20"/>
          <w:szCs w:val="20"/>
        </w:rPr>
        <w:instrText xml:space="preserve"> SEQ Tabuľka \* ARABIC </w:instrText>
      </w:r>
      <w:r w:rsidRPr="002734EC">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106</w:t>
      </w:r>
      <w:r w:rsidRPr="002734EC">
        <w:rPr>
          <w:rFonts w:ascii="Times New Roman" w:hAnsi="Times New Roman" w:cs="Times New Roman"/>
          <w:b/>
          <w:iCs/>
          <w:color w:val="5B9BD5" w:themeColor="accent1"/>
          <w:sz w:val="20"/>
          <w:szCs w:val="20"/>
        </w:rPr>
        <w:fldChar w:fldCharType="end"/>
      </w:r>
      <w:r w:rsidRPr="002734EC">
        <w:rPr>
          <w:rFonts w:ascii="Times New Roman" w:hAnsi="Times New Roman" w:cs="Times New Roman"/>
          <w:b/>
          <w:iCs/>
          <w:color w:val="5B9BD5" w:themeColor="accent1"/>
          <w:sz w:val="20"/>
          <w:szCs w:val="20"/>
        </w:rPr>
        <w:t xml:space="preserve"> - Oblasť Financie</w:t>
      </w:r>
      <w:bookmarkEnd w:id="473"/>
      <w:bookmarkEnd w:id="474"/>
    </w:p>
    <w:tbl>
      <w:tblPr>
        <w:tblW w:w="5067" w:type="pct"/>
        <w:tblCellMar>
          <w:left w:w="70" w:type="dxa"/>
          <w:right w:w="70" w:type="dxa"/>
        </w:tblCellMar>
        <w:tblLook w:val="04A0" w:firstRow="1" w:lastRow="0" w:firstColumn="1" w:lastColumn="0" w:noHBand="0" w:noVBand="1"/>
      </w:tblPr>
      <w:tblGrid>
        <w:gridCol w:w="3260"/>
        <w:gridCol w:w="848"/>
        <w:gridCol w:w="848"/>
        <w:gridCol w:w="848"/>
        <w:gridCol w:w="848"/>
        <w:gridCol w:w="848"/>
        <w:gridCol w:w="848"/>
        <w:gridCol w:w="846"/>
      </w:tblGrid>
      <w:tr w:rsidR="00AA17E3" w:rsidRPr="0006078D" w:rsidTr="00AA17E3">
        <w:trPr>
          <w:trHeight w:val="300"/>
        </w:trPr>
        <w:tc>
          <w:tcPr>
            <w:tcW w:w="1773" w:type="pct"/>
            <w:tcBorders>
              <w:top w:val="single" w:sz="4" w:space="0" w:color="auto"/>
              <w:left w:val="nil"/>
              <w:bottom w:val="single" w:sz="4" w:space="0" w:color="auto"/>
              <w:right w:val="nil"/>
            </w:tcBorders>
            <w:shd w:val="clear" w:color="000000" w:fill="FFFFFF"/>
            <w:noWrap/>
            <w:vAlign w:val="bottom"/>
            <w:hideMark/>
          </w:tcPr>
          <w:p w:rsidR="00AA17E3" w:rsidRPr="00EE2731" w:rsidRDefault="00AA17E3" w:rsidP="00AA17E3">
            <w:pPr>
              <w:spacing w:after="0" w:line="240" w:lineRule="auto"/>
              <w:rPr>
                <w:rFonts w:ascii="Times New Roman" w:eastAsia="Times New Roman" w:hAnsi="Times New Roman" w:cs="Times New Roman"/>
                <w:b/>
                <w:bCs/>
                <w:sz w:val="16"/>
                <w:szCs w:val="16"/>
                <w:lang w:eastAsia="sk-SK"/>
              </w:rPr>
            </w:pPr>
            <w:r w:rsidRPr="00EE2731">
              <w:rPr>
                <w:rFonts w:ascii="Times New Roman" w:eastAsia="Times New Roman" w:hAnsi="Times New Roman" w:cs="Times New Roman"/>
                <w:b/>
                <w:bCs/>
                <w:sz w:val="16"/>
                <w:szCs w:val="16"/>
                <w:lang w:eastAsia="sk-SK"/>
              </w:rPr>
              <w:t>v tis. eur</w:t>
            </w:r>
          </w:p>
        </w:tc>
        <w:tc>
          <w:tcPr>
            <w:tcW w:w="461"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2019 S</w:t>
            </w:r>
          </w:p>
        </w:tc>
        <w:tc>
          <w:tcPr>
            <w:tcW w:w="461"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2020 S</w:t>
            </w:r>
          </w:p>
        </w:tc>
        <w:tc>
          <w:tcPr>
            <w:tcW w:w="461"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2021 R</w:t>
            </w:r>
          </w:p>
        </w:tc>
        <w:tc>
          <w:tcPr>
            <w:tcW w:w="461"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2021 OS</w:t>
            </w:r>
          </w:p>
        </w:tc>
        <w:tc>
          <w:tcPr>
            <w:tcW w:w="461"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2022 N</w:t>
            </w:r>
          </w:p>
        </w:tc>
        <w:tc>
          <w:tcPr>
            <w:tcW w:w="461"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2023 N</w:t>
            </w:r>
          </w:p>
        </w:tc>
        <w:tc>
          <w:tcPr>
            <w:tcW w:w="460" w:type="pct"/>
            <w:tcBorders>
              <w:top w:val="single" w:sz="4" w:space="0" w:color="auto"/>
              <w:left w:val="nil"/>
              <w:bottom w:val="single" w:sz="4" w:space="0" w:color="auto"/>
              <w:right w:val="nil"/>
            </w:tcBorders>
            <w:shd w:val="clear" w:color="000000" w:fill="FFFFFF"/>
            <w:noWrap/>
            <w:vAlign w:val="center"/>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2024 N</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Oblasť financie</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3 544 936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6 154 226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8 162 646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5 558 326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7 723 395</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7 527 771</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b/>
                <w:bCs/>
                <w:sz w:val="16"/>
                <w:szCs w:val="16"/>
                <w:lang w:eastAsia="sk-SK"/>
              </w:rPr>
            </w:pPr>
            <w:r w:rsidRPr="0006078D">
              <w:rPr>
                <w:rFonts w:ascii="Times New Roman" w:eastAsia="Times New Roman" w:hAnsi="Times New Roman" w:cs="Times New Roman"/>
                <w:b/>
                <w:bCs/>
                <w:sz w:val="16"/>
                <w:szCs w:val="16"/>
                <w:lang w:eastAsia="sk-SK"/>
              </w:rPr>
              <w:t>8 360 318</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Finančná správa</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343 279</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329 498</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355 589</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353 866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359 238</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365 786</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366 505</w:t>
            </w:r>
          </w:p>
        </w:tc>
      </w:tr>
      <w:tr w:rsidR="00AA17E3" w:rsidRPr="0006078D" w:rsidTr="00AA17E3">
        <w:trPr>
          <w:trHeight w:val="300"/>
        </w:trPr>
        <w:tc>
          <w:tcPr>
            <w:tcW w:w="1773" w:type="pct"/>
            <w:tcBorders>
              <w:top w:val="nil"/>
              <w:left w:val="nil"/>
              <w:bottom w:val="nil"/>
              <w:right w:val="nil"/>
            </w:tcBorders>
            <w:shd w:val="clear" w:color="000000" w:fill="FFFFFF"/>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Informačné systémy riadenia verejných financií</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168 581</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128 941</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120 163</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138 220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124 194</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125 239</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127 896</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Informačná spoločnosť</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3 000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27 866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111 934</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0</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0</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Inštitucionálna podpora a kontrola</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85 570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100 770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86 738</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140 766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93 810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93 621</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87 076</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 xml:space="preserve">Exportno-importná banka SR </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980 338</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887 780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739 050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872 750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886 050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941 050</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946 050</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Slovenská konsolidačná, a. s.</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11 241</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18 939</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9 154</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16 286</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11 184</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8 684</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8 214</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Úrad pre dohľad nad výkonom auditu</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994</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1 105</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1 473</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1 473</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1 485</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1 485</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1 485</w:t>
            </w:r>
          </w:p>
        </w:tc>
      </w:tr>
      <w:tr w:rsidR="00AA17E3" w:rsidRPr="0006078D" w:rsidTr="00AA17E3">
        <w:trPr>
          <w:trHeight w:val="300"/>
        </w:trPr>
        <w:tc>
          <w:tcPr>
            <w:tcW w:w="1773"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Rada pre rozpočtovú zodpovednosť</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1 290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1 387</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1 567</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3 000</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3 318</w:t>
            </w:r>
          </w:p>
        </w:tc>
        <w:tc>
          <w:tcPr>
            <w:tcW w:w="461"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3 381</w:t>
            </w:r>
          </w:p>
        </w:tc>
        <w:tc>
          <w:tcPr>
            <w:tcW w:w="460" w:type="pct"/>
            <w:tcBorders>
              <w:top w:val="nil"/>
              <w:left w:val="nil"/>
              <w:bottom w:val="nil"/>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3 466</w:t>
            </w:r>
          </w:p>
        </w:tc>
      </w:tr>
      <w:tr w:rsidR="00AA17E3" w:rsidRPr="0006078D" w:rsidTr="00AA17E3">
        <w:trPr>
          <w:trHeight w:val="300"/>
        </w:trPr>
        <w:tc>
          <w:tcPr>
            <w:tcW w:w="1773"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Všeobecná pokladničná správa</w:t>
            </w:r>
          </w:p>
        </w:tc>
        <w:tc>
          <w:tcPr>
            <w:tcW w:w="461"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1 950 643</w:t>
            </w:r>
          </w:p>
        </w:tc>
        <w:tc>
          <w:tcPr>
            <w:tcW w:w="461"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4 657 939</w:t>
            </w:r>
          </w:p>
        </w:tc>
        <w:tc>
          <w:tcPr>
            <w:tcW w:w="461"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6 736 978</w:t>
            </w:r>
          </w:p>
        </w:tc>
        <w:tc>
          <w:tcPr>
            <w:tcW w:w="461"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4 031 965</w:t>
            </w:r>
          </w:p>
        </w:tc>
        <w:tc>
          <w:tcPr>
            <w:tcW w:w="461"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6 244 117</w:t>
            </w:r>
          </w:p>
        </w:tc>
        <w:tc>
          <w:tcPr>
            <w:tcW w:w="461"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5 988 527</w:t>
            </w:r>
          </w:p>
        </w:tc>
        <w:tc>
          <w:tcPr>
            <w:tcW w:w="460" w:type="pct"/>
            <w:tcBorders>
              <w:top w:val="nil"/>
              <w:left w:val="nil"/>
              <w:bottom w:val="single" w:sz="4" w:space="0" w:color="auto"/>
              <w:right w:val="nil"/>
            </w:tcBorders>
            <w:shd w:val="clear" w:color="000000" w:fill="FFFFFF"/>
            <w:noWrap/>
            <w:vAlign w:val="bottom"/>
            <w:hideMark/>
          </w:tcPr>
          <w:p w:rsidR="00AA17E3" w:rsidRPr="0006078D" w:rsidRDefault="00AA17E3" w:rsidP="00AA17E3">
            <w:pPr>
              <w:spacing w:after="0" w:line="240" w:lineRule="auto"/>
              <w:jc w:val="right"/>
              <w:rPr>
                <w:rFonts w:ascii="Times New Roman" w:eastAsia="Times New Roman" w:hAnsi="Times New Roman" w:cs="Times New Roman"/>
                <w:sz w:val="16"/>
                <w:szCs w:val="16"/>
                <w:lang w:eastAsia="sk-SK"/>
              </w:rPr>
            </w:pPr>
            <w:r w:rsidRPr="0006078D">
              <w:rPr>
                <w:rFonts w:ascii="Times New Roman" w:eastAsia="Times New Roman" w:hAnsi="Times New Roman" w:cs="Times New Roman"/>
                <w:sz w:val="16"/>
                <w:szCs w:val="16"/>
                <w:lang w:eastAsia="sk-SK"/>
              </w:rPr>
              <w:t>6 819 626</w:t>
            </w:r>
          </w:p>
        </w:tc>
      </w:tr>
    </w:tbl>
    <w:p w:rsidR="00AA17E3" w:rsidRDefault="00AA17E3" w:rsidP="00AA17E3">
      <w:pPr>
        <w:spacing w:after="0" w:line="240" w:lineRule="auto"/>
        <w:jc w:val="right"/>
      </w:pPr>
      <w:r w:rsidRPr="002734EC">
        <w:rPr>
          <w:rFonts w:ascii="Times New Roman" w:hAnsi="Times New Roman" w:cs="Times New Roman"/>
          <w:i/>
          <w:iCs/>
          <w:sz w:val="16"/>
          <w:szCs w:val="16"/>
        </w:rPr>
        <w:t xml:space="preserve">Zdroj: MF SR      </w:t>
      </w:r>
    </w:p>
    <w:p w:rsidR="00AA17E3" w:rsidRPr="0062444F" w:rsidRDefault="00AA17E3" w:rsidP="00AA17E3">
      <w:pPr>
        <w:spacing w:after="0" w:line="240" w:lineRule="auto"/>
        <w:jc w:val="right"/>
      </w:pPr>
    </w:p>
    <w:p w:rsidR="00AA17E3" w:rsidRDefault="00AA17E3" w:rsidP="00EE2731">
      <w:pPr>
        <w:spacing w:after="0" w:line="240" w:lineRule="auto"/>
        <w:jc w:val="both"/>
        <w:rPr>
          <w:rFonts w:ascii="Times New Roman" w:hAnsi="Times New Roman"/>
          <w:color w:val="000000"/>
          <w:sz w:val="24"/>
          <w:szCs w:val="24"/>
          <w:lang w:eastAsia="sk-SK"/>
        </w:rPr>
      </w:pPr>
      <w:r w:rsidRPr="00084F8C">
        <w:rPr>
          <w:rFonts w:ascii="Times New Roman" w:hAnsi="Times New Roman"/>
          <w:color w:val="000000"/>
          <w:sz w:val="24"/>
          <w:szCs w:val="24"/>
          <w:lang w:eastAsia="sk-SK"/>
        </w:rPr>
        <w:t xml:space="preserve">Výdavky </w:t>
      </w:r>
      <w:r>
        <w:rPr>
          <w:rFonts w:ascii="Times New Roman" w:hAnsi="Times New Roman"/>
          <w:color w:val="000000"/>
          <w:sz w:val="24"/>
          <w:szCs w:val="24"/>
          <w:lang w:eastAsia="sk-SK"/>
        </w:rPr>
        <w:t>v oblasti Financie sú na rok 2022 ovplyvnené delimitáciou p</w:t>
      </w:r>
      <w:r w:rsidRPr="00B74578">
        <w:rPr>
          <w:rFonts w:ascii="Times New Roman" w:hAnsi="Times New Roman"/>
          <w:color w:val="000000"/>
          <w:sz w:val="24"/>
          <w:szCs w:val="24"/>
          <w:lang w:eastAsia="sk-SK"/>
        </w:rPr>
        <w:t>rostriedk</w:t>
      </w:r>
      <w:r>
        <w:rPr>
          <w:rFonts w:ascii="Times New Roman" w:hAnsi="Times New Roman"/>
          <w:color w:val="000000"/>
          <w:sz w:val="24"/>
          <w:szCs w:val="24"/>
          <w:lang w:eastAsia="sk-SK"/>
        </w:rPr>
        <w:t>ov</w:t>
      </w:r>
      <w:r w:rsidRPr="00B74578">
        <w:rPr>
          <w:rFonts w:ascii="Times New Roman" w:hAnsi="Times New Roman"/>
          <w:color w:val="000000"/>
          <w:sz w:val="24"/>
          <w:szCs w:val="24"/>
          <w:lang w:eastAsia="sk-SK"/>
        </w:rPr>
        <w:t xml:space="preserve"> Európskej únie a spolufinancovania zo štátneho rozpočtu v sume 112 mil. eur</w:t>
      </w:r>
      <w:r>
        <w:rPr>
          <w:rFonts w:ascii="Times New Roman" w:hAnsi="Times New Roman"/>
          <w:color w:val="000000"/>
          <w:sz w:val="24"/>
          <w:szCs w:val="24"/>
          <w:lang w:eastAsia="sk-SK"/>
        </w:rPr>
        <w:t xml:space="preserve"> určených</w:t>
      </w:r>
      <w:r w:rsidRPr="00B74578">
        <w:rPr>
          <w:rFonts w:ascii="Times New Roman" w:hAnsi="Times New Roman"/>
          <w:color w:val="000000"/>
          <w:sz w:val="24"/>
          <w:szCs w:val="24"/>
          <w:lang w:eastAsia="sk-SK"/>
        </w:rPr>
        <w:t xml:space="preserve"> na Informačnú spoločnosť v rámci O</w:t>
      </w:r>
      <w:r>
        <w:rPr>
          <w:rFonts w:ascii="Times New Roman" w:hAnsi="Times New Roman"/>
          <w:color w:val="000000"/>
          <w:sz w:val="24"/>
          <w:szCs w:val="24"/>
          <w:lang w:eastAsia="sk-SK"/>
        </w:rPr>
        <w:t xml:space="preserve">peračného programu </w:t>
      </w:r>
      <w:r w:rsidRPr="00B74578">
        <w:rPr>
          <w:rFonts w:ascii="Times New Roman" w:hAnsi="Times New Roman"/>
          <w:color w:val="000000"/>
          <w:sz w:val="24"/>
          <w:szCs w:val="24"/>
          <w:lang w:eastAsia="sk-SK"/>
        </w:rPr>
        <w:t>Integrovaná infraštruktúra 3. programového obdobia</w:t>
      </w:r>
      <w:r>
        <w:rPr>
          <w:rFonts w:ascii="Times New Roman" w:hAnsi="Times New Roman"/>
          <w:color w:val="000000"/>
          <w:sz w:val="24"/>
          <w:szCs w:val="24"/>
          <w:lang w:eastAsia="sk-SK"/>
        </w:rPr>
        <w:t xml:space="preserve"> na </w:t>
      </w:r>
      <w:r w:rsidRPr="00A95CAA">
        <w:rPr>
          <w:rFonts w:ascii="Times New Roman" w:hAnsi="Times New Roman"/>
          <w:color w:val="000000"/>
          <w:sz w:val="24"/>
          <w:szCs w:val="24"/>
          <w:lang w:eastAsia="sk-SK"/>
        </w:rPr>
        <w:t>Ministerstvo investícií, regionálneho rozvoja a informatizácie SR.</w:t>
      </w:r>
    </w:p>
    <w:p w:rsidR="00EE2731" w:rsidRDefault="00EE2731" w:rsidP="00EE2731">
      <w:pPr>
        <w:spacing w:after="0" w:line="240" w:lineRule="auto"/>
        <w:jc w:val="both"/>
        <w:rPr>
          <w:rFonts w:ascii="Times New Roman" w:hAnsi="Times New Roman"/>
          <w:color w:val="000000"/>
          <w:lang w:eastAsia="sk-SK"/>
        </w:rPr>
      </w:pPr>
    </w:p>
    <w:p w:rsidR="00AA17E3" w:rsidRDefault="00AA17E3" w:rsidP="00EE2731">
      <w:pPr>
        <w:spacing w:after="0"/>
        <w:jc w:val="both"/>
        <w:rPr>
          <w:rFonts w:ascii="Times New Roman" w:hAnsi="Times New Roman"/>
          <w:color w:val="000000"/>
          <w:sz w:val="24"/>
          <w:szCs w:val="24"/>
          <w:lang w:eastAsia="sk-SK"/>
        </w:rPr>
      </w:pPr>
      <w:r>
        <w:rPr>
          <w:rFonts w:ascii="Times New Roman" w:hAnsi="Times New Roman"/>
          <w:color w:val="000000"/>
          <w:sz w:val="24"/>
          <w:szCs w:val="24"/>
          <w:lang w:eastAsia="sk-SK"/>
        </w:rPr>
        <w:t xml:space="preserve">Výdavky </w:t>
      </w:r>
      <w:r w:rsidRPr="00084F8C">
        <w:rPr>
          <w:rFonts w:ascii="Times New Roman" w:hAnsi="Times New Roman"/>
          <w:color w:val="000000"/>
          <w:sz w:val="24"/>
          <w:szCs w:val="24"/>
          <w:lang w:eastAsia="sk-SK"/>
        </w:rPr>
        <w:t>na oblasť Financie sú v</w:t>
      </w:r>
      <w:r>
        <w:rPr>
          <w:rFonts w:ascii="Times New Roman" w:hAnsi="Times New Roman"/>
          <w:color w:val="000000"/>
          <w:sz w:val="24"/>
          <w:szCs w:val="24"/>
          <w:lang w:eastAsia="sk-SK"/>
        </w:rPr>
        <w:t> roku 2022</w:t>
      </w:r>
      <w:r w:rsidRPr="00084F8C">
        <w:rPr>
          <w:rFonts w:ascii="Times New Roman" w:hAnsi="Times New Roman"/>
          <w:color w:val="000000"/>
          <w:sz w:val="24"/>
          <w:szCs w:val="24"/>
          <w:lang w:eastAsia="sk-SK"/>
        </w:rPr>
        <w:t xml:space="preserve"> ovplyvnené aj týmito opatreniami:</w:t>
      </w:r>
    </w:p>
    <w:p w:rsidR="00AA17E3" w:rsidRPr="002A3226" w:rsidRDefault="00AA17E3" w:rsidP="004B108F">
      <w:pPr>
        <w:pStyle w:val="Odsekzoznamu"/>
        <w:numPr>
          <w:ilvl w:val="0"/>
          <w:numId w:val="25"/>
        </w:numPr>
        <w:jc w:val="both"/>
        <w:rPr>
          <w:rFonts w:ascii="Times New Roman" w:eastAsiaTheme="minorHAnsi" w:hAnsi="Times New Roman" w:cstheme="minorBidi"/>
          <w:color w:val="000000"/>
          <w:lang w:eastAsia="sk-SK"/>
        </w:rPr>
      </w:pPr>
      <w:r w:rsidRPr="002A3226">
        <w:rPr>
          <w:rFonts w:ascii="Times New Roman" w:eastAsiaTheme="minorHAnsi" w:hAnsi="Times New Roman" w:cstheme="minorBidi"/>
          <w:color w:val="000000"/>
          <w:lang w:eastAsia="sk-SK"/>
        </w:rPr>
        <w:t xml:space="preserve">zvýšenie osobných výdavkov v súvislosti s personálnym posilnením finančnej správy v sume 4,50 mil. eur, </w:t>
      </w:r>
    </w:p>
    <w:p w:rsidR="00AA17E3" w:rsidRPr="00702021" w:rsidRDefault="00AA17E3" w:rsidP="004B108F">
      <w:pPr>
        <w:pStyle w:val="Odsekzoznamu"/>
        <w:numPr>
          <w:ilvl w:val="0"/>
          <w:numId w:val="25"/>
        </w:numPr>
        <w:jc w:val="both"/>
        <w:rPr>
          <w:rFonts w:ascii="Times New Roman" w:eastAsiaTheme="minorHAnsi" w:hAnsi="Times New Roman" w:cstheme="minorBidi"/>
          <w:color w:val="000000"/>
          <w:lang w:eastAsia="sk-SK"/>
        </w:rPr>
      </w:pPr>
      <w:r w:rsidRPr="002A3226">
        <w:rPr>
          <w:rFonts w:ascii="Times New Roman" w:eastAsiaTheme="minorHAnsi" w:hAnsi="Times New Roman" w:cstheme="minorBidi"/>
          <w:color w:val="000000"/>
          <w:lang w:eastAsia="sk-SK"/>
        </w:rPr>
        <w:t>zvýšenie výdavkov v sume 4,03 mil. eur na informačné syst</w:t>
      </w:r>
      <w:r>
        <w:rPr>
          <w:rFonts w:ascii="Times New Roman" w:eastAsiaTheme="minorHAnsi" w:hAnsi="Times New Roman" w:cstheme="minorBidi"/>
          <w:color w:val="000000"/>
          <w:lang w:eastAsia="sk-SK"/>
        </w:rPr>
        <w:t xml:space="preserve">émy riadenia verejných financií </w:t>
      </w:r>
      <w:r w:rsidRPr="00702021">
        <w:rPr>
          <w:rFonts w:ascii="Times New Roman" w:eastAsiaTheme="minorHAnsi" w:hAnsi="Times New Roman" w:cstheme="minorBidi"/>
          <w:color w:val="000000"/>
          <w:lang w:eastAsia="sk-SK"/>
        </w:rPr>
        <w:t>najmä z dôvodu zapracovania nových funkcionalít informačných systémov</w:t>
      </w:r>
      <w:r>
        <w:rPr>
          <w:rFonts w:ascii="Times New Roman" w:eastAsiaTheme="minorHAnsi" w:hAnsi="Times New Roman" w:cstheme="minorBidi"/>
          <w:color w:val="000000"/>
          <w:lang w:eastAsia="sk-SK"/>
        </w:rPr>
        <w:t>,</w:t>
      </w:r>
    </w:p>
    <w:p w:rsidR="00AA17E3" w:rsidRPr="002A3226" w:rsidRDefault="00AA17E3" w:rsidP="004B108F">
      <w:pPr>
        <w:pStyle w:val="Odsekzoznamu"/>
        <w:numPr>
          <w:ilvl w:val="0"/>
          <w:numId w:val="25"/>
        </w:numPr>
        <w:jc w:val="both"/>
        <w:rPr>
          <w:rFonts w:ascii="Times New Roman" w:eastAsiaTheme="minorHAnsi" w:hAnsi="Times New Roman" w:cstheme="minorBidi"/>
          <w:color w:val="000000"/>
          <w:lang w:eastAsia="sk-SK"/>
        </w:rPr>
      </w:pPr>
      <w:r w:rsidRPr="002A3226">
        <w:rPr>
          <w:rFonts w:ascii="Times New Roman" w:eastAsiaTheme="minorHAnsi" w:hAnsi="Times New Roman" w:cstheme="minorBidi"/>
          <w:color w:val="000000"/>
          <w:lang w:eastAsia="sk-SK"/>
        </w:rPr>
        <w:t>zvýšenie transferu na úhradu výdavkov</w:t>
      </w:r>
      <w:r>
        <w:rPr>
          <w:rFonts w:ascii="Times New Roman" w:eastAsiaTheme="minorHAnsi" w:hAnsi="Times New Roman" w:cstheme="minorBidi"/>
          <w:color w:val="000000"/>
          <w:lang w:eastAsia="sk-SK"/>
        </w:rPr>
        <w:t xml:space="preserve"> na činnosť</w:t>
      </w:r>
      <w:r w:rsidRPr="002A3226">
        <w:rPr>
          <w:rFonts w:ascii="Times New Roman" w:eastAsiaTheme="minorHAnsi" w:hAnsi="Times New Roman" w:cstheme="minorBidi"/>
          <w:color w:val="000000"/>
          <w:lang w:eastAsia="sk-SK"/>
        </w:rPr>
        <w:t xml:space="preserve"> Kancelárie rady pre rozpočtovú zodpovednosť v sume 1,82</w:t>
      </w:r>
      <w:r>
        <w:rPr>
          <w:rFonts w:ascii="Times New Roman" w:eastAsiaTheme="minorHAnsi" w:hAnsi="Times New Roman" w:cstheme="minorBidi"/>
          <w:color w:val="000000"/>
          <w:lang w:eastAsia="sk-SK"/>
        </w:rPr>
        <w:t xml:space="preserve"> mil. eur.</w:t>
      </w:r>
    </w:p>
    <w:p w:rsidR="00AA17E3" w:rsidRDefault="00AA17E3" w:rsidP="00AA17E3">
      <w:pPr>
        <w:spacing w:after="0" w:line="240" w:lineRule="auto"/>
        <w:jc w:val="both"/>
        <w:rPr>
          <w:rFonts w:ascii="Times New Roman" w:hAnsi="Times New Roman" w:cs="Times New Roman"/>
          <w:b/>
          <w:color w:val="5B9BD5" w:themeColor="accent1"/>
          <w:sz w:val="24"/>
          <w:szCs w:val="24"/>
        </w:rPr>
      </w:pP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Finančná správa</w:t>
      </w: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p>
    <w:p w:rsidR="00AA17E3" w:rsidRPr="009865F1" w:rsidRDefault="00AA17E3" w:rsidP="00277478">
      <w:pPr>
        <w:widowControl w:val="0"/>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Finančná správa prostredníctvom Finančného riaditeľstva SR, daňových a colných úradov a Kriminálneho úradu finančnej správy zabezpečuje najmä úlohy v oblasti správy daní a registrácie daňových subjektov a výberu daní a cla. </w:t>
      </w:r>
      <w:bookmarkStart w:id="475" w:name="_Toc52913408"/>
      <w:bookmarkStart w:id="476" w:name="_Toc52978205"/>
      <w:bookmarkStart w:id="477" w:name="_Toc53054174"/>
      <w:bookmarkStart w:id="478" w:name="_Toc53054835"/>
      <w:bookmarkStart w:id="479" w:name="_Toc53078027"/>
      <w:bookmarkStart w:id="480" w:name="_Toc53086429"/>
    </w:p>
    <w:p w:rsidR="00FA7DE1" w:rsidRPr="00B302BE" w:rsidRDefault="00FA7DE1" w:rsidP="00277478">
      <w:pPr>
        <w:widowControl w:val="0"/>
        <w:spacing w:after="0" w:line="240" w:lineRule="auto"/>
        <w:rPr>
          <w:rFonts w:ascii="Times New Roman" w:hAnsi="Times New Roman" w:cs="Times New Roman"/>
          <w:b/>
          <w:iCs/>
          <w:color w:val="5B9BD5" w:themeColor="accent1"/>
          <w:sz w:val="24"/>
          <w:szCs w:val="20"/>
          <w:highlight w:val="yellow"/>
        </w:rPr>
      </w:pPr>
    </w:p>
    <w:p w:rsidR="00AA17E3" w:rsidRPr="00515919" w:rsidRDefault="00AA17E3" w:rsidP="00277478">
      <w:pPr>
        <w:widowControl w:val="0"/>
        <w:spacing w:after="0" w:line="240" w:lineRule="auto"/>
        <w:rPr>
          <w:rFonts w:ascii="Times New Roman" w:hAnsi="Times New Roman" w:cs="Times New Roman"/>
          <w:b/>
          <w:iCs/>
          <w:color w:val="5B9BD5" w:themeColor="accent1"/>
          <w:sz w:val="20"/>
          <w:szCs w:val="20"/>
        </w:rPr>
      </w:pPr>
      <w:bookmarkStart w:id="481" w:name="_Toc84528455"/>
      <w:bookmarkStart w:id="482" w:name="_Toc84845331"/>
      <w:r w:rsidRPr="00BA5BCF">
        <w:rPr>
          <w:rFonts w:ascii="Times New Roman" w:hAnsi="Times New Roman" w:cs="Times New Roman"/>
          <w:b/>
          <w:iCs/>
          <w:color w:val="5B9BD5" w:themeColor="accent1"/>
          <w:sz w:val="20"/>
          <w:szCs w:val="20"/>
        </w:rPr>
        <w:t xml:space="preserve">Tabuľka </w:t>
      </w:r>
      <w:r w:rsidRPr="00BA5BCF">
        <w:rPr>
          <w:rFonts w:ascii="Times New Roman" w:hAnsi="Times New Roman" w:cs="Times New Roman"/>
          <w:b/>
          <w:iCs/>
          <w:color w:val="5B9BD5" w:themeColor="accent1"/>
          <w:sz w:val="20"/>
          <w:szCs w:val="20"/>
        </w:rPr>
        <w:fldChar w:fldCharType="begin"/>
      </w:r>
      <w:r w:rsidRPr="00BA5BCF">
        <w:rPr>
          <w:rFonts w:ascii="Times New Roman" w:hAnsi="Times New Roman" w:cs="Times New Roman"/>
          <w:b/>
          <w:iCs/>
          <w:color w:val="5B9BD5" w:themeColor="accent1"/>
          <w:sz w:val="20"/>
          <w:szCs w:val="20"/>
        </w:rPr>
        <w:instrText xml:space="preserve"> SEQ Tabuľka \* ARABIC </w:instrText>
      </w:r>
      <w:r w:rsidRPr="00BA5BCF">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107</w:t>
      </w:r>
      <w:r w:rsidRPr="00BA5BCF">
        <w:rPr>
          <w:rFonts w:ascii="Times New Roman" w:hAnsi="Times New Roman" w:cs="Times New Roman"/>
          <w:b/>
          <w:iCs/>
          <w:color w:val="5B9BD5" w:themeColor="accent1"/>
          <w:sz w:val="20"/>
          <w:szCs w:val="20"/>
        </w:rPr>
        <w:fldChar w:fldCharType="end"/>
      </w:r>
      <w:r w:rsidRPr="00BA5BCF">
        <w:rPr>
          <w:rFonts w:ascii="Times New Roman" w:hAnsi="Times New Roman" w:cs="Times New Roman"/>
          <w:b/>
          <w:iCs/>
          <w:color w:val="5B9BD5" w:themeColor="accent1"/>
          <w:sz w:val="20"/>
          <w:szCs w:val="20"/>
        </w:rPr>
        <w:t xml:space="preserve"> - Finančná</w:t>
      </w:r>
      <w:r w:rsidRPr="00515919">
        <w:rPr>
          <w:rFonts w:ascii="Times New Roman" w:hAnsi="Times New Roman" w:cs="Times New Roman"/>
          <w:b/>
          <w:iCs/>
          <w:color w:val="5B9BD5" w:themeColor="accent1"/>
          <w:sz w:val="20"/>
          <w:szCs w:val="20"/>
        </w:rPr>
        <w:t xml:space="preserve"> správa</w:t>
      </w:r>
      <w:bookmarkEnd w:id="475"/>
      <w:bookmarkEnd w:id="476"/>
      <w:bookmarkEnd w:id="477"/>
      <w:bookmarkEnd w:id="478"/>
      <w:bookmarkEnd w:id="479"/>
      <w:bookmarkEnd w:id="480"/>
      <w:bookmarkEnd w:id="481"/>
      <w:bookmarkEnd w:id="482"/>
    </w:p>
    <w:tbl>
      <w:tblPr>
        <w:tblW w:w="5000" w:type="pct"/>
        <w:tblCellMar>
          <w:left w:w="70" w:type="dxa"/>
          <w:right w:w="70" w:type="dxa"/>
        </w:tblCellMar>
        <w:tblLook w:val="04A0" w:firstRow="1" w:lastRow="0" w:firstColumn="1" w:lastColumn="0" w:noHBand="0" w:noVBand="1"/>
      </w:tblPr>
      <w:tblGrid>
        <w:gridCol w:w="3140"/>
        <w:gridCol w:w="848"/>
        <w:gridCol w:w="848"/>
        <w:gridCol w:w="848"/>
        <w:gridCol w:w="847"/>
        <w:gridCol w:w="847"/>
        <w:gridCol w:w="847"/>
        <w:gridCol w:w="847"/>
      </w:tblGrid>
      <w:tr w:rsidR="00AA17E3" w:rsidRPr="005C5448" w:rsidTr="00AA17E3">
        <w:trPr>
          <w:trHeight w:val="300"/>
        </w:trPr>
        <w:tc>
          <w:tcPr>
            <w:tcW w:w="1730"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v tis. eur</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2019 S</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2020 S</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2021 R</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2021 OS</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2022 N</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2023 N</w:t>
            </w:r>
          </w:p>
        </w:tc>
        <w:tc>
          <w:tcPr>
            <w:tcW w:w="467" w:type="pct"/>
            <w:tcBorders>
              <w:top w:val="single" w:sz="4" w:space="0" w:color="auto"/>
              <w:left w:val="nil"/>
              <w:bottom w:val="single" w:sz="4" w:space="0" w:color="auto"/>
              <w:right w:val="nil"/>
            </w:tcBorders>
            <w:shd w:val="clear" w:color="000000" w:fill="FFFFFF"/>
            <w:noWrap/>
            <w:vAlign w:val="center"/>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2024 N</w:t>
            </w:r>
          </w:p>
        </w:tc>
      </w:tr>
      <w:tr w:rsidR="00AA17E3" w:rsidRPr="005C5448" w:rsidTr="00AA17E3">
        <w:trPr>
          <w:trHeight w:val="300"/>
        </w:trPr>
        <w:tc>
          <w:tcPr>
            <w:tcW w:w="1730"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Finančná správa</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343 279</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329 498</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355 589</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353 866</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359 238</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365 786</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b/>
                <w:bCs/>
                <w:sz w:val="16"/>
                <w:szCs w:val="16"/>
                <w:lang w:eastAsia="sk-SK"/>
              </w:rPr>
            </w:pPr>
            <w:r w:rsidRPr="005C5448">
              <w:rPr>
                <w:rFonts w:ascii="Times New Roman" w:eastAsia="Times New Roman" w:hAnsi="Times New Roman" w:cs="Times New Roman"/>
                <w:b/>
                <w:bCs/>
                <w:sz w:val="16"/>
                <w:szCs w:val="16"/>
                <w:lang w:eastAsia="sk-SK"/>
              </w:rPr>
              <w:t>366 505</w:t>
            </w:r>
          </w:p>
        </w:tc>
      </w:tr>
      <w:tr w:rsidR="00AA17E3" w:rsidRPr="005C5448" w:rsidTr="00AA17E3">
        <w:trPr>
          <w:trHeight w:val="300"/>
        </w:trPr>
        <w:tc>
          <w:tcPr>
            <w:tcW w:w="1730" w:type="pct"/>
            <w:tcBorders>
              <w:top w:val="nil"/>
              <w:left w:val="nil"/>
              <w:bottom w:val="nil"/>
              <w:right w:val="nil"/>
            </w:tcBorders>
            <w:shd w:val="clear" w:color="000000" w:fill="FFFFFF"/>
            <w:noWrap/>
            <w:vAlign w:val="bottom"/>
            <w:hideMark/>
          </w:tcPr>
          <w:p w:rsidR="00AA17E3" w:rsidRPr="005C5448" w:rsidRDefault="00AA17E3" w:rsidP="00AA17E3">
            <w:pPr>
              <w:spacing w:after="0" w:line="240" w:lineRule="auto"/>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 xml:space="preserve">v tom: bežné výdavky </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287 795</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306 179</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313 522</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319 195</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324 661</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325 499</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325 184</w:t>
            </w:r>
          </w:p>
        </w:tc>
      </w:tr>
      <w:tr w:rsidR="00AA17E3" w:rsidRPr="005C5448" w:rsidTr="00AA17E3">
        <w:trPr>
          <w:trHeight w:val="300"/>
        </w:trPr>
        <w:tc>
          <w:tcPr>
            <w:tcW w:w="1730" w:type="pct"/>
            <w:tcBorders>
              <w:top w:val="nil"/>
              <w:left w:val="nil"/>
              <w:bottom w:val="nil"/>
              <w:right w:val="nil"/>
            </w:tcBorders>
            <w:shd w:val="clear" w:color="000000" w:fill="FFFFFF"/>
            <w:noWrap/>
            <w:vAlign w:val="bottom"/>
            <w:hideMark/>
          </w:tcPr>
          <w:p w:rsidR="00AA17E3" w:rsidRPr="005C5448" w:rsidRDefault="00AA17E3" w:rsidP="00AA17E3">
            <w:pPr>
              <w:spacing w:after="0" w:line="240" w:lineRule="auto"/>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 xml:space="preserve">            kapitálové výdavky </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36 019</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3 423</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13 783</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1 638</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3 526</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4 541</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4 541</w:t>
            </w:r>
          </w:p>
        </w:tc>
      </w:tr>
      <w:tr w:rsidR="00AA17E3" w:rsidRPr="005C5448" w:rsidTr="00AA17E3">
        <w:trPr>
          <w:trHeight w:val="300"/>
        </w:trPr>
        <w:tc>
          <w:tcPr>
            <w:tcW w:w="1730" w:type="pct"/>
            <w:tcBorders>
              <w:top w:val="nil"/>
              <w:left w:val="nil"/>
              <w:bottom w:val="nil"/>
              <w:right w:val="nil"/>
            </w:tcBorders>
            <w:shd w:val="clear" w:color="000000" w:fill="FFFFFF"/>
            <w:noWrap/>
            <w:vAlign w:val="bottom"/>
            <w:hideMark/>
          </w:tcPr>
          <w:p w:rsidR="00AA17E3" w:rsidRPr="005C5448" w:rsidRDefault="00AA17E3" w:rsidP="00AA17E3">
            <w:pPr>
              <w:spacing w:after="0" w:line="240" w:lineRule="auto"/>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Samostatné účty</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19 466</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19 896</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28 284</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33 034</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31 051</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35 746</w:t>
            </w:r>
          </w:p>
        </w:tc>
        <w:tc>
          <w:tcPr>
            <w:tcW w:w="467" w:type="pct"/>
            <w:tcBorders>
              <w:top w:val="nil"/>
              <w:left w:val="nil"/>
              <w:bottom w:val="nil"/>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36 781</w:t>
            </w:r>
          </w:p>
        </w:tc>
      </w:tr>
      <w:tr w:rsidR="00AA17E3" w:rsidRPr="005C5448" w:rsidTr="00AA17E3">
        <w:trPr>
          <w:trHeight w:val="450"/>
        </w:trPr>
        <w:tc>
          <w:tcPr>
            <w:tcW w:w="1730"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ind w:left="497" w:hanging="497"/>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z toho: Účet na zabezpečenie financovania sociálneho zabezpečenia colníkov</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18 936</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19 744</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22 578</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27 328</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29 753</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30 599</w:t>
            </w:r>
          </w:p>
        </w:tc>
        <w:tc>
          <w:tcPr>
            <w:tcW w:w="467" w:type="pct"/>
            <w:tcBorders>
              <w:top w:val="nil"/>
              <w:left w:val="nil"/>
              <w:bottom w:val="single" w:sz="4" w:space="0" w:color="auto"/>
              <w:right w:val="nil"/>
            </w:tcBorders>
            <w:shd w:val="clear" w:color="000000" w:fill="FFFFFF"/>
            <w:vAlign w:val="bottom"/>
            <w:hideMark/>
          </w:tcPr>
          <w:p w:rsidR="00AA17E3" w:rsidRPr="005C5448" w:rsidRDefault="00AA17E3" w:rsidP="00AA17E3">
            <w:pPr>
              <w:spacing w:after="0" w:line="240" w:lineRule="auto"/>
              <w:jc w:val="right"/>
              <w:rPr>
                <w:rFonts w:ascii="Times New Roman" w:eastAsia="Times New Roman" w:hAnsi="Times New Roman" w:cs="Times New Roman"/>
                <w:sz w:val="16"/>
                <w:szCs w:val="16"/>
                <w:lang w:eastAsia="sk-SK"/>
              </w:rPr>
            </w:pPr>
            <w:r w:rsidRPr="005C5448">
              <w:rPr>
                <w:rFonts w:ascii="Times New Roman" w:eastAsia="Times New Roman" w:hAnsi="Times New Roman" w:cs="Times New Roman"/>
                <w:sz w:val="16"/>
                <w:szCs w:val="16"/>
                <w:lang w:eastAsia="sk-SK"/>
              </w:rPr>
              <w:t>31 204</w:t>
            </w:r>
          </w:p>
        </w:tc>
      </w:tr>
    </w:tbl>
    <w:p w:rsidR="00AA17E3" w:rsidRPr="00515919" w:rsidRDefault="00AA17E3" w:rsidP="00AA17E3">
      <w:pPr>
        <w:spacing w:after="0" w:line="240" w:lineRule="auto"/>
        <w:jc w:val="right"/>
        <w:rPr>
          <w:rFonts w:ascii="Times New Roman" w:hAnsi="Times New Roman" w:cs="Times New Roman"/>
          <w:i/>
          <w:iCs/>
          <w:sz w:val="16"/>
          <w:szCs w:val="16"/>
        </w:rPr>
      </w:pPr>
      <w:r w:rsidRPr="00515919">
        <w:rPr>
          <w:rFonts w:ascii="Times New Roman" w:hAnsi="Times New Roman" w:cs="Times New Roman"/>
          <w:i/>
          <w:iCs/>
          <w:sz w:val="16"/>
          <w:szCs w:val="16"/>
        </w:rPr>
        <w:t>Zdroj: MF SR</w:t>
      </w:r>
    </w:p>
    <w:p w:rsidR="00AA17E3" w:rsidRPr="00515919" w:rsidRDefault="00AA17E3" w:rsidP="00AA17E3">
      <w:pPr>
        <w:spacing w:after="0" w:line="240" w:lineRule="auto"/>
        <w:jc w:val="both"/>
        <w:rPr>
          <w:rFonts w:ascii="Times New Roman" w:hAnsi="Times New Roman" w:cs="Times New Roman"/>
          <w:sz w:val="24"/>
          <w:szCs w:val="24"/>
        </w:rPr>
      </w:pP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r w:rsidRPr="00372322">
        <w:rPr>
          <w:rFonts w:ascii="Times New Roman" w:eastAsia="Times New Roman" w:hAnsi="Times New Roman" w:cs="Times New Roman"/>
          <w:sz w:val="24"/>
          <w:szCs w:val="24"/>
          <w:lang w:eastAsia="cs-CZ"/>
        </w:rPr>
        <w:t xml:space="preserve">Na rok 2022 sa rozpočtujú výdavky zo štátneho rozpočtu na výkon funkcií finančnej správy  v sume 328 mil. eur, čo predstavuje približne úroveň schváleného rozpočtu na rok 2021. </w:t>
      </w:r>
      <w:r>
        <w:rPr>
          <w:rFonts w:ascii="Times New Roman" w:eastAsia="Times New Roman" w:hAnsi="Times New Roman" w:cs="Times New Roman"/>
          <w:sz w:val="24"/>
          <w:szCs w:val="24"/>
          <w:lang w:eastAsia="cs-CZ"/>
        </w:rPr>
        <w:t xml:space="preserve">V porovnaní so schváleným rozpočtom na rok 2021 sa mení </w:t>
      </w:r>
      <w:r w:rsidRPr="00372322">
        <w:rPr>
          <w:rFonts w:ascii="Times New Roman" w:eastAsia="Times New Roman" w:hAnsi="Times New Roman" w:cs="Times New Roman"/>
          <w:sz w:val="24"/>
          <w:szCs w:val="24"/>
          <w:lang w:eastAsia="cs-CZ"/>
        </w:rPr>
        <w:t xml:space="preserve">štruktúra </w:t>
      </w:r>
      <w:r>
        <w:rPr>
          <w:rFonts w:ascii="Times New Roman" w:eastAsia="Times New Roman" w:hAnsi="Times New Roman" w:cs="Times New Roman"/>
          <w:sz w:val="24"/>
          <w:szCs w:val="24"/>
          <w:lang w:eastAsia="cs-CZ"/>
        </w:rPr>
        <w:t xml:space="preserve">výdavkov </w:t>
      </w:r>
      <w:r w:rsidR="00EB0720">
        <w:rPr>
          <w:rFonts w:ascii="Times New Roman" w:eastAsia="Times New Roman" w:hAnsi="Times New Roman" w:cs="Times New Roman"/>
          <w:sz w:val="24"/>
          <w:szCs w:val="24"/>
          <w:lang w:eastAsia="cs-CZ"/>
        </w:rPr>
        <w:t>z hľadiska ekonomického určenia</w:t>
      </w:r>
      <w:r w:rsidRPr="00372322">
        <w:rPr>
          <w:rFonts w:ascii="Times New Roman" w:eastAsia="Times New Roman" w:hAnsi="Times New Roman" w:cs="Times New Roman"/>
          <w:sz w:val="24"/>
          <w:szCs w:val="24"/>
          <w:lang w:eastAsia="cs-CZ"/>
        </w:rPr>
        <w:t xml:space="preserve"> v prospech bežných výdavkov. </w:t>
      </w: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r w:rsidRPr="00372322">
        <w:rPr>
          <w:rFonts w:ascii="Times New Roman" w:eastAsia="Times New Roman" w:hAnsi="Times New Roman" w:cs="Times New Roman"/>
          <w:sz w:val="24"/>
          <w:szCs w:val="24"/>
          <w:lang w:eastAsia="cs-CZ"/>
        </w:rPr>
        <w:t xml:space="preserve">V rámci bežných výdavkov je na rok 2022 rozpočtované zvýšenie osobných výdavkov </w:t>
      </w:r>
      <w:r w:rsidR="00C37B40">
        <w:rPr>
          <w:rFonts w:ascii="Times New Roman" w:eastAsia="Times New Roman" w:hAnsi="Times New Roman" w:cs="Times New Roman"/>
          <w:sz w:val="24"/>
          <w:szCs w:val="24"/>
          <w:lang w:eastAsia="cs-CZ"/>
        </w:rPr>
        <w:br/>
      </w:r>
      <w:r w:rsidRPr="00372322">
        <w:rPr>
          <w:rFonts w:ascii="Times New Roman" w:eastAsia="Times New Roman" w:hAnsi="Times New Roman" w:cs="Times New Roman"/>
          <w:sz w:val="24"/>
          <w:szCs w:val="24"/>
          <w:lang w:eastAsia="cs-CZ"/>
        </w:rPr>
        <w:t>o 4,50 mil. eur, ktoré súvisí najmä s personálnym posilnením finančnej správy z dôvodu zvýšenia efektivity výberu daní, posilnenia kontrolnej a analytickej činnosti a zintenzívnenia boja proti daňovým podvodom, ako aj so zabezpečovaním časti činností v oblasti informačných technológií vlastnými kapacitami finančnej správy. Ide o zohľadnenie zmien realizovaných v roku 2021 a v predchádzajúcich rokoch.</w:t>
      </w: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372322">
        <w:rPr>
          <w:rFonts w:ascii="Times New Roman" w:eastAsia="Times New Roman" w:hAnsi="Times New Roman" w:cs="Times New Roman"/>
          <w:sz w:val="24"/>
          <w:szCs w:val="24"/>
          <w:lang w:eastAsia="cs-CZ"/>
        </w:rPr>
        <w:t>Zvýšené bežné výdavky spojené s prevádzkou finančnej správy kapitola realizovala presunom z kapitálových výdavkov a sú určené najmä na opravy a údržbu budov a zariadení. Kapitálové výdavky sú určené na rekonštrukcie a stavebné úpravy daňových a colných úradov a na nákup dopravných prostriedkov a špeciálnych strojov a zariadení.</w:t>
      </w: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r w:rsidRPr="00372322">
        <w:rPr>
          <w:rFonts w:ascii="Times New Roman" w:eastAsia="Times New Roman" w:hAnsi="Times New Roman" w:cs="Times New Roman"/>
          <w:sz w:val="24"/>
          <w:szCs w:val="24"/>
          <w:lang w:eastAsia="cs-CZ"/>
        </w:rPr>
        <w:t>Finančná správa realizuje tiež sociálne zabezpečenie ozbrojených príslušníkov finančnej správy prostredníctvom samostatného účtu na zabezpečenie financovania sociálneho zabezpečenia colníkov v sume 29,8 mil. eur. Transfer z kapitoly M</w:t>
      </w:r>
      <w:r>
        <w:rPr>
          <w:rFonts w:ascii="Times New Roman" w:eastAsia="Times New Roman" w:hAnsi="Times New Roman" w:cs="Times New Roman"/>
          <w:sz w:val="24"/>
          <w:szCs w:val="24"/>
          <w:lang w:eastAsia="cs-CZ"/>
        </w:rPr>
        <w:t>inisterstva financií</w:t>
      </w:r>
      <w:r w:rsidRPr="00372322">
        <w:rPr>
          <w:rFonts w:ascii="Times New Roman" w:eastAsia="Times New Roman" w:hAnsi="Times New Roman" w:cs="Times New Roman"/>
          <w:sz w:val="24"/>
          <w:szCs w:val="24"/>
          <w:lang w:eastAsia="cs-CZ"/>
        </w:rPr>
        <w:t xml:space="preserve"> SR na tento samostatný</w:t>
      </w:r>
      <w:r>
        <w:rPr>
          <w:rFonts w:ascii="Times New Roman" w:eastAsia="Times New Roman" w:hAnsi="Times New Roman" w:cs="Times New Roman"/>
          <w:sz w:val="24"/>
          <w:szCs w:val="24"/>
          <w:lang w:eastAsia="cs-CZ"/>
        </w:rPr>
        <w:t xml:space="preserve"> účet predstavuje 3,38 mil. eur a jeho výška je ovplyvnená predpokladaným odchodom ozbrojených príslušníkov finančnej správy do výsluhy.</w:t>
      </w:r>
      <w:r w:rsidRPr="00372322">
        <w:rPr>
          <w:rFonts w:ascii="Times New Roman" w:eastAsia="Times New Roman" w:hAnsi="Times New Roman" w:cs="Times New Roman"/>
          <w:sz w:val="24"/>
          <w:szCs w:val="24"/>
          <w:lang w:eastAsia="cs-CZ"/>
        </w:rPr>
        <w:t xml:space="preserve"> Z hľadiska objemu výdavky smerujú hlavne na dôchodkové dávky starobného poistenia, na odchodné a na nemocenské dávky. </w:t>
      </w:r>
    </w:p>
    <w:p w:rsidR="00AA17E3" w:rsidRPr="00372322"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372322">
        <w:rPr>
          <w:rFonts w:ascii="Times New Roman" w:eastAsia="Times New Roman" w:hAnsi="Times New Roman" w:cs="Times New Roman"/>
          <w:sz w:val="24"/>
          <w:szCs w:val="24"/>
          <w:lang w:eastAsia="cs-CZ"/>
        </w:rPr>
        <w:t>Prostredníctvom grantov vedených na samostatných účtoch zahraničných grantov a grantov EÚ v sume 1,30 mil. eur sa finančná správa v roku 2022 predpokladá zapojiť napr. do programov Fiscalis, Hercule III, ktorých cieľom je boj proti podvodom a ochrana finančných a hospodárskych záujmov EÚ a jej členských štátov.</w:t>
      </w:r>
    </w:p>
    <w:p w:rsidR="00FA7DE1" w:rsidRPr="00515919" w:rsidRDefault="00FA7DE1" w:rsidP="00AA17E3">
      <w:pPr>
        <w:spacing w:after="0" w:line="240" w:lineRule="auto"/>
        <w:jc w:val="both"/>
        <w:rPr>
          <w:rFonts w:ascii="Times New Roman" w:hAnsi="Times New Roman" w:cs="Times New Roman"/>
          <w:b/>
          <w:color w:val="1F4E79" w:themeColor="accent1" w:themeShade="80"/>
          <w:sz w:val="24"/>
          <w:szCs w:val="24"/>
        </w:rPr>
      </w:pP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Informačné systémy riadenia verejných financií</w:t>
      </w: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p>
    <w:p w:rsidR="00AA17E3" w:rsidRDefault="00AA17E3" w:rsidP="00AA17E3">
      <w:pPr>
        <w:spacing w:after="0" w:line="240" w:lineRule="auto"/>
        <w:jc w:val="both"/>
        <w:rPr>
          <w:rFonts w:ascii="Times New Roman" w:hAnsi="Times New Roman" w:cs="Times New Roman"/>
          <w:sz w:val="24"/>
          <w:szCs w:val="24"/>
        </w:rPr>
      </w:pPr>
      <w:r w:rsidRPr="00372322">
        <w:rPr>
          <w:rFonts w:ascii="Times New Roman" w:hAnsi="Times New Roman" w:cs="Times New Roman"/>
          <w:sz w:val="24"/>
          <w:szCs w:val="24"/>
        </w:rPr>
        <w:t>Výdavky na informačné systémy riadenia verejných financií</w:t>
      </w:r>
      <w:r>
        <w:rPr>
          <w:rFonts w:ascii="Times New Roman" w:hAnsi="Times New Roman" w:cs="Times New Roman"/>
          <w:sz w:val="24"/>
          <w:szCs w:val="24"/>
        </w:rPr>
        <w:t xml:space="preserve"> sú na rok 2022 </w:t>
      </w:r>
      <w:r w:rsidRPr="00372322">
        <w:rPr>
          <w:rFonts w:ascii="Times New Roman" w:hAnsi="Times New Roman" w:cs="Times New Roman"/>
          <w:sz w:val="24"/>
          <w:szCs w:val="24"/>
        </w:rPr>
        <w:t>rozpočtované v sume 124 mil. eur. Zabezpečuje sa nimi financovanie systémov vnútornej správy, podpornej infraštruktúry a špecializovaných agendových systémov.</w:t>
      </w:r>
    </w:p>
    <w:p w:rsidR="00AA17E3" w:rsidRPr="00515919" w:rsidRDefault="00AA17E3" w:rsidP="00AA17E3">
      <w:pPr>
        <w:spacing w:after="0" w:line="240" w:lineRule="auto"/>
        <w:jc w:val="both"/>
        <w:rPr>
          <w:rFonts w:ascii="Times New Roman" w:hAnsi="Times New Roman" w:cs="Times New Roman"/>
          <w:b/>
          <w:color w:val="1F4E79" w:themeColor="accent1" w:themeShade="80"/>
          <w:sz w:val="24"/>
          <w:szCs w:val="24"/>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483" w:name="_Toc52913409"/>
      <w:bookmarkStart w:id="484" w:name="_Toc52978206"/>
      <w:bookmarkStart w:id="485" w:name="_Toc53054175"/>
      <w:bookmarkStart w:id="486" w:name="_Toc53054836"/>
      <w:bookmarkStart w:id="487" w:name="_Toc53078028"/>
      <w:bookmarkStart w:id="488" w:name="_Toc53086430"/>
      <w:bookmarkStart w:id="489" w:name="_Toc84528456"/>
      <w:bookmarkStart w:id="490" w:name="_Toc84845332"/>
      <w:r w:rsidRPr="00BA5BCF">
        <w:rPr>
          <w:rFonts w:ascii="Times New Roman" w:hAnsi="Times New Roman" w:cs="Times New Roman"/>
          <w:b/>
          <w:iCs/>
          <w:color w:val="5B9BD5" w:themeColor="accent1"/>
          <w:sz w:val="20"/>
          <w:szCs w:val="20"/>
        </w:rPr>
        <w:t xml:space="preserve">Tabuľka </w:t>
      </w:r>
      <w:r w:rsidRPr="00BA5BCF">
        <w:rPr>
          <w:rFonts w:ascii="Times New Roman" w:hAnsi="Times New Roman" w:cs="Times New Roman"/>
          <w:b/>
          <w:iCs/>
          <w:color w:val="5B9BD5" w:themeColor="accent1"/>
          <w:sz w:val="20"/>
          <w:szCs w:val="20"/>
        </w:rPr>
        <w:fldChar w:fldCharType="begin"/>
      </w:r>
      <w:r w:rsidRPr="00BA5BCF">
        <w:rPr>
          <w:rFonts w:ascii="Times New Roman" w:hAnsi="Times New Roman" w:cs="Times New Roman"/>
          <w:b/>
          <w:iCs/>
          <w:color w:val="5B9BD5" w:themeColor="accent1"/>
          <w:sz w:val="20"/>
          <w:szCs w:val="20"/>
        </w:rPr>
        <w:instrText xml:space="preserve"> SEQ Tabuľka \* ARABIC </w:instrText>
      </w:r>
      <w:r w:rsidRPr="00BA5BCF">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108</w:t>
      </w:r>
      <w:r w:rsidRPr="00BA5BCF">
        <w:rPr>
          <w:rFonts w:ascii="Times New Roman" w:hAnsi="Times New Roman" w:cs="Times New Roman"/>
          <w:b/>
          <w:iCs/>
          <w:color w:val="5B9BD5" w:themeColor="accent1"/>
          <w:sz w:val="20"/>
          <w:szCs w:val="20"/>
        </w:rPr>
        <w:fldChar w:fldCharType="end"/>
      </w:r>
      <w:r w:rsidRPr="00BA5BCF">
        <w:rPr>
          <w:rFonts w:ascii="Times New Roman" w:hAnsi="Times New Roman" w:cs="Times New Roman"/>
          <w:b/>
          <w:iCs/>
          <w:color w:val="5B9BD5" w:themeColor="accent1"/>
          <w:sz w:val="20"/>
          <w:szCs w:val="20"/>
        </w:rPr>
        <w:t xml:space="preserve"> </w:t>
      </w:r>
      <w:r w:rsidR="003360AD">
        <w:rPr>
          <w:rFonts w:ascii="Times New Roman" w:hAnsi="Times New Roman" w:cs="Times New Roman"/>
          <w:b/>
          <w:iCs/>
          <w:color w:val="5B9BD5" w:themeColor="accent1"/>
          <w:sz w:val="20"/>
          <w:szCs w:val="20"/>
        </w:rPr>
        <w:t>–</w:t>
      </w:r>
      <w:r w:rsidRPr="00BA5BCF">
        <w:rPr>
          <w:rFonts w:ascii="Times New Roman" w:hAnsi="Times New Roman" w:cs="Times New Roman"/>
          <w:b/>
          <w:iCs/>
          <w:color w:val="5B9BD5" w:themeColor="accent1"/>
          <w:sz w:val="20"/>
          <w:szCs w:val="20"/>
        </w:rPr>
        <w:t xml:space="preserve"> </w:t>
      </w:r>
      <w:r w:rsidR="003360AD">
        <w:rPr>
          <w:rFonts w:ascii="Times New Roman" w:hAnsi="Times New Roman" w:cs="Times New Roman"/>
          <w:b/>
          <w:iCs/>
          <w:color w:val="5B9BD5" w:themeColor="accent1"/>
          <w:sz w:val="20"/>
          <w:szCs w:val="20"/>
        </w:rPr>
        <w:t>Výdavky na i</w:t>
      </w:r>
      <w:r w:rsidRPr="00BA5BCF">
        <w:rPr>
          <w:rFonts w:ascii="Times New Roman" w:hAnsi="Times New Roman" w:cs="Times New Roman"/>
          <w:b/>
          <w:iCs/>
          <w:color w:val="5B9BD5" w:themeColor="accent1"/>
          <w:sz w:val="20"/>
          <w:szCs w:val="20"/>
        </w:rPr>
        <w:t>nformačné</w:t>
      </w:r>
      <w:r w:rsidRPr="00515919">
        <w:rPr>
          <w:rFonts w:ascii="Times New Roman" w:hAnsi="Times New Roman" w:cs="Times New Roman"/>
          <w:b/>
          <w:iCs/>
          <w:color w:val="5B9BD5" w:themeColor="accent1"/>
          <w:sz w:val="20"/>
          <w:szCs w:val="20"/>
        </w:rPr>
        <w:t xml:space="preserve"> systémy riadenia verejných financií</w:t>
      </w:r>
      <w:bookmarkEnd w:id="483"/>
      <w:bookmarkEnd w:id="484"/>
      <w:bookmarkEnd w:id="485"/>
      <w:bookmarkEnd w:id="486"/>
      <w:bookmarkEnd w:id="487"/>
      <w:bookmarkEnd w:id="488"/>
      <w:bookmarkEnd w:id="489"/>
      <w:bookmarkEnd w:id="490"/>
    </w:p>
    <w:tbl>
      <w:tblPr>
        <w:tblW w:w="5000" w:type="pct"/>
        <w:tblCellMar>
          <w:left w:w="70" w:type="dxa"/>
          <w:right w:w="70" w:type="dxa"/>
        </w:tblCellMar>
        <w:tblLook w:val="04A0" w:firstRow="1" w:lastRow="0" w:firstColumn="1" w:lastColumn="0" w:noHBand="0" w:noVBand="1"/>
      </w:tblPr>
      <w:tblGrid>
        <w:gridCol w:w="3846"/>
        <w:gridCol w:w="746"/>
        <w:gridCol w:w="746"/>
        <w:gridCol w:w="746"/>
        <w:gridCol w:w="747"/>
        <w:gridCol w:w="747"/>
        <w:gridCol w:w="747"/>
        <w:gridCol w:w="747"/>
      </w:tblGrid>
      <w:tr w:rsidR="00AA17E3" w:rsidRPr="00581B2A" w:rsidTr="00AA17E3">
        <w:trPr>
          <w:trHeight w:val="330"/>
        </w:trPr>
        <w:tc>
          <w:tcPr>
            <w:tcW w:w="1875"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v tis. eur</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2019 S</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2020 S</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2021 R</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2021 OS</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2022 N</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2023 N</w:t>
            </w:r>
          </w:p>
        </w:tc>
        <w:tc>
          <w:tcPr>
            <w:tcW w:w="446" w:type="pct"/>
            <w:tcBorders>
              <w:top w:val="single" w:sz="4" w:space="0" w:color="auto"/>
              <w:left w:val="nil"/>
              <w:bottom w:val="single" w:sz="4" w:space="0" w:color="auto"/>
              <w:right w:val="nil"/>
            </w:tcBorders>
            <w:shd w:val="clear" w:color="000000" w:fill="FFFFFF"/>
            <w:noWrap/>
            <w:vAlign w:val="center"/>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2024 N</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Informačné systémy riadenia verejných financií</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168 581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128 941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120 163</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138 220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124 194</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125 239</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b/>
                <w:bCs/>
                <w:sz w:val="16"/>
                <w:szCs w:val="16"/>
                <w:lang w:eastAsia="sk-SK"/>
              </w:rPr>
            </w:pPr>
            <w:r w:rsidRPr="00581B2A">
              <w:rPr>
                <w:rFonts w:ascii="Times New Roman" w:eastAsia="Times New Roman" w:hAnsi="Times New Roman" w:cs="Times New Roman"/>
                <w:b/>
                <w:bCs/>
                <w:sz w:val="16"/>
                <w:szCs w:val="16"/>
                <w:lang w:eastAsia="sk-SK"/>
              </w:rPr>
              <w:t>127 896</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Centrálne licenčné zmluvné vzťahy</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21 061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17 753</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21 717</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20 340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19 438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19 813</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19 787</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Podporná infraštruktúra</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17 311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13 536</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17 738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17 256</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19 022</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21 090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22 200</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 xml:space="preserve">Podporná infraštruktúra pre IS </w:t>
            </w:r>
            <w:r>
              <w:rPr>
                <w:rFonts w:ascii="Times New Roman" w:eastAsia="Times New Roman" w:hAnsi="Times New Roman" w:cs="Times New Roman"/>
                <w:sz w:val="16"/>
                <w:szCs w:val="16"/>
                <w:lang w:eastAsia="sk-SK"/>
              </w:rPr>
              <w:t>riadenia verejných financií</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25 693</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21 193</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18 789</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18 054</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18 789</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18 789</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18 789</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IS pre systém štátnej pokladnice</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24 332</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13 512</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14 707</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14 868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14 873</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14 870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14 876</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Rozpočtový informačný systém</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8 164</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8 158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7 241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7 761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8 681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8 681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8 681</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Portál finančnej správy</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3 029</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4 728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6 689</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5 734</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6 882</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Centrálny elektronický priečinok</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2 851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9 378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4 414</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4 668</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3 349</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Vybudovanie nosnej infraštruktúry</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3 695</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3 695</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3 695</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Centrálny účtovný systém</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13 046</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7 474</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3 610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6 311</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3 192</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2 050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2 050</w:t>
            </w:r>
          </w:p>
        </w:tc>
      </w:tr>
      <w:tr w:rsidR="00AA17E3" w:rsidRPr="00581B2A" w:rsidTr="00AA17E3">
        <w:trPr>
          <w:trHeight w:val="330"/>
        </w:trPr>
        <w:tc>
          <w:tcPr>
            <w:tcW w:w="1875" w:type="pct"/>
            <w:tcBorders>
              <w:top w:val="nil"/>
              <w:left w:val="nil"/>
              <w:bottom w:val="nil"/>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eKasa</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0</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2 035</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2 035</w:t>
            </w:r>
          </w:p>
        </w:tc>
        <w:tc>
          <w:tcPr>
            <w:tcW w:w="446" w:type="pct"/>
            <w:tcBorders>
              <w:top w:val="nil"/>
              <w:left w:val="nil"/>
              <w:bottom w:val="nil"/>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2 035</w:t>
            </w:r>
          </w:p>
        </w:tc>
      </w:tr>
      <w:tr w:rsidR="00AA17E3" w:rsidRPr="00581B2A" w:rsidTr="00AA17E3">
        <w:trPr>
          <w:trHeight w:val="330"/>
        </w:trPr>
        <w:tc>
          <w:tcPr>
            <w:tcW w:w="1875" w:type="pct"/>
            <w:tcBorders>
              <w:top w:val="nil"/>
              <w:left w:val="nil"/>
              <w:bottom w:val="single" w:sz="4" w:space="0" w:color="auto"/>
              <w:right w:val="nil"/>
            </w:tcBorders>
            <w:shd w:val="clear" w:color="000000" w:fill="FFFFFF"/>
            <w:noWrap/>
            <w:vAlign w:val="bottom"/>
            <w:hideMark/>
          </w:tcPr>
          <w:p w:rsidR="00AA17E3" w:rsidRPr="00581B2A" w:rsidRDefault="00AA17E3" w:rsidP="00AA17E3">
            <w:pPr>
              <w:spacing w:after="0" w:line="240" w:lineRule="auto"/>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Iné</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58 975</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47 315</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30 482</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39 523</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23 366</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23 814</w:t>
            </w:r>
          </w:p>
        </w:tc>
        <w:tc>
          <w:tcPr>
            <w:tcW w:w="446" w:type="pct"/>
            <w:tcBorders>
              <w:top w:val="nil"/>
              <w:left w:val="nil"/>
              <w:bottom w:val="single" w:sz="4" w:space="0" w:color="auto"/>
              <w:right w:val="nil"/>
            </w:tcBorders>
            <w:shd w:val="clear" w:color="000000" w:fill="FFFFFF"/>
            <w:vAlign w:val="bottom"/>
            <w:hideMark/>
          </w:tcPr>
          <w:p w:rsidR="00AA17E3" w:rsidRPr="00581B2A" w:rsidRDefault="00AA17E3" w:rsidP="00AA17E3">
            <w:pPr>
              <w:spacing w:after="0" w:line="240" w:lineRule="auto"/>
              <w:jc w:val="right"/>
              <w:rPr>
                <w:rFonts w:ascii="Times New Roman" w:eastAsia="Times New Roman" w:hAnsi="Times New Roman" w:cs="Times New Roman"/>
                <w:sz w:val="16"/>
                <w:szCs w:val="16"/>
                <w:lang w:eastAsia="sk-SK"/>
              </w:rPr>
            </w:pPr>
            <w:r w:rsidRPr="00581B2A">
              <w:rPr>
                <w:rFonts w:ascii="Times New Roman" w:eastAsia="Times New Roman" w:hAnsi="Times New Roman" w:cs="Times New Roman"/>
                <w:sz w:val="16"/>
                <w:szCs w:val="16"/>
                <w:lang w:eastAsia="sk-SK"/>
              </w:rPr>
              <w:t>25 552</w:t>
            </w:r>
          </w:p>
        </w:tc>
      </w:tr>
    </w:tbl>
    <w:p w:rsidR="00AA17E3" w:rsidRPr="00A273CE" w:rsidRDefault="00AA17E3" w:rsidP="00A273CE">
      <w:pPr>
        <w:spacing w:after="0" w:line="240" w:lineRule="auto"/>
        <w:jc w:val="right"/>
        <w:rPr>
          <w:rFonts w:ascii="Times New Roman" w:hAnsi="Times New Roman" w:cs="Times New Roman"/>
          <w:i/>
          <w:iCs/>
          <w:sz w:val="16"/>
          <w:szCs w:val="16"/>
        </w:rPr>
      </w:pPr>
      <w:r>
        <w:rPr>
          <w:rFonts w:ascii="Times New Roman" w:hAnsi="Times New Roman" w:cs="Times New Roman"/>
          <w:i/>
          <w:iCs/>
          <w:sz w:val="16"/>
          <w:szCs w:val="16"/>
        </w:rPr>
        <w:t>Zdroj: MF SR</w:t>
      </w:r>
      <w:r w:rsidR="00A273CE">
        <w:rPr>
          <w:rFonts w:ascii="Times New Roman" w:hAnsi="Times New Roman" w:cs="Times New Roman"/>
          <w:i/>
          <w:sz w:val="16"/>
          <w:szCs w:val="16"/>
        </w:rPr>
        <w:t xml:space="preserve"> </w:t>
      </w:r>
      <w:r w:rsidRPr="00515919">
        <w:rPr>
          <w:rFonts w:ascii="Times New Roman" w:hAnsi="Times New Roman" w:cs="Times New Roman"/>
          <w:i/>
          <w:sz w:val="16"/>
          <w:szCs w:val="16"/>
        </w:rPr>
        <w:t xml:space="preserve">          </w:t>
      </w:r>
    </w:p>
    <w:p w:rsidR="00A273CE" w:rsidRDefault="00A273CE"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sidRPr="008D0441">
        <w:rPr>
          <w:rFonts w:ascii="Times New Roman" w:hAnsi="Times New Roman" w:cs="Times New Roman"/>
          <w:sz w:val="24"/>
          <w:szCs w:val="24"/>
        </w:rPr>
        <w:t>Štruktúra a medziročné porovna</w:t>
      </w:r>
      <w:r>
        <w:rPr>
          <w:rFonts w:ascii="Times New Roman" w:hAnsi="Times New Roman" w:cs="Times New Roman"/>
          <w:sz w:val="24"/>
          <w:szCs w:val="24"/>
        </w:rPr>
        <w:t>nie výdavkov na uvedenú oblasť od</w:t>
      </w:r>
      <w:r w:rsidRPr="008D0441">
        <w:rPr>
          <w:rFonts w:ascii="Times New Roman" w:hAnsi="Times New Roman" w:cs="Times New Roman"/>
          <w:sz w:val="24"/>
          <w:szCs w:val="24"/>
        </w:rPr>
        <w:t xml:space="preserve"> roku 2022 sú ovplyvnené novým prístupom k rozpočtovaniu výdavkov na informačné technológie, ktoré realizovala finančná správa v nadväznosti na nové metodické usmernenie </w:t>
      </w:r>
      <w:r w:rsidRPr="00536E61">
        <w:rPr>
          <w:rFonts w:ascii="Times New Roman" w:hAnsi="Times New Roman" w:cs="Times New Roman"/>
          <w:sz w:val="24"/>
          <w:szCs w:val="24"/>
        </w:rPr>
        <w:t>Ministerstv</w:t>
      </w:r>
      <w:r>
        <w:rPr>
          <w:rFonts w:ascii="Times New Roman" w:hAnsi="Times New Roman" w:cs="Times New Roman"/>
          <w:sz w:val="24"/>
          <w:szCs w:val="24"/>
        </w:rPr>
        <w:t>a</w:t>
      </w:r>
      <w:r w:rsidRPr="00536E61">
        <w:rPr>
          <w:rFonts w:ascii="Times New Roman" w:hAnsi="Times New Roman" w:cs="Times New Roman"/>
          <w:sz w:val="24"/>
          <w:szCs w:val="24"/>
        </w:rPr>
        <w:t xml:space="preserve"> investícií, regionálneho rozvoja a informatizácie SR</w:t>
      </w:r>
      <w:r>
        <w:rPr>
          <w:rFonts w:ascii="Times New Roman" w:hAnsi="Times New Roman" w:cs="Times New Roman"/>
          <w:sz w:val="24"/>
          <w:szCs w:val="24"/>
        </w:rPr>
        <w:t xml:space="preserve"> </w:t>
      </w:r>
      <w:r w:rsidRPr="008D0441">
        <w:rPr>
          <w:rFonts w:ascii="Times New Roman" w:hAnsi="Times New Roman" w:cs="Times New Roman"/>
          <w:sz w:val="24"/>
          <w:szCs w:val="24"/>
        </w:rPr>
        <w:t>k</w:t>
      </w:r>
      <w:r>
        <w:rPr>
          <w:rFonts w:ascii="Times New Roman" w:hAnsi="Times New Roman" w:cs="Times New Roman"/>
          <w:sz w:val="24"/>
          <w:szCs w:val="24"/>
        </w:rPr>
        <w:t xml:space="preserve"> medzirezortnému </w:t>
      </w:r>
      <w:r w:rsidRPr="008D0441">
        <w:rPr>
          <w:rFonts w:ascii="Times New Roman" w:hAnsi="Times New Roman" w:cs="Times New Roman"/>
          <w:sz w:val="24"/>
          <w:szCs w:val="24"/>
        </w:rPr>
        <w:t>programu Informačné technológie f</w:t>
      </w:r>
      <w:r>
        <w:rPr>
          <w:rFonts w:ascii="Times New Roman" w:hAnsi="Times New Roman" w:cs="Times New Roman"/>
          <w:sz w:val="24"/>
          <w:szCs w:val="24"/>
        </w:rPr>
        <w:t>inancované zo štátneho rozpočtu, čím sú v</w:t>
      </w:r>
      <w:r w:rsidRPr="008D0441">
        <w:rPr>
          <w:rFonts w:ascii="Times New Roman" w:hAnsi="Times New Roman" w:cs="Times New Roman"/>
          <w:sz w:val="24"/>
          <w:szCs w:val="24"/>
        </w:rPr>
        <w:t xml:space="preserve">ýdavky alokované </w:t>
      </w:r>
      <w:r>
        <w:rPr>
          <w:rFonts w:ascii="Times New Roman" w:hAnsi="Times New Roman" w:cs="Times New Roman"/>
          <w:sz w:val="24"/>
          <w:szCs w:val="24"/>
        </w:rPr>
        <w:t>do viac ako 40 samostatných prvkov. Medziročné zvýšenie výdavkov o 4,03 mil. eur je ovplyvnené  najmä zapracovaním</w:t>
      </w:r>
      <w:r w:rsidRPr="006D5A62">
        <w:rPr>
          <w:rFonts w:ascii="Times New Roman" w:hAnsi="Times New Roman" w:cs="Times New Roman"/>
          <w:sz w:val="24"/>
          <w:szCs w:val="24"/>
        </w:rPr>
        <w:t xml:space="preserve"> nových funkcionalít informačných systémov</w:t>
      </w:r>
      <w:r>
        <w:rPr>
          <w:rFonts w:ascii="Times New Roman" w:hAnsi="Times New Roman" w:cs="Times New Roman"/>
          <w:sz w:val="24"/>
          <w:szCs w:val="24"/>
        </w:rPr>
        <w:t xml:space="preserve"> napr. v oblasti komunikácie finančnej správy s daňovníkmi.</w:t>
      </w:r>
    </w:p>
    <w:p w:rsidR="00AA17E3"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8D0441">
        <w:rPr>
          <w:rFonts w:ascii="Times New Roman" w:hAnsi="Times New Roman" w:cs="Times New Roman"/>
          <w:sz w:val="24"/>
          <w:szCs w:val="24"/>
        </w:rPr>
        <w:t xml:space="preserve">ajvyššie výdavky </w:t>
      </w:r>
      <w:r>
        <w:rPr>
          <w:rFonts w:ascii="Times New Roman" w:hAnsi="Times New Roman" w:cs="Times New Roman"/>
          <w:sz w:val="24"/>
          <w:szCs w:val="24"/>
        </w:rPr>
        <w:t xml:space="preserve">sú rozpočtované na </w:t>
      </w:r>
      <w:r w:rsidRPr="008D0441">
        <w:rPr>
          <w:rFonts w:ascii="Times New Roman" w:hAnsi="Times New Roman" w:cs="Times New Roman"/>
          <w:sz w:val="24"/>
          <w:szCs w:val="24"/>
        </w:rPr>
        <w:t>Centrálne licenčné zmluvné vzťahy</w:t>
      </w:r>
      <w:r>
        <w:rPr>
          <w:rFonts w:ascii="Times New Roman" w:hAnsi="Times New Roman" w:cs="Times New Roman"/>
          <w:sz w:val="24"/>
          <w:szCs w:val="24"/>
        </w:rPr>
        <w:t xml:space="preserve">, ktorými sa zabezpečujú softwérové licencie a ich podpora, výdavky na Podpornú infraštruktúru, určené na všeobecnú infraštruktúru potrebnú pre zamestnancov, </w:t>
      </w:r>
      <w:r w:rsidRPr="008D0441">
        <w:rPr>
          <w:rFonts w:ascii="Times New Roman" w:hAnsi="Times New Roman" w:cs="Times New Roman"/>
          <w:sz w:val="24"/>
          <w:szCs w:val="24"/>
        </w:rPr>
        <w:t>Podpornú infraštruktúru pre</w:t>
      </w:r>
      <w:r>
        <w:rPr>
          <w:rFonts w:ascii="Times New Roman" w:hAnsi="Times New Roman" w:cs="Times New Roman"/>
          <w:sz w:val="24"/>
          <w:szCs w:val="24"/>
        </w:rPr>
        <w:t xml:space="preserve"> IS riadenia verejných financií,</w:t>
      </w:r>
      <w:r w:rsidRPr="008D0441">
        <w:rPr>
          <w:rFonts w:ascii="Times New Roman" w:hAnsi="Times New Roman" w:cs="Times New Roman"/>
          <w:sz w:val="24"/>
          <w:szCs w:val="24"/>
        </w:rPr>
        <w:t xml:space="preserve"> </w:t>
      </w:r>
      <w:r>
        <w:rPr>
          <w:rFonts w:ascii="Times New Roman" w:hAnsi="Times New Roman" w:cs="Times New Roman"/>
          <w:sz w:val="24"/>
          <w:szCs w:val="24"/>
        </w:rPr>
        <w:t>na Informačný systém pre systém štátnej pokladnice, ktorým sa zabezpečuje realizácia rozpočtov, vykonávanie platobných operácií a ďalšia elektronická komunikácia klientov so Štátnou pokladnicou,</w:t>
      </w:r>
      <w:r w:rsidRPr="00B317E7">
        <w:rPr>
          <w:rFonts w:ascii="Times New Roman" w:hAnsi="Times New Roman" w:cs="Times New Roman"/>
          <w:sz w:val="24"/>
          <w:szCs w:val="24"/>
        </w:rPr>
        <w:t xml:space="preserve"> Rozpočtový informačný systém, ktorý je určený na zostavenie, plnenie a kontrolu rozpočtu verejnej správy, Portál finančnej správy, ktorý slúži na elektronickú komunikáciu daňovníkov s finančnou správou.  </w:t>
      </w:r>
    </w:p>
    <w:p w:rsidR="00AA17E3"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Výdavkami na i</w:t>
      </w:r>
      <w:r w:rsidRPr="005121EE">
        <w:rPr>
          <w:rFonts w:ascii="Times New Roman" w:hAnsi="Times New Roman" w:cs="Times New Roman"/>
          <w:sz w:val="24"/>
          <w:szCs w:val="24"/>
        </w:rPr>
        <w:t>nformačné systémy riadenia verejných financií</w:t>
      </w:r>
      <w:r>
        <w:rPr>
          <w:rFonts w:ascii="Times New Roman" w:hAnsi="Times New Roman" w:cs="Times New Roman"/>
          <w:sz w:val="24"/>
          <w:szCs w:val="24"/>
        </w:rPr>
        <w:t xml:space="preserve"> sa zabezpečuje </w:t>
      </w:r>
      <w:r w:rsidRPr="008D0441">
        <w:rPr>
          <w:rFonts w:ascii="Times New Roman" w:hAnsi="Times New Roman" w:cs="Times New Roman"/>
          <w:sz w:val="24"/>
          <w:szCs w:val="24"/>
        </w:rPr>
        <w:t>najmä  rutinn</w:t>
      </w:r>
      <w:r>
        <w:rPr>
          <w:rFonts w:ascii="Times New Roman" w:hAnsi="Times New Roman" w:cs="Times New Roman"/>
          <w:sz w:val="24"/>
          <w:szCs w:val="24"/>
        </w:rPr>
        <w:t>á</w:t>
      </w:r>
      <w:r w:rsidRPr="008D0441">
        <w:rPr>
          <w:rFonts w:ascii="Times New Roman" w:hAnsi="Times New Roman" w:cs="Times New Roman"/>
          <w:sz w:val="24"/>
          <w:szCs w:val="24"/>
        </w:rPr>
        <w:t xml:space="preserve"> a štandard</w:t>
      </w:r>
      <w:r>
        <w:rPr>
          <w:rFonts w:ascii="Times New Roman" w:hAnsi="Times New Roman" w:cs="Times New Roman"/>
          <w:sz w:val="24"/>
          <w:szCs w:val="24"/>
        </w:rPr>
        <w:t>ná údržba</w:t>
      </w:r>
      <w:r w:rsidRPr="008D0441">
        <w:rPr>
          <w:rFonts w:ascii="Times New Roman" w:hAnsi="Times New Roman" w:cs="Times New Roman"/>
          <w:sz w:val="24"/>
          <w:szCs w:val="24"/>
        </w:rPr>
        <w:t xml:space="preserve"> softvéru, služby</w:t>
      </w:r>
      <w:r>
        <w:rPr>
          <w:rFonts w:ascii="Times New Roman" w:hAnsi="Times New Roman" w:cs="Times New Roman"/>
          <w:sz w:val="24"/>
          <w:szCs w:val="24"/>
        </w:rPr>
        <w:t xml:space="preserve"> </w:t>
      </w:r>
      <w:r w:rsidRPr="008D0441">
        <w:rPr>
          <w:rFonts w:ascii="Times New Roman" w:hAnsi="Times New Roman" w:cs="Times New Roman"/>
          <w:sz w:val="24"/>
          <w:szCs w:val="24"/>
        </w:rPr>
        <w:t xml:space="preserve">v oblasti informačno-komunikačných technológií a </w:t>
      </w:r>
      <w:r>
        <w:rPr>
          <w:rFonts w:ascii="Times New Roman" w:hAnsi="Times New Roman" w:cs="Times New Roman"/>
          <w:sz w:val="24"/>
          <w:szCs w:val="24"/>
        </w:rPr>
        <w:t>obstaranie a rekonštrukcia</w:t>
      </w:r>
      <w:r w:rsidRPr="008D0441">
        <w:rPr>
          <w:rFonts w:ascii="Times New Roman" w:hAnsi="Times New Roman" w:cs="Times New Roman"/>
          <w:sz w:val="24"/>
          <w:szCs w:val="24"/>
        </w:rPr>
        <w:t xml:space="preserve"> softvéru, komunikačnej infraštruktúry a  výpočtovej techniky.</w:t>
      </w:r>
      <w:r>
        <w:rPr>
          <w:rFonts w:ascii="Times New Roman" w:hAnsi="Times New Roman" w:cs="Times New Roman"/>
          <w:sz w:val="24"/>
          <w:szCs w:val="24"/>
        </w:rPr>
        <w:t xml:space="preserve"> </w:t>
      </w:r>
    </w:p>
    <w:p w:rsidR="00AA17E3" w:rsidRPr="00515919" w:rsidRDefault="00AA17E3" w:rsidP="00AA17E3">
      <w:pPr>
        <w:keepNext/>
        <w:spacing w:after="0" w:line="240" w:lineRule="auto"/>
        <w:rPr>
          <w:rFonts w:ascii="Times New Roman" w:hAnsi="Times New Roman" w:cs="Times New Roman"/>
          <w:b/>
          <w:iCs/>
          <w:color w:val="5B9BD5" w:themeColor="accent1"/>
          <w:sz w:val="20"/>
          <w:szCs w:val="20"/>
        </w:rPr>
      </w:pPr>
    </w:p>
    <w:p w:rsidR="00AA17E3" w:rsidRPr="00515919" w:rsidRDefault="00AA17E3" w:rsidP="00AA17E3">
      <w:pPr>
        <w:spacing w:after="0" w:line="240" w:lineRule="auto"/>
        <w:rPr>
          <w:rFonts w:ascii="Times New Roman" w:hAnsi="Times New Roman" w:cs="Times New Roman"/>
          <w:i/>
          <w:sz w:val="16"/>
          <w:szCs w:val="16"/>
        </w:rPr>
      </w:pPr>
      <w:r w:rsidRPr="00515919">
        <w:rPr>
          <w:rFonts w:ascii="Times New Roman" w:hAnsi="Times New Roman" w:cs="Times New Roman"/>
          <w:b/>
          <w:color w:val="5B9BD5" w:themeColor="accent1"/>
          <w:sz w:val="24"/>
          <w:szCs w:val="24"/>
        </w:rPr>
        <w:t>Inštitucionálna podpora a kontrola a ostatné činnosti</w:t>
      </w: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p>
    <w:p w:rsidR="00AA17E3" w:rsidRDefault="00AA17E3" w:rsidP="00AA17E3">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Výdavkami na inštitucionálnu podporu a kontrolu a ostatné činnosti sa zabezpečujú odborné činnosti a prevádzka Úradu vládneho auditu, Vzdelávacieho a doškoľovacieho zariadenia VS - Financie Tatranská Lomnica, Agentúry pre riadenie dlhu a likvidity, Štátnej pokladnice, DataCentra, Úradu pre reguláciu hazardných hier a úradu M</w:t>
      </w:r>
      <w:r>
        <w:rPr>
          <w:rFonts w:ascii="Times New Roman" w:hAnsi="Times New Roman" w:cs="Times New Roman"/>
          <w:sz w:val="24"/>
          <w:szCs w:val="24"/>
        </w:rPr>
        <w:t>inisterstva financií</w:t>
      </w:r>
      <w:r w:rsidRPr="00515919">
        <w:rPr>
          <w:rFonts w:ascii="Times New Roman" w:hAnsi="Times New Roman" w:cs="Times New Roman"/>
          <w:sz w:val="24"/>
          <w:szCs w:val="24"/>
        </w:rPr>
        <w:t xml:space="preserve"> SR.</w:t>
      </w: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491" w:name="_Toc52913411"/>
      <w:bookmarkStart w:id="492" w:name="_Toc52978208"/>
      <w:bookmarkStart w:id="493" w:name="_Toc53054177"/>
      <w:bookmarkStart w:id="494" w:name="_Toc53054838"/>
      <w:bookmarkStart w:id="495" w:name="_Toc53078030"/>
      <w:bookmarkStart w:id="496" w:name="_Toc53086432"/>
      <w:bookmarkStart w:id="497" w:name="_Toc84528457"/>
      <w:bookmarkStart w:id="498" w:name="_Toc84845333"/>
      <w:r w:rsidRPr="00BA5BCF">
        <w:rPr>
          <w:rFonts w:ascii="Times New Roman" w:hAnsi="Times New Roman" w:cs="Times New Roman"/>
          <w:b/>
          <w:iCs/>
          <w:color w:val="5B9BD5" w:themeColor="accent1"/>
          <w:sz w:val="20"/>
          <w:szCs w:val="20"/>
        </w:rPr>
        <w:t xml:space="preserve">Tabuľka </w:t>
      </w:r>
      <w:r w:rsidRPr="00BA5BCF">
        <w:rPr>
          <w:rFonts w:ascii="Times New Roman" w:hAnsi="Times New Roman" w:cs="Times New Roman"/>
          <w:b/>
          <w:iCs/>
          <w:color w:val="5B9BD5" w:themeColor="accent1"/>
          <w:sz w:val="20"/>
          <w:szCs w:val="20"/>
        </w:rPr>
        <w:fldChar w:fldCharType="begin"/>
      </w:r>
      <w:r w:rsidRPr="00BA5BCF">
        <w:rPr>
          <w:rFonts w:ascii="Times New Roman" w:hAnsi="Times New Roman" w:cs="Times New Roman"/>
          <w:b/>
          <w:iCs/>
          <w:color w:val="5B9BD5" w:themeColor="accent1"/>
          <w:sz w:val="20"/>
          <w:szCs w:val="20"/>
        </w:rPr>
        <w:instrText xml:space="preserve"> SEQ Tabuľka \* ARABIC </w:instrText>
      </w:r>
      <w:r w:rsidRPr="00BA5BCF">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109</w:t>
      </w:r>
      <w:r w:rsidRPr="00BA5BCF">
        <w:rPr>
          <w:rFonts w:ascii="Times New Roman" w:hAnsi="Times New Roman" w:cs="Times New Roman"/>
          <w:b/>
          <w:iCs/>
          <w:color w:val="5B9BD5" w:themeColor="accent1"/>
          <w:sz w:val="20"/>
          <w:szCs w:val="20"/>
        </w:rPr>
        <w:fldChar w:fldCharType="end"/>
      </w:r>
      <w:r w:rsidRPr="00BA5BCF">
        <w:rPr>
          <w:rFonts w:ascii="Times New Roman" w:hAnsi="Times New Roman" w:cs="Times New Roman"/>
          <w:b/>
          <w:iCs/>
          <w:color w:val="5B9BD5" w:themeColor="accent1"/>
          <w:sz w:val="20"/>
          <w:szCs w:val="20"/>
        </w:rPr>
        <w:t xml:space="preserve"> </w:t>
      </w:r>
      <w:r w:rsidR="003360AD">
        <w:rPr>
          <w:rFonts w:ascii="Times New Roman" w:hAnsi="Times New Roman" w:cs="Times New Roman"/>
          <w:b/>
          <w:iCs/>
          <w:color w:val="5B9BD5" w:themeColor="accent1"/>
          <w:sz w:val="20"/>
          <w:szCs w:val="20"/>
        </w:rPr>
        <w:t>–</w:t>
      </w:r>
      <w:r w:rsidRPr="00BA5BCF">
        <w:rPr>
          <w:rFonts w:ascii="Times New Roman" w:hAnsi="Times New Roman" w:cs="Times New Roman"/>
          <w:b/>
          <w:iCs/>
          <w:color w:val="5B9BD5" w:themeColor="accent1"/>
          <w:sz w:val="20"/>
          <w:szCs w:val="20"/>
        </w:rPr>
        <w:t xml:space="preserve"> </w:t>
      </w:r>
      <w:r w:rsidR="003360AD">
        <w:rPr>
          <w:rFonts w:ascii="Times New Roman" w:hAnsi="Times New Roman" w:cs="Times New Roman"/>
          <w:b/>
          <w:iCs/>
          <w:color w:val="5B9BD5" w:themeColor="accent1"/>
          <w:sz w:val="20"/>
          <w:szCs w:val="20"/>
        </w:rPr>
        <w:t>Výdavky na inštitucionálnu podporu a kontrolu</w:t>
      </w:r>
      <w:r w:rsidRPr="00515919">
        <w:rPr>
          <w:rFonts w:ascii="Times New Roman" w:hAnsi="Times New Roman" w:cs="Times New Roman"/>
          <w:b/>
          <w:iCs/>
          <w:color w:val="5B9BD5" w:themeColor="accent1"/>
          <w:sz w:val="20"/>
          <w:szCs w:val="20"/>
        </w:rPr>
        <w:t xml:space="preserve"> a ostatné činnosti</w:t>
      </w:r>
      <w:bookmarkEnd w:id="491"/>
      <w:bookmarkEnd w:id="492"/>
      <w:bookmarkEnd w:id="493"/>
      <w:bookmarkEnd w:id="494"/>
      <w:bookmarkEnd w:id="495"/>
      <w:bookmarkEnd w:id="496"/>
      <w:bookmarkEnd w:id="497"/>
      <w:bookmarkEnd w:id="498"/>
    </w:p>
    <w:tbl>
      <w:tblPr>
        <w:tblW w:w="5000" w:type="pct"/>
        <w:tblCellMar>
          <w:left w:w="70" w:type="dxa"/>
          <w:right w:w="70" w:type="dxa"/>
        </w:tblCellMar>
        <w:tblLook w:val="04A0" w:firstRow="1" w:lastRow="0" w:firstColumn="1" w:lastColumn="0" w:noHBand="0" w:noVBand="1"/>
      </w:tblPr>
      <w:tblGrid>
        <w:gridCol w:w="3903"/>
        <w:gridCol w:w="738"/>
        <w:gridCol w:w="738"/>
        <w:gridCol w:w="738"/>
        <w:gridCol w:w="738"/>
        <w:gridCol w:w="739"/>
        <w:gridCol w:w="739"/>
        <w:gridCol w:w="739"/>
      </w:tblGrid>
      <w:tr w:rsidR="00AA17E3" w:rsidRPr="008D0441" w:rsidTr="00AA17E3">
        <w:trPr>
          <w:trHeight w:val="300"/>
        </w:trPr>
        <w:tc>
          <w:tcPr>
            <w:tcW w:w="1744"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v eurách</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2019 S</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2020 S</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2021 R</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2021 OS</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2022 N</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2023 N</w:t>
            </w:r>
          </w:p>
        </w:tc>
        <w:tc>
          <w:tcPr>
            <w:tcW w:w="465" w:type="pct"/>
            <w:tcBorders>
              <w:top w:val="single" w:sz="4" w:space="0" w:color="auto"/>
              <w:left w:val="nil"/>
              <w:bottom w:val="single" w:sz="4" w:space="0" w:color="auto"/>
              <w:right w:val="nil"/>
            </w:tcBorders>
            <w:shd w:val="clear" w:color="000000" w:fill="FFFFFF"/>
            <w:noWrap/>
            <w:vAlign w:val="center"/>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2024 N</w:t>
            </w:r>
          </w:p>
        </w:tc>
      </w:tr>
      <w:tr w:rsidR="00AA17E3" w:rsidRPr="008D0441" w:rsidTr="00AA17E3">
        <w:trPr>
          <w:trHeight w:val="300"/>
        </w:trPr>
        <w:tc>
          <w:tcPr>
            <w:tcW w:w="1744" w:type="pct"/>
            <w:tcBorders>
              <w:top w:val="nil"/>
              <w:left w:val="nil"/>
              <w:bottom w:val="nil"/>
              <w:right w:val="nil"/>
            </w:tcBorders>
            <w:shd w:val="clear" w:color="auto" w:fill="auto"/>
            <w:noWrap/>
            <w:vAlign w:val="bottom"/>
            <w:hideMark/>
          </w:tcPr>
          <w:p w:rsidR="00AA17E3" w:rsidRPr="008D0441" w:rsidRDefault="00AA17E3" w:rsidP="00AA17E3">
            <w:pPr>
              <w:spacing w:after="0" w:line="240" w:lineRule="auto"/>
              <w:rPr>
                <w:rFonts w:ascii="Times New Roman" w:eastAsia="Times New Roman" w:hAnsi="Times New Roman" w:cs="Times New Roman"/>
                <w:b/>
                <w:bCs/>
                <w:color w:val="000000"/>
                <w:sz w:val="16"/>
                <w:szCs w:val="16"/>
                <w:lang w:eastAsia="sk-SK"/>
              </w:rPr>
            </w:pPr>
            <w:r w:rsidRPr="008D0441">
              <w:rPr>
                <w:rFonts w:ascii="Times New Roman" w:eastAsia="Times New Roman" w:hAnsi="Times New Roman" w:cs="Times New Roman"/>
                <w:b/>
                <w:bCs/>
                <w:color w:val="000000"/>
                <w:sz w:val="16"/>
                <w:szCs w:val="16"/>
                <w:lang w:eastAsia="sk-SK"/>
              </w:rPr>
              <w:t>Inštitucionálna podpora a kontrola</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85 570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100 770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86 738</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140 766</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93 810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93 621</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b/>
                <w:bCs/>
                <w:sz w:val="16"/>
                <w:szCs w:val="16"/>
                <w:lang w:eastAsia="sk-SK"/>
              </w:rPr>
            </w:pPr>
            <w:r w:rsidRPr="008D0441">
              <w:rPr>
                <w:rFonts w:ascii="Times New Roman" w:eastAsia="Times New Roman" w:hAnsi="Times New Roman" w:cs="Times New Roman"/>
                <w:b/>
                <w:bCs/>
                <w:sz w:val="16"/>
                <w:szCs w:val="16"/>
                <w:lang w:eastAsia="sk-SK"/>
              </w:rPr>
              <w:t>87 076</w:t>
            </w:r>
          </w:p>
        </w:tc>
      </w:tr>
      <w:tr w:rsidR="00AA17E3" w:rsidRPr="008D0441" w:rsidTr="00AA17E3">
        <w:trPr>
          <w:trHeight w:val="300"/>
        </w:trPr>
        <w:tc>
          <w:tcPr>
            <w:tcW w:w="1744" w:type="pct"/>
            <w:tcBorders>
              <w:top w:val="nil"/>
              <w:left w:val="nil"/>
              <w:bottom w:val="nil"/>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Úrad vládneho auditu</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5 106</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5 671</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4 922</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4 892</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4 863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4 865</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4 865</w:t>
            </w:r>
          </w:p>
        </w:tc>
      </w:tr>
      <w:tr w:rsidR="00AA17E3" w:rsidRPr="008D0441" w:rsidTr="00AA17E3">
        <w:trPr>
          <w:trHeight w:val="300"/>
        </w:trPr>
        <w:tc>
          <w:tcPr>
            <w:tcW w:w="1744" w:type="pct"/>
            <w:tcBorders>
              <w:top w:val="nil"/>
              <w:left w:val="nil"/>
              <w:bottom w:val="nil"/>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V</w:t>
            </w:r>
            <w:r>
              <w:rPr>
                <w:rFonts w:ascii="Times New Roman" w:eastAsia="Times New Roman" w:hAnsi="Times New Roman" w:cs="Times New Roman"/>
                <w:sz w:val="16"/>
                <w:szCs w:val="16"/>
                <w:lang w:eastAsia="sk-SK"/>
              </w:rPr>
              <w:t>zdelávacie a doškolovacie zariadenie</w:t>
            </w:r>
            <w:r w:rsidRPr="008D0441">
              <w:rPr>
                <w:rFonts w:ascii="Times New Roman" w:eastAsia="Times New Roman" w:hAnsi="Times New Roman" w:cs="Times New Roman"/>
                <w:sz w:val="16"/>
                <w:szCs w:val="16"/>
                <w:lang w:eastAsia="sk-SK"/>
              </w:rPr>
              <w:t xml:space="preserve"> Tatranská Lomnica</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1 668</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1 569</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1 113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1 089</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1 093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1 103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1 103</w:t>
            </w:r>
          </w:p>
        </w:tc>
      </w:tr>
      <w:tr w:rsidR="00AA17E3" w:rsidRPr="008D0441" w:rsidTr="00AA17E3">
        <w:trPr>
          <w:trHeight w:val="300"/>
        </w:trPr>
        <w:tc>
          <w:tcPr>
            <w:tcW w:w="1744" w:type="pct"/>
            <w:tcBorders>
              <w:top w:val="nil"/>
              <w:left w:val="nil"/>
              <w:bottom w:val="nil"/>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4F29A4">
              <w:rPr>
                <w:rFonts w:ascii="Times New Roman" w:eastAsia="Times New Roman" w:hAnsi="Times New Roman" w:cs="Times New Roman"/>
                <w:sz w:val="16"/>
                <w:szCs w:val="16"/>
                <w:lang w:eastAsia="sk-SK"/>
              </w:rPr>
              <w:t>Agentúr</w:t>
            </w:r>
            <w:r>
              <w:rPr>
                <w:rFonts w:ascii="Times New Roman" w:eastAsia="Times New Roman" w:hAnsi="Times New Roman" w:cs="Times New Roman"/>
                <w:sz w:val="16"/>
                <w:szCs w:val="16"/>
                <w:lang w:eastAsia="sk-SK"/>
              </w:rPr>
              <w:t>a</w:t>
            </w:r>
            <w:r w:rsidRPr="004F29A4">
              <w:rPr>
                <w:rFonts w:ascii="Times New Roman" w:eastAsia="Times New Roman" w:hAnsi="Times New Roman" w:cs="Times New Roman"/>
                <w:sz w:val="16"/>
                <w:szCs w:val="16"/>
                <w:lang w:eastAsia="sk-SK"/>
              </w:rPr>
              <w:t xml:space="preserve"> pre riadenie dlhu a likvidity</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1 223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1 245</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1 267</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1 660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1 318</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1 330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1 313</w:t>
            </w:r>
          </w:p>
        </w:tc>
      </w:tr>
      <w:tr w:rsidR="00AA17E3" w:rsidRPr="008D0441" w:rsidTr="00AA17E3">
        <w:trPr>
          <w:trHeight w:val="300"/>
        </w:trPr>
        <w:tc>
          <w:tcPr>
            <w:tcW w:w="1744" w:type="pct"/>
            <w:tcBorders>
              <w:top w:val="nil"/>
              <w:left w:val="nil"/>
              <w:bottom w:val="nil"/>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Štátna pokladnica</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3 464</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3 752</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3 390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3 424</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3 356</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3 356</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3 356</w:t>
            </w:r>
          </w:p>
        </w:tc>
      </w:tr>
      <w:tr w:rsidR="00AA17E3" w:rsidRPr="008D0441" w:rsidTr="00AA17E3">
        <w:trPr>
          <w:trHeight w:val="300"/>
        </w:trPr>
        <w:tc>
          <w:tcPr>
            <w:tcW w:w="1744" w:type="pct"/>
            <w:tcBorders>
              <w:top w:val="nil"/>
              <w:left w:val="nil"/>
              <w:bottom w:val="nil"/>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DataCentrum</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4 870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4 911</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4 383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4 356</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4 663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4 663</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4 663</w:t>
            </w:r>
          </w:p>
        </w:tc>
      </w:tr>
      <w:tr w:rsidR="00AA17E3" w:rsidRPr="008D0441" w:rsidTr="00AA17E3">
        <w:trPr>
          <w:trHeight w:val="300"/>
        </w:trPr>
        <w:tc>
          <w:tcPr>
            <w:tcW w:w="1744" w:type="pct"/>
            <w:tcBorders>
              <w:top w:val="nil"/>
              <w:left w:val="nil"/>
              <w:bottom w:val="nil"/>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Úrad pre reguláciu hazardných hier</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2 678</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4 874</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6 860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6 860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6 770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6 760</w:t>
            </w:r>
          </w:p>
        </w:tc>
        <w:tc>
          <w:tcPr>
            <w:tcW w:w="465" w:type="pct"/>
            <w:tcBorders>
              <w:top w:val="nil"/>
              <w:left w:val="nil"/>
              <w:bottom w:val="nil"/>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7 050</w:t>
            </w:r>
          </w:p>
        </w:tc>
      </w:tr>
      <w:tr w:rsidR="00AA17E3" w:rsidRPr="008D0441" w:rsidTr="00AA17E3">
        <w:trPr>
          <w:trHeight w:val="300"/>
        </w:trPr>
        <w:tc>
          <w:tcPr>
            <w:tcW w:w="1744" w:type="pct"/>
            <w:tcBorders>
              <w:top w:val="nil"/>
              <w:left w:val="nil"/>
              <w:bottom w:val="single" w:sz="4" w:space="0" w:color="auto"/>
              <w:right w:val="nil"/>
            </w:tcBorders>
            <w:shd w:val="clear" w:color="000000" w:fill="FFFFFF"/>
            <w:noWrap/>
            <w:vAlign w:val="bottom"/>
            <w:hideMark/>
          </w:tcPr>
          <w:p w:rsidR="00AA17E3" w:rsidRPr="008D0441" w:rsidRDefault="00AA17E3" w:rsidP="00AA17E3">
            <w:pPr>
              <w:spacing w:after="0" w:line="240" w:lineRule="auto"/>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Úrad M</w:t>
            </w:r>
            <w:r>
              <w:rPr>
                <w:rFonts w:ascii="Times New Roman" w:eastAsia="Times New Roman" w:hAnsi="Times New Roman" w:cs="Times New Roman"/>
                <w:sz w:val="16"/>
                <w:szCs w:val="16"/>
                <w:lang w:eastAsia="sk-SK"/>
              </w:rPr>
              <w:t>inisterstva financií</w:t>
            </w:r>
            <w:r w:rsidRPr="008D0441">
              <w:rPr>
                <w:rFonts w:ascii="Times New Roman" w:eastAsia="Times New Roman" w:hAnsi="Times New Roman" w:cs="Times New Roman"/>
                <w:sz w:val="16"/>
                <w:szCs w:val="16"/>
                <w:lang w:eastAsia="sk-SK"/>
              </w:rPr>
              <w:t xml:space="preserve"> SR</w:t>
            </w:r>
            <w:r>
              <w:rPr>
                <w:rFonts w:ascii="Times New Roman" w:eastAsia="Times New Roman" w:hAnsi="Times New Roman" w:cs="Times New Roman"/>
                <w:sz w:val="16"/>
                <w:szCs w:val="16"/>
                <w:lang w:eastAsia="sk-SK"/>
              </w:rPr>
              <w:t xml:space="preserve">* </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66 562</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78 749</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64 804</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118 485</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71 748</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71 545</w:t>
            </w:r>
          </w:p>
        </w:tc>
        <w:tc>
          <w:tcPr>
            <w:tcW w:w="465" w:type="pct"/>
            <w:tcBorders>
              <w:top w:val="nil"/>
              <w:left w:val="nil"/>
              <w:bottom w:val="single" w:sz="4" w:space="0" w:color="auto"/>
              <w:right w:val="nil"/>
            </w:tcBorders>
            <w:shd w:val="clear" w:color="000000" w:fill="FFFFFF"/>
            <w:vAlign w:val="bottom"/>
            <w:hideMark/>
          </w:tcPr>
          <w:p w:rsidR="00AA17E3" w:rsidRPr="008D0441" w:rsidRDefault="00AA17E3" w:rsidP="00AA17E3">
            <w:pPr>
              <w:spacing w:after="0" w:line="240" w:lineRule="auto"/>
              <w:jc w:val="right"/>
              <w:rPr>
                <w:rFonts w:ascii="Times New Roman" w:eastAsia="Times New Roman" w:hAnsi="Times New Roman" w:cs="Times New Roman"/>
                <w:sz w:val="16"/>
                <w:szCs w:val="16"/>
                <w:lang w:eastAsia="sk-SK"/>
              </w:rPr>
            </w:pPr>
            <w:r w:rsidRPr="008D0441">
              <w:rPr>
                <w:rFonts w:ascii="Times New Roman" w:eastAsia="Times New Roman" w:hAnsi="Times New Roman" w:cs="Times New Roman"/>
                <w:sz w:val="16"/>
                <w:szCs w:val="16"/>
                <w:lang w:eastAsia="sk-SK"/>
              </w:rPr>
              <w:t>64 727</w:t>
            </w:r>
          </w:p>
        </w:tc>
      </w:tr>
    </w:tbl>
    <w:p w:rsidR="00AA17E3" w:rsidRPr="00515919" w:rsidRDefault="00AA17E3" w:rsidP="00AA17E3">
      <w:pPr>
        <w:spacing w:after="0" w:line="240" w:lineRule="auto"/>
        <w:rPr>
          <w:rFonts w:ascii="Times New Roman" w:hAnsi="Times New Roman" w:cs="Times New Roman"/>
          <w:i/>
          <w:iCs/>
          <w:sz w:val="16"/>
          <w:szCs w:val="16"/>
        </w:rPr>
      </w:pPr>
      <w:r>
        <w:rPr>
          <w:rFonts w:ascii="Times New Roman" w:hAnsi="Times New Roman" w:cs="Times New Roman"/>
          <w:i/>
          <w:iCs/>
          <w:sz w:val="16"/>
          <w:szCs w:val="16"/>
        </w:rPr>
        <w:t>*2021 OS vrátane výdavkov na očkovaciu lotériu a bonus v sume 42,0 mil. eur                                                                            Zdroj: MF SR</w:t>
      </w:r>
    </w:p>
    <w:p w:rsidR="00AA17E3" w:rsidRPr="00B302BE" w:rsidRDefault="00AA17E3" w:rsidP="00AA17E3">
      <w:pPr>
        <w:keepNext/>
        <w:spacing w:after="0" w:line="240" w:lineRule="auto"/>
        <w:rPr>
          <w:rFonts w:ascii="Times New Roman" w:hAnsi="Times New Roman" w:cs="Times New Roman"/>
          <w:b/>
          <w:iCs/>
          <w:color w:val="5B9BD5" w:themeColor="accent1"/>
          <w:sz w:val="24"/>
          <w:szCs w:val="20"/>
        </w:rPr>
      </w:pPr>
    </w:p>
    <w:p w:rsidR="00AA17E3" w:rsidRPr="00A83EF2" w:rsidRDefault="00AA17E3" w:rsidP="00AA17E3">
      <w:pPr>
        <w:spacing w:after="0" w:line="240" w:lineRule="auto"/>
        <w:jc w:val="both"/>
        <w:rPr>
          <w:rFonts w:ascii="Times New Roman" w:hAnsi="Times New Roman" w:cs="Times New Roman"/>
          <w:sz w:val="24"/>
          <w:szCs w:val="24"/>
        </w:rPr>
      </w:pPr>
      <w:r w:rsidRPr="00A83EF2">
        <w:rPr>
          <w:rFonts w:ascii="Times New Roman" w:hAnsi="Times New Roman" w:cs="Times New Roman"/>
          <w:sz w:val="24"/>
          <w:szCs w:val="24"/>
        </w:rPr>
        <w:t>Výdavky na inštitucionálnu podporu a kontrolu a ostatné činnosti sú na rok 2022 rozpočtované v sume 93,8 mil. eur. Zabezpečujú sa nimi hlavne úlohy v oblasti riadenia verejných financií, medzinárodných vzťahov, auditu a kontroly, regulácie hazardných hier a prevádzk</w:t>
      </w:r>
      <w:r>
        <w:rPr>
          <w:rFonts w:ascii="Times New Roman" w:hAnsi="Times New Roman" w:cs="Times New Roman"/>
          <w:sz w:val="24"/>
          <w:szCs w:val="24"/>
        </w:rPr>
        <w:t>a</w:t>
      </w:r>
      <w:r w:rsidRPr="00A83EF2">
        <w:rPr>
          <w:rFonts w:ascii="Times New Roman" w:hAnsi="Times New Roman" w:cs="Times New Roman"/>
          <w:sz w:val="24"/>
          <w:szCs w:val="24"/>
        </w:rPr>
        <w:t xml:space="preserve"> uvedených rozpočtových organizácií. </w:t>
      </w:r>
    </w:p>
    <w:p w:rsidR="00AA17E3" w:rsidRPr="00A83EF2"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sidRPr="00A83EF2">
        <w:rPr>
          <w:rFonts w:ascii="Times New Roman" w:hAnsi="Times New Roman" w:cs="Times New Roman"/>
          <w:sz w:val="24"/>
          <w:szCs w:val="24"/>
        </w:rPr>
        <w:t>Od roku 2022 sa v kapitole M</w:t>
      </w:r>
      <w:r>
        <w:rPr>
          <w:rFonts w:ascii="Times New Roman" w:hAnsi="Times New Roman" w:cs="Times New Roman"/>
          <w:sz w:val="24"/>
          <w:szCs w:val="24"/>
        </w:rPr>
        <w:t>inisterstva financií</w:t>
      </w:r>
      <w:r w:rsidRPr="00A83EF2">
        <w:rPr>
          <w:rFonts w:ascii="Times New Roman" w:hAnsi="Times New Roman" w:cs="Times New Roman"/>
          <w:sz w:val="24"/>
          <w:szCs w:val="24"/>
        </w:rPr>
        <w:t xml:space="preserve"> SR v rámci uvedenej oblasti rozpočtujú výdavky na zahraničnú ekonomickú pomoc v sume 8,20 mil. eur, ktoré boli do roku 2021 rozpočtované v kapitole Všeobecná pokladničná správa. </w:t>
      </w:r>
      <w:r>
        <w:rPr>
          <w:rFonts w:ascii="Times New Roman" w:hAnsi="Times New Roman" w:cs="Times New Roman"/>
          <w:sz w:val="24"/>
          <w:szCs w:val="24"/>
        </w:rPr>
        <w:t>Uvedené výdavky predstavujú financovanie príspevkov do medzinárodných finančných inštitúcií, medzinárodných organizácií a aktivít zameraných na zapájanie podnikateľských subjektov do rozvojovej spolupráce. Výdavky sú vykazované ako oficiálna rozvojová pomoc. Rozpočet kapitoly Ministerstva financií SR na rok 2022 zohľadňuje aj výdavky na nové úlohy</w:t>
      </w:r>
      <w:r w:rsidR="00EB0720">
        <w:rPr>
          <w:rFonts w:ascii="Times New Roman" w:hAnsi="Times New Roman" w:cs="Times New Roman"/>
          <w:sz w:val="24"/>
          <w:szCs w:val="24"/>
        </w:rPr>
        <w:t>,</w:t>
      </w:r>
      <w:r>
        <w:rPr>
          <w:rFonts w:ascii="Times New Roman" w:hAnsi="Times New Roman" w:cs="Times New Roman"/>
          <w:sz w:val="24"/>
          <w:szCs w:val="24"/>
        </w:rPr>
        <w:t xml:space="preserve"> napr. v oblasti </w:t>
      </w:r>
      <w:r w:rsidRPr="00B237BD">
        <w:rPr>
          <w:rFonts w:ascii="Times New Roman" w:hAnsi="Times New Roman" w:cs="Times New Roman"/>
          <w:sz w:val="24"/>
          <w:szCs w:val="24"/>
        </w:rPr>
        <w:t>koncepčnej a analytickej činnosti a prípravy rozhodovania o</w:t>
      </w:r>
      <w:r>
        <w:rPr>
          <w:rFonts w:ascii="Times New Roman" w:hAnsi="Times New Roman" w:cs="Times New Roman"/>
          <w:sz w:val="24"/>
          <w:szCs w:val="24"/>
        </w:rPr>
        <w:t> </w:t>
      </w:r>
      <w:r w:rsidRPr="00B237BD">
        <w:rPr>
          <w:rFonts w:ascii="Times New Roman" w:hAnsi="Times New Roman" w:cs="Times New Roman"/>
          <w:sz w:val="24"/>
          <w:szCs w:val="24"/>
        </w:rPr>
        <w:t>ekonomických</w:t>
      </w:r>
      <w:r>
        <w:rPr>
          <w:rFonts w:ascii="Times New Roman" w:hAnsi="Times New Roman" w:cs="Times New Roman"/>
          <w:sz w:val="24"/>
          <w:szCs w:val="24"/>
        </w:rPr>
        <w:t xml:space="preserve"> </w:t>
      </w:r>
      <w:r w:rsidRPr="00B237BD">
        <w:rPr>
          <w:rFonts w:ascii="Times New Roman" w:hAnsi="Times New Roman" w:cs="Times New Roman"/>
          <w:sz w:val="24"/>
          <w:szCs w:val="24"/>
        </w:rPr>
        <w:t>otázkach v pôsobnosti M</w:t>
      </w:r>
      <w:r>
        <w:rPr>
          <w:rFonts w:ascii="Times New Roman" w:hAnsi="Times New Roman" w:cs="Times New Roman"/>
          <w:sz w:val="24"/>
          <w:szCs w:val="24"/>
        </w:rPr>
        <w:t>inisterstva financií SR,</w:t>
      </w:r>
      <w:r w:rsidRPr="00A83EF2">
        <w:rPr>
          <w:rFonts w:ascii="Times New Roman" w:hAnsi="Times New Roman" w:cs="Times New Roman"/>
          <w:sz w:val="24"/>
          <w:szCs w:val="24"/>
        </w:rPr>
        <w:t xml:space="preserve"> novej agendy centrálneho registra účtov, agendy v oblasti auditu a kontroly </w:t>
      </w:r>
      <w:r>
        <w:rPr>
          <w:rFonts w:ascii="Times New Roman" w:hAnsi="Times New Roman" w:cs="Times New Roman"/>
          <w:sz w:val="24"/>
          <w:szCs w:val="24"/>
        </w:rPr>
        <w:t>v nadväznosti</w:t>
      </w:r>
      <w:r w:rsidRPr="00A83EF2">
        <w:rPr>
          <w:rFonts w:ascii="Times New Roman" w:hAnsi="Times New Roman" w:cs="Times New Roman"/>
          <w:sz w:val="24"/>
          <w:szCs w:val="24"/>
        </w:rPr>
        <w:t xml:space="preserve"> na pribúdajúce podnety poukazujúce na nehospodárne nakladanie s verejnými financiami</w:t>
      </w:r>
      <w:r>
        <w:rPr>
          <w:rFonts w:ascii="Times New Roman" w:hAnsi="Times New Roman" w:cs="Times New Roman"/>
          <w:sz w:val="24"/>
          <w:szCs w:val="24"/>
        </w:rPr>
        <w:t xml:space="preserve">. </w:t>
      </w:r>
    </w:p>
    <w:p w:rsidR="00AA17E3"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rámci oblasti sú rozpočtované tiež výdavky na platobný systém eKolok v sume 10,8 mil. eur, tlač kontrolných známok na označovanie spotrebiteľských balení liehu a tabakových výrobkov v sume 1,62 mil. eur, na zastupovanie v medzinárodných arbitrážach v sume 4,00 mil. eur a na audit konsolidovaných účtovných závierok v sume 2,69 mil. eur.</w:t>
      </w:r>
    </w:p>
    <w:p w:rsidR="00AA17E3"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A83EF2">
        <w:rPr>
          <w:rFonts w:ascii="Times New Roman" w:hAnsi="Times New Roman" w:cs="Times New Roman"/>
          <w:sz w:val="24"/>
          <w:szCs w:val="24"/>
        </w:rPr>
        <w:t xml:space="preserve">ransfer na úhradu výdavkov </w:t>
      </w:r>
      <w:r>
        <w:rPr>
          <w:rFonts w:ascii="Times New Roman" w:hAnsi="Times New Roman" w:cs="Times New Roman"/>
          <w:sz w:val="24"/>
          <w:szCs w:val="24"/>
        </w:rPr>
        <w:t xml:space="preserve">na činnosť </w:t>
      </w:r>
      <w:r w:rsidRPr="00A83EF2">
        <w:rPr>
          <w:rFonts w:ascii="Times New Roman" w:hAnsi="Times New Roman" w:cs="Times New Roman"/>
          <w:sz w:val="24"/>
          <w:szCs w:val="24"/>
        </w:rPr>
        <w:t>Kancelárie Rady pre rozpočtovú zodpovednosť</w:t>
      </w:r>
      <w:r>
        <w:rPr>
          <w:rFonts w:ascii="Times New Roman" w:hAnsi="Times New Roman" w:cs="Times New Roman"/>
          <w:sz w:val="24"/>
          <w:szCs w:val="24"/>
        </w:rPr>
        <w:t xml:space="preserve"> predstavuje 3,32 mil. eur. </w:t>
      </w:r>
      <w:r w:rsidRPr="00A83EF2">
        <w:rPr>
          <w:rFonts w:ascii="Times New Roman" w:hAnsi="Times New Roman" w:cs="Times New Roman"/>
          <w:sz w:val="24"/>
          <w:szCs w:val="24"/>
        </w:rPr>
        <w:t xml:space="preserve"> </w:t>
      </w:r>
      <w:r>
        <w:rPr>
          <w:rFonts w:ascii="Times New Roman" w:hAnsi="Times New Roman" w:cs="Times New Roman"/>
          <w:sz w:val="24"/>
          <w:szCs w:val="24"/>
        </w:rPr>
        <w:t>V porovnaní so schváleným rozpočtom na rok 2021 rastie o 1,82 mil. eur z</w:t>
      </w:r>
      <w:r w:rsidRPr="00A83EF2">
        <w:rPr>
          <w:rFonts w:ascii="Times New Roman" w:hAnsi="Times New Roman" w:cs="Times New Roman"/>
          <w:sz w:val="24"/>
          <w:szCs w:val="24"/>
        </w:rPr>
        <w:t xml:space="preserve"> dôvodu plánovaného rozšírenia personálnych kapacít a s tým spojených výdavkov na presťahovanie a zariadenie nových priestorov Kancelárie Rady pre rozpočtovú zodpovednosť</w:t>
      </w:r>
      <w:r>
        <w:rPr>
          <w:rFonts w:ascii="Times New Roman" w:hAnsi="Times New Roman" w:cs="Times New Roman"/>
          <w:sz w:val="24"/>
          <w:szCs w:val="24"/>
        </w:rPr>
        <w:t>.</w:t>
      </w:r>
    </w:p>
    <w:p w:rsidR="00AA17E3" w:rsidRPr="00A83EF2" w:rsidRDefault="00AA17E3" w:rsidP="00AA17E3">
      <w:pPr>
        <w:spacing w:after="0" w:line="240" w:lineRule="auto"/>
        <w:jc w:val="both"/>
        <w:rPr>
          <w:rFonts w:ascii="Times New Roman" w:hAnsi="Times New Roman" w:cs="Times New Roman"/>
          <w:sz w:val="24"/>
          <w:szCs w:val="24"/>
          <w:highlight w:val="yellow"/>
        </w:rPr>
      </w:pPr>
    </w:p>
    <w:p w:rsidR="00AA17E3" w:rsidRDefault="00AA17E3" w:rsidP="00AA17E3">
      <w:pPr>
        <w:spacing w:after="0" w:line="240" w:lineRule="auto"/>
        <w:jc w:val="both"/>
        <w:rPr>
          <w:rFonts w:ascii="Times New Roman" w:hAnsi="Times New Roman" w:cs="Times New Roman"/>
          <w:b/>
          <w:color w:val="5B9BD5" w:themeColor="accent1"/>
          <w:sz w:val="24"/>
          <w:szCs w:val="24"/>
        </w:rPr>
      </w:pPr>
      <w:r w:rsidRPr="00A83EF2">
        <w:rPr>
          <w:rFonts w:ascii="Times New Roman" w:hAnsi="Times New Roman" w:cs="Times New Roman"/>
          <w:sz w:val="24"/>
          <w:szCs w:val="24"/>
        </w:rPr>
        <w:t>Úrad M</w:t>
      </w:r>
      <w:r>
        <w:rPr>
          <w:rFonts w:ascii="Times New Roman" w:hAnsi="Times New Roman" w:cs="Times New Roman"/>
          <w:sz w:val="24"/>
          <w:szCs w:val="24"/>
        </w:rPr>
        <w:t xml:space="preserve">inisterstva financií </w:t>
      </w:r>
      <w:r w:rsidRPr="00A83EF2">
        <w:rPr>
          <w:rFonts w:ascii="Times New Roman" w:hAnsi="Times New Roman" w:cs="Times New Roman"/>
          <w:sz w:val="24"/>
          <w:szCs w:val="24"/>
        </w:rPr>
        <w:t>SR predpokladá zapojenie do projektov financovaných z grantov Finančného mechanizmu EHP, Nórskeho finančného mechanizmu a grantov programov EÚ v celkovej sume 115 tis. eur rozpočtovaných na samostatných účtoch.</w:t>
      </w:r>
    </w:p>
    <w:p w:rsidR="00AA17E3" w:rsidRDefault="00AA17E3" w:rsidP="00AA17E3">
      <w:pPr>
        <w:spacing w:after="0" w:line="240" w:lineRule="auto"/>
        <w:jc w:val="both"/>
        <w:rPr>
          <w:rFonts w:ascii="Times New Roman" w:hAnsi="Times New Roman" w:cs="Times New Roman"/>
          <w:b/>
          <w:color w:val="5B9BD5" w:themeColor="accent1"/>
          <w:sz w:val="24"/>
          <w:szCs w:val="24"/>
        </w:rPr>
      </w:pPr>
    </w:p>
    <w:p w:rsidR="00AA17E3" w:rsidRDefault="00AA17E3" w:rsidP="00AA17E3">
      <w:pPr>
        <w:spacing w:after="0" w:line="240" w:lineRule="auto"/>
        <w:jc w:val="both"/>
        <w:rPr>
          <w:rFonts w:ascii="Times New Roman" w:hAnsi="Times New Roman" w:cs="Times New Roman"/>
          <w:color w:val="5B9BD5" w:themeColor="accent1"/>
          <w:sz w:val="24"/>
          <w:szCs w:val="24"/>
        </w:rPr>
      </w:pPr>
      <w:r w:rsidRPr="00A83EF2">
        <w:rPr>
          <w:rFonts w:ascii="Times New Roman" w:hAnsi="Times New Roman" w:cs="Times New Roman"/>
          <w:b/>
          <w:color w:val="5B9BD5" w:themeColor="accent1"/>
          <w:sz w:val="24"/>
          <w:szCs w:val="24"/>
        </w:rPr>
        <w:t>Exportno-importná banka SR</w:t>
      </w:r>
      <w:r w:rsidRPr="00A83EF2">
        <w:rPr>
          <w:rFonts w:ascii="Times New Roman" w:hAnsi="Times New Roman" w:cs="Times New Roman"/>
          <w:color w:val="5B9BD5" w:themeColor="accent1"/>
          <w:sz w:val="24"/>
          <w:szCs w:val="24"/>
        </w:rPr>
        <w:t xml:space="preserve"> </w:t>
      </w:r>
    </w:p>
    <w:p w:rsidR="00AA17E3" w:rsidRPr="00A83EF2" w:rsidRDefault="00AA17E3" w:rsidP="00AA17E3">
      <w:pPr>
        <w:spacing w:after="0" w:line="240" w:lineRule="auto"/>
        <w:jc w:val="both"/>
        <w:rPr>
          <w:rFonts w:ascii="Times New Roman" w:hAnsi="Times New Roman" w:cs="Times New Roman"/>
          <w:color w:val="1F4E79" w:themeColor="accent1" w:themeShade="80"/>
          <w:sz w:val="24"/>
          <w:szCs w:val="24"/>
        </w:rPr>
      </w:pPr>
    </w:p>
    <w:p w:rsidR="00AA17E3" w:rsidRPr="00A83EF2" w:rsidRDefault="00AA17E3" w:rsidP="00AA17E3">
      <w:pPr>
        <w:spacing w:after="0" w:line="240" w:lineRule="auto"/>
        <w:jc w:val="both"/>
        <w:rPr>
          <w:rFonts w:ascii="Times New Roman" w:hAnsi="Times New Roman" w:cs="Times New Roman"/>
          <w:sz w:val="24"/>
          <w:szCs w:val="24"/>
        </w:rPr>
      </w:pPr>
      <w:r w:rsidRPr="00A83EF2">
        <w:rPr>
          <w:rFonts w:ascii="Times New Roman" w:hAnsi="Times New Roman" w:cs="Times New Roman"/>
          <w:sz w:val="24"/>
          <w:szCs w:val="24"/>
        </w:rPr>
        <w:t xml:space="preserve">Exportno-importná banka SR je zriadená zákonom č. 80/1997 Z. z. o Exportno-importnej banke </w:t>
      </w:r>
      <w:r>
        <w:rPr>
          <w:rFonts w:ascii="Times New Roman" w:hAnsi="Times New Roman" w:cs="Times New Roman"/>
          <w:sz w:val="24"/>
          <w:szCs w:val="24"/>
        </w:rPr>
        <w:t xml:space="preserve">SR v znení neskorších predpisov. </w:t>
      </w:r>
      <w:r w:rsidRPr="00A83EF2">
        <w:rPr>
          <w:rFonts w:ascii="Times New Roman" w:hAnsi="Times New Roman" w:cs="Times New Roman"/>
          <w:sz w:val="24"/>
          <w:szCs w:val="24"/>
        </w:rPr>
        <w:t xml:space="preserve">Hlavným cieľom je prostredníctvom bankových a poisťovacích produktov zohľadniť potreby slovenských exportérov a naplniť zámery hospodárskej politiky vlády SR v oblasti zahraničného obchodu teritoriálnym a produktovým zameraním podpory exportu. Výdavky </w:t>
      </w:r>
      <w:r>
        <w:rPr>
          <w:rFonts w:ascii="Times New Roman" w:hAnsi="Times New Roman" w:cs="Times New Roman"/>
          <w:sz w:val="24"/>
          <w:szCs w:val="24"/>
        </w:rPr>
        <w:t>Exportno-importnej banky</w:t>
      </w:r>
      <w:r w:rsidRPr="00A83EF2">
        <w:rPr>
          <w:rFonts w:ascii="Times New Roman" w:hAnsi="Times New Roman" w:cs="Times New Roman"/>
          <w:sz w:val="24"/>
          <w:szCs w:val="24"/>
        </w:rPr>
        <w:t xml:space="preserve"> v roku 2022 sú rozpočtované vo výške 886 mil. eur. Najvýznamnejšiu časť výdavkov v sume 870,0 mil. eur predstavujú výdavky súvisiace s financovaním úverov najmä pre slovenských exportérov, s financovaním </w:t>
      </w:r>
      <w:r>
        <w:rPr>
          <w:rFonts w:ascii="Times New Roman" w:hAnsi="Times New Roman" w:cs="Times New Roman"/>
          <w:sz w:val="24"/>
          <w:szCs w:val="24"/>
        </w:rPr>
        <w:t>Exportno-importnej banky</w:t>
      </w:r>
      <w:r w:rsidRPr="00A83EF2">
        <w:rPr>
          <w:rFonts w:ascii="Times New Roman" w:hAnsi="Times New Roman" w:cs="Times New Roman"/>
          <w:sz w:val="24"/>
          <w:szCs w:val="24"/>
        </w:rPr>
        <w:t xml:space="preserve"> na bankovom trhu a pohybmi prostriedkov na klientskych účtoch. Tieto výdavky medziročne rastú o 145 mil. eur najmä z dôvodu predpokladaného zvýšenia úverovej angažovanosti a súčasne obnovenia úverov splatných v roku 2022.</w:t>
      </w:r>
      <w:r w:rsidRPr="00E0023B">
        <w:t xml:space="preserve"> </w:t>
      </w:r>
      <w:r w:rsidRPr="00E0023B">
        <w:rPr>
          <w:rFonts w:ascii="Times New Roman" w:hAnsi="Times New Roman" w:cs="Times New Roman"/>
          <w:sz w:val="24"/>
          <w:szCs w:val="24"/>
        </w:rPr>
        <w:t xml:space="preserve">Odvod do štátneho rozpočtu </w:t>
      </w:r>
      <w:r>
        <w:rPr>
          <w:rFonts w:ascii="Times New Roman" w:hAnsi="Times New Roman" w:cs="Times New Roman"/>
          <w:sz w:val="24"/>
          <w:szCs w:val="24"/>
        </w:rPr>
        <w:t>je rozpočtovaný v sume</w:t>
      </w:r>
      <w:r w:rsidRPr="00E0023B">
        <w:rPr>
          <w:rFonts w:ascii="Times New Roman" w:hAnsi="Times New Roman" w:cs="Times New Roman"/>
          <w:sz w:val="24"/>
          <w:szCs w:val="24"/>
        </w:rPr>
        <w:t xml:space="preserve"> 250 tis. eur</w:t>
      </w:r>
      <w:r>
        <w:rPr>
          <w:rFonts w:ascii="Times New Roman" w:hAnsi="Times New Roman" w:cs="Times New Roman"/>
          <w:sz w:val="24"/>
          <w:szCs w:val="24"/>
        </w:rPr>
        <w:t>.</w:t>
      </w:r>
    </w:p>
    <w:p w:rsidR="00AA17E3" w:rsidRPr="00515919" w:rsidRDefault="00AA17E3" w:rsidP="00AA17E3">
      <w:pPr>
        <w:spacing w:after="0" w:line="240" w:lineRule="auto"/>
        <w:jc w:val="both"/>
        <w:rPr>
          <w:rFonts w:ascii="Times New Roman" w:hAnsi="Times New Roman" w:cs="Times New Roman"/>
          <w:sz w:val="24"/>
          <w:szCs w:val="24"/>
        </w:rPr>
      </w:pP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 xml:space="preserve">Slovenská konsolidačná, a. s. </w:t>
      </w: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p>
    <w:p w:rsidR="00AA17E3" w:rsidRDefault="00AA17E3" w:rsidP="00AA17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Slovenská konsolidačná, a. s. </w:t>
      </w:r>
      <w:r w:rsidRPr="00A83EF2">
        <w:rPr>
          <w:rFonts w:ascii="Times New Roman" w:hAnsi="Times New Roman" w:cs="Times New Roman"/>
          <w:sz w:val="24"/>
          <w:szCs w:val="24"/>
        </w:rPr>
        <w:t xml:space="preserve">je na základe zákona č. 374/2014 Z. z. o pohľadávkach štátu a o zmene a doplnení niektorých zákonov poverenou osobou pre konsolidáciu pohľadávok verejného sektora. </w:t>
      </w:r>
      <w:r>
        <w:rPr>
          <w:rFonts w:ascii="Times New Roman" w:hAnsi="Times New Roman" w:cs="Times New Roman"/>
          <w:sz w:val="24"/>
          <w:szCs w:val="24"/>
        </w:rPr>
        <w:t xml:space="preserve">Slovenská konsolidačná, a. s. </w:t>
      </w:r>
      <w:r w:rsidRPr="00A83EF2">
        <w:rPr>
          <w:rFonts w:ascii="Times New Roman" w:hAnsi="Times New Roman" w:cs="Times New Roman"/>
          <w:sz w:val="24"/>
          <w:szCs w:val="24"/>
        </w:rPr>
        <w:t>spravuje široké portfólio pohľadávok, ktoré do svojho vlastníctva prevzala</w:t>
      </w:r>
      <w:r w:rsidR="005202C6">
        <w:rPr>
          <w:rFonts w:ascii="Times New Roman" w:hAnsi="Times New Roman" w:cs="Times New Roman"/>
          <w:sz w:val="24"/>
          <w:szCs w:val="24"/>
        </w:rPr>
        <w:t xml:space="preserve"> od rôznych verejných inštitúcií</w:t>
      </w:r>
      <w:r w:rsidRPr="00A83EF2">
        <w:rPr>
          <w:rFonts w:ascii="Times New Roman" w:hAnsi="Times New Roman" w:cs="Times New Roman"/>
          <w:sz w:val="24"/>
          <w:szCs w:val="24"/>
        </w:rPr>
        <w:t xml:space="preserve"> s cieľom zefektívnenia ich vymáhania. Výdavky </w:t>
      </w:r>
      <w:r w:rsidRPr="000D3D21">
        <w:rPr>
          <w:rFonts w:ascii="Times New Roman" w:hAnsi="Times New Roman" w:cs="Times New Roman"/>
          <w:sz w:val="24"/>
          <w:szCs w:val="24"/>
        </w:rPr>
        <w:t>Slovensk</w:t>
      </w:r>
      <w:r>
        <w:rPr>
          <w:rFonts w:ascii="Times New Roman" w:hAnsi="Times New Roman" w:cs="Times New Roman"/>
          <w:sz w:val="24"/>
          <w:szCs w:val="24"/>
        </w:rPr>
        <w:t xml:space="preserve">ej konsolidačnej, a. s. </w:t>
      </w:r>
      <w:r w:rsidRPr="00A83EF2">
        <w:rPr>
          <w:rFonts w:ascii="Times New Roman" w:hAnsi="Times New Roman" w:cs="Times New Roman"/>
          <w:sz w:val="24"/>
          <w:szCs w:val="24"/>
        </w:rPr>
        <w:t xml:space="preserve">sú v roku 2022 rozpočtované v celkovej sume 11,2 mil. eur. Zahŕňajú výdavky na činnosť spoločnosti, ako aj na výplatu dividend akcionárovi </w:t>
      </w:r>
      <w:r>
        <w:rPr>
          <w:rFonts w:ascii="Times New Roman" w:hAnsi="Times New Roman" w:cs="Times New Roman"/>
          <w:sz w:val="24"/>
          <w:szCs w:val="24"/>
        </w:rPr>
        <w:t>Ministerstvu financií SR</w:t>
      </w:r>
      <w:r w:rsidRPr="00A83EF2">
        <w:rPr>
          <w:rFonts w:ascii="Times New Roman" w:hAnsi="Times New Roman" w:cs="Times New Roman"/>
          <w:sz w:val="24"/>
          <w:szCs w:val="24"/>
        </w:rPr>
        <w:t>.</w:t>
      </w:r>
    </w:p>
    <w:p w:rsidR="00B302BE" w:rsidRDefault="00B302BE" w:rsidP="00AA17E3">
      <w:pPr>
        <w:spacing w:after="0" w:line="240" w:lineRule="auto"/>
        <w:jc w:val="both"/>
        <w:rPr>
          <w:rFonts w:ascii="Times New Roman" w:hAnsi="Times New Roman" w:cs="Times New Roman"/>
          <w:sz w:val="24"/>
          <w:szCs w:val="24"/>
        </w:rPr>
      </w:pPr>
    </w:p>
    <w:p w:rsidR="00225E27" w:rsidRDefault="00225E27" w:rsidP="00AA17E3">
      <w:pPr>
        <w:spacing w:after="0" w:line="240" w:lineRule="auto"/>
        <w:jc w:val="both"/>
        <w:rPr>
          <w:rFonts w:ascii="Times New Roman" w:hAnsi="Times New Roman" w:cs="Times New Roman"/>
          <w:sz w:val="24"/>
          <w:szCs w:val="24"/>
        </w:rPr>
      </w:pPr>
    </w:p>
    <w:p w:rsidR="00225E27" w:rsidRDefault="00225E27" w:rsidP="00AA17E3">
      <w:pPr>
        <w:spacing w:after="0" w:line="240" w:lineRule="auto"/>
        <w:jc w:val="both"/>
        <w:rPr>
          <w:rFonts w:ascii="Times New Roman" w:hAnsi="Times New Roman" w:cs="Times New Roman"/>
          <w:sz w:val="24"/>
          <w:szCs w:val="24"/>
        </w:rPr>
      </w:pPr>
    </w:p>
    <w:p w:rsidR="00225E27" w:rsidRDefault="00225E27" w:rsidP="00AA17E3">
      <w:pPr>
        <w:spacing w:after="0" w:line="240" w:lineRule="auto"/>
        <w:jc w:val="both"/>
        <w:rPr>
          <w:rFonts w:ascii="Times New Roman" w:hAnsi="Times New Roman" w:cs="Times New Roman"/>
          <w:sz w:val="24"/>
          <w:szCs w:val="24"/>
        </w:rPr>
      </w:pPr>
    </w:p>
    <w:p w:rsidR="00AA17E3" w:rsidRPr="00515919" w:rsidRDefault="00AA17E3" w:rsidP="00AA17E3">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 xml:space="preserve">Úrad pre dohľad nad výkonom auditu </w:t>
      </w:r>
    </w:p>
    <w:p w:rsidR="00AA17E3" w:rsidRPr="00515919" w:rsidRDefault="00AA17E3" w:rsidP="00AA17E3">
      <w:pPr>
        <w:spacing w:after="0" w:line="240" w:lineRule="auto"/>
        <w:jc w:val="both"/>
        <w:rPr>
          <w:rFonts w:ascii="Times New Roman" w:hAnsi="Times New Roman" w:cs="Times New Roman"/>
          <w:b/>
          <w:color w:val="1F4E79" w:themeColor="accent1" w:themeShade="80"/>
          <w:sz w:val="24"/>
          <w:szCs w:val="24"/>
        </w:rPr>
      </w:pPr>
    </w:p>
    <w:p w:rsidR="00AA17E3" w:rsidRPr="00A83EF2" w:rsidRDefault="00AA17E3" w:rsidP="00AA17E3">
      <w:pPr>
        <w:spacing w:after="0" w:line="240" w:lineRule="auto"/>
        <w:jc w:val="both"/>
        <w:rPr>
          <w:rFonts w:ascii="Times New Roman" w:hAnsi="Times New Roman" w:cs="Times New Roman"/>
          <w:color w:val="1F4E79" w:themeColor="accent1" w:themeShade="80"/>
          <w:sz w:val="24"/>
          <w:szCs w:val="24"/>
        </w:rPr>
      </w:pPr>
      <w:r w:rsidRPr="00A83EF2">
        <w:rPr>
          <w:rFonts w:ascii="Times New Roman" w:hAnsi="Times New Roman" w:cs="Times New Roman"/>
          <w:sz w:val="24"/>
          <w:szCs w:val="24"/>
        </w:rPr>
        <w:t xml:space="preserve">Úrad pre dohľad nad výkonom auditu bol zriadený zákonom č. 540/2007 Z. z. o audítoroch, audite a dohľade nad výkonom auditu a o zmene a doplnení zákona č. 431/2002 Z. z. o účtovníctve v znení neskorších predpisov. Hlavnou činnosťou </w:t>
      </w:r>
      <w:r w:rsidRPr="000D3D21">
        <w:rPr>
          <w:rFonts w:ascii="Times New Roman" w:hAnsi="Times New Roman" w:cs="Times New Roman"/>
          <w:sz w:val="24"/>
          <w:szCs w:val="24"/>
        </w:rPr>
        <w:t>Úrad</w:t>
      </w:r>
      <w:r>
        <w:rPr>
          <w:rFonts w:ascii="Times New Roman" w:hAnsi="Times New Roman" w:cs="Times New Roman"/>
          <w:sz w:val="24"/>
          <w:szCs w:val="24"/>
        </w:rPr>
        <w:t>u</w:t>
      </w:r>
      <w:r w:rsidRPr="000D3D21">
        <w:rPr>
          <w:rFonts w:ascii="Times New Roman" w:hAnsi="Times New Roman" w:cs="Times New Roman"/>
          <w:sz w:val="24"/>
          <w:szCs w:val="24"/>
        </w:rPr>
        <w:t xml:space="preserve"> pre dohľad nad výkonom auditu</w:t>
      </w:r>
      <w:r w:rsidRPr="00A83EF2">
        <w:rPr>
          <w:rFonts w:ascii="Times New Roman" w:hAnsi="Times New Roman" w:cs="Times New Roman"/>
          <w:sz w:val="24"/>
          <w:szCs w:val="24"/>
        </w:rPr>
        <w:t xml:space="preserve"> je dohľad nad výkonom štatutárneho auditu, dodržiavaním platnej legislatívy a medzinárodných audítorských štandardov, nestrannosti, nezávislosti a kvality pri jeho výkone.  Dohliadanými subjektmi sú Slovenská komora audítorov, audítori a audítorské spoločnosti. Na rok 2022 sú rozpočtované na zabezpečenie činnosti </w:t>
      </w:r>
      <w:r w:rsidRPr="000D3D21">
        <w:rPr>
          <w:rFonts w:ascii="Times New Roman" w:hAnsi="Times New Roman" w:cs="Times New Roman"/>
          <w:sz w:val="24"/>
          <w:szCs w:val="24"/>
        </w:rPr>
        <w:t>Úrad</w:t>
      </w:r>
      <w:r>
        <w:rPr>
          <w:rFonts w:ascii="Times New Roman" w:hAnsi="Times New Roman" w:cs="Times New Roman"/>
          <w:sz w:val="24"/>
          <w:szCs w:val="24"/>
        </w:rPr>
        <w:t>u</w:t>
      </w:r>
      <w:r w:rsidRPr="000D3D21">
        <w:rPr>
          <w:rFonts w:ascii="Times New Roman" w:hAnsi="Times New Roman" w:cs="Times New Roman"/>
          <w:sz w:val="24"/>
          <w:szCs w:val="24"/>
        </w:rPr>
        <w:t xml:space="preserve"> pre dohľad nad výkonom auditu</w:t>
      </w:r>
      <w:r>
        <w:rPr>
          <w:rFonts w:ascii="Times New Roman" w:hAnsi="Times New Roman" w:cs="Times New Roman"/>
          <w:sz w:val="24"/>
          <w:szCs w:val="24"/>
        </w:rPr>
        <w:t xml:space="preserve"> výdavky v sume 1,49</w:t>
      </w:r>
      <w:r w:rsidRPr="00A83EF2">
        <w:rPr>
          <w:rFonts w:ascii="Times New Roman" w:hAnsi="Times New Roman" w:cs="Times New Roman"/>
          <w:sz w:val="24"/>
          <w:szCs w:val="24"/>
        </w:rPr>
        <w:t xml:space="preserve"> mil. eur, čo predstavuje </w:t>
      </w:r>
      <w:r>
        <w:rPr>
          <w:rFonts w:ascii="Times New Roman" w:hAnsi="Times New Roman" w:cs="Times New Roman"/>
          <w:sz w:val="24"/>
          <w:szCs w:val="24"/>
        </w:rPr>
        <w:t xml:space="preserve">približne </w:t>
      </w:r>
      <w:r w:rsidRPr="00A83EF2">
        <w:rPr>
          <w:rFonts w:ascii="Times New Roman" w:hAnsi="Times New Roman" w:cs="Times New Roman"/>
          <w:sz w:val="24"/>
          <w:szCs w:val="24"/>
        </w:rPr>
        <w:t xml:space="preserve">úroveň  schváleného rozpočtu na rok 2021. Výdavky v sume 268 tis. eur sú kryté transferom zo štátneho rozpočtu poskytovaným </w:t>
      </w:r>
      <w:r>
        <w:rPr>
          <w:rFonts w:ascii="Times New Roman" w:hAnsi="Times New Roman" w:cs="Times New Roman"/>
          <w:sz w:val="24"/>
          <w:szCs w:val="24"/>
        </w:rPr>
        <w:t>Ministerstvom financií SR</w:t>
      </w:r>
      <w:r w:rsidRPr="00A83EF2">
        <w:rPr>
          <w:rFonts w:ascii="Times New Roman" w:hAnsi="Times New Roman" w:cs="Times New Roman"/>
          <w:sz w:val="24"/>
          <w:szCs w:val="24"/>
        </w:rPr>
        <w:t>.</w:t>
      </w:r>
    </w:p>
    <w:p w:rsidR="00AA17E3" w:rsidRPr="00515919" w:rsidRDefault="00AA17E3" w:rsidP="00AA17E3">
      <w:pPr>
        <w:spacing w:after="0" w:line="240" w:lineRule="auto"/>
        <w:jc w:val="both"/>
        <w:rPr>
          <w:rFonts w:ascii="Times New Roman" w:hAnsi="Times New Roman" w:cs="Times New Roman"/>
          <w:color w:val="1F4E79" w:themeColor="accent1" w:themeShade="80"/>
          <w:sz w:val="24"/>
          <w:szCs w:val="24"/>
        </w:rPr>
      </w:pPr>
    </w:p>
    <w:p w:rsidR="00AA17E3" w:rsidRPr="00515919" w:rsidRDefault="00AA17E3" w:rsidP="00AA17E3">
      <w:pPr>
        <w:spacing w:after="0" w:line="240" w:lineRule="auto"/>
        <w:jc w:val="both"/>
        <w:rPr>
          <w:rFonts w:ascii="Times New Roman" w:hAnsi="Times New Roman" w:cs="Times New Roman"/>
          <w:sz w:val="24"/>
          <w:szCs w:val="24"/>
        </w:rPr>
      </w:pPr>
      <w:r w:rsidRPr="00515919">
        <w:rPr>
          <w:rFonts w:ascii="Times New Roman" w:hAnsi="Times New Roman" w:cs="Times New Roman"/>
          <w:b/>
          <w:color w:val="5B9BD5" w:themeColor="accent1"/>
          <w:sz w:val="24"/>
          <w:szCs w:val="24"/>
        </w:rPr>
        <w:t>Rada pre rozpočtovú zodpovednosť</w:t>
      </w:r>
      <w:r w:rsidRPr="00515919">
        <w:rPr>
          <w:rFonts w:ascii="Times New Roman" w:hAnsi="Times New Roman" w:cs="Times New Roman"/>
          <w:color w:val="5B9BD5" w:themeColor="accent1"/>
          <w:sz w:val="24"/>
          <w:szCs w:val="24"/>
        </w:rPr>
        <w:t xml:space="preserve"> </w:t>
      </w:r>
    </w:p>
    <w:p w:rsidR="00AA17E3" w:rsidRPr="00515919" w:rsidRDefault="00AA17E3" w:rsidP="00AA17E3">
      <w:pPr>
        <w:spacing w:after="0" w:line="240" w:lineRule="auto"/>
        <w:jc w:val="both"/>
        <w:rPr>
          <w:rFonts w:ascii="Times New Roman" w:hAnsi="Times New Roman" w:cs="Times New Roman"/>
          <w:color w:val="5B9BD5" w:themeColor="accent1"/>
          <w:sz w:val="24"/>
          <w:szCs w:val="24"/>
        </w:rPr>
      </w:pPr>
    </w:p>
    <w:p w:rsidR="00AA17E3" w:rsidRDefault="00AA17E3" w:rsidP="00AA17E3">
      <w:pPr>
        <w:spacing w:after="0" w:line="240" w:lineRule="auto"/>
        <w:jc w:val="both"/>
        <w:rPr>
          <w:rFonts w:ascii="Times New Roman" w:hAnsi="Times New Roman" w:cs="Times New Roman"/>
          <w:sz w:val="24"/>
          <w:szCs w:val="24"/>
        </w:rPr>
      </w:pPr>
      <w:r w:rsidRPr="00A83EF2">
        <w:rPr>
          <w:rFonts w:ascii="Times New Roman" w:hAnsi="Times New Roman" w:cs="Times New Roman"/>
          <w:sz w:val="24"/>
          <w:szCs w:val="24"/>
        </w:rPr>
        <w:t xml:space="preserve">Rada pre rozpočtovú zodpovednosť je v zmysle ústavného zákona č. 493/2011 Z. z. o rozpočtovej zodpovednosti nezávislý orgán monitorovania a hodnotenia vývoja hospodárenia Slovenskej republiky a hodnotenia plnenia pravidiel rozpočtovej zodpovednosti. Úlohy spojené s odborným, organizačným, administratívnym, personálnym a technickým zabezpečením činnosti rady vykonáva Kancelária </w:t>
      </w:r>
      <w:r w:rsidRPr="000D3D21">
        <w:rPr>
          <w:rFonts w:ascii="Times New Roman" w:hAnsi="Times New Roman" w:cs="Times New Roman"/>
          <w:sz w:val="24"/>
          <w:szCs w:val="24"/>
        </w:rPr>
        <w:t>Rad</w:t>
      </w:r>
      <w:r>
        <w:rPr>
          <w:rFonts w:ascii="Times New Roman" w:hAnsi="Times New Roman" w:cs="Times New Roman"/>
          <w:sz w:val="24"/>
          <w:szCs w:val="24"/>
        </w:rPr>
        <w:t>y</w:t>
      </w:r>
      <w:r w:rsidRPr="000D3D21">
        <w:rPr>
          <w:rFonts w:ascii="Times New Roman" w:hAnsi="Times New Roman" w:cs="Times New Roman"/>
          <w:sz w:val="24"/>
          <w:szCs w:val="24"/>
        </w:rPr>
        <w:t xml:space="preserve"> pre rozpočtovú zodpovednosť</w:t>
      </w:r>
      <w:r w:rsidRPr="00A83EF2">
        <w:rPr>
          <w:rFonts w:ascii="Times New Roman" w:hAnsi="Times New Roman" w:cs="Times New Roman"/>
          <w:sz w:val="24"/>
          <w:szCs w:val="24"/>
        </w:rPr>
        <w:t xml:space="preserve">. Rozpočet Kancelárie </w:t>
      </w:r>
      <w:r w:rsidRPr="000D3D21">
        <w:rPr>
          <w:rFonts w:ascii="Times New Roman" w:hAnsi="Times New Roman" w:cs="Times New Roman"/>
          <w:sz w:val="24"/>
          <w:szCs w:val="24"/>
        </w:rPr>
        <w:t>Rad</w:t>
      </w:r>
      <w:r>
        <w:rPr>
          <w:rFonts w:ascii="Times New Roman" w:hAnsi="Times New Roman" w:cs="Times New Roman"/>
          <w:sz w:val="24"/>
          <w:szCs w:val="24"/>
        </w:rPr>
        <w:t>y</w:t>
      </w:r>
      <w:r w:rsidRPr="000D3D21">
        <w:rPr>
          <w:rFonts w:ascii="Times New Roman" w:hAnsi="Times New Roman" w:cs="Times New Roman"/>
          <w:sz w:val="24"/>
          <w:szCs w:val="24"/>
        </w:rPr>
        <w:t xml:space="preserve"> pre rozpočtovú zodpovednosť</w:t>
      </w:r>
      <w:r w:rsidRPr="00A83EF2">
        <w:rPr>
          <w:rFonts w:ascii="Times New Roman" w:hAnsi="Times New Roman" w:cs="Times New Roman"/>
          <w:sz w:val="24"/>
          <w:szCs w:val="24"/>
        </w:rPr>
        <w:t xml:space="preserve"> nie je priamo naviazaný na štátny rozpočet, financovanie je zabezpečené príspevkami z rozpočtu Národnej banky Slovenska, ktorá stanovuje celkový limit výdavkov. Tieto výdavky môžu byť následne preplatené zo štátneho rozpočtu na základe požiadavky Národnej banky Slovenska smerujúcej </w:t>
      </w:r>
      <w:r>
        <w:rPr>
          <w:rFonts w:ascii="Times New Roman" w:hAnsi="Times New Roman" w:cs="Times New Roman"/>
          <w:sz w:val="24"/>
          <w:szCs w:val="24"/>
        </w:rPr>
        <w:t>Ministerstvu financií</w:t>
      </w:r>
      <w:r w:rsidRPr="00A83EF2">
        <w:rPr>
          <w:rFonts w:ascii="Times New Roman" w:hAnsi="Times New Roman" w:cs="Times New Roman"/>
          <w:sz w:val="24"/>
          <w:szCs w:val="24"/>
        </w:rPr>
        <w:t xml:space="preserve"> SR. Celkové výdavky Kancelárie </w:t>
      </w:r>
      <w:r w:rsidRPr="000D3D21">
        <w:rPr>
          <w:rFonts w:ascii="Times New Roman" w:hAnsi="Times New Roman" w:cs="Times New Roman"/>
          <w:sz w:val="24"/>
          <w:szCs w:val="24"/>
        </w:rPr>
        <w:t>Rad</w:t>
      </w:r>
      <w:r>
        <w:rPr>
          <w:rFonts w:ascii="Times New Roman" w:hAnsi="Times New Roman" w:cs="Times New Roman"/>
          <w:sz w:val="24"/>
          <w:szCs w:val="24"/>
        </w:rPr>
        <w:t>y</w:t>
      </w:r>
      <w:r w:rsidRPr="000D3D21">
        <w:rPr>
          <w:rFonts w:ascii="Times New Roman" w:hAnsi="Times New Roman" w:cs="Times New Roman"/>
          <w:sz w:val="24"/>
          <w:szCs w:val="24"/>
        </w:rPr>
        <w:t xml:space="preserve"> pre rozpočtovú zodpovednosť</w:t>
      </w:r>
      <w:r w:rsidRPr="00A83EF2">
        <w:rPr>
          <w:rFonts w:ascii="Times New Roman" w:hAnsi="Times New Roman" w:cs="Times New Roman"/>
          <w:sz w:val="24"/>
          <w:szCs w:val="24"/>
        </w:rPr>
        <w:t xml:space="preserve"> na rok 2022 sú rozpočtované vo výške 3,32 mil. eur. Najväčší podiel tvoria osobné výdavky a výdavky na zabezpečenie prevádzky </w:t>
      </w:r>
      <w:r w:rsidRPr="000D3D21">
        <w:rPr>
          <w:rFonts w:ascii="Times New Roman" w:hAnsi="Times New Roman" w:cs="Times New Roman"/>
          <w:sz w:val="24"/>
          <w:szCs w:val="24"/>
        </w:rPr>
        <w:t>Rad</w:t>
      </w:r>
      <w:r>
        <w:rPr>
          <w:rFonts w:ascii="Times New Roman" w:hAnsi="Times New Roman" w:cs="Times New Roman"/>
          <w:sz w:val="24"/>
          <w:szCs w:val="24"/>
        </w:rPr>
        <w:t>y</w:t>
      </w:r>
      <w:r w:rsidRPr="000D3D21">
        <w:rPr>
          <w:rFonts w:ascii="Times New Roman" w:hAnsi="Times New Roman" w:cs="Times New Roman"/>
          <w:sz w:val="24"/>
          <w:szCs w:val="24"/>
        </w:rPr>
        <w:t xml:space="preserve"> pre rozpočtovú zodpovednosť</w:t>
      </w:r>
      <w:r w:rsidRPr="00A83EF2">
        <w:rPr>
          <w:rFonts w:ascii="Times New Roman" w:hAnsi="Times New Roman" w:cs="Times New Roman"/>
          <w:sz w:val="24"/>
          <w:szCs w:val="24"/>
        </w:rPr>
        <w:t>.</w:t>
      </w:r>
    </w:p>
    <w:p w:rsidR="00FA7DE1" w:rsidRDefault="00FA7DE1" w:rsidP="00AA17E3">
      <w:pPr>
        <w:spacing w:after="0" w:line="240" w:lineRule="auto"/>
        <w:jc w:val="both"/>
        <w:rPr>
          <w:rFonts w:ascii="Times New Roman" w:hAnsi="Times New Roman" w:cs="Times New Roman"/>
          <w:color w:val="5B9BD5" w:themeColor="accent1"/>
          <w:sz w:val="24"/>
          <w:szCs w:val="24"/>
        </w:rPr>
      </w:pPr>
    </w:p>
    <w:p w:rsidR="00AA17E3" w:rsidRDefault="00AA17E3" w:rsidP="00AA17E3">
      <w:pPr>
        <w:spacing w:after="0" w:line="240" w:lineRule="auto"/>
        <w:jc w:val="both"/>
        <w:rPr>
          <w:rFonts w:ascii="Times New Roman" w:hAnsi="Times New Roman" w:cs="Times New Roman"/>
          <w:color w:val="5B9BD5" w:themeColor="accent1"/>
          <w:sz w:val="24"/>
          <w:szCs w:val="24"/>
        </w:rPr>
      </w:pPr>
      <w:r w:rsidRPr="005B5C09">
        <w:rPr>
          <w:rFonts w:ascii="Times New Roman" w:hAnsi="Times New Roman" w:cs="Times New Roman"/>
          <w:b/>
          <w:color w:val="5B9BD5" w:themeColor="accent1"/>
          <w:sz w:val="24"/>
          <w:szCs w:val="24"/>
        </w:rPr>
        <w:t>Všeobecná</w:t>
      </w:r>
      <w:r w:rsidRPr="005B5C09">
        <w:rPr>
          <w:rFonts w:ascii="Times New Roman" w:hAnsi="Times New Roman" w:cs="Times New Roman"/>
          <w:color w:val="5B9BD5" w:themeColor="accent1"/>
          <w:sz w:val="24"/>
          <w:szCs w:val="24"/>
        </w:rPr>
        <w:t xml:space="preserve"> </w:t>
      </w:r>
      <w:r w:rsidRPr="005B5C09">
        <w:rPr>
          <w:rFonts w:ascii="Times New Roman" w:hAnsi="Times New Roman" w:cs="Times New Roman"/>
          <w:b/>
          <w:color w:val="5B9BD5" w:themeColor="accent1"/>
          <w:sz w:val="24"/>
          <w:szCs w:val="24"/>
        </w:rPr>
        <w:t>pokladničná</w:t>
      </w:r>
      <w:r w:rsidRPr="005B5C09">
        <w:rPr>
          <w:rFonts w:ascii="Times New Roman" w:hAnsi="Times New Roman" w:cs="Times New Roman"/>
          <w:color w:val="5B9BD5" w:themeColor="accent1"/>
          <w:sz w:val="24"/>
          <w:szCs w:val="24"/>
        </w:rPr>
        <w:t xml:space="preserve"> </w:t>
      </w:r>
      <w:r w:rsidRPr="005B5C09">
        <w:rPr>
          <w:rFonts w:ascii="Times New Roman" w:hAnsi="Times New Roman" w:cs="Times New Roman"/>
          <w:b/>
          <w:color w:val="5B9BD5" w:themeColor="accent1"/>
          <w:sz w:val="24"/>
          <w:szCs w:val="24"/>
        </w:rPr>
        <w:t>správa</w:t>
      </w:r>
    </w:p>
    <w:p w:rsidR="00AA17E3" w:rsidRDefault="00AA17E3" w:rsidP="00AA17E3">
      <w:pPr>
        <w:spacing w:after="0" w:line="240" w:lineRule="auto"/>
        <w:jc w:val="both"/>
        <w:rPr>
          <w:rFonts w:ascii="Times New Roman" w:hAnsi="Times New Roman" w:cs="Times New Roman"/>
          <w:color w:val="5B9BD5" w:themeColor="accent1"/>
          <w:sz w:val="24"/>
          <w:szCs w:val="24"/>
        </w:rPr>
      </w:pP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V kapitole Všeobecná pokladničná správa sú obsiahnuté výdavky štátneho rozpočtu, ktoré nesúvisia s výdavkami ostatných kapitol, vrátane výdavkov spojených so správou štátneho dlhu.</w:t>
      </w:r>
    </w:p>
    <w:p w:rsidR="00AA17E3" w:rsidRPr="00797DE5"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 xml:space="preserve">V rámci kapitoly sú rozpočtované aj </w:t>
      </w:r>
      <w:r>
        <w:rPr>
          <w:rFonts w:ascii="Times New Roman" w:eastAsia="Times New Roman" w:hAnsi="Times New Roman" w:cs="Times New Roman"/>
          <w:sz w:val="24"/>
          <w:szCs w:val="24"/>
          <w:lang w:eastAsia="cs-CZ"/>
        </w:rPr>
        <w:t>výdavky</w:t>
      </w:r>
      <w:r w:rsidRPr="00797D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na činnosť</w:t>
      </w:r>
      <w:r w:rsidRPr="00797DE5">
        <w:rPr>
          <w:rFonts w:ascii="Times New Roman" w:eastAsia="Times New Roman" w:hAnsi="Times New Roman" w:cs="Times New Roman"/>
          <w:sz w:val="24"/>
          <w:szCs w:val="24"/>
          <w:lang w:eastAsia="cs-CZ"/>
        </w:rPr>
        <w:t xml:space="preserve"> rozpočtových organizácií Kancelária verejného ochrancu práv, Rada pre vysielanie a retransmisiu, Úrad na o</w:t>
      </w:r>
      <w:r>
        <w:rPr>
          <w:rFonts w:ascii="Times New Roman" w:eastAsia="Times New Roman" w:hAnsi="Times New Roman" w:cs="Times New Roman"/>
          <w:sz w:val="24"/>
          <w:szCs w:val="24"/>
          <w:lang w:eastAsia="cs-CZ"/>
        </w:rPr>
        <w:t>chranu osobných údajov SR, Úrad</w:t>
      </w:r>
      <w:r w:rsidRPr="00797DE5">
        <w:rPr>
          <w:rFonts w:ascii="Times New Roman" w:eastAsia="Times New Roman" w:hAnsi="Times New Roman" w:cs="Times New Roman"/>
          <w:sz w:val="24"/>
          <w:szCs w:val="24"/>
          <w:lang w:eastAsia="cs-CZ"/>
        </w:rPr>
        <w:t xml:space="preserve"> na ochranu oznamovateľov protispoločenskej činnosti a</w:t>
      </w:r>
      <w:r>
        <w:rPr>
          <w:rFonts w:ascii="Times New Roman" w:eastAsia="Times New Roman" w:hAnsi="Times New Roman" w:cs="Times New Roman"/>
          <w:sz w:val="24"/>
          <w:szCs w:val="24"/>
          <w:lang w:eastAsia="cs-CZ"/>
        </w:rPr>
        <w:t>ko aj transfery na </w:t>
      </w:r>
      <w:r w:rsidRPr="00797DE5">
        <w:rPr>
          <w:rFonts w:ascii="Times New Roman" w:eastAsia="Times New Roman" w:hAnsi="Times New Roman" w:cs="Times New Roman"/>
          <w:sz w:val="24"/>
          <w:szCs w:val="24"/>
          <w:lang w:eastAsia="cs-CZ"/>
        </w:rPr>
        <w:t xml:space="preserve">činnosť Ústavu pamäti národa, Slovenského národného strediska pre ľudské práva, Úradu komisára pre deti a Úradu komisára pre osoby so zdravotným postihnutím. Návrhy rozpočtov a transferov týchto organizácií </w:t>
      </w:r>
      <w:r>
        <w:rPr>
          <w:rFonts w:ascii="Times New Roman" w:eastAsia="Times New Roman" w:hAnsi="Times New Roman" w:cs="Times New Roman"/>
          <w:sz w:val="24"/>
          <w:szCs w:val="24"/>
          <w:lang w:eastAsia="cs-CZ"/>
        </w:rPr>
        <w:t xml:space="preserve">v celkovej výške 10,8 mil. eur </w:t>
      </w:r>
      <w:r w:rsidRPr="00797DE5">
        <w:rPr>
          <w:rFonts w:ascii="Times New Roman" w:eastAsia="Times New Roman" w:hAnsi="Times New Roman" w:cs="Times New Roman"/>
          <w:sz w:val="24"/>
          <w:szCs w:val="24"/>
          <w:lang w:eastAsia="cs-CZ"/>
        </w:rPr>
        <w:t xml:space="preserve">sú </w:t>
      </w:r>
      <w:r>
        <w:rPr>
          <w:rFonts w:ascii="Times New Roman" w:eastAsia="Times New Roman" w:hAnsi="Times New Roman" w:cs="Times New Roman"/>
          <w:sz w:val="24"/>
          <w:szCs w:val="24"/>
          <w:lang w:eastAsia="cs-CZ"/>
        </w:rPr>
        <w:t>prezentované</w:t>
      </w:r>
      <w:r w:rsidRPr="00797DE5">
        <w:rPr>
          <w:rFonts w:ascii="Times New Roman" w:eastAsia="Times New Roman" w:hAnsi="Times New Roman" w:cs="Times New Roman"/>
          <w:sz w:val="24"/>
          <w:szCs w:val="24"/>
          <w:lang w:eastAsia="cs-CZ"/>
        </w:rPr>
        <w:t xml:space="preserve"> vo vecne príslušných oblastiach.</w:t>
      </w:r>
    </w:p>
    <w:p w:rsidR="00AA17E3" w:rsidRPr="00797DE5"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sz w:val="24"/>
          <w:szCs w:val="24"/>
          <w:lang w:eastAsia="cs-CZ"/>
        </w:rPr>
        <w:t xml:space="preserve">Výdavky kapitoly </w:t>
      </w:r>
      <w:r>
        <w:rPr>
          <w:rFonts w:ascii="Times New Roman" w:eastAsia="Times New Roman" w:hAnsi="Times New Roman" w:cs="Times New Roman"/>
          <w:sz w:val="24"/>
          <w:szCs w:val="24"/>
          <w:lang w:eastAsia="cs-CZ"/>
        </w:rPr>
        <w:t xml:space="preserve">Všeobecná pokladničná správa </w:t>
      </w:r>
      <w:r w:rsidRPr="00797DE5">
        <w:rPr>
          <w:rFonts w:ascii="Times New Roman" w:eastAsia="Times New Roman" w:hAnsi="Times New Roman" w:cs="Times New Roman"/>
          <w:sz w:val="24"/>
          <w:szCs w:val="24"/>
          <w:lang w:eastAsia="cs-CZ"/>
        </w:rPr>
        <w:t>možno rozčleniť do piatich základných skupín, a to rezervy, finančné vzťahy súvisiace s rozpočtom EÚ, výdavky spojené so správou št</w:t>
      </w:r>
      <w:r w:rsidR="005202C6">
        <w:rPr>
          <w:rFonts w:ascii="Times New Roman" w:eastAsia="Times New Roman" w:hAnsi="Times New Roman" w:cs="Times New Roman"/>
          <w:sz w:val="24"/>
          <w:szCs w:val="24"/>
          <w:lang w:eastAsia="cs-CZ"/>
        </w:rPr>
        <w:t>átneho dlhu, finančné vzťahy k S</w:t>
      </w:r>
      <w:r w:rsidRPr="00797DE5">
        <w:rPr>
          <w:rFonts w:ascii="Times New Roman" w:eastAsia="Times New Roman" w:hAnsi="Times New Roman" w:cs="Times New Roman"/>
          <w:sz w:val="24"/>
          <w:szCs w:val="24"/>
          <w:lang w:eastAsia="cs-CZ"/>
        </w:rPr>
        <w:t xml:space="preserve">ociálnej poisťovni a ostatné výdavky. </w:t>
      </w:r>
      <w:r w:rsidRPr="00797DE5">
        <w:rPr>
          <w:rFonts w:ascii="Times New Roman" w:eastAsia="Times New Roman" w:hAnsi="Times New Roman" w:cs="Times New Roman"/>
          <w:color w:val="000000" w:themeColor="text1"/>
          <w:sz w:val="24"/>
          <w:szCs w:val="24"/>
          <w:lang w:eastAsia="cs-CZ"/>
        </w:rPr>
        <w:t xml:space="preserve">Celkový objem výdavkov </w:t>
      </w:r>
      <w:r>
        <w:rPr>
          <w:rFonts w:ascii="Times New Roman" w:eastAsia="Times New Roman" w:hAnsi="Times New Roman" w:cs="Times New Roman"/>
          <w:color w:val="000000" w:themeColor="text1"/>
          <w:sz w:val="24"/>
          <w:szCs w:val="24"/>
          <w:lang w:eastAsia="cs-CZ"/>
        </w:rPr>
        <w:t>kapitoly na rok 2022 predstavuje 6 244</w:t>
      </w:r>
      <w:r w:rsidRPr="00797DE5">
        <w:rPr>
          <w:rFonts w:ascii="Times New Roman" w:eastAsia="Times New Roman" w:hAnsi="Times New Roman" w:cs="Times New Roman"/>
          <w:color w:val="000000" w:themeColor="text1"/>
          <w:sz w:val="24"/>
          <w:szCs w:val="24"/>
          <w:lang w:eastAsia="cs-CZ"/>
        </w:rPr>
        <w:t xml:space="preserve"> mil. eur.</w:t>
      </w:r>
    </w:p>
    <w:p w:rsidR="00FD61F0" w:rsidRDefault="00FD61F0" w:rsidP="00AA17E3">
      <w:pPr>
        <w:spacing w:after="0" w:line="240" w:lineRule="auto"/>
        <w:jc w:val="both"/>
        <w:rPr>
          <w:rFonts w:ascii="Times New Roman" w:eastAsia="Times New Roman" w:hAnsi="Times New Roman" w:cs="Times New Roman"/>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499" w:name="_Toc84528458"/>
      <w:bookmarkStart w:id="500" w:name="_Toc84845334"/>
      <w:r w:rsidRPr="00797DE5">
        <w:rPr>
          <w:rFonts w:ascii="Times New Roman" w:hAnsi="Times New Roman" w:cs="Times New Roman"/>
          <w:b/>
          <w:iCs/>
          <w:color w:val="5B9BD5" w:themeColor="accent1"/>
          <w:sz w:val="20"/>
          <w:szCs w:val="20"/>
        </w:rPr>
        <w:t xml:space="preserve">Tabuľka </w:t>
      </w:r>
      <w:r w:rsidRPr="00797DE5">
        <w:rPr>
          <w:rFonts w:ascii="Times New Roman" w:hAnsi="Times New Roman" w:cs="Times New Roman"/>
          <w:b/>
          <w:iCs/>
          <w:color w:val="5B9BD5" w:themeColor="accent1"/>
          <w:sz w:val="20"/>
          <w:szCs w:val="20"/>
        </w:rPr>
        <w:fldChar w:fldCharType="begin"/>
      </w:r>
      <w:r w:rsidRPr="00797DE5">
        <w:rPr>
          <w:rFonts w:ascii="Times New Roman" w:hAnsi="Times New Roman" w:cs="Times New Roman"/>
          <w:b/>
          <w:iCs/>
          <w:color w:val="5B9BD5" w:themeColor="accent1"/>
          <w:sz w:val="20"/>
          <w:szCs w:val="20"/>
        </w:rPr>
        <w:instrText xml:space="preserve"> SEQ Tabuľka \* ARABIC </w:instrText>
      </w:r>
      <w:r w:rsidRPr="00797DE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110</w:t>
      </w:r>
      <w:r w:rsidRPr="00797DE5">
        <w:rPr>
          <w:rFonts w:ascii="Times New Roman" w:hAnsi="Times New Roman" w:cs="Times New Roman"/>
          <w:b/>
          <w:iCs/>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Štruktúra výdavkov kapitoly</w:t>
      </w:r>
      <w:bookmarkEnd w:id="499"/>
      <w:bookmarkEnd w:id="500"/>
    </w:p>
    <w:tbl>
      <w:tblPr>
        <w:tblW w:w="9094" w:type="dxa"/>
        <w:tblCellMar>
          <w:left w:w="70" w:type="dxa"/>
          <w:right w:w="70" w:type="dxa"/>
        </w:tblCellMar>
        <w:tblLook w:val="04A0" w:firstRow="1" w:lastRow="0" w:firstColumn="1" w:lastColumn="0" w:noHBand="0" w:noVBand="1"/>
      </w:tblPr>
      <w:tblGrid>
        <w:gridCol w:w="3572"/>
        <w:gridCol w:w="788"/>
        <w:gridCol w:w="788"/>
        <w:gridCol w:w="788"/>
        <w:gridCol w:w="794"/>
        <w:gridCol w:w="788"/>
        <w:gridCol w:w="788"/>
        <w:gridCol w:w="788"/>
      </w:tblGrid>
      <w:tr w:rsidR="00AA17E3" w:rsidRPr="0007160F" w:rsidTr="00AA17E3">
        <w:trPr>
          <w:trHeight w:val="322"/>
        </w:trPr>
        <w:tc>
          <w:tcPr>
            <w:tcW w:w="3572" w:type="dxa"/>
            <w:tcBorders>
              <w:top w:val="single" w:sz="4" w:space="0" w:color="auto"/>
              <w:left w:val="nil"/>
              <w:bottom w:val="single" w:sz="4" w:space="0" w:color="auto"/>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v tis. eur</w:t>
            </w:r>
          </w:p>
        </w:tc>
        <w:tc>
          <w:tcPr>
            <w:tcW w:w="788" w:type="dxa"/>
            <w:tcBorders>
              <w:top w:val="single" w:sz="4" w:space="0" w:color="auto"/>
              <w:left w:val="nil"/>
              <w:bottom w:val="single" w:sz="4" w:space="0" w:color="auto"/>
              <w:right w:val="nil"/>
            </w:tcBorders>
            <w:shd w:val="clear" w:color="auto" w:fill="auto"/>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2019 S</w:t>
            </w:r>
          </w:p>
        </w:tc>
        <w:tc>
          <w:tcPr>
            <w:tcW w:w="788" w:type="dxa"/>
            <w:tcBorders>
              <w:top w:val="single" w:sz="4" w:space="0" w:color="auto"/>
              <w:left w:val="nil"/>
              <w:bottom w:val="single" w:sz="4" w:space="0" w:color="auto"/>
              <w:right w:val="nil"/>
            </w:tcBorders>
            <w:shd w:val="clear" w:color="auto" w:fill="auto"/>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2020 S</w:t>
            </w:r>
          </w:p>
        </w:tc>
        <w:tc>
          <w:tcPr>
            <w:tcW w:w="788" w:type="dxa"/>
            <w:tcBorders>
              <w:top w:val="single" w:sz="4" w:space="0" w:color="auto"/>
              <w:left w:val="nil"/>
              <w:bottom w:val="single" w:sz="4" w:space="0" w:color="auto"/>
              <w:right w:val="nil"/>
            </w:tcBorders>
            <w:shd w:val="clear" w:color="auto" w:fill="auto"/>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2021 R</w:t>
            </w:r>
          </w:p>
        </w:tc>
        <w:tc>
          <w:tcPr>
            <w:tcW w:w="794" w:type="dxa"/>
            <w:tcBorders>
              <w:top w:val="single" w:sz="4" w:space="0" w:color="auto"/>
              <w:left w:val="nil"/>
              <w:bottom w:val="single" w:sz="4" w:space="0" w:color="auto"/>
              <w:right w:val="nil"/>
            </w:tcBorders>
            <w:shd w:val="clear" w:color="auto" w:fill="auto"/>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2021 OS*</w:t>
            </w:r>
          </w:p>
        </w:tc>
        <w:tc>
          <w:tcPr>
            <w:tcW w:w="788" w:type="dxa"/>
            <w:tcBorders>
              <w:top w:val="single" w:sz="4" w:space="0" w:color="auto"/>
              <w:left w:val="nil"/>
              <w:bottom w:val="single" w:sz="4" w:space="0" w:color="auto"/>
              <w:right w:val="nil"/>
            </w:tcBorders>
            <w:shd w:val="clear" w:color="auto" w:fill="auto"/>
            <w:noWrap/>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2022 N</w:t>
            </w:r>
          </w:p>
        </w:tc>
        <w:tc>
          <w:tcPr>
            <w:tcW w:w="788" w:type="dxa"/>
            <w:tcBorders>
              <w:top w:val="single" w:sz="4" w:space="0" w:color="auto"/>
              <w:left w:val="nil"/>
              <w:bottom w:val="single" w:sz="4" w:space="0" w:color="auto"/>
              <w:right w:val="nil"/>
            </w:tcBorders>
            <w:shd w:val="clear" w:color="auto" w:fill="auto"/>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2023 N</w:t>
            </w:r>
          </w:p>
        </w:tc>
        <w:tc>
          <w:tcPr>
            <w:tcW w:w="788" w:type="dxa"/>
            <w:tcBorders>
              <w:top w:val="single" w:sz="4" w:space="0" w:color="auto"/>
              <w:left w:val="nil"/>
              <w:bottom w:val="single" w:sz="4" w:space="0" w:color="auto"/>
              <w:right w:val="nil"/>
            </w:tcBorders>
            <w:shd w:val="clear" w:color="auto" w:fill="auto"/>
            <w:vAlign w:val="center"/>
            <w:hideMark/>
          </w:tcPr>
          <w:p w:rsidR="00AA17E3" w:rsidRPr="0007160F" w:rsidRDefault="00AA17E3" w:rsidP="00AA17E3">
            <w:pPr>
              <w:spacing w:after="0" w:line="240" w:lineRule="auto"/>
              <w:jc w:val="right"/>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2024 N</w:t>
            </w:r>
          </w:p>
        </w:tc>
      </w:tr>
      <w:tr w:rsidR="00AA17E3" w:rsidRPr="0007160F" w:rsidTr="00AA17E3">
        <w:trPr>
          <w:trHeight w:val="322"/>
        </w:trPr>
        <w:tc>
          <w:tcPr>
            <w:tcW w:w="3572" w:type="dxa"/>
            <w:tcBorders>
              <w:top w:val="nil"/>
              <w:left w:val="nil"/>
              <w:bottom w:val="nil"/>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b/>
                <w:bCs/>
                <w:sz w:val="16"/>
                <w:szCs w:val="16"/>
                <w:lang w:eastAsia="sk-SK"/>
              </w:rPr>
            </w:pPr>
            <w:r w:rsidRPr="0007160F">
              <w:rPr>
                <w:rFonts w:ascii="Times New Roman" w:eastAsia="Times New Roman" w:hAnsi="Times New Roman" w:cs="Times New Roman"/>
                <w:b/>
                <w:bCs/>
                <w:sz w:val="16"/>
                <w:szCs w:val="16"/>
                <w:lang w:eastAsia="sk-SK"/>
              </w:rPr>
              <w:t>Výdavky spolu</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1 950 643</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4 657 939</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6 736 978</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4 031 965</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6 244 117</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5 988 527</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hAnsi="Times New Roman" w:cs="Times New Roman"/>
                <w:b/>
                <w:bCs/>
                <w:sz w:val="16"/>
                <w:szCs w:val="16"/>
              </w:rPr>
              <w:t>6 819 626</w:t>
            </w:r>
          </w:p>
        </w:tc>
      </w:tr>
      <w:tr w:rsidR="00AA17E3" w:rsidRPr="0007160F" w:rsidTr="00AA17E3">
        <w:trPr>
          <w:trHeight w:val="322"/>
        </w:trPr>
        <w:tc>
          <w:tcPr>
            <w:tcW w:w="3572" w:type="dxa"/>
            <w:tcBorders>
              <w:top w:val="nil"/>
              <w:left w:val="nil"/>
              <w:bottom w:val="nil"/>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sz w:val="16"/>
                <w:szCs w:val="16"/>
                <w:lang w:eastAsia="sk-SK"/>
              </w:rPr>
            </w:pPr>
            <w:r w:rsidRPr="0007160F">
              <w:rPr>
                <w:rFonts w:ascii="Times New Roman" w:eastAsia="Times New Roman" w:hAnsi="Times New Roman" w:cs="Times New Roman"/>
                <w:sz w:val="16"/>
                <w:szCs w:val="16"/>
                <w:lang w:eastAsia="sk-SK"/>
              </w:rPr>
              <w:t>Rezervy</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41 797</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4 273</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1 695 604</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663 809</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1 752 294</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738 282</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842 484</w:t>
            </w:r>
          </w:p>
        </w:tc>
      </w:tr>
      <w:tr w:rsidR="00AA17E3" w:rsidRPr="0007160F" w:rsidTr="00AA17E3">
        <w:trPr>
          <w:trHeight w:val="322"/>
        </w:trPr>
        <w:tc>
          <w:tcPr>
            <w:tcW w:w="3572" w:type="dxa"/>
            <w:tcBorders>
              <w:top w:val="nil"/>
              <w:left w:val="nil"/>
              <w:bottom w:val="nil"/>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sz w:val="16"/>
                <w:szCs w:val="16"/>
                <w:lang w:eastAsia="sk-SK"/>
              </w:rPr>
            </w:pPr>
            <w:r w:rsidRPr="0007160F">
              <w:rPr>
                <w:rFonts w:ascii="Times New Roman" w:eastAsia="Times New Roman" w:hAnsi="Times New Roman" w:cs="Times New Roman"/>
                <w:sz w:val="16"/>
                <w:szCs w:val="16"/>
                <w:lang w:eastAsia="sk-SK"/>
              </w:rPr>
              <w:t>Finančné vzťahy súvisiace s rozpočtom EÚ</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772 318</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1 223 310</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1 386 060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1 044 487</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1 104 460</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1 747 319</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2 417 247</w:t>
            </w:r>
          </w:p>
        </w:tc>
      </w:tr>
      <w:tr w:rsidR="00AA17E3" w:rsidRPr="0007160F" w:rsidTr="00AA17E3">
        <w:trPr>
          <w:trHeight w:val="322"/>
        </w:trPr>
        <w:tc>
          <w:tcPr>
            <w:tcW w:w="3572" w:type="dxa"/>
            <w:tcBorders>
              <w:top w:val="nil"/>
              <w:left w:val="nil"/>
              <w:bottom w:val="nil"/>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sz w:val="16"/>
                <w:szCs w:val="16"/>
                <w:lang w:eastAsia="sk-SK"/>
              </w:rPr>
            </w:pPr>
            <w:r w:rsidRPr="0007160F">
              <w:rPr>
                <w:rFonts w:ascii="Times New Roman" w:eastAsia="Times New Roman" w:hAnsi="Times New Roman" w:cs="Times New Roman"/>
                <w:sz w:val="16"/>
                <w:szCs w:val="16"/>
                <w:lang w:eastAsia="sk-SK"/>
              </w:rPr>
              <w:t>Výdavky spojené so správou štátneho dlhu</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1 037 178</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796 973</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1 112 350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690 115</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1 089 976</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1 171 003</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1 134 959</w:t>
            </w:r>
          </w:p>
        </w:tc>
      </w:tr>
      <w:tr w:rsidR="00AA17E3" w:rsidRPr="0007160F" w:rsidTr="00AA17E3">
        <w:trPr>
          <w:trHeight w:val="322"/>
        </w:trPr>
        <w:tc>
          <w:tcPr>
            <w:tcW w:w="3572" w:type="dxa"/>
            <w:tcBorders>
              <w:top w:val="nil"/>
              <w:left w:val="nil"/>
              <w:bottom w:val="nil"/>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sz w:val="16"/>
                <w:szCs w:val="16"/>
                <w:lang w:eastAsia="sk-SK"/>
              </w:rPr>
            </w:pPr>
            <w:r w:rsidRPr="0007160F">
              <w:rPr>
                <w:rFonts w:ascii="Times New Roman" w:eastAsia="Times New Roman" w:hAnsi="Times New Roman" w:cs="Times New Roman"/>
                <w:sz w:val="16"/>
                <w:szCs w:val="16"/>
                <w:lang w:eastAsia="sk-SK"/>
              </w:rPr>
              <w:t>Finančné vzťahy k Sociálnej poisťovni</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0</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969 865</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839 198</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749 198</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400 000</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450 000</w:t>
            </w:r>
          </w:p>
        </w:tc>
        <w:tc>
          <w:tcPr>
            <w:tcW w:w="788"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650 000</w:t>
            </w:r>
          </w:p>
        </w:tc>
      </w:tr>
      <w:tr w:rsidR="00AA17E3" w:rsidRPr="0007160F" w:rsidTr="00AA17E3">
        <w:trPr>
          <w:trHeight w:val="322"/>
        </w:trPr>
        <w:tc>
          <w:tcPr>
            <w:tcW w:w="3572" w:type="dxa"/>
            <w:tcBorders>
              <w:top w:val="nil"/>
              <w:left w:val="nil"/>
              <w:bottom w:val="single" w:sz="4" w:space="0" w:color="auto"/>
              <w:right w:val="nil"/>
            </w:tcBorders>
            <w:shd w:val="clear" w:color="auto" w:fill="auto"/>
            <w:noWrap/>
            <w:vAlign w:val="center"/>
            <w:hideMark/>
          </w:tcPr>
          <w:p w:rsidR="00AA17E3" w:rsidRPr="0007160F" w:rsidRDefault="00AA17E3" w:rsidP="00AA17E3">
            <w:pPr>
              <w:spacing w:after="0" w:line="240" w:lineRule="auto"/>
              <w:rPr>
                <w:rFonts w:ascii="Times New Roman" w:eastAsia="Times New Roman" w:hAnsi="Times New Roman" w:cs="Times New Roman"/>
                <w:sz w:val="16"/>
                <w:szCs w:val="16"/>
                <w:lang w:eastAsia="sk-SK"/>
              </w:rPr>
            </w:pPr>
            <w:r w:rsidRPr="0007160F">
              <w:rPr>
                <w:rFonts w:ascii="Times New Roman" w:eastAsia="Times New Roman" w:hAnsi="Times New Roman" w:cs="Times New Roman"/>
                <w:sz w:val="16"/>
                <w:szCs w:val="16"/>
                <w:lang w:eastAsia="sk-SK"/>
              </w:rPr>
              <w:t>Ostatné</w:t>
            </w:r>
          </w:p>
        </w:tc>
        <w:tc>
          <w:tcPr>
            <w:tcW w:w="788"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99 350</w:t>
            </w:r>
          </w:p>
        </w:tc>
        <w:tc>
          <w:tcPr>
            <w:tcW w:w="788"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1 663 518</w:t>
            </w:r>
          </w:p>
        </w:tc>
        <w:tc>
          <w:tcPr>
            <w:tcW w:w="788"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1 703 764</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884 356</w:t>
            </w:r>
          </w:p>
        </w:tc>
        <w:tc>
          <w:tcPr>
            <w:tcW w:w="788"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1 897 387</w:t>
            </w:r>
          </w:p>
        </w:tc>
        <w:tc>
          <w:tcPr>
            <w:tcW w:w="788"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1 881 923</w:t>
            </w:r>
          </w:p>
        </w:tc>
        <w:tc>
          <w:tcPr>
            <w:tcW w:w="788"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1 774 936</w:t>
            </w:r>
          </w:p>
        </w:tc>
      </w:tr>
    </w:tbl>
    <w:p w:rsidR="00AA17E3" w:rsidRPr="00F7006D"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4"/>
          <w:szCs w:val="14"/>
          <w:lang w:eastAsia="cs-CZ"/>
        </w:rPr>
      </w:pPr>
      <w:r w:rsidRPr="006D0E08">
        <w:rPr>
          <w:rFonts w:ascii="Times New Roman" w:eastAsia="Times New Roman" w:hAnsi="Times New Roman" w:cs="Times New Roman"/>
          <w:color w:val="000000" w:themeColor="text1"/>
          <w:sz w:val="14"/>
          <w:szCs w:val="14"/>
          <w:lang w:eastAsia="cs-CZ"/>
        </w:rPr>
        <w:t>*</w:t>
      </w:r>
      <w:r w:rsidRPr="00F7006D">
        <w:rPr>
          <w:rFonts w:ascii="Times New Roman" w:eastAsia="Times New Roman" w:hAnsi="Times New Roman" w:cs="Times New Roman"/>
          <w:color w:val="000000" w:themeColor="text1"/>
          <w:sz w:val="16"/>
          <w:szCs w:val="16"/>
          <w:lang w:eastAsia="cs-CZ"/>
        </w:rPr>
        <w:t xml:space="preserve"> </w:t>
      </w:r>
      <w:r w:rsidRPr="00F7006D">
        <w:rPr>
          <w:rFonts w:ascii="Times New Roman" w:eastAsia="Times New Roman" w:hAnsi="Times New Roman" w:cs="Times New Roman"/>
          <w:color w:val="000000" w:themeColor="text1"/>
          <w:sz w:val="14"/>
          <w:szCs w:val="14"/>
          <w:lang w:eastAsia="cs-CZ"/>
        </w:rPr>
        <w:t xml:space="preserve">v očakávanej skutočnosti v roku 2021 sú započítané výdavky súvisiace so zákonom č. 231/2021 Z. z., </w:t>
      </w:r>
      <w:r>
        <w:rPr>
          <w:rFonts w:ascii="Times New Roman" w:eastAsia="Times New Roman" w:hAnsi="Times New Roman" w:cs="Times New Roman"/>
          <w:color w:val="000000" w:themeColor="text1"/>
          <w:sz w:val="14"/>
          <w:szCs w:val="14"/>
          <w:lang w:eastAsia="cs-CZ"/>
        </w:rPr>
        <w:t xml:space="preserve">                                                                  </w:t>
      </w:r>
      <w:r w:rsidRPr="00797DE5">
        <w:rPr>
          <w:rFonts w:ascii="Times New Roman" w:eastAsia="Times New Roman" w:hAnsi="Times New Roman" w:cs="Times New Roman"/>
          <w:i/>
          <w:color w:val="000000"/>
          <w:sz w:val="16"/>
          <w:szCs w:val="16"/>
          <w:lang w:eastAsia="cs-CZ"/>
        </w:rPr>
        <w:t>Zdroj: MF SR</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6"/>
          <w:szCs w:val="16"/>
          <w:lang w:eastAsia="cs-CZ"/>
        </w:rPr>
      </w:pPr>
      <w:r>
        <w:rPr>
          <w:rFonts w:ascii="Times New Roman" w:eastAsia="Times New Roman" w:hAnsi="Times New Roman" w:cs="Times New Roman"/>
          <w:color w:val="000000" w:themeColor="text1"/>
          <w:sz w:val="14"/>
          <w:szCs w:val="14"/>
          <w:lang w:eastAsia="cs-CZ"/>
        </w:rPr>
        <w:t xml:space="preserve">   </w:t>
      </w:r>
      <w:r w:rsidRPr="00F7006D">
        <w:rPr>
          <w:rFonts w:ascii="Times New Roman" w:eastAsia="Times New Roman" w:hAnsi="Times New Roman" w:cs="Times New Roman"/>
          <w:color w:val="000000" w:themeColor="text1"/>
          <w:sz w:val="14"/>
          <w:szCs w:val="14"/>
          <w:lang w:eastAsia="cs-CZ"/>
        </w:rPr>
        <w:t xml:space="preserve">ktorým sa mení a dopĺňa zákon č. 425/2020 Z. z. o štátnom rozpočte na rok 2021 </w:t>
      </w:r>
      <w:r w:rsidR="00B302BE">
        <w:rPr>
          <w:rFonts w:ascii="Times New Roman" w:eastAsia="Times New Roman" w:hAnsi="Times New Roman" w:cs="Times New Roman"/>
          <w:color w:val="000000" w:themeColor="text1"/>
          <w:sz w:val="16"/>
          <w:szCs w:val="16"/>
          <w:lang w:eastAsia="cs-CZ"/>
        </w:rPr>
        <w:t xml:space="preserve">   </w:t>
      </w:r>
      <w:r>
        <w:rPr>
          <w:rFonts w:ascii="Times New Roman" w:eastAsia="Times New Roman" w:hAnsi="Times New Roman" w:cs="Times New Roman"/>
          <w:color w:val="000000" w:themeColor="text1"/>
          <w:sz w:val="16"/>
          <w:szCs w:val="16"/>
          <w:lang w:eastAsia="cs-CZ"/>
        </w:rPr>
        <w:t xml:space="preserve">                                                                      </w:t>
      </w:r>
    </w:p>
    <w:p w:rsidR="00756EC8" w:rsidRPr="00B302BE" w:rsidRDefault="00756EC8"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sz w:val="24"/>
          <w:szCs w:val="16"/>
          <w:lang w:eastAsia="cs-CZ"/>
        </w:rPr>
      </w:pPr>
    </w:p>
    <w:p w:rsidR="00AA17E3" w:rsidRDefault="00AA17E3" w:rsidP="00AA17E3">
      <w:pPr>
        <w:pStyle w:val="Popis"/>
        <w:keepNext/>
        <w:spacing w:after="0"/>
        <w:rPr>
          <w:rFonts w:ascii="Times New Roman" w:eastAsia="Times New Roman" w:hAnsi="Times New Roman" w:cs="Times New Roman"/>
          <w:i w:val="0"/>
          <w:color w:val="000000"/>
          <w:sz w:val="16"/>
          <w:szCs w:val="16"/>
          <w:lang w:eastAsia="cs-CZ"/>
        </w:rPr>
      </w:pPr>
      <w:bookmarkStart w:id="501" w:name="_Toc84528539"/>
      <w:bookmarkStart w:id="502" w:name="_Toc84848030"/>
      <w:r w:rsidRPr="006B209A">
        <w:rPr>
          <w:rFonts w:ascii="Times New Roman" w:hAnsi="Times New Roman" w:cs="Times New Roman"/>
          <w:b/>
          <w:i w:val="0"/>
          <w:color w:val="5B9BD5" w:themeColor="accent1"/>
          <w:sz w:val="20"/>
          <w:szCs w:val="20"/>
        </w:rPr>
        <w:t xml:space="preserve">Graf </w:t>
      </w:r>
      <w:r w:rsidRPr="006B209A">
        <w:rPr>
          <w:rFonts w:ascii="Times New Roman" w:hAnsi="Times New Roman" w:cs="Times New Roman"/>
          <w:b/>
          <w:i w:val="0"/>
          <w:color w:val="5B9BD5" w:themeColor="accent1"/>
          <w:sz w:val="20"/>
          <w:szCs w:val="20"/>
        </w:rPr>
        <w:fldChar w:fldCharType="begin"/>
      </w:r>
      <w:r w:rsidRPr="006B209A">
        <w:rPr>
          <w:rFonts w:ascii="Times New Roman" w:hAnsi="Times New Roman" w:cs="Times New Roman"/>
          <w:b/>
          <w:i w:val="0"/>
          <w:color w:val="5B9BD5" w:themeColor="accent1"/>
          <w:sz w:val="20"/>
          <w:szCs w:val="20"/>
        </w:rPr>
        <w:instrText xml:space="preserve"> SEQ Obrázok \* ARABIC </w:instrText>
      </w:r>
      <w:r w:rsidRPr="006B209A">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39</w:t>
      </w:r>
      <w:r w:rsidRPr="006B209A">
        <w:rPr>
          <w:rFonts w:ascii="Times New Roman" w:hAnsi="Times New Roman" w:cs="Times New Roman"/>
          <w:b/>
          <w:i w:val="0"/>
          <w:color w:val="5B9BD5" w:themeColor="accent1"/>
          <w:sz w:val="20"/>
          <w:szCs w:val="20"/>
        </w:rPr>
        <w:fldChar w:fldCharType="end"/>
      </w:r>
      <w:r w:rsidR="00441800">
        <w:rPr>
          <w:rFonts w:ascii="Times New Roman" w:hAnsi="Times New Roman" w:cs="Times New Roman"/>
          <w:b/>
          <w:i w:val="0"/>
          <w:color w:val="5B9BD5" w:themeColor="accent1"/>
          <w:sz w:val="20"/>
          <w:szCs w:val="20"/>
        </w:rPr>
        <w:t xml:space="preserve"> -</w:t>
      </w:r>
      <w:r w:rsidRPr="005D438F">
        <w:rPr>
          <w:rFonts w:ascii="Times New Roman" w:hAnsi="Times New Roman" w:cs="Times New Roman"/>
          <w:b/>
          <w:i w:val="0"/>
          <w:color w:val="5B9BD5" w:themeColor="accent1"/>
          <w:sz w:val="20"/>
          <w:szCs w:val="20"/>
        </w:rPr>
        <w:t xml:space="preserve"> Štruktúra v</w:t>
      </w:r>
      <w:r>
        <w:rPr>
          <w:rFonts w:ascii="Times New Roman" w:hAnsi="Times New Roman" w:cs="Times New Roman"/>
          <w:b/>
          <w:i w:val="0"/>
          <w:color w:val="5B9BD5" w:themeColor="accent1"/>
          <w:sz w:val="20"/>
          <w:szCs w:val="20"/>
        </w:rPr>
        <w:t>ýdavkov kapitoly na roky 2022 - 2024</w:t>
      </w:r>
      <w:bookmarkEnd w:id="501"/>
      <w:bookmarkEnd w:id="502"/>
      <w:r w:rsidR="00756EC8">
        <w:rPr>
          <w:rFonts w:ascii="Times New Roman" w:eastAsia="Times New Roman" w:hAnsi="Times New Roman" w:cs="Times New Roman"/>
          <w:i w:val="0"/>
          <w:color w:val="000000"/>
          <w:sz w:val="16"/>
          <w:szCs w:val="16"/>
          <w:lang w:eastAsia="cs-CZ"/>
        </w:rPr>
        <w:t xml:space="preserve">        </w:t>
      </w:r>
    </w:p>
    <w:p w:rsidR="00AA17E3" w:rsidRDefault="00AA17E3" w:rsidP="00AA17E3">
      <w:pPr>
        <w:pStyle w:val="Popis"/>
        <w:keepNext/>
        <w:spacing w:after="0"/>
        <w:rPr>
          <w:rFonts w:ascii="Times New Roman" w:eastAsia="Times New Roman" w:hAnsi="Times New Roman" w:cs="Times New Roman"/>
          <w:i w:val="0"/>
          <w:color w:val="000000"/>
          <w:sz w:val="16"/>
          <w:szCs w:val="16"/>
          <w:lang w:eastAsia="cs-CZ"/>
        </w:rPr>
      </w:pPr>
      <w:r>
        <w:rPr>
          <w:noProof/>
          <w:lang w:eastAsia="sk-SK"/>
        </w:rPr>
        <w:drawing>
          <wp:inline distT="0" distB="0" distL="0" distR="0" wp14:anchorId="2BDD0D7F" wp14:editId="5A5B9162">
            <wp:extent cx="5760720" cy="2535942"/>
            <wp:effectExtent l="0" t="0" r="11430" b="1714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Times New Roman" w:eastAsia="Times New Roman" w:hAnsi="Times New Roman" w:cs="Times New Roman"/>
          <w:i w:val="0"/>
          <w:color w:val="000000"/>
          <w:sz w:val="16"/>
          <w:szCs w:val="16"/>
          <w:lang w:eastAsia="cs-CZ"/>
        </w:rPr>
        <w:t xml:space="preserve">                                                                                                                                                                                                                                 </w:t>
      </w:r>
    </w:p>
    <w:p w:rsidR="00AA17E3" w:rsidRPr="00CA024F" w:rsidRDefault="00AA17E3" w:rsidP="00AA17E3">
      <w:pPr>
        <w:pStyle w:val="Popis"/>
        <w:keepNext/>
        <w:spacing w:after="0"/>
        <w:ind w:left="7080" w:firstLine="708"/>
        <w:rPr>
          <w:noProof/>
          <w:lang w:eastAsia="sk-SK"/>
        </w:rPr>
      </w:pPr>
      <w:r>
        <w:rPr>
          <w:rFonts w:ascii="Times New Roman" w:eastAsia="Times New Roman" w:hAnsi="Times New Roman" w:cs="Times New Roman"/>
          <w:color w:val="000000"/>
          <w:sz w:val="16"/>
          <w:szCs w:val="16"/>
          <w:lang w:eastAsia="cs-CZ"/>
        </w:rPr>
        <w:t xml:space="preserve">         </w:t>
      </w:r>
      <w:r w:rsidRPr="00AD0664">
        <w:rPr>
          <w:rFonts w:ascii="Times New Roman" w:eastAsia="Times New Roman" w:hAnsi="Times New Roman" w:cs="Times New Roman"/>
          <w:color w:val="000000"/>
          <w:sz w:val="16"/>
          <w:szCs w:val="16"/>
          <w:lang w:eastAsia="cs-CZ"/>
        </w:rPr>
        <w:t>Zdroj: MF SR</w:t>
      </w:r>
    </w:p>
    <w:p w:rsidR="00FA7DE1" w:rsidRDefault="00FA7DE1" w:rsidP="00756EC8">
      <w:pPr>
        <w:spacing w:after="0" w:line="240" w:lineRule="auto"/>
        <w:jc w:val="both"/>
        <w:rPr>
          <w:rFonts w:ascii="Times New Roman" w:eastAsia="Times New Roman" w:hAnsi="Times New Roman" w:cs="Times New Roman"/>
          <w:b/>
          <w:bCs/>
          <w:iCs/>
          <w:color w:val="5B9BD5" w:themeColor="accent1"/>
          <w:sz w:val="24"/>
          <w:szCs w:val="24"/>
          <w:lang w:eastAsia="sk-SK"/>
        </w:rPr>
      </w:pPr>
    </w:p>
    <w:p w:rsidR="00AA17E3" w:rsidRDefault="00AA17E3" w:rsidP="00756EC8">
      <w:pPr>
        <w:spacing w:after="0" w:line="240" w:lineRule="auto"/>
        <w:jc w:val="both"/>
        <w:rPr>
          <w:rFonts w:ascii="Times New Roman" w:eastAsia="Times New Roman" w:hAnsi="Times New Roman" w:cs="Times New Roman"/>
          <w:b/>
          <w:bCs/>
          <w:iCs/>
          <w:color w:val="5B9BD5" w:themeColor="accent1"/>
          <w:sz w:val="24"/>
          <w:szCs w:val="24"/>
          <w:lang w:eastAsia="sk-SK"/>
        </w:rPr>
      </w:pPr>
      <w:r>
        <w:rPr>
          <w:rFonts w:ascii="Times New Roman" w:eastAsia="Times New Roman" w:hAnsi="Times New Roman" w:cs="Times New Roman"/>
          <w:b/>
          <w:bCs/>
          <w:iCs/>
          <w:color w:val="5B9BD5" w:themeColor="accent1"/>
          <w:sz w:val="24"/>
          <w:szCs w:val="24"/>
          <w:lang w:eastAsia="sk-SK"/>
        </w:rPr>
        <w:t>Rozpočtové r</w:t>
      </w:r>
      <w:r w:rsidRPr="00797DE5">
        <w:rPr>
          <w:rFonts w:ascii="Times New Roman" w:eastAsia="Times New Roman" w:hAnsi="Times New Roman" w:cs="Times New Roman"/>
          <w:b/>
          <w:bCs/>
          <w:iCs/>
          <w:color w:val="5B9BD5" w:themeColor="accent1"/>
          <w:sz w:val="24"/>
          <w:szCs w:val="24"/>
          <w:lang w:eastAsia="sk-SK"/>
        </w:rPr>
        <w:t>ezervy</w:t>
      </w:r>
    </w:p>
    <w:p w:rsidR="00FA7DE1" w:rsidRPr="00797DE5" w:rsidRDefault="00FA7DE1" w:rsidP="00756EC8">
      <w:pPr>
        <w:spacing w:after="0" w:line="240" w:lineRule="auto"/>
        <w:jc w:val="both"/>
        <w:rPr>
          <w:rFonts w:ascii="Times New Roman" w:eastAsia="Times New Roman" w:hAnsi="Times New Roman" w:cs="Times New Roman"/>
          <w:b/>
          <w:bCs/>
          <w:iCs/>
          <w:color w:val="5B9BD5" w:themeColor="accent1"/>
          <w:sz w:val="24"/>
          <w:szCs w:val="24"/>
          <w:lang w:eastAsia="sk-SK"/>
        </w:rPr>
      </w:pPr>
    </w:p>
    <w:p w:rsidR="00AA17E3" w:rsidRPr="00797DE5"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Na krytie nepredvídaných výdavkov nevyhnutných na zabezpečenie rozpočtového hospodárenia alebo na krytie zníženia rozpočtovaných príjmov sa vytvárajú v štátnom rozpočte rozpočtové rezervy.</w:t>
      </w:r>
    </w:p>
    <w:p w:rsidR="00AA17E3" w:rsidRPr="00797DE5"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Pr="00797DE5"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 xml:space="preserve">V tejto skupine výdavkov sa </w:t>
      </w:r>
      <w:r>
        <w:rPr>
          <w:rFonts w:ascii="Times New Roman" w:eastAsia="Times New Roman" w:hAnsi="Times New Roman" w:cs="Times New Roman"/>
          <w:color w:val="000000" w:themeColor="text1"/>
          <w:sz w:val="24"/>
          <w:szCs w:val="24"/>
          <w:lang w:eastAsia="cs-CZ"/>
        </w:rPr>
        <w:t xml:space="preserve">na rok 2022 </w:t>
      </w:r>
      <w:r w:rsidRPr="00797DE5">
        <w:rPr>
          <w:rFonts w:ascii="Times New Roman" w:eastAsia="Times New Roman" w:hAnsi="Times New Roman" w:cs="Times New Roman"/>
          <w:color w:val="000000" w:themeColor="text1"/>
          <w:sz w:val="24"/>
          <w:szCs w:val="24"/>
          <w:lang w:eastAsia="cs-CZ"/>
        </w:rPr>
        <w:t xml:space="preserve">rozpočtuje </w:t>
      </w:r>
      <w:r>
        <w:rPr>
          <w:rFonts w:ascii="Times New Roman" w:eastAsia="Times New Roman" w:hAnsi="Times New Roman" w:cs="Times New Roman"/>
          <w:color w:val="000000" w:themeColor="text1"/>
          <w:sz w:val="24"/>
          <w:szCs w:val="24"/>
          <w:lang w:eastAsia="cs-CZ"/>
        </w:rPr>
        <w:t xml:space="preserve">rozpočtová </w:t>
      </w:r>
      <w:r w:rsidRPr="00797DE5">
        <w:rPr>
          <w:rFonts w:ascii="Times New Roman" w:eastAsia="Times New Roman" w:hAnsi="Times New Roman" w:cs="Times New Roman"/>
          <w:color w:val="000000" w:themeColor="text1"/>
          <w:sz w:val="24"/>
          <w:szCs w:val="24"/>
          <w:lang w:eastAsia="cs-CZ"/>
        </w:rPr>
        <w:t xml:space="preserve">rezerva </w:t>
      </w:r>
    </w:p>
    <w:p w:rsidR="00AA17E3" w:rsidRPr="00797DE5"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 xml:space="preserve">vlády, </w:t>
      </w:r>
    </w:p>
    <w:p w:rsidR="00AA17E3"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na prostriedky EÚ a odvody EÚ,</w:t>
      </w:r>
    </w:p>
    <w:p w:rsidR="00AA17E3" w:rsidRPr="00797DE5"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 xml:space="preserve">na riešenie </w:t>
      </w:r>
      <w:r w:rsidRPr="00142428">
        <w:rPr>
          <w:rFonts w:ascii="Times New Roman" w:eastAsia="Times New Roman" w:hAnsi="Times New Roman" w:cs="Times New Roman"/>
          <w:color w:val="000000" w:themeColor="text1"/>
          <w:sz w:val="24"/>
          <w:szCs w:val="24"/>
          <w:lang w:eastAsia="cs-CZ"/>
        </w:rPr>
        <w:t>vplyvov legislatívnych zmien</w:t>
      </w:r>
      <w:r w:rsidRPr="00797DE5">
        <w:rPr>
          <w:rFonts w:ascii="Times New Roman" w:eastAsia="Times New Roman" w:hAnsi="Times New Roman" w:cs="Times New Roman"/>
          <w:color w:val="000000" w:themeColor="text1"/>
          <w:sz w:val="24"/>
          <w:szCs w:val="24"/>
          <w:lang w:eastAsia="cs-CZ"/>
        </w:rPr>
        <w:t xml:space="preserve">, </w:t>
      </w:r>
    </w:p>
    <w:p w:rsidR="00AA17E3" w:rsidRPr="00797DE5"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 xml:space="preserve">na </w:t>
      </w:r>
      <w:r w:rsidRPr="00797DE5">
        <w:rPr>
          <w:rFonts w:ascii="Times New Roman" w:eastAsia="Times New Roman" w:hAnsi="Times New Roman" w:cs="Times New Roman"/>
          <w:sz w:val="24"/>
          <w:szCs w:val="24"/>
          <w:lang w:eastAsia="cs-CZ"/>
        </w:rPr>
        <w:t>riešenie krízových situácií mimo času vojny a vojnového stavu a vykonávanie povodňových prác</w:t>
      </w:r>
      <w:r w:rsidRPr="00797DE5">
        <w:rPr>
          <w:rFonts w:ascii="Times New Roman" w:eastAsia="Times New Roman" w:hAnsi="Times New Roman" w:cs="Times New Roman"/>
          <w:color w:val="000000" w:themeColor="text1"/>
          <w:sz w:val="24"/>
          <w:szCs w:val="24"/>
          <w:lang w:eastAsia="cs-CZ"/>
        </w:rPr>
        <w:t xml:space="preserve">, </w:t>
      </w:r>
    </w:p>
    <w:p w:rsidR="00AA17E3" w:rsidRPr="00797DE5"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797DE5">
        <w:rPr>
          <w:rFonts w:ascii="Times New Roman" w:eastAsia="Times New Roman" w:hAnsi="Times New Roman" w:cs="Times New Roman"/>
          <w:color w:val="000000" w:themeColor="text1"/>
          <w:sz w:val="24"/>
          <w:szCs w:val="24"/>
          <w:lang w:eastAsia="cs-CZ"/>
        </w:rPr>
        <w:t xml:space="preserve">na realizáciu súdnych a exekučných rozhodnutí, </w:t>
      </w:r>
    </w:p>
    <w:p w:rsidR="00AA17E3"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na mzdy a poistné,</w:t>
      </w:r>
    </w:p>
    <w:p w:rsidR="00AA17E3"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na negatívne </w:t>
      </w:r>
      <w:r w:rsidR="008A7FC3">
        <w:rPr>
          <w:rFonts w:ascii="Times New Roman" w:eastAsia="Times New Roman" w:hAnsi="Times New Roman" w:cs="Times New Roman"/>
          <w:color w:val="000000" w:themeColor="text1"/>
          <w:sz w:val="24"/>
          <w:szCs w:val="24"/>
          <w:lang w:eastAsia="cs-CZ"/>
        </w:rPr>
        <w:t>vplyvy pandémie ochorenia COVID-</w:t>
      </w:r>
      <w:r>
        <w:rPr>
          <w:rFonts w:ascii="Times New Roman" w:eastAsia="Times New Roman" w:hAnsi="Times New Roman" w:cs="Times New Roman"/>
          <w:color w:val="000000" w:themeColor="text1"/>
          <w:sz w:val="24"/>
          <w:szCs w:val="24"/>
          <w:lang w:eastAsia="cs-CZ"/>
        </w:rPr>
        <w:t>19</w:t>
      </w:r>
      <w:r w:rsidR="008A7FC3">
        <w:rPr>
          <w:rFonts w:ascii="Times New Roman" w:eastAsia="Times New Roman" w:hAnsi="Times New Roman" w:cs="Times New Roman"/>
          <w:color w:val="000000" w:themeColor="text1"/>
          <w:sz w:val="24"/>
          <w:szCs w:val="24"/>
          <w:lang w:eastAsia="cs-CZ"/>
        </w:rPr>
        <w:t>,</w:t>
      </w:r>
    </w:p>
    <w:p w:rsidR="00AA17E3" w:rsidRDefault="00AA17E3" w:rsidP="004B108F">
      <w:pPr>
        <w:numPr>
          <w:ilvl w:val="0"/>
          <w:numId w:val="18"/>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3620E0">
        <w:rPr>
          <w:rFonts w:ascii="Times New Roman" w:eastAsia="Times New Roman" w:hAnsi="Times New Roman" w:cs="Times New Roman"/>
          <w:color w:val="000000" w:themeColor="text1"/>
          <w:sz w:val="24"/>
          <w:szCs w:val="24"/>
          <w:lang w:eastAsia="cs-CZ"/>
        </w:rPr>
        <w:t>na výdavky v zdravotníctve.</w:t>
      </w:r>
    </w:p>
    <w:p w:rsidR="00FD61F0" w:rsidRDefault="00FD61F0" w:rsidP="00FD61F0">
      <w:pPr>
        <w:spacing w:after="0" w:line="240" w:lineRule="auto"/>
        <w:contextualSpacing/>
        <w:jc w:val="both"/>
        <w:rPr>
          <w:rFonts w:ascii="Times New Roman" w:eastAsia="Times New Roman" w:hAnsi="Times New Roman" w:cs="Times New Roman"/>
          <w:color w:val="000000" w:themeColor="text1"/>
          <w:sz w:val="24"/>
          <w:szCs w:val="24"/>
          <w:lang w:eastAsia="cs-CZ"/>
        </w:rPr>
      </w:pPr>
    </w:p>
    <w:p w:rsidR="00FD61F0" w:rsidRDefault="00FD61F0" w:rsidP="00FD61F0">
      <w:pPr>
        <w:spacing w:after="0" w:line="240" w:lineRule="auto"/>
        <w:contextualSpacing/>
        <w:jc w:val="both"/>
        <w:rPr>
          <w:rFonts w:ascii="Times New Roman" w:eastAsia="Times New Roman" w:hAnsi="Times New Roman" w:cs="Times New Roman"/>
          <w:color w:val="000000" w:themeColor="text1"/>
          <w:sz w:val="24"/>
          <w:szCs w:val="24"/>
          <w:lang w:eastAsia="cs-CZ"/>
        </w:rPr>
      </w:pPr>
    </w:p>
    <w:p w:rsidR="00FD61F0" w:rsidRDefault="00FD61F0" w:rsidP="00FD61F0">
      <w:pPr>
        <w:spacing w:after="0" w:line="240" w:lineRule="auto"/>
        <w:contextualSpacing/>
        <w:jc w:val="both"/>
        <w:rPr>
          <w:rFonts w:ascii="Times New Roman" w:eastAsia="Times New Roman" w:hAnsi="Times New Roman" w:cs="Times New Roman"/>
          <w:color w:val="000000" w:themeColor="text1"/>
          <w:sz w:val="24"/>
          <w:szCs w:val="24"/>
          <w:lang w:eastAsia="cs-CZ"/>
        </w:rPr>
      </w:pPr>
    </w:p>
    <w:p w:rsidR="00FD61F0" w:rsidRPr="003620E0" w:rsidRDefault="00FD61F0" w:rsidP="00FD61F0">
      <w:pPr>
        <w:spacing w:after="0" w:line="240" w:lineRule="auto"/>
        <w:contextualSpacing/>
        <w:jc w:val="both"/>
        <w:rPr>
          <w:rFonts w:ascii="Times New Roman" w:eastAsia="Times New Roman" w:hAnsi="Times New Roman" w:cs="Times New Roman"/>
          <w:color w:val="000000" w:themeColor="text1"/>
          <w:sz w:val="24"/>
          <w:szCs w:val="24"/>
          <w:lang w:eastAsia="cs-CZ"/>
        </w:rPr>
      </w:pPr>
    </w:p>
    <w:p w:rsidR="00B302BE" w:rsidRDefault="00B302BE"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503" w:name="_Toc84528459"/>
      <w:bookmarkStart w:id="504" w:name="_Toc84845335"/>
      <w:r w:rsidRPr="00797DE5">
        <w:rPr>
          <w:rFonts w:ascii="Times New Roman" w:hAnsi="Times New Roman" w:cs="Times New Roman"/>
          <w:b/>
          <w:iCs/>
          <w:color w:val="5B9BD5" w:themeColor="accent1"/>
          <w:sz w:val="20"/>
          <w:szCs w:val="20"/>
        </w:rPr>
        <w:t xml:space="preserve">Tabuľka </w:t>
      </w:r>
      <w:r w:rsidRPr="00797DE5">
        <w:rPr>
          <w:rFonts w:ascii="Times New Roman" w:hAnsi="Times New Roman" w:cs="Times New Roman"/>
          <w:b/>
          <w:iCs/>
          <w:color w:val="5B9BD5" w:themeColor="accent1"/>
          <w:sz w:val="20"/>
          <w:szCs w:val="20"/>
        </w:rPr>
        <w:fldChar w:fldCharType="begin"/>
      </w:r>
      <w:r w:rsidRPr="00797DE5">
        <w:rPr>
          <w:rFonts w:ascii="Times New Roman" w:hAnsi="Times New Roman" w:cs="Times New Roman"/>
          <w:b/>
          <w:iCs/>
          <w:color w:val="5B9BD5" w:themeColor="accent1"/>
          <w:sz w:val="20"/>
          <w:szCs w:val="20"/>
        </w:rPr>
        <w:instrText xml:space="preserve"> SEQ Tabuľka \* ARABIC </w:instrText>
      </w:r>
      <w:r w:rsidRPr="00797DE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111</w:t>
      </w:r>
      <w:r w:rsidRPr="00797DE5">
        <w:rPr>
          <w:rFonts w:ascii="Times New Roman" w:hAnsi="Times New Roman" w:cs="Times New Roman"/>
          <w:b/>
          <w:iCs/>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w:t>
      </w:r>
      <w:r>
        <w:rPr>
          <w:rFonts w:ascii="Times New Roman" w:hAnsi="Times New Roman" w:cs="Times New Roman"/>
          <w:b/>
          <w:iCs/>
          <w:color w:val="5B9BD5" w:themeColor="accent1"/>
          <w:sz w:val="20"/>
          <w:szCs w:val="20"/>
        </w:rPr>
        <w:t>–</w:t>
      </w:r>
      <w:r w:rsidRPr="00797DE5">
        <w:rPr>
          <w:rFonts w:ascii="Times New Roman" w:hAnsi="Times New Roman" w:cs="Times New Roman"/>
          <w:b/>
          <w:iCs/>
          <w:color w:val="5B9BD5" w:themeColor="accent1"/>
          <w:sz w:val="20"/>
          <w:szCs w:val="20"/>
        </w:rPr>
        <w:t xml:space="preserve"> Rezervy</w:t>
      </w:r>
      <w:bookmarkEnd w:id="503"/>
      <w:bookmarkEnd w:id="504"/>
    </w:p>
    <w:tbl>
      <w:tblPr>
        <w:tblW w:w="9102" w:type="dxa"/>
        <w:tblCellMar>
          <w:left w:w="70" w:type="dxa"/>
          <w:right w:w="70" w:type="dxa"/>
        </w:tblCellMar>
        <w:tblLook w:val="04A0" w:firstRow="1" w:lastRow="0" w:firstColumn="1" w:lastColumn="0" w:noHBand="0" w:noVBand="1"/>
      </w:tblPr>
      <w:tblGrid>
        <w:gridCol w:w="3544"/>
        <w:gridCol w:w="794"/>
        <w:gridCol w:w="794"/>
        <w:gridCol w:w="794"/>
        <w:gridCol w:w="794"/>
        <w:gridCol w:w="794"/>
        <w:gridCol w:w="794"/>
        <w:gridCol w:w="794"/>
      </w:tblGrid>
      <w:tr w:rsidR="00AA17E3" w:rsidRPr="001F09D2" w:rsidTr="00AA17E3">
        <w:trPr>
          <w:trHeight w:val="227"/>
        </w:trPr>
        <w:tc>
          <w:tcPr>
            <w:tcW w:w="3544" w:type="dxa"/>
            <w:tcBorders>
              <w:top w:val="single" w:sz="4" w:space="0" w:color="auto"/>
              <w:left w:val="nil"/>
              <w:bottom w:val="single" w:sz="4" w:space="0" w:color="auto"/>
              <w:right w:val="nil"/>
            </w:tcBorders>
            <w:shd w:val="clear" w:color="auto" w:fill="auto"/>
            <w:noWrap/>
            <w:vAlign w:val="center"/>
            <w:hideMark/>
          </w:tcPr>
          <w:p w:rsidR="00AA17E3" w:rsidRPr="001F09D2" w:rsidRDefault="00AA17E3" w:rsidP="00AA17E3">
            <w:pPr>
              <w:spacing w:after="0" w:line="240" w:lineRule="auto"/>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v tis. eur</w:t>
            </w:r>
          </w:p>
        </w:tc>
        <w:tc>
          <w:tcPr>
            <w:tcW w:w="794" w:type="dxa"/>
            <w:tcBorders>
              <w:top w:val="single" w:sz="4" w:space="0" w:color="auto"/>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2019 S</w:t>
            </w:r>
          </w:p>
        </w:tc>
        <w:tc>
          <w:tcPr>
            <w:tcW w:w="794" w:type="dxa"/>
            <w:tcBorders>
              <w:top w:val="single" w:sz="4" w:space="0" w:color="auto"/>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2020 S</w:t>
            </w:r>
          </w:p>
        </w:tc>
        <w:tc>
          <w:tcPr>
            <w:tcW w:w="794" w:type="dxa"/>
            <w:tcBorders>
              <w:top w:val="single" w:sz="4" w:space="0" w:color="auto"/>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2021 R</w:t>
            </w:r>
          </w:p>
        </w:tc>
        <w:tc>
          <w:tcPr>
            <w:tcW w:w="794" w:type="dxa"/>
            <w:tcBorders>
              <w:top w:val="single" w:sz="4" w:space="0" w:color="auto"/>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2021 OS</w:t>
            </w:r>
          </w:p>
        </w:tc>
        <w:tc>
          <w:tcPr>
            <w:tcW w:w="794" w:type="dxa"/>
            <w:tcBorders>
              <w:top w:val="single" w:sz="4" w:space="0" w:color="auto"/>
              <w:left w:val="nil"/>
              <w:bottom w:val="single" w:sz="4" w:space="0" w:color="auto"/>
              <w:right w:val="nil"/>
            </w:tcBorders>
            <w:shd w:val="clear" w:color="auto" w:fill="auto"/>
            <w:noWrap/>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2022 N</w:t>
            </w:r>
          </w:p>
        </w:tc>
        <w:tc>
          <w:tcPr>
            <w:tcW w:w="794" w:type="dxa"/>
            <w:tcBorders>
              <w:top w:val="single" w:sz="4" w:space="0" w:color="auto"/>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2023 N</w:t>
            </w:r>
          </w:p>
        </w:tc>
        <w:tc>
          <w:tcPr>
            <w:tcW w:w="794" w:type="dxa"/>
            <w:tcBorders>
              <w:top w:val="single" w:sz="4" w:space="0" w:color="auto"/>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2024 N</w:t>
            </w:r>
          </w:p>
        </w:tc>
      </w:tr>
      <w:tr w:rsidR="00AA17E3" w:rsidRPr="001F09D2" w:rsidTr="00AA17E3">
        <w:trPr>
          <w:trHeight w:val="227"/>
        </w:trPr>
        <w:tc>
          <w:tcPr>
            <w:tcW w:w="3544" w:type="dxa"/>
            <w:tcBorders>
              <w:top w:val="nil"/>
              <w:left w:val="nil"/>
              <w:bottom w:val="nil"/>
              <w:right w:val="nil"/>
            </w:tcBorders>
            <w:shd w:val="clear" w:color="auto" w:fill="auto"/>
            <w:noWrap/>
            <w:vAlign w:val="center"/>
            <w:hideMark/>
          </w:tcPr>
          <w:p w:rsidR="00AA17E3" w:rsidRPr="001F09D2" w:rsidRDefault="00AA17E3" w:rsidP="00AA17E3">
            <w:pPr>
              <w:spacing w:after="0" w:line="240" w:lineRule="auto"/>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Rezervy</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41 797</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4 273</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1 695 604</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663 809</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1 752 294</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738 282</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b/>
                <w:bCs/>
                <w:sz w:val="16"/>
                <w:szCs w:val="16"/>
                <w:lang w:eastAsia="sk-SK"/>
              </w:rPr>
            </w:pPr>
            <w:r w:rsidRPr="001F09D2">
              <w:rPr>
                <w:rFonts w:ascii="Times New Roman" w:eastAsia="Times New Roman" w:hAnsi="Times New Roman" w:cs="Times New Roman"/>
                <w:b/>
                <w:bCs/>
                <w:sz w:val="16"/>
                <w:szCs w:val="16"/>
                <w:lang w:eastAsia="sk-SK"/>
              </w:rPr>
              <w:t>842 484</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Rezerva vlády</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5 083</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1 015</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5 000</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Rezerva na prostriedky EÚ a odvody EÚ</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3 218</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433 191</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107 000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483 191</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155 000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155 000</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Rezerva na riešenie vplyvov legislatívnych zmien</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111 291</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6 223</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130 634</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192 147</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235 735</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Rezerva na riešenie krízových situácií mimo času vojny a vojnového stavu a vykonávanie povodňových opatrení</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1 187</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35</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11 000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4 845</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11 000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11 000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11 000</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 xml:space="preserve">Rezerva na realizáciu súdnych a exekučných rozhodnutí </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35 526</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6</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20 055</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479</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10 000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10 000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10 000</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Rezerva na mzdy a poistné</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74 067</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38 173</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175 029</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145 134</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205 748</w:t>
            </w:r>
          </w:p>
        </w:tc>
      </w:tr>
      <w:tr w:rsidR="00AA17E3" w:rsidRPr="001F09D2" w:rsidTr="00AA17E3">
        <w:trPr>
          <w:trHeight w:val="227"/>
        </w:trPr>
        <w:tc>
          <w:tcPr>
            <w:tcW w:w="354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 xml:space="preserve">Rezerva na negatívne </w:t>
            </w:r>
            <w:r w:rsidR="009122CF">
              <w:rPr>
                <w:rFonts w:ascii="Times New Roman" w:eastAsia="Times New Roman" w:hAnsi="Times New Roman" w:cs="Times New Roman"/>
                <w:sz w:val="16"/>
                <w:szCs w:val="16"/>
                <w:lang w:eastAsia="sk-SK"/>
              </w:rPr>
              <w:t>vplyvy pandémie ochorenia COVID-</w:t>
            </w:r>
            <w:r w:rsidRPr="001F09D2">
              <w:rPr>
                <w:rFonts w:ascii="Times New Roman" w:eastAsia="Times New Roman" w:hAnsi="Times New Roman" w:cs="Times New Roman"/>
                <w:sz w:val="16"/>
                <w:szCs w:val="16"/>
                <w:lang w:eastAsia="sk-SK"/>
              </w:rPr>
              <w:t>19</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1 041 000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502 089</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717 441</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r>
      <w:tr w:rsidR="00AA17E3" w:rsidRPr="001F09D2" w:rsidTr="00AA17E3">
        <w:trPr>
          <w:trHeight w:val="227"/>
        </w:trPr>
        <w:tc>
          <w:tcPr>
            <w:tcW w:w="354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Rezerva na výdavky v zdravotníctve</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220 000</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220 000</w:t>
            </w:r>
          </w:p>
        </w:tc>
        <w:tc>
          <w:tcPr>
            <w:tcW w:w="794" w:type="dxa"/>
            <w:tcBorders>
              <w:top w:val="nil"/>
              <w:left w:val="nil"/>
              <w:bottom w:val="single" w:sz="4" w:space="0" w:color="auto"/>
              <w:right w:val="nil"/>
            </w:tcBorders>
            <w:shd w:val="clear" w:color="auto" w:fill="auto"/>
            <w:vAlign w:val="center"/>
            <w:hideMark/>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eastAsia="Times New Roman" w:hAnsi="Times New Roman" w:cs="Times New Roman"/>
                <w:sz w:val="16"/>
                <w:szCs w:val="16"/>
                <w:lang w:eastAsia="sk-SK"/>
              </w:rPr>
              <w:t>220 000</w:t>
            </w:r>
          </w:p>
        </w:tc>
      </w:tr>
    </w:tbl>
    <w:p w:rsidR="00AA17E3" w:rsidRPr="00F7006D"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4"/>
          <w:szCs w:val="14"/>
          <w:lang w:eastAsia="cs-CZ"/>
        </w:rPr>
      </w:pPr>
      <w:r w:rsidRPr="006D0E08">
        <w:rPr>
          <w:rFonts w:ascii="Times New Roman" w:eastAsia="Times New Roman" w:hAnsi="Times New Roman" w:cs="Times New Roman"/>
          <w:color w:val="000000" w:themeColor="text1"/>
          <w:sz w:val="14"/>
          <w:szCs w:val="14"/>
          <w:lang w:eastAsia="cs-CZ"/>
        </w:rPr>
        <w:t>*</w:t>
      </w:r>
      <w:r w:rsidRPr="00F7006D">
        <w:rPr>
          <w:rFonts w:ascii="Times New Roman" w:eastAsia="Times New Roman" w:hAnsi="Times New Roman" w:cs="Times New Roman"/>
          <w:color w:val="000000" w:themeColor="text1"/>
          <w:sz w:val="16"/>
          <w:szCs w:val="16"/>
          <w:lang w:eastAsia="cs-CZ"/>
        </w:rPr>
        <w:t xml:space="preserve"> </w:t>
      </w:r>
      <w:r w:rsidRPr="00F7006D">
        <w:rPr>
          <w:rFonts w:ascii="Times New Roman" w:eastAsia="Times New Roman" w:hAnsi="Times New Roman" w:cs="Times New Roman"/>
          <w:color w:val="000000" w:themeColor="text1"/>
          <w:sz w:val="14"/>
          <w:szCs w:val="14"/>
          <w:lang w:eastAsia="cs-CZ"/>
        </w:rPr>
        <w:t xml:space="preserve">v očakávanej skutočnosti v roku 2021 sú započítané výdavky súvisiace so zákonom č. 231/2021 Z. z., </w:t>
      </w:r>
      <w:r>
        <w:rPr>
          <w:rFonts w:ascii="Times New Roman" w:eastAsia="Times New Roman" w:hAnsi="Times New Roman" w:cs="Times New Roman"/>
          <w:color w:val="000000" w:themeColor="text1"/>
          <w:sz w:val="14"/>
          <w:szCs w:val="14"/>
          <w:lang w:eastAsia="cs-CZ"/>
        </w:rPr>
        <w:t xml:space="preserve">                                                                  </w:t>
      </w:r>
      <w:r w:rsidRPr="00797DE5">
        <w:rPr>
          <w:rFonts w:ascii="Times New Roman" w:eastAsia="Times New Roman" w:hAnsi="Times New Roman" w:cs="Times New Roman"/>
          <w:i/>
          <w:color w:val="000000"/>
          <w:sz w:val="16"/>
          <w:szCs w:val="16"/>
          <w:lang w:eastAsia="cs-CZ"/>
        </w:rPr>
        <w:t>Zdroj: MF SR</w:t>
      </w:r>
    </w:p>
    <w:p w:rsidR="00AA17E3" w:rsidRPr="00797DE5" w:rsidRDefault="00AA17E3" w:rsidP="00B302BE">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sz w:val="16"/>
          <w:szCs w:val="16"/>
          <w:lang w:eastAsia="cs-CZ"/>
        </w:rPr>
      </w:pPr>
      <w:r>
        <w:rPr>
          <w:rFonts w:ascii="Times New Roman" w:eastAsia="Times New Roman" w:hAnsi="Times New Roman" w:cs="Times New Roman"/>
          <w:color w:val="000000" w:themeColor="text1"/>
          <w:sz w:val="14"/>
          <w:szCs w:val="14"/>
          <w:lang w:eastAsia="cs-CZ"/>
        </w:rPr>
        <w:t xml:space="preserve">   </w:t>
      </w:r>
      <w:r w:rsidRPr="00F7006D">
        <w:rPr>
          <w:rFonts w:ascii="Times New Roman" w:eastAsia="Times New Roman" w:hAnsi="Times New Roman" w:cs="Times New Roman"/>
          <w:color w:val="000000" w:themeColor="text1"/>
          <w:sz w:val="14"/>
          <w:szCs w:val="14"/>
          <w:lang w:eastAsia="cs-CZ"/>
        </w:rPr>
        <w:t xml:space="preserve">ktorým sa mení a dopĺňa zákon č. 425/2020 Z. z. o štátnom rozpočte na rok 2021 </w:t>
      </w:r>
      <w:r>
        <w:rPr>
          <w:rFonts w:ascii="Times New Roman" w:eastAsia="Times New Roman" w:hAnsi="Times New Roman" w:cs="Times New Roman"/>
          <w:color w:val="000000" w:themeColor="text1"/>
          <w:sz w:val="16"/>
          <w:szCs w:val="16"/>
          <w:lang w:eastAsia="cs-CZ"/>
        </w:rPr>
        <w:t xml:space="preserve">                                                                             </w:t>
      </w:r>
    </w:p>
    <w:p w:rsidR="00B302BE" w:rsidRPr="00B302BE" w:rsidRDefault="00B302BE" w:rsidP="00AA17E3">
      <w:pPr>
        <w:pStyle w:val="Popis"/>
        <w:keepNext/>
        <w:spacing w:after="0"/>
        <w:ind w:left="45"/>
        <w:rPr>
          <w:rFonts w:ascii="Times New Roman" w:hAnsi="Times New Roman" w:cs="Times New Roman"/>
          <w:b/>
          <w:i w:val="0"/>
          <w:color w:val="5B9BD5" w:themeColor="accent1"/>
          <w:sz w:val="24"/>
          <w:szCs w:val="20"/>
        </w:rPr>
      </w:pPr>
      <w:bookmarkStart w:id="505" w:name="_Toc84528540"/>
    </w:p>
    <w:p w:rsidR="00AA17E3" w:rsidRDefault="00AA17E3" w:rsidP="00B302BE">
      <w:pPr>
        <w:pStyle w:val="Popis"/>
        <w:keepNext/>
        <w:spacing w:after="0"/>
        <w:ind w:left="45"/>
        <w:rPr>
          <w:rFonts w:ascii="Times New Roman" w:hAnsi="Times New Roman" w:cs="Times New Roman"/>
          <w:b/>
          <w:i w:val="0"/>
          <w:color w:val="5B9BD5" w:themeColor="accent1"/>
          <w:sz w:val="20"/>
          <w:szCs w:val="20"/>
        </w:rPr>
      </w:pPr>
      <w:bookmarkStart w:id="506" w:name="_Toc84848031"/>
      <w:r w:rsidRPr="006B209A">
        <w:rPr>
          <w:rFonts w:ascii="Times New Roman" w:hAnsi="Times New Roman" w:cs="Times New Roman"/>
          <w:b/>
          <w:i w:val="0"/>
          <w:color w:val="5B9BD5" w:themeColor="accent1"/>
          <w:sz w:val="20"/>
          <w:szCs w:val="20"/>
        </w:rPr>
        <w:t xml:space="preserve">Graf </w:t>
      </w:r>
      <w:r w:rsidRPr="006B209A">
        <w:rPr>
          <w:rFonts w:ascii="Times New Roman" w:hAnsi="Times New Roman" w:cs="Times New Roman"/>
          <w:b/>
          <w:i w:val="0"/>
          <w:color w:val="5B9BD5" w:themeColor="accent1"/>
          <w:sz w:val="20"/>
          <w:szCs w:val="20"/>
        </w:rPr>
        <w:fldChar w:fldCharType="begin"/>
      </w:r>
      <w:r w:rsidRPr="006B209A">
        <w:rPr>
          <w:rFonts w:ascii="Times New Roman" w:hAnsi="Times New Roman" w:cs="Times New Roman"/>
          <w:b/>
          <w:i w:val="0"/>
          <w:color w:val="5B9BD5" w:themeColor="accent1"/>
          <w:sz w:val="20"/>
          <w:szCs w:val="20"/>
        </w:rPr>
        <w:instrText xml:space="preserve"> SEQ Obrázok \* ARABIC </w:instrText>
      </w:r>
      <w:r w:rsidRPr="006B209A">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40</w:t>
      </w:r>
      <w:r w:rsidRPr="006B209A">
        <w:rPr>
          <w:rFonts w:ascii="Times New Roman" w:hAnsi="Times New Roman" w:cs="Times New Roman"/>
          <w:b/>
          <w:i w:val="0"/>
          <w:color w:val="5B9BD5" w:themeColor="accent1"/>
          <w:sz w:val="20"/>
          <w:szCs w:val="20"/>
        </w:rPr>
        <w:fldChar w:fldCharType="end"/>
      </w:r>
      <w:r w:rsidR="00441800">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Štruktúra rezerv kapitoly na rok 2022</w:t>
      </w:r>
      <w:bookmarkEnd w:id="505"/>
      <w:bookmarkEnd w:id="506"/>
      <w:r>
        <w:rPr>
          <w:rFonts w:ascii="Times New Roman" w:hAnsi="Times New Roman" w:cs="Times New Roman"/>
          <w:b/>
          <w:i w:val="0"/>
          <w:color w:val="5B9BD5" w:themeColor="accent1"/>
          <w:sz w:val="20"/>
          <w:szCs w:val="20"/>
        </w:rPr>
        <w:t xml:space="preserve">                                                                                  </w:t>
      </w:r>
    </w:p>
    <w:p w:rsidR="00AA17E3" w:rsidRDefault="009122CF" w:rsidP="00B302BE">
      <w:pPr>
        <w:pStyle w:val="Popis"/>
        <w:keepNext/>
        <w:spacing w:after="0"/>
        <w:ind w:left="45"/>
        <w:rPr>
          <w:rFonts w:ascii="Times New Roman" w:hAnsi="Times New Roman" w:cs="Times New Roman"/>
          <w:b/>
          <w:i w:val="0"/>
          <w:color w:val="5B9BD5" w:themeColor="accent1"/>
          <w:sz w:val="20"/>
          <w:szCs w:val="20"/>
        </w:rPr>
      </w:pPr>
      <w:r>
        <w:rPr>
          <w:noProof/>
          <w:lang w:eastAsia="sk-SK"/>
        </w:rPr>
        <w:drawing>
          <wp:inline distT="0" distB="0" distL="0" distR="0" wp14:anchorId="4BA3B828" wp14:editId="730FC798">
            <wp:extent cx="5707380" cy="2484120"/>
            <wp:effectExtent l="0" t="0" r="7620" b="11430"/>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A17E3" w:rsidRPr="00756EC8" w:rsidRDefault="00AA17E3" w:rsidP="00B302BE">
      <w:pPr>
        <w:pStyle w:val="Popis"/>
        <w:keepNext/>
        <w:spacing w:after="0"/>
        <w:ind w:left="45"/>
        <w:jc w:val="right"/>
        <w:rPr>
          <w:rFonts w:ascii="Times New Roman" w:hAnsi="Times New Roman" w:cs="Times New Roman"/>
          <w:b/>
          <w:i w:val="0"/>
          <w:color w:val="5B9BD5" w:themeColor="accent1"/>
          <w:sz w:val="20"/>
          <w:szCs w:val="20"/>
        </w:rPr>
      </w:pPr>
      <w:r>
        <w:rPr>
          <w:rFonts w:ascii="Times New Roman" w:eastAsia="Times New Roman" w:hAnsi="Times New Roman" w:cs="Times New Roman"/>
          <w:color w:val="000000"/>
          <w:sz w:val="16"/>
          <w:szCs w:val="16"/>
          <w:lang w:eastAsia="cs-CZ"/>
        </w:rPr>
        <w:t>Zd</w:t>
      </w:r>
      <w:r w:rsidRPr="00797DE5">
        <w:rPr>
          <w:rFonts w:ascii="Times New Roman" w:eastAsia="Times New Roman" w:hAnsi="Times New Roman" w:cs="Times New Roman"/>
          <w:color w:val="000000"/>
          <w:sz w:val="16"/>
          <w:szCs w:val="16"/>
          <w:lang w:eastAsia="cs-CZ"/>
        </w:rPr>
        <w:t>roj: MF SR</w:t>
      </w:r>
    </w:p>
    <w:p w:rsidR="00B302BE" w:rsidRDefault="00B302BE" w:rsidP="00B302BE">
      <w:pPr>
        <w:spacing w:after="0" w:line="240" w:lineRule="auto"/>
        <w:jc w:val="both"/>
        <w:rPr>
          <w:rFonts w:ascii="Times New Roman" w:eastAsia="Times New Roman" w:hAnsi="Times New Roman" w:cs="Times New Roman"/>
          <w:color w:val="000000" w:themeColor="text1"/>
          <w:sz w:val="24"/>
          <w:szCs w:val="24"/>
          <w:lang w:eastAsia="cs-CZ"/>
        </w:rPr>
      </w:pPr>
    </w:p>
    <w:p w:rsidR="00AA17E3" w:rsidRDefault="00AA17E3" w:rsidP="00B302BE">
      <w:pPr>
        <w:spacing w:after="0" w:line="240" w:lineRule="auto"/>
        <w:jc w:val="both"/>
        <w:rPr>
          <w:rFonts w:ascii="Times New Roman" w:eastAsia="Times New Roman" w:hAnsi="Times New Roman" w:cs="Times New Roman"/>
          <w:color w:val="000000" w:themeColor="text1"/>
          <w:sz w:val="24"/>
          <w:szCs w:val="24"/>
          <w:lang w:eastAsia="cs-CZ"/>
        </w:rPr>
      </w:pPr>
      <w:r w:rsidRPr="00A60CF0">
        <w:rPr>
          <w:rFonts w:ascii="Times New Roman" w:eastAsia="Times New Roman" w:hAnsi="Times New Roman" w:cs="Times New Roman"/>
          <w:color w:val="000000" w:themeColor="text1"/>
          <w:sz w:val="24"/>
          <w:szCs w:val="24"/>
          <w:lang w:eastAsia="cs-CZ"/>
        </w:rPr>
        <w:t>Rezerva vlády</w:t>
      </w:r>
      <w:r>
        <w:rPr>
          <w:rFonts w:ascii="Times New Roman" w:eastAsia="Times New Roman" w:hAnsi="Times New Roman" w:cs="Times New Roman"/>
          <w:color w:val="000000" w:themeColor="text1"/>
          <w:sz w:val="24"/>
          <w:szCs w:val="24"/>
          <w:lang w:eastAsia="cs-CZ"/>
        </w:rPr>
        <w:t xml:space="preserve"> sa v roku 2022</w:t>
      </w:r>
      <w:r w:rsidRPr="00797DE5">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rozpočtuje </w:t>
      </w:r>
      <w:r w:rsidRPr="00797DE5">
        <w:rPr>
          <w:rFonts w:ascii="Times New Roman" w:eastAsia="Times New Roman" w:hAnsi="Times New Roman" w:cs="Times New Roman"/>
          <w:color w:val="000000" w:themeColor="text1"/>
          <w:sz w:val="24"/>
          <w:szCs w:val="24"/>
          <w:lang w:eastAsia="cs-CZ"/>
        </w:rPr>
        <w:t>v sume 5 mil. eur, čo predstavuje rovnakú úroveň ako v</w:t>
      </w:r>
      <w:r>
        <w:rPr>
          <w:rFonts w:ascii="Times New Roman" w:eastAsia="Times New Roman" w:hAnsi="Times New Roman" w:cs="Times New Roman"/>
          <w:color w:val="000000" w:themeColor="text1"/>
          <w:sz w:val="24"/>
          <w:szCs w:val="24"/>
          <w:lang w:eastAsia="cs-CZ"/>
        </w:rPr>
        <w:t> predchádzajúcich rokoch</w:t>
      </w:r>
      <w:r w:rsidRPr="00797DE5">
        <w:rPr>
          <w:rFonts w:ascii="Times New Roman" w:eastAsia="Times New Roman" w:hAnsi="Times New Roman" w:cs="Times New Roman"/>
          <w:color w:val="000000" w:themeColor="text1"/>
          <w:sz w:val="24"/>
          <w:szCs w:val="24"/>
          <w:lang w:eastAsia="cs-CZ"/>
        </w:rPr>
        <w:t xml:space="preserve">. O použití prostriedkov </w:t>
      </w:r>
      <w:r>
        <w:rPr>
          <w:rFonts w:ascii="Times New Roman" w:eastAsia="Times New Roman" w:hAnsi="Times New Roman" w:cs="Times New Roman"/>
          <w:color w:val="000000" w:themeColor="text1"/>
          <w:sz w:val="24"/>
          <w:szCs w:val="24"/>
          <w:lang w:eastAsia="cs-CZ"/>
        </w:rPr>
        <w:t xml:space="preserve">tejto </w:t>
      </w:r>
      <w:r w:rsidRPr="00797DE5">
        <w:rPr>
          <w:rFonts w:ascii="Times New Roman" w:eastAsia="Times New Roman" w:hAnsi="Times New Roman" w:cs="Times New Roman"/>
          <w:color w:val="000000" w:themeColor="text1"/>
          <w:sz w:val="24"/>
          <w:szCs w:val="24"/>
          <w:lang w:eastAsia="cs-CZ"/>
        </w:rPr>
        <w:t>rezervy rozhoduje vláda na návrh ministra financií.</w:t>
      </w:r>
    </w:p>
    <w:p w:rsidR="00AA17E3"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Default="00AA17E3" w:rsidP="00AA17E3">
      <w:pPr>
        <w:spacing w:after="0" w:line="240" w:lineRule="auto"/>
        <w:jc w:val="both"/>
        <w:rPr>
          <w:rFonts w:ascii="Times New Roman" w:eastAsia="Times New Roman" w:hAnsi="Times New Roman" w:cs="Times New Roman"/>
          <w:bCs/>
          <w:color w:val="000000" w:themeColor="text1"/>
          <w:sz w:val="24"/>
          <w:szCs w:val="24"/>
          <w:lang w:eastAsia="cs-CZ"/>
        </w:rPr>
      </w:pPr>
      <w:r w:rsidRPr="00AD0664">
        <w:rPr>
          <w:rFonts w:ascii="Times New Roman" w:eastAsia="Times New Roman" w:hAnsi="Times New Roman" w:cs="Times New Roman"/>
          <w:bCs/>
          <w:color w:val="000000" w:themeColor="text1"/>
          <w:sz w:val="24"/>
          <w:szCs w:val="24"/>
          <w:lang w:eastAsia="cs-CZ"/>
        </w:rPr>
        <w:t>Rezerva na prostriedky Európskej únie a odvody Európskej únii</w:t>
      </w:r>
      <w:r w:rsidRPr="00904464">
        <w:rPr>
          <w:rFonts w:ascii="Times New Roman" w:eastAsia="Times New Roman" w:hAnsi="Times New Roman" w:cs="Times New Roman"/>
          <w:bCs/>
          <w:color w:val="000000" w:themeColor="text1"/>
          <w:sz w:val="24"/>
          <w:szCs w:val="24"/>
          <w:lang w:eastAsia="cs-CZ"/>
        </w:rPr>
        <w:t xml:space="preserve"> sa rozpočtuje </w:t>
      </w:r>
      <w:r w:rsidRPr="00904464">
        <w:rPr>
          <w:rFonts w:ascii="Times New Roman" w:eastAsia="Times New Roman" w:hAnsi="Times New Roman" w:cs="Times New Roman"/>
          <w:bCs/>
          <w:color w:val="000000" w:themeColor="text1"/>
          <w:sz w:val="24"/>
          <w:szCs w:val="24"/>
          <w:lang w:eastAsia="cs-CZ"/>
        </w:rPr>
        <w:br/>
        <w:t xml:space="preserve">na </w:t>
      </w:r>
      <w:r>
        <w:rPr>
          <w:rFonts w:ascii="Times New Roman" w:eastAsia="Times New Roman" w:hAnsi="Times New Roman" w:cs="Times New Roman"/>
          <w:bCs/>
          <w:color w:val="000000" w:themeColor="text1"/>
          <w:sz w:val="24"/>
          <w:szCs w:val="24"/>
          <w:lang w:eastAsia="cs-CZ"/>
        </w:rPr>
        <w:t xml:space="preserve">flexibilné </w:t>
      </w:r>
      <w:r w:rsidRPr="00904464">
        <w:rPr>
          <w:rFonts w:ascii="Times New Roman" w:eastAsia="Times New Roman" w:hAnsi="Times New Roman" w:cs="Times New Roman"/>
          <w:bCs/>
          <w:color w:val="000000" w:themeColor="text1"/>
          <w:sz w:val="24"/>
          <w:szCs w:val="24"/>
          <w:lang w:eastAsia="cs-CZ"/>
        </w:rPr>
        <w:t xml:space="preserve">administrovanie štrukturálnych fondov, Kohézneho fondu, príjmov z poľnohospodárskych fondov, na korekcie za poskytnuté prostriedky EÚ, na rýchlejšiu realizáciu a väčší počet projektov,  na výdavky na zefektívnenie systému finančného riadenia EÚ fondov a iných finančných nástrojov. </w:t>
      </w:r>
      <w:r w:rsidRPr="00B203DB">
        <w:rPr>
          <w:rFonts w:ascii="Times New Roman" w:eastAsia="Times New Roman" w:hAnsi="Times New Roman" w:cs="Times New Roman"/>
          <w:bCs/>
          <w:color w:val="000000" w:themeColor="text1"/>
          <w:sz w:val="24"/>
          <w:szCs w:val="24"/>
          <w:lang w:eastAsia="cs-CZ"/>
        </w:rPr>
        <w:t>Výšku uvedenej rezervy v roku 2022 významne ovplyv</w:t>
      </w:r>
      <w:r>
        <w:rPr>
          <w:rFonts w:ascii="Times New Roman" w:eastAsia="Times New Roman" w:hAnsi="Times New Roman" w:cs="Times New Roman"/>
          <w:bCs/>
          <w:color w:val="000000" w:themeColor="text1"/>
          <w:sz w:val="24"/>
          <w:szCs w:val="24"/>
          <w:lang w:eastAsia="cs-CZ"/>
        </w:rPr>
        <w:t>ňuje</w:t>
      </w:r>
      <w:r w:rsidRPr="00B203DB">
        <w:rPr>
          <w:rFonts w:ascii="Times New Roman" w:eastAsia="Times New Roman" w:hAnsi="Times New Roman" w:cs="Times New Roman"/>
          <w:bCs/>
          <w:color w:val="000000" w:themeColor="text1"/>
          <w:sz w:val="24"/>
          <w:szCs w:val="24"/>
          <w:lang w:eastAsia="cs-CZ"/>
        </w:rPr>
        <w:t xml:space="preserve"> suma 326 </w:t>
      </w:r>
      <w:r>
        <w:rPr>
          <w:rFonts w:ascii="Times New Roman" w:eastAsia="Times New Roman" w:hAnsi="Times New Roman" w:cs="Times New Roman"/>
          <w:bCs/>
          <w:color w:val="000000" w:themeColor="text1"/>
          <w:sz w:val="24"/>
          <w:szCs w:val="24"/>
          <w:lang w:eastAsia="cs-CZ"/>
        </w:rPr>
        <w:t>mil.</w:t>
      </w:r>
      <w:r w:rsidRPr="00B203DB">
        <w:rPr>
          <w:rFonts w:ascii="Times New Roman" w:eastAsia="Times New Roman" w:hAnsi="Times New Roman" w:cs="Times New Roman"/>
          <w:bCs/>
          <w:color w:val="000000" w:themeColor="text1"/>
          <w:sz w:val="24"/>
          <w:szCs w:val="24"/>
          <w:lang w:eastAsia="cs-CZ"/>
        </w:rPr>
        <w:t xml:space="preserve"> eur rozpočtovaná na mimoriadny odvod do rozpočtu EÚ z dôvodu kompenzácie na ušlom cle (strata tradičných vlastných zdrojov na základe záverečnej správy vyšetrovacieho úradu OLAF). Tento </w:t>
      </w:r>
      <w:r>
        <w:rPr>
          <w:rFonts w:ascii="Times New Roman" w:eastAsia="Times New Roman" w:hAnsi="Times New Roman" w:cs="Times New Roman"/>
          <w:bCs/>
          <w:color w:val="000000" w:themeColor="text1"/>
          <w:sz w:val="24"/>
          <w:szCs w:val="24"/>
          <w:lang w:eastAsia="cs-CZ"/>
        </w:rPr>
        <w:t>výdavok je opätovne zahrnutý do </w:t>
      </w:r>
      <w:r w:rsidRPr="00B203DB">
        <w:rPr>
          <w:rFonts w:ascii="Times New Roman" w:eastAsia="Times New Roman" w:hAnsi="Times New Roman" w:cs="Times New Roman"/>
          <w:bCs/>
          <w:color w:val="000000" w:themeColor="text1"/>
          <w:sz w:val="24"/>
          <w:szCs w:val="24"/>
          <w:lang w:eastAsia="cs-CZ"/>
        </w:rPr>
        <w:t xml:space="preserve">návrhu rozpočtu na rok 2022, keďže vzhľadom na absenciu </w:t>
      </w:r>
      <w:r>
        <w:rPr>
          <w:rFonts w:ascii="Times New Roman" w:eastAsia="Times New Roman" w:hAnsi="Times New Roman" w:cs="Times New Roman"/>
          <w:bCs/>
          <w:color w:val="000000" w:themeColor="text1"/>
          <w:sz w:val="24"/>
          <w:szCs w:val="24"/>
          <w:lang w:eastAsia="cs-CZ"/>
        </w:rPr>
        <w:t xml:space="preserve">relevantného </w:t>
      </w:r>
      <w:r w:rsidRPr="00B203DB">
        <w:rPr>
          <w:rFonts w:ascii="Times New Roman" w:eastAsia="Times New Roman" w:hAnsi="Times New Roman" w:cs="Times New Roman"/>
          <w:bCs/>
          <w:color w:val="000000" w:themeColor="text1"/>
          <w:sz w:val="24"/>
          <w:szCs w:val="24"/>
          <w:lang w:eastAsia="cs-CZ"/>
        </w:rPr>
        <w:t>rozhodnutia nebude realizovaný v roku 2021.</w:t>
      </w:r>
    </w:p>
    <w:p w:rsidR="00B302BE" w:rsidRDefault="00B302BE"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FD61F0" w:rsidRDefault="00FD61F0"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AA17E3" w:rsidRDefault="00AA17E3" w:rsidP="00AA17E3">
      <w:pPr>
        <w:spacing w:after="0" w:line="240" w:lineRule="auto"/>
        <w:jc w:val="both"/>
        <w:rPr>
          <w:rFonts w:ascii="Times New Roman" w:eastAsia="Times New Roman" w:hAnsi="Times New Roman" w:cs="Times New Roman"/>
          <w:bCs/>
          <w:iCs/>
          <w:sz w:val="24"/>
          <w:szCs w:val="24"/>
          <w:lang w:eastAsia="cs-CZ"/>
        </w:rPr>
      </w:pPr>
      <w:bookmarkStart w:id="507" w:name="_Toc84528460"/>
      <w:bookmarkStart w:id="508" w:name="_Toc84845336"/>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112</w:t>
      </w:r>
      <w:r w:rsidRPr="00947144">
        <w:rPr>
          <w:rFonts w:ascii="Times New Roman" w:hAnsi="Times New Roman" w:cs="Times New Roman"/>
          <w:b/>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w:t>
      </w:r>
      <w:r>
        <w:rPr>
          <w:rFonts w:ascii="Times New Roman" w:hAnsi="Times New Roman" w:cs="Times New Roman"/>
          <w:b/>
          <w:iCs/>
          <w:color w:val="5B9BD5" w:themeColor="accent1"/>
          <w:sz w:val="20"/>
          <w:szCs w:val="20"/>
        </w:rPr>
        <w:t>–</w:t>
      </w:r>
      <w:r w:rsidRPr="00797DE5">
        <w:rPr>
          <w:rFonts w:ascii="Times New Roman" w:hAnsi="Times New Roman" w:cs="Times New Roman"/>
          <w:b/>
          <w:iCs/>
          <w:color w:val="5B9BD5" w:themeColor="accent1"/>
          <w:sz w:val="20"/>
          <w:szCs w:val="20"/>
        </w:rPr>
        <w:t xml:space="preserve"> </w:t>
      </w:r>
      <w:r>
        <w:rPr>
          <w:rFonts w:ascii="Times New Roman" w:hAnsi="Times New Roman" w:cs="Times New Roman"/>
          <w:b/>
          <w:iCs/>
          <w:color w:val="5B9BD5" w:themeColor="accent1"/>
          <w:sz w:val="20"/>
          <w:szCs w:val="20"/>
        </w:rPr>
        <w:t>Rezerva na prostriedky EÚ a odvody EÚ</w:t>
      </w:r>
      <w:bookmarkEnd w:id="507"/>
      <w:bookmarkEnd w:id="508"/>
    </w:p>
    <w:tbl>
      <w:tblPr>
        <w:tblW w:w="9130" w:type="dxa"/>
        <w:tblCellMar>
          <w:left w:w="70" w:type="dxa"/>
          <w:right w:w="70" w:type="dxa"/>
        </w:tblCellMar>
        <w:tblLook w:val="04A0" w:firstRow="1" w:lastRow="0" w:firstColumn="1" w:lastColumn="0" w:noHBand="0" w:noVBand="1"/>
      </w:tblPr>
      <w:tblGrid>
        <w:gridCol w:w="3572"/>
        <w:gridCol w:w="794"/>
        <w:gridCol w:w="794"/>
        <w:gridCol w:w="794"/>
        <w:gridCol w:w="794"/>
        <w:gridCol w:w="794"/>
        <w:gridCol w:w="794"/>
        <w:gridCol w:w="794"/>
      </w:tblGrid>
      <w:tr w:rsidR="00AA17E3" w:rsidRPr="00683146" w:rsidTr="00AA17E3">
        <w:trPr>
          <w:trHeight w:val="308"/>
        </w:trPr>
        <w:tc>
          <w:tcPr>
            <w:tcW w:w="3572" w:type="dxa"/>
            <w:tcBorders>
              <w:top w:val="single" w:sz="4" w:space="0" w:color="auto"/>
              <w:left w:val="nil"/>
              <w:bottom w:val="single" w:sz="4" w:space="0" w:color="auto"/>
              <w:right w:val="nil"/>
            </w:tcBorders>
            <w:shd w:val="clear" w:color="auto" w:fill="auto"/>
            <w:noWrap/>
            <w:vAlign w:val="center"/>
            <w:hideMark/>
          </w:tcPr>
          <w:p w:rsidR="00AA17E3" w:rsidRPr="00683146" w:rsidRDefault="00AA17E3" w:rsidP="00AA17E3">
            <w:pPr>
              <w:spacing w:after="0" w:line="240" w:lineRule="auto"/>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v tis. eur</w:t>
            </w:r>
          </w:p>
        </w:tc>
        <w:tc>
          <w:tcPr>
            <w:tcW w:w="794" w:type="dxa"/>
            <w:tcBorders>
              <w:top w:val="single" w:sz="4" w:space="0" w:color="auto"/>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2019 S</w:t>
            </w:r>
          </w:p>
        </w:tc>
        <w:tc>
          <w:tcPr>
            <w:tcW w:w="794" w:type="dxa"/>
            <w:tcBorders>
              <w:top w:val="single" w:sz="4" w:space="0" w:color="auto"/>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2020 S</w:t>
            </w:r>
          </w:p>
        </w:tc>
        <w:tc>
          <w:tcPr>
            <w:tcW w:w="794" w:type="dxa"/>
            <w:tcBorders>
              <w:top w:val="single" w:sz="4" w:space="0" w:color="auto"/>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2021 R</w:t>
            </w:r>
          </w:p>
        </w:tc>
        <w:tc>
          <w:tcPr>
            <w:tcW w:w="794" w:type="dxa"/>
            <w:tcBorders>
              <w:top w:val="single" w:sz="4" w:space="0" w:color="auto"/>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2021 OS</w:t>
            </w:r>
          </w:p>
        </w:tc>
        <w:tc>
          <w:tcPr>
            <w:tcW w:w="794" w:type="dxa"/>
            <w:tcBorders>
              <w:top w:val="single" w:sz="4" w:space="0" w:color="auto"/>
              <w:left w:val="nil"/>
              <w:bottom w:val="single" w:sz="4" w:space="0" w:color="auto"/>
              <w:right w:val="nil"/>
            </w:tcBorders>
            <w:shd w:val="clear" w:color="auto" w:fill="auto"/>
            <w:noWrap/>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2022 N</w:t>
            </w:r>
          </w:p>
        </w:tc>
        <w:tc>
          <w:tcPr>
            <w:tcW w:w="794" w:type="dxa"/>
            <w:tcBorders>
              <w:top w:val="single" w:sz="4" w:space="0" w:color="auto"/>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2023 N</w:t>
            </w:r>
          </w:p>
        </w:tc>
        <w:tc>
          <w:tcPr>
            <w:tcW w:w="794" w:type="dxa"/>
            <w:tcBorders>
              <w:top w:val="single" w:sz="4" w:space="0" w:color="auto"/>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2024 N</w:t>
            </w:r>
          </w:p>
        </w:tc>
      </w:tr>
      <w:tr w:rsidR="00AA17E3" w:rsidRPr="00683146" w:rsidTr="00AA17E3">
        <w:trPr>
          <w:trHeight w:val="308"/>
        </w:trPr>
        <w:tc>
          <w:tcPr>
            <w:tcW w:w="3572" w:type="dxa"/>
            <w:tcBorders>
              <w:top w:val="nil"/>
              <w:left w:val="nil"/>
              <w:bottom w:val="nil"/>
              <w:right w:val="nil"/>
            </w:tcBorders>
            <w:shd w:val="clear" w:color="auto" w:fill="auto"/>
            <w:noWrap/>
            <w:vAlign w:val="center"/>
            <w:hideMark/>
          </w:tcPr>
          <w:p w:rsidR="00AA17E3" w:rsidRPr="00683146" w:rsidRDefault="00AA17E3" w:rsidP="00AA17E3">
            <w:pPr>
              <w:spacing w:after="0" w:line="240" w:lineRule="auto"/>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Rezerva na  prostriedky Európskej únie a odvody Európskej únii</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3 218</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433 191</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sidRPr="00683146">
              <w:rPr>
                <w:rFonts w:ascii="Times New Roman" w:eastAsia="Times New Roman" w:hAnsi="Times New Roman" w:cs="Times New Roman"/>
                <w:b/>
                <w:bCs/>
                <w:sz w:val="16"/>
                <w:szCs w:val="16"/>
                <w:lang w:eastAsia="sk-SK"/>
              </w:rPr>
              <w:t>107 000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48</w:t>
            </w:r>
            <w:r w:rsidRPr="00683146">
              <w:rPr>
                <w:rFonts w:ascii="Times New Roman" w:eastAsia="Times New Roman" w:hAnsi="Times New Roman" w:cs="Times New Roman"/>
                <w:b/>
                <w:bCs/>
                <w:sz w:val="16"/>
                <w:szCs w:val="16"/>
                <w:lang w:eastAsia="sk-SK"/>
              </w:rPr>
              <w:t>3 191</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15</w:t>
            </w:r>
            <w:r w:rsidRPr="00683146">
              <w:rPr>
                <w:rFonts w:ascii="Times New Roman" w:eastAsia="Times New Roman" w:hAnsi="Times New Roman" w:cs="Times New Roman"/>
                <w:b/>
                <w:bCs/>
                <w:sz w:val="16"/>
                <w:szCs w:val="16"/>
                <w:lang w:eastAsia="sk-SK"/>
              </w:rPr>
              <w:t>5 000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15</w:t>
            </w:r>
            <w:r w:rsidRPr="00683146">
              <w:rPr>
                <w:rFonts w:ascii="Times New Roman" w:eastAsia="Times New Roman" w:hAnsi="Times New Roman" w:cs="Times New Roman"/>
                <w:b/>
                <w:bCs/>
                <w:sz w:val="16"/>
                <w:szCs w:val="16"/>
                <w:lang w:eastAsia="sk-SK"/>
              </w:rPr>
              <w:t>5 000</w:t>
            </w:r>
          </w:p>
        </w:tc>
      </w:tr>
      <w:tr w:rsidR="00AA17E3" w:rsidRPr="00683146" w:rsidTr="00AA17E3">
        <w:trPr>
          <w:trHeight w:val="308"/>
        </w:trPr>
        <w:tc>
          <w:tcPr>
            <w:tcW w:w="3572" w:type="dxa"/>
            <w:tcBorders>
              <w:top w:val="nil"/>
              <w:left w:val="nil"/>
              <w:bottom w:val="nil"/>
              <w:right w:val="nil"/>
            </w:tcBorders>
            <w:shd w:val="clear" w:color="auto" w:fill="auto"/>
            <w:vAlign w:val="center"/>
            <w:hideMark/>
          </w:tcPr>
          <w:p w:rsidR="00AA17E3" w:rsidRPr="00683146" w:rsidRDefault="00AA17E3" w:rsidP="00AA17E3">
            <w:pPr>
              <w:spacing w:after="0" w:line="240" w:lineRule="auto"/>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 xml:space="preserve">Rýchlejšia realizácia a väčší počet projektov </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8A7FC3" w:rsidP="00AA17E3">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r>
      <w:tr w:rsidR="00AA17E3" w:rsidRPr="00683146" w:rsidTr="00AA17E3">
        <w:trPr>
          <w:trHeight w:val="308"/>
        </w:trPr>
        <w:tc>
          <w:tcPr>
            <w:tcW w:w="3572" w:type="dxa"/>
            <w:tcBorders>
              <w:top w:val="nil"/>
              <w:left w:val="nil"/>
              <w:bottom w:val="nil"/>
              <w:right w:val="nil"/>
            </w:tcBorders>
            <w:shd w:val="clear" w:color="auto" w:fill="auto"/>
            <w:vAlign w:val="center"/>
            <w:hideMark/>
          </w:tcPr>
          <w:p w:rsidR="00AA17E3" w:rsidRPr="00683146" w:rsidRDefault="00AA17E3" w:rsidP="00AA17E3">
            <w:pPr>
              <w:spacing w:after="0" w:line="240" w:lineRule="auto"/>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 xml:space="preserve">Ďalšie výdavky súvisiace s financovaním spoločných programov </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8A7FC3" w:rsidP="00AA17E3">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3 218</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106 000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106 000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15</w:t>
            </w:r>
            <w:r w:rsidRPr="00683146">
              <w:rPr>
                <w:rFonts w:ascii="Times New Roman" w:eastAsia="Times New Roman" w:hAnsi="Times New Roman" w:cs="Times New Roman"/>
                <w:sz w:val="16"/>
                <w:szCs w:val="16"/>
                <w:lang w:eastAsia="sk-SK"/>
              </w:rPr>
              <w:t>6 000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15</w:t>
            </w:r>
            <w:r w:rsidRPr="00683146">
              <w:rPr>
                <w:rFonts w:ascii="Times New Roman" w:eastAsia="Times New Roman" w:hAnsi="Times New Roman" w:cs="Times New Roman"/>
                <w:sz w:val="16"/>
                <w:szCs w:val="16"/>
                <w:lang w:eastAsia="sk-SK"/>
              </w:rPr>
              <w:t>5 000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15</w:t>
            </w:r>
            <w:r w:rsidRPr="00683146">
              <w:rPr>
                <w:rFonts w:ascii="Times New Roman" w:eastAsia="Times New Roman" w:hAnsi="Times New Roman" w:cs="Times New Roman"/>
                <w:sz w:val="16"/>
                <w:szCs w:val="16"/>
                <w:lang w:eastAsia="sk-SK"/>
              </w:rPr>
              <w:t>5 000</w:t>
            </w:r>
          </w:p>
        </w:tc>
      </w:tr>
      <w:tr w:rsidR="00AA17E3" w:rsidRPr="00683146" w:rsidTr="00AA17E3">
        <w:trPr>
          <w:trHeight w:val="420"/>
        </w:trPr>
        <w:tc>
          <w:tcPr>
            <w:tcW w:w="3572" w:type="dxa"/>
            <w:tcBorders>
              <w:top w:val="nil"/>
              <w:left w:val="nil"/>
              <w:bottom w:val="nil"/>
              <w:right w:val="nil"/>
            </w:tcBorders>
            <w:shd w:val="clear" w:color="auto" w:fill="auto"/>
            <w:vAlign w:val="center"/>
            <w:hideMark/>
          </w:tcPr>
          <w:p w:rsidR="00AA17E3" w:rsidRPr="00683146" w:rsidRDefault="00AA17E3" w:rsidP="00AA17E3">
            <w:pPr>
              <w:spacing w:after="0" w:line="240" w:lineRule="auto"/>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Zefektívnenie systému finančného riadenia EÚ fondov a iných finančných nástrojov</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1 000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1 000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1 000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r>
      <w:tr w:rsidR="00AA17E3" w:rsidRPr="00683146" w:rsidTr="00AA17E3">
        <w:trPr>
          <w:trHeight w:val="308"/>
        </w:trPr>
        <w:tc>
          <w:tcPr>
            <w:tcW w:w="3572"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Rezerva na odvody do všeobecného rozpočtu EÚ</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326 191</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326 191</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683146" w:rsidRDefault="00AA17E3" w:rsidP="00AA17E3">
            <w:pPr>
              <w:spacing w:after="0" w:line="240" w:lineRule="auto"/>
              <w:jc w:val="right"/>
              <w:rPr>
                <w:rFonts w:ascii="Times New Roman" w:eastAsia="Times New Roman" w:hAnsi="Times New Roman" w:cs="Times New Roman"/>
                <w:sz w:val="16"/>
                <w:szCs w:val="16"/>
                <w:lang w:eastAsia="sk-SK"/>
              </w:rPr>
            </w:pPr>
            <w:r w:rsidRPr="00683146">
              <w:rPr>
                <w:rFonts w:ascii="Times New Roman" w:eastAsia="Times New Roman" w:hAnsi="Times New Roman" w:cs="Times New Roman"/>
                <w:sz w:val="16"/>
                <w:szCs w:val="16"/>
                <w:lang w:eastAsia="sk-SK"/>
              </w:rPr>
              <w:t>0</w:t>
            </w:r>
          </w:p>
        </w:tc>
      </w:tr>
    </w:tbl>
    <w:p w:rsidR="00AA17E3" w:rsidRPr="00797DE5" w:rsidRDefault="00AA17E3" w:rsidP="00AA17E3">
      <w:pPr>
        <w:tabs>
          <w:tab w:val="left" w:pos="0"/>
          <w:tab w:val="left" w:pos="720"/>
          <w:tab w:val="left" w:pos="1440"/>
          <w:tab w:val="left" w:pos="2160"/>
          <w:tab w:val="left" w:pos="2880"/>
          <w:tab w:val="left" w:pos="3600"/>
          <w:tab w:val="left" w:pos="4320"/>
          <w:tab w:val="right" w:pos="9072"/>
        </w:tabs>
        <w:adjustRightInd w:val="0"/>
        <w:spacing w:after="0" w:line="240" w:lineRule="auto"/>
        <w:rPr>
          <w:rFonts w:ascii="Times New Roman" w:eastAsia="Times New Roman" w:hAnsi="Times New Roman" w:cs="Times New Roman"/>
          <w:i/>
          <w:color w:val="000000"/>
          <w:sz w:val="16"/>
          <w:szCs w:val="16"/>
          <w:lang w:eastAsia="cs-CZ"/>
        </w:rPr>
      </w:pPr>
      <w:r>
        <w:rPr>
          <w:rFonts w:ascii="Times New Roman" w:eastAsia="Times New Roman" w:hAnsi="Times New Roman" w:cs="Times New Roman"/>
          <w:i/>
          <w:color w:val="000000"/>
          <w:sz w:val="16"/>
          <w:szCs w:val="16"/>
          <w:lang w:eastAsia="cs-CZ"/>
        </w:rPr>
        <w:tab/>
      </w:r>
      <w:r>
        <w:rPr>
          <w:rFonts w:ascii="Times New Roman" w:eastAsia="Times New Roman" w:hAnsi="Times New Roman" w:cs="Times New Roman"/>
          <w:i/>
          <w:color w:val="000000"/>
          <w:sz w:val="16"/>
          <w:szCs w:val="16"/>
          <w:lang w:eastAsia="cs-CZ"/>
        </w:rPr>
        <w:tab/>
      </w:r>
      <w:r>
        <w:rPr>
          <w:rFonts w:ascii="Times New Roman" w:eastAsia="Times New Roman" w:hAnsi="Times New Roman" w:cs="Times New Roman"/>
          <w:i/>
          <w:color w:val="000000"/>
          <w:sz w:val="16"/>
          <w:szCs w:val="16"/>
          <w:lang w:eastAsia="cs-CZ"/>
        </w:rPr>
        <w:tab/>
      </w:r>
      <w:r>
        <w:rPr>
          <w:rFonts w:ascii="Times New Roman" w:eastAsia="Times New Roman" w:hAnsi="Times New Roman" w:cs="Times New Roman"/>
          <w:i/>
          <w:color w:val="000000"/>
          <w:sz w:val="16"/>
          <w:szCs w:val="16"/>
          <w:lang w:eastAsia="cs-CZ"/>
        </w:rPr>
        <w:tab/>
      </w:r>
      <w:r>
        <w:rPr>
          <w:rFonts w:ascii="Times New Roman" w:eastAsia="Times New Roman" w:hAnsi="Times New Roman" w:cs="Times New Roman"/>
          <w:i/>
          <w:color w:val="000000"/>
          <w:sz w:val="16"/>
          <w:szCs w:val="16"/>
          <w:lang w:eastAsia="cs-CZ"/>
        </w:rPr>
        <w:tab/>
      </w:r>
      <w:r>
        <w:rPr>
          <w:rFonts w:ascii="Times New Roman" w:eastAsia="Times New Roman" w:hAnsi="Times New Roman" w:cs="Times New Roman"/>
          <w:i/>
          <w:color w:val="000000"/>
          <w:sz w:val="16"/>
          <w:szCs w:val="16"/>
          <w:lang w:eastAsia="cs-CZ"/>
        </w:rPr>
        <w:tab/>
      </w:r>
      <w:r>
        <w:rPr>
          <w:rFonts w:ascii="Times New Roman" w:eastAsia="Times New Roman" w:hAnsi="Times New Roman" w:cs="Times New Roman"/>
          <w:i/>
          <w:color w:val="000000"/>
          <w:sz w:val="16"/>
          <w:szCs w:val="16"/>
          <w:lang w:eastAsia="cs-CZ"/>
        </w:rPr>
        <w:tab/>
      </w:r>
      <w:r w:rsidRPr="00797DE5">
        <w:rPr>
          <w:rFonts w:ascii="Times New Roman" w:eastAsia="Times New Roman" w:hAnsi="Times New Roman" w:cs="Times New Roman"/>
          <w:i/>
          <w:color w:val="000000"/>
          <w:sz w:val="16"/>
          <w:szCs w:val="16"/>
          <w:lang w:eastAsia="cs-CZ"/>
        </w:rPr>
        <w:t>Zdroj: MF SR</w:t>
      </w:r>
    </w:p>
    <w:p w:rsidR="00756EC8" w:rsidRDefault="00756EC8" w:rsidP="00AA17E3">
      <w:pPr>
        <w:spacing w:after="0" w:line="240" w:lineRule="auto"/>
        <w:jc w:val="both"/>
        <w:rPr>
          <w:rFonts w:ascii="Times New Roman" w:eastAsia="Times New Roman" w:hAnsi="Times New Roman" w:cs="Times New Roman"/>
          <w:color w:val="000000" w:themeColor="text1"/>
          <w:sz w:val="24"/>
          <w:szCs w:val="24"/>
          <w:highlight w:val="yellow"/>
          <w:lang w:eastAsia="cs-CZ"/>
        </w:rPr>
      </w:pPr>
    </w:p>
    <w:p w:rsidR="00AA17E3"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r w:rsidRPr="008A7FC3">
        <w:rPr>
          <w:rFonts w:ascii="Times New Roman" w:eastAsia="Times New Roman" w:hAnsi="Times New Roman" w:cs="Times New Roman"/>
          <w:color w:val="000000" w:themeColor="text1"/>
          <w:sz w:val="24"/>
          <w:szCs w:val="24"/>
          <w:lang w:eastAsia="cs-CZ"/>
        </w:rPr>
        <w:t xml:space="preserve">V rezerve na riešenie vplyvov legislatívnych zmien sa rozpočtujú výdavky súvisiace </w:t>
      </w:r>
      <w:r w:rsidRPr="008A7FC3">
        <w:rPr>
          <w:rFonts w:ascii="Times New Roman" w:eastAsia="Times New Roman" w:hAnsi="Times New Roman" w:cs="Times New Roman"/>
          <w:color w:val="000000" w:themeColor="text1"/>
          <w:sz w:val="24"/>
          <w:szCs w:val="24"/>
          <w:lang w:eastAsia="cs-CZ"/>
        </w:rPr>
        <w:br/>
        <w:t>s legislatívnymi zmenami s negatívnym vplyvom na štátny rozpočet v roku 202</w:t>
      </w:r>
      <w:r w:rsidR="008D6515">
        <w:rPr>
          <w:rFonts w:ascii="Times New Roman" w:eastAsia="Times New Roman" w:hAnsi="Times New Roman" w:cs="Times New Roman"/>
          <w:color w:val="000000" w:themeColor="text1"/>
          <w:sz w:val="24"/>
          <w:szCs w:val="24"/>
          <w:lang w:eastAsia="cs-CZ"/>
        </w:rPr>
        <w:t>2 v celkovej sume 131 mil. eur.</w:t>
      </w:r>
    </w:p>
    <w:p w:rsidR="008D6515" w:rsidRDefault="008D6515" w:rsidP="00AA17E3">
      <w:pPr>
        <w:spacing w:after="0" w:line="240" w:lineRule="auto"/>
        <w:jc w:val="both"/>
        <w:rPr>
          <w:rFonts w:ascii="Times New Roman" w:eastAsia="Times New Roman" w:hAnsi="Times New Roman" w:cs="Times New Roman"/>
          <w:color w:val="000000" w:themeColor="text1"/>
          <w:sz w:val="24"/>
          <w:szCs w:val="24"/>
          <w:lang w:eastAsia="cs-CZ"/>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509" w:name="_Toc84528461"/>
      <w:bookmarkStart w:id="510" w:name="_Toc84845337"/>
      <w:r w:rsidRPr="00797DE5">
        <w:rPr>
          <w:rFonts w:ascii="Times New Roman" w:hAnsi="Times New Roman" w:cs="Times New Roman"/>
          <w:b/>
          <w:iCs/>
          <w:color w:val="5B9BD5" w:themeColor="accent1"/>
          <w:sz w:val="20"/>
          <w:szCs w:val="20"/>
        </w:rPr>
        <w:t xml:space="preserve">Tabuľka </w:t>
      </w:r>
      <w:r w:rsidRPr="00797DE5">
        <w:rPr>
          <w:rFonts w:ascii="Times New Roman" w:hAnsi="Times New Roman" w:cs="Times New Roman"/>
          <w:b/>
          <w:iCs/>
          <w:color w:val="5B9BD5" w:themeColor="accent1"/>
          <w:sz w:val="20"/>
          <w:szCs w:val="20"/>
        </w:rPr>
        <w:fldChar w:fldCharType="begin"/>
      </w:r>
      <w:r w:rsidRPr="00797DE5">
        <w:rPr>
          <w:rFonts w:ascii="Times New Roman" w:hAnsi="Times New Roman" w:cs="Times New Roman"/>
          <w:b/>
          <w:iCs/>
          <w:color w:val="5B9BD5" w:themeColor="accent1"/>
          <w:sz w:val="20"/>
          <w:szCs w:val="20"/>
        </w:rPr>
        <w:instrText xml:space="preserve"> SEQ Tabuľka \* ARABIC </w:instrText>
      </w:r>
      <w:r w:rsidRPr="00797DE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113</w:t>
      </w:r>
      <w:r w:rsidRPr="00797DE5">
        <w:rPr>
          <w:rFonts w:ascii="Times New Roman" w:hAnsi="Times New Roman" w:cs="Times New Roman"/>
          <w:b/>
          <w:iCs/>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Štruktúra výdavkov rezervy na riešenie vplyvov </w:t>
      </w:r>
      <w:r>
        <w:rPr>
          <w:rFonts w:ascii="Times New Roman" w:hAnsi="Times New Roman" w:cs="Times New Roman"/>
          <w:b/>
          <w:iCs/>
          <w:color w:val="5B9BD5" w:themeColor="accent1"/>
          <w:sz w:val="20"/>
          <w:szCs w:val="20"/>
        </w:rPr>
        <w:t>legislatívnych zmien</w:t>
      </w:r>
      <w:bookmarkEnd w:id="509"/>
      <w:bookmarkEnd w:id="510"/>
    </w:p>
    <w:tbl>
      <w:tblPr>
        <w:tblW w:w="8987" w:type="dxa"/>
        <w:tblCellMar>
          <w:left w:w="70" w:type="dxa"/>
          <w:right w:w="70" w:type="dxa"/>
        </w:tblCellMar>
        <w:tblLook w:val="04A0" w:firstRow="1" w:lastRow="0" w:firstColumn="1" w:lastColumn="0" w:noHBand="0" w:noVBand="1"/>
      </w:tblPr>
      <w:tblGrid>
        <w:gridCol w:w="5387"/>
        <w:gridCol w:w="1200"/>
        <w:gridCol w:w="1200"/>
        <w:gridCol w:w="1200"/>
      </w:tblGrid>
      <w:tr w:rsidR="00AA17E3" w:rsidRPr="00486ED2" w:rsidTr="00013416">
        <w:trPr>
          <w:trHeight w:val="345"/>
        </w:trPr>
        <w:tc>
          <w:tcPr>
            <w:tcW w:w="5387" w:type="dxa"/>
            <w:tcBorders>
              <w:top w:val="single" w:sz="4" w:space="0" w:color="auto"/>
              <w:left w:val="nil"/>
              <w:bottom w:val="single" w:sz="4" w:space="0" w:color="auto"/>
              <w:right w:val="nil"/>
            </w:tcBorders>
            <w:shd w:val="clear" w:color="auto" w:fill="auto"/>
            <w:noWrap/>
            <w:vAlign w:val="center"/>
            <w:hideMark/>
          </w:tcPr>
          <w:p w:rsidR="00AA17E3" w:rsidRPr="00486ED2" w:rsidRDefault="00AA17E3" w:rsidP="00AA17E3">
            <w:pPr>
              <w:spacing w:after="0" w:line="240" w:lineRule="auto"/>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v tis. eur</w:t>
            </w:r>
          </w:p>
        </w:tc>
        <w:tc>
          <w:tcPr>
            <w:tcW w:w="1200" w:type="dxa"/>
            <w:tcBorders>
              <w:top w:val="single" w:sz="4" w:space="0" w:color="auto"/>
              <w:left w:val="nil"/>
              <w:bottom w:val="single" w:sz="4" w:space="0" w:color="auto"/>
              <w:right w:val="nil"/>
            </w:tcBorders>
            <w:shd w:val="clear" w:color="auto" w:fill="auto"/>
            <w:noWrap/>
            <w:vAlign w:val="center"/>
            <w:hideMark/>
          </w:tcPr>
          <w:p w:rsidR="00AA17E3" w:rsidRPr="00486ED2"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2022 N</w:t>
            </w:r>
          </w:p>
        </w:tc>
        <w:tc>
          <w:tcPr>
            <w:tcW w:w="1200" w:type="dxa"/>
            <w:tcBorders>
              <w:top w:val="single" w:sz="4" w:space="0" w:color="auto"/>
              <w:left w:val="nil"/>
              <w:bottom w:val="single" w:sz="4" w:space="0" w:color="auto"/>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2023 N</w:t>
            </w:r>
          </w:p>
        </w:tc>
        <w:tc>
          <w:tcPr>
            <w:tcW w:w="1200" w:type="dxa"/>
            <w:tcBorders>
              <w:top w:val="single" w:sz="4" w:space="0" w:color="auto"/>
              <w:left w:val="nil"/>
              <w:bottom w:val="single" w:sz="4" w:space="0" w:color="auto"/>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2024 N</w:t>
            </w:r>
          </w:p>
        </w:tc>
      </w:tr>
      <w:tr w:rsidR="00AA17E3" w:rsidRPr="00486ED2" w:rsidTr="00013416">
        <w:trPr>
          <w:trHeight w:val="345"/>
        </w:trPr>
        <w:tc>
          <w:tcPr>
            <w:tcW w:w="5387" w:type="dxa"/>
            <w:tcBorders>
              <w:top w:val="single" w:sz="4" w:space="0" w:color="auto"/>
              <w:left w:val="nil"/>
              <w:bottom w:val="single" w:sz="4" w:space="0" w:color="auto"/>
              <w:right w:val="nil"/>
            </w:tcBorders>
            <w:shd w:val="clear" w:color="auto" w:fill="auto"/>
            <w:noWrap/>
            <w:vAlign w:val="center"/>
            <w:hideMark/>
          </w:tcPr>
          <w:p w:rsidR="00AA17E3" w:rsidRPr="00486ED2" w:rsidRDefault="00AA17E3" w:rsidP="00AA17E3">
            <w:pPr>
              <w:spacing w:after="0" w:line="240" w:lineRule="auto"/>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Rezerva na riešenie vplyvov nových právnych predpisov</w:t>
            </w:r>
          </w:p>
        </w:tc>
        <w:tc>
          <w:tcPr>
            <w:tcW w:w="1200" w:type="dxa"/>
            <w:tcBorders>
              <w:top w:val="single" w:sz="4" w:space="0" w:color="auto"/>
              <w:left w:val="nil"/>
              <w:bottom w:val="single" w:sz="4" w:space="0" w:color="auto"/>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130 634</w:t>
            </w:r>
          </w:p>
        </w:tc>
        <w:tc>
          <w:tcPr>
            <w:tcW w:w="1200" w:type="dxa"/>
            <w:tcBorders>
              <w:top w:val="single" w:sz="4" w:space="0" w:color="auto"/>
              <w:left w:val="nil"/>
              <w:bottom w:val="single" w:sz="4" w:space="0" w:color="auto"/>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192 147</w:t>
            </w:r>
          </w:p>
        </w:tc>
        <w:tc>
          <w:tcPr>
            <w:tcW w:w="1200" w:type="dxa"/>
            <w:tcBorders>
              <w:top w:val="single" w:sz="4" w:space="0" w:color="auto"/>
              <w:left w:val="nil"/>
              <w:bottom w:val="single" w:sz="4" w:space="0" w:color="auto"/>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486ED2">
              <w:rPr>
                <w:rFonts w:ascii="Times New Roman" w:eastAsia="Times New Roman" w:hAnsi="Times New Roman" w:cs="Times New Roman"/>
                <w:b/>
                <w:bCs/>
                <w:color w:val="000000"/>
                <w:sz w:val="16"/>
                <w:szCs w:val="16"/>
                <w:lang w:eastAsia="sk-SK"/>
              </w:rPr>
              <w:t>235 735</w:t>
            </w:r>
          </w:p>
        </w:tc>
      </w:tr>
      <w:tr w:rsidR="00AA17E3" w:rsidRPr="00486ED2" w:rsidTr="00013416">
        <w:trPr>
          <w:trHeight w:val="330"/>
        </w:trPr>
        <w:tc>
          <w:tcPr>
            <w:tcW w:w="5387" w:type="dxa"/>
            <w:tcBorders>
              <w:top w:val="single" w:sz="4" w:space="0" w:color="auto"/>
              <w:left w:val="nil"/>
              <w:bottom w:val="nil"/>
              <w:right w:val="nil"/>
            </w:tcBorders>
            <w:shd w:val="clear" w:color="auto" w:fill="auto"/>
            <w:noWrap/>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Zákon č. 231/2019 Z. z. o výkone detencie</w:t>
            </w:r>
          </w:p>
        </w:tc>
        <w:tc>
          <w:tcPr>
            <w:tcW w:w="1200" w:type="dxa"/>
            <w:tcBorders>
              <w:top w:val="single" w:sz="4" w:space="0" w:color="auto"/>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2 805</w:t>
            </w:r>
          </w:p>
        </w:tc>
        <w:tc>
          <w:tcPr>
            <w:tcW w:w="1200" w:type="dxa"/>
            <w:tcBorders>
              <w:top w:val="single" w:sz="4" w:space="0" w:color="auto"/>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2 805</w:t>
            </w:r>
          </w:p>
        </w:tc>
        <w:tc>
          <w:tcPr>
            <w:tcW w:w="1200" w:type="dxa"/>
            <w:tcBorders>
              <w:top w:val="single" w:sz="4" w:space="0" w:color="auto"/>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2 805</w:t>
            </w:r>
          </w:p>
        </w:tc>
      </w:tr>
      <w:tr w:rsidR="00AA17E3" w:rsidRPr="00486ED2" w:rsidTr="00AA17E3">
        <w:trPr>
          <w:trHeight w:val="330"/>
        </w:trPr>
        <w:tc>
          <w:tcPr>
            <w:tcW w:w="5387" w:type="dxa"/>
            <w:tcBorders>
              <w:top w:val="nil"/>
              <w:left w:val="nil"/>
              <w:bottom w:val="nil"/>
              <w:right w:val="nil"/>
            </w:tcBorders>
            <w:shd w:val="clear" w:color="000000" w:fill="FFFFFF"/>
            <w:noWrap/>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Zákon č. 233/2019 Z. z. o ukončení niektorých exekučných konaní</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3 000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3 000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3 000</w:t>
            </w:r>
          </w:p>
        </w:tc>
      </w:tr>
      <w:tr w:rsidR="00AA17E3" w:rsidRPr="00486ED2" w:rsidTr="00AA17E3">
        <w:trPr>
          <w:trHeight w:val="330"/>
        </w:trPr>
        <w:tc>
          <w:tcPr>
            <w:tcW w:w="5387" w:type="dxa"/>
            <w:tcBorders>
              <w:top w:val="nil"/>
              <w:left w:val="nil"/>
              <w:bottom w:val="nil"/>
              <w:right w:val="nil"/>
            </w:tcBorders>
            <w:shd w:val="clear" w:color="000000" w:fill="FFFFFF"/>
            <w:noWrap/>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novely zákona č. 330/1991 Zb. o pozemkových úpravách</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17 554</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42 394</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53 424</w:t>
            </w:r>
          </w:p>
        </w:tc>
      </w:tr>
      <w:tr w:rsidR="00AA17E3" w:rsidRPr="00486ED2" w:rsidTr="00AA17E3">
        <w:trPr>
          <w:trHeight w:val="330"/>
        </w:trPr>
        <w:tc>
          <w:tcPr>
            <w:tcW w:w="5387" w:type="dxa"/>
            <w:tcBorders>
              <w:top w:val="nil"/>
              <w:left w:val="nil"/>
              <w:bottom w:val="nil"/>
              <w:right w:val="nil"/>
            </w:tcBorders>
            <w:shd w:val="clear" w:color="000000" w:fill="FFFFFF"/>
            <w:noWrap/>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zákona o elektronických komunikáciách</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890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2 520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2 524</w:t>
            </w:r>
          </w:p>
        </w:tc>
      </w:tr>
      <w:tr w:rsidR="00AA17E3" w:rsidRPr="00486ED2" w:rsidTr="00AA17E3">
        <w:trPr>
          <w:trHeight w:val="330"/>
        </w:trPr>
        <w:tc>
          <w:tcPr>
            <w:tcW w:w="5387" w:type="dxa"/>
            <w:tcBorders>
              <w:top w:val="nil"/>
              <w:left w:val="nil"/>
              <w:bottom w:val="nil"/>
              <w:right w:val="nil"/>
            </w:tcBorders>
            <w:shd w:val="clear" w:color="000000" w:fill="FFFFFF"/>
            <w:noWrap/>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zákona o údajoch</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3 183</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3 148</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600</w:t>
            </w:r>
          </w:p>
        </w:tc>
      </w:tr>
      <w:tr w:rsidR="00AA17E3" w:rsidRPr="00486ED2" w:rsidTr="00AA17E3">
        <w:trPr>
          <w:trHeight w:val="45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vyhlášky MIRRI SR o spôsoboch a postupoch pri elektronizácii agendy verejnej správy</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14 682</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14 682</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14 682</w:t>
            </w:r>
          </w:p>
        </w:tc>
      </w:tr>
      <w:tr w:rsidR="00AA17E3" w:rsidRPr="00486ED2" w:rsidTr="00AA17E3">
        <w:trPr>
          <w:trHeight w:val="33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Novela zákona č. 541/2004 Z. z. o mierovom využívaní jadrovej energie</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950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153</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153</w:t>
            </w:r>
          </w:p>
        </w:tc>
      </w:tr>
      <w:tr w:rsidR="00AA17E3" w:rsidRPr="00486ED2" w:rsidTr="00AA17E3">
        <w:trPr>
          <w:trHeight w:val="45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novely zákona č. 575/2001 Z. z o organizácii činnosti vlády a organizácii ústrednej štátnej správy</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14 345</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20 572</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25 745</w:t>
            </w:r>
          </w:p>
        </w:tc>
      </w:tr>
      <w:tr w:rsidR="00AA17E3" w:rsidRPr="00486ED2" w:rsidTr="00AA17E3">
        <w:trPr>
          <w:trHeight w:val="33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sz w:val="16"/>
                <w:szCs w:val="16"/>
                <w:lang w:eastAsia="sk-SK"/>
              </w:rPr>
            </w:pPr>
            <w:r w:rsidRPr="00486ED2">
              <w:rPr>
                <w:rFonts w:ascii="Times New Roman" w:eastAsia="Times New Roman" w:hAnsi="Times New Roman" w:cs="Times New Roman"/>
                <w:sz w:val="16"/>
                <w:szCs w:val="16"/>
                <w:lang w:eastAsia="sk-SK"/>
              </w:rPr>
              <w:t>Novela zákona č. 343/2015 Z. z. o verejnom obstarávaní</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8 333</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9 832</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13 621</w:t>
            </w:r>
          </w:p>
        </w:tc>
      </w:tr>
      <w:tr w:rsidR="00AA17E3" w:rsidRPr="00486ED2" w:rsidTr="00AA17E3">
        <w:trPr>
          <w:trHeight w:val="33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novely zákona č. 564/2001 Z. z. o verejnom ochrancovi práv</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595</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549</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549</w:t>
            </w:r>
          </w:p>
        </w:tc>
      </w:tr>
      <w:tr w:rsidR="00AA17E3" w:rsidRPr="00486ED2" w:rsidTr="00AA17E3">
        <w:trPr>
          <w:trHeight w:val="33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novely zákona č. 56/2012 Z. z. o cestnej doprave</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487</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0</w:t>
            </w:r>
          </w:p>
        </w:tc>
      </w:tr>
      <w:tr w:rsidR="00AA17E3" w:rsidRPr="00486ED2" w:rsidTr="00AA17E3">
        <w:trPr>
          <w:trHeight w:val="45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Novela zákona č. 280/2017 Z. z. o poskytovaní podpory a dotácie v pôdohospodárstve a rozvoji vidieka</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81</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81</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81</w:t>
            </w:r>
          </w:p>
        </w:tc>
      </w:tr>
      <w:tr w:rsidR="00AA17E3" w:rsidRPr="00486ED2" w:rsidTr="00AA17E3">
        <w:trPr>
          <w:trHeight w:val="330"/>
        </w:trPr>
        <w:tc>
          <w:tcPr>
            <w:tcW w:w="5387"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Novela zákona č. 336/2015 Z. z. o podpore najmenej rozvinutých okresov</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0</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9 191</w:t>
            </w:r>
          </w:p>
        </w:tc>
        <w:tc>
          <w:tcPr>
            <w:tcW w:w="1200" w:type="dxa"/>
            <w:tcBorders>
              <w:top w:val="nil"/>
              <w:left w:val="nil"/>
              <w:bottom w:val="nil"/>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4 182</w:t>
            </w:r>
          </w:p>
        </w:tc>
      </w:tr>
      <w:tr w:rsidR="00AA17E3" w:rsidRPr="00486ED2" w:rsidTr="00AA17E3">
        <w:trPr>
          <w:trHeight w:val="330"/>
        </w:trPr>
        <w:tc>
          <w:tcPr>
            <w:tcW w:w="5387" w:type="dxa"/>
            <w:tcBorders>
              <w:top w:val="nil"/>
              <w:left w:val="nil"/>
              <w:bottom w:val="nil"/>
              <w:right w:val="nil"/>
            </w:tcBorders>
            <w:shd w:val="clear" w:color="auto" w:fill="auto"/>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Návrh zákona o podpore nájomného bývania</w:t>
            </w:r>
          </w:p>
        </w:tc>
        <w:tc>
          <w:tcPr>
            <w:tcW w:w="1200" w:type="dxa"/>
            <w:tcBorders>
              <w:top w:val="nil"/>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2 000</w:t>
            </w:r>
          </w:p>
        </w:tc>
        <w:tc>
          <w:tcPr>
            <w:tcW w:w="1200" w:type="dxa"/>
            <w:tcBorders>
              <w:top w:val="nil"/>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2 000</w:t>
            </w:r>
          </w:p>
        </w:tc>
        <w:tc>
          <w:tcPr>
            <w:tcW w:w="1200" w:type="dxa"/>
            <w:tcBorders>
              <w:top w:val="nil"/>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2 000</w:t>
            </w:r>
          </w:p>
        </w:tc>
      </w:tr>
      <w:tr w:rsidR="00AA17E3" w:rsidRPr="00486ED2" w:rsidTr="00AA17E3">
        <w:trPr>
          <w:trHeight w:val="570"/>
        </w:trPr>
        <w:tc>
          <w:tcPr>
            <w:tcW w:w="5387" w:type="dxa"/>
            <w:tcBorders>
              <w:top w:val="nil"/>
              <w:left w:val="nil"/>
              <w:bottom w:val="nil"/>
              <w:right w:val="nil"/>
            </w:tcBorders>
            <w:shd w:val="clear" w:color="auto" w:fill="auto"/>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Zákon č. 310/2021 Z. z., ktorým sa mení a dopĺňa zákon č. 197/2018 Z. z. o niektorých opatreniach na znižovanie administratívnej záťaže</w:t>
            </w:r>
          </w:p>
        </w:tc>
        <w:tc>
          <w:tcPr>
            <w:tcW w:w="1200" w:type="dxa"/>
            <w:tcBorders>
              <w:top w:val="nil"/>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649</w:t>
            </w:r>
          </w:p>
        </w:tc>
        <w:tc>
          <w:tcPr>
            <w:tcW w:w="1200" w:type="dxa"/>
            <w:tcBorders>
              <w:top w:val="nil"/>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150</w:t>
            </w:r>
          </w:p>
        </w:tc>
        <w:tc>
          <w:tcPr>
            <w:tcW w:w="1200" w:type="dxa"/>
            <w:tcBorders>
              <w:top w:val="nil"/>
              <w:left w:val="nil"/>
              <w:bottom w:val="nil"/>
              <w:right w:val="nil"/>
            </w:tcBorders>
            <w:shd w:val="clear" w:color="auto" w:fill="auto"/>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150</w:t>
            </w:r>
          </w:p>
        </w:tc>
      </w:tr>
      <w:tr w:rsidR="00AA17E3" w:rsidRPr="00486ED2" w:rsidTr="00013416">
        <w:trPr>
          <w:trHeight w:val="345"/>
        </w:trPr>
        <w:tc>
          <w:tcPr>
            <w:tcW w:w="5387" w:type="dxa"/>
            <w:tcBorders>
              <w:top w:val="nil"/>
              <w:left w:val="nil"/>
              <w:bottom w:val="single" w:sz="4" w:space="0" w:color="auto"/>
              <w:right w:val="nil"/>
            </w:tcBorders>
            <w:shd w:val="clear" w:color="000000" w:fill="FFFFFF"/>
            <w:vAlign w:val="center"/>
            <w:hideMark/>
          </w:tcPr>
          <w:p w:rsidR="00AA17E3" w:rsidRPr="00486ED2" w:rsidRDefault="00AA17E3" w:rsidP="00AA17E3">
            <w:pPr>
              <w:spacing w:after="0" w:line="240" w:lineRule="auto"/>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Legislatívne návrhy v pripomienkovom konaní</w:t>
            </w:r>
          </w:p>
        </w:tc>
        <w:tc>
          <w:tcPr>
            <w:tcW w:w="1200" w:type="dxa"/>
            <w:tcBorders>
              <w:top w:val="nil"/>
              <w:left w:val="nil"/>
              <w:bottom w:val="single" w:sz="4" w:space="0" w:color="auto"/>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61 078</w:t>
            </w:r>
          </w:p>
        </w:tc>
        <w:tc>
          <w:tcPr>
            <w:tcW w:w="1200" w:type="dxa"/>
            <w:tcBorders>
              <w:top w:val="nil"/>
              <w:left w:val="nil"/>
              <w:bottom w:val="single" w:sz="4" w:space="0" w:color="auto"/>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81 071</w:t>
            </w:r>
          </w:p>
        </w:tc>
        <w:tc>
          <w:tcPr>
            <w:tcW w:w="1200" w:type="dxa"/>
            <w:tcBorders>
              <w:top w:val="nil"/>
              <w:left w:val="nil"/>
              <w:bottom w:val="single" w:sz="4" w:space="0" w:color="auto"/>
              <w:right w:val="nil"/>
            </w:tcBorders>
            <w:shd w:val="clear" w:color="000000" w:fill="FFFFFF"/>
            <w:vAlign w:val="center"/>
            <w:hideMark/>
          </w:tcPr>
          <w:p w:rsidR="00AA17E3" w:rsidRPr="00486ED2"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486ED2">
              <w:rPr>
                <w:rFonts w:ascii="Times New Roman" w:eastAsia="Times New Roman" w:hAnsi="Times New Roman" w:cs="Times New Roman"/>
                <w:color w:val="000000"/>
                <w:sz w:val="16"/>
                <w:szCs w:val="16"/>
                <w:lang w:eastAsia="sk-SK"/>
              </w:rPr>
              <w:t>112 220</w:t>
            </w:r>
          </w:p>
        </w:tc>
      </w:tr>
    </w:tbl>
    <w:p w:rsidR="00AA17E3" w:rsidRPr="00797DE5" w:rsidRDefault="00AA17E3" w:rsidP="00AA17E3">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797DE5">
        <w:rPr>
          <w:rFonts w:ascii="Times New Roman" w:eastAsia="Times New Roman" w:hAnsi="Times New Roman" w:cs="Times New Roman"/>
          <w:i/>
          <w:color w:val="000000"/>
          <w:sz w:val="16"/>
          <w:szCs w:val="16"/>
          <w:lang w:eastAsia="cs-CZ"/>
        </w:rPr>
        <w:t>Zdroj: MF SR</w:t>
      </w:r>
    </w:p>
    <w:p w:rsidR="00AA17E3"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 xml:space="preserve">Rezerva na riešenie krízových situácií mimo času vojny a vojnového stavu a vykonávanie povodňových prác sa tvorí na zabezpečenie finančného plnenia vyplývajúceho zo zákona č. 387/2002 Z. z. o riadení štátu v krízových situáciách mimo času vojny a vojnového stavu v znení neskorších predpisov a zákona č. 7/2010 Z. z. o ochrane pred povodňami v znení neskorších predpisov. Zahŕňa výdavky, ktoré sa použijú najmä v prípade povodní a iných živelných pohrôm, odškodnení pri mimoriadnych udalostiach a odstraňovaní následkov krízových situácií. </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sz w:val="24"/>
          <w:szCs w:val="24"/>
          <w:lang w:eastAsia="cs-CZ"/>
        </w:rPr>
      </w:pPr>
      <w:r w:rsidRPr="001207F1">
        <w:rPr>
          <w:rFonts w:ascii="Times New Roman" w:eastAsia="Times New Roman" w:hAnsi="Times New Roman" w:cs="Times New Roman"/>
          <w:sz w:val="24"/>
          <w:szCs w:val="24"/>
          <w:lang w:eastAsia="cs-CZ"/>
        </w:rPr>
        <w:t xml:space="preserve">Výdavky rezervy na realizáciu súdnych a exekučných rozhodnutí sa rozpočtujú najmä na úhradu plnení vyplývajúcich z rozsudkov Európskeho súdu pre ľudské práva a odškodnení v súlade s právoplatnými rozhodnutiami, na ktoré kapitoly štátneho rozpočtu z dôvodu neistého časového vymedzenia nemajú zabezpečené prostriedky v rámci pridelených limitov výdavkov na príslušné roky. </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r w:rsidRPr="001207F1">
        <w:rPr>
          <w:rFonts w:ascii="Times New Roman" w:eastAsia="Times New Roman" w:hAnsi="Times New Roman" w:cs="Times New Roman"/>
          <w:sz w:val="24"/>
          <w:szCs w:val="24"/>
          <w:lang w:eastAsia="cs-CZ"/>
        </w:rPr>
        <w:t xml:space="preserve"> </w:t>
      </w:r>
    </w:p>
    <w:p w:rsidR="00AA17E3" w:rsidRPr="00102483" w:rsidRDefault="00AA17E3" w:rsidP="00AA17E3">
      <w:pPr>
        <w:spacing w:after="0" w:line="240" w:lineRule="auto"/>
        <w:jc w:val="both"/>
        <w:rPr>
          <w:rFonts w:ascii="Times New Roman" w:eastAsia="Times New Roman" w:hAnsi="Times New Roman" w:cs="Times New Roman"/>
          <w:sz w:val="24"/>
          <w:szCs w:val="24"/>
          <w:lang w:eastAsia="cs-CZ"/>
        </w:rPr>
      </w:pPr>
      <w:r w:rsidRPr="00102483">
        <w:rPr>
          <w:rFonts w:ascii="Times New Roman" w:eastAsia="Times New Roman" w:hAnsi="Times New Roman" w:cs="Times New Roman"/>
          <w:sz w:val="24"/>
          <w:szCs w:val="24"/>
          <w:lang w:eastAsia="cs-CZ"/>
        </w:rPr>
        <w:t>Najvýznamnejšiu časť rezervy na mzdy a poistné tvoria prostriedky súvisiace </w:t>
      </w:r>
      <w:r>
        <w:rPr>
          <w:rFonts w:ascii="Times New Roman" w:eastAsia="Times New Roman" w:hAnsi="Times New Roman" w:cs="Times New Roman"/>
          <w:sz w:val="24"/>
          <w:szCs w:val="24"/>
          <w:lang w:eastAsia="cs-CZ"/>
        </w:rPr>
        <w:t>v roku</w:t>
      </w:r>
      <w:r w:rsidRPr="00102483">
        <w:rPr>
          <w:rFonts w:ascii="Times New Roman" w:eastAsia="Times New Roman" w:hAnsi="Times New Roman" w:cs="Times New Roman"/>
          <w:sz w:val="24"/>
          <w:szCs w:val="24"/>
          <w:lang w:eastAsia="cs-CZ"/>
        </w:rPr>
        <w:t xml:space="preserve"> 2022 s očakávaným </w:t>
      </w:r>
      <w:r>
        <w:rPr>
          <w:rFonts w:ascii="Times New Roman" w:eastAsia="Times New Roman" w:hAnsi="Times New Roman" w:cs="Times New Roman"/>
          <w:sz w:val="24"/>
          <w:szCs w:val="24"/>
          <w:lang w:eastAsia="cs-CZ"/>
        </w:rPr>
        <w:t xml:space="preserve">jednorazovým </w:t>
      </w:r>
      <w:r w:rsidRPr="00102483">
        <w:rPr>
          <w:rFonts w:ascii="Times New Roman" w:eastAsia="Times New Roman" w:hAnsi="Times New Roman" w:cs="Times New Roman"/>
          <w:sz w:val="24"/>
          <w:szCs w:val="24"/>
          <w:lang w:eastAsia="cs-CZ"/>
        </w:rPr>
        <w:t>deficitom osobných výdavkov administratívnych kapacít pre európske štrukturálne a investičné fondy financovaných z európskych zdrojov a prostriedky súvisiace s revíziou výdavkov</w:t>
      </w:r>
      <w:r>
        <w:rPr>
          <w:rFonts w:ascii="Times New Roman" w:eastAsia="Times New Roman" w:hAnsi="Times New Roman" w:cs="Times New Roman"/>
          <w:sz w:val="24"/>
          <w:szCs w:val="24"/>
          <w:lang w:eastAsia="cs-CZ"/>
        </w:rPr>
        <w:t>.</w:t>
      </w:r>
      <w:r w:rsidRPr="00102483">
        <w:rPr>
          <w:rFonts w:ascii="Times New Roman" w:eastAsia="Times New Roman" w:hAnsi="Times New Roman" w:cs="Times New Roman"/>
          <w:sz w:val="24"/>
          <w:szCs w:val="24"/>
          <w:lang w:eastAsia="cs-CZ"/>
        </w:rPr>
        <w:t xml:space="preserve"> V nadväznosti na prognózovaný rast priemernej nominálnej mesačnej mzdy zamestnanca v hospodárstve SR sa v rezerve na mzdy a poistné rozpočtujú osobné výdavky na krytie zvýšených platov ústavných činiteľov, sudcov, prokurátorov a v</w:t>
      </w:r>
      <w:r>
        <w:rPr>
          <w:rFonts w:ascii="Times New Roman" w:eastAsia="Times New Roman" w:hAnsi="Times New Roman" w:cs="Times New Roman"/>
          <w:sz w:val="24"/>
          <w:szCs w:val="24"/>
          <w:lang w:eastAsia="cs-CZ"/>
        </w:rPr>
        <w:t>erejných činiteľov. V rezerve sú ďalej alokované výdavky n</w:t>
      </w:r>
      <w:r w:rsidRPr="00102483">
        <w:rPr>
          <w:rFonts w:ascii="Times New Roman" w:eastAsia="Times New Roman" w:hAnsi="Times New Roman" w:cs="Times New Roman"/>
          <w:sz w:val="24"/>
          <w:szCs w:val="24"/>
          <w:lang w:eastAsia="cs-CZ"/>
        </w:rPr>
        <w:t>a posilnenie odmeňovania zamestnancov existujúcich analytických útvarov ministerstiev ako aj ich prípadné zvýšenie</w:t>
      </w:r>
      <w:r>
        <w:rPr>
          <w:rFonts w:ascii="Times New Roman" w:eastAsia="Times New Roman" w:hAnsi="Times New Roman" w:cs="Times New Roman"/>
          <w:sz w:val="24"/>
          <w:szCs w:val="24"/>
          <w:lang w:eastAsia="cs-CZ"/>
        </w:rPr>
        <w:t>, výdavky na </w:t>
      </w:r>
      <w:r w:rsidRPr="00102483">
        <w:rPr>
          <w:rFonts w:ascii="Times New Roman" w:eastAsia="Times New Roman" w:hAnsi="Times New Roman" w:cs="Times New Roman"/>
          <w:sz w:val="24"/>
          <w:szCs w:val="24"/>
          <w:lang w:eastAsia="cs-CZ"/>
        </w:rPr>
        <w:t>zabezpečenie zákonných nárokov na odchodné zamestnancov vyplývajúce zo všeobecne záväzných právnych predpisov, najmä pre štátnych zamestnancov v služobnom pomere</w:t>
      </w:r>
      <w:r>
        <w:rPr>
          <w:rFonts w:ascii="Times New Roman" w:eastAsia="Times New Roman" w:hAnsi="Times New Roman" w:cs="Times New Roman"/>
          <w:sz w:val="24"/>
          <w:szCs w:val="24"/>
          <w:lang w:eastAsia="cs-CZ"/>
        </w:rPr>
        <w:t xml:space="preserve"> a výdavky na </w:t>
      </w:r>
      <w:r w:rsidRPr="00102483">
        <w:rPr>
          <w:rFonts w:ascii="Times New Roman" w:eastAsia="Times New Roman" w:hAnsi="Times New Roman" w:cs="Times New Roman"/>
          <w:sz w:val="24"/>
          <w:szCs w:val="24"/>
          <w:lang w:eastAsia="cs-CZ"/>
        </w:rPr>
        <w:t xml:space="preserve">zákonné platové nároky zamestnancov odmeňovaných podľa Zákonníka práce odvíjajúce sa od úrovne minimálnej mzdy, resp. predikovanej minimálnej mzdy. </w:t>
      </w:r>
    </w:p>
    <w:p w:rsidR="00AA17E3" w:rsidRPr="00102483"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8A7FC3" w:rsidRDefault="00AA17E3" w:rsidP="00AA17E3">
      <w:pPr>
        <w:spacing w:after="0" w:line="240" w:lineRule="auto"/>
        <w:jc w:val="both"/>
        <w:rPr>
          <w:rFonts w:ascii="Times New Roman" w:eastAsia="Times New Roman" w:hAnsi="Times New Roman" w:cs="Times New Roman"/>
          <w:sz w:val="24"/>
          <w:szCs w:val="24"/>
          <w:lang w:eastAsia="cs-CZ"/>
        </w:rPr>
      </w:pPr>
      <w:r w:rsidRPr="008A7FC3">
        <w:rPr>
          <w:rFonts w:ascii="Times New Roman" w:eastAsia="Times New Roman" w:hAnsi="Times New Roman" w:cs="Times New Roman"/>
          <w:sz w:val="24"/>
          <w:szCs w:val="24"/>
          <w:lang w:eastAsia="cs-CZ"/>
        </w:rPr>
        <w:t xml:space="preserve">Rezerva na negatívne </w:t>
      </w:r>
      <w:r w:rsidR="008A7FC3">
        <w:rPr>
          <w:rFonts w:ascii="Times New Roman" w:eastAsia="Times New Roman" w:hAnsi="Times New Roman" w:cs="Times New Roman"/>
          <w:sz w:val="24"/>
          <w:szCs w:val="24"/>
          <w:lang w:eastAsia="cs-CZ"/>
        </w:rPr>
        <w:t>vplyvy pandémie ochorenia COVID–</w:t>
      </w:r>
      <w:r w:rsidRPr="008A7FC3">
        <w:rPr>
          <w:rFonts w:ascii="Times New Roman" w:eastAsia="Times New Roman" w:hAnsi="Times New Roman" w:cs="Times New Roman"/>
          <w:sz w:val="24"/>
          <w:szCs w:val="24"/>
          <w:lang w:eastAsia="cs-CZ"/>
        </w:rPr>
        <w:t>19 sa rozpočtuje na rok 2022 v sume 717 mil. eur predovšetkým v súvislosti s pretrvávajúcimi nepriaznivými vplyvmi tejto pandémie v nadväznosti na aktuálny nástup a predpokladané trvanie jej 3. vlny. Výdavky rezervy sa plánujú použiť najmä na financovanie opatrení v oblasti prvej pomoci, humanitárnej pomoci, SOS dotácií a iných pandemických príspevkov vyplácaných za mesiace november a december 2021 ako aj ich pokračovanie v nižšej intenzite v prvých mesiacoch roku 2022, na zakúpenie zakontrahovaných vakcín na očkovanie proti ochoreniu COVID-19 a na zvýšené náklady zdravotníckych zariadení implikovaných rep</w:t>
      </w:r>
      <w:r w:rsidR="008D6515">
        <w:rPr>
          <w:rFonts w:ascii="Times New Roman" w:eastAsia="Times New Roman" w:hAnsi="Times New Roman" w:cs="Times New Roman"/>
          <w:sz w:val="24"/>
          <w:szCs w:val="24"/>
          <w:lang w:eastAsia="cs-CZ"/>
        </w:rPr>
        <w:t>rofilizáciou lôžok pre pacientov</w:t>
      </w:r>
      <w:r w:rsidRPr="008A7FC3">
        <w:rPr>
          <w:rFonts w:ascii="Times New Roman" w:eastAsia="Times New Roman" w:hAnsi="Times New Roman" w:cs="Times New Roman"/>
          <w:sz w:val="24"/>
          <w:szCs w:val="24"/>
          <w:lang w:eastAsia="cs-CZ"/>
        </w:rPr>
        <w:t xml:space="preserve"> s ochorením COVID-19.</w:t>
      </w:r>
    </w:p>
    <w:p w:rsidR="00AA17E3" w:rsidRPr="008A7FC3"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102483" w:rsidRDefault="00AA17E3" w:rsidP="00AA17E3">
      <w:pPr>
        <w:spacing w:after="0" w:line="240" w:lineRule="auto"/>
        <w:jc w:val="both"/>
        <w:rPr>
          <w:rFonts w:ascii="Times New Roman" w:eastAsia="Times New Roman" w:hAnsi="Times New Roman" w:cs="Times New Roman"/>
          <w:b/>
          <w:bCs/>
          <w:sz w:val="24"/>
          <w:szCs w:val="24"/>
          <w:lang w:eastAsia="cs-CZ"/>
        </w:rPr>
      </w:pPr>
      <w:r w:rsidRPr="008A7FC3">
        <w:rPr>
          <w:rFonts w:ascii="Times New Roman" w:eastAsia="Times New Roman" w:hAnsi="Times New Roman" w:cs="Times New Roman"/>
          <w:sz w:val="24"/>
          <w:szCs w:val="24"/>
          <w:lang w:eastAsia="cs-CZ"/>
        </w:rPr>
        <w:t>Rezerva na výdavky v zdravotníctve v sume 220 mil. eur sa vytvára na prípadnú potrebu dofinancovania poskytovanej zdravotnej starostlivosti prostredníctvom verejného zdravotného poistenia v prípade vyššieho ako očakávaného objemu poskytovania zdravotnej starostlivosti predovšetkým z dôvodu realizácie odloženej zdravotnej starostlivosti z predchádzajúcich rokov resp. z titulu objektívnych dôvodov v posune realizácie hodnotových a štrukturálnych opatrení súvisiacich so zmenami politík a opatrení hodnoty za peniaze ako aj ďalších neočakávaných výdavkov v oblasti zdravotníctva.</w:t>
      </w:r>
    </w:p>
    <w:p w:rsidR="00AA17E3" w:rsidRPr="00102483"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797DE5" w:rsidRDefault="00AA17E3" w:rsidP="00AA17E3">
      <w:pPr>
        <w:spacing w:after="240" w:line="240" w:lineRule="auto"/>
        <w:jc w:val="both"/>
        <w:rPr>
          <w:rFonts w:ascii="Times New Roman" w:eastAsia="Times New Roman" w:hAnsi="Times New Roman" w:cs="Times New Roman"/>
          <w:b/>
          <w:bCs/>
          <w:iCs/>
          <w:color w:val="5B9BD5" w:themeColor="accent1"/>
          <w:sz w:val="24"/>
          <w:szCs w:val="24"/>
          <w:lang w:eastAsia="sk-SK"/>
        </w:rPr>
      </w:pPr>
      <w:r w:rsidRPr="00797DE5">
        <w:rPr>
          <w:rFonts w:ascii="Times New Roman" w:eastAsia="Times New Roman" w:hAnsi="Times New Roman" w:cs="Times New Roman"/>
          <w:b/>
          <w:bCs/>
          <w:iCs/>
          <w:color w:val="5B9BD5" w:themeColor="accent1"/>
          <w:sz w:val="24"/>
          <w:szCs w:val="24"/>
          <w:lang w:eastAsia="sk-SK"/>
        </w:rPr>
        <w:t>Finančné vzťahy súvisiace s rozpočtom EÚ</w:t>
      </w:r>
    </w:p>
    <w:p w:rsidR="00AA17E3" w:rsidRPr="00797DE5" w:rsidRDefault="00AA17E3" w:rsidP="00AA17E3">
      <w:pPr>
        <w:spacing w:after="0" w:line="240" w:lineRule="auto"/>
        <w:jc w:val="both"/>
        <w:rPr>
          <w:rFonts w:ascii="Times New Roman" w:eastAsia="Times New Roman" w:hAnsi="Times New Roman" w:cs="Times New Roman"/>
          <w:bCs/>
          <w:iCs/>
          <w:sz w:val="24"/>
          <w:szCs w:val="24"/>
          <w:lang w:eastAsia="cs-CZ"/>
        </w:rPr>
      </w:pPr>
      <w:r w:rsidRPr="00797DE5">
        <w:rPr>
          <w:rFonts w:ascii="Times New Roman" w:eastAsia="Times New Roman" w:hAnsi="Times New Roman" w:cs="Times New Roman"/>
          <w:bCs/>
          <w:iCs/>
          <w:sz w:val="24"/>
          <w:szCs w:val="24"/>
          <w:lang w:eastAsia="cs-CZ"/>
        </w:rPr>
        <w:t>V tejto skupine výdavkov sa rozpočtujú prostriedky na zabezpečenie plynulého financovania spoločných programov Slovenskej republiky a Európskej únie, na financovanie finančných mechanizmov EHP a NFM, odvody do všeobecného rozpočtu EÚ a príspevky SR do Európskeho rozvojového fondu.</w:t>
      </w:r>
    </w:p>
    <w:p w:rsidR="00AA17E3" w:rsidRDefault="00AA17E3" w:rsidP="00AA17E3">
      <w:pPr>
        <w:spacing w:after="0" w:line="240" w:lineRule="auto"/>
        <w:jc w:val="both"/>
        <w:rPr>
          <w:rFonts w:ascii="Times New Roman" w:eastAsia="Times New Roman" w:hAnsi="Times New Roman" w:cs="Times New Roman"/>
          <w:bCs/>
          <w:iCs/>
          <w:sz w:val="24"/>
          <w:szCs w:val="24"/>
          <w:lang w:eastAsia="cs-CZ"/>
        </w:rPr>
      </w:pPr>
    </w:p>
    <w:p w:rsidR="00AA17E3" w:rsidRDefault="00AA17E3" w:rsidP="00AA17E3">
      <w:pPr>
        <w:spacing w:after="0" w:line="240" w:lineRule="auto"/>
        <w:jc w:val="both"/>
        <w:rPr>
          <w:rFonts w:ascii="Times New Roman" w:eastAsia="Times New Roman" w:hAnsi="Times New Roman" w:cs="Times New Roman"/>
          <w:bCs/>
          <w:iCs/>
          <w:sz w:val="24"/>
          <w:szCs w:val="24"/>
          <w:lang w:eastAsia="cs-CZ"/>
        </w:rPr>
      </w:pPr>
      <w:r>
        <w:rPr>
          <w:rFonts w:ascii="Times New Roman" w:eastAsia="Times New Roman" w:hAnsi="Times New Roman" w:cs="Times New Roman"/>
          <w:bCs/>
          <w:iCs/>
          <w:sz w:val="24"/>
          <w:szCs w:val="24"/>
          <w:lang w:eastAsia="cs-CZ"/>
        </w:rPr>
        <w:t>Rezerva na prostriedky EÚ a odvody EÚ je prezentovaná v časti Rozpočtové rezervy.</w:t>
      </w:r>
    </w:p>
    <w:p w:rsidR="00AA17E3" w:rsidRDefault="00AA17E3" w:rsidP="00AA17E3">
      <w:pPr>
        <w:spacing w:after="0" w:line="240" w:lineRule="auto"/>
        <w:jc w:val="both"/>
        <w:rPr>
          <w:rFonts w:ascii="Times New Roman" w:eastAsia="Times New Roman" w:hAnsi="Times New Roman" w:cs="Times New Roman"/>
          <w:bCs/>
          <w:iCs/>
          <w:sz w:val="24"/>
          <w:szCs w:val="24"/>
          <w:lang w:eastAsia="cs-CZ"/>
        </w:rPr>
      </w:pPr>
    </w:p>
    <w:p w:rsidR="00B302BE" w:rsidRDefault="00B302BE" w:rsidP="00AA17E3">
      <w:pPr>
        <w:spacing w:after="0" w:line="240" w:lineRule="auto"/>
        <w:jc w:val="both"/>
        <w:rPr>
          <w:rFonts w:ascii="Times New Roman" w:eastAsia="Times New Roman" w:hAnsi="Times New Roman" w:cs="Times New Roman"/>
          <w:bCs/>
          <w:iCs/>
          <w:sz w:val="24"/>
          <w:szCs w:val="24"/>
          <w:lang w:eastAsia="cs-CZ"/>
        </w:rPr>
      </w:pPr>
    </w:p>
    <w:p w:rsidR="00FD61F0" w:rsidRDefault="00FD61F0" w:rsidP="00AA17E3">
      <w:pPr>
        <w:spacing w:after="0" w:line="240" w:lineRule="auto"/>
        <w:jc w:val="both"/>
        <w:rPr>
          <w:rFonts w:ascii="Times New Roman" w:eastAsia="Times New Roman" w:hAnsi="Times New Roman" w:cs="Times New Roman"/>
          <w:bCs/>
          <w:iCs/>
          <w:sz w:val="24"/>
          <w:szCs w:val="24"/>
          <w:lang w:eastAsia="cs-CZ"/>
        </w:rPr>
      </w:pPr>
    </w:p>
    <w:p w:rsidR="00FD61F0" w:rsidRDefault="00FD61F0" w:rsidP="00AA17E3">
      <w:pPr>
        <w:spacing w:after="0" w:line="240" w:lineRule="auto"/>
        <w:jc w:val="both"/>
        <w:rPr>
          <w:rFonts w:ascii="Times New Roman" w:eastAsia="Times New Roman" w:hAnsi="Times New Roman" w:cs="Times New Roman"/>
          <w:bCs/>
          <w:iCs/>
          <w:sz w:val="24"/>
          <w:szCs w:val="24"/>
          <w:lang w:eastAsia="cs-CZ"/>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511" w:name="_Toc84528462"/>
      <w:bookmarkStart w:id="512" w:name="_Toc84845338"/>
      <w:r w:rsidRPr="00797DE5">
        <w:rPr>
          <w:rFonts w:ascii="Times New Roman" w:hAnsi="Times New Roman" w:cs="Times New Roman"/>
          <w:b/>
          <w:iCs/>
          <w:color w:val="5B9BD5" w:themeColor="accent1"/>
          <w:sz w:val="20"/>
          <w:szCs w:val="20"/>
        </w:rPr>
        <w:t xml:space="preserve">Tabuľka </w:t>
      </w:r>
      <w:r w:rsidRPr="00797DE5">
        <w:rPr>
          <w:rFonts w:ascii="Times New Roman" w:hAnsi="Times New Roman" w:cs="Times New Roman"/>
          <w:b/>
          <w:iCs/>
          <w:color w:val="5B9BD5" w:themeColor="accent1"/>
          <w:sz w:val="20"/>
          <w:szCs w:val="20"/>
        </w:rPr>
        <w:fldChar w:fldCharType="begin"/>
      </w:r>
      <w:r w:rsidRPr="00797DE5">
        <w:rPr>
          <w:rFonts w:ascii="Times New Roman" w:hAnsi="Times New Roman" w:cs="Times New Roman"/>
          <w:b/>
          <w:iCs/>
          <w:color w:val="5B9BD5" w:themeColor="accent1"/>
          <w:sz w:val="20"/>
          <w:szCs w:val="20"/>
        </w:rPr>
        <w:instrText xml:space="preserve"> SEQ Tabuľka \* ARABIC </w:instrText>
      </w:r>
      <w:r w:rsidRPr="00797DE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114</w:t>
      </w:r>
      <w:r w:rsidRPr="00797DE5">
        <w:rPr>
          <w:rFonts w:ascii="Times New Roman" w:hAnsi="Times New Roman" w:cs="Times New Roman"/>
          <w:b/>
          <w:iCs/>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Výdavky súvisiace s rozpočtom EÚ</w:t>
      </w:r>
      <w:bookmarkEnd w:id="511"/>
      <w:bookmarkEnd w:id="512"/>
    </w:p>
    <w:tbl>
      <w:tblPr>
        <w:tblW w:w="9084" w:type="dxa"/>
        <w:tblCellMar>
          <w:left w:w="70" w:type="dxa"/>
          <w:right w:w="70" w:type="dxa"/>
        </w:tblCellMar>
        <w:tblLook w:val="04A0" w:firstRow="1" w:lastRow="0" w:firstColumn="1" w:lastColumn="0" w:noHBand="0" w:noVBand="1"/>
      </w:tblPr>
      <w:tblGrid>
        <w:gridCol w:w="3562"/>
        <w:gridCol w:w="788"/>
        <w:gridCol w:w="788"/>
        <w:gridCol w:w="788"/>
        <w:gridCol w:w="794"/>
        <w:gridCol w:w="788"/>
        <w:gridCol w:w="788"/>
        <w:gridCol w:w="788"/>
      </w:tblGrid>
      <w:tr w:rsidR="00AA17E3" w:rsidRPr="00273DA6" w:rsidTr="00AA17E3">
        <w:trPr>
          <w:trHeight w:val="263"/>
        </w:trPr>
        <w:tc>
          <w:tcPr>
            <w:tcW w:w="3562" w:type="dxa"/>
            <w:tcBorders>
              <w:top w:val="single" w:sz="4" w:space="0" w:color="auto"/>
              <w:left w:val="nil"/>
              <w:bottom w:val="single" w:sz="4" w:space="0" w:color="auto"/>
              <w:right w:val="nil"/>
            </w:tcBorders>
            <w:shd w:val="clear" w:color="auto" w:fill="auto"/>
            <w:noWrap/>
            <w:vAlign w:val="center"/>
            <w:hideMark/>
          </w:tcPr>
          <w:p w:rsidR="00AA17E3" w:rsidRPr="00273DA6" w:rsidRDefault="00AA17E3" w:rsidP="00AA17E3">
            <w:pPr>
              <w:spacing w:after="0" w:line="240" w:lineRule="auto"/>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v tis. eur</w:t>
            </w:r>
          </w:p>
        </w:tc>
        <w:tc>
          <w:tcPr>
            <w:tcW w:w="788" w:type="dxa"/>
            <w:tcBorders>
              <w:top w:val="single" w:sz="4" w:space="0" w:color="auto"/>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2019 S</w:t>
            </w:r>
          </w:p>
        </w:tc>
        <w:tc>
          <w:tcPr>
            <w:tcW w:w="788" w:type="dxa"/>
            <w:tcBorders>
              <w:top w:val="single" w:sz="4" w:space="0" w:color="auto"/>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2020 S</w:t>
            </w:r>
          </w:p>
        </w:tc>
        <w:tc>
          <w:tcPr>
            <w:tcW w:w="788" w:type="dxa"/>
            <w:tcBorders>
              <w:top w:val="single" w:sz="4" w:space="0" w:color="auto"/>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2021 R</w:t>
            </w:r>
          </w:p>
        </w:tc>
        <w:tc>
          <w:tcPr>
            <w:tcW w:w="794" w:type="dxa"/>
            <w:tcBorders>
              <w:top w:val="single" w:sz="4" w:space="0" w:color="auto"/>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2021 OS</w:t>
            </w:r>
            <w:r>
              <w:rPr>
                <w:rFonts w:ascii="Times New Roman" w:eastAsia="Times New Roman" w:hAnsi="Times New Roman" w:cs="Times New Roman"/>
                <w:b/>
                <w:bCs/>
                <w:sz w:val="16"/>
                <w:szCs w:val="16"/>
                <w:lang w:eastAsia="sk-SK"/>
              </w:rPr>
              <w:t>*</w:t>
            </w:r>
          </w:p>
        </w:tc>
        <w:tc>
          <w:tcPr>
            <w:tcW w:w="788" w:type="dxa"/>
            <w:tcBorders>
              <w:top w:val="single" w:sz="4" w:space="0" w:color="auto"/>
              <w:left w:val="nil"/>
              <w:bottom w:val="single" w:sz="4" w:space="0" w:color="auto"/>
              <w:right w:val="nil"/>
            </w:tcBorders>
            <w:shd w:val="clear" w:color="auto" w:fill="auto"/>
            <w:noWrap/>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2022 N</w:t>
            </w:r>
          </w:p>
        </w:tc>
        <w:tc>
          <w:tcPr>
            <w:tcW w:w="788" w:type="dxa"/>
            <w:tcBorders>
              <w:top w:val="single" w:sz="4" w:space="0" w:color="auto"/>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2023 N</w:t>
            </w:r>
          </w:p>
        </w:tc>
        <w:tc>
          <w:tcPr>
            <w:tcW w:w="788" w:type="dxa"/>
            <w:tcBorders>
              <w:top w:val="single" w:sz="4" w:space="0" w:color="auto"/>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2024 N</w:t>
            </w:r>
          </w:p>
        </w:tc>
      </w:tr>
      <w:tr w:rsidR="00AA17E3" w:rsidRPr="00273DA6" w:rsidTr="00AA17E3">
        <w:trPr>
          <w:trHeight w:val="263"/>
        </w:trPr>
        <w:tc>
          <w:tcPr>
            <w:tcW w:w="3562" w:type="dxa"/>
            <w:tcBorders>
              <w:top w:val="nil"/>
              <w:left w:val="nil"/>
              <w:bottom w:val="nil"/>
              <w:right w:val="nil"/>
            </w:tcBorders>
            <w:shd w:val="clear" w:color="auto" w:fill="auto"/>
            <w:noWrap/>
            <w:vAlign w:val="center"/>
            <w:hideMark/>
          </w:tcPr>
          <w:p w:rsidR="00AA17E3" w:rsidRPr="00273DA6" w:rsidRDefault="00AA17E3" w:rsidP="00AA17E3">
            <w:pPr>
              <w:spacing w:after="0" w:line="240" w:lineRule="auto"/>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Finančné vzťahy súvisiace s rozpočtom EÚ</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772 318</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1 223 310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1 386 060</w:t>
            </w:r>
          </w:p>
        </w:tc>
        <w:tc>
          <w:tcPr>
            <w:tcW w:w="794"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1 044 487</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1 104 460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1 747 319</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b/>
                <w:bCs/>
                <w:sz w:val="16"/>
                <w:szCs w:val="16"/>
                <w:lang w:eastAsia="sk-SK"/>
              </w:rPr>
            </w:pPr>
            <w:r w:rsidRPr="00273DA6">
              <w:rPr>
                <w:rFonts w:ascii="Times New Roman" w:eastAsia="Times New Roman" w:hAnsi="Times New Roman" w:cs="Times New Roman"/>
                <w:b/>
                <w:bCs/>
                <w:sz w:val="16"/>
                <w:szCs w:val="16"/>
                <w:lang w:eastAsia="sk-SK"/>
              </w:rPr>
              <w:t>2 417 247</w:t>
            </w:r>
          </w:p>
        </w:tc>
      </w:tr>
      <w:tr w:rsidR="00AA17E3" w:rsidRPr="00273DA6" w:rsidTr="00AA17E3">
        <w:trPr>
          <w:trHeight w:val="263"/>
        </w:trPr>
        <w:tc>
          <w:tcPr>
            <w:tcW w:w="3562" w:type="dxa"/>
            <w:tcBorders>
              <w:top w:val="nil"/>
              <w:left w:val="nil"/>
              <w:bottom w:val="nil"/>
              <w:right w:val="nil"/>
            </w:tcBorders>
            <w:shd w:val="clear" w:color="auto" w:fill="auto"/>
            <w:vAlign w:val="center"/>
            <w:hideMark/>
          </w:tcPr>
          <w:p w:rsidR="00AA17E3" w:rsidRPr="00273DA6" w:rsidRDefault="00AA17E3" w:rsidP="00AA17E3">
            <w:pPr>
              <w:spacing w:after="0" w:line="240" w:lineRule="auto"/>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Výdavky na financovanie finančných mechanizmov</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2 250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4 518</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2 213</w:t>
            </w:r>
          </w:p>
        </w:tc>
        <w:tc>
          <w:tcPr>
            <w:tcW w:w="794"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2 213</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2 373</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1 307</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602</w:t>
            </w:r>
          </w:p>
        </w:tc>
      </w:tr>
      <w:tr w:rsidR="00AA17E3" w:rsidRPr="00273DA6" w:rsidTr="00AA17E3">
        <w:trPr>
          <w:trHeight w:val="263"/>
        </w:trPr>
        <w:tc>
          <w:tcPr>
            <w:tcW w:w="3562" w:type="dxa"/>
            <w:tcBorders>
              <w:top w:val="nil"/>
              <w:left w:val="nil"/>
              <w:bottom w:val="nil"/>
              <w:right w:val="nil"/>
            </w:tcBorders>
            <w:shd w:val="clear" w:color="auto" w:fill="auto"/>
            <w:vAlign w:val="center"/>
            <w:hideMark/>
          </w:tcPr>
          <w:p w:rsidR="00AA17E3" w:rsidRPr="00273DA6" w:rsidRDefault="00AA17E3" w:rsidP="00AA17E3">
            <w:pPr>
              <w:spacing w:after="0" w:line="240" w:lineRule="auto"/>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Odvody do všeobecného rozpočtu EÚ</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750 226</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877 392</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1 038 917</w:t>
            </w:r>
          </w:p>
        </w:tc>
        <w:tc>
          <w:tcPr>
            <w:tcW w:w="794"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1 027 343</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1 026 568</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1 023 001</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1 042 649</w:t>
            </w:r>
          </w:p>
        </w:tc>
      </w:tr>
      <w:tr w:rsidR="00AA17E3" w:rsidRPr="00273DA6" w:rsidTr="00AA17E3">
        <w:trPr>
          <w:trHeight w:val="263"/>
        </w:trPr>
        <w:tc>
          <w:tcPr>
            <w:tcW w:w="3562" w:type="dxa"/>
            <w:tcBorders>
              <w:top w:val="nil"/>
              <w:left w:val="nil"/>
              <w:bottom w:val="nil"/>
              <w:right w:val="nil"/>
            </w:tcBorders>
            <w:shd w:val="clear" w:color="auto" w:fill="auto"/>
            <w:vAlign w:val="center"/>
            <w:hideMark/>
          </w:tcPr>
          <w:p w:rsidR="00AA17E3" w:rsidRPr="00273DA6" w:rsidRDefault="00AA17E3" w:rsidP="00AA17E3">
            <w:pPr>
              <w:spacing w:after="0" w:line="240" w:lineRule="auto"/>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Príspevky SR do Európskeho rozvojového fondu</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17 181</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17 181</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14 930</w:t>
            </w:r>
          </w:p>
        </w:tc>
        <w:tc>
          <w:tcPr>
            <w:tcW w:w="794"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14 931</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10 600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8 000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6 800</w:t>
            </w:r>
          </w:p>
        </w:tc>
      </w:tr>
      <w:tr w:rsidR="00AA17E3" w:rsidRPr="00273DA6" w:rsidTr="00AA17E3">
        <w:trPr>
          <w:trHeight w:val="263"/>
        </w:trPr>
        <w:tc>
          <w:tcPr>
            <w:tcW w:w="3562" w:type="dxa"/>
            <w:tcBorders>
              <w:top w:val="nil"/>
              <w:left w:val="nil"/>
              <w:bottom w:val="nil"/>
              <w:right w:val="nil"/>
            </w:tcBorders>
            <w:shd w:val="clear" w:color="auto" w:fill="auto"/>
            <w:vAlign w:val="center"/>
            <w:hideMark/>
          </w:tcPr>
          <w:p w:rsidR="00AA17E3" w:rsidRPr="00273DA6" w:rsidRDefault="00AA17E3" w:rsidP="00AA17E3">
            <w:pPr>
              <w:spacing w:after="0" w:line="240" w:lineRule="auto"/>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Výdavky na finančné opravy a zrušenia záväzkov EK</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2 661</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324 219</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r>
      <w:tr w:rsidR="00AA17E3" w:rsidRPr="00273DA6" w:rsidTr="00AA17E3">
        <w:trPr>
          <w:trHeight w:val="263"/>
        </w:trPr>
        <w:tc>
          <w:tcPr>
            <w:tcW w:w="3562" w:type="dxa"/>
            <w:tcBorders>
              <w:top w:val="nil"/>
              <w:left w:val="nil"/>
              <w:bottom w:val="nil"/>
              <w:right w:val="nil"/>
            </w:tcBorders>
            <w:shd w:val="clear" w:color="auto" w:fill="auto"/>
            <w:vAlign w:val="center"/>
            <w:hideMark/>
          </w:tcPr>
          <w:p w:rsidR="00AA17E3" w:rsidRPr="00273DA6" w:rsidRDefault="00AA17E3" w:rsidP="00AA17E3">
            <w:pPr>
              <w:spacing w:after="0" w:line="240" w:lineRule="auto"/>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Výdavky na 4. programové obdobie</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94"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64 918</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715 011</w:t>
            </w:r>
          </w:p>
        </w:tc>
        <w:tc>
          <w:tcPr>
            <w:tcW w:w="788" w:type="dxa"/>
            <w:tcBorders>
              <w:top w:val="nil"/>
              <w:left w:val="nil"/>
              <w:bottom w:val="nil"/>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1 367 196</w:t>
            </w:r>
          </w:p>
        </w:tc>
      </w:tr>
      <w:tr w:rsidR="00AA17E3" w:rsidRPr="00273DA6" w:rsidTr="00AA17E3">
        <w:trPr>
          <w:trHeight w:val="263"/>
        </w:trPr>
        <w:tc>
          <w:tcPr>
            <w:tcW w:w="3562"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Výdavky na REACT-EU</w:t>
            </w:r>
          </w:p>
        </w:tc>
        <w:tc>
          <w:tcPr>
            <w:tcW w:w="788"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330 000</w:t>
            </w:r>
          </w:p>
        </w:tc>
        <w:tc>
          <w:tcPr>
            <w:tcW w:w="794"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c>
          <w:tcPr>
            <w:tcW w:w="788" w:type="dxa"/>
            <w:tcBorders>
              <w:top w:val="nil"/>
              <w:left w:val="nil"/>
              <w:bottom w:val="single" w:sz="4" w:space="0" w:color="auto"/>
              <w:right w:val="nil"/>
            </w:tcBorders>
            <w:shd w:val="clear" w:color="auto" w:fill="auto"/>
            <w:vAlign w:val="center"/>
            <w:hideMark/>
          </w:tcPr>
          <w:p w:rsidR="00AA17E3" w:rsidRPr="00273DA6" w:rsidRDefault="00AA17E3" w:rsidP="00AA17E3">
            <w:pPr>
              <w:spacing w:after="0" w:line="240" w:lineRule="auto"/>
              <w:jc w:val="right"/>
              <w:rPr>
                <w:rFonts w:ascii="Times New Roman" w:eastAsia="Times New Roman" w:hAnsi="Times New Roman" w:cs="Times New Roman"/>
                <w:sz w:val="16"/>
                <w:szCs w:val="16"/>
                <w:lang w:eastAsia="sk-SK"/>
              </w:rPr>
            </w:pPr>
            <w:r w:rsidRPr="00273DA6">
              <w:rPr>
                <w:rFonts w:ascii="Times New Roman" w:eastAsia="Times New Roman" w:hAnsi="Times New Roman" w:cs="Times New Roman"/>
                <w:sz w:val="16"/>
                <w:szCs w:val="16"/>
                <w:lang w:eastAsia="sk-SK"/>
              </w:rPr>
              <w:t>0</w:t>
            </w:r>
          </w:p>
        </w:tc>
      </w:tr>
    </w:tbl>
    <w:p w:rsidR="00AA17E3" w:rsidRPr="00F7006D"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4"/>
          <w:szCs w:val="14"/>
          <w:lang w:eastAsia="cs-CZ"/>
        </w:rPr>
      </w:pPr>
      <w:r w:rsidRPr="006D0E08">
        <w:rPr>
          <w:rFonts w:ascii="Times New Roman" w:eastAsia="Times New Roman" w:hAnsi="Times New Roman" w:cs="Times New Roman"/>
          <w:color w:val="000000" w:themeColor="text1"/>
          <w:sz w:val="14"/>
          <w:szCs w:val="14"/>
          <w:lang w:eastAsia="cs-CZ"/>
        </w:rPr>
        <w:t>*</w:t>
      </w:r>
      <w:r w:rsidRPr="00F7006D">
        <w:rPr>
          <w:rFonts w:ascii="Times New Roman" w:eastAsia="Times New Roman" w:hAnsi="Times New Roman" w:cs="Times New Roman"/>
          <w:color w:val="000000" w:themeColor="text1"/>
          <w:sz w:val="16"/>
          <w:szCs w:val="16"/>
          <w:lang w:eastAsia="cs-CZ"/>
        </w:rPr>
        <w:t xml:space="preserve"> </w:t>
      </w:r>
      <w:r w:rsidRPr="00F7006D">
        <w:rPr>
          <w:rFonts w:ascii="Times New Roman" w:eastAsia="Times New Roman" w:hAnsi="Times New Roman" w:cs="Times New Roman"/>
          <w:color w:val="000000" w:themeColor="text1"/>
          <w:sz w:val="14"/>
          <w:szCs w:val="14"/>
          <w:lang w:eastAsia="cs-CZ"/>
        </w:rPr>
        <w:t xml:space="preserve">v očakávanej skutočnosti v roku 2021 sú započítané výdavky súvisiace so zákonom č. 231/2021 Z. z., </w:t>
      </w:r>
      <w:r>
        <w:rPr>
          <w:rFonts w:ascii="Times New Roman" w:eastAsia="Times New Roman" w:hAnsi="Times New Roman" w:cs="Times New Roman"/>
          <w:color w:val="000000" w:themeColor="text1"/>
          <w:sz w:val="14"/>
          <w:szCs w:val="14"/>
          <w:lang w:eastAsia="cs-CZ"/>
        </w:rPr>
        <w:t xml:space="preserve">                                                                  </w:t>
      </w:r>
      <w:r w:rsidRPr="00797DE5">
        <w:rPr>
          <w:rFonts w:ascii="Times New Roman" w:eastAsia="Times New Roman" w:hAnsi="Times New Roman" w:cs="Times New Roman"/>
          <w:i/>
          <w:color w:val="000000"/>
          <w:sz w:val="16"/>
          <w:szCs w:val="16"/>
          <w:lang w:eastAsia="cs-CZ"/>
        </w:rPr>
        <w:t>Zdroj: MF SR</w:t>
      </w:r>
    </w:p>
    <w:p w:rsidR="00AA17E3" w:rsidRPr="00797DE5"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sz w:val="16"/>
          <w:szCs w:val="16"/>
          <w:lang w:eastAsia="cs-CZ"/>
        </w:rPr>
      </w:pPr>
      <w:r>
        <w:rPr>
          <w:rFonts w:ascii="Times New Roman" w:eastAsia="Times New Roman" w:hAnsi="Times New Roman" w:cs="Times New Roman"/>
          <w:color w:val="000000" w:themeColor="text1"/>
          <w:sz w:val="14"/>
          <w:szCs w:val="14"/>
          <w:lang w:eastAsia="cs-CZ"/>
        </w:rPr>
        <w:t xml:space="preserve">   </w:t>
      </w:r>
      <w:r w:rsidRPr="00F7006D">
        <w:rPr>
          <w:rFonts w:ascii="Times New Roman" w:eastAsia="Times New Roman" w:hAnsi="Times New Roman" w:cs="Times New Roman"/>
          <w:color w:val="000000" w:themeColor="text1"/>
          <w:sz w:val="14"/>
          <w:szCs w:val="14"/>
          <w:lang w:eastAsia="cs-CZ"/>
        </w:rPr>
        <w:t xml:space="preserve">ktorým sa mení a dopĺňa zákon č. 425/2020 Z. z. o štátnom rozpočte na rok 2021 </w:t>
      </w:r>
      <w:r>
        <w:rPr>
          <w:rFonts w:ascii="Times New Roman" w:eastAsia="Times New Roman" w:hAnsi="Times New Roman" w:cs="Times New Roman"/>
          <w:color w:val="000000" w:themeColor="text1"/>
          <w:sz w:val="16"/>
          <w:szCs w:val="16"/>
          <w:lang w:eastAsia="cs-CZ"/>
        </w:rPr>
        <w:t xml:space="preserve">                                                                             </w:t>
      </w:r>
    </w:p>
    <w:p w:rsidR="00FA7DE1" w:rsidRPr="00B302BE" w:rsidRDefault="00FA7DE1" w:rsidP="00AA17E3">
      <w:pPr>
        <w:spacing w:after="0" w:line="240" w:lineRule="auto"/>
        <w:jc w:val="both"/>
        <w:rPr>
          <w:rFonts w:ascii="Times New Roman" w:hAnsi="Times New Roman" w:cs="Times New Roman"/>
          <w:b/>
          <w:iCs/>
          <w:color w:val="5B9BD5" w:themeColor="accent1"/>
          <w:sz w:val="32"/>
          <w:szCs w:val="20"/>
        </w:rPr>
      </w:pPr>
      <w:bookmarkStart w:id="513" w:name="_Toc84528541"/>
    </w:p>
    <w:p w:rsidR="00AA17E3" w:rsidRPr="00054F87" w:rsidRDefault="00AA17E3" w:rsidP="00AA17E3">
      <w:pPr>
        <w:spacing w:after="0" w:line="240" w:lineRule="auto"/>
        <w:jc w:val="both"/>
        <w:rPr>
          <w:rFonts w:ascii="Times New Roman" w:eastAsia="Times New Roman" w:hAnsi="Times New Roman" w:cs="Times New Roman"/>
          <w:bCs/>
          <w:iCs/>
          <w:sz w:val="24"/>
          <w:szCs w:val="24"/>
          <w:lang w:eastAsia="cs-CZ"/>
        </w:rPr>
      </w:pPr>
      <w:bookmarkStart w:id="514" w:name="_Toc84848032"/>
      <w:r w:rsidRPr="006B209A">
        <w:rPr>
          <w:rFonts w:ascii="Times New Roman" w:hAnsi="Times New Roman" w:cs="Times New Roman"/>
          <w:b/>
          <w:iCs/>
          <w:color w:val="5B9BD5" w:themeColor="accent1"/>
          <w:sz w:val="20"/>
          <w:szCs w:val="20"/>
        </w:rPr>
        <w:t xml:space="preserve">Graf </w:t>
      </w:r>
      <w:r w:rsidRPr="006B209A">
        <w:rPr>
          <w:rFonts w:ascii="Times New Roman" w:hAnsi="Times New Roman" w:cs="Times New Roman"/>
          <w:b/>
          <w:iCs/>
          <w:color w:val="5B9BD5" w:themeColor="accent1"/>
          <w:sz w:val="20"/>
          <w:szCs w:val="20"/>
        </w:rPr>
        <w:fldChar w:fldCharType="begin"/>
      </w:r>
      <w:r w:rsidRPr="006B209A">
        <w:rPr>
          <w:rFonts w:ascii="Times New Roman" w:hAnsi="Times New Roman" w:cs="Times New Roman"/>
          <w:b/>
          <w:iCs/>
          <w:color w:val="5B9BD5" w:themeColor="accent1"/>
          <w:sz w:val="20"/>
          <w:szCs w:val="20"/>
        </w:rPr>
        <w:instrText xml:space="preserve"> SEQ Obrázok \* ARABIC </w:instrText>
      </w:r>
      <w:r w:rsidRPr="006B209A">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41</w:t>
      </w:r>
      <w:r w:rsidRPr="006B209A">
        <w:rPr>
          <w:rFonts w:ascii="Times New Roman" w:hAnsi="Times New Roman" w:cs="Times New Roman"/>
          <w:b/>
          <w:iCs/>
          <w:color w:val="5B9BD5" w:themeColor="accent1"/>
          <w:sz w:val="20"/>
          <w:szCs w:val="20"/>
        </w:rPr>
        <w:fldChar w:fldCharType="end"/>
      </w:r>
      <w:r w:rsidR="00441800">
        <w:rPr>
          <w:rFonts w:ascii="Times New Roman" w:hAnsi="Times New Roman" w:cs="Times New Roman"/>
          <w:b/>
          <w:color w:val="5B9BD5" w:themeColor="accent1"/>
          <w:sz w:val="20"/>
          <w:szCs w:val="20"/>
        </w:rPr>
        <w:t xml:space="preserve"> -</w:t>
      </w:r>
      <w:r w:rsidRPr="00054F87">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Výdavky súvisiace s rozpočtom EÚ</w:t>
      </w:r>
      <w:bookmarkEnd w:id="513"/>
      <w:bookmarkEnd w:id="514"/>
    </w:p>
    <w:p w:rsidR="00AA17E3" w:rsidRPr="00797DE5" w:rsidRDefault="00AA17E3" w:rsidP="00AA17E3">
      <w:pPr>
        <w:spacing w:after="0" w:line="240" w:lineRule="auto"/>
        <w:jc w:val="both"/>
        <w:rPr>
          <w:rFonts w:ascii="Times New Roman" w:eastAsia="Times New Roman" w:hAnsi="Times New Roman" w:cs="Times New Roman"/>
          <w:i/>
          <w:color w:val="000000"/>
          <w:sz w:val="16"/>
          <w:szCs w:val="16"/>
          <w:lang w:eastAsia="cs-CZ"/>
        </w:rPr>
      </w:pPr>
      <w:r>
        <w:rPr>
          <w:noProof/>
          <w:lang w:eastAsia="sk-SK"/>
        </w:rPr>
        <w:drawing>
          <wp:inline distT="0" distB="0" distL="0" distR="0" wp14:anchorId="78F07887" wp14:editId="3C4CBB92">
            <wp:extent cx="5760720" cy="2814320"/>
            <wp:effectExtent l="0" t="0" r="11430" b="508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ascii="Times New Roman" w:eastAsia="Times New Roman" w:hAnsi="Times New Roman" w:cs="Times New Roman"/>
          <w:i/>
          <w:color w:val="000000"/>
          <w:sz w:val="16"/>
          <w:szCs w:val="16"/>
          <w:lang w:eastAsia="cs-CZ"/>
        </w:rPr>
        <w:t xml:space="preserve">                                                                                                                                                                                                            </w:t>
      </w:r>
      <w:r w:rsidRPr="00797DE5">
        <w:rPr>
          <w:rFonts w:ascii="Times New Roman" w:eastAsia="Times New Roman" w:hAnsi="Times New Roman" w:cs="Times New Roman"/>
          <w:i/>
          <w:color w:val="000000"/>
          <w:sz w:val="16"/>
          <w:szCs w:val="16"/>
          <w:lang w:eastAsia="cs-CZ"/>
        </w:rPr>
        <w:t>Zdroj: MF SR</w:t>
      </w:r>
    </w:p>
    <w:p w:rsidR="00AA17E3" w:rsidRDefault="00AA17E3"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AA17E3" w:rsidRDefault="00AA17E3" w:rsidP="00AA17E3">
      <w:pPr>
        <w:spacing w:after="0" w:line="240" w:lineRule="auto"/>
        <w:jc w:val="both"/>
        <w:rPr>
          <w:rFonts w:ascii="Times New Roman" w:eastAsia="Times New Roman" w:hAnsi="Times New Roman" w:cs="Times New Roman"/>
          <w:bCs/>
          <w:color w:val="000000" w:themeColor="text1"/>
          <w:sz w:val="24"/>
          <w:szCs w:val="24"/>
          <w:lang w:eastAsia="cs-CZ"/>
        </w:rPr>
      </w:pPr>
      <w:r w:rsidRPr="00797DE5">
        <w:rPr>
          <w:rFonts w:ascii="Times New Roman" w:eastAsia="Times New Roman" w:hAnsi="Times New Roman" w:cs="Times New Roman"/>
          <w:bCs/>
          <w:color w:val="000000" w:themeColor="text1"/>
          <w:sz w:val="24"/>
          <w:szCs w:val="24"/>
          <w:lang w:eastAsia="cs-CZ"/>
        </w:rPr>
        <w:t>Výdavky na financovanie fin</w:t>
      </w:r>
      <w:r>
        <w:rPr>
          <w:rFonts w:ascii="Times New Roman" w:eastAsia="Times New Roman" w:hAnsi="Times New Roman" w:cs="Times New Roman"/>
          <w:bCs/>
          <w:color w:val="000000" w:themeColor="text1"/>
          <w:sz w:val="24"/>
          <w:szCs w:val="24"/>
          <w:lang w:eastAsia="cs-CZ"/>
        </w:rPr>
        <w:t>ančných mechanizmov na roky 2022 až 2024</w:t>
      </w:r>
      <w:r w:rsidRPr="00797DE5">
        <w:rPr>
          <w:rFonts w:ascii="Times New Roman" w:eastAsia="Times New Roman" w:hAnsi="Times New Roman" w:cs="Times New Roman"/>
          <w:bCs/>
          <w:color w:val="000000" w:themeColor="text1"/>
          <w:sz w:val="24"/>
          <w:szCs w:val="24"/>
          <w:lang w:eastAsia="cs-CZ"/>
        </w:rPr>
        <w:t xml:space="preserve"> zaradené v tejto skupine predstavujú zdroje určené na financovanie finančného mechanizmu EHP a Nórskeho finančného mechanizmu. Výdavky na spolufinancovanie týchto nástrojov sa r</w:t>
      </w:r>
      <w:r>
        <w:rPr>
          <w:rFonts w:ascii="Times New Roman" w:eastAsia="Times New Roman" w:hAnsi="Times New Roman" w:cs="Times New Roman"/>
          <w:bCs/>
          <w:color w:val="000000" w:themeColor="text1"/>
          <w:sz w:val="24"/>
          <w:szCs w:val="24"/>
          <w:lang w:eastAsia="cs-CZ"/>
        </w:rPr>
        <w:t>ozpočtujú na rok 2022 v sume 2,37</w:t>
      </w:r>
      <w:r w:rsidRPr="00797DE5">
        <w:rPr>
          <w:rFonts w:ascii="Times New Roman" w:eastAsia="Times New Roman" w:hAnsi="Times New Roman" w:cs="Times New Roman"/>
          <w:bCs/>
          <w:color w:val="000000" w:themeColor="text1"/>
          <w:sz w:val="24"/>
          <w:szCs w:val="24"/>
          <w:lang w:eastAsia="cs-CZ"/>
        </w:rPr>
        <w:t xml:space="preserve"> mil. eur.</w:t>
      </w:r>
    </w:p>
    <w:p w:rsidR="00AA17E3" w:rsidRDefault="00AA17E3" w:rsidP="00AA17E3">
      <w:pPr>
        <w:spacing w:after="0" w:line="240" w:lineRule="auto"/>
        <w:jc w:val="both"/>
        <w:rPr>
          <w:rFonts w:ascii="Times New Roman" w:eastAsia="Times New Roman" w:hAnsi="Times New Roman" w:cs="Times New Roman"/>
          <w:bCs/>
          <w:color w:val="000000" w:themeColor="text1"/>
          <w:sz w:val="24"/>
          <w:szCs w:val="24"/>
          <w:lang w:eastAsia="cs-CZ"/>
        </w:rPr>
      </w:pPr>
    </w:p>
    <w:p w:rsidR="00AA17E3" w:rsidRPr="00A138AE" w:rsidRDefault="00AA17E3" w:rsidP="00AA17E3">
      <w:pPr>
        <w:spacing w:after="0" w:line="240" w:lineRule="auto"/>
        <w:jc w:val="both"/>
        <w:rPr>
          <w:rFonts w:ascii="Times New Roman" w:eastAsia="Times New Roman" w:hAnsi="Times New Roman" w:cs="Times New Roman"/>
          <w:sz w:val="24"/>
          <w:szCs w:val="24"/>
          <w:lang w:eastAsia="sk-SK"/>
        </w:rPr>
      </w:pPr>
      <w:r w:rsidRPr="00A138AE">
        <w:rPr>
          <w:rFonts w:ascii="Times New Roman" w:eastAsia="Times New Roman" w:hAnsi="Times New Roman" w:cs="Times New Roman"/>
          <w:sz w:val="24"/>
          <w:szCs w:val="24"/>
          <w:lang w:eastAsia="sk-SK"/>
        </w:rPr>
        <w:t>Ministerstvo financií SR pri výpočte predpokladanej výšky odvodov SR do všeobecného rozpočtu EÚ na roky 2021 až 2024 zohľadnilo najmä legislatívu k odvodovej časti balíka Viacročného finančného rámca 2021-2027, prijatého 17.</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12.</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2020. Jeho súčasťou je aj rozhodnutie Rady o systéme vlastných zdrojov EÚ, ktoré vstúpilo do platnosti 1.</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6.</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2021 a zaviedlo nový vlastný zdroj založený na nerecyklovanom odpade z plastových obalov. Zároveň sa podľa tohto nariadenia ponechávajú korekcie z odvodov HND pre vybrané členské štáty. V neposlednom rade sa pri výpočte zohľadnil aj návrh Európskej komisie k všeobecnému rozpočtu EÚ na rok 2022 ako aj</w:t>
      </w:r>
      <w:r w:rsidRPr="00A138AE">
        <w:rPr>
          <w:rFonts w:ascii="Arial Narrow" w:eastAsia="Times New Roman" w:hAnsi="Arial Narrow" w:cs="Times New Roman"/>
          <w:sz w:val="24"/>
          <w:szCs w:val="24"/>
          <w:lang w:eastAsia="sk-SK"/>
        </w:rPr>
        <w:t xml:space="preserve"> d</w:t>
      </w:r>
      <w:r w:rsidRPr="00A138AE">
        <w:rPr>
          <w:rFonts w:ascii="Times New Roman" w:eastAsia="Times New Roman" w:hAnsi="Times New Roman" w:cs="Times New Roman"/>
          <w:sz w:val="24"/>
          <w:szCs w:val="24"/>
          <w:lang w:eastAsia="sk-SK"/>
        </w:rPr>
        <w:t>lhodobá prognóza Komisie k peňažným tokom do rozpočtu EÚ (2021</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 xml:space="preserve">2027). </w:t>
      </w:r>
    </w:p>
    <w:p w:rsidR="00AA17E3" w:rsidRPr="00A138AE" w:rsidRDefault="00AA17E3" w:rsidP="00AA17E3">
      <w:pPr>
        <w:spacing w:after="0" w:line="240" w:lineRule="auto"/>
        <w:jc w:val="both"/>
        <w:rPr>
          <w:rFonts w:ascii="Times New Roman" w:eastAsia="Times New Roman" w:hAnsi="Times New Roman" w:cs="Times New Roman"/>
          <w:sz w:val="24"/>
          <w:szCs w:val="24"/>
          <w:lang w:eastAsia="sk-SK"/>
        </w:rPr>
      </w:pPr>
    </w:p>
    <w:p w:rsidR="00AA17E3" w:rsidRDefault="00AA17E3" w:rsidP="00AA17E3">
      <w:pPr>
        <w:spacing w:after="0" w:line="240" w:lineRule="auto"/>
        <w:jc w:val="both"/>
        <w:rPr>
          <w:rFonts w:ascii="Times New Roman" w:eastAsia="Times New Roman" w:hAnsi="Times New Roman" w:cs="Times New Roman"/>
          <w:sz w:val="24"/>
          <w:szCs w:val="24"/>
          <w:lang w:eastAsia="sk-SK"/>
        </w:rPr>
      </w:pPr>
      <w:r w:rsidRPr="00A138AE">
        <w:rPr>
          <w:rFonts w:ascii="Times New Roman" w:eastAsia="Times New Roman" w:hAnsi="Times New Roman" w:cs="Times New Roman"/>
          <w:sz w:val="24"/>
          <w:szCs w:val="24"/>
          <w:lang w:eastAsia="sk-SK"/>
        </w:rPr>
        <w:t>Odhad príspevkov SR do Európskeho rozvojového fondu (ERF) na roky 2021 až 2024 je vypracovaný na základe aktuálnej legislatívy a informácie Európskej komisie o budúcich príspevkoch do fondu. Príspevok je vykazovaný ako oficiál</w:t>
      </w:r>
      <w:r w:rsidR="008D6515">
        <w:rPr>
          <w:rFonts w:ascii="Times New Roman" w:eastAsia="Times New Roman" w:hAnsi="Times New Roman" w:cs="Times New Roman"/>
          <w:sz w:val="24"/>
          <w:szCs w:val="24"/>
          <w:lang w:eastAsia="sk-SK"/>
        </w:rPr>
        <w:t>na rozvojová pomoc SR. Odhad na</w:t>
      </w:r>
      <w:r w:rsidRPr="00A138AE">
        <w:rPr>
          <w:rFonts w:ascii="Times New Roman" w:eastAsia="Times New Roman" w:hAnsi="Times New Roman" w:cs="Times New Roman"/>
          <w:sz w:val="24"/>
          <w:szCs w:val="24"/>
          <w:lang w:eastAsia="sk-SK"/>
        </w:rPr>
        <w:t xml:space="preserve"> roky 2021</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w:t>
      </w:r>
      <w:r w:rsidR="008D6515">
        <w:rPr>
          <w:rFonts w:ascii="Times New Roman" w:eastAsia="Times New Roman" w:hAnsi="Times New Roman" w:cs="Times New Roman"/>
          <w:sz w:val="24"/>
          <w:szCs w:val="24"/>
          <w:lang w:eastAsia="sk-SK"/>
        </w:rPr>
        <w:t xml:space="preserve"> </w:t>
      </w:r>
      <w:r w:rsidRPr="00A138AE">
        <w:rPr>
          <w:rFonts w:ascii="Times New Roman" w:eastAsia="Times New Roman" w:hAnsi="Times New Roman" w:cs="Times New Roman"/>
          <w:sz w:val="24"/>
          <w:szCs w:val="24"/>
          <w:lang w:eastAsia="sk-SK"/>
        </w:rPr>
        <w:t>2024 zahŕňa prevažne implementáciu 11. programu ERF, na ktorom sa SR podieľa 0,37616 %. Časť príspevkov do ERF, ktorá je poukazovaná pre EIB, prislúcha 10. programu ERF, na ktorom sa SR podieľa 0,21 %.</w:t>
      </w:r>
    </w:p>
    <w:p w:rsidR="00AA17E3" w:rsidRDefault="00AA17E3" w:rsidP="00AA17E3">
      <w:pPr>
        <w:spacing w:after="0" w:line="240" w:lineRule="auto"/>
        <w:jc w:val="both"/>
        <w:rPr>
          <w:rFonts w:ascii="Times New Roman" w:eastAsia="Times New Roman" w:hAnsi="Times New Roman" w:cs="Times New Roman"/>
          <w:sz w:val="24"/>
          <w:szCs w:val="24"/>
          <w:lang w:eastAsia="sk-SK"/>
        </w:rPr>
      </w:pPr>
    </w:p>
    <w:p w:rsidR="00AA17E3" w:rsidRPr="00EB3E83" w:rsidRDefault="00AA17E3" w:rsidP="00AA17E3">
      <w:pPr>
        <w:spacing w:after="0" w:line="240" w:lineRule="auto"/>
        <w:jc w:val="both"/>
        <w:rPr>
          <w:rFonts w:ascii="Times New Roman" w:eastAsia="Times New Roman" w:hAnsi="Times New Roman" w:cs="Times New Roman"/>
          <w:sz w:val="24"/>
          <w:szCs w:val="24"/>
          <w:lang w:eastAsia="sk-SK"/>
        </w:rPr>
      </w:pPr>
      <w:r w:rsidRPr="00EB3E83">
        <w:rPr>
          <w:rFonts w:ascii="Times New Roman" w:eastAsia="Times New Roman" w:hAnsi="Times New Roman" w:cs="Times New Roman"/>
          <w:sz w:val="24"/>
          <w:szCs w:val="24"/>
          <w:lang w:eastAsia="sk-SK"/>
        </w:rPr>
        <w:t>Vzhľadom na stav pripravenosti OP Slovenska (4. pro</w:t>
      </w:r>
      <w:r>
        <w:rPr>
          <w:rFonts w:ascii="Times New Roman" w:eastAsia="Times New Roman" w:hAnsi="Times New Roman" w:cs="Times New Roman"/>
          <w:sz w:val="24"/>
          <w:szCs w:val="24"/>
          <w:lang w:eastAsia="sk-SK"/>
        </w:rPr>
        <w:t xml:space="preserve">gramové obdobie) nie je možné </w:t>
      </w:r>
      <w:r w:rsidRPr="00EB3E83">
        <w:rPr>
          <w:rFonts w:ascii="Times New Roman" w:eastAsia="Times New Roman" w:hAnsi="Times New Roman" w:cs="Times New Roman"/>
          <w:sz w:val="24"/>
          <w:szCs w:val="24"/>
          <w:lang w:eastAsia="sk-SK"/>
        </w:rPr>
        <w:t>rozpočtovať konkrétnu výšku finančných prostriedkov v jednotlivých kapitolách. Z uvedeného dôvodu sú tieto prostriedky</w:t>
      </w:r>
      <w:r w:rsidRPr="00BB2A0D">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do schválenia Partnerskej dohody a rozhodnutia o jednotlivých alokáciách</w:t>
      </w:r>
      <w:r w:rsidRPr="00EB3E83">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rozpočtované v kapitole</w:t>
      </w:r>
      <w:r w:rsidRPr="00EB3E83">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Všeobecná pokladničná správa.</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797DE5" w:rsidRDefault="00AA17E3" w:rsidP="00AA17E3">
      <w:pPr>
        <w:spacing w:after="240" w:line="240" w:lineRule="auto"/>
        <w:jc w:val="both"/>
        <w:rPr>
          <w:rFonts w:ascii="Times New Roman" w:eastAsia="Times New Roman" w:hAnsi="Times New Roman" w:cs="Courier"/>
          <w:b/>
          <w:bCs/>
          <w:iCs/>
          <w:color w:val="5B9BD5" w:themeColor="accent1"/>
          <w:sz w:val="24"/>
          <w:szCs w:val="24"/>
          <w:lang w:eastAsia="cs-CZ"/>
        </w:rPr>
      </w:pPr>
      <w:r w:rsidRPr="009E268A">
        <w:rPr>
          <w:rFonts w:ascii="Times New Roman" w:eastAsia="Times New Roman" w:hAnsi="Times New Roman" w:cs="Courier"/>
          <w:b/>
          <w:bCs/>
          <w:iCs/>
          <w:color w:val="5B9BD5" w:themeColor="accent1"/>
          <w:sz w:val="24"/>
          <w:szCs w:val="24"/>
          <w:lang w:eastAsia="cs-CZ"/>
        </w:rPr>
        <w:t>Výdavky spojené so správou štátneho dlhu</w:t>
      </w:r>
    </w:p>
    <w:p w:rsidR="00AA17E3" w:rsidRPr="00797DE5" w:rsidRDefault="00AA17E3" w:rsidP="00AA17E3">
      <w:pPr>
        <w:spacing w:after="0" w:line="240" w:lineRule="auto"/>
        <w:jc w:val="both"/>
        <w:rPr>
          <w:rFonts w:ascii="Times New Roman" w:eastAsia="Times New Roman" w:hAnsi="Times New Roman" w:cs="Times New Roman"/>
          <w:iCs/>
          <w:strike/>
          <w:sz w:val="24"/>
          <w:szCs w:val="24"/>
          <w:lang w:eastAsia="cs-CZ"/>
        </w:rPr>
      </w:pPr>
      <w:r>
        <w:rPr>
          <w:rFonts w:ascii="Times New Roman" w:eastAsia="Times New Roman" w:hAnsi="Times New Roman" w:cs="Times New Roman"/>
          <w:iCs/>
          <w:sz w:val="24"/>
          <w:szCs w:val="24"/>
          <w:lang w:eastAsia="cs-CZ"/>
        </w:rPr>
        <w:t>Nárast vý</w:t>
      </w:r>
      <w:r w:rsidRPr="00797DE5">
        <w:rPr>
          <w:rFonts w:ascii="Times New Roman" w:eastAsia="Times New Roman" w:hAnsi="Times New Roman" w:cs="Times New Roman"/>
          <w:iCs/>
          <w:sz w:val="24"/>
          <w:szCs w:val="24"/>
          <w:lang w:eastAsia="cs-CZ"/>
        </w:rPr>
        <w:t>davkov spojených so správou štátneho dlhu v roku 202</w:t>
      </w:r>
      <w:r w:rsidRPr="008831CD">
        <w:rPr>
          <w:rFonts w:ascii="Times New Roman" w:eastAsia="Times New Roman" w:hAnsi="Times New Roman" w:cs="Times New Roman"/>
          <w:iCs/>
          <w:sz w:val="24"/>
          <w:szCs w:val="24"/>
          <w:lang w:eastAsia="cs-CZ"/>
        </w:rPr>
        <w:t>2</w:t>
      </w:r>
      <w:r w:rsidRPr="00797DE5">
        <w:rPr>
          <w:rFonts w:ascii="Times New Roman" w:eastAsia="Times New Roman" w:hAnsi="Times New Roman" w:cs="Times New Roman"/>
          <w:iCs/>
          <w:sz w:val="24"/>
          <w:szCs w:val="24"/>
          <w:lang w:eastAsia="cs-CZ"/>
        </w:rPr>
        <w:t xml:space="preserve"> je spôsobený  rastom nominálneho dlhu v súvislosti so získavaním finančných zdrojov na zmiernenie vplyvu krízy pandémie ochorenia COVID-19, čo sa premieta do nárastu úrokových nákladov spojených s novými emisiami štátnych cenných papierov. </w:t>
      </w:r>
    </w:p>
    <w:p w:rsidR="00AA17E3" w:rsidRPr="00797DE5" w:rsidRDefault="00AA17E3" w:rsidP="00AA17E3">
      <w:pPr>
        <w:spacing w:before="100" w:beforeAutospacing="1" w:after="100" w:afterAutospacing="1" w:line="240" w:lineRule="auto"/>
        <w:jc w:val="both"/>
        <w:rPr>
          <w:rFonts w:ascii="Times New Roman" w:eastAsia="Times New Roman" w:hAnsi="Times New Roman" w:cs="Times New Roman"/>
          <w:iCs/>
          <w:sz w:val="24"/>
          <w:szCs w:val="24"/>
          <w:lang w:eastAsia="cs-CZ"/>
        </w:rPr>
      </w:pPr>
      <w:r w:rsidRPr="00797DE5">
        <w:rPr>
          <w:rFonts w:ascii="Times New Roman" w:eastAsia="Times New Roman" w:hAnsi="Times New Roman" w:cs="Times New Roman"/>
          <w:iCs/>
          <w:sz w:val="24"/>
          <w:szCs w:val="24"/>
          <w:lang w:eastAsia="cs-CZ"/>
        </w:rPr>
        <w:t xml:space="preserve">Vo výdavkoch spojených so správou štátneho dlhu sú zahrnuté aj náklady na úhradu úrokového diferenciálu pre Národnú banku Slovenska v súvislosti s operáciami s Medzinárodným menovým fondom. Sú tu zahrnuté aj manipulačné poplatky platené bankám v súvislosti </w:t>
      </w:r>
      <w:r w:rsidRPr="00797DE5">
        <w:rPr>
          <w:rFonts w:ascii="Times New Roman" w:eastAsia="Times New Roman" w:hAnsi="Times New Roman" w:cs="Times New Roman"/>
          <w:iCs/>
          <w:sz w:val="24"/>
          <w:szCs w:val="24"/>
          <w:lang w:eastAsia="cs-CZ"/>
        </w:rPr>
        <w:br/>
        <w:t>so správou a vedením účtov vzťahujúcich sa k pohľadávkam Slovenskej republiky v zahraničí.</w:t>
      </w:r>
    </w:p>
    <w:p w:rsidR="00AA17E3" w:rsidRPr="00797DE5" w:rsidRDefault="00AA17E3" w:rsidP="00AA17E3">
      <w:pPr>
        <w:keepNext/>
        <w:spacing w:after="0" w:line="240" w:lineRule="auto"/>
        <w:rPr>
          <w:rFonts w:ascii="Times New Roman" w:hAnsi="Times New Roman" w:cs="Times New Roman"/>
          <w:bCs/>
          <w:i/>
          <w:iCs/>
          <w:color w:val="5B9BD5" w:themeColor="accent1"/>
          <w:sz w:val="18"/>
          <w:szCs w:val="18"/>
        </w:rPr>
      </w:pPr>
      <w:bookmarkStart w:id="515" w:name="_Toc84528463"/>
      <w:bookmarkStart w:id="516" w:name="_Toc84845339"/>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115</w:t>
      </w:r>
      <w:r w:rsidRPr="00947144">
        <w:rPr>
          <w:rFonts w:ascii="Times New Roman" w:hAnsi="Times New Roman" w:cs="Times New Roman"/>
          <w:b/>
          <w:color w:val="5B9BD5" w:themeColor="accent1"/>
          <w:sz w:val="20"/>
          <w:szCs w:val="20"/>
        </w:rPr>
        <w:fldChar w:fldCharType="end"/>
      </w:r>
      <w:r w:rsidR="00441800">
        <w:rPr>
          <w:rFonts w:ascii="Times New Roman" w:hAnsi="Times New Roman" w:cs="Times New Roman"/>
          <w:b/>
          <w:color w:val="5B9BD5" w:themeColor="accent1"/>
          <w:sz w:val="20"/>
          <w:szCs w:val="20"/>
        </w:rPr>
        <w:t xml:space="preserve"> </w:t>
      </w:r>
      <w:r w:rsidRPr="00797DE5">
        <w:rPr>
          <w:rFonts w:ascii="Times New Roman" w:hAnsi="Times New Roman" w:cs="Times New Roman"/>
          <w:b/>
          <w:iCs/>
          <w:color w:val="5B9BD5" w:themeColor="accent1"/>
          <w:sz w:val="20"/>
          <w:szCs w:val="20"/>
        </w:rPr>
        <w:t>- Štruktúra výdavkov spojených so správou  štátneho dlhu</w:t>
      </w:r>
      <w:bookmarkEnd w:id="515"/>
      <w:bookmarkEnd w:id="516"/>
    </w:p>
    <w:tbl>
      <w:tblPr>
        <w:tblStyle w:val="Obyajntabuka4"/>
        <w:tblW w:w="5069" w:type="pct"/>
        <w:tblLook w:val="04A0" w:firstRow="1" w:lastRow="0" w:firstColumn="1" w:lastColumn="0" w:noHBand="0" w:noVBand="1"/>
      </w:tblPr>
      <w:tblGrid>
        <w:gridCol w:w="3133"/>
        <w:gridCol w:w="867"/>
        <w:gridCol w:w="867"/>
        <w:gridCol w:w="866"/>
        <w:gridCol w:w="866"/>
        <w:gridCol w:w="866"/>
        <w:gridCol w:w="866"/>
        <w:gridCol w:w="866"/>
      </w:tblGrid>
      <w:tr w:rsidR="00AA17E3" w:rsidRPr="00797DE5" w:rsidTr="00AA17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bottom w:val="single" w:sz="4" w:space="0" w:color="auto"/>
            </w:tcBorders>
            <w:shd w:val="clear" w:color="auto" w:fill="auto"/>
            <w:noWrap/>
            <w:vAlign w:val="center"/>
            <w:hideMark/>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v tis. eur</w:t>
            </w:r>
          </w:p>
        </w:tc>
        <w:tc>
          <w:tcPr>
            <w:tcW w:w="471" w:type="pct"/>
            <w:tcBorders>
              <w:top w:val="single" w:sz="4" w:space="0" w:color="auto"/>
              <w:bottom w:val="single" w:sz="4" w:space="0" w:color="auto"/>
            </w:tcBorders>
            <w:shd w:val="clear" w:color="auto" w:fill="auto"/>
            <w:vAlign w:val="center"/>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201</w:t>
            </w:r>
            <w:r>
              <w:rPr>
                <w:rFonts w:ascii="Times New Roman" w:hAnsi="Times New Roman" w:cs="Times New Roman"/>
                <w:sz w:val="16"/>
                <w:szCs w:val="16"/>
              </w:rPr>
              <w:t>9</w:t>
            </w:r>
            <w:r w:rsidRPr="00797DE5">
              <w:rPr>
                <w:rFonts w:ascii="Times New Roman" w:hAnsi="Times New Roman" w:cs="Times New Roman"/>
                <w:sz w:val="16"/>
                <w:szCs w:val="16"/>
              </w:rPr>
              <w:t xml:space="preserve"> S</w:t>
            </w:r>
          </w:p>
        </w:tc>
        <w:tc>
          <w:tcPr>
            <w:tcW w:w="471" w:type="pct"/>
            <w:tcBorders>
              <w:top w:val="single" w:sz="4" w:space="0" w:color="auto"/>
              <w:bottom w:val="single" w:sz="4" w:space="0" w:color="auto"/>
            </w:tcBorders>
            <w:shd w:val="clear" w:color="auto" w:fill="auto"/>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w:t>
            </w:r>
            <w:r>
              <w:rPr>
                <w:rFonts w:ascii="Times New Roman" w:hAnsi="Times New Roman" w:cs="Times New Roman"/>
                <w:sz w:val="16"/>
                <w:szCs w:val="16"/>
              </w:rPr>
              <w:t>20</w:t>
            </w:r>
            <w:r w:rsidRPr="00797DE5">
              <w:rPr>
                <w:rFonts w:ascii="Times New Roman" w:hAnsi="Times New Roman" w:cs="Times New Roman"/>
                <w:sz w:val="16"/>
                <w:szCs w:val="16"/>
              </w:rPr>
              <w:t xml:space="preserve"> S</w:t>
            </w:r>
          </w:p>
        </w:tc>
        <w:tc>
          <w:tcPr>
            <w:tcW w:w="471" w:type="pct"/>
            <w:tcBorders>
              <w:top w:val="single" w:sz="4" w:space="0" w:color="auto"/>
              <w:bottom w:val="single" w:sz="4" w:space="0" w:color="auto"/>
            </w:tcBorders>
            <w:shd w:val="clear" w:color="auto" w:fill="auto"/>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R</w:t>
            </w:r>
          </w:p>
        </w:tc>
        <w:tc>
          <w:tcPr>
            <w:tcW w:w="471" w:type="pct"/>
            <w:tcBorders>
              <w:top w:val="single" w:sz="4" w:space="0" w:color="auto"/>
              <w:bottom w:val="single" w:sz="4" w:space="0" w:color="auto"/>
            </w:tcBorders>
            <w:shd w:val="clear" w:color="auto" w:fill="auto"/>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OS</w:t>
            </w:r>
          </w:p>
        </w:tc>
        <w:tc>
          <w:tcPr>
            <w:tcW w:w="471" w:type="pct"/>
            <w:tcBorders>
              <w:top w:val="single" w:sz="4" w:space="0" w:color="auto"/>
              <w:bottom w:val="single" w:sz="4" w:space="0" w:color="auto"/>
            </w:tcBorders>
            <w:shd w:val="clear" w:color="auto" w:fill="auto"/>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2</w:t>
            </w:r>
            <w:r w:rsidRPr="00797DE5">
              <w:rPr>
                <w:rFonts w:ascii="Times New Roman" w:hAnsi="Times New Roman" w:cs="Times New Roman"/>
                <w:sz w:val="16"/>
                <w:szCs w:val="16"/>
              </w:rPr>
              <w:t xml:space="preserve"> N</w:t>
            </w:r>
          </w:p>
        </w:tc>
        <w:tc>
          <w:tcPr>
            <w:tcW w:w="471" w:type="pct"/>
            <w:tcBorders>
              <w:top w:val="single" w:sz="4" w:space="0" w:color="auto"/>
              <w:bottom w:val="single" w:sz="4" w:space="0" w:color="auto"/>
            </w:tcBorders>
            <w:shd w:val="clear" w:color="auto" w:fill="auto"/>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3</w:t>
            </w:r>
            <w:r w:rsidRPr="00797DE5">
              <w:rPr>
                <w:rFonts w:ascii="Times New Roman" w:hAnsi="Times New Roman" w:cs="Times New Roman"/>
                <w:sz w:val="16"/>
                <w:szCs w:val="16"/>
              </w:rPr>
              <w:t xml:space="preserve"> N</w:t>
            </w:r>
          </w:p>
        </w:tc>
        <w:tc>
          <w:tcPr>
            <w:tcW w:w="471" w:type="pct"/>
            <w:tcBorders>
              <w:top w:val="single" w:sz="4" w:space="0" w:color="auto"/>
              <w:bottom w:val="single" w:sz="4" w:space="0" w:color="auto"/>
            </w:tcBorders>
            <w:shd w:val="clear" w:color="auto" w:fill="auto"/>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4</w:t>
            </w:r>
            <w:r w:rsidRPr="00797DE5">
              <w:rPr>
                <w:rFonts w:ascii="Times New Roman" w:hAnsi="Times New Roman" w:cs="Times New Roman"/>
                <w:sz w:val="16"/>
                <w:szCs w:val="16"/>
              </w:rPr>
              <w:t xml:space="preserve"> N</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tcBorders>
            <w:shd w:val="clear" w:color="auto" w:fill="auto"/>
            <w:noWrap/>
            <w:vAlign w:val="bottom"/>
          </w:tcPr>
          <w:p w:rsidR="00AA17E3" w:rsidRPr="00797DE5" w:rsidRDefault="00AA17E3" w:rsidP="00AA17E3">
            <w:pPr>
              <w:rPr>
                <w:rFonts w:ascii="Times New Roman" w:hAnsi="Times New Roman" w:cs="Times New Roman"/>
                <w:sz w:val="16"/>
                <w:szCs w:val="16"/>
                <w:lang w:eastAsia="cs-CZ"/>
              </w:rPr>
            </w:pPr>
            <w:r w:rsidRPr="00797DE5">
              <w:rPr>
                <w:rFonts w:ascii="Times New Roman" w:hAnsi="Times New Roman" w:cs="Times New Roman"/>
                <w:sz w:val="16"/>
                <w:szCs w:val="16"/>
                <w:lang w:eastAsia="cs-CZ"/>
              </w:rPr>
              <w:t>Výdavky spojené so správou štátneho dlhu</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b/>
                <w:sz w:val="16"/>
                <w:szCs w:val="16"/>
              </w:rPr>
              <w:t>1</w:t>
            </w:r>
            <w:r>
              <w:rPr>
                <w:rFonts w:ascii="Times New Roman" w:hAnsi="Times New Roman" w:cs="Times New Roman"/>
                <w:b/>
                <w:sz w:val="16"/>
                <w:szCs w:val="16"/>
              </w:rPr>
              <w:t> 037 178</w:t>
            </w:r>
            <w:r w:rsidRPr="00797DE5">
              <w:rPr>
                <w:rFonts w:ascii="Times New Roman" w:hAnsi="Times New Roman" w:cs="Times New Roman"/>
                <w:b/>
                <w:sz w:val="16"/>
                <w:szCs w:val="16"/>
              </w:rPr>
              <w:t xml:space="preserve"> </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sz w:val="16"/>
                <w:szCs w:val="16"/>
              </w:rPr>
              <w:t>796 973</w:t>
            </w:r>
            <w:r w:rsidRPr="00797DE5">
              <w:rPr>
                <w:rFonts w:ascii="Times New Roman" w:hAnsi="Times New Roman" w:cs="Times New Roman"/>
                <w:b/>
                <w:sz w:val="16"/>
                <w:szCs w:val="16"/>
              </w:rPr>
              <w:t xml:space="preserve"> </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sz w:val="16"/>
                <w:szCs w:val="16"/>
              </w:rPr>
              <w:t>1 112 350</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sz w:val="16"/>
                <w:szCs w:val="16"/>
              </w:rPr>
              <w:t>690 115</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sz w:val="16"/>
                <w:szCs w:val="16"/>
              </w:rPr>
              <w:t>1 089 976</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sz w:val="16"/>
                <w:szCs w:val="16"/>
              </w:rPr>
              <w:t>1 171 003</w:t>
            </w:r>
            <w:r w:rsidRPr="00797DE5">
              <w:rPr>
                <w:rFonts w:ascii="Times New Roman" w:hAnsi="Times New Roman" w:cs="Times New Roman"/>
                <w:b/>
                <w:bCs/>
                <w:sz w:val="16"/>
                <w:szCs w:val="16"/>
              </w:rPr>
              <w:t xml:space="preserve"> </w:t>
            </w:r>
          </w:p>
        </w:tc>
        <w:tc>
          <w:tcPr>
            <w:tcW w:w="471" w:type="pct"/>
            <w:tcBorders>
              <w:top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b/>
                <w:bCs/>
                <w:sz w:val="16"/>
                <w:szCs w:val="16"/>
              </w:rPr>
              <w:t>1</w:t>
            </w:r>
            <w:r>
              <w:rPr>
                <w:rFonts w:ascii="Times New Roman" w:hAnsi="Times New Roman" w:cs="Times New Roman"/>
                <w:b/>
                <w:bCs/>
                <w:sz w:val="16"/>
                <w:szCs w:val="16"/>
              </w:rPr>
              <w:t> 134 959</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1703" w:type="pct"/>
            <w:shd w:val="clear" w:color="auto" w:fill="auto"/>
            <w:vAlign w:val="bottom"/>
            <w:hideMark/>
          </w:tcPr>
          <w:p w:rsidR="00AA17E3" w:rsidRPr="008831CD" w:rsidRDefault="00AA17E3" w:rsidP="00AA17E3">
            <w:pPr>
              <w:rPr>
                <w:rFonts w:ascii="Times New Roman" w:hAnsi="Times New Roman" w:cs="Times New Roman"/>
                <w:sz w:val="16"/>
                <w:szCs w:val="16"/>
                <w:lang w:eastAsia="cs-CZ"/>
              </w:rPr>
            </w:pPr>
            <w:r w:rsidRPr="008831CD">
              <w:rPr>
                <w:rFonts w:ascii="Times New Roman" w:hAnsi="Times New Roman" w:cs="Times New Roman"/>
                <w:sz w:val="16"/>
                <w:szCs w:val="16"/>
                <w:lang w:eastAsia="cs-CZ"/>
              </w:rPr>
              <w:t>Dlhová služba (transfer zo ŠR na saldo účet)</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1</w:t>
            </w:r>
            <w:r>
              <w:rPr>
                <w:rFonts w:ascii="Times New Roman" w:hAnsi="Times New Roman" w:cs="Times New Roman"/>
                <w:sz w:val="16"/>
                <w:szCs w:val="16"/>
              </w:rPr>
              <w:t> 036 908</w:t>
            </w:r>
            <w:r w:rsidRPr="00797DE5">
              <w:rPr>
                <w:rFonts w:ascii="Times New Roman" w:hAnsi="Times New Roman" w:cs="Times New Roman"/>
                <w:sz w:val="16"/>
                <w:szCs w:val="16"/>
              </w:rPr>
              <w:t xml:space="preserve"> </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Pr>
                <w:rFonts w:ascii="Times New Roman" w:hAnsi="Times New Roman" w:cs="Times New Roman"/>
                <w:sz w:val="16"/>
                <w:szCs w:val="16"/>
              </w:rPr>
              <w:t>796 703</w:t>
            </w:r>
            <w:r w:rsidRPr="00797DE5">
              <w:rPr>
                <w:rFonts w:ascii="Times New Roman" w:hAnsi="Times New Roman" w:cs="Times New Roman"/>
                <w:sz w:val="16"/>
                <w:szCs w:val="16"/>
              </w:rPr>
              <w:t xml:space="preserve"> </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Pr>
                <w:rFonts w:ascii="Times New Roman" w:hAnsi="Times New Roman" w:cs="Times New Roman"/>
                <w:sz w:val="16"/>
                <w:szCs w:val="16"/>
              </w:rPr>
              <w:t>1 112 080</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Pr>
                <w:rFonts w:ascii="Times New Roman" w:hAnsi="Times New Roman" w:cs="Times New Roman"/>
                <w:sz w:val="16"/>
                <w:szCs w:val="16"/>
              </w:rPr>
              <w:t>689 845</w:t>
            </w:r>
            <w:r w:rsidRPr="00797DE5">
              <w:rPr>
                <w:rFonts w:ascii="Times New Roman" w:hAnsi="Times New Roman" w:cs="Times New Roman"/>
                <w:sz w:val="16"/>
                <w:szCs w:val="16"/>
              </w:rPr>
              <w:t xml:space="preserve"> </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Pr>
                <w:rFonts w:ascii="Times New Roman" w:hAnsi="Times New Roman" w:cs="Times New Roman"/>
                <w:sz w:val="16"/>
                <w:szCs w:val="16"/>
              </w:rPr>
              <w:t>1 089 706</w:t>
            </w:r>
            <w:r w:rsidRPr="00797DE5">
              <w:rPr>
                <w:rFonts w:ascii="Times New Roman" w:hAnsi="Times New Roman" w:cs="Times New Roman"/>
                <w:sz w:val="16"/>
                <w:szCs w:val="16"/>
              </w:rPr>
              <w:t xml:space="preserve"> </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Pr>
                <w:rFonts w:ascii="Times New Roman" w:hAnsi="Times New Roman" w:cs="Times New Roman"/>
                <w:sz w:val="16"/>
                <w:szCs w:val="16"/>
              </w:rPr>
              <w:t>1 170 733</w:t>
            </w:r>
            <w:r w:rsidRPr="00797DE5">
              <w:rPr>
                <w:rFonts w:ascii="Times New Roman" w:hAnsi="Times New Roman" w:cs="Times New Roman"/>
                <w:sz w:val="16"/>
                <w:szCs w:val="16"/>
              </w:rPr>
              <w:t xml:space="preserve"> </w:t>
            </w:r>
          </w:p>
        </w:tc>
        <w:tc>
          <w:tcPr>
            <w:tcW w:w="471"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Pr>
                <w:rFonts w:ascii="Times New Roman" w:hAnsi="Times New Roman" w:cs="Times New Roman"/>
                <w:sz w:val="16"/>
                <w:szCs w:val="16"/>
              </w:rPr>
              <w:t>1 134 689</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3" w:type="pct"/>
            <w:tcBorders>
              <w:bottom w:val="single" w:sz="4" w:space="0" w:color="auto"/>
            </w:tcBorders>
            <w:shd w:val="clear" w:color="auto" w:fill="auto"/>
            <w:vAlign w:val="bottom"/>
          </w:tcPr>
          <w:p w:rsidR="00AA17E3" w:rsidRPr="008831CD" w:rsidRDefault="00AA17E3" w:rsidP="00AA17E3">
            <w:pPr>
              <w:rPr>
                <w:rFonts w:ascii="Times New Roman" w:hAnsi="Times New Roman" w:cs="Times New Roman"/>
                <w:sz w:val="16"/>
                <w:szCs w:val="16"/>
                <w:lang w:eastAsia="cs-CZ"/>
              </w:rPr>
            </w:pPr>
            <w:r w:rsidRPr="008831CD">
              <w:rPr>
                <w:rFonts w:ascii="Times New Roman" w:hAnsi="Times New Roman" w:cs="Times New Roman"/>
                <w:sz w:val="16"/>
                <w:szCs w:val="16"/>
                <w:lang w:eastAsia="cs-CZ"/>
              </w:rPr>
              <w:t>Manipulačné poplatky</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270</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797DE5">
              <w:rPr>
                <w:rFonts w:ascii="Times New Roman" w:hAnsi="Times New Roman" w:cs="Times New Roman"/>
                <w:sz w:val="16"/>
                <w:szCs w:val="16"/>
              </w:rPr>
              <w:t xml:space="preserve">270 </w:t>
            </w:r>
          </w:p>
        </w:tc>
      </w:tr>
    </w:tbl>
    <w:p w:rsidR="00AA17E3" w:rsidRPr="00797DE5" w:rsidRDefault="00AA17E3" w:rsidP="00AA17E3">
      <w:pPr>
        <w:spacing w:after="0" w:line="240" w:lineRule="auto"/>
        <w:jc w:val="right"/>
        <w:rPr>
          <w:rFonts w:ascii="Times New Roman" w:eastAsia="Times New Roman" w:hAnsi="Times New Roman" w:cs="Courier"/>
          <w:bCs/>
          <w:i/>
          <w:iCs/>
          <w:sz w:val="16"/>
          <w:szCs w:val="16"/>
          <w:lang w:eastAsia="cs-CZ"/>
        </w:rPr>
      </w:pPr>
      <w:r w:rsidRPr="00797DE5">
        <w:rPr>
          <w:rFonts w:ascii="Times New Roman" w:eastAsia="Times New Roman" w:hAnsi="Times New Roman" w:cs="Courier"/>
          <w:bCs/>
          <w:i/>
          <w:iCs/>
          <w:sz w:val="16"/>
          <w:szCs w:val="16"/>
          <w:lang w:eastAsia="cs-CZ"/>
        </w:rPr>
        <w:t>Zdroj: MF SR</w:t>
      </w:r>
    </w:p>
    <w:p w:rsidR="00AA17E3" w:rsidRPr="00B302BE" w:rsidRDefault="00AA17E3" w:rsidP="00AA17E3">
      <w:pPr>
        <w:spacing w:after="0" w:line="240" w:lineRule="auto"/>
        <w:jc w:val="both"/>
        <w:rPr>
          <w:rFonts w:ascii="Times New Roman" w:eastAsia="Times New Roman" w:hAnsi="Times New Roman" w:cs="Courier"/>
          <w:b/>
          <w:bCs/>
          <w:i/>
          <w:iCs/>
          <w:sz w:val="24"/>
          <w:szCs w:val="16"/>
          <w:lang w:eastAsia="cs-CZ"/>
        </w:rPr>
      </w:pPr>
    </w:p>
    <w:p w:rsidR="00AA17E3" w:rsidRPr="00947144" w:rsidRDefault="00AA17E3" w:rsidP="00AA17E3">
      <w:pPr>
        <w:spacing w:after="0" w:line="240" w:lineRule="auto"/>
        <w:rPr>
          <w:rFonts w:ascii="Times New Roman" w:eastAsia="Times New Roman" w:hAnsi="Times New Roman" w:cs="Times New Roman"/>
          <w:b/>
          <w:iCs/>
          <w:color w:val="5B9BD5" w:themeColor="accent1"/>
          <w:sz w:val="24"/>
          <w:szCs w:val="24"/>
          <w:lang w:eastAsia="cs-CZ"/>
        </w:rPr>
      </w:pPr>
      <w:r w:rsidRPr="00947144">
        <w:rPr>
          <w:rFonts w:ascii="Times New Roman" w:eastAsia="Times New Roman" w:hAnsi="Times New Roman" w:cs="Times New Roman"/>
          <w:b/>
          <w:iCs/>
          <w:color w:val="5B9BD5" w:themeColor="accent1"/>
          <w:sz w:val="24"/>
          <w:szCs w:val="24"/>
          <w:lang w:eastAsia="cs-CZ"/>
        </w:rPr>
        <w:t>Základné predpoklady pri rozpočtovaní nákladov na financovanie štátneho dlhu</w:t>
      </w:r>
    </w:p>
    <w:p w:rsidR="00AA17E3" w:rsidRPr="00797DE5" w:rsidRDefault="00AA17E3" w:rsidP="00AA17E3">
      <w:pPr>
        <w:spacing w:after="0" w:line="240" w:lineRule="auto"/>
        <w:rPr>
          <w:rFonts w:ascii="Times New Roman" w:eastAsia="Times New Roman" w:hAnsi="Times New Roman" w:cs="Times New Roman"/>
          <w:iCs/>
          <w:sz w:val="24"/>
          <w:szCs w:val="24"/>
          <w:lang w:eastAsia="cs-CZ"/>
        </w:rPr>
      </w:pPr>
    </w:p>
    <w:p w:rsidR="00AA17E3" w:rsidRPr="00947144" w:rsidRDefault="00AA17E3" w:rsidP="00AA17E3">
      <w:pPr>
        <w:spacing w:after="0" w:line="240" w:lineRule="auto"/>
        <w:contextualSpacing/>
        <w:rPr>
          <w:rFonts w:ascii="Times New Roman" w:eastAsia="Times New Roman" w:hAnsi="Times New Roman" w:cs="Times New Roman"/>
          <w:b/>
          <w:color w:val="5B9BD5" w:themeColor="accent1"/>
          <w:sz w:val="24"/>
          <w:szCs w:val="24"/>
          <w:lang w:eastAsia="cs-CZ"/>
        </w:rPr>
      </w:pPr>
      <w:r w:rsidRPr="00947144">
        <w:rPr>
          <w:rFonts w:ascii="Times New Roman" w:eastAsia="Times New Roman" w:hAnsi="Times New Roman" w:cs="Times New Roman"/>
          <w:b/>
          <w:color w:val="5B9BD5" w:themeColor="accent1"/>
          <w:sz w:val="24"/>
          <w:szCs w:val="24"/>
          <w:lang w:eastAsia="cs-CZ"/>
        </w:rPr>
        <w:t>Celková hodnota štátneho dlhu</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797DE5" w:rsidRDefault="00AA17E3" w:rsidP="008D6515">
      <w:pPr>
        <w:spacing w:after="0" w:line="240" w:lineRule="auto"/>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Štátny dlh sa bude postupne zväčšovať predovšetkým z dôvodu deficitov štátneho rozpočtu</w:t>
      </w:r>
      <w:r w:rsidRPr="00797DE5">
        <w:rPr>
          <w:rFonts w:ascii="Times New Roman" w:eastAsia="Times New Roman" w:hAnsi="Times New Roman" w:cs="Times New Roman"/>
          <w:color w:val="000000"/>
          <w:sz w:val="24"/>
          <w:szCs w:val="24"/>
          <w:lang w:eastAsia="cs-CZ"/>
        </w:rPr>
        <w:t xml:space="preserve">. Veľkosť štátneho dlhu bude ovplyvňovať aj hodnota pôžičiek zo Systému štátnej pokladnice, pretože časť zdrojov, potrebných na krytie finančných potrieb štátu, získava Ministerstvo financií SR z tohto zdroja. Vplyv na veľkosť hrubého štátneho dlhu bude mať aj hodnota finančných zdrojov, ktoré bude Ministerstvo financií SR ukladať krátkodobo </w:t>
      </w:r>
      <w:r w:rsidRPr="00797DE5">
        <w:rPr>
          <w:rFonts w:ascii="Times New Roman" w:eastAsia="Times New Roman" w:hAnsi="Times New Roman" w:cs="Times New Roman"/>
          <w:sz w:val="24"/>
          <w:szCs w:val="24"/>
          <w:lang w:eastAsia="cs-CZ"/>
        </w:rPr>
        <w:t>na finančnom trhu s cieľom mať k dispozícii okamžitú rezervu na krytie neočakávaných výkyvov cash flow štátu.</w:t>
      </w:r>
    </w:p>
    <w:p w:rsidR="008D6515" w:rsidRDefault="008D6515" w:rsidP="008D6515">
      <w:pPr>
        <w:spacing w:after="0" w:line="240" w:lineRule="auto"/>
        <w:jc w:val="both"/>
        <w:rPr>
          <w:rFonts w:ascii="Times New Roman" w:eastAsia="Times New Roman" w:hAnsi="Times New Roman" w:cs="Courier"/>
          <w:sz w:val="24"/>
          <w:szCs w:val="24"/>
          <w:lang w:eastAsia="cs-CZ"/>
        </w:rPr>
      </w:pPr>
    </w:p>
    <w:p w:rsidR="00AA17E3" w:rsidRPr="00797DE5" w:rsidRDefault="00AA17E3" w:rsidP="008D6515">
      <w:pPr>
        <w:spacing w:after="0" w:line="240" w:lineRule="auto"/>
        <w:jc w:val="both"/>
        <w:rPr>
          <w:rFonts w:ascii="Times New Roman" w:eastAsia="Times New Roman" w:hAnsi="Times New Roman" w:cs="Courier"/>
          <w:sz w:val="24"/>
          <w:szCs w:val="24"/>
          <w:lang w:eastAsia="cs-CZ"/>
        </w:rPr>
      </w:pPr>
      <w:r w:rsidRPr="00797DE5">
        <w:rPr>
          <w:rFonts w:ascii="Times New Roman" w:eastAsia="Times New Roman" w:hAnsi="Times New Roman" w:cs="Courier"/>
          <w:sz w:val="24"/>
          <w:szCs w:val="24"/>
          <w:lang w:eastAsia="cs-CZ"/>
        </w:rPr>
        <w:t>Štátny dlh je v zmysle zákona o Štátnom dlhu a štátnych zárukách hodnota záväzkov z minulých rokov (najmä emitované štátne dlhopisy, štátne pokladničné poukážky, vládne úvery, medzinárodné záväzky, prijaté kolaterály a krátkodobé pôžičky na peňažnom trhu). Štátny dlh sa bude pravdepodobne v nasledujúcich rokoch k 31.</w:t>
      </w:r>
      <w:r w:rsidR="008D6515">
        <w:rPr>
          <w:rFonts w:ascii="Times New Roman" w:eastAsia="Times New Roman" w:hAnsi="Times New Roman" w:cs="Courier"/>
          <w:sz w:val="24"/>
          <w:szCs w:val="24"/>
          <w:lang w:eastAsia="cs-CZ"/>
        </w:rPr>
        <w:t xml:space="preserve"> </w:t>
      </w:r>
      <w:r w:rsidRPr="00797DE5">
        <w:rPr>
          <w:rFonts w:ascii="Times New Roman" w:eastAsia="Times New Roman" w:hAnsi="Times New Roman" w:cs="Courier"/>
          <w:sz w:val="24"/>
          <w:szCs w:val="24"/>
          <w:lang w:eastAsia="cs-CZ"/>
        </w:rPr>
        <w:t>12. vyvíjať nasledovne:</w:t>
      </w:r>
    </w:p>
    <w:p w:rsidR="00AA17E3" w:rsidRPr="00797DE5" w:rsidRDefault="00AA17E3" w:rsidP="00AA17E3">
      <w:pPr>
        <w:spacing w:after="0" w:line="240" w:lineRule="auto"/>
        <w:jc w:val="both"/>
        <w:rPr>
          <w:rFonts w:ascii="Times New Roman" w:eastAsia="Times New Roman" w:hAnsi="Times New Roman" w:cs="Courier"/>
          <w:sz w:val="24"/>
          <w:szCs w:val="24"/>
          <w:lang w:eastAsia="cs-CZ"/>
        </w:rPr>
      </w:pPr>
    </w:p>
    <w:p w:rsidR="00AA17E3" w:rsidRPr="00797DE5" w:rsidRDefault="00AA17E3" w:rsidP="00AA17E3">
      <w:pPr>
        <w:keepNext/>
        <w:spacing w:after="0" w:line="240" w:lineRule="auto"/>
        <w:rPr>
          <w:rFonts w:ascii="Times New Roman" w:hAnsi="Times New Roman"/>
          <w:i/>
          <w:iCs/>
          <w:color w:val="5B9BD5" w:themeColor="accent1"/>
          <w:sz w:val="16"/>
          <w:szCs w:val="16"/>
        </w:rPr>
      </w:pPr>
      <w:bookmarkStart w:id="517" w:name="_Toc84528464"/>
      <w:bookmarkStart w:id="518" w:name="_Toc84845340"/>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116</w:t>
      </w:r>
      <w:r w:rsidRPr="00947144">
        <w:rPr>
          <w:rFonts w:ascii="Times New Roman" w:hAnsi="Times New Roman" w:cs="Times New Roman"/>
          <w:b/>
          <w:color w:val="5B9BD5" w:themeColor="accent1"/>
          <w:sz w:val="20"/>
          <w:szCs w:val="20"/>
        </w:rPr>
        <w:fldChar w:fldCharType="end"/>
      </w:r>
      <w:r w:rsidR="00441800">
        <w:rPr>
          <w:rFonts w:ascii="Times New Roman" w:hAnsi="Times New Roman" w:cs="Times New Roman"/>
          <w:b/>
          <w:color w:val="5B9BD5" w:themeColor="accent1"/>
          <w:sz w:val="20"/>
          <w:szCs w:val="20"/>
        </w:rPr>
        <w:t xml:space="preserve"> </w:t>
      </w:r>
      <w:r w:rsidRPr="00797DE5">
        <w:rPr>
          <w:rFonts w:ascii="Times New Roman" w:hAnsi="Times New Roman" w:cs="Times New Roman"/>
          <w:b/>
          <w:iCs/>
          <w:color w:val="5B9BD5" w:themeColor="accent1"/>
          <w:sz w:val="20"/>
          <w:szCs w:val="20"/>
        </w:rPr>
        <w:t>- Vývoj štátneho dlhu</w:t>
      </w:r>
      <w:bookmarkEnd w:id="517"/>
      <w:bookmarkEnd w:id="518"/>
    </w:p>
    <w:tbl>
      <w:tblPr>
        <w:tblStyle w:val="Obyajntabuka4"/>
        <w:tblW w:w="5000" w:type="pct"/>
        <w:tblLook w:val="04A0" w:firstRow="1" w:lastRow="0" w:firstColumn="1" w:lastColumn="0" w:noHBand="0" w:noVBand="1"/>
      </w:tblPr>
      <w:tblGrid>
        <w:gridCol w:w="1670"/>
        <w:gridCol w:w="1058"/>
        <w:gridCol w:w="1058"/>
        <w:gridCol w:w="1058"/>
        <w:gridCol w:w="1058"/>
        <w:gridCol w:w="1058"/>
        <w:gridCol w:w="1058"/>
        <w:gridCol w:w="1054"/>
      </w:tblGrid>
      <w:tr w:rsidR="00AA17E3" w:rsidRPr="00797DE5" w:rsidTr="00AA17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auto"/>
              <w:bottom w:val="single" w:sz="4" w:space="0" w:color="auto"/>
            </w:tcBorders>
            <w:shd w:val="clear" w:color="auto" w:fill="auto"/>
            <w:noWrap/>
            <w:vAlign w:val="center"/>
            <w:hideMark/>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v tis. eur</w:t>
            </w:r>
          </w:p>
        </w:tc>
        <w:tc>
          <w:tcPr>
            <w:tcW w:w="583"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201</w:t>
            </w:r>
            <w:r>
              <w:rPr>
                <w:rFonts w:ascii="Times New Roman" w:hAnsi="Times New Roman" w:cs="Times New Roman"/>
                <w:sz w:val="16"/>
                <w:szCs w:val="16"/>
              </w:rPr>
              <w:t>9</w:t>
            </w:r>
            <w:r w:rsidRPr="00797DE5">
              <w:rPr>
                <w:rFonts w:ascii="Times New Roman" w:hAnsi="Times New Roman" w:cs="Times New Roman"/>
                <w:sz w:val="16"/>
                <w:szCs w:val="16"/>
              </w:rPr>
              <w:t xml:space="preserve"> S</w:t>
            </w:r>
          </w:p>
        </w:tc>
        <w:tc>
          <w:tcPr>
            <w:tcW w:w="583"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2020</w:t>
            </w:r>
            <w:r w:rsidRPr="00797DE5">
              <w:rPr>
                <w:rFonts w:ascii="Times New Roman" w:hAnsi="Times New Roman" w:cs="Times New Roman"/>
                <w:sz w:val="16"/>
                <w:szCs w:val="16"/>
              </w:rPr>
              <w:t xml:space="preserve"> S</w:t>
            </w:r>
          </w:p>
        </w:tc>
        <w:tc>
          <w:tcPr>
            <w:tcW w:w="583"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R</w:t>
            </w:r>
          </w:p>
        </w:tc>
        <w:tc>
          <w:tcPr>
            <w:tcW w:w="583"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OS</w:t>
            </w:r>
          </w:p>
        </w:tc>
        <w:tc>
          <w:tcPr>
            <w:tcW w:w="583"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2</w:t>
            </w:r>
            <w:r w:rsidRPr="00797DE5">
              <w:rPr>
                <w:rFonts w:ascii="Times New Roman" w:hAnsi="Times New Roman" w:cs="Times New Roman"/>
                <w:sz w:val="16"/>
                <w:szCs w:val="16"/>
              </w:rPr>
              <w:t xml:space="preserve"> N</w:t>
            </w:r>
          </w:p>
        </w:tc>
        <w:tc>
          <w:tcPr>
            <w:tcW w:w="583"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3</w:t>
            </w:r>
            <w:r w:rsidRPr="00797DE5">
              <w:rPr>
                <w:rFonts w:ascii="Times New Roman" w:hAnsi="Times New Roman" w:cs="Times New Roman"/>
                <w:sz w:val="16"/>
                <w:szCs w:val="16"/>
              </w:rPr>
              <w:t xml:space="preserve"> N</w:t>
            </w:r>
          </w:p>
        </w:tc>
        <w:tc>
          <w:tcPr>
            <w:tcW w:w="581" w:type="pct"/>
            <w:tcBorders>
              <w:top w:val="single" w:sz="4" w:space="0" w:color="auto"/>
              <w:bottom w:val="single" w:sz="4" w:space="0" w:color="auto"/>
            </w:tcBorders>
            <w:shd w:val="clear" w:color="auto" w:fill="auto"/>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4</w:t>
            </w:r>
            <w:r w:rsidRPr="00797DE5">
              <w:rPr>
                <w:rFonts w:ascii="Times New Roman" w:hAnsi="Times New Roman" w:cs="Times New Roman"/>
                <w:sz w:val="16"/>
                <w:szCs w:val="16"/>
              </w:rPr>
              <w:t xml:space="preserve"> N</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auto"/>
            </w:tcBorders>
            <w:shd w:val="clear" w:color="auto" w:fill="auto"/>
            <w:noWrap/>
            <w:vAlign w:val="bottom"/>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Spolu</w:t>
            </w:r>
          </w:p>
        </w:tc>
        <w:tc>
          <w:tcPr>
            <w:tcW w:w="583" w:type="pct"/>
            <w:tcBorders>
              <w:top w:val="single" w:sz="4" w:space="0" w:color="auto"/>
            </w:tcBorders>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b/>
                <w:bCs/>
                <w:sz w:val="16"/>
              </w:rPr>
              <w:t>5</w:t>
            </w:r>
            <w:r>
              <w:rPr>
                <w:rFonts w:ascii="Times New Roman" w:hAnsi="Times New Roman" w:cs="Times New Roman"/>
                <w:b/>
                <w:bCs/>
                <w:sz w:val="16"/>
              </w:rPr>
              <w:t>2 904 274</w:t>
            </w:r>
          </w:p>
        </w:tc>
        <w:tc>
          <w:tcPr>
            <w:tcW w:w="583" w:type="pct"/>
            <w:tcBorders>
              <w:top w:val="single" w:sz="4" w:space="0" w:color="auto"/>
            </w:tcBorders>
            <w:shd w:val="clear" w:color="auto" w:fill="auto"/>
            <w:noWrap/>
            <w:vAlign w:val="bottom"/>
          </w:tcPr>
          <w:p w:rsidR="00AA17E3" w:rsidRPr="004847A8"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4847A8">
              <w:rPr>
                <w:rFonts w:ascii="Times New Roman" w:hAnsi="Times New Roman" w:cs="Times New Roman"/>
                <w:b/>
                <w:bCs/>
                <w:sz w:val="16"/>
              </w:rPr>
              <w:t>65 140 993</w:t>
            </w:r>
          </w:p>
        </w:tc>
        <w:tc>
          <w:tcPr>
            <w:tcW w:w="583" w:type="pct"/>
            <w:tcBorders>
              <w:top w:val="single" w:sz="4" w:space="0" w:color="auto"/>
            </w:tcBorders>
            <w:shd w:val="clear" w:color="auto" w:fill="auto"/>
            <w:noWrap/>
            <w:vAlign w:val="bottom"/>
          </w:tcPr>
          <w:p w:rsidR="00AA17E3" w:rsidRPr="004847A8"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4847A8">
              <w:rPr>
                <w:rFonts w:ascii="Times New Roman" w:hAnsi="Times New Roman" w:cs="Times New Roman"/>
                <w:b/>
                <w:bCs/>
                <w:sz w:val="16"/>
              </w:rPr>
              <w:t>70 839 792</w:t>
            </w:r>
          </w:p>
        </w:tc>
        <w:tc>
          <w:tcPr>
            <w:tcW w:w="583" w:type="pct"/>
            <w:tcBorders>
              <w:top w:val="single" w:sz="4" w:space="0" w:color="auto"/>
            </w:tcBorders>
            <w:shd w:val="clear" w:color="auto" w:fill="auto"/>
            <w:noWrap/>
            <w:vAlign w:val="bottom"/>
          </w:tcPr>
          <w:p w:rsidR="00AA17E3" w:rsidRPr="004847A8"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4847A8">
              <w:rPr>
                <w:rFonts w:ascii="Times New Roman" w:hAnsi="Times New Roman" w:cs="Times New Roman"/>
                <w:b/>
                <w:bCs/>
                <w:sz w:val="16"/>
              </w:rPr>
              <w:t>72 553 784</w:t>
            </w:r>
          </w:p>
        </w:tc>
        <w:tc>
          <w:tcPr>
            <w:tcW w:w="583" w:type="pct"/>
            <w:tcBorders>
              <w:top w:val="single" w:sz="4" w:space="0" w:color="auto"/>
            </w:tcBorders>
            <w:shd w:val="clear" w:color="auto" w:fill="auto"/>
            <w:noWrap/>
            <w:vAlign w:val="bottom"/>
          </w:tcPr>
          <w:p w:rsidR="00AA17E3" w:rsidRPr="004847A8"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4847A8">
              <w:rPr>
                <w:rFonts w:ascii="Times New Roman" w:hAnsi="Times New Roman" w:cs="Times New Roman"/>
                <w:b/>
                <w:bCs/>
                <w:sz w:val="16"/>
              </w:rPr>
              <w:t>76 985 165</w:t>
            </w:r>
          </w:p>
        </w:tc>
        <w:tc>
          <w:tcPr>
            <w:tcW w:w="583" w:type="pct"/>
            <w:tcBorders>
              <w:top w:val="single" w:sz="4" w:space="0" w:color="auto"/>
            </w:tcBorders>
            <w:shd w:val="clear" w:color="auto" w:fill="auto"/>
            <w:noWrap/>
            <w:vAlign w:val="bottom"/>
          </w:tcPr>
          <w:p w:rsidR="00AA17E3" w:rsidRPr="004847A8"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4847A8">
              <w:rPr>
                <w:rFonts w:ascii="Times New Roman" w:hAnsi="Times New Roman" w:cs="Times New Roman"/>
                <w:b/>
                <w:bCs/>
                <w:sz w:val="16"/>
              </w:rPr>
              <w:t>78 953 780</w:t>
            </w:r>
          </w:p>
        </w:tc>
        <w:tc>
          <w:tcPr>
            <w:tcW w:w="581" w:type="pct"/>
            <w:tcBorders>
              <w:top w:val="single" w:sz="4" w:space="0" w:color="auto"/>
            </w:tcBorders>
            <w:shd w:val="clear" w:color="auto" w:fill="auto"/>
            <w:noWrap/>
            <w:vAlign w:val="bottom"/>
          </w:tcPr>
          <w:p w:rsidR="00AA17E3" w:rsidRPr="004847A8"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4847A8">
              <w:rPr>
                <w:rFonts w:ascii="Times New Roman" w:hAnsi="Times New Roman" w:cs="Times New Roman"/>
                <w:b/>
                <w:bCs/>
                <w:sz w:val="16"/>
              </w:rPr>
              <w:t>81 281 376</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920" w:type="pct"/>
            <w:shd w:val="clear" w:color="auto" w:fill="auto"/>
            <w:noWrap/>
            <w:vAlign w:val="bottom"/>
            <w:hideMark/>
          </w:tcPr>
          <w:p w:rsidR="00AA17E3" w:rsidRPr="008831CD" w:rsidRDefault="00AA17E3" w:rsidP="00AA17E3">
            <w:pPr>
              <w:rPr>
                <w:rFonts w:ascii="Times New Roman" w:hAnsi="Times New Roman" w:cs="Times New Roman"/>
                <w:color w:val="000000"/>
                <w:sz w:val="16"/>
                <w:szCs w:val="16"/>
              </w:rPr>
            </w:pPr>
            <w:r w:rsidRPr="008831CD">
              <w:rPr>
                <w:rFonts w:ascii="Times New Roman" w:hAnsi="Times New Roman" w:cs="Times New Roman"/>
                <w:color w:val="000000"/>
                <w:sz w:val="16"/>
                <w:szCs w:val="16"/>
              </w:rPr>
              <w:t xml:space="preserve">Štátny dlh </w:t>
            </w:r>
          </w:p>
        </w:tc>
        <w:tc>
          <w:tcPr>
            <w:tcW w:w="583" w:type="pct"/>
            <w:shd w:val="clear" w:color="auto" w:fill="auto"/>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797DE5">
              <w:rPr>
                <w:rFonts w:ascii="Times New Roman" w:hAnsi="Times New Roman" w:cs="Times New Roman"/>
                <w:color w:val="000000"/>
                <w:sz w:val="16"/>
              </w:rPr>
              <w:t>4</w:t>
            </w:r>
            <w:r>
              <w:rPr>
                <w:rFonts w:ascii="Times New Roman" w:hAnsi="Times New Roman" w:cs="Times New Roman"/>
                <w:color w:val="000000"/>
                <w:sz w:val="16"/>
              </w:rPr>
              <w:t>3 069 790</w:t>
            </w:r>
          </w:p>
        </w:tc>
        <w:tc>
          <w:tcPr>
            <w:tcW w:w="583" w:type="pct"/>
            <w:shd w:val="clear" w:color="auto" w:fill="auto"/>
            <w:vAlign w:val="bottom"/>
          </w:tcPr>
          <w:p w:rsidR="00AA17E3" w:rsidRPr="00991703"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52 638 942</w:t>
            </w:r>
          </w:p>
        </w:tc>
        <w:tc>
          <w:tcPr>
            <w:tcW w:w="583" w:type="pct"/>
            <w:shd w:val="clear" w:color="auto" w:fill="auto"/>
            <w:vAlign w:val="bottom"/>
          </w:tcPr>
          <w:p w:rsidR="00AA17E3" w:rsidRPr="00991703"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59 638 612</w:t>
            </w:r>
          </w:p>
        </w:tc>
        <w:tc>
          <w:tcPr>
            <w:tcW w:w="583" w:type="pct"/>
            <w:shd w:val="clear" w:color="auto" w:fill="auto"/>
            <w:vAlign w:val="bottom"/>
          </w:tcPr>
          <w:p w:rsidR="00AA17E3" w:rsidRPr="00991703"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57 205 107</w:t>
            </w:r>
          </w:p>
        </w:tc>
        <w:tc>
          <w:tcPr>
            <w:tcW w:w="583" w:type="pct"/>
            <w:shd w:val="clear" w:color="auto" w:fill="auto"/>
            <w:vAlign w:val="bottom"/>
          </w:tcPr>
          <w:p w:rsidR="00AA17E3" w:rsidRPr="00991703"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62 090 394</w:t>
            </w:r>
          </w:p>
        </w:tc>
        <w:tc>
          <w:tcPr>
            <w:tcW w:w="583" w:type="pct"/>
            <w:shd w:val="clear" w:color="auto" w:fill="auto"/>
            <w:vAlign w:val="bottom"/>
          </w:tcPr>
          <w:p w:rsidR="00AA17E3" w:rsidRPr="00991703"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63 911 921</w:t>
            </w:r>
          </w:p>
        </w:tc>
        <w:tc>
          <w:tcPr>
            <w:tcW w:w="581" w:type="pct"/>
            <w:shd w:val="clear" w:color="auto" w:fill="auto"/>
            <w:vAlign w:val="bottom"/>
          </w:tcPr>
          <w:p w:rsidR="00AA17E3" w:rsidRPr="00991703"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65 917 845</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0" w:type="pct"/>
            <w:tcBorders>
              <w:bottom w:val="single" w:sz="4" w:space="0" w:color="auto"/>
            </w:tcBorders>
            <w:shd w:val="clear" w:color="auto" w:fill="auto"/>
            <w:noWrap/>
            <w:vAlign w:val="bottom"/>
            <w:hideMark/>
          </w:tcPr>
          <w:p w:rsidR="00AA17E3" w:rsidRPr="008831CD" w:rsidRDefault="00AA17E3" w:rsidP="00AA17E3">
            <w:pPr>
              <w:rPr>
                <w:rFonts w:ascii="Times New Roman" w:hAnsi="Times New Roman" w:cs="Times New Roman"/>
                <w:color w:val="000000"/>
                <w:sz w:val="16"/>
                <w:szCs w:val="16"/>
              </w:rPr>
            </w:pPr>
            <w:r w:rsidRPr="008831CD">
              <w:rPr>
                <w:rFonts w:ascii="Times New Roman" w:hAnsi="Times New Roman" w:cs="Times New Roman"/>
                <w:color w:val="000000"/>
                <w:sz w:val="16"/>
                <w:szCs w:val="16"/>
              </w:rPr>
              <w:t>Štátna pokladnica</w:t>
            </w:r>
          </w:p>
        </w:tc>
        <w:tc>
          <w:tcPr>
            <w:tcW w:w="583" w:type="pct"/>
            <w:tcBorders>
              <w:bottom w:val="single" w:sz="4" w:space="0" w:color="auto"/>
            </w:tcBorders>
            <w:shd w:val="clear" w:color="auto" w:fill="auto"/>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color w:val="000000"/>
                <w:sz w:val="16"/>
              </w:rPr>
              <w:t>9 834 484</w:t>
            </w:r>
          </w:p>
        </w:tc>
        <w:tc>
          <w:tcPr>
            <w:tcW w:w="583" w:type="pct"/>
            <w:tcBorders>
              <w:bottom w:val="single" w:sz="4" w:space="0" w:color="auto"/>
            </w:tcBorders>
            <w:shd w:val="clear" w:color="auto" w:fill="auto"/>
            <w:vAlign w:val="bottom"/>
          </w:tcPr>
          <w:p w:rsidR="00AA17E3" w:rsidRPr="00991703"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12 502 051</w:t>
            </w:r>
          </w:p>
        </w:tc>
        <w:tc>
          <w:tcPr>
            <w:tcW w:w="583" w:type="pct"/>
            <w:tcBorders>
              <w:bottom w:val="single" w:sz="4" w:space="0" w:color="auto"/>
            </w:tcBorders>
            <w:shd w:val="clear" w:color="auto" w:fill="auto"/>
            <w:vAlign w:val="bottom"/>
          </w:tcPr>
          <w:p w:rsidR="00AA17E3" w:rsidRPr="00991703"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11 201 180</w:t>
            </w:r>
          </w:p>
        </w:tc>
        <w:tc>
          <w:tcPr>
            <w:tcW w:w="583" w:type="pct"/>
            <w:tcBorders>
              <w:bottom w:val="single" w:sz="4" w:space="0" w:color="auto"/>
            </w:tcBorders>
            <w:shd w:val="clear" w:color="auto" w:fill="auto"/>
            <w:vAlign w:val="bottom"/>
          </w:tcPr>
          <w:p w:rsidR="00AA17E3" w:rsidRPr="00991703"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15 348 677</w:t>
            </w:r>
          </w:p>
        </w:tc>
        <w:tc>
          <w:tcPr>
            <w:tcW w:w="583" w:type="pct"/>
            <w:tcBorders>
              <w:bottom w:val="single" w:sz="4" w:space="0" w:color="auto"/>
            </w:tcBorders>
            <w:shd w:val="clear" w:color="auto" w:fill="auto"/>
            <w:vAlign w:val="bottom"/>
          </w:tcPr>
          <w:p w:rsidR="00AA17E3" w:rsidRPr="00991703"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14 894 771</w:t>
            </w:r>
          </w:p>
        </w:tc>
        <w:tc>
          <w:tcPr>
            <w:tcW w:w="583" w:type="pct"/>
            <w:tcBorders>
              <w:bottom w:val="single" w:sz="4" w:space="0" w:color="auto"/>
            </w:tcBorders>
            <w:shd w:val="clear" w:color="auto" w:fill="auto"/>
            <w:vAlign w:val="bottom"/>
          </w:tcPr>
          <w:p w:rsidR="00AA17E3" w:rsidRPr="00991703"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15 041 859</w:t>
            </w:r>
          </w:p>
        </w:tc>
        <w:tc>
          <w:tcPr>
            <w:tcW w:w="581" w:type="pct"/>
            <w:tcBorders>
              <w:bottom w:val="single" w:sz="4" w:space="0" w:color="auto"/>
            </w:tcBorders>
            <w:shd w:val="clear" w:color="auto" w:fill="auto"/>
            <w:vAlign w:val="bottom"/>
          </w:tcPr>
          <w:p w:rsidR="00AA17E3" w:rsidRPr="00991703"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991703">
              <w:rPr>
                <w:rFonts w:ascii="Times New Roman" w:hAnsi="Times New Roman" w:cs="Times New Roman"/>
                <w:bCs/>
                <w:sz w:val="16"/>
              </w:rPr>
              <w:t>15 363 531</w:t>
            </w:r>
          </w:p>
        </w:tc>
      </w:tr>
    </w:tbl>
    <w:p w:rsidR="00AA17E3" w:rsidRPr="00797DE5" w:rsidRDefault="00AA17E3" w:rsidP="00AA17E3">
      <w:pPr>
        <w:spacing w:after="0" w:line="240" w:lineRule="auto"/>
        <w:contextualSpacing/>
        <w:jc w:val="right"/>
        <w:rPr>
          <w:rFonts w:ascii="Times New Roman" w:eastAsia="Times New Roman" w:hAnsi="Times New Roman" w:cs="Times New Roman"/>
          <w:i/>
          <w:sz w:val="16"/>
          <w:szCs w:val="16"/>
          <w:lang w:eastAsia="cs-CZ"/>
        </w:rPr>
      </w:pPr>
      <w:r w:rsidRPr="00797DE5">
        <w:rPr>
          <w:rFonts w:ascii="Times New Roman" w:eastAsia="Times New Roman" w:hAnsi="Times New Roman" w:cs="Times New Roman"/>
          <w:i/>
          <w:sz w:val="16"/>
          <w:szCs w:val="16"/>
          <w:lang w:eastAsia="cs-CZ"/>
        </w:rPr>
        <w:t>Zdroj: ARDAL</w:t>
      </w:r>
    </w:p>
    <w:p w:rsidR="00756EC8" w:rsidRDefault="00756EC8" w:rsidP="00AA17E3">
      <w:pPr>
        <w:spacing w:after="0" w:line="240" w:lineRule="auto"/>
        <w:contextualSpacing/>
        <w:rPr>
          <w:rFonts w:ascii="Times New Roman" w:eastAsia="Times New Roman" w:hAnsi="Times New Roman" w:cs="Times New Roman"/>
          <w:b/>
          <w:iCs/>
          <w:color w:val="5B9BD5" w:themeColor="accent1"/>
          <w:sz w:val="24"/>
          <w:szCs w:val="24"/>
          <w:lang w:eastAsia="cs-CZ"/>
        </w:rPr>
      </w:pPr>
    </w:p>
    <w:p w:rsidR="00AA17E3" w:rsidRPr="00947144" w:rsidRDefault="00AA17E3" w:rsidP="00AA17E3">
      <w:pPr>
        <w:spacing w:after="0" w:line="240" w:lineRule="auto"/>
        <w:contextualSpacing/>
        <w:rPr>
          <w:rFonts w:ascii="Times New Roman" w:eastAsia="Times New Roman" w:hAnsi="Times New Roman" w:cs="Times New Roman"/>
          <w:b/>
          <w:iCs/>
          <w:color w:val="5B9BD5" w:themeColor="accent1"/>
          <w:sz w:val="24"/>
          <w:szCs w:val="24"/>
          <w:lang w:eastAsia="cs-CZ"/>
        </w:rPr>
      </w:pPr>
      <w:r w:rsidRPr="00947144">
        <w:rPr>
          <w:rFonts w:ascii="Times New Roman" w:eastAsia="Times New Roman" w:hAnsi="Times New Roman" w:cs="Times New Roman"/>
          <w:b/>
          <w:iCs/>
          <w:color w:val="5B9BD5" w:themeColor="accent1"/>
          <w:sz w:val="24"/>
          <w:szCs w:val="24"/>
          <w:lang w:eastAsia="cs-CZ"/>
        </w:rPr>
        <w:t>Úročenie štátneho dlhu</w:t>
      </w:r>
    </w:p>
    <w:p w:rsidR="00AA17E3" w:rsidRPr="00797DE5" w:rsidRDefault="00AA17E3" w:rsidP="00AA17E3">
      <w:pPr>
        <w:spacing w:after="0" w:line="240" w:lineRule="auto"/>
        <w:contextualSpacing/>
        <w:jc w:val="both"/>
        <w:rPr>
          <w:rFonts w:ascii="Times New Roman" w:eastAsia="Times New Roman" w:hAnsi="Times New Roman" w:cs="Times New Roman"/>
          <w:sz w:val="24"/>
          <w:szCs w:val="24"/>
          <w:lang w:eastAsia="cs-CZ"/>
        </w:rPr>
      </w:pPr>
    </w:p>
    <w:p w:rsidR="00AA17E3" w:rsidRPr="00797DE5" w:rsidRDefault="00AA17E3" w:rsidP="00AA17E3">
      <w:pPr>
        <w:spacing w:after="0" w:line="240" w:lineRule="auto"/>
        <w:contextualSpacing/>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 xml:space="preserve">Rozhodujúca časť štátneho dlhu – viac ako </w:t>
      </w:r>
      <w:r w:rsidRPr="004847A8">
        <w:rPr>
          <w:rFonts w:ascii="Times New Roman" w:eastAsia="Times New Roman" w:hAnsi="Times New Roman" w:cs="Times New Roman"/>
          <w:color w:val="000000" w:themeColor="text1"/>
          <w:sz w:val="24"/>
          <w:szCs w:val="24"/>
          <w:lang w:eastAsia="cs-CZ"/>
        </w:rPr>
        <w:t>99,99 %  (k 31.</w:t>
      </w:r>
      <w:r w:rsidR="008D6515">
        <w:rPr>
          <w:rFonts w:ascii="Times New Roman" w:eastAsia="Times New Roman" w:hAnsi="Times New Roman" w:cs="Times New Roman"/>
          <w:color w:val="000000" w:themeColor="text1"/>
          <w:sz w:val="24"/>
          <w:szCs w:val="24"/>
          <w:lang w:eastAsia="cs-CZ"/>
        </w:rPr>
        <w:t xml:space="preserve"> </w:t>
      </w:r>
      <w:r w:rsidRPr="004847A8">
        <w:rPr>
          <w:rFonts w:ascii="Times New Roman" w:eastAsia="Times New Roman" w:hAnsi="Times New Roman" w:cs="Times New Roman"/>
          <w:color w:val="000000" w:themeColor="text1"/>
          <w:sz w:val="24"/>
          <w:szCs w:val="24"/>
          <w:lang w:eastAsia="cs-CZ"/>
        </w:rPr>
        <w:t>8.</w:t>
      </w:r>
      <w:r w:rsidR="008D6515">
        <w:rPr>
          <w:rFonts w:ascii="Times New Roman" w:eastAsia="Times New Roman" w:hAnsi="Times New Roman" w:cs="Times New Roman"/>
          <w:color w:val="000000" w:themeColor="text1"/>
          <w:sz w:val="24"/>
          <w:szCs w:val="24"/>
          <w:lang w:eastAsia="cs-CZ"/>
        </w:rPr>
        <w:t xml:space="preserve"> </w:t>
      </w:r>
      <w:r w:rsidRPr="004847A8">
        <w:rPr>
          <w:rFonts w:ascii="Times New Roman" w:eastAsia="Times New Roman" w:hAnsi="Times New Roman" w:cs="Times New Roman"/>
          <w:color w:val="000000" w:themeColor="text1"/>
          <w:sz w:val="24"/>
          <w:szCs w:val="24"/>
          <w:lang w:eastAsia="cs-CZ"/>
        </w:rPr>
        <w:t>2021</w:t>
      </w:r>
      <w:r w:rsidRPr="00797DE5">
        <w:rPr>
          <w:rFonts w:ascii="Times New Roman" w:eastAsia="Times New Roman" w:hAnsi="Times New Roman" w:cs="Times New Roman"/>
          <w:sz w:val="24"/>
          <w:szCs w:val="24"/>
          <w:lang w:eastAsia="cs-CZ"/>
        </w:rPr>
        <w:t xml:space="preserve">) - má zafixované úročenie na niekoľko rokov vopred. Zmena úrokových sadzieb na finančnom trhu sa v úrokových nákladoch na štátny dlh preto prejaví len postupne. Nové dlhopisy, ktoré sú vydávané na krytie </w:t>
      </w:r>
      <w:r w:rsidRPr="00797DE5">
        <w:rPr>
          <w:rFonts w:ascii="Times New Roman" w:eastAsia="Times New Roman" w:hAnsi="Times New Roman" w:cs="Times New Roman"/>
          <w:color w:val="000000"/>
          <w:sz w:val="24"/>
          <w:szCs w:val="24"/>
          <w:lang w:eastAsia="cs-CZ"/>
        </w:rPr>
        <w:t xml:space="preserve">nových deficitov štátneho rozpočtu a ako náhrada splatných štátnych dlhopisov, budú vydávané </w:t>
      </w:r>
      <w:r w:rsidRPr="00797DE5">
        <w:rPr>
          <w:rFonts w:ascii="Times New Roman" w:eastAsia="Times New Roman" w:hAnsi="Times New Roman" w:cs="Times New Roman"/>
          <w:sz w:val="24"/>
          <w:szCs w:val="24"/>
          <w:lang w:eastAsia="cs-CZ"/>
        </w:rPr>
        <w:t>v danom roku s aktuálnymi trhovými úrokovými sadzbami. Okrem toho sa v každom roku precení časť portfólia, ktorá je úročená pohyblivou úrokovou sadzbou, aktuálne táto časť dosahuje približne 0,01 % celého portfólia (okrem zdrojov Štátnej pokladnice). Dlhopisy s pohyblivou úrokovou sadzbou sa vydávajú na základe Stratégie riadenia štátneho dlhu s cieľom pokrytia investorského dopytu, ktorý je zameraný prevažne na aktíva s pohyblivou úrokovou sadzbou.</w:t>
      </w:r>
    </w:p>
    <w:p w:rsidR="00AA17E3" w:rsidRPr="00797DE5" w:rsidRDefault="00AA17E3" w:rsidP="00AA17E3">
      <w:pPr>
        <w:spacing w:after="200" w:line="276" w:lineRule="auto"/>
        <w:contextualSpacing/>
        <w:jc w:val="both"/>
        <w:rPr>
          <w:rFonts w:ascii="Times New Roman" w:eastAsia="Calibri" w:hAnsi="Times New Roman" w:cs="Times New Roman"/>
          <w:i/>
          <w:szCs w:val="36"/>
        </w:rPr>
      </w:pPr>
    </w:p>
    <w:p w:rsidR="00AA17E3" w:rsidRPr="00797DE5" w:rsidRDefault="00AA17E3" w:rsidP="00AA17E3">
      <w:pPr>
        <w:spacing w:after="0" w:line="240" w:lineRule="auto"/>
        <w:contextualSpacing/>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V nasledujúcich rokoch si bude Ministerstvo financií SR musieť na finančných</w:t>
      </w:r>
      <w:r w:rsidR="00B8458A">
        <w:rPr>
          <w:rFonts w:ascii="Times New Roman" w:eastAsia="Times New Roman" w:hAnsi="Times New Roman" w:cs="Times New Roman"/>
          <w:sz w:val="24"/>
          <w:szCs w:val="24"/>
          <w:lang w:eastAsia="cs-CZ"/>
        </w:rPr>
        <w:t xml:space="preserve"> trhoch požičať nasledovné sumy.</w:t>
      </w:r>
    </w:p>
    <w:p w:rsidR="00AA17E3" w:rsidRPr="00797DE5" w:rsidRDefault="00AA17E3" w:rsidP="00AA17E3">
      <w:pPr>
        <w:spacing w:after="0" w:line="240" w:lineRule="auto"/>
        <w:contextualSpacing/>
        <w:jc w:val="both"/>
        <w:rPr>
          <w:rFonts w:ascii="Courier" w:eastAsia="Times New Roman" w:hAnsi="Courier" w:cs="Courier"/>
          <w:sz w:val="24"/>
          <w:szCs w:val="24"/>
          <w:lang w:eastAsia="cs-CZ"/>
        </w:rPr>
      </w:pPr>
    </w:p>
    <w:p w:rsidR="00AA17E3" w:rsidRPr="00797DE5" w:rsidRDefault="00AA17E3" w:rsidP="00AA17E3">
      <w:pPr>
        <w:keepNext/>
        <w:spacing w:after="0" w:line="240" w:lineRule="auto"/>
        <w:rPr>
          <w:rFonts w:ascii="Times New Roman" w:hAnsi="Times New Roman" w:cs="Times New Roman"/>
          <w:b/>
          <w:iCs/>
          <w:color w:val="5B9BD5" w:themeColor="accent1"/>
          <w:sz w:val="20"/>
          <w:szCs w:val="20"/>
        </w:rPr>
      </w:pPr>
      <w:bookmarkStart w:id="519" w:name="_Toc84528465"/>
      <w:bookmarkStart w:id="520" w:name="_Toc84845341"/>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117</w:t>
      </w:r>
      <w:r w:rsidRPr="00947144">
        <w:rPr>
          <w:rFonts w:ascii="Times New Roman" w:hAnsi="Times New Roman" w:cs="Times New Roman"/>
          <w:b/>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Štruktúra finančnej potreby Ministerstva financií SR</w:t>
      </w:r>
      <w:bookmarkEnd w:id="519"/>
      <w:bookmarkEnd w:id="520"/>
      <w:r w:rsidRPr="00797DE5">
        <w:rPr>
          <w:rFonts w:ascii="Times New Roman" w:hAnsi="Times New Roman" w:cs="Times New Roman"/>
          <w:i/>
          <w:iCs/>
          <w:color w:val="5B9BD5" w:themeColor="accent1"/>
          <w:sz w:val="16"/>
          <w:szCs w:val="16"/>
        </w:rPr>
        <w:t xml:space="preserve">                                                                                                                                                                                            </w:t>
      </w:r>
    </w:p>
    <w:tbl>
      <w:tblPr>
        <w:tblStyle w:val="Obyajntabuka4"/>
        <w:tblW w:w="9072" w:type="dxa"/>
        <w:tblLayout w:type="fixed"/>
        <w:tblLook w:val="04A0" w:firstRow="1" w:lastRow="0" w:firstColumn="1" w:lastColumn="0" w:noHBand="0" w:noVBand="1"/>
      </w:tblPr>
      <w:tblGrid>
        <w:gridCol w:w="1573"/>
        <w:gridCol w:w="1072"/>
        <w:gridCol w:w="1072"/>
        <w:gridCol w:w="1071"/>
        <w:gridCol w:w="1071"/>
        <w:gridCol w:w="1071"/>
        <w:gridCol w:w="1071"/>
        <w:gridCol w:w="1071"/>
      </w:tblGrid>
      <w:tr w:rsidR="00AA17E3" w:rsidRPr="00797DE5" w:rsidTr="00AA17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v tis. eur</w:t>
            </w:r>
          </w:p>
        </w:tc>
        <w:tc>
          <w:tcPr>
            <w:tcW w:w="1072" w:type="dxa"/>
            <w:tcBorders>
              <w:top w:val="single" w:sz="4" w:space="0" w:color="auto"/>
              <w:bottom w:val="single" w:sz="4" w:space="0" w:color="auto"/>
            </w:tcBorders>
            <w:shd w:val="clear" w:color="auto" w:fill="FFFFFF" w:themeFill="background1"/>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201</w:t>
            </w:r>
            <w:r>
              <w:rPr>
                <w:rFonts w:ascii="Times New Roman" w:hAnsi="Times New Roman" w:cs="Times New Roman"/>
                <w:sz w:val="16"/>
                <w:szCs w:val="16"/>
              </w:rPr>
              <w:t>9</w:t>
            </w:r>
            <w:r w:rsidRPr="00797DE5">
              <w:rPr>
                <w:rFonts w:ascii="Times New Roman" w:hAnsi="Times New Roman" w:cs="Times New Roman"/>
                <w:sz w:val="16"/>
                <w:szCs w:val="16"/>
              </w:rPr>
              <w:t xml:space="preserve"> S</w:t>
            </w:r>
          </w:p>
        </w:tc>
        <w:tc>
          <w:tcPr>
            <w:tcW w:w="1072"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w:t>
            </w:r>
            <w:r>
              <w:rPr>
                <w:rFonts w:ascii="Times New Roman" w:hAnsi="Times New Roman" w:cs="Times New Roman"/>
                <w:sz w:val="16"/>
                <w:szCs w:val="16"/>
              </w:rPr>
              <w:t>20</w:t>
            </w:r>
            <w:r w:rsidRPr="00797DE5">
              <w:rPr>
                <w:rFonts w:ascii="Times New Roman" w:hAnsi="Times New Roman" w:cs="Times New Roman"/>
                <w:sz w:val="16"/>
                <w:szCs w:val="16"/>
              </w:rPr>
              <w:t xml:space="preserve"> S</w:t>
            </w:r>
          </w:p>
        </w:tc>
        <w:tc>
          <w:tcPr>
            <w:tcW w:w="1071"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R</w:t>
            </w:r>
          </w:p>
        </w:tc>
        <w:tc>
          <w:tcPr>
            <w:tcW w:w="1071"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OS</w:t>
            </w:r>
          </w:p>
        </w:tc>
        <w:tc>
          <w:tcPr>
            <w:tcW w:w="1071"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2</w:t>
            </w:r>
            <w:r w:rsidRPr="00797DE5">
              <w:rPr>
                <w:rFonts w:ascii="Times New Roman" w:hAnsi="Times New Roman" w:cs="Times New Roman"/>
                <w:sz w:val="16"/>
                <w:szCs w:val="16"/>
              </w:rPr>
              <w:t xml:space="preserve"> N</w:t>
            </w:r>
          </w:p>
        </w:tc>
        <w:tc>
          <w:tcPr>
            <w:tcW w:w="1071"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3</w:t>
            </w:r>
            <w:r w:rsidRPr="00797DE5">
              <w:rPr>
                <w:rFonts w:ascii="Times New Roman" w:hAnsi="Times New Roman" w:cs="Times New Roman"/>
                <w:sz w:val="16"/>
                <w:szCs w:val="16"/>
              </w:rPr>
              <w:t xml:space="preserve"> N</w:t>
            </w:r>
          </w:p>
        </w:tc>
        <w:tc>
          <w:tcPr>
            <w:tcW w:w="1071"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4</w:t>
            </w:r>
            <w:r w:rsidRPr="00797DE5">
              <w:rPr>
                <w:rFonts w:ascii="Times New Roman" w:hAnsi="Times New Roman" w:cs="Times New Roman"/>
                <w:sz w:val="16"/>
                <w:szCs w:val="16"/>
              </w:rPr>
              <w:t xml:space="preserve"> N</w:t>
            </w:r>
          </w:p>
        </w:tc>
      </w:tr>
      <w:tr w:rsidR="00B72C30"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auto"/>
            </w:tcBorders>
            <w:shd w:val="clear" w:color="auto" w:fill="FFFFFF" w:themeFill="background1"/>
            <w:noWrap/>
            <w:vAlign w:val="bottom"/>
          </w:tcPr>
          <w:p w:rsidR="00B72C30" w:rsidRPr="00797DE5" w:rsidRDefault="00B72C30" w:rsidP="00B72C30">
            <w:pPr>
              <w:rPr>
                <w:rFonts w:ascii="Times New Roman" w:hAnsi="Times New Roman" w:cs="Times New Roman"/>
                <w:color w:val="000000"/>
                <w:sz w:val="16"/>
                <w:szCs w:val="16"/>
              </w:rPr>
            </w:pPr>
            <w:r w:rsidRPr="00797DE5">
              <w:rPr>
                <w:rFonts w:ascii="Times New Roman" w:hAnsi="Times New Roman" w:cs="Times New Roman"/>
                <w:color w:val="000000"/>
                <w:sz w:val="16"/>
                <w:szCs w:val="16"/>
              </w:rPr>
              <w:t>Celková finančná potreba MF SR</w:t>
            </w:r>
          </w:p>
        </w:tc>
        <w:tc>
          <w:tcPr>
            <w:tcW w:w="1072" w:type="dxa"/>
            <w:tcBorders>
              <w:top w:val="single" w:sz="4" w:space="0" w:color="auto"/>
            </w:tcBorders>
            <w:shd w:val="clear" w:color="auto" w:fill="FFFFFF" w:themeFill="background1"/>
            <w:vAlign w:val="bottom"/>
          </w:tcPr>
          <w:p w:rsidR="00B72C30" w:rsidRPr="00DC0A0D"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DC0A0D">
              <w:rPr>
                <w:rFonts w:ascii="Times New Roman" w:hAnsi="Times New Roman" w:cs="Times New Roman"/>
                <w:b/>
                <w:bCs/>
                <w:sz w:val="16"/>
              </w:rPr>
              <w:t>4 940 472</w:t>
            </w:r>
          </w:p>
        </w:tc>
        <w:tc>
          <w:tcPr>
            <w:tcW w:w="1072" w:type="dxa"/>
            <w:tcBorders>
              <w:top w:val="single" w:sz="4" w:space="0" w:color="auto"/>
            </w:tcBorders>
            <w:shd w:val="clear" w:color="auto" w:fill="FFFFFF" w:themeFill="background1"/>
            <w:noWrap/>
            <w:vAlign w:val="bottom"/>
          </w:tcPr>
          <w:p w:rsidR="00B72C30" w:rsidRPr="00DC0A0D"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860662">
              <w:rPr>
                <w:rFonts w:ascii="Times New Roman" w:hAnsi="Times New Roman" w:cs="Times New Roman"/>
                <w:b/>
                <w:bCs/>
                <w:sz w:val="16"/>
              </w:rPr>
              <w:t>12 457 443</w:t>
            </w:r>
          </w:p>
        </w:tc>
        <w:tc>
          <w:tcPr>
            <w:tcW w:w="1071" w:type="dxa"/>
            <w:tcBorders>
              <w:top w:val="single" w:sz="4" w:space="0" w:color="auto"/>
            </w:tcBorders>
            <w:shd w:val="clear" w:color="auto" w:fill="FFFFFF" w:themeFill="background1"/>
            <w:noWrap/>
            <w:vAlign w:val="bottom"/>
          </w:tcPr>
          <w:p w:rsidR="00B72C30" w:rsidRPr="00B72C30"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B72C30">
              <w:rPr>
                <w:rFonts w:ascii="Times New Roman" w:hAnsi="Times New Roman"/>
                <w:b/>
                <w:bCs/>
                <w:sz w:val="16"/>
                <w:szCs w:val="16"/>
              </w:rPr>
              <w:t>10 638 454</w:t>
            </w:r>
          </w:p>
        </w:tc>
        <w:tc>
          <w:tcPr>
            <w:tcW w:w="1071" w:type="dxa"/>
            <w:tcBorders>
              <w:top w:val="single" w:sz="4" w:space="0" w:color="auto"/>
            </w:tcBorders>
            <w:shd w:val="clear" w:color="auto" w:fill="FFFFFF" w:themeFill="background1"/>
            <w:noWrap/>
            <w:vAlign w:val="bottom"/>
          </w:tcPr>
          <w:p w:rsidR="00B72C30" w:rsidRPr="00DC0A0D"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860662">
              <w:rPr>
                <w:rFonts w:ascii="Times New Roman" w:hAnsi="Times New Roman" w:cs="Times New Roman"/>
                <w:b/>
                <w:bCs/>
                <w:sz w:val="16"/>
              </w:rPr>
              <w:t>11 210 849</w:t>
            </w:r>
          </w:p>
        </w:tc>
        <w:tc>
          <w:tcPr>
            <w:tcW w:w="1071" w:type="dxa"/>
            <w:tcBorders>
              <w:top w:val="single" w:sz="4" w:space="0" w:color="auto"/>
            </w:tcBorders>
            <w:shd w:val="clear" w:color="auto" w:fill="auto"/>
            <w:noWrap/>
            <w:vAlign w:val="bottom"/>
          </w:tcPr>
          <w:p w:rsidR="00B72C30" w:rsidRPr="00DC0A0D"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Pr>
                <w:rFonts w:ascii="Times New Roman" w:hAnsi="Times New Roman" w:cs="Times New Roman"/>
                <w:b/>
                <w:bCs/>
                <w:sz w:val="16"/>
              </w:rPr>
              <w:t>6 788 231</w:t>
            </w:r>
          </w:p>
        </w:tc>
        <w:tc>
          <w:tcPr>
            <w:tcW w:w="1071" w:type="dxa"/>
            <w:tcBorders>
              <w:top w:val="single" w:sz="4" w:space="0" w:color="auto"/>
            </w:tcBorders>
            <w:shd w:val="clear" w:color="auto" w:fill="auto"/>
            <w:noWrap/>
            <w:vAlign w:val="bottom"/>
          </w:tcPr>
          <w:p w:rsidR="00B72C30" w:rsidRPr="00DC0A0D"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860662">
              <w:rPr>
                <w:rFonts w:ascii="Times New Roman" w:hAnsi="Times New Roman" w:cs="Times New Roman"/>
                <w:b/>
                <w:bCs/>
                <w:sz w:val="16"/>
              </w:rPr>
              <w:t>8 051 561</w:t>
            </w:r>
          </w:p>
        </w:tc>
        <w:tc>
          <w:tcPr>
            <w:tcW w:w="1071" w:type="dxa"/>
            <w:tcBorders>
              <w:top w:val="single" w:sz="4" w:space="0" w:color="auto"/>
            </w:tcBorders>
            <w:shd w:val="clear" w:color="auto" w:fill="auto"/>
            <w:noWrap/>
            <w:vAlign w:val="bottom"/>
          </w:tcPr>
          <w:p w:rsidR="00B72C30" w:rsidRPr="00DC0A0D"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860662">
              <w:rPr>
                <w:rFonts w:ascii="Times New Roman" w:hAnsi="Times New Roman" w:cs="Times New Roman"/>
                <w:b/>
                <w:bCs/>
                <w:sz w:val="16"/>
              </w:rPr>
              <w:t>8 224 117</w:t>
            </w:r>
          </w:p>
        </w:tc>
      </w:tr>
      <w:tr w:rsidR="00B72C30"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1573" w:type="dxa"/>
            <w:shd w:val="clear" w:color="auto" w:fill="FFFFFF" w:themeFill="background1"/>
            <w:noWrap/>
            <w:vAlign w:val="bottom"/>
            <w:hideMark/>
          </w:tcPr>
          <w:p w:rsidR="00B72C30" w:rsidRPr="008831CD" w:rsidRDefault="00B72C30" w:rsidP="00B72C30">
            <w:pPr>
              <w:rPr>
                <w:rFonts w:ascii="Times New Roman" w:hAnsi="Times New Roman" w:cs="Times New Roman"/>
                <w:color w:val="000000"/>
                <w:sz w:val="16"/>
                <w:szCs w:val="16"/>
              </w:rPr>
            </w:pPr>
            <w:r w:rsidRPr="008831CD">
              <w:rPr>
                <w:rFonts w:ascii="Times New Roman" w:hAnsi="Times New Roman" w:cs="Times New Roman"/>
                <w:color w:val="000000"/>
                <w:sz w:val="16"/>
                <w:szCs w:val="16"/>
              </w:rPr>
              <w:t xml:space="preserve">Deficit ŠR </w:t>
            </w:r>
          </w:p>
        </w:tc>
        <w:tc>
          <w:tcPr>
            <w:tcW w:w="1072" w:type="dxa"/>
            <w:shd w:val="clear" w:color="auto" w:fill="FFFFFF" w:themeFill="background1"/>
            <w:vAlign w:val="bottom"/>
          </w:tcPr>
          <w:p w:rsidR="00B72C30" w:rsidRPr="00797DE5"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2 201 480</w:t>
            </w:r>
          </w:p>
        </w:tc>
        <w:tc>
          <w:tcPr>
            <w:tcW w:w="1072" w:type="dxa"/>
            <w:shd w:val="clear" w:color="auto" w:fill="FFFFFF" w:themeFill="background1"/>
            <w:vAlign w:val="bottom"/>
          </w:tcPr>
          <w:p w:rsidR="00B72C30" w:rsidRPr="00860662"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7 758 420</w:t>
            </w:r>
          </w:p>
        </w:tc>
        <w:tc>
          <w:tcPr>
            <w:tcW w:w="1071" w:type="dxa"/>
            <w:shd w:val="clear" w:color="auto" w:fill="FFFFFF" w:themeFill="background1"/>
            <w:vAlign w:val="bottom"/>
          </w:tcPr>
          <w:p w:rsidR="00B72C30" w:rsidRPr="00B72C30"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72C30">
              <w:rPr>
                <w:rFonts w:ascii="Times New Roman" w:hAnsi="Times New Roman"/>
                <w:sz w:val="16"/>
                <w:szCs w:val="16"/>
              </w:rPr>
              <w:t xml:space="preserve">8 058 465 </w:t>
            </w:r>
          </w:p>
        </w:tc>
        <w:tc>
          <w:tcPr>
            <w:tcW w:w="1071" w:type="dxa"/>
            <w:shd w:val="clear" w:color="auto" w:fill="FFFFFF" w:themeFill="background1"/>
            <w:vAlign w:val="bottom"/>
          </w:tcPr>
          <w:p w:rsidR="00B72C30" w:rsidRPr="00860662"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8 741 685</w:t>
            </w:r>
          </w:p>
        </w:tc>
        <w:tc>
          <w:tcPr>
            <w:tcW w:w="1071" w:type="dxa"/>
            <w:shd w:val="clear" w:color="auto" w:fill="auto"/>
            <w:vAlign w:val="bottom"/>
          </w:tcPr>
          <w:p w:rsidR="00B72C30" w:rsidRPr="00860662"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5 473 518</w:t>
            </w:r>
          </w:p>
        </w:tc>
        <w:tc>
          <w:tcPr>
            <w:tcW w:w="1071" w:type="dxa"/>
            <w:shd w:val="clear" w:color="auto" w:fill="auto"/>
            <w:vAlign w:val="bottom"/>
          </w:tcPr>
          <w:p w:rsidR="00B72C30" w:rsidRPr="00860662"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3 398 587</w:t>
            </w:r>
          </w:p>
        </w:tc>
        <w:tc>
          <w:tcPr>
            <w:tcW w:w="1071" w:type="dxa"/>
            <w:shd w:val="clear" w:color="auto" w:fill="auto"/>
            <w:vAlign w:val="bottom"/>
          </w:tcPr>
          <w:p w:rsidR="00B72C30" w:rsidRPr="00860662" w:rsidRDefault="00B72C30" w:rsidP="00B72C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3 180 041</w:t>
            </w:r>
          </w:p>
        </w:tc>
      </w:tr>
      <w:tr w:rsidR="00B72C30"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73" w:type="dxa"/>
            <w:tcBorders>
              <w:bottom w:val="single" w:sz="4" w:space="0" w:color="auto"/>
            </w:tcBorders>
            <w:shd w:val="clear" w:color="auto" w:fill="FFFFFF" w:themeFill="background1"/>
            <w:noWrap/>
            <w:vAlign w:val="bottom"/>
            <w:hideMark/>
          </w:tcPr>
          <w:p w:rsidR="00B72C30" w:rsidRPr="008831CD" w:rsidRDefault="00B72C30" w:rsidP="00B72C30">
            <w:pPr>
              <w:rPr>
                <w:rFonts w:ascii="Times New Roman" w:hAnsi="Times New Roman" w:cs="Times New Roman"/>
                <w:color w:val="000000"/>
                <w:sz w:val="16"/>
                <w:szCs w:val="16"/>
              </w:rPr>
            </w:pPr>
            <w:r w:rsidRPr="008831CD">
              <w:rPr>
                <w:rFonts w:ascii="Times New Roman" w:hAnsi="Times New Roman" w:cs="Times New Roman"/>
                <w:color w:val="000000"/>
                <w:sz w:val="16"/>
                <w:szCs w:val="16"/>
              </w:rPr>
              <w:t xml:space="preserve">Splatný štátny dlh </w:t>
            </w:r>
          </w:p>
        </w:tc>
        <w:tc>
          <w:tcPr>
            <w:tcW w:w="1072" w:type="dxa"/>
            <w:tcBorders>
              <w:bottom w:val="single" w:sz="4" w:space="0" w:color="auto"/>
            </w:tcBorders>
            <w:shd w:val="clear" w:color="auto" w:fill="FFFFFF" w:themeFill="background1"/>
            <w:vAlign w:val="bottom"/>
          </w:tcPr>
          <w:p w:rsidR="00B72C30" w:rsidRPr="00797DE5"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6"/>
              </w:rPr>
              <w:t>2 738 992</w:t>
            </w:r>
          </w:p>
        </w:tc>
        <w:tc>
          <w:tcPr>
            <w:tcW w:w="1072" w:type="dxa"/>
            <w:tcBorders>
              <w:bottom w:val="single" w:sz="4" w:space="0" w:color="auto"/>
            </w:tcBorders>
            <w:shd w:val="clear" w:color="auto" w:fill="FFFFFF" w:themeFill="background1"/>
            <w:vAlign w:val="bottom"/>
          </w:tcPr>
          <w:p w:rsidR="00B72C30" w:rsidRPr="00860662"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4 699 022</w:t>
            </w:r>
          </w:p>
        </w:tc>
        <w:tc>
          <w:tcPr>
            <w:tcW w:w="1071" w:type="dxa"/>
            <w:tcBorders>
              <w:bottom w:val="single" w:sz="4" w:space="0" w:color="auto"/>
            </w:tcBorders>
            <w:shd w:val="clear" w:color="auto" w:fill="FFFFFF" w:themeFill="background1"/>
            <w:vAlign w:val="bottom"/>
          </w:tcPr>
          <w:p w:rsidR="00B72C30" w:rsidRPr="00B72C30"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72C30">
              <w:rPr>
                <w:rFonts w:ascii="Times New Roman" w:hAnsi="Times New Roman"/>
                <w:sz w:val="16"/>
                <w:szCs w:val="16"/>
              </w:rPr>
              <w:t>2 579 989</w:t>
            </w:r>
          </w:p>
        </w:tc>
        <w:tc>
          <w:tcPr>
            <w:tcW w:w="1071" w:type="dxa"/>
            <w:tcBorders>
              <w:bottom w:val="single" w:sz="4" w:space="0" w:color="auto"/>
            </w:tcBorders>
            <w:shd w:val="clear" w:color="auto" w:fill="FFFFFF" w:themeFill="background1"/>
            <w:vAlign w:val="bottom"/>
          </w:tcPr>
          <w:p w:rsidR="00B72C30" w:rsidRPr="00860662"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2 469 164</w:t>
            </w:r>
          </w:p>
        </w:tc>
        <w:tc>
          <w:tcPr>
            <w:tcW w:w="1071" w:type="dxa"/>
            <w:tcBorders>
              <w:bottom w:val="single" w:sz="4" w:space="0" w:color="auto"/>
            </w:tcBorders>
            <w:shd w:val="clear" w:color="auto" w:fill="FFFFFF" w:themeFill="background1"/>
            <w:vAlign w:val="bottom"/>
          </w:tcPr>
          <w:p w:rsidR="00B72C30" w:rsidRPr="00860662"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Pr>
                <w:rFonts w:ascii="Times New Roman" w:hAnsi="Times New Roman" w:cs="Times New Roman"/>
                <w:bCs/>
                <w:sz w:val="16"/>
              </w:rPr>
              <w:t>1 314 713</w:t>
            </w:r>
          </w:p>
        </w:tc>
        <w:tc>
          <w:tcPr>
            <w:tcW w:w="1071" w:type="dxa"/>
            <w:tcBorders>
              <w:bottom w:val="single" w:sz="4" w:space="0" w:color="auto"/>
            </w:tcBorders>
            <w:shd w:val="clear" w:color="auto" w:fill="FFFFFF" w:themeFill="background1"/>
            <w:vAlign w:val="bottom"/>
          </w:tcPr>
          <w:p w:rsidR="00B72C30" w:rsidRPr="00860662"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4 652 974</w:t>
            </w:r>
          </w:p>
        </w:tc>
        <w:tc>
          <w:tcPr>
            <w:tcW w:w="1071" w:type="dxa"/>
            <w:tcBorders>
              <w:bottom w:val="single" w:sz="4" w:space="0" w:color="auto"/>
            </w:tcBorders>
            <w:shd w:val="clear" w:color="auto" w:fill="FFFFFF" w:themeFill="background1"/>
            <w:vAlign w:val="bottom"/>
          </w:tcPr>
          <w:p w:rsidR="00B72C30" w:rsidRPr="00860662" w:rsidRDefault="00B72C30" w:rsidP="00B72C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rPr>
            </w:pPr>
            <w:r w:rsidRPr="00860662">
              <w:rPr>
                <w:rFonts w:ascii="Times New Roman" w:hAnsi="Times New Roman" w:cs="Times New Roman"/>
                <w:bCs/>
                <w:sz w:val="16"/>
              </w:rPr>
              <w:t>5 044 076</w:t>
            </w:r>
          </w:p>
        </w:tc>
      </w:tr>
    </w:tbl>
    <w:p w:rsidR="00AA17E3" w:rsidRPr="002265F2" w:rsidRDefault="00AA17E3" w:rsidP="00AA17E3">
      <w:pPr>
        <w:spacing w:after="0" w:line="240" w:lineRule="auto"/>
        <w:jc w:val="right"/>
        <w:rPr>
          <w:rFonts w:ascii="Times New Roman" w:eastAsia="Times New Roman" w:hAnsi="Times New Roman" w:cs="Courier"/>
          <w:i/>
          <w:sz w:val="16"/>
          <w:szCs w:val="16"/>
          <w:lang w:eastAsia="cs-CZ"/>
        </w:rPr>
      </w:pPr>
      <w:r w:rsidRPr="002265F2">
        <w:rPr>
          <w:rFonts w:ascii="Times New Roman" w:eastAsia="Times New Roman" w:hAnsi="Times New Roman" w:cs="Courier"/>
          <w:i/>
          <w:sz w:val="16"/>
          <w:szCs w:val="16"/>
          <w:lang w:eastAsia="cs-CZ"/>
        </w:rPr>
        <w:t>Zdroj: ARDAL</w:t>
      </w:r>
    </w:p>
    <w:p w:rsidR="00AA17E3" w:rsidRPr="00797DE5" w:rsidRDefault="00AA17E3" w:rsidP="00AA17E3">
      <w:pPr>
        <w:spacing w:after="0" w:line="240" w:lineRule="auto"/>
        <w:jc w:val="both"/>
        <w:rPr>
          <w:rFonts w:ascii="Times New Roman" w:eastAsia="Times New Roman" w:hAnsi="Times New Roman" w:cs="Courier"/>
          <w:sz w:val="24"/>
          <w:szCs w:val="24"/>
          <w:lang w:eastAsia="cs-CZ"/>
        </w:rPr>
      </w:pPr>
    </w:p>
    <w:p w:rsidR="00AA17E3" w:rsidRPr="00797DE5" w:rsidRDefault="00AA17E3" w:rsidP="00AA17E3">
      <w:pPr>
        <w:spacing w:after="0" w:line="240" w:lineRule="auto"/>
        <w:jc w:val="both"/>
        <w:rPr>
          <w:rFonts w:ascii="Times New Roman" w:eastAsia="Times New Roman" w:hAnsi="Times New Roman" w:cs="Courier"/>
          <w:sz w:val="24"/>
          <w:szCs w:val="24"/>
          <w:lang w:eastAsia="cs-CZ"/>
        </w:rPr>
      </w:pPr>
      <w:r w:rsidRPr="00797DE5">
        <w:rPr>
          <w:rFonts w:ascii="Times New Roman" w:eastAsia="Times New Roman" w:hAnsi="Times New Roman" w:cs="Courier"/>
          <w:sz w:val="24"/>
          <w:szCs w:val="24"/>
          <w:lang w:eastAsia="cs-CZ"/>
        </w:rPr>
        <w:t xml:space="preserve">Kľúčovým predpokladom pri tvorbe rozpočtu nákladov štátneho dlhu sú očakávané úrokové sadzby na finančnom trhu. Tie sú jedným z parametrov makroekonomického vývoja, o ktorých diskutuje Výbor pre makroekonomické prognózy v gescii Ministerstva financií SR. </w:t>
      </w:r>
    </w:p>
    <w:p w:rsidR="00AA17E3" w:rsidRPr="00797DE5" w:rsidRDefault="00AA17E3" w:rsidP="00AA17E3">
      <w:pPr>
        <w:spacing w:after="0" w:line="240" w:lineRule="auto"/>
        <w:jc w:val="both"/>
        <w:rPr>
          <w:rFonts w:ascii="Times New Roman" w:eastAsia="Times New Roman" w:hAnsi="Times New Roman" w:cs="Courier"/>
          <w:sz w:val="24"/>
          <w:szCs w:val="24"/>
          <w:lang w:eastAsia="cs-CZ"/>
        </w:rPr>
      </w:pPr>
    </w:p>
    <w:p w:rsidR="00AA17E3" w:rsidRPr="00797DE5" w:rsidRDefault="00AA17E3" w:rsidP="00AA17E3">
      <w:pPr>
        <w:keepNext/>
        <w:spacing w:after="0" w:line="240" w:lineRule="auto"/>
        <w:rPr>
          <w:rFonts w:ascii="Times New Roman" w:hAnsi="Times New Roman" w:cs="Times New Roman"/>
          <w:b/>
          <w:iCs/>
          <w:color w:val="5B9BD5" w:themeColor="accent1"/>
          <w:sz w:val="20"/>
          <w:szCs w:val="20"/>
        </w:rPr>
      </w:pPr>
      <w:bookmarkStart w:id="521" w:name="_Toc84528466"/>
      <w:bookmarkStart w:id="522" w:name="_Toc84845342"/>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118</w:t>
      </w:r>
      <w:r w:rsidRPr="00947144">
        <w:rPr>
          <w:rFonts w:ascii="Times New Roman" w:hAnsi="Times New Roman" w:cs="Times New Roman"/>
          <w:b/>
          <w:color w:val="5B9BD5" w:themeColor="accent1"/>
          <w:sz w:val="20"/>
          <w:szCs w:val="20"/>
        </w:rPr>
        <w:fldChar w:fldCharType="end"/>
      </w:r>
      <w:r w:rsidR="00441800">
        <w:rPr>
          <w:rFonts w:ascii="Times New Roman" w:hAnsi="Times New Roman" w:cs="Times New Roman"/>
          <w:b/>
          <w:color w:val="5B9BD5" w:themeColor="accent1"/>
          <w:sz w:val="20"/>
          <w:szCs w:val="20"/>
        </w:rPr>
        <w:t xml:space="preserve"> </w:t>
      </w:r>
      <w:r w:rsidRPr="00797DE5">
        <w:rPr>
          <w:rFonts w:ascii="Times New Roman" w:hAnsi="Times New Roman" w:cs="Times New Roman"/>
          <w:b/>
          <w:iCs/>
          <w:color w:val="5B9BD5" w:themeColor="accent1"/>
          <w:sz w:val="20"/>
          <w:szCs w:val="20"/>
        </w:rPr>
        <w:t>- Očakávané sadzby na finančnom trhu</w:t>
      </w:r>
      <w:bookmarkEnd w:id="521"/>
      <w:bookmarkEnd w:id="522"/>
      <w:r w:rsidRPr="00797DE5">
        <w:rPr>
          <w:rFonts w:ascii="Times New Roman" w:hAnsi="Times New Roman" w:cs="Times New Roman"/>
          <w:i/>
          <w:iCs/>
          <w:color w:val="5B9BD5" w:themeColor="accent1"/>
          <w:sz w:val="16"/>
          <w:szCs w:val="16"/>
        </w:rPr>
        <w:t xml:space="preserve">                                                                                                                                                                                            </w:t>
      </w:r>
    </w:p>
    <w:tbl>
      <w:tblPr>
        <w:tblStyle w:val="Obyajntabuka4"/>
        <w:tblW w:w="5053" w:type="pct"/>
        <w:tblLook w:val="04A0" w:firstRow="1" w:lastRow="0" w:firstColumn="1" w:lastColumn="0" w:noHBand="0" w:noVBand="1"/>
      </w:tblPr>
      <w:tblGrid>
        <w:gridCol w:w="3410"/>
        <w:gridCol w:w="1440"/>
        <w:gridCol w:w="1440"/>
        <w:gridCol w:w="1439"/>
        <w:gridCol w:w="1439"/>
      </w:tblGrid>
      <w:tr w:rsidR="00AA17E3" w:rsidRPr="00797DE5" w:rsidTr="00AA17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tcBorders>
              <w:top w:val="single" w:sz="4" w:space="0" w:color="auto"/>
              <w:bottom w:val="single" w:sz="4" w:space="0" w:color="auto"/>
            </w:tcBorders>
            <w:shd w:val="clear" w:color="auto" w:fill="FFFFFF" w:themeFill="background1"/>
            <w:noWrap/>
            <w:hideMark/>
          </w:tcPr>
          <w:p w:rsidR="00AA17E3" w:rsidRPr="00797DE5" w:rsidRDefault="00AA17E3" w:rsidP="00AA17E3">
            <w:pPr>
              <w:rPr>
                <w:rFonts w:ascii="Times New Roman" w:hAnsi="Times New Roman" w:cs="Times New Roman"/>
                <w:color w:val="000000"/>
                <w:sz w:val="16"/>
                <w:szCs w:val="16"/>
              </w:rPr>
            </w:pPr>
          </w:p>
        </w:tc>
        <w:tc>
          <w:tcPr>
            <w:tcW w:w="785" w:type="pct"/>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N</w:t>
            </w:r>
          </w:p>
        </w:tc>
        <w:tc>
          <w:tcPr>
            <w:tcW w:w="785" w:type="pct"/>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2</w:t>
            </w:r>
            <w:r w:rsidRPr="00797DE5">
              <w:rPr>
                <w:rFonts w:ascii="Times New Roman" w:hAnsi="Times New Roman" w:cs="Times New Roman"/>
                <w:sz w:val="16"/>
                <w:szCs w:val="16"/>
              </w:rPr>
              <w:t xml:space="preserve"> N</w:t>
            </w:r>
          </w:p>
        </w:tc>
        <w:tc>
          <w:tcPr>
            <w:tcW w:w="785" w:type="pct"/>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3</w:t>
            </w:r>
            <w:r w:rsidRPr="00797DE5">
              <w:rPr>
                <w:rFonts w:ascii="Times New Roman" w:hAnsi="Times New Roman" w:cs="Times New Roman"/>
                <w:sz w:val="16"/>
                <w:szCs w:val="16"/>
              </w:rPr>
              <w:t xml:space="preserve"> N</w:t>
            </w:r>
          </w:p>
        </w:tc>
        <w:tc>
          <w:tcPr>
            <w:tcW w:w="785" w:type="pct"/>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4</w:t>
            </w:r>
            <w:r w:rsidRPr="00797DE5">
              <w:rPr>
                <w:rFonts w:ascii="Times New Roman" w:hAnsi="Times New Roman" w:cs="Times New Roman"/>
                <w:sz w:val="16"/>
                <w:szCs w:val="16"/>
              </w:rPr>
              <w:t xml:space="preserve"> N</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tcBorders>
              <w:top w:val="single" w:sz="4" w:space="0" w:color="auto"/>
            </w:tcBorders>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Základná sadzba ECB</w:t>
            </w:r>
          </w:p>
        </w:tc>
        <w:tc>
          <w:tcPr>
            <w:tcW w:w="785" w:type="pct"/>
            <w:tcBorders>
              <w:top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0,00</w:t>
            </w:r>
          </w:p>
        </w:tc>
        <w:tc>
          <w:tcPr>
            <w:tcW w:w="785" w:type="pct"/>
            <w:tcBorders>
              <w:top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0,00</w:t>
            </w:r>
          </w:p>
        </w:tc>
        <w:tc>
          <w:tcPr>
            <w:tcW w:w="785" w:type="pct"/>
            <w:tcBorders>
              <w:top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0,01</w:t>
            </w:r>
          </w:p>
        </w:tc>
        <w:tc>
          <w:tcPr>
            <w:tcW w:w="785" w:type="pct"/>
            <w:tcBorders>
              <w:top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0,09</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EONIA</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-0,48</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-0,44</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-0,36</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3 - mesačný EURIBOR</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-0,53</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-0,47</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-0,39</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-0,29</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6 - mesačný EURIBOR</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-0,50</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-0,33</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-0,22</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1 rok</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-0,55</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-0,22</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0,05</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0,23</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5 rokov</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-0,49</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0,12</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0,66</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10 rokov</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-0,06</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0,62</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785" w:type="pct"/>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1,62</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15 rokov</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0,42</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1,17</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1,75</w:t>
            </w:r>
          </w:p>
        </w:tc>
        <w:tc>
          <w:tcPr>
            <w:tcW w:w="785" w:type="pct"/>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2,13</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tcBorders>
              <w:bottom w:val="single" w:sz="4" w:space="0" w:color="auto"/>
            </w:tcBorders>
            <w:shd w:val="clear" w:color="auto" w:fill="FFFFFF" w:themeFill="background1"/>
            <w:noWrap/>
            <w:vAlign w:val="bottom"/>
            <w:hideMark/>
          </w:tcPr>
          <w:p w:rsidR="00AA17E3" w:rsidRPr="00FA7DE1" w:rsidRDefault="00AA17E3" w:rsidP="00AA17E3">
            <w:pPr>
              <w:rPr>
                <w:rFonts w:ascii="Times New Roman" w:hAnsi="Times New Roman" w:cs="Times New Roman"/>
                <w:b w:val="0"/>
                <w:color w:val="000000"/>
                <w:sz w:val="16"/>
                <w:szCs w:val="16"/>
              </w:rPr>
            </w:pPr>
            <w:r w:rsidRPr="00FA7DE1">
              <w:rPr>
                <w:rFonts w:ascii="Times New Roman" w:hAnsi="Times New Roman" w:cs="Times New Roman"/>
                <w:b w:val="0"/>
                <w:color w:val="000000"/>
                <w:sz w:val="16"/>
                <w:szCs w:val="16"/>
              </w:rPr>
              <w:t>20 rokov</w:t>
            </w:r>
          </w:p>
        </w:tc>
        <w:tc>
          <w:tcPr>
            <w:tcW w:w="785" w:type="pct"/>
            <w:tcBorders>
              <w:bottom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0,56</w:t>
            </w:r>
          </w:p>
        </w:tc>
        <w:tc>
          <w:tcPr>
            <w:tcW w:w="785" w:type="pct"/>
            <w:tcBorders>
              <w:bottom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1,31</w:t>
            </w:r>
          </w:p>
        </w:tc>
        <w:tc>
          <w:tcPr>
            <w:tcW w:w="785" w:type="pct"/>
            <w:tcBorders>
              <w:bottom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1,90</w:t>
            </w:r>
          </w:p>
        </w:tc>
        <w:tc>
          <w:tcPr>
            <w:tcW w:w="785" w:type="pct"/>
            <w:tcBorders>
              <w:bottom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2,29</w:t>
            </w:r>
          </w:p>
        </w:tc>
      </w:tr>
    </w:tbl>
    <w:p w:rsidR="00AA17E3" w:rsidRPr="002265F2" w:rsidRDefault="00AA17E3" w:rsidP="00B8458A">
      <w:pPr>
        <w:spacing w:after="0"/>
        <w:jc w:val="right"/>
        <w:rPr>
          <w:rFonts w:ascii="Times New Roman" w:hAnsi="Times New Roman" w:cs="Times New Roman"/>
          <w:i/>
          <w:sz w:val="16"/>
          <w:szCs w:val="16"/>
        </w:rPr>
      </w:pPr>
      <w:r w:rsidRPr="002265F2">
        <w:rPr>
          <w:rFonts w:ascii="Times New Roman" w:hAnsi="Times New Roman" w:cs="Times New Roman"/>
          <w:i/>
          <w:sz w:val="16"/>
          <w:szCs w:val="16"/>
        </w:rPr>
        <w:t>Zdroj: MF SR</w:t>
      </w:r>
    </w:p>
    <w:p w:rsidR="00B8458A" w:rsidRDefault="00B8458A" w:rsidP="00B8458A">
      <w:pPr>
        <w:spacing w:after="0" w:line="240" w:lineRule="auto"/>
        <w:contextualSpacing/>
        <w:rPr>
          <w:rFonts w:ascii="Times New Roman" w:eastAsia="Times New Roman" w:hAnsi="Times New Roman" w:cs="Times New Roman"/>
          <w:b/>
          <w:iCs/>
          <w:color w:val="5B9BD5" w:themeColor="accent1"/>
          <w:sz w:val="24"/>
          <w:szCs w:val="24"/>
          <w:lang w:eastAsia="cs-CZ"/>
        </w:rPr>
      </w:pPr>
    </w:p>
    <w:p w:rsidR="00AA17E3" w:rsidRPr="00947144" w:rsidRDefault="00AA17E3" w:rsidP="00B8458A">
      <w:pPr>
        <w:spacing w:after="0" w:line="240" w:lineRule="auto"/>
        <w:contextualSpacing/>
        <w:rPr>
          <w:rFonts w:ascii="Times New Roman" w:eastAsia="Times New Roman" w:hAnsi="Times New Roman" w:cs="Times New Roman"/>
          <w:b/>
          <w:iCs/>
          <w:color w:val="5B9BD5" w:themeColor="accent1"/>
          <w:sz w:val="24"/>
          <w:szCs w:val="24"/>
          <w:lang w:eastAsia="cs-CZ"/>
        </w:rPr>
      </w:pPr>
      <w:r w:rsidRPr="00947144">
        <w:rPr>
          <w:rFonts w:ascii="Times New Roman" w:eastAsia="Times New Roman" w:hAnsi="Times New Roman" w:cs="Times New Roman"/>
          <w:b/>
          <w:iCs/>
          <w:color w:val="5B9BD5" w:themeColor="accent1"/>
          <w:sz w:val="24"/>
          <w:szCs w:val="24"/>
          <w:lang w:eastAsia="cs-CZ"/>
        </w:rPr>
        <w:t>Riziká</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Celkové náklady na štátny dlh sú ovplyvnené refinančným a úrokovým rizikom.</w:t>
      </w:r>
    </w:p>
    <w:p w:rsidR="00AA17E3" w:rsidRPr="00797DE5" w:rsidRDefault="00AA17E3" w:rsidP="00AA17E3">
      <w:pPr>
        <w:spacing w:after="0" w:line="240" w:lineRule="auto"/>
        <w:ind w:left="720"/>
        <w:contextualSpacing/>
        <w:jc w:val="both"/>
        <w:rPr>
          <w:rFonts w:ascii="Times New Roman" w:eastAsia="Times New Roman" w:hAnsi="Times New Roman" w:cs="Times New Roman"/>
          <w:sz w:val="24"/>
          <w:szCs w:val="24"/>
          <w:lang w:eastAsia="cs-CZ"/>
        </w:rPr>
      </w:pPr>
    </w:p>
    <w:p w:rsidR="00AA17E3" w:rsidRPr="00797DE5" w:rsidRDefault="00AA17E3" w:rsidP="00AA17E3">
      <w:pPr>
        <w:spacing w:after="120"/>
        <w:contextualSpacing/>
        <w:jc w:val="both"/>
        <w:rPr>
          <w:rFonts w:ascii="Times New Roman" w:eastAsia="Times New Roman" w:hAnsi="Times New Roman" w:cs="Courier"/>
          <w:sz w:val="24"/>
          <w:szCs w:val="24"/>
          <w:lang w:eastAsia="cs-CZ"/>
        </w:rPr>
      </w:pPr>
      <w:r w:rsidRPr="00797DE5">
        <w:rPr>
          <w:rFonts w:ascii="Times New Roman" w:eastAsia="Times New Roman" w:hAnsi="Times New Roman" w:cs="Courier"/>
          <w:sz w:val="24"/>
          <w:szCs w:val="24"/>
          <w:lang w:eastAsia="cs-CZ"/>
        </w:rPr>
        <w:t>Refinančné riziko je riziko, že nový dlh bude musieť byť emitovaný za menej priaznivých podmienok ako existujúci dlh. Refinančné riziko zahŕňa možnosť, že v extrémnych prípadoch nebude možné vydať nový dlh na refinancovanie existujúceho dlhu pri nadobudnutí jeho splatnosti. Táto extrémna možnosť je pre slovenskú vládu veľmi nepravdepodobná, a to najmä vďaka opatreniam zavedeným v minulosti na zabránenie takejto situácii. Očakávané postupné zvyšovanie úrokových sadzieb v nadchádzajúcich rokoch bude prispievať k zvyšovaniu nákladov na financovanie dlhu. Rastúce výnosy sa však prejavia vo zvyšovaní priemerných nákladov na financovanie iba postupne. Slovenská vláda sa snaží zmierniť refinančné riziko optimalizáciou priemernej doby do splatnosti a durácie.</w:t>
      </w:r>
    </w:p>
    <w:p w:rsidR="00AA17E3" w:rsidRPr="00797DE5" w:rsidRDefault="00AA17E3" w:rsidP="00AA17E3">
      <w:pPr>
        <w:spacing w:after="120"/>
        <w:contextualSpacing/>
        <w:jc w:val="both"/>
        <w:rPr>
          <w:rFonts w:ascii="Times New Roman" w:eastAsia="Times New Roman" w:hAnsi="Times New Roman" w:cs="Courier"/>
          <w:sz w:val="24"/>
          <w:szCs w:val="24"/>
          <w:lang w:eastAsia="cs-CZ"/>
        </w:rPr>
      </w:pPr>
    </w:p>
    <w:p w:rsidR="00AA17E3" w:rsidRPr="00797DE5" w:rsidRDefault="00AA17E3" w:rsidP="00AA17E3">
      <w:pPr>
        <w:spacing w:after="120"/>
        <w:contextualSpacing/>
        <w:jc w:val="both"/>
        <w:rPr>
          <w:rFonts w:ascii="Times New Roman" w:eastAsia="Times New Roman" w:hAnsi="Times New Roman" w:cs="Courier"/>
          <w:sz w:val="24"/>
          <w:szCs w:val="24"/>
          <w:lang w:eastAsia="cs-CZ"/>
        </w:rPr>
      </w:pPr>
      <w:r w:rsidRPr="00797DE5">
        <w:rPr>
          <w:rFonts w:ascii="Times New Roman" w:eastAsia="Times New Roman" w:hAnsi="Times New Roman" w:cs="Courier"/>
          <w:sz w:val="24"/>
          <w:szCs w:val="24"/>
          <w:lang w:eastAsia="cs-CZ"/>
        </w:rPr>
        <w:t>Úrokové riziko alebo riziko refixu je riziko straty alebo zisku z dôvodu pohybov časovej štruktúry úrokových sadzieb. Vláda vydávajúca dlhodobé dlhové nástroje obmedzuje refinančné riziká a znižuje volatilitu úrokových nákladov, pretože budúce nominálne úrokové platby sú známe. Naopak preferencia kratších splatností prináša so sebou väčšie refinančné a úrokové riziká, pri krátkodobo menších nákladoch, avšak pri výraznejšom naakumulovaní splatností do jedného roka. Preto je potrebné optimalizovať kompromis medzi nákladmi a rizikami emisného plánu.</w:t>
      </w:r>
    </w:p>
    <w:p w:rsidR="00AA17E3" w:rsidRPr="00797DE5" w:rsidRDefault="00AA17E3" w:rsidP="00AA17E3">
      <w:pPr>
        <w:autoSpaceDE w:val="0"/>
        <w:autoSpaceDN w:val="0"/>
        <w:adjustRightInd w:val="0"/>
        <w:spacing w:after="0" w:line="240" w:lineRule="auto"/>
        <w:rPr>
          <w:rFonts w:ascii="Franklin Gothic Book" w:hAnsi="Franklin Gothic Book" w:cs="Times New Roman"/>
          <w:i/>
          <w:color w:val="000000"/>
          <w:sz w:val="24"/>
          <w:szCs w:val="24"/>
          <w:u w:val="single"/>
          <w:lang w:eastAsia="cs-CZ"/>
        </w:rPr>
      </w:pPr>
      <w:r w:rsidRPr="00797DE5">
        <w:rPr>
          <w:rFonts w:ascii="Times New Roman" w:eastAsia="Times New Roman" w:hAnsi="Times New Roman" w:cs="Courier"/>
          <w:color w:val="000000"/>
          <w:sz w:val="24"/>
          <w:szCs w:val="24"/>
          <w:lang w:eastAsia="cs-CZ"/>
        </w:rPr>
        <w:t xml:space="preserve"> </w:t>
      </w:r>
    </w:p>
    <w:p w:rsidR="00AA17E3" w:rsidRPr="00947144" w:rsidRDefault="00AA17E3" w:rsidP="00AA17E3">
      <w:pPr>
        <w:spacing w:after="0" w:line="240" w:lineRule="auto"/>
        <w:rPr>
          <w:rFonts w:ascii="Times New Roman" w:eastAsia="Times New Roman" w:hAnsi="Times New Roman" w:cs="Times New Roman"/>
          <w:b/>
          <w:iCs/>
          <w:color w:val="5B9BD5" w:themeColor="accent1"/>
          <w:sz w:val="24"/>
          <w:szCs w:val="24"/>
          <w:lang w:eastAsia="cs-CZ"/>
        </w:rPr>
      </w:pPr>
      <w:r w:rsidRPr="00947144">
        <w:rPr>
          <w:rFonts w:ascii="Times New Roman" w:eastAsia="Times New Roman" w:hAnsi="Times New Roman" w:cs="Times New Roman"/>
          <w:b/>
          <w:color w:val="5B9BD5" w:themeColor="accent1"/>
          <w:sz w:val="24"/>
          <w:szCs w:val="24"/>
          <w:lang w:eastAsia="cs-CZ"/>
        </w:rPr>
        <w:t xml:space="preserve">Náklady </w:t>
      </w:r>
      <w:r w:rsidRPr="00947144">
        <w:rPr>
          <w:rFonts w:ascii="Times New Roman" w:eastAsia="Times New Roman" w:hAnsi="Times New Roman" w:cs="Times New Roman"/>
          <w:b/>
          <w:iCs/>
          <w:color w:val="5B9BD5" w:themeColor="accent1"/>
          <w:sz w:val="24"/>
          <w:szCs w:val="24"/>
          <w:lang w:eastAsia="cs-CZ"/>
        </w:rPr>
        <w:t>na financovanie štátneho dlhu (transfer zo štátneho rozpočtu na saldo účet)</w:t>
      </w:r>
    </w:p>
    <w:p w:rsidR="00AA17E3" w:rsidRPr="00797DE5" w:rsidRDefault="00AA17E3" w:rsidP="00AA17E3">
      <w:pPr>
        <w:spacing w:after="0" w:line="240" w:lineRule="auto"/>
        <w:jc w:val="both"/>
        <w:rPr>
          <w:rFonts w:ascii="Times New Roman" w:eastAsia="Times New Roman" w:hAnsi="Times New Roman" w:cs="Courier"/>
          <w:sz w:val="24"/>
          <w:szCs w:val="24"/>
          <w:lang w:eastAsia="cs-CZ"/>
        </w:rPr>
      </w:pPr>
    </w:p>
    <w:p w:rsidR="00AA17E3" w:rsidRPr="00797DE5" w:rsidRDefault="00AA17E3" w:rsidP="00AA17E3">
      <w:pPr>
        <w:spacing w:after="120" w:line="240" w:lineRule="auto"/>
        <w:jc w:val="both"/>
        <w:rPr>
          <w:rFonts w:ascii="Times New Roman" w:eastAsia="Times New Roman" w:hAnsi="Times New Roman" w:cs="Courier"/>
          <w:sz w:val="24"/>
          <w:szCs w:val="24"/>
          <w:lang w:eastAsia="cs-CZ"/>
        </w:rPr>
      </w:pPr>
      <w:r w:rsidRPr="00797DE5">
        <w:rPr>
          <w:rFonts w:ascii="Times New Roman" w:eastAsia="Times New Roman" w:hAnsi="Times New Roman" w:cs="Courier"/>
          <w:sz w:val="24"/>
          <w:szCs w:val="24"/>
          <w:lang w:eastAsia="cs-CZ"/>
        </w:rPr>
        <w:t>Zmeny úrokových sadzieb a zmeny deficitov štátneho rozpočtu sa prejavujú v zmene nákladov na štátny dlh. Celkové zaťaženie verejných financií úrokovými nákladmi sa sleduje dvoma spôsobmi:</w:t>
      </w:r>
    </w:p>
    <w:p w:rsidR="00AA17E3" w:rsidRPr="00797DE5" w:rsidRDefault="00AA17E3" w:rsidP="00AA17E3">
      <w:pPr>
        <w:spacing w:after="120"/>
        <w:contextualSpacing/>
        <w:jc w:val="both"/>
        <w:rPr>
          <w:rFonts w:ascii="Times New Roman" w:eastAsia="Times New Roman" w:hAnsi="Times New Roman" w:cs="Courier"/>
          <w:sz w:val="24"/>
          <w:szCs w:val="24"/>
          <w:lang w:eastAsia="cs-CZ"/>
        </w:rPr>
      </w:pPr>
      <w:r w:rsidRPr="00797DE5">
        <w:rPr>
          <w:rFonts w:ascii="Times New Roman" w:eastAsia="Times New Roman" w:hAnsi="Times New Roman" w:cs="Courier"/>
          <w:sz w:val="24"/>
          <w:szCs w:val="24"/>
          <w:lang w:eastAsia="cs-CZ"/>
        </w:rPr>
        <w:t>Akruálne náklady (časovo rozlíšené) zodpovedajú nákladom na daný kalendárny rok, a to bez ohľadu na to, či sa úroky vyplatia v danom roku alebo až v ďalších rokoch. Akruálne sledovanie a vykazovanie nákladov presnejšie odzrkadľuje reálne náklady štátu na dlhovú službu v jednotlivých rokoch.</w:t>
      </w:r>
    </w:p>
    <w:p w:rsidR="00AA17E3" w:rsidRPr="00797DE5" w:rsidRDefault="00AA17E3" w:rsidP="00AA17E3">
      <w:pPr>
        <w:spacing w:after="120"/>
        <w:contextualSpacing/>
        <w:jc w:val="both"/>
        <w:rPr>
          <w:rFonts w:ascii="Times New Roman" w:eastAsia="Times New Roman" w:hAnsi="Times New Roman" w:cs="Courier"/>
          <w:sz w:val="24"/>
          <w:szCs w:val="24"/>
          <w:lang w:eastAsia="cs-CZ"/>
        </w:rPr>
      </w:pPr>
    </w:p>
    <w:p w:rsidR="00AA17E3" w:rsidRPr="00797DE5" w:rsidRDefault="00AA17E3" w:rsidP="00AA17E3">
      <w:pPr>
        <w:keepNext/>
        <w:spacing w:after="0" w:line="240" w:lineRule="auto"/>
        <w:rPr>
          <w:rFonts w:ascii="Times New Roman" w:hAnsi="Times New Roman" w:cs="Times New Roman"/>
          <w:b/>
          <w:iCs/>
          <w:color w:val="5B9BD5" w:themeColor="accent1"/>
          <w:sz w:val="20"/>
          <w:szCs w:val="20"/>
        </w:rPr>
      </w:pPr>
      <w:bookmarkStart w:id="523" w:name="_Toc84528467"/>
      <w:bookmarkStart w:id="524" w:name="_Toc84845343"/>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119</w:t>
      </w:r>
      <w:r w:rsidRPr="00947144">
        <w:rPr>
          <w:rFonts w:ascii="Times New Roman" w:hAnsi="Times New Roman" w:cs="Times New Roman"/>
          <w:b/>
          <w:color w:val="5B9BD5" w:themeColor="accent1"/>
          <w:sz w:val="20"/>
          <w:szCs w:val="20"/>
        </w:rPr>
        <w:fldChar w:fldCharType="end"/>
      </w:r>
      <w:r w:rsidR="00441800">
        <w:rPr>
          <w:rFonts w:ascii="Times New Roman" w:hAnsi="Times New Roman" w:cs="Times New Roman"/>
          <w:b/>
          <w:color w:val="5B9BD5" w:themeColor="accent1"/>
          <w:sz w:val="20"/>
          <w:szCs w:val="20"/>
        </w:rPr>
        <w:t xml:space="preserve"> </w:t>
      </w:r>
      <w:r w:rsidRPr="00797DE5">
        <w:rPr>
          <w:rFonts w:ascii="Times New Roman" w:hAnsi="Times New Roman" w:cs="Times New Roman"/>
          <w:b/>
          <w:iCs/>
          <w:color w:val="5B9BD5" w:themeColor="accent1"/>
          <w:sz w:val="20"/>
          <w:szCs w:val="20"/>
        </w:rPr>
        <w:t>- Štruktúra akruálnych nákladov</w:t>
      </w:r>
      <w:bookmarkEnd w:id="523"/>
      <w:bookmarkEnd w:id="524"/>
      <w:r w:rsidRPr="00797DE5">
        <w:rPr>
          <w:rFonts w:ascii="Times New Roman" w:hAnsi="Times New Roman" w:cs="Times New Roman"/>
          <w:b/>
          <w:iCs/>
          <w:color w:val="5B9BD5" w:themeColor="accent1"/>
          <w:sz w:val="20"/>
          <w:szCs w:val="20"/>
        </w:rPr>
        <w:t xml:space="preserve">                                                                                                                                                                                            </w:t>
      </w:r>
    </w:p>
    <w:tbl>
      <w:tblPr>
        <w:tblStyle w:val="Obyajntabuka4"/>
        <w:tblW w:w="9053" w:type="dxa"/>
        <w:tblLook w:val="04A0" w:firstRow="1" w:lastRow="0" w:firstColumn="1" w:lastColumn="0" w:noHBand="0" w:noVBand="1"/>
      </w:tblPr>
      <w:tblGrid>
        <w:gridCol w:w="3061"/>
        <w:gridCol w:w="856"/>
        <w:gridCol w:w="856"/>
        <w:gridCol w:w="856"/>
        <w:gridCol w:w="856"/>
        <w:gridCol w:w="856"/>
        <w:gridCol w:w="856"/>
        <w:gridCol w:w="856"/>
      </w:tblGrid>
      <w:tr w:rsidR="00AA17E3" w:rsidRPr="00797DE5" w:rsidTr="00AA17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v tis. eur</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201</w:t>
            </w:r>
            <w:r>
              <w:rPr>
                <w:rFonts w:ascii="Times New Roman" w:hAnsi="Times New Roman" w:cs="Times New Roman"/>
                <w:sz w:val="16"/>
                <w:szCs w:val="16"/>
              </w:rPr>
              <w:t>9</w:t>
            </w:r>
            <w:r w:rsidRPr="00797DE5">
              <w:rPr>
                <w:rFonts w:ascii="Times New Roman" w:hAnsi="Times New Roman" w:cs="Times New Roman"/>
                <w:sz w:val="16"/>
                <w:szCs w:val="16"/>
              </w:rPr>
              <w:t xml:space="preserve"> S</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2020</w:t>
            </w:r>
            <w:r w:rsidRPr="00797DE5">
              <w:rPr>
                <w:rFonts w:ascii="Times New Roman" w:hAnsi="Times New Roman" w:cs="Times New Roman"/>
                <w:sz w:val="16"/>
                <w:szCs w:val="16"/>
              </w:rPr>
              <w:t xml:space="preserve"> S</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R</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OS</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2</w:t>
            </w:r>
            <w:r w:rsidRPr="00797DE5">
              <w:rPr>
                <w:rFonts w:ascii="Times New Roman" w:hAnsi="Times New Roman" w:cs="Times New Roman"/>
                <w:sz w:val="16"/>
                <w:szCs w:val="16"/>
              </w:rPr>
              <w:t xml:space="preserve"> N</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3</w:t>
            </w:r>
            <w:r w:rsidRPr="00797DE5">
              <w:rPr>
                <w:rFonts w:ascii="Times New Roman" w:hAnsi="Times New Roman" w:cs="Times New Roman"/>
                <w:sz w:val="16"/>
                <w:szCs w:val="16"/>
              </w:rPr>
              <w:t xml:space="preserve"> N</w:t>
            </w:r>
          </w:p>
        </w:tc>
        <w:tc>
          <w:tcPr>
            <w:tcW w:w="856" w:type="dxa"/>
            <w:tcBorders>
              <w:top w:val="single" w:sz="4" w:space="0" w:color="auto"/>
              <w:bottom w:val="single" w:sz="4" w:space="0" w:color="auto"/>
            </w:tcBorders>
            <w:shd w:val="clear" w:color="auto" w:fill="FFFFFF" w:themeFill="background1"/>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4</w:t>
            </w:r>
            <w:r w:rsidRPr="00797DE5">
              <w:rPr>
                <w:rFonts w:ascii="Times New Roman" w:hAnsi="Times New Roman" w:cs="Times New Roman"/>
                <w:sz w:val="16"/>
                <w:szCs w:val="16"/>
              </w:rPr>
              <w:t xml:space="preserve"> N</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tcBorders>
            <w:shd w:val="clear" w:color="auto" w:fill="FFFFFF" w:themeFill="background1"/>
            <w:noWrap/>
            <w:vAlign w:val="center"/>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Akruálne (časovo rozlíšené) náklady</w:t>
            </w:r>
          </w:p>
        </w:tc>
        <w:tc>
          <w:tcPr>
            <w:tcW w:w="856" w:type="dxa"/>
            <w:tcBorders>
              <w:top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iCs/>
                <w:sz w:val="16"/>
                <w:szCs w:val="16"/>
              </w:rPr>
              <w:t>1 098 310</w:t>
            </w:r>
          </w:p>
        </w:tc>
        <w:tc>
          <w:tcPr>
            <w:tcW w:w="856" w:type="dxa"/>
            <w:tcBorders>
              <w:top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sidRPr="00860662">
              <w:rPr>
                <w:rFonts w:ascii="Times New Roman" w:hAnsi="Times New Roman" w:cs="Times New Roman"/>
                <w:b/>
                <w:bCs/>
                <w:iCs/>
                <w:sz w:val="16"/>
                <w:szCs w:val="16"/>
              </w:rPr>
              <w:t>1 053 371</w:t>
            </w:r>
          </w:p>
        </w:tc>
        <w:tc>
          <w:tcPr>
            <w:tcW w:w="856" w:type="dxa"/>
            <w:tcBorders>
              <w:top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sidRPr="00860662">
              <w:rPr>
                <w:rFonts w:ascii="Times New Roman" w:hAnsi="Times New Roman" w:cs="Times New Roman"/>
                <w:b/>
                <w:bCs/>
                <w:iCs/>
                <w:sz w:val="16"/>
                <w:szCs w:val="16"/>
              </w:rPr>
              <w:t>1 009 386</w:t>
            </w:r>
          </w:p>
        </w:tc>
        <w:tc>
          <w:tcPr>
            <w:tcW w:w="856" w:type="dxa"/>
            <w:tcBorders>
              <w:top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sidRPr="00860662">
              <w:rPr>
                <w:rFonts w:ascii="Times New Roman" w:hAnsi="Times New Roman" w:cs="Times New Roman"/>
                <w:b/>
                <w:bCs/>
                <w:iCs/>
                <w:sz w:val="16"/>
                <w:szCs w:val="16"/>
              </w:rPr>
              <w:t>986 026</w:t>
            </w:r>
          </w:p>
        </w:tc>
        <w:tc>
          <w:tcPr>
            <w:tcW w:w="856" w:type="dxa"/>
            <w:tcBorders>
              <w:top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sidRPr="00860662">
              <w:rPr>
                <w:rFonts w:ascii="Times New Roman" w:hAnsi="Times New Roman" w:cs="Times New Roman"/>
                <w:b/>
                <w:bCs/>
                <w:iCs/>
                <w:sz w:val="16"/>
                <w:szCs w:val="16"/>
              </w:rPr>
              <w:t>985 197</w:t>
            </w:r>
          </w:p>
        </w:tc>
        <w:tc>
          <w:tcPr>
            <w:tcW w:w="856" w:type="dxa"/>
            <w:tcBorders>
              <w:top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sidRPr="00860662">
              <w:rPr>
                <w:rFonts w:ascii="Times New Roman" w:hAnsi="Times New Roman" w:cs="Times New Roman"/>
                <w:b/>
                <w:bCs/>
                <w:iCs/>
                <w:sz w:val="16"/>
                <w:szCs w:val="16"/>
              </w:rPr>
              <w:t>961 239</w:t>
            </w:r>
          </w:p>
        </w:tc>
        <w:tc>
          <w:tcPr>
            <w:tcW w:w="856" w:type="dxa"/>
            <w:tcBorders>
              <w:top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16"/>
                <w:szCs w:val="16"/>
              </w:rPr>
            </w:pPr>
            <w:r w:rsidRPr="00860662">
              <w:rPr>
                <w:rFonts w:ascii="Times New Roman" w:hAnsi="Times New Roman" w:cs="Times New Roman"/>
                <w:b/>
                <w:bCs/>
                <w:iCs/>
                <w:sz w:val="16"/>
                <w:szCs w:val="16"/>
              </w:rPr>
              <w:t>1 062 263</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noWrap/>
            <w:vAlign w:val="center"/>
            <w:hideMark/>
          </w:tcPr>
          <w:p w:rsidR="00AA17E3" w:rsidRPr="004E329F" w:rsidRDefault="00AA17E3" w:rsidP="00AA17E3">
            <w:pPr>
              <w:ind w:left="34" w:hanging="34"/>
              <w:rPr>
                <w:rFonts w:ascii="Times New Roman" w:hAnsi="Times New Roman" w:cs="Times New Roman"/>
                <w:color w:val="000000"/>
                <w:sz w:val="16"/>
                <w:szCs w:val="16"/>
              </w:rPr>
            </w:pPr>
            <w:r w:rsidRPr="004E329F">
              <w:rPr>
                <w:rFonts w:ascii="Times New Roman" w:hAnsi="Times New Roman" w:cs="Times New Roman"/>
                <w:color w:val="000000"/>
                <w:sz w:val="16"/>
                <w:szCs w:val="16"/>
              </w:rPr>
              <w:t>Úroky a diskont štátnych cenných papierov</w:t>
            </w:r>
          </w:p>
        </w:tc>
        <w:tc>
          <w:tcPr>
            <w:tcW w:w="856" w:type="dxa"/>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6"/>
              </w:rPr>
              <w:t>973 426</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901 293</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879 862</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850 717</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852 853</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840 550</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944 554</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noWrap/>
            <w:vAlign w:val="center"/>
            <w:hideMark/>
          </w:tcPr>
          <w:p w:rsidR="00AA17E3" w:rsidRPr="004E329F" w:rsidRDefault="00AA17E3" w:rsidP="00AA17E3">
            <w:pPr>
              <w:rPr>
                <w:rFonts w:ascii="Times New Roman" w:hAnsi="Times New Roman" w:cs="Times New Roman"/>
                <w:color w:val="000000"/>
                <w:sz w:val="16"/>
                <w:szCs w:val="16"/>
              </w:rPr>
            </w:pPr>
            <w:r w:rsidRPr="004E329F">
              <w:rPr>
                <w:rFonts w:ascii="Times New Roman" w:hAnsi="Times New Roman" w:cs="Times New Roman"/>
                <w:color w:val="000000"/>
                <w:sz w:val="16"/>
                <w:szCs w:val="16"/>
              </w:rPr>
              <w:t>Úroky z prijatých vládnych úverov</w:t>
            </w:r>
          </w:p>
        </w:tc>
        <w:tc>
          <w:tcPr>
            <w:tcW w:w="856" w:type="dxa"/>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6"/>
              </w:rPr>
              <w:t>59 870</w:t>
            </w:r>
          </w:p>
        </w:tc>
        <w:tc>
          <w:tcPr>
            <w:tcW w:w="856" w:type="dxa"/>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59 863</w:t>
            </w:r>
          </w:p>
        </w:tc>
        <w:tc>
          <w:tcPr>
            <w:tcW w:w="856" w:type="dxa"/>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59 636</w:t>
            </w:r>
          </w:p>
        </w:tc>
        <w:tc>
          <w:tcPr>
            <w:tcW w:w="856" w:type="dxa"/>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60 167</w:t>
            </w:r>
          </w:p>
        </w:tc>
        <w:tc>
          <w:tcPr>
            <w:tcW w:w="856" w:type="dxa"/>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59 956</w:t>
            </w:r>
          </w:p>
        </w:tc>
        <w:tc>
          <w:tcPr>
            <w:tcW w:w="856" w:type="dxa"/>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59 6</w:t>
            </w:r>
            <w:r>
              <w:rPr>
                <w:rFonts w:ascii="Times New Roman" w:hAnsi="Times New Roman" w:cs="Times New Roman"/>
                <w:bCs/>
                <w:iCs/>
                <w:sz w:val="16"/>
                <w:szCs w:val="16"/>
              </w:rPr>
              <w:t>70</w:t>
            </w:r>
          </w:p>
        </w:tc>
        <w:tc>
          <w:tcPr>
            <w:tcW w:w="856" w:type="dxa"/>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59 45</w:t>
            </w:r>
            <w:r>
              <w:rPr>
                <w:rFonts w:ascii="Times New Roman" w:hAnsi="Times New Roman" w:cs="Times New Roman"/>
                <w:bCs/>
                <w:iCs/>
                <w:sz w:val="16"/>
                <w:szCs w:val="16"/>
              </w:rPr>
              <w:t>6</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noWrap/>
            <w:vAlign w:val="center"/>
            <w:hideMark/>
          </w:tcPr>
          <w:p w:rsidR="00AA17E3" w:rsidRPr="004E329F" w:rsidRDefault="00AA17E3" w:rsidP="00AA17E3">
            <w:pPr>
              <w:rPr>
                <w:rFonts w:ascii="Times New Roman" w:hAnsi="Times New Roman" w:cs="Times New Roman"/>
                <w:color w:val="000000"/>
                <w:sz w:val="16"/>
                <w:szCs w:val="16"/>
              </w:rPr>
            </w:pPr>
            <w:r w:rsidRPr="004E329F">
              <w:rPr>
                <w:rFonts w:ascii="Times New Roman" w:hAnsi="Times New Roman" w:cs="Times New Roman"/>
                <w:color w:val="000000"/>
                <w:sz w:val="16"/>
                <w:szCs w:val="16"/>
              </w:rPr>
              <w:t>Poplatky</w:t>
            </w:r>
          </w:p>
        </w:tc>
        <w:tc>
          <w:tcPr>
            <w:tcW w:w="856" w:type="dxa"/>
            <w:shd w:val="clear" w:color="auto" w:fill="FFFFFF" w:themeFill="background1"/>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6"/>
              </w:rPr>
              <w:t>5 087</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16 693</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18 000</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18 000</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18 000</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18 000</w:t>
            </w:r>
          </w:p>
        </w:tc>
        <w:tc>
          <w:tcPr>
            <w:tcW w:w="856" w:type="dxa"/>
            <w:shd w:val="clear" w:color="auto" w:fill="FFFFFF" w:themeFill="background1"/>
            <w:noWrap/>
            <w:vAlign w:val="bottom"/>
          </w:tcPr>
          <w:p w:rsidR="00AA17E3" w:rsidRPr="00860662"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18 000</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shd w:val="clear" w:color="auto" w:fill="FFFFFF" w:themeFill="background1"/>
            <w:noWrap/>
            <w:vAlign w:val="center"/>
            <w:hideMark/>
          </w:tcPr>
          <w:p w:rsidR="00AA17E3" w:rsidRPr="004E329F" w:rsidRDefault="00AA17E3" w:rsidP="00AA17E3">
            <w:pPr>
              <w:rPr>
                <w:rFonts w:ascii="Times New Roman" w:hAnsi="Times New Roman" w:cs="Times New Roman"/>
                <w:color w:val="000000"/>
                <w:sz w:val="16"/>
                <w:szCs w:val="16"/>
              </w:rPr>
            </w:pPr>
            <w:r w:rsidRPr="004E329F">
              <w:rPr>
                <w:rFonts w:ascii="Times New Roman" w:hAnsi="Times New Roman" w:cs="Times New Roman"/>
                <w:color w:val="000000"/>
                <w:sz w:val="16"/>
                <w:szCs w:val="16"/>
              </w:rPr>
              <w:t>Úroky platené ŠP (refinančný systém) a obchody</w:t>
            </w:r>
          </w:p>
        </w:tc>
        <w:tc>
          <w:tcPr>
            <w:tcW w:w="856" w:type="dxa"/>
            <w:tcBorders>
              <w:bottom w:val="single" w:sz="4" w:space="0" w:color="auto"/>
            </w:tcBorders>
            <w:shd w:val="clear" w:color="auto" w:fill="FFFFFF" w:themeFill="background1"/>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6"/>
              </w:rPr>
              <w:t>59 927</w:t>
            </w:r>
          </w:p>
        </w:tc>
        <w:tc>
          <w:tcPr>
            <w:tcW w:w="856" w:type="dxa"/>
            <w:tcBorders>
              <w:bottom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75 522</w:t>
            </w:r>
          </w:p>
        </w:tc>
        <w:tc>
          <w:tcPr>
            <w:tcW w:w="856" w:type="dxa"/>
            <w:tcBorders>
              <w:bottom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51 888</w:t>
            </w:r>
          </w:p>
        </w:tc>
        <w:tc>
          <w:tcPr>
            <w:tcW w:w="856" w:type="dxa"/>
            <w:tcBorders>
              <w:bottom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57 142</w:t>
            </w:r>
          </w:p>
        </w:tc>
        <w:tc>
          <w:tcPr>
            <w:tcW w:w="856" w:type="dxa"/>
            <w:tcBorders>
              <w:bottom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54 388</w:t>
            </w:r>
          </w:p>
        </w:tc>
        <w:tc>
          <w:tcPr>
            <w:tcW w:w="856" w:type="dxa"/>
            <w:tcBorders>
              <w:bottom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43 019</w:t>
            </w:r>
          </w:p>
        </w:tc>
        <w:tc>
          <w:tcPr>
            <w:tcW w:w="856" w:type="dxa"/>
            <w:tcBorders>
              <w:bottom w:val="single" w:sz="4" w:space="0" w:color="auto"/>
            </w:tcBorders>
            <w:shd w:val="clear" w:color="auto" w:fill="FFFFFF" w:themeFill="background1"/>
            <w:noWrap/>
            <w:vAlign w:val="bottom"/>
          </w:tcPr>
          <w:p w:rsidR="00AA17E3" w:rsidRPr="00860662"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6"/>
                <w:szCs w:val="16"/>
              </w:rPr>
            </w:pPr>
            <w:r w:rsidRPr="00860662">
              <w:rPr>
                <w:rFonts w:ascii="Times New Roman" w:hAnsi="Times New Roman" w:cs="Times New Roman"/>
                <w:bCs/>
                <w:iCs/>
                <w:sz w:val="16"/>
                <w:szCs w:val="16"/>
              </w:rPr>
              <w:t>40 253</w:t>
            </w:r>
          </w:p>
        </w:tc>
      </w:tr>
    </w:tbl>
    <w:p w:rsidR="00AA17E3" w:rsidRPr="00797DE5" w:rsidRDefault="00AA17E3" w:rsidP="00B8458A">
      <w:pPr>
        <w:spacing w:after="0" w:line="276" w:lineRule="auto"/>
        <w:jc w:val="right"/>
        <w:rPr>
          <w:rFonts w:ascii="Times New Roman" w:eastAsia="Calibri" w:hAnsi="Times New Roman" w:cs="Times New Roman"/>
          <w:i/>
          <w:sz w:val="16"/>
          <w:szCs w:val="16"/>
        </w:rPr>
      </w:pPr>
      <w:r w:rsidRPr="00797DE5">
        <w:rPr>
          <w:rFonts w:ascii="Times New Roman" w:eastAsia="Calibri" w:hAnsi="Times New Roman" w:cs="Times New Roman"/>
          <w:i/>
          <w:sz w:val="16"/>
          <w:szCs w:val="16"/>
        </w:rPr>
        <w:t>Zdroj: ARDAL</w:t>
      </w:r>
    </w:p>
    <w:p w:rsidR="00B8458A" w:rsidRDefault="00B8458A" w:rsidP="00B8458A">
      <w:pPr>
        <w:spacing w:after="0" w:line="240" w:lineRule="auto"/>
        <w:contextualSpacing/>
        <w:jc w:val="both"/>
        <w:rPr>
          <w:rFonts w:ascii="Times New Roman" w:eastAsia="Times New Roman" w:hAnsi="Times New Roman" w:cs="Courier"/>
          <w:sz w:val="24"/>
          <w:szCs w:val="24"/>
          <w:lang w:eastAsia="cs-CZ"/>
        </w:rPr>
      </w:pPr>
    </w:p>
    <w:p w:rsidR="00AA17E3" w:rsidRPr="00797DE5" w:rsidRDefault="00AA17E3" w:rsidP="00B8458A">
      <w:pPr>
        <w:spacing w:after="0" w:line="240" w:lineRule="auto"/>
        <w:contextualSpacing/>
        <w:jc w:val="both"/>
        <w:rPr>
          <w:rFonts w:ascii="Times New Roman" w:eastAsia="Times New Roman" w:hAnsi="Times New Roman" w:cs="Courier"/>
          <w:color w:val="FF0000"/>
          <w:sz w:val="24"/>
          <w:szCs w:val="24"/>
          <w:lang w:eastAsia="cs-CZ"/>
        </w:rPr>
      </w:pPr>
      <w:r w:rsidRPr="00797DE5">
        <w:rPr>
          <w:rFonts w:ascii="Times New Roman" w:eastAsia="Times New Roman" w:hAnsi="Times New Roman" w:cs="Courier"/>
          <w:sz w:val="24"/>
          <w:szCs w:val="24"/>
          <w:lang w:eastAsia="cs-CZ"/>
        </w:rPr>
        <w:t>Hotovostné náklady na štátny dlh sú dané hodnotou výdavkov, ktoré sa v danom roku vyplatia zo štátneho rozpočtu.</w:t>
      </w:r>
      <w:r w:rsidRPr="00797DE5">
        <w:rPr>
          <w:rFonts w:ascii="Times New Roman" w:eastAsia="Times New Roman" w:hAnsi="Times New Roman" w:cs="Courier"/>
          <w:color w:val="FF0000"/>
          <w:sz w:val="24"/>
          <w:szCs w:val="24"/>
          <w:lang w:eastAsia="cs-CZ"/>
        </w:rPr>
        <w:t xml:space="preserve"> </w:t>
      </w:r>
    </w:p>
    <w:p w:rsidR="00AA17E3" w:rsidRPr="00797DE5" w:rsidRDefault="00AA17E3" w:rsidP="00AA17E3">
      <w:pPr>
        <w:spacing w:after="0" w:line="240" w:lineRule="auto"/>
        <w:contextualSpacing/>
        <w:jc w:val="both"/>
        <w:rPr>
          <w:rFonts w:ascii="Times New Roman" w:eastAsia="Times New Roman" w:hAnsi="Times New Roman" w:cs="Courier"/>
          <w:color w:val="FF0000"/>
          <w:sz w:val="24"/>
          <w:szCs w:val="24"/>
          <w:lang w:eastAsia="cs-CZ"/>
        </w:rPr>
      </w:pPr>
    </w:p>
    <w:p w:rsidR="00AA17E3" w:rsidRPr="00797DE5" w:rsidRDefault="00AA17E3" w:rsidP="00AA17E3">
      <w:pPr>
        <w:keepNext/>
        <w:spacing w:after="0" w:line="240" w:lineRule="auto"/>
        <w:rPr>
          <w:rFonts w:ascii="Times New Roman" w:hAnsi="Times New Roman" w:cs="Times New Roman"/>
          <w:b/>
          <w:iCs/>
          <w:color w:val="5B9BD5" w:themeColor="accent1"/>
          <w:sz w:val="20"/>
          <w:szCs w:val="20"/>
        </w:rPr>
      </w:pPr>
      <w:bookmarkStart w:id="525" w:name="_Toc84528468"/>
      <w:bookmarkStart w:id="526" w:name="_Toc84845344"/>
      <w:r w:rsidRPr="00947144">
        <w:rPr>
          <w:rFonts w:ascii="Times New Roman" w:hAnsi="Times New Roman" w:cs="Times New Roman"/>
          <w:b/>
          <w:color w:val="5B9BD5" w:themeColor="accent1"/>
          <w:sz w:val="20"/>
          <w:szCs w:val="20"/>
        </w:rPr>
        <w:t xml:space="preserve">Tabuľka </w:t>
      </w:r>
      <w:r w:rsidRPr="00947144">
        <w:rPr>
          <w:rFonts w:ascii="Times New Roman" w:hAnsi="Times New Roman" w:cs="Times New Roman"/>
          <w:b/>
          <w:color w:val="5B9BD5" w:themeColor="accent1"/>
          <w:sz w:val="20"/>
          <w:szCs w:val="20"/>
        </w:rPr>
        <w:fldChar w:fldCharType="begin"/>
      </w:r>
      <w:r w:rsidRPr="00947144">
        <w:rPr>
          <w:rFonts w:ascii="Times New Roman" w:hAnsi="Times New Roman" w:cs="Times New Roman"/>
          <w:b/>
          <w:color w:val="5B9BD5" w:themeColor="accent1"/>
          <w:sz w:val="20"/>
          <w:szCs w:val="20"/>
        </w:rPr>
        <w:instrText xml:space="preserve"> SEQ Tabuľka \* ARABIC </w:instrText>
      </w:r>
      <w:r w:rsidRPr="00947144">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120</w:t>
      </w:r>
      <w:r w:rsidRPr="00947144">
        <w:rPr>
          <w:rFonts w:ascii="Times New Roman" w:hAnsi="Times New Roman" w:cs="Times New Roman"/>
          <w:b/>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Štruktúra hotovostných nákladov</w:t>
      </w:r>
      <w:bookmarkEnd w:id="525"/>
      <w:bookmarkEnd w:id="526"/>
      <w:r w:rsidRPr="00797DE5">
        <w:rPr>
          <w:rFonts w:ascii="Times New Roman" w:hAnsi="Times New Roman" w:cs="Times New Roman"/>
          <w:i/>
          <w:iCs/>
          <w:color w:val="5B9BD5" w:themeColor="accent1"/>
          <w:sz w:val="16"/>
          <w:szCs w:val="16"/>
        </w:rPr>
        <w:t xml:space="preserve">                                                                                                                                                                                 </w:t>
      </w:r>
    </w:p>
    <w:tbl>
      <w:tblPr>
        <w:tblStyle w:val="Obyajntabuka4"/>
        <w:tblW w:w="4990" w:type="pct"/>
        <w:tblLook w:val="04A0" w:firstRow="1" w:lastRow="0" w:firstColumn="1" w:lastColumn="0" w:noHBand="0" w:noVBand="1"/>
      </w:tblPr>
      <w:tblGrid>
        <w:gridCol w:w="3062"/>
        <w:gridCol w:w="856"/>
        <w:gridCol w:w="856"/>
        <w:gridCol w:w="856"/>
        <w:gridCol w:w="856"/>
        <w:gridCol w:w="856"/>
        <w:gridCol w:w="856"/>
        <w:gridCol w:w="856"/>
      </w:tblGrid>
      <w:tr w:rsidR="00AA17E3" w:rsidRPr="00797DE5" w:rsidTr="00AA17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auto"/>
              <w:bottom w:val="single" w:sz="4" w:space="0" w:color="auto"/>
            </w:tcBorders>
            <w:noWrap/>
            <w:vAlign w:val="center"/>
            <w:hideMark/>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v tis. eur</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201</w:t>
            </w:r>
            <w:r>
              <w:rPr>
                <w:rFonts w:ascii="Times New Roman" w:hAnsi="Times New Roman" w:cs="Times New Roman"/>
                <w:sz w:val="16"/>
                <w:szCs w:val="16"/>
              </w:rPr>
              <w:t>9</w:t>
            </w:r>
            <w:r w:rsidRPr="00797DE5">
              <w:rPr>
                <w:rFonts w:ascii="Times New Roman" w:hAnsi="Times New Roman" w:cs="Times New Roman"/>
                <w:sz w:val="16"/>
                <w:szCs w:val="16"/>
              </w:rPr>
              <w:t xml:space="preserve"> S</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w:t>
            </w:r>
            <w:r>
              <w:rPr>
                <w:rFonts w:ascii="Times New Roman" w:hAnsi="Times New Roman" w:cs="Times New Roman"/>
                <w:sz w:val="16"/>
                <w:szCs w:val="16"/>
              </w:rPr>
              <w:t>20</w:t>
            </w:r>
            <w:r w:rsidRPr="00797DE5">
              <w:rPr>
                <w:rFonts w:ascii="Times New Roman" w:hAnsi="Times New Roman" w:cs="Times New Roman"/>
                <w:sz w:val="16"/>
                <w:szCs w:val="16"/>
              </w:rPr>
              <w:t xml:space="preserve"> S</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R</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1</w:t>
            </w:r>
            <w:r w:rsidRPr="00797DE5">
              <w:rPr>
                <w:rFonts w:ascii="Times New Roman" w:hAnsi="Times New Roman" w:cs="Times New Roman"/>
                <w:sz w:val="16"/>
                <w:szCs w:val="16"/>
              </w:rPr>
              <w:t xml:space="preserve"> OS</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2</w:t>
            </w:r>
            <w:r w:rsidRPr="00797DE5">
              <w:rPr>
                <w:rFonts w:ascii="Times New Roman" w:hAnsi="Times New Roman" w:cs="Times New Roman"/>
                <w:sz w:val="16"/>
                <w:szCs w:val="16"/>
              </w:rPr>
              <w:t xml:space="preserve"> N</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3</w:t>
            </w:r>
            <w:r w:rsidRPr="00797DE5">
              <w:rPr>
                <w:rFonts w:ascii="Times New Roman" w:hAnsi="Times New Roman" w:cs="Times New Roman"/>
                <w:sz w:val="16"/>
                <w:szCs w:val="16"/>
              </w:rPr>
              <w:t xml:space="preserve"> N</w:t>
            </w:r>
          </w:p>
        </w:tc>
        <w:tc>
          <w:tcPr>
            <w:tcW w:w="856" w:type="dxa"/>
            <w:tcBorders>
              <w:top w:val="single" w:sz="4" w:space="0" w:color="auto"/>
              <w:bottom w:val="single" w:sz="4" w:space="0" w:color="auto"/>
            </w:tcBorders>
            <w:noWrap/>
            <w:vAlign w:val="center"/>
            <w:hideMark/>
          </w:tcPr>
          <w:p w:rsidR="00AA17E3" w:rsidRPr="00797DE5" w:rsidRDefault="00AA17E3" w:rsidP="00AA17E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202</w:t>
            </w:r>
            <w:r>
              <w:rPr>
                <w:rFonts w:ascii="Times New Roman" w:hAnsi="Times New Roman" w:cs="Times New Roman"/>
                <w:sz w:val="16"/>
                <w:szCs w:val="16"/>
              </w:rPr>
              <w:t>4</w:t>
            </w:r>
            <w:r w:rsidRPr="00797DE5">
              <w:rPr>
                <w:rFonts w:ascii="Times New Roman" w:hAnsi="Times New Roman" w:cs="Times New Roman"/>
                <w:sz w:val="16"/>
                <w:szCs w:val="16"/>
              </w:rPr>
              <w:t xml:space="preserve"> N</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auto"/>
            </w:tcBorders>
            <w:shd w:val="clear" w:color="auto" w:fill="auto"/>
            <w:noWrap/>
            <w:vAlign w:val="center"/>
          </w:tcPr>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Hotovostné náklady</w:t>
            </w:r>
          </w:p>
          <w:p w:rsidR="00AA17E3" w:rsidRPr="00797DE5" w:rsidRDefault="00AA17E3" w:rsidP="00AA17E3">
            <w:pPr>
              <w:rPr>
                <w:rFonts w:ascii="Times New Roman" w:hAnsi="Times New Roman" w:cs="Times New Roman"/>
                <w:color w:val="000000"/>
                <w:sz w:val="16"/>
                <w:szCs w:val="16"/>
              </w:rPr>
            </w:pPr>
            <w:r w:rsidRPr="00797DE5">
              <w:rPr>
                <w:rFonts w:ascii="Times New Roman" w:hAnsi="Times New Roman" w:cs="Times New Roman"/>
                <w:color w:val="000000"/>
                <w:sz w:val="16"/>
                <w:szCs w:val="16"/>
              </w:rPr>
              <w:t>(transfer zo ŠR na saldo účet)</w:t>
            </w:r>
          </w:p>
        </w:tc>
        <w:tc>
          <w:tcPr>
            <w:tcW w:w="856" w:type="dxa"/>
            <w:tcBorders>
              <w:top w:val="single" w:sz="4" w:space="0" w:color="auto"/>
            </w:tcBorders>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iCs/>
                <w:sz w:val="16"/>
                <w:szCs w:val="18"/>
              </w:rPr>
              <w:t>1 036 908</w:t>
            </w:r>
          </w:p>
        </w:tc>
        <w:tc>
          <w:tcPr>
            <w:tcW w:w="856" w:type="dxa"/>
            <w:tcBorders>
              <w:top w:val="single" w:sz="4" w:space="0" w:color="auto"/>
            </w:tcBorders>
            <w:shd w:val="clear" w:color="auto" w:fill="auto"/>
            <w:noWrap/>
            <w:vAlign w:val="bottom"/>
          </w:tcPr>
          <w:p w:rsidR="00AA17E3" w:rsidRPr="00F617B0"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617B0">
              <w:rPr>
                <w:rFonts w:ascii="Times New Roman" w:hAnsi="Times New Roman" w:cs="Times New Roman"/>
                <w:b/>
                <w:bCs/>
                <w:iCs/>
                <w:sz w:val="16"/>
                <w:szCs w:val="16"/>
              </w:rPr>
              <w:t>796 703</w:t>
            </w:r>
          </w:p>
        </w:tc>
        <w:tc>
          <w:tcPr>
            <w:tcW w:w="856" w:type="dxa"/>
            <w:tcBorders>
              <w:top w:val="single" w:sz="4" w:space="0" w:color="auto"/>
            </w:tcBorders>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iCs/>
                <w:sz w:val="16"/>
                <w:szCs w:val="16"/>
              </w:rPr>
              <w:t>1 112 080</w:t>
            </w:r>
          </w:p>
        </w:tc>
        <w:tc>
          <w:tcPr>
            <w:tcW w:w="856" w:type="dxa"/>
            <w:tcBorders>
              <w:top w:val="single" w:sz="4" w:space="0" w:color="auto"/>
            </w:tcBorders>
            <w:shd w:val="clear" w:color="auto" w:fill="auto"/>
            <w:noWrap/>
            <w:vAlign w:val="bottom"/>
          </w:tcPr>
          <w:p w:rsidR="00AA17E3" w:rsidRPr="004E329F"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357AFE">
              <w:rPr>
                <w:rFonts w:ascii="Times New Roman" w:hAnsi="Times New Roman" w:cs="Times New Roman"/>
                <w:b/>
                <w:bCs/>
                <w:iCs/>
                <w:sz w:val="16"/>
                <w:szCs w:val="16"/>
              </w:rPr>
              <w:t>689 845</w:t>
            </w:r>
          </w:p>
        </w:tc>
        <w:tc>
          <w:tcPr>
            <w:tcW w:w="856" w:type="dxa"/>
            <w:tcBorders>
              <w:top w:val="single" w:sz="4" w:space="0" w:color="auto"/>
            </w:tcBorders>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iCs/>
                <w:sz w:val="16"/>
                <w:szCs w:val="16"/>
              </w:rPr>
              <w:t>1 089 706</w:t>
            </w:r>
          </w:p>
        </w:tc>
        <w:tc>
          <w:tcPr>
            <w:tcW w:w="856" w:type="dxa"/>
            <w:tcBorders>
              <w:top w:val="single" w:sz="4" w:space="0" w:color="auto"/>
            </w:tcBorders>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iCs/>
                <w:sz w:val="16"/>
                <w:szCs w:val="16"/>
              </w:rPr>
              <w:t>1 170 733</w:t>
            </w:r>
          </w:p>
        </w:tc>
        <w:tc>
          <w:tcPr>
            <w:tcW w:w="856" w:type="dxa"/>
            <w:tcBorders>
              <w:top w:val="single" w:sz="4" w:space="0" w:color="auto"/>
            </w:tcBorders>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b/>
                <w:bCs/>
                <w:iCs/>
                <w:sz w:val="16"/>
                <w:szCs w:val="16"/>
              </w:rPr>
              <w:t>1 134 689</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3062" w:type="dxa"/>
            <w:shd w:val="clear" w:color="auto" w:fill="auto"/>
            <w:noWrap/>
            <w:vAlign w:val="center"/>
            <w:hideMark/>
          </w:tcPr>
          <w:p w:rsidR="00AA17E3" w:rsidRPr="004E329F" w:rsidRDefault="00AA17E3" w:rsidP="00AA17E3">
            <w:pPr>
              <w:rPr>
                <w:rFonts w:ascii="Times New Roman" w:hAnsi="Times New Roman" w:cs="Times New Roman"/>
                <w:color w:val="000000"/>
                <w:sz w:val="16"/>
                <w:szCs w:val="16"/>
              </w:rPr>
            </w:pPr>
            <w:r w:rsidRPr="004E329F">
              <w:rPr>
                <w:rFonts w:ascii="Times New Roman" w:hAnsi="Times New Roman" w:cs="Times New Roman"/>
                <w:color w:val="000000"/>
                <w:sz w:val="16"/>
                <w:szCs w:val="16"/>
              </w:rPr>
              <w:t>Úroky a diskont štátnych cenných papierov</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8"/>
              </w:rPr>
              <w:t>909 955</w:t>
            </w:r>
          </w:p>
        </w:tc>
        <w:tc>
          <w:tcPr>
            <w:tcW w:w="856" w:type="dxa"/>
            <w:shd w:val="clear" w:color="auto" w:fill="auto"/>
            <w:noWrap/>
            <w:vAlign w:val="bottom"/>
          </w:tcPr>
          <w:p w:rsidR="00AA17E3" w:rsidRPr="00F617B0"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617B0">
              <w:rPr>
                <w:rFonts w:ascii="Times New Roman" w:hAnsi="Times New Roman" w:cs="Times New Roman"/>
                <w:sz w:val="16"/>
                <w:szCs w:val="16"/>
              </w:rPr>
              <w:t>644 320</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982 275</w:t>
            </w:r>
          </w:p>
        </w:tc>
        <w:tc>
          <w:tcPr>
            <w:tcW w:w="856" w:type="dxa"/>
            <w:shd w:val="clear" w:color="auto" w:fill="auto"/>
            <w:noWrap/>
            <w:vAlign w:val="bottom"/>
          </w:tcPr>
          <w:p w:rsidR="00AA17E3" w:rsidRPr="00357AFE"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554 781</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957 122</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1 049 974</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1</w:t>
            </w:r>
            <w:r>
              <w:rPr>
                <w:rFonts w:ascii="Times New Roman" w:hAnsi="Times New Roman" w:cs="Times New Roman"/>
                <w:sz w:val="16"/>
                <w:szCs w:val="16"/>
              </w:rPr>
              <w:t> 017 078</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shd w:val="clear" w:color="auto" w:fill="auto"/>
            <w:noWrap/>
            <w:vAlign w:val="center"/>
            <w:hideMark/>
          </w:tcPr>
          <w:p w:rsidR="00AA17E3" w:rsidRPr="004E329F" w:rsidRDefault="00AA17E3" w:rsidP="00AA17E3">
            <w:pPr>
              <w:rPr>
                <w:rFonts w:ascii="Times New Roman" w:hAnsi="Times New Roman" w:cs="Times New Roman"/>
                <w:color w:val="000000"/>
                <w:sz w:val="16"/>
                <w:szCs w:val="16"/>
              </w:rPr>
            </w:pPr>
            <w:r w:rsidRPr="004E329F">
              <w:rPr>
                <w:rFonts w:ascii="Times New Roman" w:hAnsi="Times New Roman" w:cs="Times New Roman"/>
                <w:color w:val="000000"/>
                <w:sz w:val="16"/>
                <w:szCs w:val="16"/>
              </w:rPr>
              <w:t>Úroky z prijatých vládnych úverov</w:t>
            </w:r>
          </w:p>
        </w:tc>
        <w:tc>
          <w:tcPr>
            <w:tcW w:w="856" w:type="dxa"/>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8"/>
              </w:rPr>
              <w:t>60 557</w:t>
            </w:r>
          </w:p>
        </w:tc>
        <w:tc>
          <w:tcPr>
            <w:tcW w:w="856" w:type="dxa"/>
            <w:shd w:val="clear" w:color="auto" w:fill="auto"/>
            <w:noWrap/>
            <w:vAlign w:val="bottom"/>
          </w:tcPr>
          <w:p w:rsidR="00AA17E3" w:rsidRPr="00F617B0"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617B0">
              <w:rPr>
                <w:rFonts w:ascii="Times New Roman" w:hAnsi="Times New Roman" w:cs="Times New Roman"/>
                <w:sz w:val="16"/>
                <w:szCs w:val="16"/>
              </w:rPr>
              <w:t>59 381</w:t>
            </w:r>
          </w:p>
        </w:tc>
        <w:tc>
          <w:tcPr>
            <w:tcW w:w="856" w:type="dxa"/>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59 917</w:t>
            </w:r>
          </w:p>
        </w:tc>
        <w:tc>
          <w:tcPr>
            <w:tcW w:w="856" w:type="dxa"/>
            <w:shd w:val="clear" w:color="auto" w:fill="auto"/>
            <w:noWrap/>
            <w:vAlign w:val="bottom"/>
          </w:tcPr>
          <w:p w:rsidR="00AA17E3" w:rsidRPr="00357AFE"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57AFE">
              <w:rPr>
                <w:rFonts w:ascii="Times New Roman" w:hAnsi="Times New Roman" w:cs="Times New Roman"/>
                <w:sz w:val="16"/>
                <w:szCs w:val="16"/>
              </w:rPr>
              <w:t>59 922</w:t>
            </w:r>
          </w:p>
        </w:tc>
        <w:tc>
          <w:tcPr>
            <w:tcW w:w="856" w:type="dxa"/>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60 195</w:t>
            </w:r>
          </w:p>
        </w:tc>
        <w:tc>
          <w:tcPr>
            <w:tcW w:w="856" w:type="dxa"/>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59 754</w:t>
            </w:r>
          </w:p>
        </w:tc>
        <w:tc>
          <w:tcPr>
            <w:tcW w:w="856" w:type="dxa"/>
            <w:shd w:val="clear" w:color="auto" w:fill="auto"/>
            <w:noWrap/>
            <w:vAlign w:val="bottom"/>
          </w:tcPr>
          <w:p w:rsidR="00AA17E3" w:rsidRPr="00797DE5"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59 510</w:t>
            </w:r>
          </w:p>
        </w:tc>
      </w:tr>
      <w:tr w:rsidR="00AA17E3" w:rsidRPr="00797DE5" w:rsidTr="00AA17E3">
        <w:trPr>
          <w:trHeight w:val="283"/>
        </w:trPr>
        <w:tc>
          <w:tcPr>
            <w:cnfStyle w:val="001000000000" w:firstRow="0" w:lastRow="0" w:firstColumn="1" w:lastColumn="0" w:oddVBand="0" w:evenVBand="0" w:oddHBand="0" w:evenHBand="0" w:firstRowFirstColumn="0" w:firstRowLastColumn="0" w:lastRowFirstColumn="0" w:lastRowLastColumn="0"/>
            <w:tcW w:w="3062" w:type="dxa"/>
            <w:shd w:val="clear" w:color="auto" w:fill="auto"/>
            <w:noWrap/>
            <w:vAlign w:val="center"/>
            <w:hideMark/>
          </w:tcPr>
          <w:p w:rsidR="00AA17E3" w:rsidRPr="004E329F" w:rsidRDefault="00AA17E3" w:rsidP="00AA17E3">
            <w:pPr>
              <w:rPr>
                <w:rFonts w:ascii="Times New Roman" w:hAnsi="Times New Roman" w:cs="Times New Roman"/>
                <w:color w:val="000000"/>
                <w:sz w:val="16"/>
                <w:szCs w:val="16"/>
              </w:rPr>
            </w:pPr>
            <w:r w:rsidRPr="004E329F">
              <w:rPr>
                <w:rFonts w:ascii="Times New Roman" w:hAnsi="Times New Roman" w:cs="Times New Roman"/>
                <w:color w:val="000000"/>
                <w:sz w:val="16"/>
                <w:szCs w:val="16"/>
              </w:rPr>
              <w:t>Poplatky</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Pr>
                <w:rFonts w:ascii="Times New Roman" w:hAnsi="Times New Roman" w:cs="Times New Roman"/>
                <w:sz w:val="16"/>
                <w:szCs w:val="18"/>
              </w:rPr>
              <w:t>5 103</w:t>
            </w:r>
          </w:p>
        </w:tc>
        <w:tc>
          <w:tcPr>
            <w:tcW w:w="856" w:type="dxa"/>
            <w:shd w:val="clear" w:color="auto" w:fill="auto"/>
            <w:noWrap/>
            <w:vAlign w:val="bottom"/>
          </w:tcPr>
          <w:p w:rsidR="00AA17E3" w:rsidRPr="00F617B0"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617B0">
              <w:rPr>
                <w:rFonts w:ascii="Times New Roman" w:hAnsi="Times New Roman" w:cs="Times New Roman"/>
                <w:sz w:val="16"/>
                <w:szCs w:val="16"/>
              </w:rPr>
              <w:t>16 693</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1</w:t>
            </w:r>
            <w:r>
              <w:rPr>
                <w:rFonts w:ascii="Times New Roman" w:hAnsi="Times New Roman" w:cs="Times New Roman"/>
                <w:sz w:val="16"/>
                <w:szCs w:val="16"/>
              </w:rPr>
              <w:t>8</w:t>
            </w:r>
            <w:r w:rsidRPr="00797DE5">
              <w:rPr>
                <w:rFonts w:ascii="Times New Roman" w:hAnsi="Times New Roman" w:cs="Times New Roman"/>
                <w:sz w:val="16"/>
                <w:szCs w:val="16"/>
              </w:rPr>
              <w:t xml:space="preserve"> 000</w:t>
            </w:r>
          </w:p>
        </w:tc>
        <w:tc>
          <w:tcPr>
            <w:tcW w:w="856" w:type="dxa"/>
            <w:shd w:val="clear" w:color="auto" w:fill="auto"/>
            <w:noWrap/>
            <w:vAlign w:val="bottom"/>
          </w:tcPr>
          <w:p w:rsidR="00AA17E3" w:rsidRPr="00357AFE"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7AFE">
              <w:rPr>
                <w:rFonts w:ascii="Times New Roman" w:hAnsi="Times New Roman" w:cs="Times New Roman"/>
                <w:sz w:val="16"/>
                <w:szCs w:val="16"/>
              </w:rPr>
              <w:t>18 000</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18 000</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18 000</w:t>
            </w:r>
          </w:p>
        </w:tc>
        <w:tc>
          <w:tcPr>
            <w:tcW w:w="856" w:type="dxa"/>
            <w:shd w:val="clear" w:color="auto" w:fill="auto"/>
            <w:noWrap/>
            <w:vAlign w:val="bottom"/>
          </w:tcPr>
          <w:p w:rsidR="00AA17E3" w:rsidRPr="00797DE5" w:rsidRDefault="00AA17E3" w:rsidP="00AA17E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97DE5">
              <w:rPr>
                <w:rFonts w:ascii="Times New Roman" w:hAnsi="Times New Roman" w:cs="Times New Roman"/>
                <w:sz w:val="16"/>
                <w:szCs w:val="16"/>
              </w:rPr>
              <w:t>18 000</w:t>
            </w:r>
          </w:p>
        </w:tc>
      </w:tr>
      <w:tr w:rsidR="00AA17E3" w:rsidRPr="00797DE5" w:rsidTr="00AA17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tcBorders>
              <w:bottom w:val="single" w:sz="4" w:space="0" w:color="auto"/>
            </w:tcBorders>
            <w:shd w:val="clear" w:color="auto" w:fill="auto"/>
            <w:noWrap/>
            <w:vAlign w:val="center"/>
            <w:hideMark/>
          </w:tcPr>
          <w:p w:rsidR="00AA17E3" w:rsidRPr="00740047" w:rsidRDefault="00AA17E3" w:rsidP="00AA17E3">
            <w:pPr>
              <w:rPr>
                <w:rFonts w:ascii="Times New Roman" w:hAnsi="Times New Roman" w:cs="Times New Roman"/>
                <w:b w:val="0"/>
                <w:color w:val="000000"/>
                <w:sz w:val="16"/>
                <w:szCs w:val="16"/>
              </w:rPr>
            </w:pPr>
            <w:r w:rsidRPr="004E329F">
              <w:rPr>
                <w:rFonts w:ascii="Times New Roman" w:hAnsi="Times New Roman" w:cs="Times New Roman"/>
                <w:color w:val="000000"/>
                <w:sz w:val="16"/>
                <w:szCs w:val="16"/>
              </w:rPr>
              <w:t xml:space="preserve">Úroky platené ŠP (refinančný systém) </w:t>
            </w:r>
            <w:r w:rsidRPr="004E329F">
              <w:rPr>
                <w:rFonts w:ascii="Times New Roman" w:hAnsi="Times New Roman" w:cs="Times New Roman"/>
                <w:color w:val="000000"/>
                <w:sz w:val="16"/>
                <w:szCs w:val="16"/>
              </w:rPr>
              <w:br/>
              <w:t>a obchody</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r w:rsidRPr="00320DBD">
              <w:rPr>
                <w:rFonts w:ascii="Times New Roman" w:hAnsi="Times New Roman" w:cs="Times New Roman"/>
                <w:sz w:val="16"/>
                <w:szCs w:val="18"/>
              </w:rPr>
              <w:t>61</w:t>
            </w:r>
            <w:r>
              <w:rPr>
                <w:rFonts w:ascii="Times New Roman" w:hAnsi="Times New Roman" w:cs="Times New Roman"/>
                <w:sz w:val="16"/>
                <w:szCs w:val="18"/>
              </w:rPr>
              <w:t xml:space="preserve"> 293</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F617B0">
              <w:rPr>
                <w:rFonts w:ascii="Times New Roman" w:hAnsi="Times New Roman" w:cs="Times New Roman"/>
                <w:sz w:val="16"/>
                <w:szCs w:val="16"/>
              </w:rPr>
              <w:t>76 309</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sz w:val="16"/>
                <w:szCs w:val="16"/>
              </w:rPr>
              <w:t>51 888</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57AFE">
              <w:rPr>
                <w:rFonts w:ascii="Times New Roman" w:hAnsi="Times New Roman" w:cs="Times New Roman"/>
                <w:sz w:val="16"/>
                <w:szCs w:val="16"/>
              </w:rPr>
              <w:t>57 142</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sz w:val="16"/>
                <w:szCs w:val="16"/>
              </w:rPr>
              <w:t>54 389</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sz w:val="16"/>
                <w:szCs w:val="16"/>
              </w:rPr>
              <w:t>43 005</w:t>
            </w:r>
          </w:p>
        </w:tc>
        <w:tc>
          <w:tcPr>
            <w:tcW w:w="856" w:type="dxa"/>
            <w:tcBorders>
              <w:bottom w:val="single" w:sz="4" w:space="0" w:color="auto"/>
            </w:tcBorders>
            <w:shd w:val="clear" w:color="auto" w:fill="auto"/>
            <w:noWrap/>
            <w:vAlign w:val="bottom"/>
          </w:tcPr>
          <w:p w:rsidR="00AA17E3" w:rsidRPr="00740047" w:rsidRDefault="00AA17E3" w:rsidP="00AA17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sz w:val="16"/>
                <w:szCs w:val="16"/>
              </w:rPr>
              <w:t>40 101</w:t>
            </w:r>
          </w:p>
        </w:tc>
      </w:tr>
    </w:tbl>
    <w:p w:rsidR="00AA17E3" w:rsidRPr="00797DE5" w:rsidRDefault="00AA17E3" w:rsidP="00AA17E3">
      <w:pPr>
        <w:spacing w:after="0" w:line="240" w:lineRule="auto"/>
        <w:jc w:val="right"/>
        <w:rPr>
          <w:rFonts w:ascii="Times New Roman" w:eastAsia="Times New Roman" w:hAnsi="Times New Roman" w:cs="Courier"/>
          <w:i/>
          <w:sz w:val="16"/>
          <w:szCs w:val="16"/>
          <w:lang w:eastAsia="cs-CZ"/>
        </w:rPr>
      </w:pPr>
      <w:r w:rsidRPr="00797DE5">
        <w:rPr>
          <w:rFonts w:ascii="Times New Roman" w:eastAsia="Times New Roman" w:hAnsi="Times New Roman" w:cs="Courier"/>
          <w:i/>
          <w:sz w:val="16"/>
          <w:szCs w:val="16"/>
          <w:lang w:eastAsia="cs-CZ"/>
        </w:rPr>
        <w:t>Zdroj: ARDAL</w:t>
      </w:r>
    </w:p>
    <w:p w:rsidR="00AA17E3" w:rsidRPr="002265F2" w:rsidRDefault="00AA17E3" w:rsidP="00AA17E3">
      <w:pPr>
        <w:spacing w:after="0" w:line="240" w:lineRule="auto"/>
        <w:jc w:val="both"/>
        <w:rPr>
          <w:rFonts w:ascii="Times New Roman" w:eastAsia="Times New Roman" w:hAnsi="Times New Roman" w:cs="Courier"/>
          <w:sz w:val="16"/>
          <w:szCs w:val="16"/>
          <w:lang w:eastAsia="cs-CZ"/>
        </w:rPr>
      </w:pPr>
      <w:r w:rsidRPr="002265F2">
        <w:rPr>
          <w:rFonts w:ascii="Times New Roman" w:eastAsia="Times New Roman" w:hAnsi="Times New Roman" w:cs="Courier"/>
          <w:sz w:val="16"/>
          <w:szCs w:val="16"/>
          <w:lang w:eastAsia="cs-CZ"/>
        </w:rPr>
        <w:t>Pozn.: V roku 2012 sa v zmysle zákona č. 291/2002 Z. z. o Štátnej pokladnici a o zmene a doplnení niektorých zákonov v znení neskorších predpisov pre efektívne fungovanie obsluhy štátneho dlhu zriadil samostatný  účet štátnych rozpočtových organizácií (tzv. saldo účet Štátneho dlhu). Uvedený účet slúži pre výdavkové a príjmové transakcie vykonávané ARDAL v mene MF SR. Stav na tomto účte sa pravidelne mesačne a ku koncu roka vyrovnáva transferom z výdavkového účtu štátneho rozpočtu na nulový zostatok. Tieto transfery predstavujú čisté výdavky štátneho rozpočtu na obsluhu štátneho dlhu.</w:t>
      </w:r>
    </w:p>
    <w:p w:rsidR="00AA17E3" w:rsidRDefault="00AA17E3" w:rsidP="00AA17E3">
      <w:pPr>
        <w:spacing w:after="0" w:line="240" w:lineRule="auto"/>
        <w:jc w:val="both"/>
        <w:rPr>
          <w:rFonts w:ascii="Times New Roman" w:eastAsia="Times New Roman" w:hAnsi="Times New Roman" w:cs="Times New Roman"/>
          <w:iCs/>
          <w:sz w:val="24"/>
          <w:szCs w:val="24"/>
          <w:lang w:eastAsia="cs-CZ"/>
        </w:rPr>
      </w:pPr>
    </w:p>
    <w:p w:rsidR="00AA17E3" w:rsidRPr="00797DE5" w:rsidRDefault="00AA17E3" w:rsidP="00AA17E3">
      <w:pPr>
        <w:spacing w:after="0" w:line="240" w:lineRule="auto"/>
        <w:jc w:val="both"/>
        <w:rPr>
          <w:rFonts w:ascii="Times New Roman" w:eastAsia="Times New Roman" w:hAnsi="Times New Roman" w:cs="Times New Roman"/>
          <w:b/>
          <w:bCs/>
          <w:iCs/>
          <w:color w:val="2E74B5" w:themeColor="accent1" w:themeShade="BF"/>
          <w:sz w:val="24"/>
          <w:szCs w:val="24"/>
          <w:lang w:eastAsia="sk-SK"/>
        </w:rPr>
      </w:pPr>
    </w:p>
    <w:p w:rsidR="00AA17E3" w:rsidRPr="00797DE5" w:rsidRDefault="00AA17E3" w:rsidP="00AA17E3">
      <w:pPr>
        <w:spacing w:after="0" w:line="240" w:lineRule="auto"/>
        <w:jc w:val="both"/>
        <w:rPr>
          <w:rFonts w:ascii="Times New Roman" w:eastAsia="Times New Roman" w:hAnsi="Times New Roman" w:cs="Times New Roman"/>
          <w:b/>
          <w:bCs/>
          <w:iCs/>
          <w:color w:val="5B9BD5" w:themeColor="accent1"/>
          <w:sz w:val="24"/>
          <w:szCs w:val="24"/>
          <w:lang w:eastAsia="cs-CZ"/>
        </w:rPr>
      </w:pPr>
      <w:r w:rsidRPr="00797DE5">
        <w:rPr>
          <w:rFonts w:ascii="Times New Roman" w:eastAsia="Times New Roman" w:hAnsi="Times New Roman" w:cs="Times New Roman"/>
          <w:b/>
          <w:bCs/>
          <w:iCs/>
          <w:color w:val="5B9BD5" w:themeColor="accent1"/>
          <w:sz w:val="24"/>
          <w:szCs w:val="24"/>
          <w:lang w:eastAsia="sk-SK"/>
        </w:rPr>
        <w:t xml:space="preserve">Finančné vzťahy </w:t>
      </w:r>
      <w:r w:rsidRPr="00B203DB">
        <w:rPr>
          <w:rFonts w:ascii="Times New Roman" w:eastAsia="Times New Roman" w:hAnsi="Times New Roman" w:cs="Times New Roman"/>
          <w:b/>
          <w:bCs/>
          <w:iCs/>
          <w:color w:val="5B9BD5" w:themeColor="accent1"/>
          <w:sz w:val="24"/>
          <w:szCs w:val="24"/>
          <w:lang w:eastAsia="sk-SK"/>
        </w:rPr>
        <w:t>k Sociálnej poisťovni</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r w:rsidRPr="00797DE5">
        <w:rPr>
          <w:rFonts w:ascii="Times New Roman" w:eastAsia="Times New Roman" w:hAnsi="Times New Roman" w:cs="Times New Roman"/>
          <w:sz w:val="24"/>
          <w:szCs w:val="24"/>
          <w:lang w:eastAsia="cs-CZ"/>
        </w:rPr>
        <w:t>Transfer Sociálnej poisťovni na krytie deficitov základného fondu starobného poistenia je na rok 202</w:t>
      </w:r>
      <w:r>
        <w:rPr>
          <w:rFonts w:ascii="Times New Roman" w:eastAsia="Times New Roman" w:hAnsi="Times New Roman" w:cs="Times New Roman"/>
          <w:sz w:val="24"/>
          <w:szCs w:val="24"/>
          <w:lang w:eastAsia="cs-CZ"/>
        </w:rPr>
        <w:t>2</w:t>
      </w:r>
      <w:r w:rsidRPr="00797DE5">
        <w:rPr>
          <w:rFonts w:ascii="Times New Roman" w:eastAsia="Times New Roman" w:hAnsi="Times New Roman" w:cs="Times New Roman"/>
          <w:sz w:val="24"/>
          <w:szCs w:val="24"/>
          <w:lang w:eastAsia="cs-CZ"/>
        </w:rPr>
        <w:t xml:space="preserve"> rozpočtovaný v sume </w:t>
      </w:r>
      <w:r>
        <w:rPr>
          <w:rFonts w:ascii="Times New Roman" w:eastAsia="Times New Roman" w:hAnsi="Times New Roman" w:cs="Times New Roman"/>
          <w:sz w:val="24"/>
          <w:szCs w:val="24"/>
          <w:lang w:eastAsia="cs-CZ"/>
        </w:rPr>
        <w:t>400</w:t>
      </w:r>
      <w:r w:rsidRPr="00797DE5">
        <w:rPr>
          <w:rFonts w:ascii="Times New Roman" w:eastAsia="Times New Roman" w:hAnsi="Times New Roman" w:cs="Times New Roman"/>
          <w:sz w:val="24"/>
          <w:szCs w:val="24"/>
          <w:lang w:eastAsia="cs-CZ"/>
        </w:rPr>
        <w:t xml:space="preserve"> mil. eur.</w:t>
      </w:r>
    </w:p>
    <w:p w:rsidR="00AA17E3" w:rsidRPr="00B8458A" w:rsidRDefault="00AA17E3" w:rsidP="00AA17E3">
      <w:pPr>
        <w:keepNext/>
        <w:spacing w:after="0" w:line="240" w:lineRule="auto"/>
        <w:rPr>
          <w:rFonts w:ascii="Times New Roman" w:hAnsi="Times New Roman" w:cs="Times New Roman"/>
          <w:b/>
          <w:iCs/>
          <w:color w:val="44546A" w:themeColor="text2"/>
          <w:sz w:val="24"/>
          <w:szCs w:val="20"/>
        </w:rPr>
      </w:pPr>
    </w:p>
    <w:p w:rsidR="00AA17E3" w:rsidRPr="00797DE5" w:rsidRDefault="00AA17E3" w:rsidP="00AA17E3">
      <w:pPr>
        <w:keepNext/>
        <w:spacing w:after="0" w:line="240" w:lineRule="auto"/>
        <w:rPr>
          <w:rFonts w:ascii="Arial Narrow" w:hAnsi="Arial Narrow"/>
          <w:i/>
          <w:iCs/>
          <w:color w:val="44546A" w:themeColor="text2"/>
          <w:sz w:val="18"/>
          <w:szCs w:val="18"/>
        </w:rPr>
      </w:pPr>
      <w:bookmarkStart w:id="527" w:name="_Toc84528469"/>
      <w:bookmarkStart w:id="528" w:name="_Toc84845345"/>
      <w:r w:rsidRPr="00797DE5">
        <w:rPr>
          <w:rFonts w:ascii="Times New Roman" w:hAnsi="Times New Roman" w:cs="Times New Roman"/>
          <w:b/>
          <w:iCs/>
          <w:color w:val="5B9BD5" w:themeColor="accent1"/>
          <w:sz w:val="20"/>
          <w:szCs w:val="20"/>
        </w:rPr>
        <w:t xml:space="preserve">Tabuľka </w:t>
      </w:r>
      <w:r w:rsidRPr="00797DE5">
        <w:rPr>
          <w:rFonts w:ascii="Times New Roman" w:hAnsi="Times New Roman" w:cs="Times New Roman"/>
          <w:b/>
          <w:iCs/>
          <w:color w:val="5B9BD5" w:themeColor="accent1"/>
          <w:sz w:val="20"/>
          <w:szCs w:val="20"/>
        </w:rPr>
        <w:fldChar w:fldCharType="begin"/>
      </w:r>
      <w:r w:rsidRPr="00797DE5">
        <w:rPr>
          <w:rFonts w:ascii="Times New Roman" w:hAnsi="Times New Roman" w:cs="Times New Roman"/>
          <w:b/>
          <w:iCs/>
          <w:color w:val="5B9BD5" w:themeColor="accent1"/>
          <w:sz w:val="20"/>
          <w:szCs w:val="20"/>
        </w:rPr>
        <w:instrText xml:space="preserve"> SEQ Tabuľka \* ARABIC </w:instrText>
      </w:r>
      <w:r w:rsidRPr="00797DE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121</w:t>
      </w:r>
      <w:r w:rsidRPr="00797DE5">
        <w:rPr>
          <w:rFonts w:ascii="Times New Roman" w:hAnsi="Times New Roman" w:cs="Times New Roman"/>
          <w:b/>
          <w:iCs/>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Transfer Sociálnej poisťovni</w:t>
      </w:r>
      <w:bookmarkEnd w:id="527"/>
      <w:bookmarkEnd w:id="528"/>
    </w:p>
    <w:tbl>
      <w:tblPr>
        <w:tblW w:w="9130" w:type="dxa"/>
        <w:tblCellMar>
          <w:left w:w="70" w:type="dxa"/>
          <w:right w:w="70" w:type="dxa"/>
        </w:tblCellMar>
        <w:tblLook w:val="04A0" w:firstRow="1" w:lastRow="0" w:firstColumn="1" w:lastColumn="0" w:noHBand="0" w:noVBand="1"/>
      </w:tblPr>
      <w:tblGrid>
        <w:gridCol w:w="3572"/>
        <w:gridCol w:w="794"/>
        <w:gridCol w:w="794"/>
        <w:gridCol w:w="794"/>
        <w:gridCol w:w="794"/>
        <w:gridCol w:w="794"/>
        <w:gridCol w:w="794"/>
        <w:gridCol w:w="794"/>
      </w:tblGrid>
      <w:tr w:rsidR="00AA17E3" w:rsidRPr="006D3F5B" w:rsidTr="00AA17E3">
        <w:trPr>
          <w:trHeight w:val="340"/>
        </w:trPr>
        <w:tc>
          <w:tcPr>
            <w:tcW w:w="3572" w:type="dxa"/>
            <w:tcBorders>
              <w:top w:val="single" w:sz="4" w:space="0" w:color="auto"/>
              <w:left w:val="nil"/>
              <w:bottom w:val="single" w:sz="4" w:space="0" w:color="auto"/>
              <w:right w:val="nil"/>
            </w:tcBorders>
            <w:shd w:val="clear" w:color="auto" w:fill="auto"/>
            <w:noWrap/>
            <w:vAlign w:val="center"/>
            <w:hideMark/>
          </w:tcPr>
          <w:p w:rsidR="00AA17E3" w:rsidRPr="006D3F5B" w:rsidRDefault="00AA17E3" w:rsidP="00AA17E3">
            <w:pPr>
              <w:spacing w:after="0" w:line="240" w:lineRule="auto"/>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v tis. eur</w:t>
            </w:r>
          </w:p>
        </w:tc>
        <w:tc>
          <w:tcPr>
            <w:tcW w:w="794" w:type="dxa"/>
            <w:tcBorders>
              <w:top w:val="single" w:sz="4" w:space="0" w:color="auto"/>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2019 S</w:t>
            </w:r>
          </w:p>
        </w:tc>
        <w:tc>
          <w:tcPr>
            <w:tcW w:w="794" w:type="dxa"/>
            <w:tcBorders>
              <w:top w:val="single" w:sz="4" w:space="0" w:color="auto"/>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2020 S</w:t>
            </w:r>
          </w:p>
        </w:tc>
        <w:tc>
          <w:tcPr>
            <w:tcW w:w="794" w:type="dxa"/>
            <w:tcBorders>
              <w:top w:val="single" w:sz="4" w:space="0" w:color="auto"/>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2021 R</w:t>
            </w:r>
          </w:p>
        </w:tc>
        <w:tc>
          <w:tcPr>
            <w:tcW w:w="794" w:type="dxa"/>
            <w:tcBorders>
              <w:top w:val="single" w:sz="4" w:space="0" w:color="auto"/>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2021 OS</w:t>
            </w:r>
            <w:r>
              <w:rPr>
                <w:rFonts w:ascii="Times New Roman" w:eastAsia="Times New Roman" w:hAnsi="Times New Roman" w:cs="Times New Roman"/>
                <w:b/>
                <w:bCs/>
                <w:sz w:val="16"/>
                <w:szCs w:val="16"/>
                <w:lang w:eastAsia="sk-SK"/>
              </w:rPr>
              <w:t>*</w:t>
            </w:r>
          </w:p>
        </w:tc>
        <w:tc>
          <w:tcPr>
            <w:tcW w:w="794" w:type="dxa"/>
            <w:tcBorders>
              <w:top w:val="single" w:sz="4" w:space="0" w:color="auto"/>
              <w:left w:val="nil"/>
              <w:bottom w:val="single" w:sz="4" w:space="0" w:color="auto"/>
              <w:right w:val="nil"/>
            </w:tcBorders>
            <w:shd w:val="clear" w:color="auto" w:fill="auto"/>
            <w:noWrap/>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2022 N</w:t>
            </w:r>
          </w:p>
        </w:tc>
        <w:tc>
          <w:tcPr>
            <w:tcW w:w="794" w:type="dxa"/>
            <w:tcBorders>
              <w:top w:val="single" w:sz="4" w:space="0" w:color="auto"/>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2023 N</w:t>
            </w:r>
          </w:p>
        </w:tc>
        <w:tc>
          <w:tcPr>
            <w:tcW w:w="794" w:type="dxa"/>
            <w:tcBorders>
              <w:top w:val="single" w:sz="4" w:space="0" w:color="auto"/>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2024 N</w:t>
            </w:r>
          </w:p>
        </w:tc>
      </w:tr>
      <w:tr w:rsidR="00AA17E3" w:rsidRPr="006D3F5B" w:rsidTr="00AA17E3">
        <w:trPr>
          <w:trHeight w:val="340"/>
        </w:trPr>
        <w:tc>
          <w:tcPr>
            <w:tcW w:w="3572" w:type="dxa"/>
            <w:tcBorders>
              <w:top w:val="nil"/>
              <w:left w:val="nil"/>
              <w:bottom w:val="single" w:sz="4" w:space="0" w:color="auto"/>
              <w:right w:val="nil"/>
            </w:tcBorders>
            <w:shd w:val="clear" w:color="auto" w:fill="auto"/>
            <w:noWrap/>
            <w:vAlign w:val="center"/>
            <w:hideMark/>
          </w:tcPr>
          <w:p w:rsidR="00AA17E3" w:rsidRPr="006D3F5B" w:rsidRDefault="00AA17E3" w:rsidP="00AA17E3">
            <w:pPr>
              <w:spacing w:after="0" w:line="240" w:lineRule="auto"/>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Finančné vzťahy k  Sociálnej poisťovni</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0</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969 865</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839 198</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sidRPr="006D3F5B">
              <w:rPr>
                <w:rFonts w:ascii="Times New Roman" w:eastAsia="Times New Roman" w:hAnsi="Times New Roman" w:cs="Times New Roman"/>
                <w:b/>
                <w:bCs/>
                <w:sz w:val="16"/>
                <w:szCs w:val="16"/>
                <w:lang w:eastAsia="sk-SK"/>
              </w:rPr>
              <w:t>749 198</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4</w:t>
            </w:r>
            <w:r w:rsidRPr="006D3F5B">
              <w:rPr>
                <w:rFonts w:ascii="Times New Roman" w:eastAsia="Times New Roman" w:hAnsi="Times New Roman" w:cs="Times New Roman"/>
                <w:b/>
                <w:bCs/>
                <w:sz w:val="16"/>
                <w:szCs w:val="16"/>
                <w:lang w:eastAsia="sk-SK"/>
              </w:rPr>
              <w:t>00 000</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4</w:t>
            </w:r>
            <w:r w:rsidRPr="006D3F5B">
              <w:rPr>
                <w:rFonts w:ascii="Times New Roman" w:eastAsia="Times New Roman" w:hAnsi="Times New Roman" w:cs="Times New Roman"/>
                <w:b/>
                <w:bCs/>
                <w:sz w:val="16"/>
                <w:szCs w:val="16"/>
                <w:lang w:eastAsia="sk-SK"/>
              </w:rPr>
              <w:t>50 000</w:t>
            </w:r>
          </w:p>
        </w:tc>
        <w:tc>
          <w:tcPr>
            <w:tcW w:w="794" w:type="dxa"/>
            <w:tcBorders>
              <w:top w:val="nil"/>
              <w:left w:val="nil"/>
              <w:bottom w:val="single" w:sz="4" w:space="0" w:color="auto"/>
              <w:right w:val="nil"/>
            </w:tcBorders>
            <w:shd w:val="clear" w:color="auto" w:fill="auto"/>
            <w:vAlign w:val="center"/>
            <w:hideMark/>
          </w:tcPr>
          <w:p w:rsidR="00AA17E3" w:rsidRPr="006D3F5B" w:rsidRDefault="00AA17E3" w:rsidP="00AA17E3">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6</w:t>
            </w:r>
            <w:r w:rsidRPr="006D3F5B">
              <w:rPr>
                <w:rFonts w:ascii="Times New Roman" w:eastAsia="Times New Roman" w:hAnsi="Times New Roman" w:cs="Times New Roman"/>
                <w:b/>
                <w:bCs/>
                <w:sz w:val="16"/>
                <w:szCs w:val="16"/>
                <w:lang w:eastAsia="sk-SK"/>
              </w:rPr>
              <w:t>50 000</w:t>
            </w:r>
          </w:p>
        </w:tc>
      </w:tr>
    </w:tbl>
    <w:p w:rsidR="00AA17E3" w:rsidRPr="00F7006D"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4"/>
          <w:szCs w:val="14"/>
          <w:lang w:eastAsia="cs-CZ"/>
        </w:rPr>
      </w:pPr>
      <w:r w:rsidRPr="006D0E08">
        <w:rPr>
          <w:rFonts w:ascii="Times New Roman" w:eastAsia="Times New Roman" w:hAnsi="Times New Roman" w:cs="Times New Roman"/>
          <w:color w:val="000000" w:themeColor="text1"/>
          <w:sz w:val="14"/>
          <w:szCs w:val="14"/>
          <w:lang w:eastAsia="cs-CZ"/>
        </w:rPr>
        <w:t>*</w:t>
      </w:r>
      <w:r w:rsidRPr="00F7006D">
        <w:rPr>
          <w:rFonts w:ascii="Times New Roman" w:eastAsia="Times New Roman" w:hAnsi="Times New Roman" w:cs="Times New Roman"/>
          <w:color w:val="000000" w:themeColor="text1"/>
          <w:sz w:val="16"/>
          <w:szCs w:val="16"/>
          <w:lang w:eastAsia="cs-CZ"/>
        </w:rPr>
        <w:t xml:space="preserve"> </w:t>
      </w:r>
      <w:r w:rsidRPr="00F7006D">
        <w:rPr>
          <w:rFonts w:ascii="Times New Roman" w:eastAsia="Times New Roman" w:hAnsi="Times New Roman" w:cs="Times New Roman"/>
          <w:color w:val="000000" w:themeColor="text1"/>
          <w:sz w:val="14"/>
          <w:szCs w:val="14"/>
          <w:lang w:eastAsia="cs-CZ"/>
        </w:rPr>
        <w:t xml:space="preserve">v očakávanej skutočnosti v roku 2021 sú započítané výdavky súvisiace so zákonom č. 231/2021 Z. z., </w:t>
      </w:r>
      <w:r>
        <w:rPr>
          <w:rFonts w:ascii="Times New Roman" w:eastAsia="Times New Roman" w:hAnsi="Times New Roman" w:cs="Times New Roman"/>
          <w:color w:val="000000" w:themeColor="text1"/>
          <w:sz w:val="14"/>
          <w:szCs w:val="14"/>
          <w:lang w:eastAsia="cs-CZ"/>
        </w:rPr>
        <w:t xml:space="preserve">                                                                  </w:t>
      </w:r>
      <w:r w:rsidRPr="00797DE5">
        <w:rPr>
          <w:rFonts w:ascii="Times New Roman" w:eastAsia="Times New Roman" w:hAnsi="Times New Roman" w:cs="Times New Roman"/>
          <w:i/>
          <w:color w:val="000000"/>
          <w:sz w:val="16"/>
          <w:szCs w:val="16"/>
          <w:lang w:eastAsia="cs-CZ"/>
        </w:rPr>
        <w:t>Zdroj: MF SR</w:t>
      </w:r>
    </w:p>
    <w:p w:rsidR="00AA17E3" w:rsidRPr="00797DE5"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sz w:val="16"/>
          <w:szCs w:val="16"/>
          <w:lang w:eastAsia="cs-CZ"/>
        </w:rPr>
      </w:pPr>
      <w:r>
        <w:rPr>
          <w:rFonts w:ascii="Times New Roman" w:eastAsia="Times New Roman" w:hAnsi="Times New Roman" w:cs="Times New Roman"/>
          <w:color w:val="000000" w:themeColor="text1"/>
          <w:sz w:val="14"/>
          <w:szCs w:val="14"/>
          <w:lang w:eastAsia="cs-CZ"/>
        </w:rPr>
        <w:t xml:space="preserve">   </w:t>
      </w:r>
      <w:r w:rsidRPr="00F7006D">
        <w:rPr>
          <w:rFonts w:ascii="Times New Roman" w:eastAsia="Times New Roman" w:hAnsi="Times New Roman" w:cs="Times New Roman"/>
          <w:color w:val="000000" w:themeColor="text1"/>
          <w:sz w:val="14"/>
          <w:szCs w:val="14"/>
          <w:lang w:eastAsia="cs-CZ"/>
        </w:rPr>
        <w:t xml:space="preserve">ktorým sa mení a dopĺňa zákon č. 425/2020 Z. z.  o štátnom rozpočte na rok 2021 </w:t>
      </w:r>
      <w:r>
        <w:rPr>
          <w:rFonts w:ascii="Times New Roman" w:eastAsia="Times New Roman" w:hAnsi="Times New Roman" w:cs="Times New Roman"/>
          <w:color w:val="000000" w:themeColor="text1"/>
          <w:sz w:val="16"/>
          <w:szCs w:val="16"/>
          <w:lang w:eastAsia="cs-CZ"/>
        </w:rPr>
        <w:t xml:space="preserve">                                                                             </w:t>
      </w:r>
    </w:p>
    <w:p w:rsidR="00AA17E3" w:rsidRPr="00B8458A"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sz w:val="28"/>
          <w:szCs w:val="14"/>
          <w:lang w:eastAsia="cs-CZ"/>
        </w:rPr>
      </w:pPr>
      <w:r w:rsidRPr="006D0E08">
        <w:rPr>
          <w:rFonts w:ascii="Times New Roman" w:eastAsia="Times New Roman" w:hAnsi="Times New Roman" w:cs="Times New Roman"/>
          <w:color w:val="000000" w:themeColor="text1"/>
          <w:sz w:val="14"/>
          <w:szCs w:val="14"/>
          <w:lang w:eastAsia="cs-CZ"/>
        </w:rPr>
        <w:t xml:space="preserve">  </w:t>
      </w:r>
    </w:p>
    <w:p w:rsidR="00AA17E3" w:rsidRPr="00237291"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Podľa </w:t>
      </w:r>
      <w:r w:rsidRPr="00237291">
        <w:rPr>
          <w:rFonts w:ascii="Times New Roman" w:eastAsia="Times New Roman" w:hAnsi="Times New Roman" w:cs="Times New Roman"/>
          <w:color w:val="000000" w:themeColor="text1"/>
          <w:sz w:val="24"/>
          <w:szCs w:val="24"/>
          <w:lang w:eastAsia="cs-CZ"/>
        </w:rPr>
        <w:t>zákona č. 461/2003 Z. z. o sociálnom poistení v znení neskorších predpisov štát poskytuje v prípade platobnej neschopnosti niektorého zo základných fondov Sociálnej poisťovni finančnú výpomoc. V nadväznosti na očakávané príjmy z poistného sa z tohto titulu na rok 2022 v kapitole V</w:t>
      </w:r>
      <w:r>
        <w:rPr>
          <w:rFonts w:ascii="Times New Roman" w:eastAsia="Times New Roman" w:hAnsi="Times New Roman" w:cs="Times New Roman"/>
          <w:color w:val="000000" w:themeColor="text1"/>
          <w:sz w:val="24"/>
          <w:szCs w:val="24"/>
          <w:lang w:eastAsia="cs-CZ"/>
        </w:rPr>
        <w:t>šeobecná pokladničná správa</w:t>
      </w:r>
      <w:r w:rsidRPr="00237291">
        <w:rPr>
          <w:rFonts w:ascii="Times New Roman" w:eastAsia="Times New Roman" w:hAnsi="Times New Roman" w:cs="Times New Roman"/>
          <w:color w:val="000000" w:themeColor="text1"/>
          <w:sz w:val="24"/>
          <w:szCs w:val="24"/>
          <w:lang w:eastAsia="cs-CZ"/>
        </w:rPr>
        <w:t xml:space="preserve"> rozpočtuje transfer Sociálnej poisťovni v sume 400 mil. eur. Finančné prostriedky budú použité na riešenie deficitu v základnom fonde starobného poistenia. Výška transferu zo štátneho rozpočtu tiež zohľadňuje nevyhnutnú technickú rezervu finančných prostriedkov pre zachovanie platobnej schopnosti Sociálnej poisťovne ako celku.</w:t>
      </w:r>
    </w:p>
    <w:p w:rsidR="00756EC8" w:rsidRDefault="00756EC8"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FA7DE1" w:rsidRDefault="00FA7DE1"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p>
    <w:p w:rsidR="00AA17E3" w:rsidRPr="00797DE5" w:rsidRDefault="00AA17E3" w:rsidP="00AA17E3">
      <w:pPr>
        <w:spacing w:after="0" w:line="240" w:lineRule="auto"/>
        <w:jc w:val="both"/>
        <w:rPr>
          <w:rFonts w:ascii="Times New Roman" w:eastAsia="Times New Roman" w:hAnsi="Times New Roman" w:cs="Times New Roman"/>
          <w:b/>
          <w:bCs/>
          <w:iCs/>
          <w:color w:val="5B9BD5" w:themeColor="accent1"/>
          <w:sz w:val="24"/>
          <w:szCs w:val="24"/>
          <w:lang w:eastAsia="sk-SK"/>
        </w:rPr>
      </w:pPr>
      <w:r w:rsidRPr="00797DE5">
        <w:rPr>
          <w:rFonts w:ascii="Times New Roman" w:eastAsia="Times New Roman" w:hAnsi="Times New Roman" w:cs="Times New Roman"/>
          <w:b/>
          <w:bCs/>
          <w:iCs/>
          <w:color w:val="5B9BD5" w:themeColor="accent1"/>
          <w:sz w:val="24"/>
          <w:szCs w:val="24"/>
          <w:lang w:eastAsia="sk-SK"/>
        </w:rPr>
        <w:t>Ostatné výdavky</w:t>
      </w:r>
    </w:p>
    <w:p w:rsidR="00AA17E3" w:rsidRPr="00797DE5" w:rsidRDefault="00AA17E3" w:rsidP="00AA17E3">
      <w:pPr>
        <w:spacing w:after="0" w:line="240" w:lineRule="auto"/>
        <w:jc w:val="both"/>
        <w:rPr>
          <w:rFonts w:ascii="Times New Roman" w:eastAsia="Times New Roman" w:hAnsi="Times New Roman" w:cs="Times New Roman"/>
          <w:b/>
          <w:iCs/>
          <w:sz w:val="24"/>
          <w:szCs w:val="24"/>
          <w:lang w:eastAsia="cs-CZ"/>
        </w:rPr>
      </w:pPr>
    </w:p>
    <w:p w:rsidR="00AA17E3" w:rsidRPr="00C20863" w:rsidRDefault="00AA17E3" w:rsidP="00AA17E3">
      <w:pPr>
        <w:spacing w:after="0" w:line="240" w:lineRule="auto"/>
        <w:jc w:val="both"/>
        <w:rPr>
          <w:rFonts w:ascii="Times New Roman" w:eastAsia="Times New Roman" w:hAnsi="Times New Roman" w:cs="Times New Roman"/>
          <w:sz w:val="24"/>
          <w:szCs w:val="24"/>
          <w:lang w:eastAsia="cs-CZ"/>
        </w:rPr>
      </w:pPr>
      <w:r w:rsidRPr="00C20863">
        <w:rPr>
          <w:rFonts w:ascii="Times New Roman" w:eastAsia="Times New Roman" w:hAnsi="Times New Roman" w:cs="Times New Roman"/>
          <w:sz w:val="24"/>
          <w:szCs w:val="24"/>
          <w:lang w:eastAsia="cs-CZ"/>
        </w:rPr>
        <w:t>Túto skupinu tvoria výdavky, ktoré z hľadiska ich prierezového charakteru nie je možné rozpočtovať v iných kapitolách alebo výdavky, ktoré majú neisté časové vymedzenie alebo výšku ich použitia. Na rok 2022 sa ostatné výdavky navrhujú v sume 1 8</w:t>
      </w:r>
      <w:r>
        <w:rPr>
          <w:rFonts w:ascii="Times New Roman" w:eastAsia="Times New Roman" w:hAnsi="Times New Roman" w:cs="Times New Roman"/>
          <w:sz w:val="24"/>
          <w:szCs w:val="24"/>
          <w:lang w:eastAsia="cs-CZ"/>
        </w:rPr>
        <w:t>97</w:t>
      </w:r>
      <w:r w:rsidRPr="00C20863">
        <w:rPr>
          <w:rFonts w:ascii="Times New Roman" w:eastAsia="Times New Roman" w:hAnsi="Times New Roman" w:cs="Times New Roman"/>
          <w:sz w:val="24"/>
          <w:szCs w:val="24"/>
          <w:lang w:eastAsia="cs-CZ"/>
        </w:rPr>
        <w:t xml:space="preserve"> mil. eur.</w:t>
      </w:r>
    </w:p>
    <w:p w:rsidR="00AA17E3" w:rsidRPr="008D1EF7" w:rsidRDefault="00AA17E3" w:rsidP="00AA17E3">
      <w:pPr>
        <w:spacing w:after="0" w:line="240" w:lineRule="auto"/>
        <w:jc w:val="both"/>
        <w:rPr>
          <w:rFonts w:ascii="Times New Roman" w:eastAsia="Times New Roman" w:hAnsi="Times New Roman" w:cs="Times New Roman"/>
          <w:color w:val="FF0000"/>
          <w:sz w:val="24"/>
          <w:szCs w:val="24"/>
          <w:lang w:eastAsia="cs-CZ"/>
        </w:rPr>
      </w:pPr>
    </w:p>
    <w:p w:rsidR="00AA17E3" w:rsidRDefault="00AA17E3" w:rsidP="00AA17E3">
      <w:pPr>
        <w:keepNext/>
        <w:spacing w:after="0" w:line="240" w:lineRule="auto"/>
        <w:rPr>
          <w:rFonts w:ascii="Times New Roman" w:hAnsi="Times New Roman" w:cs="Times New Roman"/>
          <w:b/>
          <w:iCs/>
          <w:color w:val="5B9BD5" w:themeColor="accent1"/>
          <w:sz w:val="20"/>
          <w:szCs w:val="20"/>
        </w:rPr>
      </w:pPr>
      <w:bookmarkStart w:id="529" w:name="_Toc84528470"/>
      <w:bookmarkStart w:id="530" w:name="_Toc84845346"/>
      <w:r w:rsidRPr="00797DE5">
        <w:rPr>
          <w:rFonts w:ascii="Times New Roman" w:hAnsi="Times New Roman" w:cs="Times New Roman"/>
          <w:b/>
          <w:iCs/>
          <w:color w:val="5B9BD5" w:themeColor="accent1"/>
          <w:sz w:val="20"/>
          <w:szCs w:val="20"/>
        </w:rPr>
        <w:t xml:space="preserve">Tabuľka </w:t>
      </w:r>
      <w:r w:rsidRPr="00797DE5">
        <w:rPr>
          <w:rFonts w:ascii="Times New Roman" w:hAnsi="Times New Roman" w:cs="Times New Roman"/>
          <w:b/>
          <w:iCs/>
          <w:color w:val="5B9BD5" w:themeColor="accent1"/>
          <w:sz w:val="20"/>
          <w:szCs w:val="20"/>
        </w:rPr>
        <w:fldChar w:fldCharType="begin"/>
      </w:r>
      <w:r w:rsidRPr="00797DE5">
        <w:rPr>
          <w:rFonts w:ascii="Times New Roman" w:hAnsi="Times New Roman" w:cs="Times New Roman"/>
          <w:b/>
          <w:iCs/>
          <w:color w:val="5B9BD5" w:themeColor="accent1"/>
          <w:sz w:val="20"/>
          <w:szCs w:val="20"/>
        </w:rPr>
        <w:instrText xml:space="preserve"> SEQ Tabuľka \* ARABIC </w:instrText>
      </w:r>
      <w:r w:rsidRPr="00797DE5">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122</w:t>
      </w:r>
      <w:r w:rsidRPr="00797DE5">
        <w:rPr>
          <w:rFonts w:ascii="Times New Roman" w:hAnsi="Times New Roman" w:cs="Times New Roman"/>
          <w:b/>
          <w:iCs/>
          <w:color w:val="5B9BD5" w:themeColor="accent1"/>
          <w:sz w:val="20"/>
          <w:szCs w:val="20"/>
        </w:rPr>
        <w:fldChar w:fldCharType="end"/>
      </w:r>
      <w:r w:rsidRPr="00797DE5">
        <w:rPr>
          <w:rFonts w:ascii="Times New Roman" w:hAnsi="Times New Roman" w:cs="Times New Roman"/>
          <w:b/>
          <w:iCs/>
          <w:color w:val="5B9BD5" w:themeColor="accent1"/>
          <w:sz w:val="20"/>
          <w:szCs w:val="20"/>
        </w:rPr>
        <w:t xml:space="preserve"> - Štruktúra ostatných výdavkov</w:t>
      </w:r>
      <w:bookmarkEnd w:id="529"/>
      <w:bookmarkEnd w:id="530"/>
    </w:p>
    <w:tbl>
      <w:tblPr>
        <w:tblW w:w="9171" w:type="dxa"/>
        <w:tblCellMar>
          <w:left w:w="70" w:type="dxa"/>
          <w:right w:w="70" w:type="dxa"/>
        </w:tblCellMar>
        <w:tblLook w:val="04A0" w:firstRow="1" w:lastRow="0" w:firstColumn="1" w:lastColumn="0" w:noHBand="0" w:noVBand="1"/>
      </w:tblPr>
      <w:tblGrid>
        <w:gridCol w:w="3572"/>
        <w:gridCol w:w="782"/>
        <w:gridCol w:w="782"/>
        <w:gridCol w:w="782"/>
        <w:gridCol w:w="907"/>
        <w:gridCol w:w="782"/>
        <w:gridCol w:w="782"/>
        <w:gridCol w:w="782"/>
      </w:tblGrid>
      <w:tr w:rsidR="00AA17E3" w:rsidRPr="007611DD" w:rsidTr="00AA17E3">
        <w:trPr>
          <w:trHeight w:val="331"/>
        </w:trPr>
        <w:tc>
          <w:tcPr>
            <w:tcW w:w="3572" w:type="dxa"/>
            <w:tcBorders>
              <w:top w:val="single" w:sz="4" w:space="0" w:color="auto"/>
              <w:left w:val="nil"/>
              <w:bottom w:val="single" w:sz="4" w:space="0" w:color="auto"/>
              <w:right w:val="nil"/>
            </w:tcBorders>
            <w:shd w:val="clear" w:color="auto" w:fill="auto"/>
            <w:noWrap/>
            <w:vAlign w:val="center"/>
            <w:hideMark/>
          </w:tcPr>
          <w:p w:rsidR="00AA17E3" w:rsidRPr="007611DD" w:rsidRDefault="00AA17E3" w:rsidP="00AA17E3">
            <w:pPr>
              <w:spacing w:after="0" w:line="240" w:lineRule="auto"/>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v tis. eur</w:t>
            </w:r>
          </w:p>
        </w:tc>
        <w:tc>
          <w:tcPr>
            <w:tcW w:w="782" w:type="dxa"/>
            <w:tcBorders>
              <w:top w:val="single" w:sz="4" w:space="0" w:color="auto"/>
              <w:left w:val="nil"/>
              <w:bottom w:val="single" w:sz="4" w:space="0" w:color="auto"/>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2019 S*</w:t>
            </w:r>
          </w:p>
        </w:tc>
        <w:tc>
          <w:tcPr>
            <w:tcW w:w="782" w:type="dxa"/>
            <w:tcBorders>
              <w:top w:val="single" w:sz="4" w:space="0" w:color="auto"/>
              <w:left w:val="nil"/>
              <w:bottom w:val="single" w:sz="4" w:space="0" w:color="auto"/>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2020 S*</w:t>
            </w:r>
          </w:p>
        </w:tc>
        <w:tc>
          <w:tcPr>
            <w:tcW w:w="782" w:type="dxa"/>
            <w:tcBorders>
              <w:top w:val="single" w:sz="4" w:space="0" w:color="auto"/>
              <w:left w:val="nil"/>
              <w:bottom w:val="single" w:sz="4" w:space="0" w:color="auto"/>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2021 R</w:t>
            </w:r>
          </w:p>
        </w:tc>
        <w:tc>
          <w:tcPr>
            <w:tcW w:w="907" w:type="dxa"/>
            <w:tcBorders>
              <w:top w:val="single" w:sz="4" w:space="0" w:color="auto"/>
              <w:left w:val="nil"/>
              <w:bottom w:val="single" w:sz="4" w:space="0" w:color="auto"/>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2021 OS**</w:t>
            </w:r>
          </w:p>
        </w:tc>
        <w:tc>
          <w:tcPr>
            <w:tcW w:w="782" w:type="dxa"/>
            <w:tcBorders>
              <w:top w:val="single" w:sz="4" w:space="0" w:color="auto"/>
              <w:left w:val="nil"/>
              <w:bottom w:val="single" w:sz="4" w:space="0" w:color="auto"/>
              <w:right w:val="nil"/>
            </w:tcBorders>
            <w:shd w:val="clear" w:color="auto" w:fill="auto"/>
            <w:noWrap/>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2022 N</w:t>
            </w:r>
          </w:p>
        </w:tc>
        <w:tc>
          <w:tcPr>
            <w:tcW w:w="782" w:type="dxa"/>
            <w:tcBorders>
              <w:top w:val="single" w:sz="4" w:space="0" w:color="auto"/>
              <w:left w:val="nil"/>
              <w:bottom w:val="single" w:sz="4" w:space="0" w:color="auto"/>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2023 N</w:t>
            </w:r>
          </w:p>
        </w:tc>
        <w:tc>
          <w:tcPr>
            <w:tcW w:w="782" w:type="dxa"/>
            <w:tcBorders>
              <w:top w:val="single" w:sz="4" w:space="0" w:color="auto"/>
              <w:left w:val="nil"/>
              <w:bottom w:val="single" w:sz="4" w:space="0" w:color="auto"/>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2024 N</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Ostatné</w:t>
            </w:r>
            <w:r>
              <w:rPr>
                <w:rFonts w:ascii="Times New Roman" w:eastAsia="Times New Roman" w:hAnsi="Times New Roman" w:cs="Times New Roman"/>
                <w:b/>
                <w:bCs/>
                <w:sz w:val="16"/>
                <w:szCs w:val="16"/>
                <w:lang w:eastAsia="sk-SK"/>
              </w:rPr>
              <w:t xml:space="preserve"> výdavky</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99 350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1 663 518</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1 703 764</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b/>
                <w:bCs/>
                <w:sz w:val="16"/>
                <w:szCs w:val="16"/>
                <w:lang w:eastAsia="sk-SK"/>
              </w:rPr>
            </w:pPr>
            <w:r w:rsidRPr="007611DD">
              <w:rPr>
                <w:rFonts w:ascii="Times New Roman" w:eastAsia="Times New Roman" w:hAnsi="Times New Roman" w:cs="Times New Roman"/>
                <w:b/>
                <w:bCs/>
                <w:sz w:val="16"/>
                <w:szCs w:val="16"/>
                <w:lang w:eastAsia="sk-SK"/>
              </w:rPr>
              <w:t>884 356</w:t>
            </w:r>
          </w:p>
        </w:tc>
        <w:tc>
          <w:tcPr>
            <w:tcW w:w="782" w:type="dxa"/>
            <w:tcBorders>
              <w:top w:val="nil"/>
              <w:left w:val="nil"/>
              <w:bottom w:val="nil"/>
              <w:right w:val="nil"/>
            </w:tcBorders>
            <w:shd w:val="clear" w:color="auto" w:fill="auto"/>
            <w:vAlign w:val="center"/>
            <w:hideMark/>
          </w:tcPr>
          <w:p w:rsidR="00AA17E3" w:rsidRPr="00C20863" w:rsidRDefault="00AA17E3" w:rsidP="00AA17E3">
            <w:pPr>
              <w:spacing w:after="0" w:line="240" w:lineRule="auto"/>
              <w:jc w:val="right"/>
              <w:rPr>
                <w:rFonts w:ascii="Times New Roman" w:eastAsia="Times New Roman" w:hAnsi="Times New Roman" w:cs="Times New Roman"/>
                <w:b/>
                <w:bCs/>
                <w:sz w:val="16"/>
                <w:szCs w:val="16"/>
                <w:lang w:eastAsia="sk-SK"/>
              </w:rPr>
            </w:pPr>
            <w:r w:rsidRPr="00C20863">
              <w:rPr>
                <w:rFonts w:ascii="Times New Roman" w:hAnsi="Times New Roman" w:cs="Times New Roman"/>
                <w:b/>
                <w:bCs/>
                <w:sz w:val="16"/>
                <w:szCs w:val="16"/>
              </w:rPr>
              <w:t>1 897 387</w:t>
            </w:r>
          </w:p>
        </w:tc>
        <w:tc>
          <w:tcPr>
            <w:tcW w:w="782" w:type="dxa"/>
            <w:tcBorders>
              <w:top w:val="nil"/>
              <w:left w:val="nil"/>
              <w:bottom w:val="nil"/>
              <w:right w:val="nil"/>
            </w:tcBorders>
            <w:shd w:val="clear" w:color="auto" w:fill="auto"/>
            <w:vAlign w:val="center"/>
            <w:hideMark/>
          </w:tcPr>
          <w:p w:rsidR="00AA17E3" w:rsidRPr="00C20863" w:rsidRDefault="00AA17E3" w:rsidP="00AA17E3">
            <w:pPr>
              <w:spacing w:after="0" w:line="240" w:lineRule="auto"/>
              <w:jc w:val="right"/>
              <w:rPr>
                <w:rFonts w:ascii="Times New Roman" w:eastAsia="Times New Roman" w:hAnsi="Times New Roman" w:cs="Times New Roman"/>
                <w:b/>
                <w:bCs/>
                <w:sz w:val="16"/>
                <w:szCs w:val="16"/>
                <w:lang w:eastAsia="sk-SK"/>
              </w:rPr>
            </w:pPr>
            <w:r w:rsidRPr="00C20863">
              <w:rPr>
                <w:rFonts w:ascii="Times New Roman" w:hAnsi="Times New Roman" w:cs="Times New Roman"/>
                <w:b/>
                <w:bCs/>
                <w:sz w:val="16"/>
                <w:szCs w:val="16"/>
              </w:rPr>
              <w:t>1 881 923</w:t>
            </w:r>
          </w:p>
        </w:tc>
        <w:tc>
          <w:tcPr>
            <w:tcW w:w="782" w:type="dxa"/>
            <w:tcBorders>
              <w:top w:val="nil"/>
              <w:left w:val="nil"/>
              <w:bottom w:val="nil"/>
              <w:right w:val="nil"/>
            </w:tcBorders>
            <w:shd w:val="clear" w:color="auto" w:fill="auto"/>
            <w:vAlign w:val="center"/>
            <w:hideMark/>
          </w:tcPr>
          <w:p w:rsidR="00AA17E3" w:rsidRPr="00C20863" w:rsidRDefault="00AA17E3" w:rsidP="00AA17E3">
            <w:pPr>
              <w:spacing w:after="0" w:line="240" w:lineRule="auto"/>
              <w:jc w:val="right"/>
              <w:rPr>
                <w:rFonts w:ascii="Times New Roman" w:eastAsia="Times New Roman" w:hAnsi="Times New Roman" w:cs="Times New Roman"/>
                <w:b/>
                <w:bCs/>
                <w:sz w:val="16"/>
                <w:szCs w:val="16"/>
                <w:lang w:eastAsia="sk-SK"/>
              </w:rPr>
            </w:pPr>
            <w:r w:rsidRPr="00C20863">
              <w:rPr>
                <w:rFonts w:ascii="Times New Roman" w:hAnsi="Times New Roman" w:cs="Times New Roman"/>
                <w:b/>
                <w:bCs/>
                <w:sz w:val="16"/>
                <w:szCs w:val="16"/>
              </w:rPr>
              <w:t>1 774 936</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Úhrada majetkovej ujmy SLSP, a. s. a SZRB, a. s.    </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443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354</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4 347</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4 347</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2 632</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1 035</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383</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Príspevky politickým stranám a politickým hnutiam</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9 224</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39 632</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11 900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11 695</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11 700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11 700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50 000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dotácie</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13 524</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3 300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3 300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5 000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5 000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5 000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Štátny príspevok pre mladomanželov na mladomanželské úvery</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Úhrada poplatkov Štátnej pokladnici</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administratívny poplatok EIB</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Dotácie na záchranu a obnovu kultúrnych pamiatok </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2 690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5 380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5 380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5 380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2 690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2 690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2 690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Zahraničná ekonomická pomoc</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5 702</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2 937</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7 600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7 600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multilicenčnú zmluvu s Microsoft</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18 534</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18 462</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18 534</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18 534</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18 534</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Ročné zúčtovanie poistného plateného štátom</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10 000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športovú infraštruk</w:t>
            </w:r>
            <w:r>
              <w:rPr>
                <w:rFonts w:ascii="Times New Roman" w:eastAsia="Times New Roman" w:hAnsi="Times New Roman" w:cs="Times New Roman"/>
                <w:sz w:val="16"/>
                <w:szCs w:val="16"/>
                <w:lang w:eastAsia="sk-SK"/>
              </w:rPr>
              <w:t>t</w:t>
            </w:r>
            <w:r w:rsidRPr="007611DD">
              <w:rPr>
                <w:rFonts w:ascii="Times New Roman" w:eastAsia="Times New Roman" w:hAnsi="Times New Roman" w:cs="Times New Roman"/>
                <w:sz w:val="16"/>
                <w:szCs w:val="16"/>
                <w:lang w:eastAsia="sk-SK"/>
              </w:rPr>
              <w:t>úru - NTC Košice a. s.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183/2017)</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3 000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vybrané investície - NCC</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športovú infraštruktúru - NCC (uzn.141/2019)</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800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9 500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zabezpečenie podujatí k výročiam M.R. Štefánika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57/2019)</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400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CUD (zákon č. 305/2013 Z. z.)</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10 460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31 800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31 800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31 800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EYOF Banská Bystrica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400/2019 v znení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93/2020)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5 100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1 900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1 900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9 063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rekonštrukciu NKP Rusovce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339/2018)</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29 924</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29 881</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24 929</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22 800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12 488</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Výdavky na rekonštrukciu budovy NS SR </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2 300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2 300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financovanie projektov hlavného mesta Bratislavy</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10 000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Výdavky na športovú infraštruktúru v Michalovciach (uzn. </w:t>
            </w:r>
            <w:r w:rsidR="00B373B3">
              <w:rPr>
                <w:rFonts w:ascii="Times New Roman" w:eastAsia="Times New Roman" w:hAnsi="Times New Roman" w:cs="Times New Roman"/>
                <w:sz w:val="16"/>
                <w:szCs w:val="16"/>
                <w:lang w:eastAsia="sk-SK"/>
              </w:rPr>
              <w:t xml:space="preserve">vl. </w:t>
            </w:r>
            <w:r w:rsidRPr="007611DD">
              <w:rPr>
                <w:rFonts w:ascii="Times New Roman" w:eastAsia="Times New Roman" w:hAnsi="Times New Roman" w:cs="Times New Roman"/>
                <w:sz w:val="16"/>
                <w:szCs w:val="16"/>
                <w:lang w:eastAsia="sk-SK"/>
              </w:rPr>
              <w:t>515/2019)</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650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650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452"/>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Výdavky na kongresové centrum (uzn. </w:t>
            </w:r>
            <w:r w:rsidR="00B373B3">
              <w:rPr>
                <w:rFonts w:ascii="Times New Roman" w:eastAsia="Times New Roman" w:hAnsi="Times New Roman" w:cs="Times New Roman"/>
                <w:sz w:val="16"/>
                <w:szCs w:val="16"/>
                <w:lang w:eastAsia="sk-SK"/>
              </w:rPr>
              <w:t xml:space="preserve">vl. </w:t>
            </w:r>
            <w:r w:rsidRPr="007611DD">
              <w:rPr>
                <w:rFonts w:ascii="Times New Roman" w:eastAsia="Times New Roman" w:hAnsi="Times New Roman" w:cs="Times New Roman"/>
                <w:sz w:val="16"/>
                <w:szCs w:val="16"/>
                <w:lang w:eastAsia="sk-SK"/>
              </w:rPr>
              <w:t>66/2020 v znení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397/2020 a uzn. </w:t>
            </w:r>
            <w:r w:rsidR="00B373B3">
              <w:rPr>
                <w:rFonts w:ascii="Times New Roman" w:eastAsia="Times New Roman" w:hAnsi="Times New Roman" w:cs="Times New Roman"/>
                <w:sz w:val="16"/>
                <w:szCs w:val="16"/>
                <w:lang w:eastAsia="sk-SK"/>
              </w:rPr>
              <w:t xml:space="preserve">vl. </w:t>
            </w:r>
            <w:r w:rsidRPr="007611DD">
              <w:rPr>
                <w:rFonts w:ascii="Times New Roman" w:eastAsia="Times New Roman" w:hAnsi="Times New Roman" w:cs="Times New Roman"/>
                <w:sz w:val="16"/>
                <w:szCs w:val="16"/>
                <w:lang w:eastAsia="sk-SK"/>
              </w:rPr>
              <w:t>629/2020)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2 000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0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Výdavky na rekonštrukciu Múzea moderného umenia A. Warhola (uzn. </w:t>
            </w:r>
            <w:r w:rsidR="00B373B3">
              <w:rPr>
                <w:rFonts w:ascii="Times New Roman" w:eastAsia="Times New Roman" w:hAnsi="Times New Roman" w:cs="Times New Roman"/>
                <w:sz w:val="16"/>
                <w:szCs w:val="16"/>
                <w:lang w:eastAsia="sk-SK"/>
              </w:rPr>
              <w:t xml:space="preserve">vl. </w:t>
            </w:r>
            <w:r w:rsidRPr="007611DD">
              <w:rPr>
                <w:rFonts w:ascii="Times New Roman" w:eastAsia="Times New Roman" w:hAnsi="Times New Roman" w:cs="Times New Roman"/>
                <w:sz w:val="16"/>
                <w:szCs w:val="16"/>
                <w:lang w:eastAsia="sk-SK"/>
              </w:rPr>
              <w:t>524/2019)</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4 000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4 000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1 100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46"/>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Výdavky na rozvoj hokeja a rekonštrukciu športovej infraštruktúry (uzn. </w:t>
            </w:r>
            <w:r w:rsidR="00B373B3">
              <w:rPr>
                <w:rFonts w:ascii="Times New Roman" w:eastAsia="Times New Roman" w:hAnsi="Times New Roman" w:cs="Times New Roman"/>
                <w:sz w:val="16"/>
                <w:szCs w:val="16"/>
                <w:lang w:eastAsia="sk-SK"/>
              </w:rPr>
              <w:t xml:space="preserve">vl. </w:t>
            </w:r>
            <w:r w:rsidRPr="007611DD">
              <w:rPr>
                <w:rFonts w:ascii="Times New Roman" w:eastAsia="Times New Roman" w:hAnsi="Times New Roman" w:cs="Times New Roman"/>
                <w:sz w:val="16"/>
                <w:szCs w:val="16"/>
                <w:lang w:eastAsia="sk-SK"/>
              </w:rPr>
              <w:t>28/2020)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14 000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Centrum pre riešenie finančných sporov</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1 400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1 400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1 000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600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vytvorenie autority pre Braillovo písmo</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153</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153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rekonštrukciu fontány v Bratislave (uzn.</w:t>
            </w:r>
            <w:r w:rsidR="00B373B3">
              <w:rPr>
                <w:rFonts w:ascii="Times New Roman" w:eastAsia="Times New Roman" w:hAnsi="Times New Roman" w:cs="Times New Roman"/>
                <w:sz w:val="16"/>
                <w:szCs w:val="16"/>
                <w:lang w:eastAsia="sk-SK"/>
              </w:rPr>
              <w:t xml:space="preserve"> vl.</w:t>
            </w:r>
            <w:r w:rsidRPr="007611DD">
              <w:rPr>
                <w:rFonts w:ascii="Times New Roman" w:eastAsia="Times New Roman" w:hAnsi="Times New Roman" w:cs="Times New Roman"/>
                <w:sz w:val="16"/>
                <w:szCs w:val="16"/>
                <w:lang w:eastAsia="sk-SK"/>
              </w:rPr>
              <w:t xml:space="preserve"> 574/2019)</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500</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500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 xml:space="preserve">Výdavky na budovanie analytických jednotiek </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15 485</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1 395</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nil"/>
              <w:right w:val="nil"/>
            </w:tcBorders>
            <w:shd w:val="clear" w:color="auto" w:fill="auto"/>
            <w:noWrap/>
            <w:vAlign w:val="bottom"/>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vybrané investície kapitol</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1 439 071</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551 178</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1 033 623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1 101 493</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1 116 604</w:t>
            </w:r>
          </w:p>
        </w:tc>
      </w:tr>
      <w:tr w:rsidR="00AA17E3" w:rsidRPr="007611DD" w:rsidTr="00AA17E3">
        <w:trPr>
          <w:trHeight w:val="331"/>
        </w:trPr>
        <w:tc>
          <w:tcPr>
            <w:tcW w:w="3572" w:type="dxa"/>
            <w:tcBorders>
              <w:top w:val="nil"/>
              <w:left w:val="nil"/>
              <w:bottom w:val="nil"/>
              <w:right w:val="nil"/>
            </w:tcBorders>
            <w:shd w:val="clear" w:color="auto" w:fill="auto"/>
            <w:noWrap/>
            <w:vAlign w:val="bottom"/>
            <w:hideMark/>
          </w:tcPr>
          <w:p w:rsidR="00AA17E3" w:rsidRPr="007611DD" w:rsidRDefault="00AA17E3" w:rsidP="00AA17E3">
            <w:pPr>
              <w:spacing w:after="0" w:line="240" w:lineRule="auto"/>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Výdavky na stravovanie na školách</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111 352</w:t>
            </w:r>
          </w:p>
        </w:tc>
        <w:tc>
          <w:tcPr>
            <w:tcW w:w="907"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c>
          <w:tcPr>
            <w:tcW w:w="782" w:type="dxa"/>
            <w:tcBorders>
              <w:top w:val="nil"/>
              <w:left w:val="nil"/>
              <w:bottom w:val="nil"/>
              <w:right w:val="nil"/>
            </w:tcBorders>
            <w:shd w:val="clear" w:color="auto" w:fill="auto"/>
            <w:vAlign w:val="center"/>
            <w:hideMark/>
          </w:tcPr>
          <w:p w:rsidR="00AA17E3" w:rsidRPr="007611DD" w:rsidRDefault="00AA17E3" w:rsidP="00AA17E3">
            <w:pPr>
              <w:spacing w:after="0" w:line="240" w:lineRule="auto"/>
              <w:jc w:val="right"/>
              <w:rPr>
                <w:rFonts w:ascii="Times New Roman" w:eastAsia="Times New Roman" w:hAnsi="Times New Roman" w:cs="Times New Roman"/>
                <w:sz w:val="16"/>
                <w:szCs w:val="16"/>
                <w:lang w:eastAsia="sk-SK"/>
              </w:rPr>
            </w:pPr>
            <w:r w:rsidRPr="007611DD">
              <w:rPr>
                <w:rFonts w:ascii="Times New Roman" w:eastAsia="Times New Roman" w:hAnsi="Times New Roman" w:cs="Times New Roman"/>
                <w:sz w:val="16"/>
                <w:szCs w:val="16"/>
                <w:lang w:eastAsia="sk-SK"/>
              </w:rPr>
              <w:t>0</w:t>
            </w:r>
          </w:p>
        </w:tc>
      </w:tr>
      <w:tr w:rsidR="00AA17E3" w:rsidRPr="007611DD" w:rsidTr="00AA17E3">
        <w:trPr>
          <w:trHeight w:val="331"/>
        </w:trPr>
        <w:tc>
          <w:tcPr>
            <w:tcW w:w="3572" w:type="dxa"/>
            <w:tcBorders>
              <w:top w:val="nil"/>
              <w:left w:val="nil"/>
              <w:bottom w:val="single" w:sz="4" w:space="0" w:color="auto"/>
              <w:right w:val="nil"/>
            </w:tcBorders>
            <w:shd w:val="clear" w:color="auto" w:fill="auto"/>
            <w:noWrap/>
            <w:vAlign w:val="bottom"/>
          </w:tcPr>
          <w:p w:rsidR="00AA17E3" w:rsidRPr="001F09D2" w:rsidRDefault="00AA17E3" w:rsidP="00AA17E3">
            <w:pPr>
              <w:spacing w:after="0" w:line="240" w:lineRule="auto"/>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Výdavky na ekonomické opatrenia a podporu ekonomiky</w:t>
            </w:r>
          </w:p>
        </w:tc>
        <w:tc>
          <w:tcPr>
            <w:tcW w:w="782"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0</w:t>
            </w:r>
          </w:p>
        </w:tc>
        <w:tc>
          <w:tcPr>
            <w:tcW w:w="782"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0</w:t>
            </w:r>
          </w:p>
        </w:tc>
        <w:tc>
          <w:tcPr>
            <w:tcW w:w="782"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0</w:t>
            </w:r>
          </w:p>
        </w:tc>
        <w:tc>
          <w:tcPr>
            <w:tcW w:w="907"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0</w:t>
            </w:r>
          </w:p>
        </w:tc>
        <w:tc>
          <w:tcPr>
            <w:tcW w:w="782"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754 909</w:t>
            </w:r>
          </w:p>
        </w:tc>
        <w:tc>
          <w:tcPr>
            <w:tcW w:w="782"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685 863</w:t>
            </w:r>
          </w:p>
        </w:tc>
        <w:tc>
          <w:tcPr>
            <w:tcW w:w="782" w:type="dxa"/>
            <w:tcBorders>
              <w:top w:val="nil"/>
              <w:left w:val="nil"/>
              <w:bottom w:val="single" w:sz="4" w:space="0" w:color="auto"/>
              <w:right w:val="nil"/>
            </w:tcBorders>
            <w:shd w:val="clear" w:color="auto" w:fill="auto"/>
            <w:vAlign w:val="center"/>
          </w:tcPr>
          <w:p w:rsidR="00AA17E3" w:rsidRPr="001F09D2" w:rsidRDefault="00AA17E3" w:rsidP="00AA17E3">
            <w:pPr>
              <w:spacing w:after="0" w:line="240" w:lineRule="auto"/>
              <w:jc w:val="right"/>
              <w:rPr>
                <w:rFonts w:ascii="Times New Roman" w:eastAsia="Times New Roman" w:hAnsi="Times New Roman" w:cs="Times New Roman"/>
                <w:sz w:val="16"/>
                <w:szCs w:val="16"/>
                <w:lang w:eastAsia="sk-SK"/>
              </w:rPr>
            </w:pPr>
            <w:r w:rsidRPr="001F09D2">
              <w:rPr>
                <w:rFonts w:ascii="Times New Roman" w:hAnsi="Times New Roman" w:cs="Times New Roman"/>
                <w:sz w:val="16"/>
                <w:szCs w:val="16"/>
              </w:rPr>
              <w:t>536 829</w:t>
            </w:r>
          </w:p>
        </w:tc>
      </w:tr>
    </w:tbl>
    <w:p w:rsidR="00AA17E3" w:rsidRPr="00EE3B03"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6"/>
          <w:szCs w:val="16"/>
          <w:lang w:eastAsia="cs-CZ"/>
        </w:rPr>
      </w:pPr>
      <w:r w:rsidRPr="00EE3B03">
        <w:rPr>
          <w:rFonts w:ascii="Times New Roman" w:eastAsia="Times New Roman" w:hAnsi="Times New Roman" w:cs="Times New Roman"/>
          <w:color w:val="000000" w:themeColor="text1"/>
          <w:sz w:val="16"/>
          <w:szCs w:val="16"/>
          <w:lang w:eastAsia="cs-CZ"/>
        </w:rPr>
        <w:t>*</w:t>
      </w:r>
      <w:r>
        <w:rPr>
          <w:rFonts w:ascii="Times New Roman" w:eastAsia="Times New Roman" w:hAnsi="Times New Roman" w:cs="Times New Roman"/>
          <w:color w:val="000000" w:themeColor="text1"/>
          <w:sz w:val="16"/>
          <w:szCs w:val="16"/>
          <w:lang w:eastAsia="cs-CZ"/>
        </w:rPr>
        <w:t xml:space="preserve">  v skutočnosti sú započítané výdavky, ktoré neboli rozpočtované v roku 2019 a </w:t>
      </w:r>
      <w:r w:rsidRPr="0066156F">
        <w:rPr>
          <w:rFonts w:ascii="Times New Roman" w:eastAsia="Times New Roman" w:hAnsi="Times New Roman" w:cs="Times New Roman"/>
          <w:color w:val="000000" w:themeColor="text1"/>
          <w:sz w:val="16"/>
          <w:szCs w:val="16"/>
          <w:lang w:eastAsia="cs-CZ"/>
        </w:rPr>
        <w:t xml:space="preserve">2020                                                               </w:t>
      </w:r>
      <w:r w:rsidRPr="0066156F">
        <w:rPr>
          <w:rFonts w:ascii="Times New Roman" w:eastAsia="Times New Roman" w:hAnsi="Times New Roman" w:cs="Times New Roman"/>
          <w:i/>
          <w:color w:val="000000"/>
          <w:sz w:val="16"/>
          <w:szCs w:val="16"/>
          <w:lang w:eastAsia="cs-CZ"/>
        </w:rPr>
        <w:t>Zdroj: MF</w:t>
      </w:r>
      <w:r w:rsidRPr="0066156F">
        <w:rPr>
          <w:rFonts w:ascii="Times New Roman" w:eastAsia="Times New Roman" w:hAnsi="Times New Roman" w:cs="Times New Roman"/>
          <w:color w:val="000000" w:themeColor="text1"/>
          <w:sz w:val="16"/>
          <w:szCs w:val="16"/>
          <w:lang w:eastAsia="cs-CZ"/>
        </w:rPr>
        <w:t xml:space="preserve"> </w:t>
      </w:r>
      <w:r w:rsidRPr="0066156F">
        <w:rPr>
          <w:rFonts w:ascii="Times New Roman" w:eastAsia="Times New Roman" w:hAnsi="Times New Roman" w:cs="Times New Roman"/>
          <w:i/>
          <w:color w:val="000000"/>
          <w:sz w:val="16"/>
          <w:szCs w:val="16"/>
          <w:lang w:eastAsia="cs-CZ"/>
        </w:rPr>
        <w:t xml:space="preserve">SR                                                                               </w:t>
      </w:r>
    </w:p>
    <w:p w:rsidR="00AA17E3"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6"/>
          <w:szCs w:val="16"/>
          <w:lang w:eastAsia="cs-CZ"/>
        </w:rPr>
      </w:pPr>
      <w:r>
        <w:rPr>
          <w:rFonts w:ascii="Times New Roman" w:eastAsia="Times New Roman" w:hAnsi="Times New Roman" w:cs="Times New Roman"/>
          <w:color w:val="000000" w:themeColor="text1"/>
          <w:sz w:val="16"/>
          <w:szCs w:val="16"/>
          <w:lang w:eastAsia="cs-CZ"/>
        </w:rPr>
        <w:t>*</w:t>
      </w:r>
      <w:r w:rsidRPr="00797DE5">
        <w:rPr>
          <w:rFonts w:ascii="Times New Roman" w:eastAsia="Times New Roman" w:hAnsi="Times New Roman" w:cs="Times New Roman"/>
          <w:color w:val="000000" w:themeColor="text1"/>
          <w:sz w:val="16"/>
          <w:szCs w:val="16"/>
          <w:lang w:eastAsia="cs-CZ"/>
        </w:rPr>
        <w:t>*v oč</w:t>
      </w:r>
      <w:r>
        <w:rPr>
          <w:rFonts w:ascii="Times New Roman" w:eastAsia="Times New Roman" w:hAnsi="Times New Roman" w:cs="Times New Roman"/>
          <w:color w:val="000000" w:themeColor="text1"/>
          <w:sz w:val="16"/>
          <w:szCs w:val="16"/>
          <w:lang w:eastAsia="cs-CZ"/>
        </w:rPr>
        <w:t>akávanej skutočnosti v roku 2021</w:t>
      </w:r>
      <w:r w:rsidRPr="00797DE5">
        <w:rPr>
          <w:rFonts w:ascii="Times New Roman" w:eastAsia="Times New Roman" w:hAnsi="Times New Roman" w:cs="Times New Roman"/>
          <w:color w:val="000000" w:themeColor="text1"/>
          <w:sz w:val="16"/>
          <w:szCs w:val="16"/>
          <w:lang w:eastAsia="cs-CZ"/>
        </w:rPr>
        <w:t xml:space="preserve"> sú započítané výdavky súvisiace s</w:t>
      </w:r>
      <w:r>
        <w:rPr>
          <w:rFonts w:ascii="Times New Roman" w:eastAsia="Times New Roman" w:hAnsi="Times New Roman" w:cs="Times New Roman"/>
          <w:color w:val="000000" w:themeColor="text1"/>
          <w:sz w:val="16"/>
          <w:szCs w:val="16"/>
          <w:lang w:eastAsia="cs-CZ"/>
        </w:rPr>
        <w:t xml:space="preserve">o zákonom č. 231/2021 Z. z., </w:t>
      </w:r>
    </w:p>
    <w:p w:rsidR="00AA17E3" w:rsidRPr="00EE3B03" w:rsidRDefault="00AA17E3" w:rsidP="00AA17E3">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sz w:val="16"/>
          <w:szCs w:val="16"/>
          <w:lang w:eastAsia="cs-CZ"/>
        </w:rPr>
      </w:pPr>
      <w:r>
        <w:rPr>
          <w:rFonts w:ascii="Times New Roman" w:eastAsia="Times New Roman" w:hAnsi="Times New Roman" w:cs="Times New Roman"/>
          <w:color w:val="000000" w:themeColor="text1"/>
          <w:sz w:val="16"/>
          <w:szCs w:val="16"/>
          <w:lang w:eastAsia="cs-CZ"/>
        </w:rPr>
        <w:t xml:space="preserve">    ktorým sa mení a dopĺňa </w:t>
      </w:r>
      <w:r w:rsidRPr="00E70EDD">
        <w:rPr>
          <w:rFonts w:ascii="Times New Roman" w:eastAsia="Times New Roman" w:hAnsi="Times New Roman" w:cs="Times New Roman"/>
          <w:color w:val="000000" w:themeColor="text1"/>
          <w:sz w:val="16"/>
          <w:szCs w:val="16"/>
          <w:lang w:eastAsia="cs-CZ"/>
        </w:rPr>
        <w:t>zákon č. 425/2020 Z. z.</w:t>
      </w:r>
      <w:r w:rsidRPr="00797DE5">
        <w:rPr>
          <w:rFonts w:ascii="Times New Roman" w:eastAsia="Times New Roman" w:hAnsi="Times New Roman" w:cs="Times New Roman"/>
          <w:color w:val="000000" w:themeColor="text1"/>
          <w:sz w:val="16"/>
          <w:szCs w:val="16"/>
          <w:lang w:eastAsia="cs-CZ"/>
        </w:rPr>
        <w:t xml:space="preserve"> </w:t>
      </w:r>
      <w:r>
        <w:rPr>
          <w:rFonts w:ascii="Times New Roman" w:eastAsia="Times New Roman" w:hAnsi="Times New Roman" w:cs="Times New Roman"/>
          <w:color w:val="000000" w:themeColor="text1"/>
          <w:sz w:val="16"/>
          <w:szCs w:val="16"/>
          <w:lang w:eastAsia="cs-CZ"/>
        </w:rPr>
        <w:t xml:space="preserve"> o štátnom rozpočte na rok 2021 a zdroje z predchádzajúcich rokov</w:t>
      </w:r>
    </w:p>
    <w:p w:rsidR="00AA17E3" w:rsidRDefault="00AA17E3" w:rsidP="00AA17E3">
      <w:pPr>
        <w:spacing w:after="0" w:line="240" w:lineRule="auto"/>
        <w:jc w:val="both"/>
        <w:rPr>
          <w:rFonts w:ascii="Times New Roman" w:hAnsi="Times New Roman" w:cs="Times New Roman"/>
          <w:color w:val="5B9BD5" w:themeColor="accent1"/>
          <w:sz w:val="24"/>
          <w:szCs w:val="24"/>
        </w:rPr>
      </w:pPr>
    </w:p>
    <w:p w:rsidR="00AA17E3" w:rsidRPr="00C20863" w:rsidRDefault="00AA17E3" w:rsidP="00AA17E3">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Významnú</w:t>
      </w:r>
      <w:r w:rsidRPr="00C20863">
        <w:rPr>
          <w:rFonts w:ascii="Times New Roman" w:eastAsia="Times New Roman" w:hAnsi="Times New Roman" w:cs="Times New Roman"/>
          <w:sz w:val="24"/>
          <w:szCs w:val="24"/>
          <w:lang w:eastAsia="cs-CZ"/>
        </w:rPr>
        <w:t xml:space="preserve"> časť ostatných výdavkov predstavujú výdavky na vybrané investície kapitol v objeme 1 034 mil. eur. Investície a projekty investičného charakteru nad 1 mil. eur prechádzajú v súlade s uznesením vlády č. 649/2020 ekonomickým hodnotením Ministerstva financií SR a do rozpočtu príslušných kapitol budú zaradené po zohľadnení rozpočtových možností a po preukázaní ich pripravenosti a ekonomickej návratnosti. Týmto výdavkom sa podrobne venuje časť Investície.</w:t>
      </w:r>
    </w:p>
    <w:p w:rsidR="00AA17E3" w:rsidRPr="008D1EF7" w:rsidRDefault="00AA17E3" w:rsidP="00AA17E3">
      <w:pPr>
        <w:spacing w:after="0" w:line="240" w:lineRule="auto"/>
        <w:jc w:val="both"/>
        <w:rPr>
          <w:rFonts w:ascii="Times New Roman" w:eastAsia="Times New Roman" w:hAnsi="Times New Roman" w:cs="Times New Roman"/>
          <w:color w:val="FF0000"/>
          <w:sz w:val="24"/>
          <w:szCs w:val="24"/>
          <w:lang w:eastAsia="cs-CZ"/>
        </w:rPr>
      </w:pPr>
    </w:p>
    <w:p w:rsidR="00AA17E3" w:rsidRPr="00E8454A" w:rsidRDefault="00AA17E3" w:rsidP="00AA17E3">
      <w:pPr>
        <w:spacing w:after="0" w:line="240" w:lineRule="auto"/>
        <w:jc w:val="both"/>
        <w:rPr>
          <w:rFonts w:ascii="Times New Roman" w:eastAsia="Times New Roman" w:hAnsi="Times New Roman" w:cs="Times New Roman"/>
          <w:sz w:val="24"/>
          <w:szCs w:val="24"/>
          <w:lang w:eastAsia="cs-CZ"/>
        </w:rPr>
      </w:pPr>
      <w:r w:rsidRPr="008D6515">
        <w:rPr>
          <w:rFonts w:ascii="Times New Roman" w:eastAsia="Times New Roman" w:hAnsi="Times New Roman" w:cs="Times New Roman"/>
          <w:sz w:val="24"/>
          <w:szCs w:val="24"/>
          <w:lang w:eastAsia="cs-CZ"/>
        </w:rPr>
        <w:t>S cieľom podpory vybraných sektorov ekonomiky sa v roku 2022 rozpočtujú výdavky v celkovej sume 755 mil. eur. V rámci výdavkov na ekonomické opatrenia a podporu ekonomiky sú alokované výdavky na doplnenie štátnych finančných aktív</w:t>
      </w:r>
      <w:r w:rsidR="00396F5E">
        <w:rPr>
          <w:rFonts w:ascii="Times New Roman" w:eastAsia="Times New Roman" w:hAnsi="Times New Roman" w:cs="Times New Roman"/>
          <w:sz w:val="24"/>
          <w:szCs w:val="24"/>
          <w:lang w:eastAsia="cs-CZ"/>
        </w:rPr>
        <w:t xml:space="preserve"> (v sume 250 mil. eur)</w:t>
      </w:r>
      <w:r w:rsidRPr="008D6515">
        <w:rPr>
          <w:rFonts w:ascii="Times New Roman" w:eastAsia="Times New Roman" w:hAnsi="Times New Roman" w:cs="Times New Roman"/>
          <w:sz w:val="24"/>
          <w:szCs w:val="24"/>
          <w:lang w:eastAsia="cs-CZ"/>
        </w:rPr>
        <w:t xml:space="preserve"> pre prípad vytvorenia nových finančných nástrojov</w:t>
      </w:r>
      <w:r w:rsidR="00396F5E">
        <w:rPr>
          <w:rFonts w:ascii="Times New Roman" w:eastAsia="Times New Roman" w:hAnsi="Times New Roman" w:cs="Times New Roman"/>
          <w:sz w:val="24"/>
          <w:szCs w:val="24"/>
          <w:lang w:eastAsia="cs-CZ"/>
        </w:rPr>
        <w:t xml:space="preserve"> v oblasti pôdohospodárstva</w:t>
      </w:r>
      <w:r w:rsidRPr="008D6515">
        <w:rPr>
          <w:rFonts w:ascii="Times New Roman" w:eastAsia="Times New Roman" w:hAnsi="Times New Roman" w:cs="Times New Roman"/>
          <w:sz w:val="24"/>
          <w:szCs w:val="24"/>
          <w:lang w:eastAsia="cs-CZ"/>
        </w:rPr>
        <w:t xml:space="preserve">, </w:t>
      </w:r>
      <w:r w:rsidR="00396F5E">
        <w:rPr>
          <w:rFonts w:ascii="Times New Roman" w:eastAsia="Times New Roman" w:hAnsi="Times New Roman" w:cs="Times New Roman"/>
          <w:sz w:val="24"/>
          <w:szCs w:val="24"/>
          <w:lang w:eastAsia="cs-CZ"/>
        </w:rPr>
        <w:t xml:space="preserve">na </w:t>
      </w:r>
      <w:r w:rsidRPr="008D6515">
        <w:rPr>
          <w:rFonts w:ascii="Times New Roman" w:eastAsia="Times New Roman" w:hAnsi="Times New Roman" w:cs="Times New Roman"/>
          <w:sz w:val="24"/>
          <w:szCs w:val="24"/>
          <w:lang w:eastAsia="cs-CZ"/>
        </w:rPr>
        <w:t>zavedeni</w:t>
      </w:r>
      <w:r w:rsidR="00396F5E">
        <w:rPr>
          <w:rFonts w:ascii="Times New Roman" w:eastAsia="Times New Roman" w:hAnsi="Times New Roman" w:cs="Times New Roman"/>
          <w:sz w:val="24"/>
          <w:szCs w:val="24"/>
          <w:lang w:eastAsia="cs-CZ"/>
        </w:rPr>
        <w:t>e</w:t>
      </w:r>
      <w:r w:rsidRPr="008D6515">
        <w:rPr>
          <w:rFonts w:ascii="Times New Roman" w:eastAsia="Times New Roman" w:hAnsi="Times New Roman" w:cs="Times New Roman"/>
          <w:sz w:val="24"/>
          <w:szCs w:val="24"/>
          <w:lang w:eastAsia="cs-CZ"/>
        </w:rPr>
        <w:t xml:space="preserve"> opatrení v oblasti daňovo-odvodových politík a ďalšie výdavky s vplyvom na ekonomickú aktivitu právnických a fyzických osôb. Súčasne sa v tomto výdavkom titule rozpočtujú aj prostriedky na financovanie aktivít a investícií v rámci Plánu obnovy a odolnosti, ktoré bude na účely plnenia míľnikov a cieľov jednotlivých  reforiem nevyhnutné realizovať nad rámec výdavkov Plánu obnovy a odolnosti schválených v jednotlivých kapitolách.</w:t>
      </w:r>
      <w:r w:rsidRPr="00E8454A">
        <w:rPr>
          <w:rFonts w:ascii="Times New Roman" w:eastAsia="Times New Roman" w:hAnsi="Times New Roman" w:cs="Times New Roman"/>
          <w:sz w:val="24"/>
          <w:szCs w:val="24"/>
          <w:lang w:eastAsia="cs-CZ"/>
        </w:rPr>
        <w:t xml:space="preserve"> </w:t>
      </w:r>
    </w:p>
    <w:p w:rsidR="00AA17E3" w:rsidRPr="00797DE5" w:rsidRDefault="00AA17E3" w:rsidP="00AA17E3">
      <w:pPr>
        <w:spacing w:after="0" w:line="240" w:lineRule="auto"/>
        <w:jc w:val="both"/>
        <w:rPr>
          <w:rFonts w:ascii="Times New Roman" w:eastAsia="Times New Roman" w:hAnsi="Times New Roman" w:cs="Times New Roman"/>
          <w:sz w:val="24"/>
          <w:szCs w:val="24"/>
          <w:lang w:eastAsia="cs-CZ"/>
        </w:rPr>
      </w:pPr>
    </w:p>
    <w:p w:rsidR="00AA17E3" w:rsidRDefault="00AA17E3" w:rsidP="00AA17E3">
      <w:pPr>
        <w:spacing w:after="0" w:line="24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Zároveň sa tu rozpočtujú </w:t>
      </w:r>
      <w:r w:rsidRPr="00797DE5">
        <w:rPr>
          <w:rFonts w:ascii="Times New Roman" w:eastAsia="Times New Roman" w:hAnsi="Times New Roman" w:cs="Times New Roman"/>
          <w:color w:val="000000" w:themeColor="text1"/>
          <w:sz w:val="24"/>
          <w:szCs w:val="24"/>
          <w:lang w:eastAsia="cs-CZ"/>
        </w:rPr>
        <w:t>aj výdavky vyplývajúce zo všeobecne záväzných právnych predpisov ako sú príspevky politickým stranám a politickým hnutiam a štátny príspevok pre mladomanželov na mladomanželské úvery</w:t>
      </w:r>
      <w:r>
        <w:rPr>
          <w:rFonts w:ascii="Times New Roman" w:eastAsia="Times New Roman" w:hAnsi="Times New Roman" w:cs="Times New Roman"/>
          <w:color w:val="000000" w:themeColor="text1"/>
          <w:sz w:val="24"/>
          <w:szCs w:val="24"/>
          <w:lang w:eastAsia="cs-CZ"/>
        </w:rPr>
        <w:t xml:space="preserve"> a </w:t>
      </w:r>
      <w:r w:rsidRPr="00797DE5">
        <w:rPr>
          <w:rFonts w:ascii="Times New Roman" w:eastAsia="Times New Roman" w:hAnsi="Times New Roman" w:cs="Times New Roman"/>
          <w:color w:val="000000" w:themeColor="text1"/>
          <w:sz w:val="24"/>
          <w:szCs w:val="24"/>
          <w:lang w:eastAsia="cs-CZ"/>
        </w:rPr>
        <w:t>prostriedky na finančné krytie výdavkov priamo implikovaných prijatými uzneseniami vlády SR.</w:t>
      </w:r>
      <w:r>
        <w:rPr>
          <w:rFonts w:ascii="Times New Roman" w:eastAsia="Times New Roman" w:hAnsi="Times New Roman" w:cs="Times New Roman"/>
          <w:color w:val="000000" w:themeColor="text1"/>
          <w:sz w:val="24"/>
          <w:szCs w:val="24"/>
          <w:lang w:eastAsia="cs-CZ"/>
        </w:rPr>
        <w:t xml:space="preserve"> </w:t>
      </w:r>
    </w:p>
    <w:p w:rsidR="00AA17E3" w:rsidRPr="00E836C5" w:rsidRDefault="00AA17E3" w:rsidP="00AA17E3">
      <w:pPr>
        <w:spacing w:after="0" w:line="240" w:lineRule="auto"/>
        <w:jc w:val="both"/>
        <w:rPr>
          <w:rFonts w:ascii="Times New Roman" w:eastAsia="Times New Roman" w:hAnsi="Times New Roman" w:cs="Times New Roman"/>
          <w:b/>
          <w:bCs/>
          <w:iCs/>
          <w:color w:val="5B9BD5" w:themeColor="accent1"/>
          <w:sz w:val="24"/>
          <w:szCs w:val="24"/>
          <w:highlight w:val="yellow"/>
          <w:lang w:eastAsia="sk-SK"/>
        </w:rPr>
      </w:pPr>
    </w:p>
    <w:p w:rsidR="00AA17E3" w:rsidRPr="00B12D35" w:rsidRDefault="00AA17E3" w:rsidP="00AA17E3">
      <w:pPr>
        <w:pStyle w:val="Nadpis2"/>
        <w:spacing w:before="0" w:after="0"/>
        <w:rPr>
          <w:rFonts w:ascii="Times New Roman" w:hAnsi="Times New Roman"/>
          <w:b w:val="0"/>
          <w:i w:val="0"/>
          <w:color w:val="5B9BD5" w:themeColor="accent1"/>
          <w:sz w:val="24"/>
        </w:rPr>
      </w:pPr>
      <w:bookmarkStart w:id="531" w:name="_Toc494470090"/>
      <w:bookmarkStart w:id="532" w:name="_Toc494472266"/>
      <w:bookmarkStart w:id="533" w:name="_Toc526267691"/>
      <w:bookmarkStart w:id="534" w:name="_Toc53062622"/>
      <w:bookmarkStart w:id="535" w:name="_Toc53084680"/>
      <w:bookmarkStart w:id="536" w:name="_Toc84528345"/>
      <w:bookmarkStart w:id="537" w:name="_Toc84684768"/>
      <w:r w:rsidRPr="00B12D35">
        <w:rPr>
          <w:rFonts w:ascii="Times New Roman" w:hAnsi="Times New Roman"/>
          <w:i w:val="0"/>
          <w:color w:val="5B9BD5" w:themeColor="accent1"/>
          <w:sz w:val="24"/>
        </w:rPr>
        <w:t>4.12. Životné prostredi</w:t>
      </w:r>
      <w:bookmarkEnd w:id="531"/>
      <w:bookmarkEnd w:id="532"/>
      <w:bookmarkEnd w:id="533"/>
      <w:r w:rsidRPr="00B12D35">
        <w:rPr>
          <w:rFonts w:ascii="Times New Roman" w:hAnsi="Times New Roman"/>
          <w:i w:val="0"/>
          <w:color w:val="5B9BD5" w:themeColor="accent1"/>
          <w:sz w:val="24"/>
        </w:rPr>
        <w:t>e</w:t>
      </w:r>
      <w:bookmarkEnd w:id="534"/>
      <w:bookmarkEnd w:id="535"/>
      <w:bookmarkEnd w:id="536"/>
      <w:bookmarkEnd w:id="537"/>
    </w:p>
    <w:p w:rsidR="00AA17E3" w:rsidRPr="00E836C5" w:rsidRDefault="00AA17E3" w:rsidP="00AA17E3">
      <w:pPr>
        <w:spacing w:after="0" w:line="240" w:lineRule="auto"/>
        <w:jc w:val="both"/>
        <w:rPr>
          <w:rFonts w:ascii="Times New Roman" w:eastAsia="Calibri" w:hAnsi="Times New Roman" w:cs="Times New Roman"/>
          <w:bCs/>
          <w:sz w:val="24"/>
          <w:szCs w:val="24"/>
          <w:highlight w:val="yellow"/>
        </w:rPr>
      </w:pPr>
    </w:p>
    <w:p w:rsidR="00AA17E3" w:rsidRPr="0037771E" w:rsidRDefault="00AA17E3" w:rsidP="00AA17E3">
      <w:pPr>
        <w:spacing w:after="0" w:line="240" w:lineRule="auto"/>
        <w:jc w:val="both"/>
        <w:rPr>
          <w:rFonts w:ascii="Times New Roman" w:eastAsia="Calibri" w:hAnsi="Times New Roman" w:cs="Times New Roman"/>
          <w:bCs/>
          <w:sz w:val="24"/>
          <w:szCs w:val="24"/>
        </w:rPr>
      </w:pPr>
      <w:r w:rsidRPr="0037771E">
        <w:rPr>
          <w:rFonts w:ascii="Times New Roman" w:eastAsia="Calibri" w:hAnsi="Times New Roman" w:cs="Times New Roman"/>
          <w:bCs/>
          <w:sz w:val="24"/>
          <w:szCs w:val="24"/>
        </w:rPr>
        <w:t xml:space="preserve">Vláda v  životnom prostredí plní úlohy ochrany prírody, ovzdušia, vodného a odpadového hospodárstva či posudzovania vplyvov na životné prostredie. Za starostlivosť o chránené územia, správu jaskýň a ochranu rastlín a živočíchov je zodpovedná Štátna ochrana prírody Slovenskej republiky. Monitorovanie stavu ovzdušia a vôd vykonáva Slovenský hydrometeorologický ústav. Povoľovaciu a dozornú činnosť v ochrane ovzdušia, vôd </w:t>
      </w:r>
      <w:r w:rsidRPr="0037771E">
        <w:rPr>
          <w:rFonts w:ascii="Times New Roman" w:eastAsia="Calibri" w:hAnsi="Times New Roman" w:cs="Times New Roman"/>
          <w:bCs/>
          <w:sz w:val="24"/>
          <w:szCs w:val="24"/>
        </w:rPr>
        <w:br/>
        <w:t>či odpadovom hospodárstve zabezpečuje Ministerstvo životného prostredia SR spolu s okresnými úradmi a inšpekciou.  Dôležitými úlohami vlády sú tiež ochrana pred povodňami, vykonávanie geologického výskumu a prieskumu, posudzovanie vplyvov investičných projektov na životné prostredie a podpora environmentálnych projektov prostredníctvom Environmentálneho fondu.</w:t>
      </w:r>
    </w:p>
    <w:p w:rsidR="00AA17E3" w:rsidRPr="0037771E" w:rsidRDefault="00AA17E3" w:rsidP="00AA17E3">
      <w:pPr>
        <w:spacing w:after="0" w:line="240" w:lineRule="auto"/>
        <w:jc w:val="both"/>
        <w:rPr>
          <w:rFonts w:ascii="Times New Roman" w:eastAsia="Calibri" w:hAnsi="Times New Roman" w:cs="Times New Roman"/>
          <w:bCs/>
          <w:sz w:val="24"/>
          <w:szCs w:val="24"/>
        </w:rPr>
      </w:pPr>
    </w:p>
    <w:p w:rsidR="00AA17E3" w:rsidRDefault="00AA17E3" w:rsidP="00AA17E3">
      <w:pPr>
        <w:spacing w:after="0" w:line="240" w:lineRule="auto"/>
        <w:jc w:val="both"/>
        <w:rPr>
          <w:rFonts w:ascii="Times New Roman" w:eastAsia="Calibri" w:hAnsi="Times New Roman" w:cs="Times New Roman"/>
          <w:bCs/>
          <w:sz w:val="24"/>
          <w:szCs w:val="24"/>
        </w:rPr>
      </w:pPr>
      <w:r w:rsidRPr="0037771E">
        <w:rPr>
          <w:rFonts w:ascii="Times New Roman" w:eastAsia="Calibri" w:hAnsi="Times New Roman" w:cs="Times New Roman"/>
          <w:bCs/>
          <w:sz w:val="24"/>
          <w:szCs w:val="24"/>
        </w:rPr>
        <w:t>Výdavky na ochranu životného prostredia sú na Slovensku porovnateľné s priemerom krajín EÚ. Na živo</w:t>
      </w:r>
      <w:r>
        <w:rPr>
          <w:rFonts w:ascii="Times New Roman" w:eastAsia="Calibri" w:hAnsi="Times New Roman" w:cs="Times New Roman"/>
          <w:bCs/>
          <w:sz w:val="24"/>
          <w:szCs w:val="24"/>
        </w:rPr>
        <w:t xml:space="preserve">tné prostredie smerujú takmer 2 </w:t>
      </w:r>
      <w:r w:rsidRPr="0037771E">
        <w:rPr>
          <w:rFonts w:ascii="Times New Roman" w:eastAsia="Calibri" w:hAnsi="Times New Roman" w:cs="Times New Roman"/>
          <w:bCs/>
          <w:sz w:val="24"/>
          <w:szCs w:val="24"/>
        </w:rPr>
        <w:t xml:space="preserve">% verejných výdavkov, najviac </w:t>
      </w:r>
      <w:r w:rsidRPr="0037771E">
        <w:rPr>
          <w:rFonts w:ascii="Times New Roman" w:eastAsia="Calibri" w:hAnsi="Times New Roman" w:cs="Times New Roman"/>
          <w:bCs/>
          <w:sz w:val="24"/>
          <w:szCs w:val="24"/>
        </w:rPr>
        <w:br/>
        <w:t>do odpadového hospodárstva.</w:t>
      </w: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Default="0066156F" w:rsidP="00AA17E3">
      <w:pPr>
        <w:spacing w:after="0" w:line="240" w:lineRule="auto"/>
        <w:jc w:val="both"/>
        <w:rPr>
          <w:rFonts w:ascii="Times New Roman" w:eastAsia="Calibri" w:hAnsi="Times New Roman" w:cs="Times New Roman"/>
          <w:bCs/>
          <w:sz w:val="24"/>
          <w:szCs w:val="24"/>
        </w:rPr>
      </w:pPr>
    </w:p>
    <w:p w:rsidR="0066156F" w:rsidRPr="0037771E" w:rsidRDefault="0066156F" w:rsidP="00AA17E3">
      <w:pPr>
        <w:spacing w:after="0" w:line="240" w:lineRule="auto"/>
        <w:jc w:val="both"/>
        <w:rPr>
          <w:rFonts w:ascii="Times New Roman" w:eastAsia="Calibri" w:hAnsi="Times New Roman" w:cs="Times New Roman"/>
          <w:bCs/>
          <w:sz w:val="24"/>
          <w:szCs w:val="24"/>
        </w:rPr>
      </w:pPr>
    </w:p>
    <w:tbl>
      <w:tblPr>
        <w:tblpPr w:leftFromText="141" w:rightFromText="141" w:vertAnchor="text" w:horzAnchor="margin" w:tblpY="4"/>
        <w:tblOverlap w:val="never"/>
        <w:tblW w:w="502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9116"/>
      </w:tblGrid>
      <w:tr w:rsidR="00AA17E3" w:rsidRPr="0037771E" w:rsidTr="00AA17E3">
        <w:trPr>
          <w:trHeight w:val="113"/>
        </w:trPr>
        <w:tc>
          <w:tcPr>
            <w:tcW w:w="9116" w:type="dxa"/>
            <w:tcBorders>
              <w:top w:val="nil"/>
              <w:left w:val="nil"/>
              <w:bottom w:val="single" w:sz="4" w:space="0" w:color="auto"/>
              <w:right w:val="nil"/>
            </w:tcBorders>
            <w:shd w:val="clear" w:color="auto" w:fill="auto"/>
            <w:vAlign w:val="center"/>
          </w:tcPr>
          <w:p w:rsidR="00AA17E3" w:rsidRPr="0037771E" w:rsidRDefault="00AA17E3" w:rsidP="00AA17E3">
            <w:pPr>
              <w:keepNext/>
              <w:spacing w:after="0" w:line="240" w:lineRule="auto"/>
              <w:jc w:val="both"/>
              <w:rPr>
                <w:rFonts w:ascii="Times New Roman" w:hAnsi="Times New Roman" w:cs="Times New Roman"/>
                <w:b/>
                <w:iCs/>
                <w:color w:val="5B9BD5" w:themeColor="accent1"/>
                <w:sz w:val="20"/>
                <w:szCs w:val="20"/>
              </w:rPr>
            </w:pPr>
            <w:bookmarkStart w:id="538" w:name="_Toc84528542"/>
            <w:bookmarkStart w:id="539" w:name="_Toc84848033"/>
            <w:r w:rsidRPr="0037771E">
              <w:rPr>
                <w:rFonts w:ascii="Times New Roman" w:hAnsi="Times New Roman" w:cs="Times New Roman"/>
                <w:b/>
                <w:iCs/>
                <w:color w:val="5B9BD5" w:themeColor="accent1"/>
                <w:sz w:val="20"/>
                <w:szCs w:val="20"/>
              </w:rPr>
              <w:t xml:space="preserve">Graf </w:t>
            </w:r>
            <w:r w:rsidRPr="0037771E">
              <w:rPr>
                <w:rFonts w:ascii="Times New Roman" w:hAnsi="Times New Roman" w:cs="Times New Roman"/>
                <w:b/>
                <w:iCs/>
                <w:color w:val="5B9BD5" w:themeColor="accent1"/>
                <w:sz w:val="20"/>
                <w:szCs w:val="20"/>
              </w:rPr>
              <w:fldChar w:fldCharType="begin"/>
            </w:r>
            <w:r w:rsidRPr="0037771E">
              <w:rPr>
                <w:rFonts w:ascii="Times New Roman" w:hAnsi="Times New Roman" w:cs="Times New Roman"/>
                <w:b/>
                <w:iCs/>
                <w:color w:val="5B9BD5" w:themeColor="accent1"/>
                <w:sz w:val="20"/>
                <w:szCs w:val="20"/>
              </w:rPr>
              <w:instrText xml:space="preserve"> SEQ Obrázok \* ARABIC </w:instrText>
            </w:r>
            <w:r w:rsidRPr="0037771E">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42</w:t>
            </w:r>
            <w:r w:rsidRPr="0037771E">
              <w:rPr>
                <w:rFonts w:ascii="Times New Roman" w:hAnsi="Times New Roman" w:cs="Times New Roman"/>
                <w:b/>
                <w:iCs/>
                <w:color w:val="5B9BD5" w:themeColor="accent1"/>
                <w:sz w:val="20"/>
                <w:szCs w:val="20"/>
              </w:rPr>
              <w:fldChar w:fldCharType="end"/>
            </w:r>
            <w:r w:rsidR="00441800">
              <w:rPr>
                <w:rFonts w:ascii="Times New Roman" w:hAnsi="Times New Roman" w:cs="Times New Roman"/>
                <w:b/>
                <w:iCs/>
                <w:color w:val="5B9BD5" w:themeColor="accent1"/>
                <w:sz w:val="20"/>
                <w:szCs w:val="20"/>
              </w:rPr>
              <w:t xml:space="preserve"> -</w:t>
            </w:r>
            <w:r w:rsidRPr="0037771E">
              <w:rPr>
                <w:rFonts w:ascii="Times New Roman" w:hAnsi="Times New Roman" w:cs="Times New Roman"/>
                <w:b/>
                <w:iCs/>
                <w:color w:val="5B9BD5" w:themeColor="accent1"/>
                <w:sz w:val="20"/>
                <w:szCs w:val="20"/>
              </w:rPr>
              <w:t xml:space="preserve"> Verejné výdavky na životné prostredie (COFOG, % verejných výdavkov, 2019)</w:t>
            </w:r>
            <w:bookmarkEnd w:id="538"/>
            <w:bookmarkEnd w:id="539"/>
          </w:p>
        </w:tc>
      </w:tr>
      <w:tr w:rsidR="00AA17E3" w:rsidRPr="0037771E" w:rsidTr="00AA17E3">
        <w:trPr>
          <w:trHeight w:val="113"/>
        </w:trPr>
        <w:tc>
          <w:tcPr>
            <w:tcW w:w="9116" w:type="dxa"/>
            <w:tcBorders>
              <w:top w:val="nil"/>
              <w:left w:val="nil"/>
              <w:bottom w:val="single" w:sz="4" w:space="0" w:color="auto"/>
              <w:right w:val="nil"/>
            </w:tcBorders>
            <w:shd w:val="clear" w:color="auto" w:fill="auto"/>
            <w:vAlign w:val="center"/>
          </w:tcPr>
          <w:p w:rsidR="00AA17E3" w:rsidRPr="0037771E" w:rsidRDefault="00AA17E3" w:rsidP="00AA17E3">
            <w:pPr>
              <w:spacing w:after="200" w:line="240" w:lineRule="auto"/>
              <w:jc w:val="both"/>
              <w:rPr>
                <w:rFonts w:ascii="Times New Roman" w:eastAsia="Calibri" w:hAnsi="Times New Roman" w:cs="Times New Roman"/>
                <w:b/>
                <w:iCs/>
              </w:rPr>
            </w:pPr>
            <w:r w:rsidRPr="0037771E">
              <w:rPr>
                <w:noProof/>
                <w:lang w:eastAsia="sk-SK"/>
              </w:rPr>
              <mc:AlternateContent>
                <mc:Choice Requires="wps">
                  <w:drawing>
                    <wp:anchor distT="0" distB="0" distL="114300" distR="114300" simplePos="0" relativeHeight="251660288" behindDoc="0" locked="0" layoutInCell="1" allowOverlap="1" wp14:anchorId="66C49280" wp14:editId="1E3516C3">
                      <wp:simplePos x="0" y="0"/>
                      <wp:positionH relativeFrom="column">
                        <wp:posOffset>1871345</wp:posOffset>
                      </wp:positionH>
                      <wp:positionV relativeFrom="paragraph">
                        <wp:posOffset>720725</wp:posOffset>
                      </wp:positionV>
                      <wp:extent cx="203200" cy="1297940"/>
                      <wp:effectExtent l="0" t="0" r="25400" b="16510"/>
                      <wp:wrapNone/>
                      <wp:docPr id="37" name="Obdĺžnik 37"/>
                      <wp:cNvGraphicFramePr/>
                      <a:graphic xmlns:a="http://schemas.openxmlformats.org/drawingml/2006/main">
                        <a:graphicData uri="http://schemas.microsoft.com/office/word/2010/wordprocessingShape">
                          <wps:wsp>
                            <wps:cNvSpPr/>
                            <wps:spPr>
                              <a:xfrm>
                                <a:off x="0" y="0"/>
                                <a:ext cx="203200" cy="1297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4331" id="Obdĺžnik 37" o:spid="_x0000_s1026" style="position:absolute;margin-left:147.35pt;margin-top:56.75pt;width:16pt;height:10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" filled="f" strokecolor="#41719c" strokeweight="1pt"/>
                  </w:pict>
                </mc:Fallback>
              </mc:AlternateContent>
            </w:r>
            <w:r w:rsidRPr="0037771E">
              <w:rPr>
                <w:noProof/>
                <w:lang w:eastAsia="sk-SK"/>
              </w:rPr>
              <w:t xml:space="preserve"> </w:t>
            </w:r>
            <w:r w:rsidRPr="0037771E">
              <w:rPr>
                <w:noProof/>
                <w:lang w:eastAsia="sk-SK"/>
              </w:rPr>
              <w:drawing>
                <wp:inline distT="0" distB="0" distL="0" distR="0" wp14:anchorId="75B6FDA5" wp14:editId="082D95BC">
                  <wp:extent cx="5660571" cy="2140857"/>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AA17E3" w:rsidRPr="0037771E" w:rsidTr="00AA17E3">
        <w:trPr>
          <w:trHeight w:val="113"/>
        </w:trPr>
        <w:tc>
          <w:tcPr>
            <w:tcW w:w="9116" w:type="dxa"/>
            <w:tcBorders>
              <w:top w:val="single" w:sz="4" w:space="0" w:color="auto"/>
              <w:left w:val="nil"/>
              <w:bottom w:val="nil"/>
              <w:right w:val="nil"/>
            </w:tcBorders>
            <w:shd w:val="clear" w:color="auto" w:fill="auto"/>
          </w:tcPr>
          <w:p w:rsidR="00AA17E3" w:rsidRPr="0037771E" w:rsidRDefault="00AA17E3" w:rsidP="00AA17E3">
            <w:pPr>
              <w:keepNext/>
              <w:spacing w:after="0" w:line="240" w:lineRule="auto"/>
              <w:jc w:val="right"/>
              <w:rPr>
                <w:rFonts w:ascii="Times New Roman" w:hAnsi="Times New Roman" w:cs="Times New Roman"/>
                <w:b/>
                <w:iCs/>
                <w:color w:val="5B9BD5" w:themeColor="accent1"/>
                <w:sz w:val="20"/>
                <w:szCs w:val="20"/>
              </w:rPr>
            </w:pPr>
            <w:r w:rsidRPr="0037771E">
              <w:rPr>
                <w:rFonts w:ascii="Times New Roman" w:eastAsia="Calibri" w:hAnsi="Times New Roman" w:cs="Times New Roman"/>
                <w:i/>
                <w:noProof/>
                <w:sz w:val="16"/>
                <w:szCs w:val="16"/>
                <w:lang w:val="en-US"/>
              </w:rPr>
              <w:t>Zdroj: Eurostat</w:t>
            </w:r>
          </w:p>
        </w:tc>
      </w:tr>
    </w:tbl>
    <w:p w:rsidR="0066156F" w:rsidRDefault="0066156F" w:rsidP="0066156F">
      <w:pPr>
        <w:keepNext/>
        <w:spacing w:after="0"/>
        <w:jc w:val="both"/>
      </w:pPr>
    </w:p>
    <w:p w:rsidR="00AA17E3" w:rsidRPr="0037771E" w:rsidRDefault="00AA17E3" w:rsidP="0066156F">
      <w:pPr>
        <w:keepNext/>
        <w:spacing w:after="0"/>
        <w:jc w:val="both"/>
        <w:rPr>
          <w:rFonts w:ascii="Times New Roman" w:eastAsia="Calibri" w:hAnsi="Times New Roman"/>
          <w:sz w:val="24"/>
          <w:szCs w:val="24"/>
        </w:rPr>
      </w:pPr>
      <w:r w:rsidRPr="0037771E">
        <w:rPr>
          <w:rFonts w:ascii="Times New Roman" w:eastAsia="Calibri" w:hAnsi="Times New Roman"/>
          <w:sz w:val="24"/>
          <w:szCs w:val="24"/>
        </w:rPr>
        <w:t xml:space="preserve">Štruktúra výdavkov v životnom prostredí sa líši od priemeru krajín EÚ27, pravdepodobne pre vysoký podiel neklasifikovaných výdavkov. Kým na Slovensku do odpadového hospodárstva smeruje približne rovnaký podiel výdavkov na životné prostredie (takmer polovica výdavkov), výdavky na odpadové vody a znižovanie znečisťovania sú nižšie o tretinu, o polovicu nižšie výdavky smerujú na ochranu prírody a biodiverzity. </w:t>
      </w:r>
    </w:p>
    <w:p w:rsidR="00AA17E3" w:rsidRPr="0037771E" w:rsidRDefault="00AA17E3" w:rsidP="0066156F">
      <w:pPr>
        <w:spacing w:after="0"/>
      </w:pPr>
    </w:p>
    <w:tbl>
      <w:tblPr>
        <w:tblStyle w:val="Mriekatabuky2"/>
        <w:tblpPr w:leftFromText="141" w:rightFromText="141" w:horzAnchor="margin" w:tblpY="7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AA17E3" w:rsidRPr="0037771E" w:rsidTr="00AA17E3">
        <w:trPr>
          <w:trHeight w:val="20"/>
        </w:trPr>
        <w:tc>
          <w:tcPr>
            <w:tcW w:w="5000" w:type="pct"/>
            <w:tcBorders>
              <w:bottom w:val="single" w:sz="4" w:space="0" w:color="auto"/>
            </w:tcBorders>
          </w:tcPr>
          <w:p w:rsidR="00756EC8" w:rsidRPr="0066156F" w:rsidRDefault="00756EC8" w:rsidP="0066156F">
            <w:pPr>
              <w:keepNext/>
              <w:jc w:val="both"/>
              <w:rPr>
                <w:rFonts w:ascii="Times New Roman" w:hAnsi="Times New Roman"/>
                <w:b/>
                <w:iCs/>
                <w:color w:val="5B9BD5" w:themeColor="accent1"/>
                <w:sz w:val="28"/>
                <w:szCs w:val="20"/>
              </w:rPr>
            </w:pPr>
            <w:bookmarkStart w:id="540" w:name="_Toc84528543"/>
          </w:p>
          <w:p w:rsidR="00AA17E3" w:rsidRPr="0037771E" w:rsidRDefault="00AA17E3" w:rsidP="0066156F">
            <w:pPr>
              <w:keepNext/>
              <w:jc w:val="both"/>
              <w:rPr>
                <w:rFonts w:ascii="Times New Roman" w:hAnsi="Times New Roman"/>
                <w:b/>
                <w:iCs/>
                <w:color w:val="5B9BD5" w:themeColor="accent1"/>
                <w:sz w:val="20"/>
                <w:szCs w:val="20"/>
              </w:rPr>
            </w:pPr>
            <w:bookmarkStart w:id="541" w:name="_Toc84848034"/>
            <w:r w:rsidRPr="0037771E">
              <w:rPr>
                <w:rFonts w:ascii="Times New Roman" w:hAnsi="Times New Roman"/>
                <w:b/>
                <w:iCs/>
                <w:color w:val="5B9BD5" w:themeColor="accent1"/>
                <w:sz w:val="20"/>
                <w:szCs w:val="20"/>
              </w:rPr>
              <w:t xml:space="preserve">Graf </w:t>
            </w:r>
            <w:r w:rsidRPr="0037771E">
              <w:rPr>
                <w:rFonts w:ascii="Times New Roman" w:hAnsi="Times New Roman"/>
                <w:b/>
                <w:iCs/>
                <w:color w:val="5B9BD5" w:themeColor="accent1"/>
                <w:sz w:val="20"/>
                <w:szCs w:val="20"/>
              </w:rPr>
              <w:fldChar w:fldCharType="begin"/>
            </w:r>
            <w:r w:rsidRPr="0037771E">
              <w:rPr>
                <w:rFonts w:ascii="Times New Roman" w:hAnsi="Times New Roman"/>
                <w:b/>
                <w:iCs/>
                <w:color w:val="5B9BD5" w:themeColor="accent1"/>
                <w:sz w:val="20"/>
                <w:szCs w:val="20"/>
              </w:rPr>
              <w:instrText xml:space="preserve"> SEQ Obrázok \* ARABIC </w:instrText>
            </w:r>
            <w:r w:rsidRPr="0037771E">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43</w:t>
            </w:r>
            <w:r w:rsidRPr="0037771E">
              <w:rPr>
                <w:rFonts w:ascii="Times New Roman" w:hAnsi="Times New Roman"/>
                <w:b/>
                <w:iCs/>
                <w:color w:val="5B9BD5" w:themeColor="accent1"/>
                <w:sz w:val="20"/>
                <w:szCs w:val="20"/>
              </w:rPr>
              <w:fldChar w:fldCharType="end"/>
            </w:r>
            <w:r w:rsidR="00441800">
              <w:rPr>
                <w:rFonts w:ascii="Times New Roman" w:hAnsi="Times New Roman"/>
                <w:b/>
                <w:iCs/>
                <w:color w:val="5B9BD5" w:themeColor="accent1"/>
                <w:sz w:val="20"/>
                <w:szCs w:val="20"/>
              </w:rPr>
              <w:t xml:space="preserve"> -</w:t>
            </w:r>
            <w:r w:rsidRPr="0037771E">
              <w:rPr>
                <w:rFonts w:ascii="Times New Roman" w:hAnsi="Times New Roman"/>
                <w:b/>
                <w:iCs/>
                <w:color w:val="5B9BD5" w:themeColor="accent1"/>
                <w:sz w:val="20"/>
                <w:szCs w:val="20"/>
              </w:rPr>
              <w:t xml:space="preserve"> Verejné výdavky na oblasti životného prostredia (2019, % verejných výdavkov na životné prostredie)</w:t>
            </w:r>
            <w:bookmarkEnd w:id="540"/>
            <w:bookmarkEnd w:id="541"/>
          </w:p>
        </w:tc>
      </w:tr>
      <w:tr w:rsidR="00AA17E3" w:rsidRPr="0037771E" w:rsidTr="00AA17E3">
        <w:trPr>
          <w:trHeight w:val="20"/>
        </w:trPr>
        <w:tc>
          <w:tcPr>
            <w:tcW w:w="5000" w:type="pct"/>
            <w:tcBorders>
              <w:top w:val="single" w:sz="4" w:space="0" w:color="auto"/>
              <w:bottom w:val="single" w:sz="4" w:space="0" w:color="auto"/>
            </w:tcBorders>
          </w:tcPr>
          <w:p w:rsidR="00AA17E3" w:rsidRPr="0037771E" w:rsidRDefault="00AA17E3" w:rsidP="0066156F">
            <w:r w:rsidRPr="0037771E">
              <w:rPr>
                <w:noProof/>
                <w:lang w:eastAsia="sk-SK"/>
              </w:rPr>
              <w:drawing>
                <wp:inline distT="0" distB="0" distL="0" distR="0" wp14:anchorId="57D60B43" wp14:editId="497AEB7F">
                  <wp:extent cx="5682342" cy="1850571"/>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AA17E3" w:rsidRPr="0037771E" w:rsidTr="00AA17E3">
        <w:trPr>
          <w:trHeight w:val="20"/>
        </w:trPr>
        <w:tc>
          <w:tcPr>
            <w:tcW w:w="5000" w:type="pct"/>
            <w:tcBorders>
              <w:top w:val="single" w:sz="4" w:space="0" w:color="auto"/>
            </w:tcBorders>
          </w:tcPr>
          <w:p w:rsidR="00AA17E3" w:rsidRPr="0037771E" w:rsidRDefault="00AA17E3" w:rsidP="00E44DF3">
            <w:pPr>
              <w:jc w:val="right"/>
              <w:rPr>
                <w:rFonts w:ascii="Times New Roman" w:hAnsi="Times New Roman"/>
                <w:i/>
                <w:noProof/>
                <w:sz w:val="16"/>
                <w:szCs w:val="16"/>
                <w:lang w:eastAsia="sk-SK"/>
              </w:rPr>
            </w:pPr>
            <w:r w:rsidRPr="0037771E">
              <w:rPr>
                <w:rFonts w:ascii="Times New Roman" w:hAnsi="Times New Roman"/>
                <w:i/>
                <w:noProof/>
                <w:sz w:val="16"/>
                <w:szCs w:val="16"/>
                <w:lang w:eastAsia="sk-SK"/>
              </w:rPr>
              <w:t>Zdroj: Eurostat</w:t>
            </w:r>
          </w:p>
        </w:tc>
      </w:tr>
    </w:tbl>
    <w:p w:rsidR="00AA17E3" w:rsidRDefault="00E44DF3" w:rsidP="00E44DF3">
      <w:pPr>
        <w:spacing w:after="0" w:line="240" w:lineRule="auto"/>
        <w:jc w:val="both"/>
        <w:rPr>
          <w:rFonts w:ascii="Times New Roman" w:hAnsi="Times New Roman" w:cs="Times New Roman"/>
          <w:sz w:val="24"/>
        </w:rPr>
      </w:pPr>
      <w:r>
        <w:rPr>
          <w:rFonts w:ascii="Times New Roman" w:hAnsi="Times New Roman" w:cs="Times New Roman"/>
          <w:sz w:val="24"/>
        </w:rPr>
        <w:t>Sta</w:t>
      </w:r>
      <w:r w:rsidR="00AA17E3" w:rsidRPr="0037771E">
        <w:rPr>
          <w:rFonts w:ascii="Times New Roman" w:hAnsi="Times New Roman" w:cs="Times New Roman"/>
          <w:sz w:val="24"/>
        </w:rPr>
        <w:t xml:space="preserve">v v životnom prostredí sleduje 6 hlavných ukazovateľov, zameriavajú sa hlavne na odpadové hospodárstvo a ochranu prírody. Výsledky v oblasti životného prostredia sa postupne zlepšujú, stále však nedosahujú úroveň európskeho priemeru. </w:t>
      </w:r>
    </w:p>
    <w:p w:rsidR="00E44DF3" w:rsidRDefault="00E44DF3"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Default="0066156F" w:rsidP="00E44DF3">
      <w:pPr>
        <w:spacing w:after="0" w:line="240" w:lineRule="auto"/>
        <w:jc w:val="both"/>
        <w:rPr>
          <w:rFonts w:ascii="Times New Roman" w:hAnsi="Times New Roman" w:cs="Times New Roman"/>
          <w:sz w:val="24"/>
        </w:rPr>
      </w:pPr>
    </w:p>
    <w:p w:rsidR="0066156F" w:rsidRPr="0037771E" w:rsidRDefault="0066156F" w:rsidP="00E44DF3">
      <w:pPr>
        <w:spacing w:after="0" w:line="240" w:lineRule="auto"/>
        <w:jc w:val="both"/>
        <w:rPr>
          <w:rFonts w:ascii="Times New Roman" w:hAnsi="Times New Roman" w:cs="Times New Roman"/>
          <w:sz w:val="24"/>
        </w:rPr>
      </w:pPr>
    </w:p>
    <w:p w:rsidR="00AA17E3" w:rsidRPr="0037771E" w:rsidRDefault="00AA17E3" w:rsidP="00E44DF3">
      <w:pPr>
        <w:keepNext/>
        <w:spacing w:after="0" w:line="240" w:lineRule="auto"/>
        <w:rPr>
          <w:rFonts w:ascii="Times New Roman" w:hAnsi="Times New Roman" w:cs="Times New Roman"/>
          <w:b/>
          <w:bCs/>
          <w:iCs/>
          <w:color w:val="5B9BD5" w:themeColor="accent1"/>
          <w:sz w:val="20"/>
          <w:szCs w:val="20"/>
        </w:rPr>
      </w:pPr>
      <w:bookmarkStart w:id="542" w:name="_Toc84528471"/>
      <w:bookmarkStart w:id="543" w:name="_Toc84845347"/>
      <w:r w:rsidRPr="0037771E">
        <w:rPr>
          <w:rFonts w:ascii="Times New Roman" w:hAnsi="Times New Roman" w:cs="Times New Roman"/>
          <w:b/>
          <w:iCs/>
          <w:color w:val="5B9BD5" w:themeColor="accent1"/>
          <w:sz w:val="20"/>
          <w:szCs w:val="20"/>
        </w:rPr>
        <w:t xml:space="preserve">Tabuľka </w:t>
      </w:r>
      <w:r w:rsidRPr="0037771E">
        <w:rPr>
          <w:rFonts w:ascii="Times New Roman" w:hAnsi="Times New Roman" w:cs="Times New Roman"/>
          <w:b/>
          <w:iCs/>
          <w:color w:val="5B9BD5" w:themeColor="accent1"/>
          <w:sz w:val="20"/>
          <w:szCs w:val="20"/>
        </w:rPr>
        <w:fldChar w:fldCharType="begin"/>
      </w:r>
      <w:r w:rsidRPr="0037771E">
        <w:rPr>
          <w:rFonts w:ascii="Times New Roman" w:hAnsi="Times New Roman" w:cs="Times New Roman"/>
          <w:b/>
          <w:iCs/>
          <w:color w:val="5B9BD5" w:themeColor="accent1"/>
          <w:sz w:val="20"/>
          <w:szCs w:val="20"/>
        </w:rPr>
        <w:instrText xml:space="preserve"> SEQ Tabuľka \* ARABIC </w:instrText>
      </w:r>
      <w:r w:rsidRPr="0037771E">
        <w:rPr>
          <w:rFonts w:ascii="Times New Roman" w:hAnsi="Times New Roman" w:cs="Times New Roman"/>
          <w:b/>
          <w:iCs/>
          <w:color w:val="5B9BD5" w:themeColor="accent1"/>
          <w:sz w:val="20"/>
          <w:szCs w:val="20"/>
        </w:rPr>
        <w:fldChar w:fldCharType="separate"/>
      </w:r>
      <w:r w:rsidR="006E67C6">
        <w:rPr>
          <w:rFonts w:ascii="Times New Roman" w:hAnsi="Times New Roman" w:cs="Times New Roman"/>
          <w:b/>
          <w:iCs/>
          <w:noProof/>
          <w:color w:val="5B9BD5" w:themeColor="accent1"/>
          <w:sz w:val="20"/>
          <w:szCs w:val="20"/>
        </w:rPr>
        <w:t>123</w:t>
      </w:r>
      <w:r w:rsidRPr="0037771E">
        <w:rPr>
          <w:rFonts w:ascii="Times New Roman" w:hAnsi="Times New Roman" w:cs="Times New Roman"/>
          <w:b/>
          <w:iCs/>
          <w:color w:val="5B9BD5" w:themeColor="accent1"/>
          <w:sz w:val="20"/>
          <w:szCs w:val="20"/>
        </w:rPr>
        <w:fldChar w:fldCharType="end"/>
      </w:r>
      <w:r w:rsidRPr="0037771E">
        <w:rPr>
          <w:rFonts w:ascii="Times New Roman" w:hAnsi="Times New Roman" w:cs="Times New Roman"/>
          <w:b/>
          <w:iCs/>
          <w:color w:val="5B9BD5" w:themeColor="accent1"/>
          <w:sz w:val="20"/>
          <w:szCs w:val="20"/>
        </w:rPr>
        <w:t xml:space="preserve"> - </w:t>
      </w:r>
      <w:r w:rsidRPr="0037771E">
        <w:rPr>
          <w:rFonts w:ascii="Times New Roman" w:hAnsi="Times New Roman" w:cs="Times New Roman"/>
          <w:b/>
          <w:bCs/>
          <w:iCs/>
          <w:color w:val="5B9BD5" w:themeColor="accent1"/>
          <w:sz w:val="20"/>
          <w:szCs w:val="20"/>
        </w:rPr>
        <w:t>Kľúčové ukazovatele v oblasti životného prostredia</w:t>
      </w:r>
      <w:bookmarkEnd w:id="542"/>
      <w:bookmarkEnd w:id="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3838"/>
        <w:gridCol w:w="577"/>
        <w:gridCol w:w="621"/>
        <w:gridCol w:w="621"/>
        <w:gridCol w:w="621"/>
        <w:gridCol w:w="621"/>
        <w:gridCol w:w="619"/>
      </w:tblGrid>
      <w:tr w:rsidR="00AA17E3" w:rsidRPr="0037771E" w:rsidTr="00C45BEF">
        <w:trPr>
          <w:trHeight w:val="20"/>
        </w:trPr>
        <w:tc>
          <w:tcPr>
            <w:tcW w:w="857" w:type="pct"/>
            <w:tcBorders>
              <w:left w:val="nil"/>
              <w:right w:val="nil"/>
            </w:tcBorders>
            <w:shd w:val="clear" w:color="auto" w:fill="auto"/>
            <w:vAlign w:val="center"/>
            <w:hideMark/>
          </w:tcPr>
          <w:p w:rsidR="00AA17E3" w:rsidRPr="00C45BEF" w:rsidRDefault="00AA17E3" w:rsidP="00AA17E3">
            <w:pPr>
              <w:spacing w:after="0" w:line="240" w:lineRule="auto"/>
              <w:contextualSpacing/>
              <w:rPr>
                <w:rFonts w:ascii="Times New Roman" w:eastAsia="Times New Roman" w:hAnsi="Times New Roman" w:cs="Times New Roman"/>
                <w:b/>
                <w:sz w:val="16"/>
                <w:szCs w:val="16"/>
                <w:lang w:eastAsia="sk-SK"/>
              </w:rPr>
            </w:pPr>
            <w:r w:rsidRPr="00C45BEF">
              <w:rPr>
                <w:rFonts w:ascii="Times New Roman" w:eastAsia="Times New Roman" w:hAnsi="Times New Roman" w:cs="Times New Roman"/>
                <w:b/>
                <w:sz w:val="16"/>
                <w:szCs w:val="16"/>
                <w:lang w:eastAsia="sk-SK"/>
              </w:rPr>
              <w:t>Oblasť</w:t>
            </w:r>
          </w:p>
        </w:tc>
        <w:tc>
          <w:tcPr>
            <w:tcW w:w="2116" w:type="pct"/>
            <w:tcBorders>
              <w:left w:val="nil"/>
              <w:right w:val="nil"/>
            </w:tcBorders>
            <w:shd w:val="clear" w:color="auto" w:fill="auto"/>
            <w:vAlign w:val="center"/>
            <w:hideMark/>
          </w:tcPr>
          <w:p w:rsidR="00AA17E3" w:rsidRPr="00C45BEF" w:rsidRDefault="00AA17E3" w:rsidP="00AA17E3">
            <w:pPr>
              <w:spacing w:after="0" w:line="240" w:lineRule="auto"/>
              <w:contextualSpacing/>
              <w:rPr>
                <w:rFonts w:ascii="Times New Roman" w:eastAsia="Times New Roman" w:hAnsi="Times New Roman" w:cs="Times New Roman"/>
                <w:b/>
                <w:sz w:val="16"/>
                <w:szCs w:val="16"/>
                <w:lang w:eastAsia="sk-SK"/>
              </w:rPr>
            </w:pPr>
            <w:r w:rsidRPr="00C45BEF">
              <w:rPr>
                <w:rFonts w:ascii="Times New Roman" w:eastAsia="Times New Roman" w:hAnsi="Times New Roman" w:cs="Times New Roman"/>
                <w:b/>
                <w:sz w:val="16"/>
                <w:szCs w:val="16"/>
                <w:lang w:eastAsia="sk-SK"/>
              </w:rPr>
              <w:t>Indikátor</w:t>
            </w:r>
          </w:p>
        </w:tc>
        <w:tc>
          <w:tcPr>
            <w:tcW w:w="318" w:type="pct"/>
            <w:tcBorders>
              <w:left w:val="nil"/>
              <w:bottom w:val="single" w:sz="4" w:space="0" w:color="auto"/>
              <w:right w:val="nil"/>
            </w:tcBorders>
            <w:shd w:val="clear" w:color="auto" w:fill="auto"/>
            <w:noWrap/>
            <w:vAlign w:val="center"/>
            <w:hideMark/>
          </w:tcPr>
          <w:p w:rsidR="00AA17E3" w:rsidRPr="00C45BEF" w:rsidRDefault="00AA17E3" w:rsidP="00AA17E3">
            <w:pPr>
              <w:spacing w:after="0" w:line="240" w:lineRule="auto"/>
              <w:contextualSpacing/>
              <w:rPr>
                <w:rFonts w:ascii="Times New Roman" w:eastAsia="Times New Roman" w:hAnsi="Times New Roman" w:cs="Times New Roman"/>
                <w:b/>
                <w:sz w:val="16"/>
                <w:szCs w:val="16"/>
                <w:lang w:eastAsia="sk-SK"/>
              </w:rPr>
            </w:pPr>
            <w:r w:rsidRPr="00C45BEF">
              <w:rPr>
                <w:rFonts w:ascii="Times New Roman" w:eastAsia="Times New Roman" w:hAnsi="Times New Roman" w:cs="Times New Roman"/>
                <w:b/>
                <w:sz w:val="16"/>
                <w:szCs w:val="16"/>
                <w:lang w:eastAsia="sk-SK"/>
              </w:rPr>
              <w:t> </w:t>
            </w:r>
          </w:p>
        </w:tc>
        <w:tc>
          <w:tcPr>
            <w:tcW w:w="342" w:type="pct"/>
            <w:tcBorders>
              <w:left w:val="nil"/>
              <w:bottom w:val="single" w:sz="4" w:space="0" w:color="auto"/>
              <w:right w:val="nil"/>
            </w:tcBorders>
            <w:shd w:val="clear" w:color="auto" w:fill="auto"/>
            <w:noWrap/>
            <w:vAlign w:val="center"/>
            <w:hideMark/>
          </w:tcPr>
          <w:p w:rsidR="00AA17E3" w:rsidRPr="00C45BEF" w:rsidRDefault="00AA17E3" w:rsidP="00AA17E3">
            <w:pPr>
              <w:spacing w:after="0" w:line="240" w:lineRule="auto"/>
              <w:contextualSpacing/>
              <w:jc w:val="center"/>
              <w:rPr>
                <w:rFonts w:ascii="Times New Roman" w:eastAsia="Times New Roman" w:hAnsi="Times New Roman" w:cs="Times New Roman"/>
                <w:b/>
                <w:sz w:val="16"/>
                <w:szCs w:val="16"/>
                <w:lang w:eastAsia="sk-SK"/>
              </w:rPr>
            </w:pPr>
            <w:r w:rsidRPr="00C45BEF">
              <w:rPr>
                <w:rFonts w:ascii="Times New Roman" w:eastAsia="Times New Roman" w:hAnsi="Times New Roman" w:cs="Times New Roman"/>
                <w:b/>
                <w:sz w:val="16"/>
                <w:szCs w:val="16"/>
                <w:lang w:eastAsia="sk-SK"/>
              </w:rPr>
              <w:t>2017</w:t>
            </w:r>
          </w:p>
        </w:tc>
        <w:tc>
          <w:tcPr>
            <w:tcW w:w="342" w:type="pct"/>
            <w:tcBorders>
              <w:left w:val="nil"/>
              <w:bottom w:val="single" w:sz="4" w:space="0" w:color="auto"/>
              <w:right w:val="nil"/>
            </w:tcBorders>
            <w:shd w:val="clear" w:color="auto" w:fill="auto"/>
            <w:noWrap/>
            <w:vAlign w:val="center"/>
            <w:hideMark/>
          </w:tcPr>
          <w:p w:rsidR="00AA17E3" w:rsidRPr="00C45BEF" w:rsidRDefault="00AA17E3" w:rsidP="00AA17E3">
            <w:pPr>
              <w:spacing w:after="0" w:line="240" w:lineRule="auto"/>
              <w:contextualSpacing/>
              <w:jc w:val="center"/>
              <w:rPr>
                <w:rFonts w:ascii="Times New Roman" w:eastAsia="Times New Roman" w:hAnsi="Times New Roman" w:cs="Times New Roman"/>
                <w:b/>
                <w:sz w:val="16"/>
                <w:szCs w:val="16"/>
                <w:lang w:eastAsia="sk-SK"/>
              </w:rPr>
            </w:pPr>
            <w:r w:rsidRPr="00C45BEF">
              <w:rPr>
                <w:rFonts w:ascii="Times New Roman" w:eastAsia="Times New Roman" w:hAnsi="Times New Roman" w:cs="Times New Roman"/>
                <w:b/>
                <w:sz w:val="16"/>
                <w:szCs w:val="16"/>
                <w:lang w:eastAsia="sk-SK"/>
              </w:rPr>
              <w:t>2018</w:t>
            </w:r>
          </w:p>
        </w:tc>
        <w:tc>
          <w:tcPr>
            <w:tcW w:w="342" w:type="pct"/>
            <w:tcBorders>
              <w:left w:val="nil"/>
              <w:bottom w:val="single" w:sz="4" w:space="0" w:color="auto"/>
              <w:right w:val="nil"/>
            </w:tcBorders>
            <w:shd w:val="clear" w:color="auto" w:fill="auto"/>
            <w:noWrap/>
            <w:vAlign w:val="center"/>
            <w:hideMark/>
          </w:tcPr>
          <w:p w:rsidR="00AA17E3" w:rsidRPr="00C45BEF" w:rsidRDefault="00AA17E3" w:rsidP="00AA17E3">
            <w:pPr>
              <w:spacing w:after="0" w:line="240" w:lineRule="auto"/>
              <w:contextualSpacing/>
              <w:jc w:val="center"/>
              <w:rPr>
                <w:rFonts w:ascii="Times New Roman" w:eastAsia="Times New Roman" w:hAnsi="Times New Roman" w:cs="Times New Roman"/>
                <w:b/>
                <w:sz w:val="16"/>
                <w:szCs w:val="16"/>
                <w:lang w:eastAsia="sk-SK"/>
              </w:rPr>
            </w:pPr>
            <w:r w:rsidRPr="00C45BEF">
              <w:rPr>
                <w:rFonts w:ascii="Times New Roman" w:eastAsia="Times New Roman" w:hAnsi="Times New Roman" w:cs="Times New Roman"/>
                <w:b/>
                <w:sz w:val="16"/>
                <w:szCs w:val="16"/>
                <w:lang w:eastAsia="sk-SK"/>
              </w:rPr>
              <w:t>2019</w:t>
            </w:r>
          </w:p>
        </w:tc>
        <w:tc>
          <w:tcPr>
            <w:tcW w:w="342" w:type="pct"/>
            <w:tcBorders>
              <w:left w:val="nil"/>
              <w:bottom w:val="single" w:sz="4" w:space="0" w:color="auto"/>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b/>
                <w:bCs/>
                <w:sz w:val="16"/>
                <w:szCs w:val="16"/>
                <w:lang w:eastAsia="sk-SK"/>
              </w:rPr>
            </w:pPr>
            <w:r w:rsidRPr="0037771E">
              <w:rPr>
                <w:rFonts w:ascii="Times New Roman" w:eastAsia="Times New Roman" w:hAnsi="Times New Roman" w:cs="Times New Roman"/>
                <w:b/>
                <w:bCs/>
                <w:sz w:val="16"/>
                <w:szCs w:val="16"/>
                <w:lang w:eastAsia="sk-SK"/>
              </w:rPr>
              <w:t>Cieľ 2024</w:t>
            </w:r>
          </w:p>
        </w:tc>
        <w:tc>
          <w:tcPr>
            <w:tcW w:w="341" w:type="pct"/>
            <w:tcBorders>
              <w:left w:val="nil"/>
              <w:bottom w:val="single" w:sz="4" w:space="0" w:color="auto"/>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b/>
                <w:bCs/>
                <w:sz w:val="16"/>
                <w:szCs w:val="16"/>
                <w:lang w:eastAsia="sk-SK"/>
              </w:rPr>
            </w:pPr>
            <w:r w:rsidRPr="0037771E">
              <w:rPr>
                <w:rFonts w:ascii="Times New Roman" w:eastAsia="Times New Roman" w:hAnsi="Times New Roman" w:cs="Times New Roman"/>
                <w:b/>
                <w:bCs/>
                <w:sz w:val="16"/>
                <w:szCs w:val="16"/>
                <w:lang w:eastAsia="sk-SK"/>
              </w:rPr>
              <w:t>Cieľ 2030</w:t>
            </w:r>
          </w:p>
        </w:tc>
      </w:tr>
      <w:tr w:rsidR="00AA17E3" w:rsidRPr="0037771E" w:rsidTr="00C45BEF">
        <w:trPr>
          <w:trHeight w:val="184"/>
        </w:trPr>
        <w:tc>
          <w:tcPr>
            <w:tcW w:w="857"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Vodné hospodárstvo</w:t>
            </w:r>
          </w:p>
        </w:tc>
        <w:tc>
          <w:tcPr>
            <w:tcW w:w="2116"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Pripojenie obyvateľstva k čistiarňam odpadovej vody (%)</w:t>
            </w:r>
          </w:p>
        </w:tc>
        <w:tc>
          <w:tcPr>
            <w:tcW w:w="318" w:type="pct"/>
            <w:vMerge w:val="restar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SK</w:t>
            </w:r>
          </w:p>
        </w:tc>
        <w:tc>
          <w:tcPr>
            <w:tcW w:w="342" w:type="pct"/>
            <w:vMerge w:val="restar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67,7</w:t>
            </w:r>
          </w:p>
        </w:tc>
        <w:tc>
          <w:tcPr>
            <w:tcW w:w="342" w:type="pct"/>
            <w:vMerge w:val="restar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68,4</w:t>
            </w:r>
          </w:p>
        </w:tc>
        <w:tc>
          <w:tcPr>
            <w:tcW w:w="342" w:type="pct"/>
            <w:vMerge w:val="restar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68,7</w:t>
            </w:r>
          </w:p>
        </w:tc>
        <w:tc>
          <w:tcPr>
            <w:tcW w:w="342" w:type="pct"/>
            <w:vMerge w:val="restart"/>
            <w:tcBorders>
              <w:left w:val="nil"/>
              <w:bottom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74,9</w:t>
            </w:r>
          </w:p>
        </w:tc>
        <w:tc>
          <w:tcPr>
            <w:tcW w:w="341" w:type="pct"/>
            <w:vMerge w:val="restart"/>
            <w:tcBorders>
              <w:left w:val="nil"/>
              <w:bottom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85,0 </w:t>
            </w:r>
          </w:p>
        </w:tc>
      </w:tr>
      <w:tr w:rsidR="00AA17E3" w:rsidRPr="0037771E" w:rsidTr="00C45BEF">
        <w:trPr>
          <w:trHeight w:val="45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1"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r>
      <w:tr w:rsidR="00AA17E3" w:rsidRPr="0037771E" w:rsidTr="00C45BEF">
        <w:trPr>
          <w:trHeight w:val="2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EÚ</w:t>
            </w:r>
          </w:p>
        </w:tc>
        <w:tc>
          <w:tcPr>
            <w:tcW w:w="342" w:type="pct"/>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90</w:t>
            </w:r>
          </w:p>
        </w:tc>
        <w:tc>
          <w:tcPr>
            <w:tcW w:w="342" w:type="pct"/>
            <w:tcBorders>
              <w:top w:val="nil"/>
              <w:left w:val="nil"/>
              <w:bottom w:val="single" w:sz="4" w:space="0" w:color="auto"/>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w:t>
            </w:r>
          </w:p>
        </w:tc>
        <w:tc>
          <w:tcPr>
            <w:tcW w:w="342" w:type="pct"/>
            <w:tcBorders>
              <w:top w:val="nil"/>
              <w:left w:val="nil"/>
              <w:bottom w:val="single" w:sz="4" w:space="0" w:color="auto"/>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w:t>
            </w:r>
          </w:p>
        </w:tc>
        <w:tc>
          <w:tcPr>
            <w:tcW w:w="342" w:type="pct"/>
            <w:tcBorders>
              <w:top w:val="nil"/>
              <w:left w:val="nil"/>
              <w:bottom w:val="single" w:sz="4" w:space="0" w:color="auto"/>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1" w:type="pct"/>
            <w:tcBorders>
              <w:top w:val="nil"/>
              <w:left w:val="nil"/>
              <w:bottom w:val="single" w:sz="4" w:space="0" w:color="auto"/>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r>
      <w:tr w:rsidR="00AA17E3" w:rsidRPr="0037771E" w:rsidTr="00C45BEF">
        <w:trPr>
          <w:trHeight w:val="20"/>
        </w:trPr>
        <w:tc>
          <w:tcPr>
            <w:tcW w:w="857"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Odpadové hospodárstvo</w:t>
            </w:r>
          </w:p>
        </w:tc>
        <w:tc>
          <w:tcPr>
            <w:tcW w:w="2116"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Miera recyklácie komunálneho odpadu (%)</w:t>
            </w:r>
          </w:p>
        </w:tc>
        <w:tc>
          <w:tcPr>
            <w:tcW w:w="318"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SK</w:t>
            </w:r>
          </w:p>
        </w:tc>
        <w:tc>
          <w:tcPr>
            <w:tcW w:w="342"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29,8</w:t>
            </w:r>
          </w:p>
        </w:tc>
        <w:tc>
          <w:tcPr>
            <w:tcW w:w="342"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36,3</w:t>
            </w:r>
          </w:p>
        </w:tc>
        <w:tc>
          <w:tcPr>
            <w:tcW w:w="342"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38,5</w:t>
            </w:r>
          </w:p>
        </w:tc>
        <w:tc>
          <w:tcPr>
            <w:tcW w:w="342" w:type="pct"/>
            <w:tcBorders>
              <w:left w:val="nil"/>
              <w:bottom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55</w:t>
            </w:r>
          </w:p>
        </w:tc>
        <w:tc>
          <w:tcPr>
            <w:tcW w:w="341" w:type="pct"/>
            <w:tcBorders>
              <w:left w:val="nil"/>
              <w:bottom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60 </w:t>
            </w:r>
          </w:p>
        </w:tc>
      </w:tr>
      <w:tr w:rsidR="00AA17E3" w:rsidRPr="0037771E" w:rsidTr="00C45BEF">
        <w:trPr>
          <w:trHeight w:val="2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EÚ</w:t>
            </w:r>
          </w:p>
        </w:tc>
        <w:tc>
          <w:tcPr>
            <w:tcW w:w="342"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46,2</w:t>
            </w:r>
          </w:p>
        </w:tc>
        <w:tc>
          <w:tcPr>
            <w:tcW w:w="342"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47</w:t>
            </w:r>
          </w:p>
        </w:tc>
        <w:tc>
          <w:tcPr>
            <w:tcW w:w="342"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48</w:t>
            </w:r>
          </w:p>
        </w:tc>
        <w:tc>
          <w:tcPr>
            <w:tcW w:w="342" w:type="pct"/>
            <w:tcBorders>
              <w:top w:val="nil"/>
              <w:left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1" w:type="pct"/>
            <w:tcBorders>
              <w:top w:val="nil"/>
              <w:left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r>
      <w:tr w:rsidR="00AA17E3" w:rsidRPr="0037771E" w:rsidTr="00C45BEF">
        <w:trPr>
          <w:trHeight w:val="184"/>
        </w:trPr>
        <w:tc>
          <w:tcPr>
            <w:tcW w:w="857"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Odpadové hospodárstvo</w:t>
            </w:r>
          </w:p>
        </w:tc>
        <w:tc>
          <w:tcPr>
            <w:tcW w:w="2116"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Sanované environmentálne záťaže a rekultivované  lokality (celkový počet)</w:t>
            </w:r>
            <w:r w:rsidRPr="0037771E">
              <w:rPr>
                <w:rStyle w:val="Odkaznapoznmkupodiarou"/>
                <w:rFonts w:ascii="Times New Roman" w:hAnsi="Times New Roman"/>
                <w:sz w:val="16"/>
                <w:szCs w:val="16"/>
                <w:lang w:eastAsia="sk-SK"/>
              </w:rPr>
              <w:footnoteReference w:id="60"/>
            </w:r>
          </w:p>
        </w:tc>
        <w:tc>
          <w:tcPr>
            <w:tcW w:w="318" w:type="pct"/>
            <w:vMerge w:val="restart"/>
            <w:tcBorders>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SK</w:t>
            </w:r>
          </w:p>
        </w:tc>
        <w:tc>
          <w:tcPr>
            <w:tcW w:w="342" w:type="pct"/>
            <w:vMerge w:val="restart"/>
            <w:tcBorders>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569</w:t>
            </w:r>
          </w:p>
        </w:tc>
        <w:tc>
          <w:tcPr>
            <w:tcW w:w="342" w:type="pct"/>
            <w:vMerge w:val="restart"/>
            <w:tcBorders>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570</w:t>
            </w:r>
          </w:p>
        </w:tc>
        <w:tc>
          <w:tcPr>
            <w:tcW w:w="342" w:type="pct"/>
            <w:vMerge w:val="restart"/>
            <w:tcBorders>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574</w:t>
            </w:r>
          </w:p>
        </w:tc>
        <w:tc>
          <w:tcPr>
            <w:tcW w:w="342"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640</w:t>
            </w:r>
          </w:p>
        </w:tc>
        <w:tc>
          <w:tcPr>
            <w:tcW w:w="341"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700</w:t>
            </w:r>
          </w:p>
        </w:tc>
      </w:tr>
      <w:tr w:rsidR="00AA17E3" w:rsidRPr="0037771E" w:rsidTr="00C45BEF">
        <w:trPr>
          <w:trHeight w:val="45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vMerge/>
            <w:tcBorders>
              <w:left w:val="nil"/>
              <w:bottom w:val="single" w:sz="4" w:space="0" w:color="auto"/>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2" w:type="pct"/>
            <w:vMerge/>
            <w:tcBorders>
              <w:left w:val="nil"/>
              <w:bottom w:val="single" w:sz="4" w:space="0" w:color="auto"/>
              <w:right w:val="nil"/>
            </w:tcBorders>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2" w:type="pct"/>
            <w:vMerge/>
            <w:tcBorders>
              <w:left w:val="nil"/>
              <w:bottom w:val="single" w:sz="4" w:space="0" w:color="auto"/>
              <w:right w:val="nil"/>
            </w:tcBorders>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2" w:type="pct"/>
            <w:vMerge/>
            <w:tcBorders>
              <w:left w:val="nil"/>
              <w:bottom w:val="single" w:sz="4" w:space="0" w:color="auto"/>
              <w:right w:val="nil"/>
            </w:tcBorders>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2" w:type="pct"/>
            <w:vMerge/>
            <w:tcBorders>
              <w:left w:val="nil"/>
              <w:bottom w:val="single" w:sz="4" w:space="0" w:color="auto"/>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1" w:type="pct"/>
            <w:vMerge/>
            <w:tcBorders>
              <w:left w:val="nil"/>
              <w:bottom w:val="single" w:sz="4" w:space="0" w:color="auto"/>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r>
      <w:tr w:rsidR="00AA17E3" w:rsidRPr="0037771E" w:rsidTr="00C45BEF">
        <w:trPr>
          <w:trHeight w:val="184"/>
        </w:trPr>
        <w:tc>
          <w:tcPr>
            <w:tcW w:w="857"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Ochrana ovzdušia</w:t>
            </w:r>
          </w:p>
        </w:tc>
        <w:tc>
          <w:tcPr>
            <w:tcW w:w="2116"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Priemerná koncentrácia PM2,5 v ovzduší (μg/m3)</w:t>
            </w:r>
          </w:p>
        </w:tc>
        <w:tc>
          <w:tcPr>
            <w:tcW w:w="318" w:type="pct"/>
            <w:vMerge w:val="restar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SK</w:t>
            </w:r>
          </w:p>
        </w:tc>
        <w:tc>
          <w:tcPr>
            <w:tcW w:w="342" w:type="pct"/>
            <w:vMerge w:val="restart"/>
            <w:tcBorders>
              <w:left w:val="nil"/>
              <w:bottom w:val="nil"/>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17,5</w:t>
            </w:r>
          </w:p>
        </w:tc>
        <w:tc>
          <w:tcPr>
            <w:tcW w:w="342" w:type="pct"/>
            <w:vMerge w:val="restart"/>
            <w:tcBorders>
              <w:left w:val="nil"/>
              <w:bottom w:val="nil"/>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16,9</w:t>
            </w:r>
          </w:p>
        </w:tc>
        <w:tc>
          <w:tcPr>
            <w:tcW w:w="342" w:type="pct"/>
            <w:vMerge w:val="restart"/>
            <w:tcBorders>
              <w:left w:val="nil"/>
              <w:bottom w:val="nil"/>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13,8</w:t>
            </w:r>
          </w:p>
        </w:tc>
        <w:tc>
          <w:tcPr>
            <w:tcW w:w="342" w:type="pct"/>
            <w:vMerge w:val="restart"/>
            <w:tcBorders>
              <w:left w:val="nil"/>
              <w:bottom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10,8</w:t>
            </w:r>
          </w:p>
        </w:tc>
        <w:tc>
          <w:tcPr>
            <w:tcW w:w="341" w:type="pct"/>
            <w:vMerge w:val="restart"/>
            <w:tcBorders>
              <w:left w:val="nil"/>
              <w:bottom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8,6</w:t>
            </w:r>
          </w:p>
        </w:tc>
      </w:tr>
      <w:tr w:rsidR="00AA17E3" w:rsidRPr="0037771E" w:rsidTr="00C45BEF">
        <w:trPr>
          <w:trHeight w:val="45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vMerge/>
            <w:tcBorders>
              <w:top w:val="nil"/>
              <w:left w:val="nil"/>
              <w:bottom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2" w:type="pct"/>
            <w:vMerge/>
            <w:tcBorders>
              <w:top w:val="nil"/>
              <w:left w:val="nil"/>
              <w:bottom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1" w:type="pct"/>
            <w:vMerge/>
            <w:tcBorders>
              <w:top w:val="nil"/>
              <w:left w:val="nil"/>
              <w:bottom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r>
      <w:tr w:rsidR="00AA17E3" w:rsidRPr="0037771E" w:rsidTr="00C45BEF">
        <w:trPr>
          <w:trHeight w:val="2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EÚ</w:t>
            </w:r>
          </w:p>
        </w:tc>
        <w:tc>
          <w:tcPr>
            <w:tcW w:w="342" w:type="pct"/>
            <w:tcBorders>
              <w:top w:val="nil"/>
              <w:left w:val="nil"/>
              <w:bottom w:val="single" w:sz="4" w:space="0" w:color="auto"/>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14,9</w:t>
            </w:r>
          </w:p>
        </w:tc>
        <w:tc>
          <w:tcPr>
            <w:tcW w:w="342" w:type="pct"/>
            <w:tcBorders>
              <w:top w:val="nil"/>
              <w:left w:val="nil"/>
              <w:bottom w:val="single" w:sz="4" w:space="0" w:color="auto"/>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14,5</w:t>
            </w:r>
          </w:p>
        </w:tc>
        <w:tc>
          <w:tcPr>
            <w:tcW w:w="342" w:type="pct"/>
            <w:tcBorders>
              <w:top w:val="nil"/>
              <w:left w:val="nil"/>
              <w:bottom w:val="single" w:sz="4" w:space="0" w:color="auto"/>
              <w:right w:val="nil"/>
            </w:tcBorders>
            <w:shd w:val="clear" w:color="auto" w:fill="auto"/>
            <w:noWrap/>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12,6</w:t>
            </w:r>
          </w:p>
        </w:tc>
        <w:tc>
          <w:tcPr>
            <w:tcW w:w="342" w:type="pct"/>
            <w:tcBorders>
              <w:top w:val="nil"/>
              <w:left w:val="nil"/>
              <w:bottom w:val="single" w:sz="4" w:space="0" w:color="auto"/>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1" w:type="pct"/>
            <w:tcBorders>
              <w:top w:val="nil"/>
              <w:left w:val="nil"/>
              <w:bottom w:val="single" w:sz="4" w:space="0" w:color="auto"/>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r>
      <w:tr w:rsidR="00AA17E3" w:rsidRPr="0037771E" w:rsidTr="00C45BEF">
        <w:trPr>
          <w:trHeight w:val="208"/>
        </w:trPr>
        <w:tc>
          <w:tcPr>
            <w:tcW w:w="857"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Energeticky efektívne nízkouhlíkové hospodárstvo </w:t>
            </w:r>
          </w:p>
        </w:tc>
        <w:tc>
          <w:tcPr>
            <w:tcW w:w="2116" w:type="pct"/>
            <w:vMerge w:val="restar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b/>
                <w:sz w:val="16"/>
                <w:szCs w:val="16"/>
                <w:lang w:eastAsia="sk-SK"/>
              </w:rPr>
            </w:pPr>
            <w:r w:rsidRPr="0037771E">
              <w:rPr>
                <w:rFonts w:ascii="Times New Roman" w:eastAsia="Times New Roman" w:hAnsi="Times New Roman" w:cs="Times New Roman"/>
                <w:sz w:val="16"/>
                <w:szCs w:val="16"/>
                <w:lang w:eastAsia="sk-SK"/>
              </w:rPr>
              <w:t>Emisie skleníkových plynov (celkové emisie bez LULUCF, zníženie oproti roku 1990, v %)</w:t>
            </w:r>
          </w:p>
        </w:tc>
        <w:tc>
          <w:tcPr>
            <w:tcW w:w="318"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SK</w:t>
            </w:r>
          </w:p>
        </w:tc>
        <w:tc>
          <w:tcPr>
            <w:tcW w:w="342"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-44,1</w:t>
            </w:r>
          </w:p>
        </w:tc>
        <w:tc>
          <w:tcPr>
            <w:tcW w:w="342"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-42,7</w:t>
            </w:r>
          </w:p>
        </w:tc>
        <w:tc>
          <w:tcPr>
            <w:tcW w:w="342" w:type="pct"/>
            <w:tcBorders>
              <w:left w:val="nil"/>
              <w:bottom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-47,3</w:t>
            </w:r>
          </w:p>
        </w:tc>
        <w:tc>
          <w:tcPr>
            <w:tcW w:w="342" w:type="pct"/>
            <w:tcBorders>
              <w:left w:val="nil"/>
              <w:bottom w:val="nil"/>
              <w:right w:val="nil"/>
            </w:tcBorders>
            <w:shd w:val="clear" w:color="auto" w:fill="auto"/>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-50,7</w:t>
            </w:r>
          </w:p>
        </w:tc>
        <w:tc>
          <w:tcPr>
            <w:tcW w:w="341" w:type="pct"/>
            <w:tcBorders>
              <w:left w:val="nil"/>
              <w:bottom w:val="nil"/>
              <w:right w:val="nil"/>
            </w:tcBorders>
            <w:shd w:val="clear" w:color="auto" w:fill="auto"/>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-55,0</w:t>
            </w:r>
            <w:r w:rsidRPr="0037771E">
              <w:rPr>
                <w:rStyle w:val="Odkaznapoznmkupodiarou"/>
                <w:rFonts w:ascii="Times New Roman" w:hAnsi="Times New Roman"/>
                <w:sz w:val="16"/>
                <w:szCs w:val="16"/>
                <w:lang w:eastAsia="sk-SK"/>
              </w:rPr>
              <w:footnoteReference w:id="61"/>
            </w:r>
          </w:p>
        </w:tc>
      </w:tr>
      <w:tr w:rsidR="00AA17E3" w:rsidRPr="0037771E" w:rsidTr="00C45BEF">
        <w:trPr>
          <w:trHeight w:val="20"/>
        </w:trPr>
        <w:tc>
          <w:tcPr>
            <w:tcW w:w="857" w:type="pct"/>
            <w:vMerge/>
            <w:tcBorders>
              <w:left w:val="nil"/>
              <w:right w:val="nil"/>
            </w:tcBorders>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2116" w:type="pct"/>
            <w:vMerge/>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p>
        </w:tc>
        <w:tc>
          <w:tcPr>
            <w:tcW w:w="318"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EÚ</w:t>
            </w:r>
          </w:p>
        </w:tc>
        <w:tc>
          <w:tcPr>
            <w:tcW w:w="342"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-22,9</w:t>
            </w:r>
          </w:p>
        </w:tc>
        <w:tc>
          <w:tcPr>
            <w:tcW w:w="342"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-24,9</w:t>
            </w:r>
          </w:p>
        </w:tc>
        <w:tc>
          <w:tcPr>
            <w:tcW w:w="342" w:type="pct"/>
            <w:tcBorders>
              <w:top w:val="nil"/>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-27,9</w:t>
            </w:r>
          </w:p>
        </w:tc>
        <w:tc>
          <w:tcPr>
            <w:tcW w:w="342" w:type="pct"/>
            <w:tcBorders>
              <w:top w:val="nil"/>
              <w:left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c>
          <w:tcPr>
            <w:tcW w:w="341" w:type="pct"/>
            <w:tcBorders>
              <w:top w:val="nil"/>
              <w:left w:val="nil"/>
              <w:right w:val="nil"/>
            </w:tcBorders>
            <w:shd w:val="clear" w:color="auto" w:fill="auto"/>
            <w:vAlign w:val="center"/>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p>
        </w:tc>
      </w:tr>
      <w:tr w:rsidR="00AA17E3" w:rsidRPr="0037771E" w:rsidTr="00C45BEF">
        <w:trPr>
          <w:trHeight w:val="20"/>
        </w:trPr>
        <w:tc>
          <w:tcPr>
            <w:tcW w:w="857" w:type="pc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Ochrana prírody a krajiny</w:t>
            </w:r>
          </w:p>
        </w:tc>
        <w:tc>
          <w:tcPr>
            <w:tcW w:w="2116" w:type="pct"/>
            <w:tcBorders>
              <w:left w:val="nil"/>
              <w:right w:val="nil"/>
            </w:tcBorders>
            <w:shd w:val="clear" w:color="auto" w:fill="auto"/>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Podiel hodnotení biotopov európskeho významu v priaznivom stave (%)</w:t>
            </w:r>
          </w:p>
        </w:tc>
        <w:tc>
          <w:tcPr>
            <w:tcW w:w="318" w:type="pct"/>
            <w:tcBorders>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SK</w:t>
            </w:r>
          </w:p>
        </w:tc>
        <w:tc>
          <w:tcPr>
            <w:tcW w:w="342" w:type="pct"/>
            <w:tcBorders>
              <w:left w:val="nil"/>
              <w:right w:val="nil"/>
            </w:tcBorders>
            <w:shd w:val="clear" w:color="auto" w:fill="auto"/>
            <w:noWrap/>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 NA</w:t>
            </w:r>
          </w:p>
        </w:tc>
        <w:tc>
          <w:tcPr>
            <w:tcW w:w="342" w:type="pct"/>
            <w:tcBorders>
              <w:left w:val="nil"/>
              <w:right w:val="nil"/>
            </w:tcBorders>
            <w:shd w:val="clear" w:color="auto" w:fill="auto"/>
            <w:noWrap/>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34,6</w:t>
            </w:r>
          </w:p>
        </w:tc>
        <w:tc>
          <w:tcPr>
            <w:tcW w:w="342" w:type="pct"/>
            <w:tcBorders>
              <w:left w:val="nil"/>
              <w:right w:val="nil"/>
            </w:tcBorders>
            <w:shd w:val="clear" w:color="auto" w:fill="auto"/>
            <w:noWrap/>
            <w:vAlign w:val="center"/>
            <w:hideMark/>
          </w:tcPr>
          <w:p w:rsidR="00AA17E3" w:rsidRPr="0037771E" w:rsidRDefault="00AA17E3" w:rsidP="00AA17E3">
            <w:pPr>
              <w:spacing w:after="0" w:line="240" w:lineRule="auto"/>
              <w:contextualSpacing/>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 NA</w:t>
            </w:r>
          </w:p>
        </w:tc>
        <w:tc>
          <w:tcPr>
            <w:tcW w:w="342" w:type="pct"/>
            <w:tcBorders>
              <w:left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40</w:t>
            </w:r>
          </w:p>
        </w:tc>
        <w:tc>
          <w:tcPr>
            <w:tcW w:w="341" w:type="pct"/>
            <w:tcBorders>
              <w:left w:val="nil"/>
              <w:right w:val="nil"/>
            </w:tcBorders>
            <w:shd w:val="clear" w:color="auto" w:fill="auto"/>
            <w:vAlign w:val="center"/>
            <w:hideMark/>
          </w:tcPr>
          <w:p w:rsidR="00AA17E3" w:rsidRPr="0037771E" w:rsidRDefault="00AA17E3" w:rsidP="00AA17E3">
            <w:pPr>
              <w:spacing w:after="0" w:line="240" w:lineRule="auto"/>
              <w:contextualSpacing/>
              <w:jc w:val="center"/>
              <w:rPr>
                <w:rFonts w:ascii="Times New Roman" w:eastAsia="Times New Roman" w:hAnsi="Times New Roman" w:cs="Times New Roman"/>
                <w:sz w:val="16"/>
                <w:szCs w:val="16"/>
                <w:lang w:eastAsia="sk-SK"/>
              </w:rPr>
            </w:pPr>
            <w:r w:rsidRPr="0037771E">
              <w:rPr>
                <w:rFonts w:ascii="Times New Roman" w:eastAsia="Times New Roman" w:hAnsi="Times New Roman" w:cs="Times New Roman"/>
                <w:sz w:val="16"/>
                <w:szCs w:val="16"/>
                <w:lang w:eastAsia="sk-SK"/>
              </w:rPr>
              <w:t>40</w:t>
            </w:r>
          </w:p>
        </w:tc>
      </w:tr>
      <w:tr w:rsidR="00AA17E3" w:rsidRPr="0037771E" w:rsidTr="00C45BEF">
        <w:trPr>
          <w:trHeight w:val="20"/>
        </w:trPr>
        <w:tc>
          <w:tcPr>
            <w:tcW w:w="857" w:type="pct"/>
            <w:tcBorders>
              <w:top w:val="single" w:sz="4" w:space="0" w:color="auto"/>
              <w:left w:val="nil"/>
              <w:bottom w:val="nil"/>
              <w:right w:val="nil"/>
            </w:tcBorders>
            <w:vAlign w:val="center"/>
          </w:tcPr>
          <w:p w:rsidR="00AA17E3" w:rsidRPr="0037771E" w:rsidRDefault="00AA17E3" w:rsidP="0066156F">
            <w:pPr>
              <w:spacing w:after="0" w:line="240" w:lineRule="auto"/>
              <w:contextualSpacing/>
              <w:rPr>
                <w:rFonts w:ascii="Times New Roman" w:eastAsia="Times New Roman" w:hAnsi="Times New Roman" w:cs="Times New Roman"/>
                <w:sz w:val="16"/>
                <w:szCs w:val="16"/>
                <w:lang w:eastAsia="sk-SK"/>
              </w:rPr>
            </w:pPr>
          </w:p>
        </w:tc>
        <w:tc>
          <w:tcPr>
            <w:tcW w:w="2116" w:type="pct"/>
            <w:tcBorders>
              <w:top w:val="single" w:sz="4" w:space="0" w:color="auto"/>
              <w:left w:val="nil"/>
              <w:bottom w:val="nil"/>
              <w:right w:val="nil"/>
            </w:tcBorders>
            <w:vAlign w:val="center"/>
          </w:tcPr>
          <w:p w:rsidR="00AA17E3" w:rsidRPr="0037771E" w:rsidRDefault="00AA17E3" w:rsidP="0066156F">
            <w:pPr>
              <w:spacing w:after="0" w:line="240" w:lineRule="auto"/>
              <w:contextualSpacing/>
              <w:rPr>
                <w:rFonts w:ascii="Times New Roman" w:eastAsia="Times New Roman" w:hAnsi="Times New Roman" w:cs="Times New Roman"/>
                <w:sz w:val="16"/>
                <w:szCs w:val="16"/>
                <w:lang w:eastAsia="sk-SK"/>
              </w:rPr>
            </w:pPr>
          </w:p>
        </w:tc>
        <w:tc>
          <w:tcPr>
            <w:tcW w:w="318" w:type="pct"/>
            <w:tcBorders>
              <w:top w:val="single" w:sz="4" w:space="0" w:color="auto"/>
              <w:left w:val="nil"/>
              <w:bottom w:val="nil"/>
              <w:right w:val="nil"/>
            </w:tcBorders>
            <w:shd w:val="clear" w:color="auto" w:fill="auto"/>
            <w:noWrap/>
            <w:vAlign w:val="center"/>
          </w:tcPr>
          <w:p w:rsidR="00AA17E3" w:rsidRPr="0037771E" w:rsidRDefault="00AA17E3" w:rsidP="0066156F">
            <w:pPr>
              <w:spacing w:after="0" w:line="240" w:lineRule="auto"/>
              <w:contextualSpacing/>
              <w:jc w:val="center"/>
              <w:rPr>
                <w:rFonts w:ascii="Times New Roman" w:eastAsia="Times New Roman" w:hAnsi="Times New Roman" w:cs="Times New Roman"/>
                <w:sz w:val="16"/>
                <w:szCs w:val="16"/>
                <w:lang w:eastAsia="sk-SK"/>
              </w:rPr>
            </w:pPr>
          </w:p>
        </w:tc>
        <w:tc>
          <w:tcPr>
            <w:tcW w:w="1710" w:type="pct"/>
            <w:gridSpan w:val="5"/>
            <w:tcBorders>
              <w:top w:val="single" w:sz="4" w:space="0" w:color="auto"/>
              <w:left w:val="nil"/>
              <w:bottom w:val="nil"/>
              <w:right w:val="nil"/>
            </w:tcBorders>
            <w:shd w:val="clear" w:color="auto" w:fill="auto"/>
            <w:noWrap/>
          </w:tcPr>
          <w:p w:rsidR="00AA17E3" w:rsidRPr="0037771E" w:rsidRDefault="00AA17E3" w:rsidP="0066156F">
            <w:pPr>
              <w:spacing w:after="0" w:line="240" w:lineRule="auto"/>
              <w:contextualSpacing/>
              <w:jc w:val="right"/>
              <w:rPr>
                <w:rFonts w:ascii="Times New Roman" w:eastAsia="Times New Roman" w:hAnsi="Times New Roman" w:cs="Times New Roman"/>
                <w:i/>
                <w:sz w:val="14"/>
                <w:szCs w:val="16"/>
                <w:lang w:eastAsia="sk-SK"/>
              </w:rPr>
            </w:pPr>
            <w:r w:rsidRPr="0037771E">
              <w:rPr>
                <w:rFonts w:ascii="Times New Roman" w:eastAsia="Times New Roman" w:hAnsi="Times New Roman" w:cs="Times New Roman"/>
                <w:i/>
                <w:sz w:val="14"/>
                <w:szCs w:val="16"/>
                <w:lang w:eastAsia="sk-SK"/>
              </w:rPr>
              <w:t>Zdroj: Eurostat, MŽP SR</w:t>
            </w:r>
          </w:p>
        </w:tc>
      </w:tr>
    </w:tbl>
    <w:p w:rsidR="0066156F" w:rsidRDefault="0066156F" w:rsidP="0066156F">
      <w:pPr>
        <w:spacing w:after="0" w:line="240" w:lineRule="auto"/>
        <w:jc w:val="both"/>
        <w:rPr>
          <w:rFonts w:ascii="Times New Roman" w:eastAsia="Calibri" w:hAnsi="Times New Roman" w:cs="Times New Roman"/>
          <w:sz w:val="24"/>
          <w:szCs w:val="24"/>
        </w:rPr>
      </w:pPr>
    </w:p>
    <w:p w:rsidR="00AA17E3" w:rsidRDefault="00AA17E3" w:rsidP="0066156F">
      <w:pPr>
        <w:spacing w:after="0" w:line="240" w:lineRule="auto"/>
        <w:jc w:val="both"/>
        <w:rPr>
          <w:rFonts w:ascii="Times New Roman" w:eastAsia="Calibri" w:hAnsi="Times New Roman" w:cs="Times New Roman"/>
          <w:sz w:val="24"/>
          <w:szCs w:val="24"/>
        </w:rPr>
      </w:pPr>
      <w:r w:rsidRPr="0037771E">
        <w:rPr>
          <w:rFonts w:ascii="Times New Roman" w:eastAsia="Calibri" w:hAnsi="Times New Roman" w:cs="Times New Roman"/>
          <w:sz w:val="24"/>
          <w:szCs w:val="24"/>
        </w:rPr>
        <w:t>Pripojenie obyvateľstva na čistiarne odpadových vôd mierne rastie, ale stále výrazne zaostáva za európskym priemerom. Priemerná hodnota krajín EÚ dosahuje úroveň až 90 % pripojených obyvateľov, zatiaľ čo na Slovensku je pripojených takmer 70 %. Slovenský cieľ do roku 2030 počíta s plnou dostupnosťou v aglomeráciách s viac ako 2 000 obyvateľmi a s polovičnou v menších sídlach.</w:t>
      </w:r>
    </w:p>
    <w:p w:rsidR="0066156F" w:rsidRPr="0037771E" w:rsidRDefault="0066156F" w:rsidP="0066156F">
      <w:pPr>
        <w:spacing w:after="0" w:line="240" w:lineRule="auto"/>
        <w:jc w:val="both"/>
        <w:rPr>
          <w:rFonts w:ascii="Times New Roman" w:eastAsia="Calibri" w:hAnsi="Times New Roman" w:cs="Times New Roman"/>
          <w:sz w:val="24"/>
          <w:szCs w:val="24"/>
        </w:rPr>
      </w:pPr>
    </w:p>
    <w:p w:rsidR="00AA17E3" w:rsidRPr="0037771E" w:rsidRDefault="00AA17E3" w:rsidP="0066156F">
      <w:pPr>
        <w:spacing w:after="0" w:line="240" w:lineRule="auto"/>
        <w:jc w:val="both"/>
        <w:rPr>
          <w:rFonts w:ascii="Times New Roman" w:eastAsia="Calibri" w:hAnsi="Times New Roman" w:cs="Times New Roman"/>
          <w:sz w:val="24"/>
          <w:szCs w:val="24"/>
        </w:rPr>
      </w:pPr>
      <w:r w:rsidRPr="0037771E">
        <w:rPr>
          <w:rFonts w:ascii="Times New Roman" w:eastAsia="Calibri" w:hAnsi="Times New Roman" w:cs="Times New Roman"/>
          <w:sz w:val="24"/>
          <w:szCs w:val="24"/>
        </w:rPr>
        <w:t xml:space="preserve">Miera recyklácie komunálneho odpadu sa postupne zvyšuje, stále však nedosahuje úroveň európskeho priemeru. V porovnaní s priemerom EÚ je miera recyklácie nižšia o približne </w:t>
      </w:r>
      <w:r w:rsidRPr="0037771E">
        <w:rPr>
          <w:rFonts w:ascii="Times New Roman" w:eastAsia="Calibri" w:hAnsi="Times New Roman" w:cs="Times New Roman"/>
          <w:sz w:val="24"/>
          <w:szCs w:val="24"/>
        </w:rPr>
        <w:br/>
        <w:t>10 percentuálnych bodov, je však porovnateľná s krajinami V3. Od roku 2005 produkcia komunálneho odpadu rastie, objem nerecyklovateľnej časti sa zásadne nemení. Vyššia miera recyklácie je podmienená rastom miery triedenia, reformou rozšírenej zodpovednosti výrobcov a dodávateľov za odpad, ktorý vznikol z ich výrobkov a zavádzaním ekonomických motivačných nástrojov.</w:t>
      </w:r>
    </w:p>
    <w:p w:rsidR="00AA17E3" w:rsidRPr="0066156F" w:rsidRDefault="00AA17E3" w:rsidP="0066156F">
      <w:pPr>
        <w:spacing w:after="0"/>
        <w:rPr>
          <w:sz w:val="24"/>
        </w:rPr>
      </w:pPr>
    </w:p>
    <w:tbl>
      <w:tblPr>
        <w:tblStyle w:val="Mriekatabuky2"/>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222"/>
        <w:gridCol w:w="4345"/>
      </w:tblGrid>
      <w:tr w:rsidR="00AA17E3" w:rsidRPr="0037771E" w:rsidTr="00AA17E3">
        <w:trPr>
          <w:trHeight w:val="20"/>
        </w:trPr>
        <w:tc>
          <w:tcPr>
            <w:tcW w:w="4395" w:type="dxa"/>
            <w:tcBorders>
              <w:bottom w:val="single" w:sz="4" w:space="0" w:color="auto"/>
            </w:tcBorders>
          </w:tcPr>
          <w:p w:rsidR="00AA17E3" w:rsidRPr="0037771E" w:rsidRDefault="00AA17E3" w:rsidP="0066156F">
            <w:pPr>
              <w:keepNext/>
              <w:contextualSpacing/>
              <w:rPr>
                <w:rFonts w:ascii="Times New Roman" w:eastAsia="Calibri" w:hAnsi="Times New Roman"/>
                <w:i/>
                <w:iCs/>
                <w:color w:val="44546A" w:themeColor="text2"/>
                <w:sz w:val="24"/>
                <w:szCs w:val="24"/>
              </w:rPr>
            </w:pPr>
            <w:bookmarkStart w:id="544" w:name="_Toc84528544"/>
            <w:bookmarkStart w:id="545" w:name="_Toc84848035"/>
            <w:r w:rsidRPr="006B209A">
              <w:rPr>
                <w:rFonts w:ascii="Times New Roman" w:hAnsi="Times New Roman"/>
                <w:b/>
                <w:iCs/>
                <w:color w:val="5B9BD5" w:themeColor="accent1"/>
                <w:sz w:val="20"/>
                <w:szCs w:val="20"/>
              </w:rPr>
              <w:t xml:space="preserve">Graf </w:t>
            </w:r>
            <w:r w:rsidRPr="006B209A">
              <w:rPr>
                <w:rFonts w:ascii="Times New Roman" w:hAnsi="Times New Roman"/>
                <w:b/>
                <w:iCs/>
                <w:color w:val="5B9BD5" w:themeColor="accent1"/>
                <w:sz w:val="20"/>
                <w:szCs w:val="20"/>
              </w:rPr>
              <w:fldChar w:fldCharType="begin"/>
            </w:r>
            <w:r w:rsidRPr="006B209A">
              <w:rPr>
                <w:rFonts w:ascii="Times New Roman" w:hAnsi="Times New Roman"/>
                <w:b/>
                <w:iCs/>
                <w:color w:val="5B9BD5" w:themeColor="accent1"/>
                <w:sz w:val="20"/>
                <w:szCs w:val="20"/>
              </w:rPr>
              <w:instrText xml:space="preserve"> SEQ Obrázok \* ARABIC </w:instrText>
            </w:r>
            <w:r w:rsidRPr="006B209A">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44</w:t>
            </w:r>
            <w:r w:rsidRPr="006B209A">
              <w:rPr>
                <w:rFonts w:ascii="Times New Roman" w:hAnsi="Times New Roman"/>
                <w:b/>
                <w:iCs/>
                <w:color w:val="5B9BD5" w:themeColor="accent1"/>
                <w:sz w:val="20"/>
                <w:szCs w:val="20"/>
              </w:rPr>
              <w:fldChar w:fldCharType="end"/>
            </w:r>
            <w:r w:rsidR="00441800">
              <w:rPr>
                <w:rFonts w:ascii="Times New Roman" w:eastAsiaTheme="minorHAnsi" w:hAnsi="Times New Roman"/>
                <w:b/>
                <w:iCs/>
                <w:color w:val="5B9BD5" w:themeColor="accent1"/>
                <w:sz w:val="20"/>
                <w:szCs w:val="20"/>
              </w:rPr>
              <w:t xml:space="preserve"> -</w:t>
            </w:r>
            <w:r w:rsidRPr="00896810">
              <w:rPr>
                <w:rFonts w:ascii="Times New Roman" w:eastAsiaTheme="minorHAnsi" w:hAnsi="Times New Roman"/>
                <w:b/>
                <w:iCs/>
                <w:color w:val="5B9BD5" w:themeColor="accent1"/>
                <w:sz w:val="20"/>
                <w:szCs w:val="20"/>
              </w:rPr>
              <w:t xml:space="preserve"> Napojenie obyvateľstva na verejnú kanalizáciu</w:t>
            </w:r>
            <w:bookmarkEnd w:id="544"/>
            <w:bookmarkEnd w:id="545"/>
          </w:p>
        </w:tc>
        <w:tc>
          <w:tcPr>
            <w:tcW w:w="236" w:type="dxa"/>
          </w:tcPr>
          <w:p w:rsidR="00AA17E3" w:rsidRPr="0037771E" w:rsidRDefault="00AA17E3" w:rsidP="0066156F">
            <w:pPr>
              <w:contextualSpacing/>
              <w:jc w:val="both"/>
              <w:rPr>
                <w:rFonts w:ascii="Times New Roman" w:eastAsia="Calibri" w:hAnsi="Times New Roman"/>
                <w:sz w:val="24"/>
                <w:szCs w:val="24"/>
              </w:rPr>
            </w:pPr>
          </w:p>
        </w:tc>
        <w:tc>
          <w:tcPr>
            <w:tcW w:w="4441" w:type="dxa"/>
            <w:tcBorders>
              <w:bottom w:val="single" w:sz="4" w:space="0" w:color="auto"/>
            </w:tcBorders>
          </w:tcPr>
          <w:p w:rsidR="00AA17E3" w:rsidRPr="0037771E" w:rsidRDefault="00AA17E3" w:rsidP="0066156F">
            <w:pPr>
              <w:keepNext/>
              <w:contextualSpacing/>
              <w:rPr>
                <w:rFonts w:ascii="Times New Roman" w:eastAsia="Calibri" w:hAnsi="Times New Roman"/>
                <w:i/>
                <w:iCs/>
                <w:color w:val="44546A" w:themeColor="text2"/>
                <w:sz w:val="24"/>
                <w:szCs w:val="24"/>
              </w:rPr>
            </w:pPr>
            <w:bookmarkStart w:id="546" w:name="_Toc84528545"/>
            <w:bookmarkStart w:id="547" w:name="_Toc84848036"/>
            <w:r w:rsidRPr="006B209A">
              <w:rPr>
                <w:rFonts w:ascii="Times New Roman" w:hAnsi="Times New Roman"/>
                <w:b/>
                <w:iCs/>
                <w:color w:val="5B9BD5" w:themeColor="accent1"/>
                <w:sz w:val="20"/>
                <w:szCs w:val="20"/>
              </w:rPr>
              <w:t xml:space="preserve">Graf </w:t>
            </w:r>
            <w:r w:rsidRPr="006B209A">
              <w:rPr>
                <w:rFonts w:ascii="Times New Roman" w:hAnsi="Times New Roman"/>
                <w:b/>
                <w:iCs/>
                <w:color w:val="5B9BD5" w:themeColor="accent1"/>
                <w:sz w:val="20"/>
                <w:szCs w:val="20"/>
              </w:rPr>
              <w:fldChar w:fldCharType="begin"/>
            </w:r>
            <w:r w:rsidRPr="006B209A">
              <w:rPr>
                <w:rFonts w:ascii="Times New Roman" w:hAnsi="Times New Roman"/>
                <w:b/>
                <w:iCs/>
                <w:color w:val="5B9BD5" w:themeColor="accent1"/>
                <w:sz w:val="20"/>
                <w:szCs w:val="20"/>
              </w:rPr>
              <w:instrText xml:space="preserve"> SEQ Obrázok \* ARABIC </w:instrText>
            </w:r>
            <w:r w:rsidRPr="006B209A">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45</w:t>
            </w:r>
            <w:r w:rsidRPr="006B209A">
              <w:rPr>
                <w:rFonts w:ascii="Times New Roman" w:hAnsi="Times New Roman"/>
                <w:b/>
                <w:iCs/>
                <w:color w:val="5B9BD5" w:themeColor="accent1"/>
                <w:sz w:val="20"/>
                <w:szCs w:val="20"/>
              </w:rPr>
              <w:fldChar w:fldCharType="end"/>
            </w:r>
            <w:r w:rsidR="00441800">
              <w:rPr>
                <w:rFonts w:ascii="Times New Roman" w:hAnsi="Times New Roman"/>
                <w:b/>
                <w:iCs/>
                <w:color w:val="5B9BD5" w:themeColor="accent1"/>
                <w:sz w:val="20"/>
                <w:szCs w:val="20"/>
              </w:rPr>
              <w:t xml:space="preserve"> -</w:t>
            </w:r>
            <w:r w:rsidRPr="0037771E">
              <w:rPr>
                <w:rFonts w:ascii="Times New Roman" w:hAnsi="Times New Roman"/>
                <w:b/>
                <w:iCs/>
                <w:color w:val="5B9BD5" w:themeColor="accent1"/>
                <w:sz w:val="20"/>
                <w:szCs w:val="20"/>
              </w:rPr>
              <w:t xml:space="preserve"> </w:t>
            </w:r>
            <w:r w:rsidRPr="0037771E">
              <w:rPr>
                <w:rFonts w:ascii="Times New Roman" w:eastAsiaTheme="minorHAnsi" w:hAnsi="Times New Roman"/>
                <w:b/>
                <w:iCs/>
                <w:color w:val="5B9BD5" w:themeColor="accent1"/>
                <w:sz w:val="20"/>
                <w:szCs w:val="18"/>
              </w:rPr>
              <w:t>Miera recyklácie komunálneho odpadu (2019)</w:t>
            </w:r>
            <w:bookmarkEnd w:id="546"/>
            <w:bookmarkEnd w:id="547"/>
          </w:p>
        </w:tc>
      </w:tr>
      <w:tr w:rsidR="00AA17E3" w:rsidRPr="0037771E" w:rsidTr="00AA17E3">
        <w:tblPrEx>
          <w:tblCellMar>
            <w:left w:w="70" w:type="dxa"/>
            <w:right w:w="70" w:type="dxa"/>
          </w:tblCellMar>
        </w:tblPrEx>
        <w:trPr>
          <w:trHeight w:val="20"/>
        </w:trPr>
        <w:tc>
          <w:tcPr>
            <w:tcW w:w="4395" w:type="dxa"/>
            <w:tcBorders>
              <w:top w:val="single" w:sz="4" w:space="0" w:color="auto"/>
              <w:bottom w:val="single" w:sz="4" w:space="0" w:color="auto"/>
            </w:tcBorders>
          </w:tcPr>
          <w:p w:rsidR="00AA17E3" w:rsidRPr="0037771E" w:rsidRDefault="00AA17E3" w:rsidP="00AA17E3">
            <w:pPr>
              <w:spacing w:before="240"/>
              <w:contextualSpacing/>
              <w:jc w:val="both"/>
              <w:rPr>
                <w:rFonts w:ascii="Times New Roman" w:eastAsia="Calibri" w:hAnsi="Times New Roman"/>
                <w:sz w:val="24"/>
                <w:szCs w:val="24"/>
              </w:rPr>
            </w:pPr>
            <w:r w:rsidRPr="0037771E">
              <w:rPr>
                <w:noProof/>
                <w:lang w:eastAsia="sk-SK"/>
              </w:rPr>
              <w:drawing>
                <wp:inline distT="0" distB="0" distL="0" distR="0" wp14:anchorId="0BA93F08" wp14:editId="76E3CBDA">
                  <wp:extent cx="2779485" cy="2358571"/>
                  <wp:effectExtent l="0" t="0" r="1905" b="381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236" w:type="dxa"/>
          </w:tcPr>
          <w:p w:rsidR="00AA17E3" w:rsidRPr="0037771E" w:rsidRDefault="00AA17E3" w:rsidP="00AA17E3">
            <w:pPr>
              <w:spacing w:before="240"/>
              <w:contextualSpacing/>
              <w:jc w:val="both"/>
              <w:rPr>
                <w:rFonts w:ascii="Times New Roman" w:eastAsia="Calibri" w:hAnsi="Times New Roman"/>
                <w:sz w:val="24"/>
                <w:szCs w:val="24"/>
              </w:rPr>
            </w:pPr>
          </w:p>
        </w:tc>
        <w:tc>
          <w:tcPr>
            <w:tcW w:w="4441" w:type="dxa"/>
            <w:tcBorders>
              <w:top w:val="single" w:sz="4" w:space="0" w:color="auto"/>
              <w:bottom w:val="single" w:sz="4" w:space="0" w:color="auto"/>
            </w:tcBorders>
          </w:tcPr>
          <w:p w:rsidR="00AA17E3" w:rsidRPr="0037771E" w:rsidRDefault="00AA17E3" w:rsidP="00AA17E3">
            <w:pPr>
              <w:spacing w:before="240"/>
              <w:contextualSpacing/>
              <w:jc w:val="both"/>
              <w:rPr>
                <w:rFonts w:ascii="Times New Roman" w:eastAsia="Calibri" w:hAnsi="Times New Roman"/>
                <w:sz w:val="24"/>
                <w:szCs w:val="24"/>
              </w:rPr>
            </w:pPr>
            <w:r w:rsidRPr="0037771E">
              <w:rPr>
                <w:noProof/>
                <w:lang w:eastAsia="sk-SK"/>
              </w:rPr>
              <w:drawing>
                <wp:inline distT="0" distB="0" distL="0" distR="0" wp14:anchorId="1C106202" wp14:editId="3B8CAB49">
                  <wp:extent cx="2675890" cy="2365828"/>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AA17E3" w:rsidRPr="0037771E" w:rsidTr="00AA17E3">
        <w:trPr>
          <w:trHeight w:val="20"/>
        </w:trPr>
        <w:tc>
          <w:tcPr>
            <w:tcW w:w="4395" w:type="dxa"/>
            <w:tcBorders>
              <w:top w:val="single" w:sz="4" w:space="0" w:color="auto"/>
            </w:tcBorders>
          </w:tcPr>
          <w:p w:rsidR="00AA17E3" w:rsidRPr="0037771E" w:rsidRDefault="00AA17E3" w:rsidP="00AA17E3">
            <w:pPr>
              <w:spacing w:before="240"/>
              <w:contextualSpacing/>
              <w:jc w:val="right"/>
              <w:rPr>
                <w:rFonts w:ascii="Times New Roman" w:eastAsia="Calibri" w:hAnsi="Times New Roman"/>
                <w:sz w:val="24"/>
                <w:szCs w:val="24"/>
              </w:rPr>
            </w:pPr>
            <w:r w:rsidRPr="0037771E">
              <w:rPr>
                <w:rFonts w:ascii="Times New Roman" w:hAnsi="Times New Roman"/>
                <w:i/>
                <w:noProof/>
                <w:sz w:val="16"/>
                <w:szCs w:val="16"/>
                <w:lang w:eastAsia="sk-SK"/>
              </w:rPr>
              <w:t>Zdroj: VÚVH</w:t>
            </w:r>
          </w:p>
        </w:tc>
        <w:tc>
          <w:tcPr>
            <w:tcW w:w="236" w:type="dxa"/>
          </w:tcPr>
          <w:p w:rsidR="00AA17E3" w:rsidRPr="0037771E" w:rsidRDefault="00AA17E3" w:rsidP="00AA17E3">
            <w:pPr>
              <w:spacing w:before="240"/>
              <w:contextualSpacing/>
              <w:jc w:val="both"/>
              <w:rPr>
                <w:rFonts w:ascii="Times New Roman" w:eastAsia="Calibri" w:hAnsi="Times New Roman"/>
                <w:sz w:val="24"/>
                <w:szCs w:val="24"/>
              </w:rPr>
            </w:pPr>
          </w:p>
        </w:tc>
        <w:tc>
          <w:tcPr>
            <w:tcW w:w="4441" w:type="dxa"/>
            <w:tcBorders>
              <w:top w:val="single" w:sz="4" w:space="0" w:color="auto"/>
            </w:tcBorders>
          </w:tcPr>
          <w:p w:rsidR="00AA17E3" w:rsidRPr="0037771E" w:rsidRDefault="00AA17E3" w:rsidP="00AA17E3">
            <w:pPr>
              <w:spacing w:before="240"/>
              <w:contextualSpacing/>
              <w:jc w:val="right"/>
              <w:rPr>
                <w:rFonts w:ascii="Times New Roman" w:eastAsia="Calibri" w:hAnsi="Times New Roman"/>
                <w:sz w:val="24"/>
                <w:szCs w:val="24"/>
              </w:rPr>
            </w:pPr>
            <w:r w:rsidRPr="0037771E">
              <w:rPr>
                <w:rFonts w:ascii="Times New Roman" w:hAnsi="Times New Roman"/>
                <w:i/>
                <w:noProof/>
                <w:sz w:val="16"/>
                <w:szCs w:val="16"/>
                <w:lang w:eastAsia="sk-SK"/>
              </w:rPr>
              <w:t>Zdroj: Eurostat</w:t>
            </w:r>
          </w:p>
        </w:tc>
      </w:tr>
    </w:tbl>
    <w:p w:rsidR="00AA17E3" w:rsidRPr="0037771E" w:rsidRDefault="00AA17E3" w:rsidP="00AA17E3">
      <w:pPr>
        <w:spacing w:before="240" w:after="0" w:line="240" w:lineRule="auto"/>
        <w:jc w:val="both"/>
        <w:rPr>
          <w:rFonts w:ascii="Times New Roman" w:eastAsia="Calibri" w:hAnsi="Times New Roman" w:cs="Times New Roman"/>
          <w:sz w:val="24"/>
          <w:szCs w:val="24"/>
        </w:rPr>
      </w:pPr>
      <w:r w:rsidRPr="0037771E">
        <w:rPr>
          <w:rFonts w:ascii="Times New Roman" w:eastAsia="Calibri" w:hAnsi="Times New Roman" w:cs="Times New Roman"/>
          <w:sz w:val="24"/>
          <w:szCs w:val="24"/>
        </w:rPr>
        <w:t xml:space="preserve">Relatívne veľký problém Slovenska sú lokality s environmentálnou záťažou. Preto jedným z cieľov v oblasti životného prostredia je sanovanie a rekultivácia znečistených lokalít, ich počet každoročne rastie. Do roku 2030 ich plánuje Slovensko ročne sanovať a rekultivovať o 20 % viac. </w:t>
      </w:r>
    </w:p>
    <w:p w:rsidR="00AA17E3" w:rsidRPr="0037771E" w:rsidRDefault="00AA17E3" w:rsidP="00AA17E3">
      <w:pPr>
        <w:spacing w:before="240" w:after="0" w:line="240" w:lineRule="auto"/>
        <w:jc w:val="both"/>
        <w:rPr>
          <w:rFonts w:ascii="Times New Roman" w:eastAsia="Calibri" w:hAnsi="Times New Roman" w:cs="Times New Roman"/>
          <w:sz w:val="24"/>
          <w:szCs w:val="24"/>
        </w:rPr>
      </w:pPr>
      <w:r w:rsidRPr="0037771E">
        <w:rPr>
          <w:rFonts w:ascii="Times New Roman" w:eastAsia="Calibri" w:hAnsi="Times New Roman" w:cs="Times New Roman"/>
          <w:sz w:val="24"/>
          <w:szCs w:val="24"/>
        </w:rPr>
        <w:t>Nadpriemerná koncentrácia prachových častíc poukazuje na rezervy vo vykurovaní a doprave. Odporúčanú koncentráciu WHO prekračuje Slovensko takmer o 40 %, v roku 2019 napriek výraznému zlepšeniu koncentrácie častíc sa umiestnilo na 19. mieste spomedzi krajín EÚ. K redukcii znečistenia prispeje najmä podpora výmeny starších kotlov v domácnostiach, útlm uhoľnej energetiky a rozvoj alternatív k automobilovej doprave. Na zníženie nadpriemernej koncentráci</w:t>
      </w:r>
      <w:r>
        <w:rPr>
          <w:rFonts w:ascii="Times New Roman" w:eastAsia="Calibri" w:hAnsi="Times New Roman" w:cs="Times New Roman"/>
          <w:sz w:val="24"/>
          <w:szCs w:val="24"/>
        </w:rPr>
        <w:t>e</w:t>
      </w:r>
      <w:r w:rsidRPr="0037771E">
        <w:rPr>
          <w:rFonts w:ascii="Times New Roman" w:eastAsia="Calibri" w:hAnsi="Times New Roman" w:cs="Times New Roman"/>
          <w:sz w:val="24"/>
          <w:szCs w:val="24"/>
        </w:rPr>
        <w:t xml:space="preserve"> prachových častíc reaguje aj Plán obnovy a odolnosti. V oblasti zelenej ekonomiky poskytne finančný impulz na výmenu technológií v rámci dekarbonizácie a pomocou finančného mechanizmu schém pomoci pre budovanie nabíjacích bodov pre elektromobily a vodíkové plniace stanice.</w:t>
      </w:r>
    </w:p>
    <w:p w:rsidR="00AA17E3" w:rsidRDefault="00AA17E3" w:rsidP="00AA17E3">
      <w:pPr>
        <w:spacing w:before="240" w:after="0" w:line="240" w:lineRule="auto"/>
        <w:jc w:val="both"/>
        <w:rPr>
          <w:rFonts w:ascii="Times New Roman" w:eastAsia="Calibri" w:hAnsi="Times New Roman" w:cs="Times New Roman"/>
          <w:sz w:val="24"/>
          <w:szCs w:val="24"/>
        </w:rPr>
      </w:pPr>
      <w:r w:rsidRPr="0037771E">
        <w:rPr>
          <w:rFonts w:ascii="Times New Roman" w:eastAsia="Calibri" w:hAnsi="Times New Roman" w:cs="Times New Roman"/>
          <w:sz w:val="24"/>
          <w:szCs w:val="24"/>
        </w:rPr>
        <w:t xml:space="preserve">Pozitívny trend znižovania emisií skleníkových plynov sa od roku 2015 spomalil. Oproti roku 1990 dosiahlo Slovensko v roku 2019 mieru zníženia emisií o takmer 50 %, </w:t>
      </w:r>
      <w:r w:rsidRPr="0037771E" w:rsidDel="00F012E8">
        <w:rPr>
          <w:rFonts w:ascii="Times New Roman" w:eastAsia="Calibri" w:hAnsi="Times New Roman" w:cs="Times New Roman"/>
          <w:sz w:val="24"/>
          <w:szCs w:val="24"/>
        </w:rPr>
        <w:t xml:space="preserve"> </w:t>
      </w:r>
      <w:r w:rsidRPr="0037771E">
        <w:rPr>
          <w:rFonts w:ascii="Times New Roman" w:eastAsia="Calibri" w:hAnsi="Times New Roman" w:cs="Times New Roman"/>
          <w:sz w:val="24"/>
          <w:szCs w:val="24"/>
        </w:rPr>
        <w:t>krajiny EÚ zaznamenali v rovnakom období pokles o takmer 30 %. Priestor pre ďalšie zníženie emisií skleníkových vplyvov je najmä v energetike, doprave, priemysle či sektore budov.</w:t>
      </w:r>
    </w:p>
    <w:p w:rsidR="00AA17E3" w:rsidRPr="0037771E" w:rsidRDefault="00AA17E3" w:rsidP="00AA17E3">
      <w:pPr>
        <w:spacing w:after="0" w:line="240" w:lineRule="auto"/>
        <w:jc w:val="both"/>
        <w:rPr>
          <w:rFonts w:ascii="Times New Roman" w:eastAsia="Calibri" w:hAnsi="Times New Roman" w:cs="Times New Roman"/>
          <w:sz w:val="24"/>
          <w:szCs w:val="24"/>
        </w:rPr>
      </w:pPr>
    </w:p>
    <w:p w:rsidR="00AA17E3" w:rsidRDefault="00AA17E3" w:rsidP="00AA17E3">
      <w:pPr>
        <w:spacing w:after="0" w:line="240" w:lineRule="auto"/>
        <w:jc w:val="both"/>
        <w:rPr>
          <w:rFonts w:ascii="Times New Roman" w:eastAsia="Calibri" w:hAnsi="Times New Roman" w:cs="Times New Roman"/>
          <w:sz w:val="24"/>
          <w:szCs w:val="24"/>
        </w:rPr>
      </w:pPr>
      <w:r w:rsidRPr="0037771E">
        <w:rPr>
          <w:rFonts w:ascii="Times New Roman" w:eastAsia="Calibri" w:hAnsi="Times New Roman" w:cs="Times New Roman"/>
          <w:sz w:val="24"/>
          <w:szCs w:val="24"/>
        </w:rPr>
        <w:t xml:space="preserve">Ochrana prírody sa zameriava na udržiavanie biotopov európskeho významu v priaznivom stave. V súčasnosti ich je viac ako tretina, Slovensko plánuje do roku 2030 zvýšiť uvedený podiel na aspoň 40 %.  </w:t>
      </w:r>
    </w:p>
    <w:p w:rsidR="00AA17E3" w:rsidRPr="0037771E" w:rsidRDefault="00AA17E3" w:rsidP="00AA17E3">
      <w:pPr>
        <w:spacing w:after="0" w:line="240" w:lineRule="auto"/>
        <w:jc w:val="both"/>
        <w:rPr>
          <w:rFonts w:ascii="Times New Roman" w:hAnsi="Times New Roman" w:cs="Times New Roman"/>
          <w:sz w:val="24"/>
          <w:szCs w:val="24"/>
        </w:rPr>
      </w:pPr>
    </w:p>
    <w:p w:rsidR="00AA17E3" w:rsidRDefault="00AA17E3" w:rsidP="00AA17E3">
      <w:pPr>
        <w:spacing w:after="0" w:line="240" w:lineRule="auto"/>
        <w:jc w:val="both"/>
        <w:rPr>
          <w:rFonts w:ascii="Times New Roman" w:hAnsi="Times New Roman" w:cs="Times New Roman"/>
          <w:sz w:val="24"/>
          <w:szCs w:val="24"/>
        </w:rPr>
      </w:pPr>
      <w:r w:rsidRPr="0037771E">
        <w:rPr>
          <w:rFonts w:ascii="Times New Roman" w:hAnsi="Times New Roman" w:cs="Times New Roman"/>
          <w:sz w:val="24"/>
          <w:szCs w:val="24"/>
        </w:rPr>
        <w:t>Výdavkami v oblasti životného prostredia sa zabezpečujú úlohy najmä v oblasti ochrany prírody a krajiny, vodného hospodárstva, ochrany pred povodňami, ochrany kvality a množstva vôd a ich racionálneho využívania, ochrany ovzdušia, ozónovej vrstvy a klimatického systému Zeme, odpadového hospodárstva a geologického výskumu a prieskumu.</w:t>
      </w:r>
    </w:p>
    <w:p w:rsidR="00AA17E3" w:rsidRDefault="00AA17E3" w:rsidP="00AA17E3">
      <w:pPr>
        <w:spacing w:after="0" w:line="240" w:lineRule="auto"/>
        <w:jc w:val="both"/>
        <w:rPr>
          <w:rFonts w:ascii="Times New Roman" w:hAnsi="Times New Roman" w:cs="Times New Roman"/>
          <w:sz w:val="24"/>
          <w:szCs w:val="24"/>
        </w:rPr>
      </w:pPr>
    </w:p>
    <w:p w:rsidR="00AA17E3" w:rsidRPr="0037771E" w:rsidRDefault="00AA17E3" w:rsidP="00AA17E3">
      <w:pPr>
        <w:pStyle w:val="Popis"/>
        <w:keepNext/>
        <w:spacing w:after="0"/>
        <w:rPr>
          <w:rFonts w:ascii="Times New Roman" w:hAnsi="Times New Roman" w:cs="Times New Roman"/>
          <w:b/>
          <w:i w:val="0"/>
          <w:color w:val="5B9BD5" w:themeColor="accent1"/>
          <w:sz w:val="20"/>
          <w:szCs w:val="20"/>
        </w:rPr>
      </w:pPr>
      <w:bookmarkStart w:id="548" w:name="_Toc84528472"/>
      <w:bookmarkStart w:id="549" w:name="_Toc84845348"/>
      <w:r w:rsidRPr="0037771E">
        <w:rPr>
          <w:rFonts w:ascii="Times New Roman" w:hAnsi="Times New Roman" w:cs="Times New Roman"/>
          <w:b/>
          <w:i w:val="0"/>
          <w:color w:val="5B9BD5" w:themeColor="accent1"/>
          <w:sz w:val="20"/>
          <w:szCs w:val="20"/>
        </w:rPr>
        <w:t xml:space="preserve">Tabuľka </w:t>
      </w:r>
      <w:r w:rsidRPr="0037771E">
        <w:rPr>
          <w:rFonts w:ascii="Times New Roman" w:hAnsi="Times New Roman" w:cs="Times New Roman"/>
          <w:b/>
          <w:i w:val="0"/>
          <w:color w:val="5B9BD5" w:themeColor="accent1"/>
          <w:sz w:val="20"/>
          <w:szCs w:val="20"/>
        </w:rPr>
        <w:fldChar w:fldCharType="begin"/>
      </w:r>
      <w:r w:rsidRPr="0037771E">
        <w:rPr>
          <w:rFonts w:ascii="Times New Roman" w:hAnsi="Times New Roman" w:cs="Times New Roman"/>
          <w:b/>
          <w:i w:val="0"/>
          <w:color w:val="5B9BD5" w:themeColor="accent1"/>
          <w:sz w:val="20"/>
          <w:szCs w:val="20"/>
        </w:rPr>
        <w:instrText xml:space="preserve"> SEQ Tabuľka \* ARABIC </w:instrText>
      </w:r>
      <w:r w:rsidRPr="0037771E">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124</w:t>
      </w:r>
      <w:r w:rsidRPr="0037771E">
        <w:rPr>
          <w:rFonts w:ascii="Times New Roman" w:hAnsi="Times New Roman" w:cs="Times New Roman"/>
          <w:b/>
          <w:i w:val="0"/>
          <w:color w:val="5B9BD5" w:themeColor="accent1"/>
          <w:sz w:val="20"/>
          <w:szCs w:val="20"/>
        </w:rPr>
        <w:fldChar w:fldCharType="end"/>
      </w:r>
      <w:r w:rsidRPr="0037771E">
        <w:rPr>
          <w:rFonts w:ascii="Times New Roman" w:hAnsi="Times New Roman" w:cs="Times New Roman"/>
          <w:b/>
          <w:i w:val="0"/>
          <w:color w:val="5B9BD5" w:themeColor="accent1"/>
          <w:sz w:val="20"/>
          <w:szCs w:val="20"/>
        </w:rPr>
        <w:t xml:space="preserve"> - Výdavky oblasti životného prostredia</w:t>
      </w:r>
      <w:bookmarkEnd w:id="548"/>
      <w:bookmarkEnd w:id="549"/>
    </w:p>
    <w:tbl>
      <w:tblPr>
        <w:tblW w:w="9323" w:type="dxa"/>
        <w:tblCellMar>
          <w:left w:w="70" w:type="dxa"/>
          <w:right w:w="70" w:type="dxa"/>
        </w:tblCellMar>
        <w:tblLook w:val="04A0" w:firstRow="1" w:lastRow="0" w:firstColumn="1" w:lastColumn="0" w:noHBand="0" w:noVBand="1"/>
      </w:tblPr>
      <w:tblGrid>
        <w:gridCol w:w="3338"/>
        <w:gridCol w:w="824"/>
        <w:gridCol w:w="824"/>
        <w:gridCol w:w="824"/>
        <w:gridCol w:w="891"/>
        <w:gridCol w:w="824"/>
        <w:gridCol w:w="974"/>
        <w:gridCol w:w="824"/>
      </w:tblGrid>
      <w:tr w:rsidR="00AA17E3" w:rsidRPr="0037771E" w:rsidTr="00AA17E3">
        <w:trPr>
          <w:trHeight w:val="185"/>
        </w:trPr>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v tis. eur</w:t>
            </w:r>
          </w:p>
        </w:tc>
        <w:tc>
          <w:tcPr>
            <w:tcW w:w="0" w:type="auto"/>
            <w:tcBorders>
              <w:top w:val="single" w:sz="4" w:space="0" w:color="auto"/>
              <w:left w:val="nil"/>
              <w:bottom w:val="single" w:sz="4" w:space="0" w:color="auto"/>
              <w:right w:val="nil"/>
            </w:tcBorders>
            <w:shd w:val="clear" w:color="auto" w:fill="auto"/>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2019 S</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2020 S</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R</w:t>
            </w:r>
          </w:p>
        </w:tc>
        <w:tc>
          <w:tcPr>
            <w:tcW w:w="0" w:type="auto"/>
            <w:tcBorders>
              <w:top w:val="single" w:sz="4" w:space="0" w:color="auto"/>
              <w:left w:val="nil"/>
              <w:bottom w:val="single" w:sz="4" w:space="0" w:color="auto"/>
              <w:right w:val="nil"/>
            </w:tcBorders>
            <w:shd w:val="clear" w:color="auto" w:fill="auto"/>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OS</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2022 N</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2023 N</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2024 N</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Životné prostredie</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629 847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523 546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602 443</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553 188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815 049</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1 174 209</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b/>
                <w:bCs/>
                <w:color w:val="000000"/>
                <w:sz w:val="16"/>
                <w:szCs w:val="16"/>
              </w:rPr>
            </w:pPr>
            <w:r w:rsidRPr="0037771E">
              <w:rPr>
                <w:rFonts w:ascii="Times New Roman" w:hAnsi="Times New Roman" w:cs="Times New Roman"/>
                <w:b/>
                <w:bCs/>
                <w:color w:val="000000"/>
                <w:sz w:val="16"/>
                <w:szCs w:val="16"/>
              </w:rPr>
              <w:t>833 645</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Vodné hospodárstvo</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200 377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169 611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362 808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291 679</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189 354</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613 189</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268 882</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Ochrana ovzdušia</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47 766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28 411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12 976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16 507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128 781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130 837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132 965</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Odpadové hospodárstvo</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80 473</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48 208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26 604</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32 915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27 998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28 116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28 031</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Ochrana prírody a krajiny</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40 170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29 935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26 780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33 497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52 748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58 416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59 527</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Riadenie rizík a mimoriadnych udalostí</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7 197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1 866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41 405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29 958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79 613</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51 918</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8 849</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Nízkouhlíkové hospodárstvo</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109 194</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111 593</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78 916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67 582</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96 105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102 217</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143 955</w:t>
            </w:r>
          </w:p>
        </w:tc>
      </w:tr>
      <w:tr w:rsidR="00AA17E3" w:rsidRPr="0037771E" w:rsidTr="00AA17E3">
        <w:trPr>
          <w:trHeight w:val="185"/>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Administratíva a iné</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144 653</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133 636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50 589</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78 602</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233 625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188 614</w:t>
            </w:r>
          </w:p>
        </w:tc>
        <w:tc>
          <w:tcPr>
            <w:tcW w:w="0" w:type="auto"/>
            <w:tcBorders>
              <w:top w:val="nil"/>
              <w:left w:val="nil"/>
              <w:bottom w:val="nil"/>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191 133</w:t>
            </w:r>
          </w:p>
        </w:tc>
      </w:tr>
      <w:tr w:rsidR="00AA17E3" w:rsidRPr="0037771E" w:rsidTr="00AA17E3">
        <w:trPr>
          <w:trHeight w:val="185"/>
        </w:trPr>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Samostatné  účty</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17</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286</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2 366</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2 447</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6 824</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904</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jc w:val="right"/>
              <w:rPr>
                <w:rFonts w:ascii="Times New Roman" w:hAnsi="Times New Roman" w:cs="Times New Roman"/>
                <w:color w:val="000000"/>
                <w:sz w:val="16"/>
                <w:szCs w:val="16"/>
              </w:rPr>
            </w:pPr>
            <w:r w:rsidRPr="0037771E">
              <w:rPr>
                <w:rFonts w:ascii="Times New Roman" w:hAnsi="Times New Roman" w:cs="Times New Roman"/>
                <w:color w:val="000000"/>
                <w:sz w:val="16"/>
                <w:szCs w:val="16"/>
              </w:rPr>
              <w:t>304</w:t>
            </w:r>
          </w:p>
        </w:tc>
      </w:tr>
    </w:tbl>
    <w:p w:rsidR="00AA17E3" w:rsidRPr="0037771E" w:rsidRDefault="007317D3" w:rsidP="0066156F">
      <w:pPr>
        <w:spacing w:after="0" w:line="240" w:lineRule="auto"/>
        <w:ind w:left="7788"/>
        <w:jc w:val="center"/>
        <w:rPr>
          <w:rFonts w:ascii="Times New Roman" w:eastAsia="Times New Roman" w:hAnsi="Times New Roman" w:cs="Times New Roman"/>
          <w:i/>
          <w:iCs/>
          <w:color w:val="000000"/>
          <w:sz w:val="16"/>
          <w:szCs w:val="16"/>
          <w:lang w:eastAsia="sk-SK"/>
        </w:rPr>
      </w:pPr>
      <w:r>
        <w:rPr>
          <w:rFonts w:ascii="Times New Roman" w:eastAsia="Times New Roman" w:hAnsi="Times New Roman" w:cs="Times New Roman"/>
          <w:i/>
          <w:iCs/>
          <w:color w:val="000000"/>
          <w:sz w:val="16"/>
          <w:szCs w:val="16"/>
          <w:lang w:eastAsia="sk-SK"/>
        </w:rPr>
        <w:t xml:space="preserve">       </w:t>
      </w:r>
      <w:r w:rsidR="00AA17E3" w:rsidRPr="0037771E">
        <w:rPr>
          <w:rFonts w:ascii="Times New Roman" w:eastAsia="Times New Roman" w:hAnsi="Times New Roman" w:cs="Times New Roman"/>
          <w:i/>
          <w:iCs/>
          <w:color w:val="000000"/>
          <w:sz w:val="16"/>
          <w:szCs w:val="16"/>
          <w:lang w:eastAsia="sk-SK"/>
        </w:rPr>
        <w:t xml:space="preserve"> Zdroj: MF SR</w:t>
      </w:r>
    </w:p>
    <w:p w:rsidR="0066156F" w:rsidRDefault="0066156F" w:rsidP="0066156F">
      <w:pPr>
        <w:spacing w:after="0" w:line="240" w:lineRule="auto"/>
        <w:jc w:val="both"/>
        <w:rPr>
          <w:rFonts w:ascii="Times New Roman" w:hAnsi="Times New Roman" w:cs="Times New Roman"/>
          <w:sz w:val="24"/>
          <w:szCs w:val="24"/>
        </w:rPr>
      </w:pPr>
    </w:p>
    <w:p w:rsidR="00AA17E3" w:rsidRPr="0037771E" w:rsidRDefault="00AA17E3" w:rsidP="0066156F">
      <w:pPr>
        <w:spacing w:after="0" w:line="240" w:lineRule="auto"/>
        <w:jc w:val="both"/>
        <w:rPr>
          <w:rFonts w:ascii="Times New Roman" w:hAnsi="Times New Roman" w:cs="Times New Roman"/>
          <w:sz w:val="24"/>
          <w:szCs w:val="24"/>
        </w:rPr>
      </w:pPr>
      <w:r w:rsidRPr="0037771E">
        <w:rPr>
          <w:rFonts w:ascii="Times New Roman" w:hAnsi="Times New Roman" w:cs="Times New Roman"/>
          <w:sz w:val="24"/>
          <w:szCs w:val="24"/>
        </w:rPr>
        <w:t>V o</w:t>
      </w:r>
      <w:r w:rsidR="008D6515">
        <w:rPr>
          <w:rFonts w:ascii="Times New Roman" w:hAnsi="Times New Roman" w:cs="Times New Roman"/>
          <w:sz w:val="24"/>
          <w:szCs w:val="24"/>
        </w:rPr>
        <w:t>blasti životného prostredia sú na</w:t>
      </w:r>
      <w:r w:rsidRPr="0037771E">
        <w:rPr>
          <w:rFonts w:ascii="Times New Roman" w:hAnsi="Times New Roman" w:cs="Times New Roman"/>
          <w:sz w:val="24"/>
          <w:szCs w:val="24"/>
        </w:rPr>
        <w:t xml:space="preserve"> rok 2022 zahrnuté nasledujúce tituly:</w:t>
      </w:r>
    </w:p>
    <w:p w:rsidR="00AA17E3" w:rsidRPr="0037771E" w:rsidRDefault="00AA17E3" w:rsidP="004B108F">
      <w:pPr>
        <w:pStyle w:val="Odsekzoznamu"/>
        <w:numPr>
          <w:ilvl w:val="0"/>
          <w:numId w:val="27"/>
        </w:numPr>
        <w:spacing w:after="160"/>
        <w:jc w:val="both"/>
        <w:rPr>
          <w:rFonts w:ascii="Times New Roman" w:hAnsi="Times New Roman" w:cs="Times New Roman"/>
        </w:rPr>
      </w:pPr>
      <w:r w:rsidRPr="0037771E">
        <w:rPr>
          <w:rFonts w:ascii="Times New Roman" w:hAnsi="Times New Roman" w:cs="Times New Roman"/>
        </w:rPr>
        <w:t>Výdavky z Plánu obnovy a odolnosti v objeme 213 mil. eur, ktoré budú slúžiť na dekarbonizáciu priemyslu (105 mil. eur)</w:t>
      </w:r>
      <w:r>
        <w:rPr>
          <w:rFonts w:ascii="Times New Roman" w:hAnsi="Times New Roman" w:cs="Times New Roman"/>
        </w:rPr>
        <w:t xml:space="preserve">, </w:t>
      </w:r>
      <w:r w:rsidRPr="0037771E">
        <w:rPr>
          <w:rFonts w:ascii="Times New Roman" w:hAnsi="Times New Roman" w:cs="Times New Roman"/>
        </w:rPr>
        <w:t>obnovu budov (83,6 mil. eur)</w:t>
      </w:r>
      <w:r>
        <w:rPr>
          <w:rFonts w:ascii="Times New Roman" w:hAnsi="Times New Roman" w:cs="Times New Roman"/>
        </w:rPr>
        <w:t xml:space="preserve">, </w:t>
      </w:r>
      <w:r w:rsidRPr="0037771E">
        <w:rPr>
          <w:rFonts w:ascii="Times New Roman" w:hAnsi="Times New Roman" w:cs="Times New Roman"/>
        </w:rPr>
        <w:t>ochran</w:t>
      </w:r>
      <w:r>
        <w:rPr>
          <w:rFonts w:ascii="Times New Roman" w:hAnsi="Times New Roman" w:cs="Times New Roman"/>
        </w:rPr>
        <w:t xml:space="preserve">u prírody a krajiny (20,4 mil. eur) a </w:t>
      </w:r>
      <w:r w:rsidRPr="0037771E">
        <w:rPr>
          <w:rFonts w:ascii="Times New Roman" w:hAnsi="Times New Roman" w:cs="Times New Roman"/>
        </w:rPr>
        <w:t>renaturáciu vodných tokov a mokradí (3,60 mil. eur)</w:t>
      </w:r>
      <w:r>
        <w:rPr>
          <w:rFonts w:ascii="Times New Roman" w:hAnsi="Times New Roman" w:cs="Times New Roman"/>
        </w:rPr>
        <w:t xml:space="preserve">. </w:t>
      </w:r>
    </w:p>
    <w:p w:rsidR="00AA17E3" w:rsidRPr="0037771E" w:rsidRDefault="00AA17E3" w:rsidP="004B108F">
      <w:pPr>
        <w:pStyle w:val="Odsekzoznamu"/>
        <w:numPr>
          <w:ilvl w:val="0"/>
          <w:numId w:val="27"/>
        </w:numPr>
        <w:spacing w:after="160"/>
        <w:jc w:val="both"/>
        <w:rPr>
          <w:rFonts w:ascii="Times New Roman" w:hAnsi="Times New Roman" w:cs="Times New Roman"/>
        </w:rPr>
      </w:pPr>
      <w:r w:rsidRPr="0037771E">
        <w:rPr>
          <w:rFonts w:ascii="Times New Roman" w:hAnsi="Times New Roman" w:cs="Times New Roman"/>
        </w:rPr>
        <w:t xml:space="preserve">Výdavky z Modernizačného fondu vo výške 100 mil. eur, rozpočtované </w:t>
      </w:r>
      <w:r w:rsidRPr="00A273CE">
        <w:rPr>
          <w:rFonts w:ascii="Times New Roman" w:hAnsi="Times New Roman" w:cs="Times New Roman"/>
        </w:rPr>
        <w:t>v Environmentálnom fonde a určené na  schému štátnej pomoci pre teplárenské spoločnosti.</w:t>
      </w:r>
    </w:p>
    <w:p w:rsidR="00AA17E3" w:rsidRPr="0037771E" w:rsidRDefault="00AA17E3" w:rsidP="00AA17E3">
      <w:pPr>
        <w:spacing w:after="0" w:line="240" w:lineRule="auto"/>
        <w:ind w:left="7788"/>
        <w:jc w:val="center"/>
        <w:rPr>
          <w:rFonts w:ascii="Times New Roman" w:eastAsia="Times New Roman" w:hAnsi="Times New Roman" w:cs="Times New Roman"/>
          <w:i/>
          <w:iCs/>
          <w:color w:val="000000"/>
          <w:sz w:val="16"/>
          <w:szCs w:val="16"/>
          <w:lang w:eastAsia="sk-SK"/>
        </w:rPr>
      </w:pPr>
    </w:p>
    <w:p w:rsidR="00AA17E3" w:rsidRPr="0037771E" w:rsidRDefault="00AA17E3" w:rsidP="00AA17E3">
      <w:pPr>
        <w:spacing w:line="240" w:lineRule="auto"/>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Vodné hospodárstvo</w:t>
      </w:r>
    </w:p>
    <w:p w:rsidR="00AA17E3" w:rsidRPr="0037771E" w:rsidRDefault="00AA17E3" w:rsidP="00E44DF3">
      <w:pPr>
        <w:spacing w:after="0" w:line="240" w:lineRule="auto"/>
        <w:jc w:val="both"/>
      </w:pPr>
      <w:r w:rsidRPr="0037771E">
        <w:rPr>
          <w:rFonts w:ascii="Times New Roman" w:hAnsi="Times New Roman" w:cs="Times New Roman"/>
          <w:sz w:val="24"/>
          <w:szCs w:val="24"/>
        </w:rPr>
        <w:t>Celkové výdavky smerujúce do vodného hospodárstva v roku 2022 predstavujú 189 mil. eur a za túto oblasť sú celkovo určené na konkrétne projekty budovania a rekonštrukcie infraštruktúry vodného hospodárstva (preventívne protipovodňové opatrenia, dobudovanie a prevádzka povodňového varovného a predpovedného systému, zásobovanie vodou, odvádzanie a čistenie odpadových vôd). Súčasťou výdavkov oblasti sú aj zdroje smerujúce do Slovenského hydrometeorologického ústavu a Výskumného ústavu vodného hospodárstva.</w:t>
      </w:r>
      <w:r w:rsidRPr="0037771E">
        <w:t xml:space="preserve"> </w:t>
      </w:r>
    </w:p>
    <w:p w:rsidR="00E44DF3" w:rsidRDefault="00E44DF3" w:rsidP="00E44DF3">
      <w:pPr>
        <w:pStyle w:val="Popis"/>
        <w:keepNext/>
        <w:spacing w:after="0"/>
        <w:rPr>
          <w:rFonts w:ascii="Times New Roman" w:hAnsi="Times New Roman" w:cs="Times New Roman"/>
          <w:b/>
          <w:i w:val="0"/>
          <w:color w:val="5B9BD5" w:themeColor="accent1"/>
          <w:sz w:val="20"/>
          <w:szCs w:val="20"/>
        </w:rPr>
      </w:pPr>
      <w:bookmarkStart w:id="550" w:name="_Toc84528473"/>
    </w:p>
    <w:p w:rsidR="00AA17E3" w:rsidRPr="0037771E" w:rsidRDefault="00AA17E3" w:rsidP="00E44DF3">
      <w:pPr>
        <w:pStyle w:val="Popis"/>
        <w:keepNext/>
        <w:spacing w:after="0"/>
        <w:rPr>
          <w:rFonts w:ascii="Times New Roman" w:hAnsi="Times New Roman" w:cs="Times New Roman"/>
          <w:b/>
          <w:i w:val="0"/>
          <w:color w:val="5B9BD5" w:themeColor="accent1"/>
          <w:sz w:val="20"/>
          <w:szCs w:val="20"/>
        </w:rPr>
      </w:pPr>
      <w:bookmarkStart w:id="551" w:name="_Toc84845349"/>
      <w:r w:rsidRPr="0037771E">
        <w:rPr>
          <w:rFonts w:ascii="Times New Roman" w:hAnsi="Times New Roman" w:cs="Times New Roman"/>
          <w:b/>
          <w:i w:val="0"/>
          <w:color w:val="5B9BD5" w:themeColor="accent1"/>
          <w:sz w:val="20"/>
          <w:szCs w:val="20"/>
        </w:rPr>
        <w:t xml:space="preserve">Tabuľka </w:t>
      </w:r>
      <w:r w:rsidRPr="0037771E">
        <w:rPr>
          <w:rFonts w:ascii="Times New Roman" w:hAnsi="Times New Roman" w:cs="Times New Roman"/>
          <w:b/>
          <w:i w:val="0"/>
          <w:color w:val="5B9BD5" w:themeColor="accent1"/>
          <w:sz w:val="20"/>
          <w:szCs w:val="20"/>
        </w:rPr>
        <w:fldChar w:fldCharType="begin"/>
      </w:r>
      <w:r w:rsidRPr="0037771E">
        <w:rPr>
          <w:rFonts w:ascii="Times New Roman" w:hAnsi="Times New Roman" w:cs="Times New Roman"/>
          <w:b/>
          <w:i w:val="0"/>
          <w:color w:val="5B9BD5" w:themeColor="accent1"/>
          <w:sz w:val="20"/>
          <w:szCs w:val="20"/>
        </w:rPr>
        <w:instrText xml:space="preserve"> SEQ Tabuľka \* ARABIC </w:instrText>
      </w:r>
      <w:r w:rsidRPr="0037771E">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125</w:t>
      </w:r>
      <w:r w:rsidRPr="0037771E">
        <w:rPr>
          <w:rFonts w:ascii="Times New Roman" w:hAnsi="Times New Roman" w:cs="Times New Roman"/>
          <w:b/>
          <w:i w:val="0"/>
          <w:color w:val="5B9BD5" w:themeColor="accent1"/>
          <w:sz w:val="20"/>
          <w:szCs w:val="20"/>
        </w:rPr>
        <w:fldChar w:fldCharType="end"/>
      </w:r>
      <w:r w:rsidRPr="0037771E">
        <w:rPr>
          <w:rFonts w:ascii="Times New Roman" w:hAnsi="Times New Roman" w:cs="Times New Roman"/>
          <w:b/>
          <w:i w:val="0"/>
          <w:color w:val="5B9BD5" w:themeColor="accent1"/>
          <w:sz w:val="20"/>
          <w:szCs w:val="20"/>
        </w:rPr>
        <w:t xml:space="preserve"> - Výdavky vodného hospodárstva</w:t>
      </w:r>
      <w:bookmarkEnd w:id="550"/>
      <w:bookmarkEnd w:id="551"/>
    </w:p>
    <w:tbl>
      <w:tblPr>
        <w:tblW w:w="9305" w:type="dxa"/>
        <w:tblCellMar>
          <w:left w:w="70" w:type="dxa"/>
          <w:right w:w="70" w:type="dxa"/>
        </w:tblCellMar>
        <w:tblLook w:val="04A0" w:firstRow="1" w:lastRow="0" w:firstColumn="1" w:lastColumn="0" w:noHBand="0" w:noVBand="1"/>
      </w:tblPr>
      <w:tblGrid>
        <w:gridCol w:w="3083"/>
        <w:gridCol w:w="846"/>
        <w:gridCol w:w="966"/>
        <w:gridCol w:w="876"/>
        <w:gridCol w:w="966"/>
        <w:gridCol w:w="876"/>
        <w:gridCol w:w="846"/>
        <w:gridCol w:w="846"/>
      </w:tblGrid>
      <w:tr w:rsidR="00AA17E3" w:rsidRPr="005520E3" w:rsidTr="00AA17E3">
        <w:trPr>
          <w:trHeight w:val="234"/>
        </w:trPr>
        <w:tc>
          <w:tcPr>
            <w:tcW w:w="3083"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v tis. eur</w:t>
            </w:r>
          </w:p>
        </w:tc>
        <w:tc>
          <w:tcPr>
            <w:tcW w:w="84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2019 S</w:t>
            </w:r>
          </w:p>
        </w:tc>
        <w:tc>
          <w:tcPr>
            <w:tcW w:w="96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2020 S</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2021 R</w:t>
            </w:r>
          </w:p>
        </w:tc>
        <w:tc>
          <w:tcPr>
            <w:tcW w:w="96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2021 OS</w:t>
            </w:r>
          </w:p>
        </w:tc>
        <w:tc>
          <w:tcPr>
            <w:tcW w:w="87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2022 N</w:t>
            </w:r>
          </w:p>
        </w:tc>
        <w:tc>
          <w:tcPr>
            <w:tcW w:w="84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2023 N</w:t>
            </w:r>
          </w:p>
        </w:tc>
        <w:tc>
          <w:tcPr>
            <w:tcW w:w="846" w:type="dxa"/>
            <w:tcBorders>
              <w:top w:val="single" w:sz="4" w:space="0" w:color="auto"/>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2024 N</w:t>
            </w:r>
          </w:p>
        </w:tc>
      </w:tr>
      <w:tr w:rsidR="00AA17E3" w:rsidRPr="005520E3" w:rsidTr="00AA17E3">
        <w:trPr>
          <w:trHeight w:val="234"/>
        </w:trPr>
        <w:tc>
          <w:tcPr>
            <w:tcW w:w="3083" w:type="dxa"/>
            <w:tcBorders>
              <w:top w:val="nil"/>
              <w:left w:val="nil"/>
              <w:bottom w:val="nil"/>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Vodné hospodárstvo celkom, v tom:</w:t>
            </w:r>
          </w:p>
        </w:tc>
        <w:tc>
          <w:tcPr>
            <w:tcW w:w="84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200 377</w:t>
            </w:r>
          </w:p>
        </w:tc>
        <w:tc>
          <w:tcPr>
            <w:tcW w:w="96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169 611</w:t>
            </w:r>
          </w:p>
        </w:tc>
        <w:tc>
          <w:tcPr>
            <w:tcW w:w="87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362 808</w:t>
            </w:r>
          </w:p>
        </w:tc>
        <w:tc>
          <w:tcPr>
            <w:tcW w:w="96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291 679</w:t>
            </w:r>
          </w:p>
        </w:tc>
        <w:tc>
          <w:tcPr>
            <w:tcW w:w="87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189 354</w:t>
            </w:r>
          </w:p>
        </w:tc>
        <w:tc>
          <w:tcPr>
            <w:tcW w:w="84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613 189</w:t>
            </w:r>
          </w:p>
        </w:tc>
        <w:tc>
          <w:tcPr>
            <w:tcW w:w="846" w:type="dxa"/>
            <w:tcBorders>
              <w:top w:val="single" w:sz="4" w:space="0" w:color="auto"/>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268 882</w:t>
            </w:r>
          </w:p>
        </w:tc>
      </w:tr>
      <w:tr w:rsidR="00AA17E3" w:rsidRPr="005520E3" w:rsidTr="00AA17E3">
        <w:trPr>
          <w:trHeight w:val="234"/>
        </w:trPr>
        <w:tc>
          <w:tcPr>
            <w:tcW w:w="3083" w:type="dxa"/>
            <w:tcBorders>
              <w:top w:val="nil"/>
              <w:left w:val="nil"/>
              <w:bottom w:val="nil"/>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 xml:space="preserve"> zdroje kapitoly, v tom:</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151 572</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116 868</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311 708</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240 579</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117 639</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540 293</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195 371</w:t>
            </w:r>
          </w:p>
        </w:tc>
      </w:tr>
      <w:tr w:rsidR="00AA17E3" w:rsidRPr="005520E3" w:rsidTr="00AA17E3">
        <w:trPr>
          <w:trHeight w:val="234"/>
        </w:trPr>
        <w:tc>
          <w:tcPr>
            <w:tcW w:w="3083" w:type="dxa"/>
            <w:tcBorders>
              <w:top w:val="nil"/>
              <w:left w:val="nil"/>
              <w:bottom w:val="nil"/>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color w:val="000000"/>
                <w:sz w:val="16"/>
                <w:szCs w:val="16"/>
                <w:lang w:eastAsia="sk-SK"/>
              </w:rPr>
            </w:pPr>
            <w:r w:rsidRPr="005520E3">
              <w:rPr>
                <w:rFonts w:ascii="Times New Roman" w:eastAsia="Times New Roman" w:hAnsi="Times New Roman" w:cs="Times New Roman"/>
                <w:color w:val="000000"/>
                <w:sz w:val="16"/>
                <w:szCs w:val="16"/>
                <w:lang w:eastAsia="sk-SK"/>
              </w:rPr>
              <w:t>Výskumný ústav vodného hospodárstva</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5 021</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4 692</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4 026</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4 380</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4 026</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4 026</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4 026</w:t>
            </w:r>
          </w:p>
        </w:tc>
      </w:tr>
      <w:tr w:rsidR="00AA17E3" w:rsidRPr="005520E3" w:rsidTr="00AA17E3">
        <w:trPr>
          <w:trHeight w:val="234"/>
        </w:trPr>
        <w:tc>
          <w:tcPr>
            <w:tcW w:w="3083" w:type="dxa"/>
            <w:tcBorders>
              <w:top w:val="nil"/>
              <w:left w:val="nil"/>
              <w:bottom w:val="nil"/>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color w:val="000000"/>
                <w:sz w:val="16"/>
                <w:szCs w:val="16"/>
                <w:lang w:eastAsia="sk-SK"/>
              </w:rPr>
            </w:pPr>
            <w:r w:rsidRPr="005520E3">
              <w:rPr>
                <w:rFonts w:ascii="Times New Roman" w:eastAsia="Times New Roman" w:hAnsi="Times New Roman" w:cs="Times New Roman"/>
                <w:color w:val="000000"/>
                <w:sz w:val="16"/>
                <w:szCs w:val="16"/>
                <w:lang w:eastAsia="sk-SK"/>
              </w:rPr>
              <w:t>Slovenský hydrometeorologický ústav</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6 542</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6 665</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5 436</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6 750</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5 436</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5 436</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5 436</w:t>
            </w:r>
          </w:p>
        </w:tc>
      </w:tr>
      <w:tr w:rsidR="00AA17E3" w:rsidRPr="005520E3" w:rsidTr="00AA17E3">
        <w:trPr>
          <w:trHeight w:val="234"/>
        </w:trPr>
        <w:tc>
          <w:tcPr>
            <w:tcW w:w="3083" w:type="dxa"/>
            <w:tcBorders>
              <w:top w:val="nil"/>
              <w:left w:val="nil"/>
              <w:bottom w:val="nil"/>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color w:val="000000"/>
                <w:sz w:val="16"/>
                <w:szCs w:val="16"/>
                <w:lang w:eastAsia="sk-SK"/>
              </w:rPr>
            </w:pPr>
            <w:r w:rsidRPr="005520E3">
              <w:rPr>
                <w:rFonts w:ascii="Times New Roman" w:eastAsia="Times New Roman" w:hAnsi="Times New Roman" w:cs="Times New Roman"/>
                <w:color w:val="000000"/>
                <w:sz w:val="16"/>
                <w:szCs w:val="16"/>
                <w:lang w:eastAsia="sk-SK"/>
              </w:rPr>
              <w:t>Ústredný orgán -  platby SVP, povodne a iné</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42 397</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36 789</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8 000</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10 954</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2 500</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2 500</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2 500</w:t>
            </w:r>
          </w:p>
        </w:tc>
      </w:tr>
      <w:tr w:rsidR="00AA17E3" w:rsidRPr="005520E3" w:rsidTr="00AA17E3">
        <w:trPr>
          <w:trHeight w:val="234"/>
        </w:trPr>
        <w:tc>
          <w:tcPr>
            <w:tcW w:w="3083" w:type="dxa"/>
            <w:tcBorders>
              <w:top w:val="nil"/>
              <w:left w:val="nil"/>
              <w:bottom w:val="nil"/>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color w:val="000000"/>
                <w:sz w:val="16"/>
                <w:szCs w:val="16"/>
                <w:lang w:eastAsia="sk-SK"/>
              </w:rPr>
            </w:pPr>
            <w:r w:rsidRPr="005520E3">
              <w:rPr>
                <w:rFonts w:ascii="Times New Roman" w:eastAsia="Times New Roman" w:hAnsi="Times New Roman" w:cs="Times New Roman"/>
                <w:color w:val="000000"/>
                <w:sz w:val="16"/>
                <w:szCs w:val="16"/>
                <w:lang w:eastAsia="sk-SK"/>
              </w:rPr>
              <w:t>Plán obnovy a odolnosti</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0</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0</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0</w:t>
            </w:r>
          </w:p>
        </w:tc>
        <w:tc>
          <w:tcPr>
            <w:tcW w:w="96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0</w:t>
            </w:r>
          </w:p>
        </w:tc>
        <w:tc>
          <w:tcPr>
            <w:tcW w:w="87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3 600</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19 200</w:t>
            </w:r>
          </w:p>
        </w:tc>
        <w:tc>
          <w:tcPr>
            <w:tcW w:w="846" w:type="dxa"/>
            <w:tcBorders>
              <w:top w:val="nil"/>
              <w:left w:val="nil"/>
              <w:bottom w:val="nil"/>
              <w:right w:val="nil"/>
            </w:tcBorders>
            <w:shd w:val="clear" w:color="auto" w:fill="auto"/>
            <w:noWrap/>
            <w:vAlign w:val="center"/>
            <w:hideMark/>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24 000</w:t>
            </w:r>
          </w:p>
        </w:tc>
      </w:tr>
      <w:tr w:rsidR="00AA17E3" w:rsidRPr="005520E3" w:rsidTr="00AA17E3">
        <w:trPr>
          <w:trHeight w:val="234"/>
        </w:trPr>
        <w:tc>
          <w:tcPr>
            <w:tcW w:w="3083" w:type="dxa"/>
            <w:tcBorders>
              <w:top w:val="nil"/>
              <w:left w:val="nil"/>
              <w:bottom w:val="nil"/>
              <w:right w:val="nil"/>
            </w:tcBorders>
            <w:shd w:val="clear" w:color="auto" w:fill="auto"/>
            <w:noWrap/>
            <w:vAlign w:val="center"/>
          </w:tcPr>
          <w:p w:rsidR="00AA17E3" w:rsidRPr="005520E3" w:rsidRDefault="00AA17E3" w:rsidP="00AA17E3">
            <w:pPr>
              <w:spacing w:after="0" w:line="240" w:lineRule="auto"/>
              <w:rPr>
                <w:rFonts w:ascii="Times New Roman" w:eastAsia="Times New Roman" w:hAnsi="Times New Roman" w:cs="Times New Roman"/>
                <w:color w:val="000000"/>
                <w:sz w:val="16"/>
                <w:szCs w:val="16"/>
                <w:lang w:eastAsia="sk-SK"/>
              </w:rPr>
            </w:pPr>
            <w:r w:rsidRPr="005520E3">
              <w:rPr>
                <w:rFonts w:ascii="Times New Roman" w:hAnsi="Times New Roman" w:cs="Times New Roman"/>
                <w:color w:val="000000"/>
                <w:sz w:val="16"/>
                <w:szCs w:val="16"/>
              </w:rPr>
              <w:t>zdroje EÚ a spolufinancovania</w:t>
            </w:r>
          </w:p>
        </w:tc>
        <w:tc>
          <w:tcPr>
            <w:tcW w:w="84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90 386</w:t>
            </w:r>
          </w:p>
        </w:tc>
        <w:tc>
          <w:tcPr>
            <w:tcW w:w="96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52 545</w:t>
            </w:r>
          </w:p>
        </w:tc>
        <w:tc>
          <w:tcPr>
            <w:tcW w:w="87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294 247</w:t>
            </w:r>
          </w:p>
        </w:tc>
        <w:tc>
          <w:tcPr>
            <w:tcW w:w="96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160 245</w:t>
            </w:r>
          </w:p>
        </w:tc>
        <w:tc>
          <w:tcPr>
            <w:tcW w:w="87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102 077</w:t>
            </w:r>
          </w:p>
        </w:tc>
        <w:tc>
          <w:tcPr>
            <w:tcW w:w="84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509 131</w:t>
            </w:r>
          </w:p>
        </w:tc>
        <w:tc>
          <w:tcPr>
            <w:tcW w:w="846" w:type="dxa"/>
            <w:tcBorders>
              <w:top w:val="nil"/>
              <w:left w:val="nil"/>
              <w:bottom w:val="nil"/>
              <w:right w:val="nil"/>
            </w:tcBorders>
            <w:shd w:val="clear" w:color="auto" w:fill="auto"/>
            <w:noWrap/>
            <w:vAlign w:val="center"/>
          </w:tcPr>
          <w:p w:rsidR="00AA17E3" w:rsidRPr="005520E3" w:rsidRDefault="00AA17E3" w:rsidP="00AA17E3">
            <w:pPr>
              <w:jc w:val="right"/>
              <w:rPr>
                <w:rFonts w:ascii="Times New Roman" w:hAnsi="Times New Roman" w:cs="Times New Roman"/>
                <w:color w:val="000000"/>
                <w:sz w:val="16"/>
                <w:szCs w:val="16"/>
              </w:rPr>
            </w:pPr>
            <w:r w:rsidRPr="005520E3">
              <w:rPr>
                <w:rFonts w:ascii="Times New Roman" w:hAnsi="Times New Roman" w:cs="Times New Roman"/>
                <w:color w:val="000000"/>
                <w:sz w:val="16"/>
                <w:szCs w:val="16"/>
              </w:rPr>
              <w:t>159 409</w:t>
            </w:r>
          </w:p>
        </w:tc>
      </w:tr>
      <w:tr w:rsidR="00AA17E3" w:rsidRPr="005520E3" w:rsidTr="00AA17E3">
        <w:trPr>
          <w:trHeight w:val="234"/>
        </w:trPr>
        <w:tc>
          <w:tcPr>
            <w:tcW w:w="3083" w:type="dxa"/>
            <w:tcBorders>
              <w:top w:val="nil"/>
              <w:left w:val="nil"/>
              <w:bottom w:val="single" w:sz="4" w:space="0" w:color="auto"/>
              <w:right w:val="nil"/>
            </w:tcBorders>
            <w:shd w:val="clear" w:color="auto" w:fill="auto"/>
            <w:noWrap/>
            <w:vAlign w:val="center"/>
            <w:hideMark/>
          </w:tcPr>
          <w:p w:rsidR="00AA17E3" w:rsidRPr="005520E3" w:rsidRDefault="00AA17E3" w:rsidP="00AA17E3">
            <w:pPr>
              <w:spacing w:after="0" w:line="240" w:lineRule="auto"/>
              <w:rPr>
                <w:rFonts w:ascii="Times New Roman" w:eastAsia="Times New Roman" w:hAnsi="Times New Roman" w:cs="Times New Roman"/>
                <w:b/>
                <w:bCs/>
                <w:color w:val="000000"/>
                <w:sz w:val="16"/>
                <w:szCs w:val="16"/>
                <w:lang w:eastAsia="sk-SK"/>
              </w:rPr>
            </w:pPr>
            <w:r w:rsidRPr="005520E3">
              <w:rPr>
                <w:rFonts w:ascii="Times New Roman" w:eastAsia="Times New Roman" w:hAnsi="Times New Roman" w:cs="Times New Roman"/>
                <w:b/>
                <w:bCs/>
                <w:color w:val="000000"/>
                <w:sz w:val="16"/>
                <w:szCs w:val="16"/>
                <w:lang w:eastAsia="sk-SK"/>
              </w:rPr>
              <w:t>zdroje EF</w:t>
            </w:r>
          </w:p>
        </w:tc>
        <w:tc>
          <w:tcPr>
            <w:tcW w:w="84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48 805</w:t>
            </w:r>
          </w:p>
        </w:tc>
        <w:tc>
          <w:tcPr>
            <w:tcW w:w="96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52 743</w:t>
            </w:r>
          </w:p>
        </w:tc>
        <w:tc>
          <w:tcPr>
            <w:tcW w:w="87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51 100</w:t>
            </w:r>
          </w:p>
        </w:tc>
        <w:tc>
          <w:tcPr>
            <w:tcW w:w="96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51 100</w:t>
            </w:r>
          </w:p>
        </w:tc>
        <w:tc>
          <w:tcPr>
            <w:tcW w:w="87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71 716</w:t>
            </w:r>
          </w:p>
        </w:tc>
        <w:tc>
          <w:tcPr>
            <w:tcW w:w="84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72 896</w:t>
            </w:r>
          </w:p>
        </w:tc>
        <w:tc>
          <w:tcPr>
            <w:tcW w:w="846" w:type="dxa"/>
            <w:tcBorders>
              <w:top w:val="nil"/>
              <w:left w:val="nil"/>
              <w:bottom w:val="single" w:sz="4" w:space="0" w:color="auto"/>
              <w:right w:val="nil"/>
            </w:tcBorders>
            <w:shd w:val="clear" w:color="auto" w:fill="auto"/>
            <w:noWrap/>
            <w:vAlign w:val="center"/>
            <w:hideMark/>
          </w:tcPr>
          <w:p w:rsidR="00AA17E3" w:rsidRPr="005520E3" w:rsidRDefault="00AA17E3" w:rsidP="00AA17E3">
            <w:pPr>
              <w:jc w:val="right"/>
              <w:rPr>
                <w:rFonts w:ascii="Times New Roman" w:hAnsi="Times New Roman" w:cs="Times New Roman"/>
                <w:b/>
                <w:bCs/>
                <w:color w:val="000000"/>
                <w:sz w:val="16"/>
                <w:szCs w:val="16"/>
              </w:rPr>
            </w:pPr>
            <w:r w:rsidRPr="005520E3">
              <w:rPr>
                <w:rFonts w:ascii="Times New Roman" w:hAnsi="Times New Roman" w:cs="Times New Roman"/>
                <w:b/>
                <w:bCs/>
                <w:color w:val="000000"/>
                <w:sz w:val="16"/>
                <w:szCs w:val="16"/>
              </w:rPr>
              <w:t>73 511</w:t>
            </w:r>
          </w:p>
        </w:tc>
      </w:tr>
    </w:tbl>
    <w:p w:rsidR="00AA17E3" w:rsidRPr="0037771E" w:rsidRDefault="00AA17E3" w:rsidP="00AA17E3">
      <w:pPr>
        <w:spacing w:after="0" w:line="240" w:lineRule="auto"/>
        <w:ind w:left="7788"/>
        <w:jc w:val="center"/>
        <w:rPr>
          <w:rFonts w:ascii="Times New Roman" w:eastAsia="Times New Roman" w:hAnsi="Times New Roman" w:cs="Times New Roman"/>
          <w:i/>
          <w:iCs/>
          <w:color w:val="000000"/>
          <w:sz w:val="16"/>
          <w:szCs w:val="16"/>
          <w:lang w:eastAsia="sk-SK"/>
        </w:rPr>
      </w:pPr>
      <w:r w:rsidRPr="0037771E">
        <w:rPr>
          <w:rFonts w:ascii="Times New Roman" w:eastAsia="Times New Roman" w:hAnsi="Times New Roman" w:cs="Times New Roman"/>
          <w:i/>
          <w:iCs/>
          <w:color w:val="000000"/>
          <w:sz w:val="16"/>
          <w:szCs w:val="16"/>
          <w:lang w:eastAsia="sk-SK"/>
        </w:rPr>
        <w:t xml:space="preserve">       Zdroj: MF SR</w:t>
      </w:r>
    </w:p>
    <w:p w:rsidR="00AA17E3" w:rsidRPr="00A273CE" w:rsidRDefault="00AA17E3" w:rsidP="00AA17E3">
      <w:pPr>
        <w:spacing w:after="0" w:line="240" w:lineRule="auto"/>
        <w:ind w:left="7788"/>
        <w:rPr>
          <w:rFonts w:ascii="Times New Roman" w:eastAsia="Times New Roman" w:hAnsi="Times New Roman" w:cs="Times New Roman"/>
          <w:i/>
          <w:iCs/>
          <w:color w:val="000000"/>
          <w:sz w:val="24"/>
          <w:szCs w:val="16"/>
          <w:lang w:eastAsia="sk-SK"/>
        </w:rPr>
      </w:pPr>
    </w:p>
    <w:p w:rsidR="00AA17E3" w:rsidRPr="00DD58A4" w:rsidRDefault="008D6515" w:rsidP="004B108F">
      <w:pPr>
        <w:pStyle w:val="Odsekzoznamu"/>
        <w:numPr>
          <w:ilvl w:val="0"/>
          <w:numId w:val="26"/>
        </w:numPr>
        <w:jc w:val="both"/>
        <w:rPr>
          <w:rFonts w:ascii="Times New Roman" w:hAnsi="Times New Roman" w:cs="Times New Roman"/>
        </w:rPr>
      </w:pPr>
      <w:r w:rsidRPr="00DD58A4">
        <w:rPr>
          <w:rFonts w:ascii="Times New Roman" w:hAnsi="Times New Roman" w:cs="Times New Roman"/>
        </w:rPr>
        <w:t>V oblasti sú na</w:t>
      </w:r>
      <w:r w:rsidR="00AA17E3" w:rsidRPr="00DD58A4">
        <w:rPr>
          <w:rFonts w:ascii="Times New Roman" w:hAnsi="Times New Roman" w:cs="Times New Roman"/>
        </w:rPr>
        <w:t xml:space="preserve"> rok 2022 zahrnuté výdavky z Plánu obnovy a odolnosti v objeme          3,60 mil. eur, ktoré budú slúžiť na renaturáciu vodných tokov a mokradí, čím sa zvýši schopnosť krajiny zadržiavať vodu a zabezpečí sa protipovodňová ochrana sídel.</w:t>
      </w:r>
    </w:p>
    <w:p w:rsidR="00E44DF3" w:rsidRPr="0037771E" w:rsidRDefault="00E44DF3" w:rsidP="007317D3">
      <w:pPr>
        <w:pStyle w:val="Odsekzoznamu"/>
        <w:jc w:val="both"/>
        <w:rPr>
          <w:rFonts w:ascii="Times New Roman" w:hAnsi="Times New Roman" w:cs="Times New Roman"/>
        </w:rPr>
      </w:pPr>
    </w:p>
    <w:p w:rsidR="00AA17E3" w:rsidRDefault="00AA17E3" w:rsidP="00E44DF3">
      <w:pPr>
        <w:spacing w:after="0"/>
        <w:jc w:val="both"/>
        <w:rPr>
          <w:rFonts w:ascii="Times New Roman" w:hAnsi="Times New Roman" w:cs="Times New Roman"/>
          <w:sz w:val="24"/>
          <w:szCs w:val="24"/>
        </w:rPr>
      </w:pPr>
      <w:r w:rsidRPr="0037771E">
        <w:rPr>
          <w:rFonts w:ascii="Times New Roman" w:hAnsi="Times New Roman" w:cs="Times New Roman"/>
          <w:sz w:val="24"/>
          <w:szCs w:val="24"/>
        </w:rPr>
        <w:t>Starostlivosť o vodné toky, vrátane zodpovednosti za kvalitu povrchových a podzemných vôd má v kompetencii Slovenský vodohospodársky podnik, š. p. Od ukončenia auditu v 2017 sa SVP nedarí napĺňať jeho odporúčania. Plánovaná úspora vo výške 20 mil. eur nebola dosiahnutá. Podnik ku koncu roka dosiahol úsporu na mzdových nákladoch 660 tis. eur, úspora bola dosiahnutá aj v rámci prenájmov pozemkov a prevádzky budov o 420 tis. eur. Napriek čiastkovej realizácii niektorých opatrení auditu rastú náklady podniku. Dôvodom sú vyššie mzdy ako aj rast nákladov na opravy a údržbu, ktorý odráža zastarané technické vybavenie podniku. Vzhľadom na výrazný nárast rozsahu spravovaných vodných tokov v roku 2020, ako aj potrebnú aktualizáciu potenciálu úspor navrhnutých audi</w:t>
      </w:r>
      <w:r>
        <w:rPr>
          <w:rFonts w:ascii="Times New Roman" w:hAnsi="Times New Roman" w:cs="Times New Roman"/>
          <w:sz w:val="24"/>
          <w:szCs w:val="24"/>
        </w:rPr>
        <w:t>tom sa na základe dohody s Ministerstvom financií SR</w:t>
      </w:r>
      <w:r w:rsidRPr="0037771E">
        <w:rPr>
          <w:rFonts w:ascii="Times New Roman" w:hAnsi="Times New Roman" w:cs="Times New Roman"/>
          <w:sz w:val="24"/>
          <w:szCs w:val="24"/>
        </w:rPr>
        <w:t xml:space="preserve"> pripravuje „Projekt efektívnej správy vodných tokov a vodných stavieb“. Cieľom je zabezpečiť rozsah komerčných činností tak, aby v budúcnosti nevznikali požiadavky na štátny rozpočet. </w:t>
      </w:r>
    </w:p>
    <w:p w:rsidR="00E44DF3" w:rsidRPr="0037771E" w:rsidRDefault="00E44DF3" w:rsidP="00E44DF3">
      <w:pPr>
        <w:spacing w:after="0"/>
        <w:jc w:val="both"/>
        <w:rPr>
          <w:rFonts w:ascii="Times New Roman" w:hAnsi="Times New Roman" w:cs="Times New Roman"/>
          <w:sz w:val="24"/>
          <w:szCs w:val="24"/>
        </w:rPr>
      </w:pPr>
    </w:p>
    <w:p w:rsidR="00AA17E3" w:rsidRDefault="00AA17E3" w:rsidP="00AA17E3">
      <w:pPr>
        <w:spacing w:line="240" w:lineRule="auto"/>
        <w:jc w:val="both"/>
        <w:rPr>
          <w:rFonts w:ascii="Times New Roman" w:hAnsi="Times New Roman" w:cs="Times New Roman"/>
          <w:sz w:val="24"/>
          <w:szCs w:val="24"/>
        </w:rPr>
      </w:pPr>
      <w:r w:rsidRPr="0037771E">
        <w:rPr>
          <w:rFonts w:ascii="Times New Roman" w:hAnsi="Times New Roman" w:cs="Times New Roman"/>
          <w:sz w:val="24"/>
          <w:szCs w:val="24"/>
        </w:rPr>
        <w:t>Druhým štátnym podnikom vo vodnom sektore je Vodohospodárska výstavba š. p. so zameraním na výstavbu, prevádzkovanie a dohľad nad vodohospodárskymi, hydroenergetickými a inžinierskymi objektmi, ako aj výrobu a predaj elektrickej energie. Vo svojej správe má významne vodné diela Gabčíkovo a Žilina.</w:t>
      </w:r>
    </w:p>
    <w:p w:rsidR="00E44DF3" w:rsidRPr="0037771E" w:rsidRDefault="00E44DF3" w:rsidP="00AA17E3">
      <w:pPr>
        <w:spacing w:line="240" w:lineRule="auto"/>
        <w:jc w:val="both"/>
        <w:rPr>
          <w:rFonts w:ascii="Times New Roman" w:hAnsi="Times New Roman" w:cs="Times New Roman"/>
          <w:sz w:val="24"/>
          <w:szCs w:val="24"/>
        </w:rPr>
      </w:pPr>
    </w:p>
    <w:p w:rsidR="00AA17E3" w:rsidRDefault="00AA17E3" w:rsidP="00E44DF3">
      <w:pPr>
        <w:spacing w:after="0" w:line="240" w:lineRule="auto"/>
        <w:jc w:val="both"/>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Ochrana ovzdušia</w:t>
      </w:r>
    </w:p>
    <w:p w:rsidR="00E44DF3" w:rsidRPr="0037771E" w:rsidRDefault="00E44DF3" w:rsidP="00E44DF3">
      <w:pPr>
        <w:spacing w:after="0" w:line="240" w:lineRule="auto"/>
        <w:jc w:val="both"/>
        <w:rPr>
          <w:rFonts w:ascii="Times New Roman" w:hAnsi="Times New Roman" w:cs="Times New Roman"/>
          <w:b/>
          <w:color w:val="5B9BD5" w:themeColor="accent1"/>
          <w:sz w:val="24"/>
          <w:szCs w:val="24"/>
        </w:rPr>
      </w:pPr>
    </w:p>
    <w:p w:rsidR="00AA17E3" w:rsidRDefault="00AA17E3" w:rsidP="00E44DF3">
      <w:pPr>
        <w:spacing w:after="0" w:line="240" w:lineRule="auto"/>
        <w:jc w:val="both"/>
        <w:rPr>
          <w:rFonts w:ascii="Times New Roman" w:hAnsi="Times New Roman" w:cs="Times New Roman"/>
          <w:sz w:val="24"/>
          <w:szCs w:val="24"/>
        </w:rPr>
      </w:pPr>
      <w:r w:rsidRPr="0037771E">
        <w:rPr>
          <w:rFonts w:ascii="Times New Roman" w:hAnsi="Times New Roman" w:cs="Times New Roman"/>
          <w:sz w:val="24"/>
          <w:szCs w:val="24"/>
        </w:rPr>
        <w:t>Celkové výdavky smerujúce do ochrany ovzdušia sú v roku 2022 v objeme 129 mil. eur a zahŕňajú aj sledovanie a hodnotenie kvality ovzdušia podľa zákona o ochrane ovzdušia prostredníctvom Slovenského hydrometeorologického ústavu.</w:t>
      </w:r>
    </w:p>
    <w:p w:rsidR="00E44DF3" w:rsidRPr="00A273CE" w:rsidRDefault="00E44DF3" w:rsidP="00E44DF3">
      <w:pPr>
        <w:spacing w:after="0" w:line="240" w:lineRule="auto"/>
        <w:jc w:val="both"/>
        <w:rPr>
          <w:sz w:val="24"/>
        </w:rPr>
      </w:pPr>
    </w:p>
    <w:p w:rsidR="00AA17E3" w:rsidRPr="0037771E" w:rsidRDefault="00AA17E3" w:rsidP="00E44DF3">
      <w:pPr>
        <w:pStyle w:val="Popis"/>
        <w:keepNext/>
        <w:spacing w:after="0"/>
        <w:rPr>
          <w:rFonts w:ascii="Times New Roman" w:hAnsi="Times New Roman" w:cs="Times New Roman"/>
          <w:b/>
          <w:i w:val="0"/>
          <w:color w:val="5B9BD5" w:themeColor="accent1"/>
          <w:sz w:val="20"/>
          <w:szCs w:val="20"/>
        </w:rPr>
      </w:pPr>
      <w:bookmarkStart w:id="552" w:name="_Toc84528474"/>
      <w:bookmarkStart w:id="553" w:name="_Toc84845350"/>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126</w:t>
      </w:r>
      <w:r w:rsidRPr="002C35FD">
        <w:rPr>
          <w:rFonts w:ascii="Times New Roman" w:hAnsi="Times New Roman" w:cs="Times New Roman"/>
          <w:b/>
          <w:i w:val="0"/>
          <w:color w:val="5B9BD5" w:themeColor="accent1"/>
          <w:sz w:val="20"/>
          <w:szCs w:val="20"/>
        </w:rPr>
        <w:fldChar w:fldCharType="end"/>
      </w:r>
      <w:r w:rsidRPr="0037771E">
        <w:rPr>
          <w:rFonts w:ascii="Times New Roman" w:hAnsi="Times New Roman" w:cs="Times New Roman"/>
          <w:b/>
          <w:i w:val="0"/>
          <w:color w:val="5B9BD5" w:themeColor="accent1"/>
          <w:sz w:val="20"/>
          <w:szCs w:val="20"/>
        </w:rPr>
        <w:t xml:space="preserve"> - Výdavky na ochranu ovzdušia</w:t>
      </w:r>
      <w:bookmarkEnd w:id="552"/>
      <w:bookmarkEnd w:id="553"/>
    </w:p>
    <w:tbl>
      <w:tblPr>
        <w:tblW w:w="9220" w:type="dxa"/>
        <w:tblCellMar>
          <w:left w:w="70" w:type="dxa"/>
          <w:right w:w="70" w:type="dxa"/>
        </w:tblCellMar>
        <w:tblLook w:val="04A0" w:firstRow="1" w:lastRow="0" w:firstColumn="1" w:lastColumn="0" w:noHBand="0" w:noVBand="1"/>
      </w:tblPr>
      <w:tblGrid>
        <w:gridCol w:w="3384"/>
        <w:gridCol w:w="766"/>
        <w:gridCol w:w="766"/>
        <w:gridCol w:w="801"/>
        <w:gridCol w:w="929"/>
        <w:gridCol w:w="858"/>
        <w:gridCol w:w="858"/>
        <w:gridCol w:w="858"/>
      </w:tblGrid>
      <w:tr w:rsidR="00AA17E3" w:rsidRPr="0037771E" w:rsidTr="00AA17E3">
        <w:trPr>
          <w:trHeight w:val="277"/>
        </w:trPr>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v tis. eur</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2019 S</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2020 S</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R</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OS</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2022 N</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2023 N</w:t>
            </w:r>
          </w:p>
        </w:tc>
        <w:tc>
          <w:tcPr>
            <w:tcW w:w="0" w:type="auto"/>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2024 N</w:t>
            </w:r>
          </w:p>
        </w:tc>
      </w:tr>
      <w:tr w:rsidR="00AA17E3" w:rsidRPr="0037771E" w:rsidTr="00AA17E3">
        <w:trPr>
          <w:trHeight w:val="277"/>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Ochrana ovzdušia celkom, v tom:</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47 766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28 411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12 976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16 507</w:t>
            </w:r>
          </w:p>
        </w:tc>
        <w:tc>
          <w:tcPr>
            <w:tcW w:w="0" w:type="auto"/>
            <w:tcBorders>
              <w:top w:val="single" w:sz="4" w:space="0" w:color="auto"/>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128 781</w:t>
            </w:r>
          </w:p>
        </w:tc>
        <w:tc>
          <w:tcPr>
            <w:tcW w:w="0" w:type="auto"/>
            <w:tcBorders>
              <w:top w:val="single" w:sz="4" w:space="0" w:color="auto"/>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130 837</w:t>
            </w:r>
          </w:p>
        </w:tc>
        <w:tc>
          <w:tcPr>
            <w:tcW w:w="0" w:type="auto"/>
            <w:tcBorders>
              <w:top w:val="single" w:sz="4" w:space="0" w:color="auto"/>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132 965</w:t>
            </w:r>
          </w:p>
        </w:tc>
      </w:tr>
      <w:tr w:rsidR="00AA17E3" w:rsidRPr="0037771E" w:rsidTr="00AA17E3">
        <w:trPr>
          <w:trHeight w:val="277"/>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 xml:space="preserve"> zdroje kapitoly, v tom:</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11 386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7 446</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3 700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7 231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108 905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110 961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113 089</w:t>
            </w:r>
          </w:p>
        </w:tc>
      </w:tr>
      <w:tr w:rsidR="00AA17E3" w:rsidRPr="0037771E" w:rsidTr="00AA17E3">
        <w:trPr>
          <w:trHeight w:val="277"/>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Slovenský hydrometeorologický ústav</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8 873</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6 984</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3 700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7 231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hAnsi="Times New Roman" w:cs="Times New Roman"/>
                <w:color w:val="000000"/>
                <w:sz w:val="16"/>
                <w:szCs w:val="16"/>
              </w:rPr>
              <w:t>3 700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hAnsi="Times New Roman" w:cs="Times New Roman"/>
                <w:color w:val="000000"/>
                <w:sz w:val="16"/>
                <w:szCs w:val="16"/>
              </w:rPr>
              <w:t>3 700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hAnsi="Times New Roman" w:cs="Times New Roman"/>
                <w:color w:val="000000"/>
                <w:sz w:val="16"/>
                <w:szCs w:val="16"/>
              </w:rPr>
              <w:t>3 700</w:t>
            </w:r>
          </w:p>
        </w:tc>
      </w:tr>
      <w:tr w:rsidR="00AA17E3" w:rsidRPr="0037771E" w:rsidTr="00AA17E3">
        <w:trPr>
          <w:trHeight w:val="277"/>
        </w:trPr>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Plán obnovy a odolnosti</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hAnsi="Times New Roman" w:cs="Times New Roman"/>
                <w:color w:val="000000"/>
                <w:sz w:val="16"/>
                <w:szCs w:val="16"/>
              </w:rPr>
              <w:t>105 205</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hAnsi="Times New Roman" w:cs="Times New Roman"/>
                <w:color w:val="000000"/>
                <w:sz w:val="16"/>
                <w:szCs w:val="16"/>
              </w:rPr>
              <w:t>107 261</w:t>
            </w:r>
          </w:p>
        </w:tc>
        <w:tc>
          <w:tcPr>
            <w:tcW w:w="0" w:type="auto"/>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hAnsi="Times New Roman" w:cs="Times New Roman"/>
                <w:color w:val="000000"/>
                <w:sz w:val="16"/>
                <w:szCs w:val="16"/>
              </w:rPr>
              <w:t>109 389</w:t>
            </w:r>
          </w:p>
        </w:tc>
      </w:tr>
      <w:tr w:rsidR="00AA17E3" w:rsidRPr="0037771E" w:rsidTr="00AA17E3">
        <w:trPr>
          <w:trHeight w:val="277"/>
        </w:trPr>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zdroje EF</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36 380</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20 965</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9 276</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9 276</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19 876</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19 876</w:t>
            </w:r>
          </w:p>
        </w:tc>
        <w:tc>
          <w:tcPr>
            <w:tcW w:w="0" w:type="auto"/>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hAnsi="Times New Roman" w:cs="Times New Roman"/>
                <w:b/>
                <w:bCs/>
                <w:color w:val="000000"/>
                <w:sz w:val="16"/>
                <w:szCs w:val="16"/>
              </w:rPr>
              <w:t>19 876</w:t>
            </w:r>
          </w:p>
        </w:tc>
      </w:tr>
    </w:tbl>
    <w:p w:rsidR="00AA17E3" w:rsidRPr="0037771E" w:rsidRDefault="00AA17E3" w:rsidP="00AA17E3">
      <w:pPr>
        <w:spacing w:after="0" w:line="240" w:lineRule="auto"/>
        <w:ind w:left="7788"/>
        <w:jc w:val="center"/>
        <w:rPr>
          <w:rFonts w:ascii="Times New Roman" w:eastAsia="Times New Roman" w:hAnsi="Times New Roman" w:cs="Times New Roman"/>
          <w:i/>
          <w:iCs/>
          <w:color w:val="000000"/>
          <w:sz w:val="16"/>
          <w:szCs w:val="16"/>
          <w:lang w:eastAsia="sk-SK"/>
        </w:rPr>
      </w:pPr>
      <w:r w:rsidRPr="0037771E">
        <w:rPr>
          <w:rFonts w:ascii="Times New Roman" w:eastAsia="Times New Roman" w:hAnsi="Times New Roman" w:cs="Times New Roman"/>
          <w:i/>
          <w:iCs/>
          <w:color w:val="000000"/>
          <w:sz w:val="16"/>
          <w:szCs w:val="16"/>
          <w:lang w:eastAsia="sk-SK"/>
        </w:rPr>
        <w:t xml:space="preserve">       Zdroj: MF SR</w:t>
      </w:r>
    </w:p>
    <w:p w:rsidR="00AA17E3" w:rsidRPr="00A273CE" w:rsidRDefault="00AA17E3" w:rsidP="00AA17E3">
      <w:pPr>
        <w:spacing w:after="0" w:line="240" w:lineRule="auto"/>
        <w:ind w:left="7788"/>
        <w:jc w:val="center"/>
        <w:rPr>
          <w:rFonts w:ascii="Times New Roman" w:eastAsia="Times New Roman" w:hAnsi="Times New Roman" w:cs="Times New Roman"/>
          <w:i/>
          <w:iCs/>
          <w:color w:val="000000"/>
          <w:sz w:val="24"/>
          <w:szCs w:val="16"/>
          <w:lang w:eastAsia="sk-SK"/>
        </w:rPr>
      </w:pPr>
    </w:p>
    <w:p w:rsidR="00AA17E3" w:rsidRPr="0037771E" w:rsidRDefault="008D6515" w:rsidP="004B108F">
      <w:pPr>
        <w:pStyle w:val="Odsekzoznamu"/>
        <w:numPr>
          <w:ilvl w:val="0"/>
          <w:numId w:val="26"/>
        </w:numPr>
        <w:jc w:val="both"/>
        <w:rPr>
          <w:rFonts w:ascii="Times New Roman" w:hAnsi="Times New Roman" w:cs="Times New Roman"/>
        </w:rPr>
      </w:pPr>
      <w:r>
        <w:rPr>
          <w:rFonts w:ascii="Times New Roman" w:hAnsi="Times New Roman" w:cs="Times New Roman"/>
        </w:rPr>
        <w:t>V oblasti sú na</w:t>
      </w:r>
      <w:r w:rsidR="00AA17E3" w:rsidRPr="0037771E">
        <w:rPr>
          <w:rFonts w:ascii="Times New Roman" w:hAnsi="Times New Roman" w:cs="Times New Roman"/>
        </w:rPr>
        <w:t xml:space="preserve"> rok 2022 zahrnuté výdavky z Plánu obnovy a odolnosti v objeme            105 mil. eur, ktoré budú smerovať na nákladovo-efektívnu podporu dekarbonizácie priemyslu, pričom bude podporené zavádzanie najlepších aktuálne dostupných technológií v priemyselnej výrobe a priemyselných procesoch. </w:t>
      </w:r>
    </w:p>
    <w:p w:rsidR="00E44DF3" w:rsidRDefault="00E44DF3" w:rsidP="00E44DF3">
      <w:pPr>
        <w:spacing w:after="0" w:line="240" w:lineRule="auto"/>
        <w:jc w:val="both"/>
        <w:rPr>
          <w:rFonts w:ascii="Times New Roman" w:hAnsi="Times New Roman" w:cs="Times New Roman"/>
          <w:b/>
          <w:color w:val="5B9BD5" w:themeColor="accent1"/>
          <w:sz w:val="24"/>
          <w:szCs w:val="24"/>
        </w:rPr>
      </w:pPr>
    </w:p>
    <w:p w:rsidR="00AA17E3" w:rsidRDefault="00AA17E3" w:rsidP="00E44DF3">
      <w:pPr>
        <w:spacing w:after="0" w:line="240" w:lineRule="auto"/>
        <w:jc w:val="both"/>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Odpadové hospodárstvo</w:t>
      </w:r>
    </w:p>
    <w:p w:rsidR="00E44DF3" w:rsidRPr="0037771E" w:rsidRDefault="00E44DF3" w:rsidP="00E44DF3">
      <w:pPr>
        <w:spacing w:after="0" w:line="240" w:lineRule="auto"/>
        <w:jc w:val="both"/>
        <w:rPr>
          <w:rFonts w:ascii="Times New Roman" w:hAnsi="Times New Roman" w:cs="Times New Roman"/>
          <w:b/>
          <w:color w:val="5B9BD5" w:themeColor="accent1"/>
          <w:sz w:val="24"/>
          <w:szCs w:val="24"/>
        </w:rPr>
      </w:pPr>
    </w:p>
    <w:p w:rsidR="00AA17E3" w:rsidRDefault="00AA17E3" w:rsidP="00E44DF3">
      <w:pPr>
        <w:spacing w:after="0" w:line="240" w:lineRule="auto"/>
        <w:jc w:val="both"/>
        <w:rPr>
          <w:rFonts w:ascii="Times New Roman" w:hAnsi="Times New Roman" w:cs="Times New Roman"/>
          <w:sz w:val="24"/>
          <w:szCs w:val="24"/>
        </w:rPr>
      </w:pPr>
      <w:r w:rsidRPr="0037771E">
        <w:rPr>
          <w:rFonts w:ascii="Times New Roman" w:hAnsi="Times New Roman" w:cs="Times New Roman"/>
          <w:sz w:val="24"/>
          <w:szCs w:val="24"/>
        </w:rPr>
        <w:t>Na odpadové hospodárstvo sa v roku 2022 rozpočtujú výdavky v Environmentálnom fonde v objeme 28,0 mil. eur, v súlade s novým zákonom o poplatkoch za ukladanie odpadov, ktorý je účinný od roku 2019. Prostriedky slúžia na dobudovanie infraštruktúry odpadového hospodárstva (</w:t>
      </w:r>
      <w:r w:rsidRPr="0037771E">
        <w:rPr>
          <w:rFonts w:ascii="Times New Roman" w:hAnsi="Times New Roman" w:cs="Times New Roman"/>
          <w:bCs/>
          <w:sz w:val="24"/>
          <w:szCs w:val="24"/>
        </w:rPr>
        <w:t>recyklácia odpadov</w:t>
      </w:r>
      <w:r w:rsidRPr="0037771E">
        <w:rPr>
          <w:rFonts w:ascii="Times New Roman" w:hAnsi="Times New Roman" w:cs="Times New Roman"/>
          <w:sz w:val="24"/>
          <w:szCs w:val="24"/>
        </w:rPr>
        <w:t xml:space="preserve">, uzatváranie a rekultivácia </w:t>
      </w:r>
      <w:r w:rsidRPr="0037771E">
        <w:rPr>
          <w:rFonts w:ascii="Times New Roman" w:hAnsi="Times New Roman" w:cs="Times New Roman"/>
          <w:bCs/>
          <w:sz w:val="24"/>
          <w:szCs w:val="24"/>
        </w:rPr>
        <w:t>skládok odpadov</w:t>
      </w:r>
      <w:r w:rsidRPr="0037771E">
        <w:rPr>
          <w:rFonts w:ascii="Times New Roman" w:hAnsi="Times New Roman" w:cs="Times New Roman"/>
          <w:sz w:val="24"/>
          <w:szCs w:val="24"/>
        </w:rPr>
        <w:t xml:space="preserve">) a elimináciu negatívnych vplyvov </w:t>
      </w:r>
      <w:r w:rsidRPr="0037771E">
        <w:rPr>
          <w:rFonts w:ascii="Times New Roman" w:hAnsi="Times New Roman" w:cs="Times New Roman"/>
          <w:bCs/>
          <w:sz w:val="24"/>
          <w:szCs w:val="24"/>
        </w:rPr>
        <w:t>environmentálnych záťaží</w:t>
      </w:r>
      <w:r w:rsidRPr="0037771E">
        <w:rPr>
          <w:rFonts w:ascii="Times New Roman" w:hAnsi="Times New Roman" w:cs="Times New Roman"/>
          <w:sz w:val="24"/>
          <w:szCs w:val="24"/>
        </w:rPr>
        <w:t>.</w:t>
      </w:r>
    </w:p>
    <w:p w:rsidR="00E44DF3" w:rsidRPr="0037771E" w:rsidRDefault="00E44DF3" w:rsidP="00E44DF3">
      <w:pPr>
        <w:spacing w:after="0" w:line="240" w:lineRule="auto"/>
        <w:jc w:val="both"/>
        <w:rPr>
          <w:rFonts w:ascii="Times New Roman" w:hAnsi="Times New Roman" w:cs="Times New Roman"/>
          <w:sz w:val="24"/>
          <w:szCs w:val="24"/>
        </w:rPr>
      </w:pPr>
    </w:p>
    <w:p w:rsidR="00AA17E3" w:rsidRDefault="00AA17E3" w:rsidP="00E44DF3">
      <w:pPr>
        <w:spacing w:after="0" w:line="240" w:lineRule="auto"/>
        <w:jc w:val="both"/>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Ochrana prírody a krajiny a geologická činnosť</w:t>
      </w:r>
    </w:p>
    <w:p w:rsidR="00E44DF3" w:rsidRPr="0037771E" w:rsidRDefault="00E44DF3" w:rsidP="00E44DF3">
      <w:pPr>
        <w:spacing w:after="0" w:line="240" w:lineRule="auto"/>
        <w:jc w:val="both"/>
        <w:rPr>
          <w:rFonts w:ascii="Times New Roman" w:hAnsi="Times New Roman" w:cs="Times New Roman"/>
          <w:b/>
          <w:color w:val="5B9BD5" w:themeColor="accent1"/>
          <w:sz w:val="24"/>
          <w:szCs w:val="24"/>
        </w:rPr>
      </w:pPr>
    </w:p>
    <w:p w:rsidR="00AA17E3" w:rsidRDefault="00AA17E3" w:rsidP="00E44DF3">
      <w:pPr>
        <w:spacing w:after="0" w:line="240" w:lineRule="auto"/>
        <w:jc w:val="both"/>
        <w:rPr>
          <w:rFonts w:ascii="Times New Roman" w:hAnsi="Times New Roman" w:cs="Times New Roman"/>
          <w:sz w:val="24"/>
          <w:szCs w:val="24"/>
        </w:rPr>
      </w:pPr>
      <w:r w:rsidRPr="0037771E">
        <w:rPr>
          <w:rFonts w:ascii="Times New Roman" w:hAnsi="Times New Roman" w:cs="Times New Roman"/>
          <w:sz w:val="24"/>
          <w:szCs w:val="24"/>
        </w:rPr>
        <w:t>Na</w:t>
      </w:r>
      <w:r w:rsidRPr="0037771E">
        <w:rPr>
          <w:rFonts w:ascii="Times New Roman" w:hAnsi="Times New Roman" w:cs="Times New Roman"/>
          <w:bCs/>
          <w:sz w:val="24"/>
          <w:szCs w:val="24"/>
        </w:rPr>
        <w:t xml:space="preserve"> </w:t>
      </w:r>
      <w:r w:rsidRPr="0037771E">
        <w:rPr>
          <w:rFonts w:ascii="Times New Roman" w:hAnsi="Times New Roman" w:cs="Times New Roman"/>
          <w:sz w:val="24"/>
          <w:szCs w:val="24"/>
        </w:rPr>
        <w:t>ochranu prírody a krajiny sa v roku 2022 výdavky rozpočtujú</w:t>
      </w:r>
      <w:r w:rsidRPr="0037771E">
        <w:rPr>
          <w:rFonts w:ascii="Times New Roman" w:eastAsia="Times New Roman" w:hAnsi="Times New Roman" w:cs="Times New Roman"/>
          <w:sz w:val="24"/>
          <w:szCs w:val="24"/>
          <w:lang w:eastAsia="cs-CZ"/>
        </w:rPr>
        <w:t xml:space="preserve"> v sume 52,7 mil. eur a</w:t>
      </w:r>
      <w:r w:rsidRPr="0037771E">
        <w:rPr>
          <w:rFonts w:ascii="Times New Roman" w:hAnsi="Times New Roman" w:cs="Times New Roman"/>
          <w:sz w:val="24"/>
          <w:szCs w:val="24"/>
        </w:rPr>
        <w:t xml:space="preserve"> sú celkovo určené na výskum a tvorbu legislatívy v oblasti geológie a ochrany prírody, praktickú starostlivosť o chránené územia a živočíchy, ako aj environmentálnu výchovu. </w:t>
      </w:r>
    </w:p>
    <w:p w:rsidR="00E44DF3" w:rsidRPr="0037771E" w:rsidRDefault="00E44DF3" w:rsidP="00E44DF3">
      <w:pPr>
        <w:spacing w:after="0" w:line="240" w:lineRule="auto"/>
        <w:jc w:val="both"/>
        <w:rPr>
          <w:rFonts w:ascii="Times New Roman" w:hAnsi="Times New Roman" w:cs="Times New Roman"/>
          <w:sz w:val="24"/>
          <w:szCs w:val="24"/>
        </w:rPr>
      </w:pPr>
    </w:p>
    <w:p w:rsidR="00AA17E3" w:rsidRPr="0037771E" w:rsidRDefault="00AA17E3" w:rsidP="00AA17E3">
      <w:pPr>
        <w:pStyle w:val="Popis"/>
        <w:keepNext/>
        <w:spacing w:after="0"/>
        <w:rPr>
          <w:rFonts w:ascii="Times New Roman" w:hAnsi="Times New Roman" w:cs="Times New Roman"/>
          <w:b/>
          <w:i w:val="0"/>
          <w:color w:val="5B9BD5" w:themeColor="accent1"/>
          <w:sz w:val="20"/>
          <w:szCs w:val="20"/>
        </w:rPr>
      </w:pPr>
      <w:bookmarkStart w:id="554" w:name="_Toc84528475"/>
      <w:bookmarkStart w:id="555" w:name="_Toc84845351"/>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127</w:t>
      </w:r>
      <w:r w:rsidRPr="002C35FD">
        <w:rPr>
          <w:rFonts w:ascii="Times New Roman" w:hAnsi="Times New Roman" w:cs="Times New Roman"/>
          <w:b/>
          <w:i w:val="0"/>
          <w:color w:val="5B9BD5" w:themeColor="accent1"/>
          <w:sz w:val="20"/>
          <w:szCs w:val="20"/>
        </w:rPr>
        <w:fldChar w:fldCharType="end"/>
      </w:r>
      <w:r w:rsidRPr="0037771E">
        <w:rPr>
          <w:rFonts w:ascii="Times New Roman" w:hAnsi="Times New Roman" w:cs="Times New Roman"/>
          <w:b/>
          <w:i w:val="0"/>
          <w:color w:val="5B9BD5" w:themeColor="accent1"/>
          <w:sz w:val="20"/>
          <w:szCs w:val="20"/>
        </w:rPr>
        <w:t xml:space="preserve"> - Výdavky na ochranu prírody</w:t>
      </w:r>
      <w:bookmarkEnd w:id="554"/>
      <w:bookmarkEnd w:id="555"/>
    </w:p>
    <w:tbl>
      <w:tblPr>
        <w:tblW w:w="9236" w:type="dxa"/>
        <w:tblCellMar>
          <w:left w:w="70" w:type="dxa"/>
          <w:right w:w="70" w:type="dxa"/>
        </w:tblCellMar>
        <w:tblLook w:val="04A0" w:firstRow="1" w:lastRow="0" w:firstColumn="1" w:lastColumn="0" w:noHBand="0" w:noVBand="1"/>
      </w:tblPr>
      <w:tblGrid>
        <w:gridCol w:w="2861"/>
        <w:gridCol w:w="867"/>
        <w:gridCol w:w="989"/>
        <w:gridCol w:w="898"/>
        <w:gridCol w:w="989"/>
        <w:gridCol w:w="898"/>
        <w:gridCol w:w="867"/>
        <w:gridCol w:w="867"/>
      </w:tblGrid>
      <w:tr w:rsidR="00AA17E3" w:rsidRPr="0037771E" w:rsidTr="00AA17E3">
        <w:trPr>
          <w:trHeight w:val="283"/>
        </w:trPr>
        <w:tc>
          <w:tcPr>
            <w:tcW w:w="2861"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v tis. eur</w:t>
            </w:r>
          </w:p>
        </w:tc>
        <w:tc>
          <w:tcPr>
            <w:tcW w:w="86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2019 S</w:t>
            </w:r>
          </w:p>
        </w:tc>
        <w:tc>
          <w:tcPr>
            <w:tcW w:w="989"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2020 S</w:t>
            </w:r>
          </w:p>
        </w:tc>
        <w:tc>
          <w:tcPr>
            <w:tcW w:w="898"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R</w:t>
            </w:r>
          </w:p>
        </w:tc>
        <w:tc>
          <w:tcPr>
            <w:tcW w:w="989"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OS</w:t>
            </w:r>
          </w:p>
        </w:tc>
        <w:tc>
          <w:tcPr>
            <w:tcW w:w="898"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2022 N</w:t>
            </w:r>
          </w:p>
        </w:tc>
        <w:tc>
          <w:tcPr>
            <w:tcW w:w="86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2023 N</w:t>
            </w:r>
          </w:p>
        </w:tc>
        <w:tc>
          <w:tcPr>
            <w:tcW w:w="86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2024 N</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Ochrana prírody a krajiny, v tom:</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40 170</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29 935</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26 780</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33 497</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52 748</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58 416</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59 527</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 xml:space="preserve"> zdroje kapitoly, v tom:</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36 283</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29 395</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25 420</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32 137</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48 670</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51 379</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51 139</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KV -</w:t>
            </w:r>
            <w:r w:rsidR="008D6515">
              <w:rPr>
                <w:rFonts w:ascii="Times New Roman" w:eastAsia="Times New Roman" w:hAnsi="Times New Roman" w:cs="Times New Roman"/>
                <w:color w:val="000000"/>
                <w:sz w:val="16"/>
                <w:szCs w:val="16"/>
                <w:lang w:eastAsia="sk-SK"/>
              </w:rPr>
              <w:t xml:space="preserve"> </w:t>
            </w:r>
            <w:r w:rsidRPr="0037771E">
              <w:rPr>
                <w:rFonts w:ascii="Times New Roman" w:eastAsia="Times New Roman" w:hAnsi="Times New Roman" w:cs="Times New Roman"/>
                <w:color w:val="000000"/>
                <w:sz w:val="16"/>
                <w:szCs w:val="16"/>
                <w:lang w:eastAsia="sk-SK"/>
              </w:rPr>
              <w:t>pozemky, šp. služby, na náhradu</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7 024</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5 260</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326</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8</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326</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326</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326</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Štátny geologický ústav Dionýza Štúra</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6 665</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6 183</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4 401</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4 593</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4 401</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4 401</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4 401</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Slovenské banské múzeum</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1 506</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1 767</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1 099</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1 112</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1 099</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1 099</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1 099</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ZOO Bojnice</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3 314</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3 687</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3 221</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3 221</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3 280</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3 280</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3 280</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Štátna ochrana prírody SR</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12 667</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9 521</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11 385</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13 295</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11 595</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11 595</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11 595</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Slovenské múzeum ochrany prírody a jaskyniarstva</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1 063</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1 237</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771</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976</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756</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756</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756</w:t>
            </w:r>
          </w:p>
        </w:tc>
      </w:tr>
      <w:tr w:rsidR="00AA17E3" w:rsidRPr="0037771E" w:rsidTr="00AA17E3">
        <w:trPr>
          <w:trHeight w:val="283"/>
        </w:trPr>
        <w:tc>
          <w:tcPr>
            <w:tcW w:w="2861"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Plán obnovy a odolnosti</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989"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89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20 414</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24 923</w:t>
            </w:r>
          </w:p>
        </w:tc>
        <w:tc>
          <w:tcPr>
            <w:tcW w:w="86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24 683</w:t>
            </w:r>
          </w:p>
        </w:tc>
      </w:tr>
      <w:tr w:rsidR="00AA17E3" w:rsidRPr="0037771E" w:rsidTr="00AA17E3">
        <w:trPr>
          <w:trHeight w:val="283"/>
        </w:trPr>
        <w:tc>
          <w:tcPr>
            <w:tcW w:w="2861"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zdroje EF</w:t>
            </w:r>
          </w:p>
        </w:tc>
        <w:tc>
          <w:tcPr>
            <w:tcW w:w="86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3 887</w:t>
            </w:r>
          </w:p>
        </w:tc>
        <w:tc>
          <w:tcPr>
            <w:tcW w:w="989"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540</w:t>
            </w:r>
          </w:p>
        </w:tc>
        <w:tc>
          <w:tcPr>
            <w:tcW w:w="898"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1 360</w:t>
            </w:r>
          </w:p>
        </w:tc>
        <w:tc>
          <w:tcPr>
            <w:tcW w:w="989"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1 360</w:t>
            </w:r>
          </w:p>
        </w:tc>
        <w:tc>
          <w:tcPr>
            <w:tcW w:w="898"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4 078</w:t>
            </w:r>
          </w:p>
        </w:tc>
        <w:tc>
          <w:tcPr>
            <w:tcW w:w="86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7 037</w:t>
            </w:r>
          </w:p>
        </w:tc>
        <w:tc>
          <w:tcPr>
            <w:tcW w:w="86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8 388</w:t>
            </w:r>
          </w:p>
        </w:tc>
      </w:tr>
    </w:tbl>
    <w:p w:rsidR="00AA17E3" w:rsidRPr="0037771E" w:rsidRDefault="00AA17E3" w:rsidP="00AA17E3">
      <w:pPr>
        <w:spacing w:after="0" w:line="240" w:lineRule="auto"/>
        <w:ind w:left="7788"/>
        <w:jc w:val="center"/>
        <w:rPr>
          <w:rFonts w:ascii="Times New Roman" w:eastAsia="Times New Roman" w:hAnsi="Times New Roman" w:cs="Times New Roman"/>
          <w:i/>
          <w:iCs/>
          <w:color w:val="000000"/>
          <w:sz w:val="16"/>
          <w:szCs w:val="16"/>
          <w:lang w:eastAsia="sk-SK"/>
        </w:rPr>
      </w:pPr>
      <w:r w:rsidRPr="0037771E">
        <w:rPr>
          <w:rFonts w:ascii="Times New Roman" w:eastAsia="Times New Roman" w:hAnsi="Times New Roman" w:cs="Times New Roman"/>
          <w:i/>
          <w:iCs/>
          <w:color w:val="000000"/>
          <w:sz w:val="16"/>
          <w:szCs w:val="16"/>
          <w:lang w:eastAsia="sk-SK"/>
        </w:rPr>
        <w:t xml:space="preserve">       Zdroj: MF SR</w:t>
      </w:r>
    </w:p>
    <w:p w:rsidR="00AA17E3" w:rsidRPr="00A273CE" w:rsidRDefault="00AA17E3" w:rsidP="00AA17E3">
      <w:pPr>
        <w:spacing w:after="0" w:line="240" w:lineRule="auto"/>
        <w:ind w:left="7788"/>
        <w:jc w:val="center"/>
        <w:rPr>
          <w:rFonts w:ascii="Times New Roman" w:eastAsia="Times New Roman" w:hAnsi="Times New Roman" w:cs="Times New Roman"/>
          <w:i/>
          <w:iCs/>
          <w:color w:val="000000"/>
          <w:sz w:val="24"/>
          <w:szCs w:val="16"/>
          <w:lang w:eastAsia="sk-SK"/>
        </w:rPr>
      </w:pPr>
    </w:p>
    <w:p w:rsidR="00AA17E3" w:rsidRDefault="008D6515" w:rsidP="004B108F">
      <w:pPr>
        <w:pStyle w:val="Odsekzoznamu"/>
        <w:numPr>
          <w:ilvl w:val="0"/>
          <w:numId w:val="26"/>
        </w:numPr>
        <w:jc w:val="both"/>
        <w:rPr>
          <w:rFonts w:ascii="Times New Roman" w:hAnsi="Times New Roman" w:cs="Times New Roman"/>
        </w:rPr>
      </w:pPr>
      <w:r>
        <w:rPr>
          <w:rFonts w:ascii="Times New Roman" w:hAnsi="Times New Roman" w:cs="Times New Roman"/>
        </w:rPr>
        <w:t>V oblasti sú na</w:t>
      </w:r>
      <w:r w:rsidR="00AA17E3" w:rsidRPr="0037771E">
        <w:rPr>
          <w:rFonts w:ascii="Times New Roman" w:hAnsi="Times New Roman" w:cs="Times New Roman"/>
        </w:rPr>
        <w:t xml:space="preserve"> rok 2022 rozpočtované výdavky z Plánu obnovy a odolnosti v objeme            20,4 mil. eur, ktoré budú smerovať na mapovanie a hodnotenie ekosystémových služieb, prehodnotenie chránených území s cieľom zjednodušiť, zjednotiť a sprehľadniť národnú sústavu chránených území a tiež komplexné zmapovanie biotopov a druhov európskeho významu Slovenska.</w:t>
      </w:r>
    </w:p>
    <w:p w:rsidR="00E44DF3" w:rsidRPr="0037771E" w:rsidRDefault="00E44DF3" w:rsidP="00E44DF3">
      <w:pPr>
        <w:pStyle w:val="Odsekzoznamu"/>
        <w:jc w:val="both"/>
        <w:rPr>
          <w:rFonts w:ascii="Times New Roman" w:hAnsi="Times New Roman" w:cs="Times New Roman"/>
        </w:rPr>
      </w:pPr>
    </w:p>
    <w:p w:rsidR="00AA17E3" w:rsidRPr="0037771E" w:rsidRDefault="00AA17E3" w:rsidP="00E44DF3">
      <w:pPr>
        <w:spacing w:after="0" w:line="240" w:lineRule="auto"/>
        <w:jc w:val="both"/>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Riadenie rizík a mimoriadnych udalostí v súvislosti so zmenou klímy</w:t>
      </w:r>
    </w:p>
    <w:p w:rsidR="00E44DF3" w:rsidRDefault="00E44DF3" w:rsidP="00E44DF3">
      <w:pPr>
        <w:spacing w:after="0" w:line="240" w:lineRule="auto"/>
        <w:jc w:val="both"/>
        <w:rPr>
          <w:rFonts w:ascii="Times New Roman" w:eastAsia="Times New Roman" w:hAnsi="Times New Roman" w:cs="Times New Roman"/>
          <w:sz w:val="24"/>
          <w:szCs w:val="24"/>
          <w:lang w:eastAsia="cs-CZ"/>
        </w:rPr>
      </w:pPr>
    </w:p>
    <w:p w:rsidR="00AA17E3" w:rsidRPr="0037771E" w:rsidRDefault="00AA17E3" w:rsidP="00E44DF3">
      <w:pPr>
        <w:spacing w:after="0" w:line="240" w:lineRule="auto"/>
        <w:jc w:val="both"/>
        <w:rPr>
          <w:rFonts w:ascii="Times New Roman" w:eastAsia="Times New Roman" w:hAnsi="Times New Roman" w:cs="Times New Roman"/>
          <w:sz w:val="24"/>
          <w:szCs w:val="24"/>
          <w:lang w:eastAsia="cs-CZ"/>
        </w:rPr>
      </w:pPr>
      <w:r w:rsidRPr="0037771E">
        <w:rPr>
          <w:rFonts w:ascii="Times New Roman" w:eastAsia="Times New Roman" w:hAnsi="Times New Roman" w:cs="Times New Roman"/>
          <w:sz w:val="24"/>
          <w:szCs w:val="24"/>
          <w:lang w:eastAsia="cs-CZ"/>
        </w:rPr>
        <w:t>Na riadenie rizík a mimoriadnych udalostí v súvislosti so zmenou klímy sa v roku 2022 rozpočtujú prostriedky EÚ a spolufinancovania v objeme 79,6 mil. eur. Tieto prostriedky majú slúžiť na projekty v oblasti riadenia osobitných rizík (okrem povodňových) a posilnenia odolnosti proti mimoriadnym udalostiam ovplyvnených zmenou klímy (vyvíjanie systémov zvládania mimoriadnych udalostí, technická a inštitucionálna podpora špecializovaných záchranných modulov, prevencia a sanácia havarijných zosuvov súvisiacich so zmenou klímy).</w:t>
      </w:r>
    </w:p>
    <w:p w:rsidR="00AA17E3" w:rsidRPr="0037771E" w:rsidRDefault="00AA17E3" w:rsidP="00AA17E3">
      <w:pPr>
        <w:spacing w:after="0" w:line="240" w:lineRule="auto"/>
        <w:jc w:val="both"/>
        <w:rPr>
          <w:rFonts w:ascii="Times New Roman" w:eastAsia="Times New Roman" w:hAnsi="Times New Roman" w:cs="Times New Roman"/>
          <w:sz w:val="24"/>
          <w:szCs w:val="24"/>
          <w:lang w:eastAsia="cs-CZ"/>
        </w:rPr>
      </w:pPr>
    </w:p>
    <w:p w:rsidR="00AA17E3" w:rsidRPr="0037771E" w:rsidRDefault="00AA17E3" w:rsidP="00AA17E3">
      <w:pPr>
        <w:spacing w:after="0" w:line="240" w:lineRule="auto"/>
        <w:jc w:val="both"/>
        <w:rPr>
          <w:rFonts w:ascii="Times New Roman" w:eastAsia="Times New Roman" w:hAnsi="Times New Roman" w:cs="Times New Roman"/>
          <w:b/>
          <w:color w:val="5B9BD5" w:themeColor="accent1"/>
          <w:sz w:val="24"/>
          <w:szCs w:val="24"/>
          <w:lang w:eastAsia="cs-CZ"/>
        </w:rPr>
      </w:pPr>
      <w:r w:rsidRPr="0037771E">
        <w:rPr>
          <w:rFonts w:ascii="Times New Roman" w:eastAsia="Times New Roman" w:hAnsi="Times New Roman" w:cs="Times New Roman"/>
          <w:b/>
          <w:color w:val="5B9BD5" w:themeColor="accent1"/>
          <w:sz w:val="24"/>
          <w:szCs w:val="24"/>
          <w:lang w:eastAsia="cs-CZ"/>
        </w:rPr>
        <w:t>Energeticky efektívne nízkouhlíkové hospodárstvo</w:t>
      </w:r>
    </w:p>
    <w:p w:rsidR="00AA17E3" w:rsidRPr="0037771E" w:rsidRDefault="00AA17E3" w:rsidP="00AA17E3">
      <w:pPr>
        <w:spacing w:after="0" w:line="240" w:lineRule="auto"/>
        <w:jc w:val="both"/>
        <w:rPr>
          <w:rFonts w:ascii="Times New Roman" w:eastAsia="Times New Roman" w:hAnsi="Times New Roman" w:cs="Times New Roman"/>
          <w:b/>
          <w:sz w:val="24"/>
          <w:szCs w:val="24"/>
          <w:lang w:eastAsia="cs-CZ"/>
        </w:rPr>
      </w:pPr>
    </w:p>
    <w:p w:rsidR="00AA17E3" w:rsidRDefault="00AA17E3" w:rsidP="00E44DF3">
      <w:pPr>
        <w:spacing w:after="0" w:line="240" w:lineRule="auto"/>
        <w:jc w:val="both"/>
        <w:rPr>
          <w:rFonts w:ascii="Times New Roman" w:hAnsi="Times New Roman" w:cs="Times New Roman"/>
          <w:sz w:val="24"/>
          <w:szCs w:val="24"/>
        </w:rPr>
      </w:pPr>
      <w:r w:rsidRPr="0037771E">
        <w:rPr>
          <w:rFonts w:ascii="Times New Roman" w:hAnsi="Times New Roman" w:cs="Times New Roman"/>
          <w:sz w:val="24"/>
          <w:szCs w:val="24"/>
        </w:rPr>
        <w:t>Celkové výdavky smerujúce do energeticky efektívneho nízkouhlíkového hospodárstva sa v roku 2022 rozpočtujú vo výške 96,1 mil. eur a tvoria ich iba prostriedky EÚ a spolufinancovania. Výdavky za oblasť celkovo majú smerovať na projekty v oblasti podpory výroby energie z obnoviteľných zdrojov, zvýšenie energetickej efektívnosti v podnikoch, ako aj verejných budovách (realizácia opatrení vyplývajúcich z vykonaných energetických auditov).</w:t>
      </w:r>
    </w:p>
    <w:p w:rsidR="00E44DF3" w:rsidRPr="0037771E" w:rsidRDefault="00E44DF3" w:rsidP="00E44DF3">
      <w:pPr>
        <w:spacing w:after="0" w:line="240" w:lineRule="auto"/>
        <w:jc w:val="both"/>
        <w:rPr>
          <w:rFonts w:ascii="Times New Roman" w:hAnsi="Times New Roman" w:cs="Times New Roman"/>
          <w:sz w:val="24"/>
          <w:szCs w:val="24"/>
        </w:rPr>
      </w:pPr>
    </w:p>
    <w:p w:rsidR="00AA17E3" w:rsidRPr="0037771E" w:rsidRDefault="00AA17E3" w:rsidP="00E44DF3">
      <w:pPr>
        <w:spacing w:after="0" w:line="240" w:lineRule="auto"/>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 xml:space="preserve">Administratíva </w:t>
      </w:r>
    </w:p>
    <w:p w:rsidR="00E44DF3" w:rsidRDefault="00E44DF3" w:rsidP="00E44DF3">
      <w:pPr>
        <w:spacing w:after="0" w:line="240" w:lineRule="auto"/>
        <w:jc w:val="both"/>
        <w:rPr>
          <w:rFonts w:ascii="Times New Roman" w:hAnsi="Times New Roman" w:cs="Times New Roman"/>
          <w:sz w:val="24"/>
          <w:szCs w:val="24"/>
        </w:rPr>
      </w:pPr>
    </w:p>
    <w:p w:rsidR="00AA17E3" w:rsidRDefault="00E44DF3" w:rsidP="00E44D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Prostriedky v oblasti na</w:t>
      </w:r>
      <w:r w:rsidR="00AA17E3" w:rsidRPr="0037771E">
        <w:rPr>
          <w:rFonts w:ascii="Times New Roman" w:hAnsi="Times New Roman" w:cs="Times New Roman"/>
          <w:sz w:val="24"/>
          <w:szCs w:val="24"/>
        </w:rPr>
        <w:t xml:space="preserve"> rok 2022 predstavujú sumu 42 mil. eur a sú určené na financovanie činností, vykonávaných ústredným orgánom, Slovenskou inšpekciou životného prostredia a Slovenskou agentúrou životného prostredia. Okrem týchto výdavkov sem patria prostriedky určené na podporu a údržbu IT systémov, výchovu, vzdelávanie, propagáciu, prieskum, výskum, vývoj, technickú pomoc a príspevky medzinárodným organizáciám.</w:t>
      </w:r>
    </w:p>
    <w:p w:rsidR="00AA17E3" w:rsidRPr="0037771E" w:rsidRDefault="00AA17E3" w:rsidP="00AA17E3">
      <w:pPr>
        <w:spacing w:after="0" w:line="240" w:lineRule="auto"/>
        <w:jc w:val="both"/>
        <w:rPr>
          <w:rFonts w:ascii="Times New Roman" w:hAnsi="Times New Roman" w:cs="Times New Roman"/>
          <w:sz w:val="24"/>
          <w:szCs w:val="24"/>
        </w:rPr>
      </w:pPr>
    </w:p>
    <w:p w:rsidR="00AA17E3" w:rsidRPr="0037771E" w:rsidRDefault="00AA17E3" w:rsidP="00AA17E3">
      <w:pPr>
        <w:pStyle w:val="Popis"/>
        <w:keepNext/>
        <w:spacing w:after="0"/>
        <w:rPr>
          <w:rFonts w:ascii="Times New Roman" w:hAnsi="Times New Roman" w:cs="Times New Roman"/>
          <w:b/>
          <w:i w:val="0"/>
          <w:color w:val="5B9BD5" w:themeColor="accent1"/>
          <w:sz w:val="20"/>
          <w:szCs w:val="20"/>
        </w:rPr>
      </w:pPr>
      <w:bookmarkStart w:id="556" w:name="_Toc84528476"/>
      <w:bookmarkStart w:id="557" w:name="_Toc84845352"/>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128</w:t>
      </w:r>
      <w:r w:rsidRPr="002C35FD">
        <w:rPr>
          <w:rFonts w:ascii="Times New Roman" w:hAnsi="Times New Roman" w:cs="Times New Roman"/>
          <w:b/>
          <w:i w:val="0"/>
          <w:color w:val="5B9BD5" w:themeColor="accent1"/>
          <w:sz w:val="20"/>
          <w:szCs w:val="20"/>
        </w:rPr>
        <w:fldChar w:fldCharType="end"/>
      </w:r>
      <w:r w:rsidRPr="0037771E">
        <w:rPr>
          <w:rFonts w:ascii="Times New Roman" w:hAnsi="Times New Roman" w:cs="Times New Roman"/>
          <w:b/>
          <w:i w:val="0"/>
          <w:color w:val="5B9BD5" w:themeColor="accent1"/>
          <w:sz w:val="20"/>
          <w:szCs w:val="20"/>
        </w:rPr>
        <w:t xml:space="preserve"> - Výdavky na administratívu</w:t>
      </w:r>
      <w:bookmarkEnd w:id="556"/>
      <w:bookmarkEnd w:id="557"/>
    </w:p>
    <w:tbl>
      <w:tblPr>
        <w:tblW w:w="9127" w:type="dxa"/>
        <w:tblCellMar>
          <w:left w:w="70" w:type="dxa"/>
          <w:right w:w="70" w:type="dxa"/>
        </w:tblCellMar>
        <w:tblLook w:val="04A0" w:firstRow="1" w:lastRow="0" w:firstColumn="1" w:lastColumn="0" w:noHBand="0" w:noVBand="1"/>
      </w:tblPr>
      <w:tblGrid>
        <w:gridCol w:w="2828"/>
        <w:gridCol w:w="857"/>
        <w:gridCol w:w="977"/>
        <w:gridCol w:w="887"/>
        <w:gridCol w:w="977"/>
        <w:gridCol w:w="887"/>
        <w:gridCol w:w="857"/>
        <w:gridCol w:w="857"/>
      </w:tblGrid>
      <w:tr w:rsidR="00AA17E3" w:rsidRPr="0037771E" w:rsidTr="00AA17E3">
        <w:trPr>
          <w:trHeight w:val="303"/>
        </w:trPr>
        <w:tc>
          <w:tcPr>
            <w:tcW w:w="2828"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v tis. eur</w:t>
            </w:r>
          </w:p>
        </w:tc>
        <w:tc>
          <w:tcPr>
            <w:tcW w:w="85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2019 S</w:t>
            </w:r>
          </w:p>
        </w:tc>
        <w:tc>
          <w:tcPr>
            <w:tcW w:w="97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2020 S</w:t>
            </w:r>
          </w:p>
        </w:tc>
        <w:tc>
          <w:tcPr>
            <w:tcW w:w="88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R</w:t>
            </w:r>
          </w:p>
        </w:tc>
        <w:tc>
          <w:tcPr>
            <w:tcW w:w="97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2021 OS</w:t>
            </w:r>
          </w:p>
        </w:tc>
        <w:tc>
          <w:tcPr>
            <w:tcW w:w="88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2022 N</w:t>
            </w:r>
          </w:p>
        </w:tc>
        <w:tc>
          <w:tcPr>
            <w:tcW w:w="85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2023 N</w:t>
            </w:r>
          </w:p>
        </w:tc>
        <w:tc>
          <w:tcPr>
            <w:tcW w:w="857" w:type="dxa"/>
            <w:tcBorders>
              <w:top w:val="single" w:sz="4" w:space="0" w:color="auto"/>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2024 N</w:t>
            </w:r>
          </w:p>
        </w:tc>
      </w:tr>
      <w:tr w:rsidR="00AA17E3" w:rsidRPr="0037771E" w:rsidTr="00AA17E3">
        <w:trPr>
          <w:trHeight w:val="303"/>
        </w:trPr>
        <w:tc>
          <w:tcPr>
            <w:tcW w:w="282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Administratíva</w:t>
            </w:r>
            <w:r>
              <w:rPr>
                <w:rFonts w:ascii="Times New Roman" w:eastAsia="Times New Roman" w:hAnsi="Times New Roman" w:cs="Times New Roman"/>
                <w:b/>
                <w:bCs/>
                <w:color w:val="000000"/>
                <w:sz w:val="16"/>
                <w:szCs w:val="16"/>
                <w:lang w:eastAsia="sk-SK"/>
              </w:rPr>
              <w:t>,</w:t>
            </w:r>
            <w:r w:rsidRPr="0037771E">
              <w:rPr>
                <w:rFonts w:ascii="Times New Roman" w:eastAsia="Times New Roman" w:hAnsi="Times New Roman" w:cs="Times New Roman"/>
                <w:b/>
                <w:bCs/>
                <w:color w:val="000000"/>
                <w:sz w:val="16"/>
                <w:szCs w:val="16"/>
                <w:lang w:eastAsia="sk-SK"/>
              </w:rPr>
              <w:t xml:space="preserve"> v tom:</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137 820</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127 317</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43 498</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71 512</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42 000</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34 754</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37771E">
              <w:rPr>
                <w:rFonts w:ascii="Times New Roman" w:eastAsia="Times New Roman" w:hAnsi="Times New Roman" w:cs="Times New Roman"/>
                <w:b/>
                <w:bCs/>
                <w:color w:val="000000"/>
                <w:sz w:val="16"/>
                <w:szCs w:val="16"/>
                <w:lang w:eastAsia="sk-SK"/>
              </w:rPr>
              <w:t>32 112</w:t>
            </w:r>
          </w:p>
        </w:tc>
      </w:tr>
      <w:tr w:rsidR="00AA17E3" w:rsidRPr="0037771E" w:rsidTr="00AA17E3">
        <w:trPr>
          <w:trHeight w:val="303"/>
        </w:trPr>
        <w:tc>
          <w:tcPr>
            <w:tcW w:w="282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Ústredný orgán - aparát</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16 461</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14 913</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13 137</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12 058</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13 745</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13 504</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13 504</w:t>
            </w:r>
          </w:p>
        </w:tc>
      </w:tr>
      <w:tr w:rsidR="00AA17E3" w:rsidRPr="0037771E" w:rsidTr="00AA17E3">
        <w:trPr>
          <w:trHeight w:val="303"/>
        </w:trPr>
        <w:tc>
          <w:tcPr>
            <w:tcW w:w="282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Slovenská inšpekcia životného prostredia</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5 768</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7 651</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6 775</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6 991</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6 782</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6 782</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6 782</w:t>
            </w:r>
          </w:p>
        </w:tc>
      </w:tr>
      <w:tr w:rsidR="00AA17E3" w:rsidRPr="0037771E" w:rsidTr="00AA17E3">
        <w:trPr>
          <w:trHeight w:val="303"/>
        </w:trPr>
        <w:tc>
          <w:tcPr>
            <w:tcW w:w="282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Slovenská agentúra životného prostredia</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4 647</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4 109</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3 590</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6 315</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3 590</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3 590</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3 590</w:t>
            </w:r>
          </w:p>
        </w:tc>
      </w:tr>
      <w:tr w:rsidR="00AA17E3" w:rsidRPr="0037771E" w:rsidTr="00AA17E3">
        <w:trPr>
          <w:trHeight w:val="303"/>
        </w:trPr>
        <w:tc>
          <w:tcPr>
            <w:tcW w:w="2828"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SK PRES</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14</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97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88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c>
          <w:tcPr>
            <w:tcW w:w="857" w:type="dxa"/>
            <w:tcBorders>
              <w:top w:val="nil"/>
              <w:left w:val="nil"/>
              <w:bottom w:val="nil"/>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0</w:t>
            </w:r>
          </w:p>
        </w:tc>
      </w:tr>
      <w:tr w:rsidR="00AA17E3" w:rsidRPr="0037771E" w:rsidTr="00AA17E3">
        <w:trPr>
          <w:trHeight w:val="303"/>
        </w:trPr>
        <w:tc>
          <w:tcPr>
            <w:tcW w:w="2828"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Príspevky SR do MO</w:t>
            </w:r>
          </w:p>
        </w:tc>
        <w:tc>
          <w:tcPr>
            <w:tcW w:w="85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3 017</w:t>
            </w:r>
          </w:p>
        </w:tc>
        <w:tc>
          <w:tcPr>
            <w:tcW w:w="97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3 675</w:t>
            </w:r>
          </w:p>
        </w:tc>
        <w:tc>
          <w:tcPr>
            <w:tcW w:w="88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3 926</w:t>
            </w:r>
          </w:p>
        </w:tc>
        <w:tc>
          <w:tcPr>
            <w:tcW w:w="97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3 926</w:t>
            </w:r>
          </w:p>
        </w:tc>
        <w:tc>
          <w:tcPr>
            <w:tcW w:w="88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3 805</w:t>
            </w:r>
          </w:p>
        </w:tc>
        <w:tc>
          <w:tcPr>
            <w:tcW w:w="85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3 805</w:t>
            </w:r>
          </w:p>
        </w:tc>
        <w:tc>
          <w:tcPr>
            <w:tcW w:w="857" w:type="dxa"/>
            <w:tcBorders>
              <w:top w:val="nil"/>
              <w:left w:val="nil"/>
              <w:bottom w:val="single" w:sz="4" w:space="0" w:color="auto"/>
              <w:right w:val="nil"/>
            </w:tcBorders>
            <w:shd w:val="clear" w:color="auto" w:fill="auto"/>
            <w:noWrap/>
            <w:vAlign w:val="center"/>
            <w:hideMark/>
          </w:tcPr>
          <w:p w:rsidR="00AA17E3" w:rsidRPr="0037771E"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37771E">
              <w:rPr>
                <w:rFonts w:ascii="Times New Roman" w:eastAsia="Times New Roman" w:hAnsi="Times New Roman" w:cs="Times New Roman"/>
                <w:color w:val="000000"/>
                <w:sz w:val="16"/>
                <w:szCs w:val="16"/>
                <w:lang w:eastAsia="sk-SK"/>
              </w:rPr>
              <w:t>3 805</w:t>
            </w:r>
          </w:p>
        </w:tc>
      </w:tr>
    </w:tbl>
    <w:p w:rsidR="00AA17E3" w:rsidRDefault="00AA17E3" w:rsidP="00AA17E3">
      <w:pPr>
        <w:spacing w:after="0" w:line="240" w:lineRule="auto"/>
        <w:ind w:left="7513"/>
        <w:jc w:val="center"/>
        <w:rPr>
          <w:rFonts w:ascii="Times New Roman" w:eastAsia="Times New Roman" w:hAnsi="Times New Roman" w:cs="Times New Roman"/>
          <w:i/>
          <w:iCs/>
          <w:color w:val="000000"/>
          <w:sz w:val="16"/>
          <w:szCs w:val="16"/>
          <w:lang w:eastAsia="sk-SK"/>
        </w:rPr>
      </w:pPr>
      <w:r w:rsidRPr="0037771E">
        <w:rPr>
          <w:rFonts w:ascii="Times New Roman" w:eastAsia="Times New Roman" w:hAnsi="Times New Roman" w:cs="Times New Roman"/>
          <w:i/>
          <w:iCs/>
          <w:color w:val="000000"/>
          <w:sz w:val="16"/>
          <w:szCs w:val="16"/>
          <w:lang w:eastAsia="sk-SK"/>
        </w:rPr>
        <w:t xml:space="preserve">             Zdroj: MF SR</w:t>
      </w:r>
    </w:p>
    <w:p w:rsidR="00AA17E3" w:rsidRPr="00A273CE" w:rsidRDefault="00AA17E3" w:rsidP="00AA17E3">
      <w:pPr>
        <w:spacing w:after="0" w:line="240" w:lineRule="auto"/>
        <w:ind w:left="7513"/>
        <w:jc w:val="center"/>
        <w:rPr>
          <w:rFonts w:ascii="Times New Roman" w:eastAsia="Times New Roman" w:hAnsi="Times New Roman" w:cs="Times New Roman"/>
          <w:i/>
          <w:iCs/>
          <w:color w:val="000000"/>
          <w:sz w:val="24"/>
          <w:szCs w:val="16"/>
          <w:lang w:eastAsia="sk-SK"/>
        </w:rPr>
      </w:pPr>
    </w:p>
    <w:p w:rsidR="00AA17E3" w:rsidRDefault="00AA17E3" w:rsidP="00E44DF3">
      <w:pPr>
        <w:spacing w:after="0" w:line="240" w:lineRule="auto"/>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Iné činnosti kapitoly</w:t>
      </w:r>
    </w:p>
    <w:p w:rsidR="00E44DF3" w:rsidRPr="0037771E" w:rsidRDefault="00E44DF3" w:rsidP="00E44DF3">
      <w:pPr>
        <w:spacing w:after="0" w:line="240" w:lineRule="auto"/>
        <w:rPr>
          <w:rFonts w:ascii="Times New Roman" w:hAnsi="Times New Roman" w:cs="Times New Roman"/>
          <w:b/>
          <w:color w:val="5B9BD5" w:themeColor="accent1"/>
          <w:sz w:val="24"/>
          <w:szCs w:val="24"/>
        </w:rPr>
      </w:pPr>
    </w:p>
    <w:p w:rsidR="00AA17E3" w:rsidRPr="0037771E" w:rsidRDefault="00E44DF3" w:rsidP="00E44D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Prostriedky v oblasti na</w:t>
      </w:r>
      <w:r w:rsidR="00AA17E3" w:rsidRPr="0037771E">
        <w:rPr>
          <w:rFonts w:ascii="Times New Roman" w:hAnsi="Times New Roman" w:cs="Times New Roman"/>
          <w:sz w:val="24"/>
          <w:szCs w:val="24"/>
        </w:rPr>
        <w:t xml:space="preserve"> rok 2022 predstavujú sumu 192 mil. eur a sú určené na inštitucionálnu podporu a výdavky financované Environmentálnym fondom z Modernizačného fondu a financovanie aktivít z Plánu obnovy a odolnosti Slovenskou agentúrou životného prostredia.</w:t>
      </w:r>
    </w:p>
    <w:p w:rsidR="00AA17E3" w:rsidRPr="0037771E" w:rsidRDefault="00AA17E3" w:rsidP="00AA17E3">
      <w:pPr>
        <w:spacing w:after="0" w:line="240" w:lineRule="auto"/>
        <w:jc w:val="both"/>
        <w:rPr>
          <w:rFonts w:ascii="Times New Roman" w:hAnsi="Times New Roman" w:cs="Times New Roman"/>
          <w:sz w:val="24"/>
          <w:szCs w:val="24"/>
        </w:rPr>
      </w:pPr>
    </w:p>
    <w:p w:rsidR="00AA17E3" w:rsidRPr="0037771E" w:rsidRDefault="00E44DF3" w:rsidP="004B108F">
      <w:pPr>
        <w:pStyle w:val="Odsekzoznamu"/>
        <w:numPr>
          <w:ilvl w:val="0"/>
          <w:numId w:val="26"/>
        </w:numPr>
        <w:jc w:val="both"/>
        <w:rPr>
          <w:rFonts w:ascii="Times New Roman" w:hAnsi="Times New Roman" w:cs="Times New Roman"/>
          <w:b/>
          <w:color w:val="5B9BD5" w:themeColor="accent1"/>
        </w:rPr>
      </w:pPr>
      <w:r>
        <w:rPr>
          <w:rFonts w:ascii="Times New Roman" w:hAnsi="Times New Roman" w:cs="Times New Roman"/>
        </w:rPr>
        <w:t>V oblasti sú na</w:t>
      </w:r>
      <w:r w:rsidR="00AA17E3" w:rsidRPr="0037771E">
        <w:rPr>
          <w:rFonts w:ascii="Times New Roman" w:hAnsi="Times New Roman" w:cs="Times New Roman"/>
        </w:rPr>
        <w:t xml:space="preserve"> rok 2022 rozpočtované výdavky z Plánu obnovy a odolnosti v objeme            83,6 mil. eur, ktoré budú určené najmä na zlepšenie energetickej hospodárnosti rodinných domov, ktoré bude realizované prostredníctvom Slovenskej agentúry životného prostredia. Cieľom uvedenej aktivity je zlepšenie energetickej hospodárnosti rodinných domov a zavedenie vybraných zelených prvkov v procese obnovy, pričom pri prideľovaní prostriedkov bude zohľadnený aspekt energetickej chudoby. </w:t>
      </w:r>
    </w:p>
    <w:p w:rsidR="00AA17E3" w:rsidRPr="0037771E" w:rsidRDefault="00AA17E3" w:rsidP="004B108F">
      <w:pPr>
        <w:pStyle w:val="Odsekzoznamu"/>
        <w:numPr>
          <w:ilvl w:val="0"/>
          <w:numId w:val="26"/>
        </w:numPr>
        <w:jc w:val="both"/>
        <w:rPr>
          <w:rFonts w:ascii="Times New Roman" w:hAnsi="Times New Roman" w:cs="Times New Roman"/>
        </w:rPr>
      </w:pPr>
      <w:r w:rsidRPr="0037771E">
        <w:rPr>
          <w:rFonts w:ascii="Times New Roman" w:hAnsi="Times New Roman" w:cs="Times New Roman"/>
        </w:rPr>
        <w:t>Do oblasti sú začlenené aj výdavky z Modernizačného fondu, rozpočtované v Environmentálnom fonde v objeme 100 mil. eur v roku 2022, určené na  schému štátnej pomoci pre teplárenské spoločnosti.</w:t>
      </w:r>
      <w:r w:rsidRPr="0037771E">
        <w:t xml:space="preserve"> </w:t>
      </w:r>
      <w:r w:rsidRPr="0037771E">
        <w:rPr>
          <w:rFonts w:ascii="Times New Roman" w:hAnsi="Times New Roman" w:cs="Times New Roman"/>
        </w:rPr>
        <w:t>Prostriedky sú určené na modernizáciu energetických systémov, vrátane uskladňovania energie a na zlepšenie energetickej efektívnosti.</w:t>
      </w:r>
    </w:p>
    <w:p w:rsidR="00AA17E3" w:rsidRPr="0037771E" w:rsidRDefault="00AA17E3" w:rsidP="00AA17E3">
      <w:pPr>
        <w:pStyle w:val="Odsekzoznamu"/>
        <w:jc w:val="both"/>
        <w:rPr>
          <w:rFonts w:ascii="Times New Roman" w:hAnsi="Times New Roman" w:cs="Times New Roman"/>
        </w:rPr>
      </w:pPr>
    </w:p>
    <w:p w:rsidR="00AA17E3" w:rsidRDefault="00AA17E3" w:rsidP="00E44DF3">
      <w:pPr>
        <w:spacing w:after="0" w:line="240" w:lineRule="auto"/>
        <w:rPr>
          <w:rFonts w:ascii="Times New Roman" w:hAnsi="Times New Roman" w:cs="Times New Roman"/>
          <w:b/>
          <w:color w:val="5B9BD5" w:themeColor="accent1"/>
          <w:sz w:val="24"/>
          <w:szCs w:val="24"/>
        </w:rPr>
      </w:pPr>
      <w:r w:rsidRPr="0037771E">
        <w:rPr>
          <w:rFonts w:ascii="Times New Roman" w:hAnsi="Times New Roman" w:cs="Times New Roman"/>
          <w:b/>
          <w:color w:val="5B9BD5" w:themeColor="accent1"/>
          <w:sz w:val="24"/>
          <w:szCs w:val="24"/>
        </w:rPr>
        <w:t xml:space="preserve">Samostatné účty </w:t>
      </w:r>
    </w:p>
    <w:p w:rsidR="00E44DF3" w:rsidRPr="0037771E" w:rsidRDefault="00E44DF3" w:rsidP="00E44DF3">
      <w:pPr>
        <w:spacing w:after="0" w:line="240" w:lineRule="auto"/>
        <w:rPr>
          <w:rFonts w:ascii="Times New Roman" w:hAnsi="Times New Roman" w:cs="Times New Roman"/>
          <w:b/>
          <w:color w:val="5B9BD5" w:themeColor="accent1"/>
          <w:sz w:val="24"/>
          <w:szCs w:val="24"/>
        </w:rPr>
      </w:pPr>
    </w:p>
    <w:p w:rsidR="00AA17E3" w:rsidRDefault="00AA17E3" w:rsidP="00E44DF3">
      <w:pPr>
        <w:spacing w:after="0" w:line="240" w:lineRule="auto"/>
        <w:jc w:val="both"/>
        <w:rPr>
          <w:rFonts w:ascii="Times New Roman" w:eastAsia="Times New Roman" w:hAnsi="Times New Roman" w:cs="Times New Roman"/>
          <w:sz w:val="24"/>
          <w:szCs w:val="24"/>
          <w:lang w:eastAsia="cs-CZ"/>
        </w:rPr>
      </w:pPr>
      <w:r w:rsidRPr="0037771E">
        <w:rPr>
          <w:rFonts w:ascii="Times New Roman" w:eastAsia="Times New Roman" w:hAnsi="Times New Roman" w:cs="Times New Roman"/>
          <w:sz w:val="24"/>
          <w:szCs w:val="24"/>
          <w:lang w:eastAsia="cs-CZ"/>
        </w:rPr>
        <w:t>Oblasť disponuje v roku 2022 finančnými prostriedkami v objeme 6,82 mil. eur na samostatných účtoch Finančného mechanizmu EHP a Nórskeho finančného mechanizmu, pričom MŽP SR plní v prípade oboch finančných mechanizmov úlohu správcu programu Zmierňovanie a prispôsobovanie sa zmene klímy.</w:t>
      </w:r>
    </w:p>
    <w:p w:rsidR="00E44DF3" w:rsidRPr="0099517F" w:rsidRDefault="00E44DF3" w:rsidP="00E44DF3">
      <w:pPr>
        <w:spacing w:after="0" w:line="240" w:lineRule="auto"/>
        <w:jc w:val="both"/>
        <w:rPr>
          <w:rFonts w:ascii="Times New Roman" w:eastAsia="Times New Roman" w:hAnsi="Times New Roman" w:cs="Times New Roman"/>
          <w:sz w:val="24"/>
          <w:szCs w:val="24"/>
          <w:lang w:eastAsia="cs-CZ"/>
        </w:rPr>
      </w:pPr>
    </w:p>
    <w:p w:rsidR="00AA17E3" w:rsidRPr="0078257F" w:rsidRDefault="00AA17E3" w:rsidP="00E44DF3">
      <w:pPr>
        <w:pStyle w:val="Nadpis2"/>
        <w:spacing w:before="0" w:after="0"/>
        <w:rPr>
          <w:rFonts w:ascii="Times New Roman" w:hAnsi="Times New Roman"/>
          <w:i w:val="0"/>
          <w:color w:val="5B9BD5" w:themeColor="accent1"/>
          <w:sz w:val="24"/>
        </w:rPr>
      </w:pPr>
      <w:bookmarkStart w:id="558" w:name="_Toc53062623"/>
      <w:bookmarkStart w:id="559" w:name="_Toc53084681"/>
      <w:bookmarkStart w:id="560" w:name="_Toc84528346"/>
      <w:bookmarkStart w:id="561" w:name="_Toc84684769"/>
      <w:r w:rsidRPr="0078257F">
        <w:rPr>
          <w:rFonts w:ascii="Times New Roman" w:hAnsi="Times New Roman"/>
          <w:i w:val="0"/>
          <w:color w:val="5B9BD5" w:themeColor="accent1"/>
          <w:sz w:val="24"/>
        </w:rPr>
        <w:t>4.13. Ekonomika</w:t>
      </w:r>
      <w:bookmarkEnd w:id="558"/>
      <w:bookmarkEnd w:id="559"/>
      <w:bookmarkEnd w:id="560"/>
      <w:bookmarkEnd w:id="561"/>
    </w:p>
    <w:p w:rsidR="00AA17E3" w:rsidRPr="00E836C5" w:rsidRDefault="00AA17E3" w:rsidP="00E44DF3">
      <w:pPr>
        <w:spacing w:after="0"/>
        <w:jc w:val="both"/>
        <w:rPr>
          <w:rFonts w:ascii="Times New Roman" w:hAnsi="Times New Roman" w:cs="Times New Roman"/>
          <w:highlight w:val="yellow"/>
          <w:lang w:eastAsia="sk-SK"/>
        </w:rPr>
      </w:pPr>
    </w:p>
    <w:p w:rsidR="00AA17E3" w:rsidRPr="00441800" w:rsidRDefault="00AA17E3" w:rsidP="00E44DF3">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Vláda v oblasti ekonomiky plní najmä úlohy nastavenia a riadenia energetickej politiky, podpory podnikania, informatizácie a regionálneho rozvoja. Za energetickú a surovinovú politiku, ako aj podporu podnikania a investícií je zodpovedné Ministerstvo hospodárstva SR a jeho podriadené organizácie. Osobitnú úlohu v oblasti energetickej regulačnej politiky má nezávislý Úrad pre reguláciu sieťových odvetví. Gestorom informatizácie a regionálneho rozvoja je Ministerstvo investícií, regionálneho rozvoja a informatizácie SR.</w:t>
      </w:r>
    </w:p>
    <w:p w:rsidR="00AA17E3" w:rsidRPr="000E4000" w:rsidRDefault="00AA17E3" w:rsidP="00E44DF3">
      <w:pPr>
        <w:spacing w:after="0"/>
        <w:jc w:val="both"/>
        <w:rPr>
          <w:rFonts w:ascii="Times New Roman" w:hAnsi="Times New Roman" w:cs="Times New Roman"/>
          <w:lang w:eastAsia="sk-SK"/>
        </w:rPr>
      </w:pPr>
    </w:p>
    <w:p w:rsidR="00AA17E3" w:rsidRPr="000E4000" w:rsidRDefault="00AA17E3" w:rsidP="00E44DF3">
      <w:pPr>
        <w:pStyle w:val="Popis"/>
        <w:keepNext/>
        <w:spacing w:after="0"/>
        <w:rPr>
          <w:rFonts w:ascii="Times New Roman" w:hAnsi="Times New Roman" w:cs="Times New Roman"/>
          <w:b/>
          <w:i w:val="0"/>
          <w:sz w:val="20"/>
          <w:szCs w:val="20"/>
        </w:rPr>
      </w:pPr>
      <w:bookmarkStart w:id="562" w:name="_Toc84528477"/>
      <w:bookmarkStart w:id="563" w:name="_Toc84845353"/>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129</w:t>
      </w:r>
      <w:r w:rsidRPr="002C35FD">
        <w:rPr>
          <w:rFonts w:ascii="Times New Roman" w:hAnsi="Times New Roman" w:cs="Times New Roman"/>
          <w:b/>
          <w:i w:val="0"/>
          <w:color w:val="5B9BD5" w:themeColor="accent1"/>
          <w:sz w:val="20"/>
          <w:szCs w:val="20"/>
        </w:rPr>
        <w:fldChar w:fldCharType="end"/>
      </w:r>
      <w:r w:rsidRPr="000E4000">
        <w:rPr>
          <w:rFonts w:ascii="Times New Roman" w:hAnsi="Times New Roman" w:cs="Times New Roman"/>
          <w:b/>
          <w:i w:val="0"/>
          <w:color w:val="5B9BD5" w:themeColor="accent1"/>
          <w:sz w:val="20"/>
          <w:szCs w:val="20"/>
        </w:rPr>
        <w:t xml:space="preserve"> - Kľúčové ukazovatele ekonomiky</w:t>
      </w:r>
      <w:bookmarkEnd w:id="562"/>
      <w:bookmarkEnd w:id="563"/>
    </w:p>
    <w:tbl>
      <w:tblPr>
        <w:tblStyle w:val="Mriekatabuky"/>
        <w:tblW w:w="5000" w:type="pct"/>
        <w:tblLayout w:type="fixed"/>
        <w:tblLook w:val="04A0" w:firstRow="1" w:lastRow="0" w:firstColumn="1" w:lastColumn="0" w:noHBand="0" w:noVBand="1"/>
      </w:tblPr>
      <w:tblGrid>
        <w:gridCol w:w="3623"/>
        <w:gridCol w:w="775"/>
        <w:gridCol w:w="778"/>
        <w:gridCol w:w="778"/>
        <w:gridCol w:w="778"/>
        <w:gridCol w:w="74"/>
        <w:gridCol w:w="704"/>
        <w:gridCol w:w="778"/>
        <w:gridCol w:w="784"/>
      </w:tblGrid>
      <w:tr w:rsidR="00AA17E3" w:rsidRPr="000E4000" w:rsidTr="00C45BEF">
        <w:trPr>
          <w:trHeight w:val="20"/>
        </w:trPr>
        <w:tc>
          <w:tcPr>
            <w:tcW w:w="1996" w:type="pct"/>
            <w:tcBorders>
              <w:left w:val="nil"/>
              <w:bottom w:val="single" w:sz="4" w:space="0" w:color="auto"/>
              <w:right w:val="nil"/>
            </w:tcBorders>
            <w:noWrap/>
            <w:hideMark/>
          </w:tcPr>
          <w:p w:rsidR="00AA17E3" w:rsidRPr="000E4000" w:rsidRDefault="00AA17E3" w:rsidP="00AA17E3">
            <w:pPr>
              <w:jc w:val="both"/>
              <w:rPr>
                <w:rFonts w:ascii="Times New Roman" w:hAnsi="Times New Roman"/>
                <w:b/>
                <w:sz w:val="16"/>
                <w:szCs w:val="16"/>
                <w:lang w:eastAsia="sk-SK"/>
              </w:rPr>
            </w:pPr>
            <w:r w:rsidRPr="000E4000">
              <w:rPr>
                <w:rFonts w:ascii="Times New Roman" w:hAnsi="Times New Roman"/>
                <w:b/>
                <w:sz w:val="16"/>
                <w:szCs w:val="16"/>
                <w:lang w:eastAsia="sk-SK"/>
              </w:rPr>
              <w:t>Názov indikátora</w:t>
            </w:r>
          </w:p>
        </w:tc>
        <w:tc>
          <w:tcPr>
            <w:tcW w:w="427" w:type="pct"/>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2017</w:t>
            </w:r>
          </w:p>
        </w:tc>
        <w:tc>
          <w:tcPr>
            <w:tcW w:w="429" w:type="pct"/>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2018</w:t>
            </w:r>
          </w:p>
        </w:tc>
        <w:tc>
          <w:tcPr>
            <w:tcW w:w="429" w:type="pct"/>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2019</w:t>
            </w:r>
          </w:p>
        </w:tc>
        <w:tc>
          <w:tcPr>
            <w:tcW w:w="429" w:type="pct"/>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2020</w:t>
            </w:r>
          </w:p>
        </w:tc>
        <w:tc>
          <w:tcPr>
            <w:tcW w:w="429" w:type="pct"/>
            <w:gridSpan w:val="2"/>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2021</w:t>
            </w:r>
          </w:p>
        </w:tc>
        <w:tc>
          <w:tcPr>
            <w:tcW w:w="429" w:type="pct"/>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Cieľ 2024</w:t>
            </w:r>
          </w:p>
        </w:tc>
        <w:tc>
          <w:tcPr>
            <w:tcW w:w="432" w:type="pct"/>
            <w:tcBorders>
              <w:left w:val="nil"/>
              <w:bottom w:val="single" w:sz="4" w:space="0" w:color="auto"/>
              <w:right w:val="nil"/>
            </w:tcBorders>
            <w:noWrap/>
            <w:vAlign w:val="center"/>
            <w:hideMark/>
          </w:tcPr>
          <w:p w:rsidR="00AA17E3" w:rsidRPr="000E4000" w:rsidRDefault="00AA17E3" w:rsidP="00AA17E3">
            <w:pPr>
              <w:jc w:val="right"/>
              <w:rPr>
                <w:rFonts w:ascii="Times New Roman" w:hAnsi="Times New Roman"/>
                <w:b/>
                <w:sz w:val="16"/>
                <w:szCs w:val="16"/>
                <w:lang w:eastAsia="sk-SK"/>
              </w:rPr>
            </w:pPr>
            <w:r w:rsidRPr="000E4000">
              <w:rPr>
                <w:rFonts w:ascii="Times New Roman" w:hAnsi="Times New Roman"/>
                <w:b/>
                <w:sz w:val="16"/>
                <w:szCs w:val="16"/>
                <w:lang w:eastAsia="sk-SK"/>
              </w:rPr>
              <w:t>Cieľ 2030</w:t>
            </w:r>
          </w:p>
        </w:tc>
      </w:tr>
      <w:tr w:rsidR="00AA17E3" w:rsidRPr="000E4000" w:rsidTr="00C45BEF">
        <w:trPr>
          <w:trHeight w:val="20"/>
        </w:trPr>
        <w:tc>
          <w:tcPr>
            <w:tcW w:w="1996" w:type="pct"/>
            <w:tcBorders>
              <w:left w:val="nil"/>
              <w:bottom w:val="nil"/>
              <w:right w:val="nil"/>
            </w:tcBorders>
            <w:noWrap/>
            <w:vAlign w:val="center"/>
            <w:hideMark/>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Doing Business (poradie) *</w:t>
            </w:r>
          </w:p>
        </w:tc>
        <w:tc>
          <w:tcPr>
            <w:tcW w:w="427" w:type="pct"/>
            <w:tcBorders>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33</w:t>
            </w:r>
          </w:p>
        </w:tc>
        <w:tc>
          <w:tcPr>
            <w:tcW w:w="429" w:type="pct"/>
            <w:tcBorders>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39</w:t>
            </w:r>
          </w:p>
        </w:tc>
        <w:tc>
          <w:tcPr>
            <w:tcW w:w="429" w:type="pct"/>
            <w:tcBorders>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42</w:t>
            </w:r>
          </w:p>
        </w:tc>
        <w:tc>
          <w:tcPr>
            <w:tcW w:w="429" w:type="pct"/>
            <w:tcBorders>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45</w:t>
            </w:r>
          </w:p>
        </w:tc>
        <w:tc>
          <w:tcPr>
            <w:tcW w:w="429" w:type="pct"/>
            <w:gridSpan w:val="2"/>
            <w:tcBorders>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w:t>
            </w:r>
          </w:p>
        </w:tc>
        <w:tc>
          <w:tcPr>
            <w:tcW w:w="432" w:type="pct"/>
            <w:tcBorders>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w:t>
            </w:r>
          </w:p>
        </w:tc>
      </w:tr>
      <w:tr w:rsidR="00AA17E3" w:rsidRPr="000E4000" w:rsidTr="00C45BEF">
        <w:trPr>
          <w:trHeight w:val="20"/>
        </w:trPr>
        <w:tc>
          <w:tcPr>
            <w:tcW w:w="1996" w:type="pct"/>
            <w:tcBorders>
              <w:top w:val="nil"/>
              <w:left w:val="nil"/>
              <w:bottom w:val="nil"/>
              <w:right w:val="nil"/>
            </w:tcBorders>
            <w:noWrap/>
            <w:vAlign w:val="center"/>
            <w:hideMark/>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European Innovation Scoreboard (poradie)</w:t>
            </w:r>
          </w:p>
        </w:tc>
        <w:tc>
          <w:tcPr>
            <w:tcW w:w="427"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21</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23</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22</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21</w:t>
            </w:r>
          </w:p>
        </w:tc>
        <w:tc>
          <w:tcPr>
            <w:tcW w:w="429" w:type="pct"/>
            <w:gridSpan w:val="2"/>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23</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22</w:t>
            </w:r>
          </w:p>
        </w:tc>
        <w:tc>
          <w:tcPr>
            <w:tcW w:w="432"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19</w:t>
            </w:r>
          </w:p>
        </w:tc>
      </w:tr>
      <w:tr w:rsidR="00AA17E3" w:rsidRPr="000E4000" w:rsidTr="00C45BEF">
        <w:trPr>
          <w:trHeight w:val="20"/>
        </w:trPr>
        <w:tc>
          <w:tcPr>
            <w:tcW w:w="1996" w:type="pct"/>
            <w:tcBorders>
              <w:top w:val="nil"/>
              <w:left w:val="nil"/>
              <w:bottom w:val="nil"/>
              <w:right w:val="nil"/>
            </w:tcBorders>
            <w:noWrap/>
            <w:vAlign w:val="center"/>
            <w:hideMark/>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 xml:space="preserve">Výdavky na výskum a vývoj v súkromnej sfére </w:t>
            </w:r>
            <w:r>
              <w:rPr>
                <w:rFonts w:ascii="Times New Roman" w:hAnsi="Times New Roman"/>
                <w:sz w:val="16"/>
                <w:szCs w:val="16"/>
                <w:lang w:eastAsia="sk-SK"/>
              </w:rPr>
              <w:br/>
            </w:r>
            <w:r w:rsidRPr="000E4000">
              <w:rPr>
                <w:rFonts w:ascii="Times New Roman" w:hAnsi="Times New Roman"/>
                <w:sz w:val="16"/>
                <w:szCs w:val="16"/>
                <w:lang w:eastAsia="sk-SK"/>
              </w:rPr>
              <w:t>(% HDP)</w:t>
            </w:r>
          </w:p>
        </w:tc>
        <w:tc>
          <w:tcPr>
            <w:tcW w:w="427"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0,48</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0,45</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0,45</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0,48</w:t>
            </w:r>
          </w:p>
        </w:tc>
        <w:tc>
          <w:tcPr>
            <w:tcW w:w="429" w:type="pct"/>
            <w:gridSpan w:val="2"/>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0,50</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0,68</w:t>
            </w:r>
          </w:p>
        </w:tc>
        <w:tc>
          <w:tcPr>
            <w:tcW w:w="432"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1,04</w:t>
            </w:r>
          </w:p>
        </w:tc>
      </w:tr>
      <w:tr w:rsidR="00AA17E3" w:rsidRPr="000E4000" w:rsidTr="00C45BEF">
        <w:trPr>
          <w:trHeight w:val="20"/>
        </w:trPr>
        <w:tc>
          <w:tcPr>
            <w:tcW w:w="1996" w:type="pct"/>
            <w:tcBorders>
              <w:top w:val="nil"/>
              <w:left w:val="nil"/>
              <w:bottom w:val="nil"/>
              <w:right w:val="nil"/>
            </w:tcBorders>
            <w:vAlign w:val="center"/>
            <w:hideMark/>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Podiel OZE na hrubej konečnej energetickej spotrebe (%)</w:t>
            </w:r>
          </w:p>
        </w:tc>
        <w:tc>
          <w:tcPr>
            <w:tcW w:w="427"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11,5</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11,9</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16,9</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gridSpan w:val="2"/>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 xml:space="preserve">TBD** </w:t>
            </w:r>
          </w:p>
        </w:tc>
        <w:tc>
          <w:tcPr>
            <w:tcW w:w="432" w:type="pct"/>
            <w:tcBorders>
              <w:top w:val="nil"/>
              <w:left w:val="nil"/>
              <w:bottom w:val="nil"/>
              <w:right w:val="nil"/>
            </w:tcBorders>
            <w:noWrap/>
            <w:vAlign w:val="center"/>
            <w:hideMark/>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19,2</w:t>
            </w:r>
          </w:p>
        </w:tc>
      </w:tr>
      <w:tr w:rsidR="00AA17E3" w:rsidRPr="000E4000" w:rsidTr="00C45BEF">
        <w:trPr>
          <w:trHeight w:val="20"/>
        </w:trPr>
        <w:tc>
          <w:tcPr>
            <w:tcW w:w="1996" w:type="pct"/>
            <w:tcBorders>
              <w:top w:val="nil"/>
              <w:left w:val="nil"/>
              <w:bottom w:val="nil"/>
              <w:right w:val="nil"/>
            </w:tcBorders>
            <w:vAlign w:val="center"/>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Konečná energetická spotreba (GWh)</w:t>
            </w:r>
          </w:p>
        </w:tc>
        <w:tc>
          <w:tcPr>
            <w:tcW w:w="427"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115 172</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115 270</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119 189</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gridSpan w:val="2"/>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TBD</w:t>
            </w:r>
          </w:p>
        </w:tc>
        <w:tc>
          <w:tcPr>
            <w:tcW w:w="432"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119 457</w:t>
            </w:r>
          </w:p>
        </w:tc>
      </w:tr>
      <w:tr w:rsidR="00AA17E3" w:rsidRPr="000E4000" w:rsidTr="00C45BEF">
        <w:trPr>
          <w:trHeight w:val="20"/>
        </w:trPr>
        <w:tc>
          <w:tcPr>
            <w:tcW w:w="1996" w:type="pct"/>
            <w:tcBorders>
              <w:top w:val="nil"/>
              <w:left w:val="nil"/>
              <w:bottom w:val="nil"/>
              <w:right w:val="nil"/>
            </w:tcBorders>
            <w:vAlign w:val="center"/>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P</w:t>
            </w:r>
            <w:r w:rsidR="008D6515">
              <w:rPr>
                <w:rFonts w:ascii="Times New Roman" w:hAnsi="Times New Roman"/>
                <w:sz w:val="16"/>
                <w:szCs w:val="16"/>
                <w:lang w:eastAsia="sk-SK"/>
              </w:rPr>
              <w:t>omer čerpaných k zazmluvneným EÚ</w:t>
            </w:r>
            <w:r w:rsidRPr="000E4000">
              <w:rPr>
                <w:rFonts w:ascii="Times New Roman" w:hAnsi="Times New Roman"/>
                <w:sz w:val="16"/>
                <w:szCs w:val="16"/>
                <w:lang w:eastAsia="sk-SK"/>
              </w:rPr>
              <w:t xml:space="preserve"> fondom</w:t>
            </w:r>
          </w:p>
        </w:tc>
        <w:tc>
          <w:tcPr>
            <w:tcW w:w="427"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0,00</w:t>
            </w:r>
          </w:p>
        </w:tc>
        <w:tc>
          <w:tcPr>
            <w:tcW w:w="429" w:type="pct"/>
            <w:gridSpan w:val="2"/>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Pr>
                <w:rFonts w:ascii="Times New Roman" w:hAnsi="Times New Roman"/>
                <w:sz w:val="16"/>
                <w:szCs w:val="16"/>
                <w:lang w:eastAsia="sk-SK"/>
              </w:rPr>
              <w:t>-</w:t>
            </w:r>
          </w:p>
        </w:tc>
        <w:tc>
          <w:tcPr>
            <w:tcW w:w="429"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0,28</w:t>
            </w:r>
          </w:p>
        </w:tc>
        <w:tc>
          <w:tcPr>
            <w:tcW w:w="432" w:type="pct"/>
            <w:tcBorders>
              <w:top w:val="nil"/>
              <w:left w:val="nil"/>
              <w:bottom w:val="nil"/>
              <w:right w:val="nil"/>
            </w:tcBorders>
            <w:noWrap/>
            <w:vAlign w:val="center"/>
          </w:tcPr>
          <w:p w:rsidR="00AA17E3" w:rsidRPr="000E4000" w:rsidRDefault="00AA17E3" w:rsidP="00AA17E3">
            <w:pPr>
              <w:jc w:val="right"/>
              <w:rPr>
                <w:rFonts w:ascii="Times New Roman" w:hAnsi="Times New Roman"/>
                <w:sz w:val="16"/>
                <w:szCs w:val="16"/>
                <w:lang w:eastAsia="sk-SK"/>
              </w:rPr>
            </w:pPr>
            <w:r w:rsidRPr="000E4000">
              <w:rPr>
                <w:rFonts w:ascii="Times New Roman" w:hAnsi="Times New Roman"/>
                <w:sz w:val="16"/>
                <w:szCs w:val="16"/>
                <w:lang w:eastAsia="sk-SK"/>
              </w:rPr>
              <w:t>1,00</w:t>
            </w:r>
          </w:p>
        </w:tc>
      </w:tr>
      <w:tr w:rsidR="00AA17E3" w:rsidRPr="000E4000" w:rsidTr="00C45BEF">
        <w:trPr>
          <w:trHeight w:val="20"/>
        </w:trPr>
        <w:tc>
          <w:tcPr>
            <w:tcW w:w="1996" w:type="pct"/>
            <w:tcBorders>
              <w:top w:val="nil"/>
              <w:left w:val="nil"/>
              <w:bottom w:val="single" w:sz="4" w:space="0" w:color="auto"/>
              <w:right w:val="nil"/>
            </w:tcBorders>
            <w:vAlign w:val="center"/>
          </w:tcPr>
          <w:p w:rsidR="00AA17E3" w:rsidRPr="000E4000" w:rsidRDefault="00AA17E3" w:rsidP="00AA17E3">
            <w:pPr>
              <w:rPr>
                <w:rFonts w:ascii="Times New Roman" w:hAnsi="Times New Roman"/>
                <w:sz w:val="16"/>
                <w:szCs w:val="16"/>
                <w:lang w:eastAsia="sk-SK"/>
              </w:rPr>
            </w:pPr>
            <w:r w:rsidRPr="000E4000">
              <w:rPr>
                <w:rFonts w:ascii="Times New Roman" w:hAnsi="Times New Roman"/>
                <w:sz w:val="16"/>
                <w:szCs w:val="16"/>
                <w:lang w:eastAsia="sk-SK"/>
              </w:rPr>
              <w:t>Rozdiel v miere nezamestnanosti medzi regiónom s najvyššou a regiónom s najnižšou mierou nezamestnanosti</w:t>
            </w:r>
          </w:p>
        </w:tc>
        <w:tc>
          <w:tcPr>
            <w:tcW w:w="427" w:type="pct"/>
            <w:tcBorders>
              <w:top w:val="nil"/>
              <w:left w:val="nil"/>
              <w:bottom w:val="single" w:sz="4" w:space="0" w:color="auto"/>
              <w:right w:val="nil"/>
            </w:tcBorders>
            <w:noWrap/>
            <w:vAlign w:val="center"/>
          </w:tcPr>
          <w:p w:rsidR="00AA17E3" w:rsidRPr="00C45BEF" w:rsidRDefault="00AA17E3" w:rsidP="00AA17E3">
            <w:pPr>
              <w:jc w:val="right"/>
              <w:rPr>
                <w:rFonts w:ascii="Times New Roman" w:hAnsi="Times New Roman"/>
                <w:sz w:val="16"/>
                <w:szCs w:val="16"/>
                <w:lang w:eastAsia="sk-SK"/>
              </w:rPr>
            </w:pPr>
            <w:r w:rsidRPr="00C45BEF">
              <w:rPr>
                <w:rFonts w:ascii="Times New Roman" w:hAnsi="Times New Roman"/>
                <w:sz w:val="16"/>
              </w:rPr>
              <w:t>7,8 p.</w:t>
            </w:r>
            <w:r w:rsidR="00200155" w:rsidRPr="00C45BEF">
              <w:rPr>
                <w:rFonts w:ascii="Times New Roman" w:hAnsi="Times New Roman"/>
                <w:sz w:val="16"/>
              </w:rPr>
              <w:t xml:space="preserve"> </w:t>
            </w:r>
            <w:r w:rsidRPr="00C45BEF">
              <w:rPr>
                <w:rFonts w:ascii="Times New Roman" w:hAnsi="Times New Roman"/>
                <w:sz w:val="16"/>
              </w:rPr>
              <w:t>b.</w:t>
            </w:r>
          </w:p>
        </w:tc>
        <w:tc>
          <w:tcPr>
            <w:tcW w:w="429" w:type="pct"/>
            <w:tcBorders>
              <w:top w:val="nil"/>
              <w:left w:val="nil"/>
              <w:bottom w:val="single" w:sz="4" w:space="0" w:color="auto"/>
              <w:right w:val="nil"/>
            </w:tcBorders>
            <w:noWrap/>
            <w:vAlign w:val="center"/>
          </w:tcPr>
          <w:p w:rsidR="00AA17E3" w:rsidRPr="00C45BEF" w:rsidRDefault="00AA17E3" w:rsidP="00AA17E3">
            <w:pPr>
              <w:jc w:val="right"/>
              <w:rPr>
                <w:rFonts w:ascii="Times New Roman" w:hAnsi="Times New Roman"/>
                <w:sz w:val="16"/>
                <w:szCs w:val="16"/>
                <w:lang w:eastAsia="sk-SK"/>
              </w:rPr>
            </w:pPr>
            <w:r w:rsidRPr="00C45BEF">
              <w:rPr>
                <w:rFonts w:ascii="Times New Roman" w:hAnsi="Times New Roman"/>
                <w:sz w:val="16"/>
              </w:rPr>
              <w:t>7,2 p.</w:t>
            </w:r>
            <w:r w:rsidR="00200155" w:rsidRPr="00C45BEF">
              <w:rPr>
                <w:rFonts w:ascii="Times New Roman" w:hAnsi="Times New Roman"/>
                <w:sz w:val="16"/>
              </w:rPr>
              <w:t xml:space="preserve"> </w:t>
            </w:r>
            <w:r w:rsidRPr="00C45BEF">
              <w:rPr>
                <w:rFonts w:ascii="Times New Roman" w:hAnsi="Times New Roman"/>
                <w:sz w:val="16"/>
              </w:rPr>
              <w:t>b.</w:t>
            </w:r>
          </w:p>
        </w:tc>
        <w:tc>
          <w:tcPr>
            <w:tcW w:w="429" w:type="pct"/>
            <w:tcBorders>
              <w:top w:val="nil"/>
              <w:left w:val="nil"/>
              <w:bottom w:val="single" w:sz="4" w:space="0" w:color="auto"/>
              <w:right w:val="nil"/>
            </w:tcBorders>
            <w:noWrap/>
            <w:vAlign w:val="center"/>
          </w:tcPr>
          <w:p w:rsidR="00AA17E3" w:rsidRPr="00C45BEF" w:rsidRDefault="00AA17E3" w:rsidP="00AA17E3">
            <w:pPr>
              <w:jc w:val="right"/>
              <w:rPr>
                <w:rFonts w:ascii="Times New Roman" w:hAnsi="Times New Roman"/>
                <w:sz w:val="16"/>
                <w:szCs w:val="16"/>
                <w:lang w:eastAsia="sk-SK"/>
              </w:rPr>
            </w:pPr>
            <w:r w:rsidRPr="00C45BEF">
              <w:rPr>
                <w:rFonts w:ascii="Times New Roman" w:hAnsi="Times New Roman"/>
                <w:sz w:val="16"/>
              </w:rPr>
              <w:t>6,8 p.</w:t>
            </w:r>
            <w:r w:rsidR="00200155" w:rsidRPr="00C45BEF">
              <w:rPr>
                <w:rFonts w:ascii="Times New Roman" w:hAnsi="Times New Roman"/>
                <w:sz w:val="16"/>
              </w:rPr>
              <w:t xml:space="preserve"> </w:t>
            </w:r>
            <w:r w:rsidRPr="00C45BEF">
              <w:rPr>
                <w:rFonts w:ascii="Times New Roman" w:hAnsi="Times New Roman"/>
                <w:sz w:val="16"/>
              </w:rPr>
              <w:t>b.</w:t>
            </w:r>
          </w:p>
        </w:tc>
        <w:tc>
          <w:tcPr>
            <w:tcW w:w="429" w:type="pct"/>
            <w:tcBorders>
              <w:top w:val="nil"/>
              <w:left w:val="nil"/>
              <w:bottom w:val="single" w:sz="4" w:space="0" w:color="auto"/>
              <w:right w:val="nil"/>
            </w:tcBorders>
            <w:noWrap/>
            <w:vAlign w:val="center"/>
          </w:tcPr>
          <w:p w:rsidR="00AA17E3" w:rsidRPr="00C45BEF" w:rsidRDefault="00AA17E3" w:rsidP="00AA17E3">
            <w:pPr>
              <w:jc w:val="right"/>
              <w:rPr>
                <w:rFonts w:ascii="Times New Roman" w:hAnsi="Times New Roman"/>
                <w:sz w:val="16"/>
                <w:szCs w:val="16"/>
                <w:lang w:eastAsia="sk-SK"/>
              </w:rPr>
            </w:pPr>
            <w:r w:rsidRPr="00C45BEF">
              <w:rPr>
                <w:rFonts w:ascii="Times New Roman" w:hAnsi="Times New Roman"/>
                <w:sz w:val="16"/>
              </w:rPr>
              <w:t>7,1 p.</w:t>
            </w:r>
            <w:r w:rsidR="00200155" w:rsidRPr="00C45BEF">
              <w:rPr>
                <w:rFonts w:ascii="Times New Roman" w:hAnsi="Times New Roman"/>
                <w:sz w:val="16"/>
              </w:rPr>
              <w:t xml:space="preserve"> </w:t>
            </w:r>
            <w:r w:rsidRPr="00C45BEF">
              <w:rPr>
                <w:rFonts w:ascii="Times New Roman" w:hAnsi="Times New Roman"/>
                <w:sz w:val="16"/>
              </w:rPr>
              <w:t>b.</w:t>
            </w:r>
          </w:p>
        </w:tc>
        <w:tc>
          <w:tcPr>
            <w:tcW w:w="429" w:type="pct"/>
            <w:gridSpan w:val="2"/>
            <w:tcBorders>
              <w:top w:val="nil"/>
              <w:left w:val="nil"/>
              <w:bottom w:val="single" w:sz="4" w:space="0" w:color="auto"/>
              <w:right w:val="nil"/>
            </w:tcBorders>
            <w:noWrap/>
            <w:vAlign w:val="center"/>
          </w:tcPr>
          <w:p w:rsidR="00AA17E3" w:rsidRPr="00C45BEF" w:rsidRDefault="00AA17E3" w:rsidP="00AA17E3">
            <w:pPr>
              <w:jc w:val="right"/>
              <w:rPr>
                <w:rFonts w:ascii="Times New Roman" w:hAnsi="Times New Roman"/>
                <w:sz w:val="16"/>
                <w:szCs w:val="16"/>
                <w:lang w:eastAsia="sk-SK"/>
              </w:rPr>
            </w:pPr>
            <w:r w:rsidRPr="00C45BEF">
              <w:rPr>
                <w:rFonts w:ascii="Times New Roman" w:hAnsi="Times New Roman"/>
                <w:sz w:val="16"/>
                <w:szCs w:val="16"/>
                <w:lang w:eastAsia="sk-SK"/>
              </w:rPr>
              <w:t>-</w:t>
            </w:r>
          </w:p>
        </w:tc>
        <w:tc>
          <w:tcPr>
            <w:tcW w:w="429" w:type="pct"/>
            <w:tcBorders>
              <w:top w:val="nil"/>
              <w:left w:val="nil"/>
              <w:bottom w:val="single" w:sz="4" w:space="0" w:color="auto"/>
              <w:right w:val="nil"/>
            </w:tcBorders>
            <w:noWrap/>
            <w:vAlign w:val="center"/>
          </w:tcPr>
          <w:p w:rsidR="00AA17E3" w:rsidRPr="00C45BEF" w:rsidRDefault="00AA17E3" w:rsidP="00AA17E3">
            <w:pPr>
              <w:jc w:val="right"/>
              <w:rPr>
                <w:rFonts w:ascii="Times New Roman" w:hAnsi="Times New Roman"/>
                <w:sz w:val="16"/>
                <w:szCs w:val="16"/>
                <w:lang w:eastAsia="sk-SK"/>
              </w:rPr>
            </w:pPr>
            <w:r w:rsidRPr="00C45BEF">
              <w:rPr>
                <w:rFonts w:ascii="Times New Roman" w:hAnsi="Times New Roman"/>
                <w:sz w:val="16"/>
                <w:szCs w:val="16"/>
                <w:lang w:eastAsia="sk-SK"/>
              </w:rPr>
              <w:t>5 p.</w:t>
            </w:r>
            <w:r w:rsidR="00200155" w:rsidRPr="00C45BEF">
              <w:rPr>
                <w:rFonts w:ascii="Times New Roman" w:hAnsi="Times New Roman"/>
                <w:sz w:val="16"/>
                <w:szCs w:val="16"/>
                <w:lang w:eastAsia="sk-SK"/>
              </w:rPr>
              <w:t xml:space="preserve"> </w:t>
            </w:r>
            <w:r w:rsidRPr="00C45BEF">
              <w:rPr>
                <w:rFonts w:ascii="Times New Roman" w:hAnsi="Times New Roman"/>
                <w:sz w:val="16"/>
                <w:szCs w:val="16"/>
                <w:lang w:eastAsia="sk-SK"/>
              </w:rPr>
              <w:t>b.</w:t>
            </w:r>
          </w:p>
        </w:tc>
        <w:tc>
          <w:tcPr>
            <w:tcW w:w="432" w:type="pct"/>
            <w:tcBorders>
              <w:top w:val="nil"/>
              <w:left w:val="nil"/>
              <w:bottom w:val="single" w:sz="4" w:space="0" w:color="auto"/>
              <w:right w:val="nil"/>
            </w:tcBorders>
            <w:noWrap/>
            <w:vAlign w:val="center"/>
          </w:tcPr>
          <w:p w:rsidR="00AA17E3" w:rsidRPr="00C45BEF" w:rsidRDefault="00AA17E3" w:rsidP="00AA17E3">
            <w:pPr>
              <w:jc w:val="center"/>
              <w:rPr>
                <w:rFonts w:ascii="Times New Roman" w:hAnsi="Times New Roman"/>
                <w:sz w:val="16"/>
                <w:szCs w:val="16"/>
                <w:lang w:eastAsia="sk-SK"/>
              </w:rPr>
            </w:pPr>
            <w:r w:rsidRPr="00C45BEF">
              <w:rPr>
                <w:rFonts w:ascii="Times New Roman" w:hAnsi="Times New Roman"/>
                <w:sz w:val="16"/>
                <w:szCs w:val="16"/>
                <w:lang w:eastAsia="sk-SK"/>
              </w:rPr>
              <w:t>TBD</w:t>
            </w:r>
          </w:p>
        </w:tc>
      </w:tr>
      <w:tr w:rsidR="00AA17E3" w:rsidRPr="000E4000" w:rsidTr="00AA17E3">
        <w:trPr>
          <w:trHeight w:val="20"/>
        </w:trPr>
        <w:tc>
          <w:tcPr>
            <w:tcW w:w="3751" w:type="pct"/>
            <w:gridSpan w:val="6"/>
            <w:tcBorders>
              <w:top w:val="single" w:sz="4" w:space="0" w:color="auto"/>
              <w:left w:val="nil"/>
              <w:bottom w:val="nil"/>
              <w:right w:val="nil"/>
            </w:tcBorders>
          </w:tcPr>
          <w:p w:rsidR="00AA17E3" w:rsidRPr="000D140D" w:rsidRDefault="00AA17E3" w:rsidP="00AA17E3">
            <w:pPr>
              <w:rPr>
                <w:rFonts w:ascii="Times New Roman" w:hAnsi="Times New Roman"/>
                <w:i/>
                <w:sz w:val="16"/>
                <w:szCs w:val="16"/>
                <w:lang w:eastAsia="sk-SK"/>
              </w:rPr>
            </w:pPr>
            <w:r w:rsidRPr="000D140D">
              <w:rPr>
                <w:rFonts w:ascii="Times New Roman" w:hAnsi="Times New Roman"/>
                <w:i/>
                <w:sz w:val="16"/>
                <w:szCs w:val="16"/>
                <w:lang w:eastAsia="sk-SK"/>
              </w:rPr>
              <w:t>*</w:t>
            </w:r>
            <w:r w:rsidRPr="000D140D">
              <w:rPr>
                <w:i/>
              </w:rPr>
              <w:t xml:space="preserve"> </w:t>
            </w:r>
            <w:r w:rsidRPr="000D140D">
              <w:rPr>
                <w:rFonts w:ascii="Times New Roman" w:hAnsi="Times New Roman"/>
                <w:i/>
                <w:sz w:val="16"/>
                <w:szCs w:val="16"/>
                <w:lang w:eastAsia="sk-SK"/>
              </w:rPr>
              <w:t xml:space="preserve">Do budúcnosti potrebné nahradiť indikátor Doing business  - zrušený rozhodnutím  Svetovej banky v procese finalizácie </w:t>
            </w:r>
            <w:r>
              <w:rPr>
                <w:rFonts w:ascii="Times New Roman" w:hAnsi="Times New Roman"/>
                <w:i/>
                <w:sz w:val="16"/>
                <w:szCs w:val="16"/>
                <w:lang w:eastAsia="sk-SK"/>
              </w:rPr>
              <w:t>prípravy ukazovateľov</w:t>
            </w:r>
            <w:r w:rsidRPr="000D140D">
              <w:rPr>
                <w:rFonts w:ascii="Times New Roman" w:hAnsi="Times New Roman"/>
                <w:i/>
                <w:sz w:val="16"/>
                <w:szCs w:val="16"/>
                <w:lang w:eastAsia="sk-SK"/>
              </w:rPr>
              <w:t xml:space="preserve"> </w:t>
            </w:r>
            <w:r>
              <w:rPr>
                <w:rFonts w:ascii="Times New Roman" w:hAnsi="Times New Roman"/>
                <w:i/>
                <w:sz w:val="16"/>
                <w:szCs w:val="16"/>
                <w:lang w:eastAsia="sk-SK"/>
              </w:rPr>
              <w:br/>
              <w:t>**</w:t>
            </w:r>
            <w:r>
              <w:t xml:space="preserve"> </w:t>
            </w:r>
            <w:r>
              <w:rPr>
                <w:rFonts w:ascii="Times New Roman" w:hAnsi="Times New Roman"/>
                <w:i/>
                <w:sz w:val="16"/>
                <w:szCs w:val="16"/>
                <w:lang w:eastAsia="sk-SK"/>
              </w:rPr>
              <w:t>K</w:t>
            </w:r>
            <w:r w:rsidRPr="006504CE">
              <w:rPr>
                <w:rFonts w:ascii="Times New Roman" w:hAnsi="Times New Roman"/>
                <w:i/>
                <w:sz w:val="16"/>
                <w:szCs w:val="16"/>
                <w:lang w:eastAsia="sk-SK"/>
              </w:rPr>
              <w:t>vôli zmene metodiky bude prebiehať prehodnocovanie cieľa</w:t>
            </w:r>
          </w:p>
        </w:tc>
        <w:tc>
          <w:tcPr>
            <w:tcW w:w="1249" w:type="pct"/>
            <w:gridSpan w:val="3"/>
            <w:tcBorders>
              <w:top w:val="single" w:sz="4" w:space="0" w:color="auto"/>
              <w:left w:val="nil"/>
              <w:bottom w:val="nil"/>
              <w:right w:val="nil"/>
            </w:tcBorders>
          </w:tcPr>
          <w:p w:rsidR="00AA17E3" w:rsidRPr="00CF4441" w:rsidRDefault="00AA17E3" w:rsidP="00AA17E3">
            <w:pPr>
              <w:jc w:val="right"/>
              <w:rPr>
                <w:rFonts w:ascii="Times New Roman" w:hAnsi="Times New Roman"/>
                <w:i/>
                <w:sz w:val="16"/>
                <w:szCs w:val="16"/>
                <w:lang w:eastAsia="sk-SK"/>
              </w:rPr>
            </w:pPr>
            <w:r w:rsidRPr="00CF4441">
              <w:rPr>
                <w:rFonts w:ascii="Times New Roman" w:hAnsi="Times New Roman"/>
                <w:i/>
                <w:sz w:val="16"/>
                <w:szCs w:val="16"/>
                <w:lang w:eastAsia="sk-SK"/>
              </w:rPr>
              <w:t>Zdroj: MH SR, MF SR</w:t>
            </w:r>
          </w:p>
        </w:tc>
      </w:tr>
    </w:tbl>
    <w:p w:rsidR="00AA17E3" w:rsidRPr="000E4000" w:rsidRDefault="00AA17E3" w:rsidP="00AA17E3">
      <w:pPr>
        <w:jc w:val="right"/>
        <w:rPr>
          <w:rFonts w:ascii="Times New Roman" w:hAnsi="Times New Roman" w:cs="Times New Roman"/>
          <w:sz w:val="16"/>
          <w:lang w:eastAsia="sk-SK"/>
        </w:rPr>
      </w:pPr>
    </w:p>
    <w:p w:rsidR="00AA17E3"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V ukazovateli Doing Business, ktorý meria byrokratickú záťaž podnikania</w:t>
      </w:r>
      <w:r w:rsidR="008D6515">
        <w:rPr>
          <w:rFonts w:ascii="Times New Roman" w:hAnsi="Times New Roman" w:cs="Times New Roman"/>
          <w:sz w:val="24"/>
          <w:szCs w:val="24"/>
          <w:lang w:eastAsia="sk-SK"/>
        </w:rPr>
        <w:t>,</w:t>
      </w:r>
      <w:r w:rsidRPr="00441800">
        <w:rPr>
          <w:rFonts w:ascii="Times New Roman" w:hAnsi="Times New Roman" w:cs="Times New Roman"/>
          <w:sz w:val="24"/>
          <w:szCs w:val="24"/>
          <w:lang w:eastAsia="sk-SK"/>
        </w:rPr>
        <w:t xml:space="preserve"> sa Slovensko dlhodobo zhoršuje. Od roku 2017 kleslo o 12 miest, pričom pokles medzi rokmi 2019 a 2020 bol o tri miesta. Na priemer krajín EÚ stráca 5 miest.</w:t>
      </w:r>
    </w:p>
    <w:p w:rsidR="00200155" w:rsidRPr="00441800" w:rsidRDefault="00200155" w:rsidP="00200155">
      <w:pPr>
        <w:spacing w:after="0"/>
        <w:jc w:val="both"/>
        <w:rPr>
          <w:rFonts w:ascii="Times New Roman" w:hAnsi="Times New Roman" w:cs="Times New Roman"/>
          <w:sz w:val="24"/>
          <w:szCs w:val="24"/>
          <w:lang w:eastAsia="sk-SK"/>
        </w:rPr>
      </w:pPr>
    </w:p>
    <w:p w:rsidR="00AA17E3"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 xml:space="preserve">V ukazovateli European Innovation Scoreboard Slovensko dlhodobo stagnuje, pričom sa umiestňuje medzi 21. až 23. miestom. Cieľ v roku 2024 je realistický, avšak naplnenie cieľa 2030 bude vyžadovať výraznejšie zlepšenie. </w:t>
      </w:r>
    </w:p>
    <w:p w:rsidR="00200155" w:rsidRPr="00441800" w:rsidRDefault="00200155" w:rsidP="00200155">
      <w:pPr>
        <w:spacing w:after="0"/>
        <w:jc w:val="both"/>
        <w:rPr>
          <w:rFonts w:ascii="Times New Roman" w:hAnsi="Times New Roman" w:cs="Times New Roman"/>
          <w:sz w:val="24"/>
          <w:szCs w:val="24"/>
          <w:lang w:eastAsia="sk-SK"/>
        </w:rPr>
      </w:pPr>
    </w:p>
    <w:p w:rsidR="00AA17E3" w:rsidRPr="00441800"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Výdavky na výskum a vývoj v súkromnej sfére v 2021 sú 0,5 % HDP,  avšak priemer krajín EÚ je viac ako trojnásobný. Výdavky na výskum a vývoj rastú, trend nie je dostatočný na naplnenie cieľa na roky 2024 a 2030.</w:t>
      </w:r>
    </w:p>
    <w:p w:rsidR="00AA17E3"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Podiel OZE na energetickej spotrebe výrazne narástol medzi rokmi 2018 a 2019, spôsobila to zmena metodológie Eurostatu, nie rozšírenie využívania OZE. Z tohto dôvodu bude potrebné určiť nový cieľ na rok 2024.</w:t>
      </w:r>
      <w:r w:rsidRPr="00441800">
        <w:rPr>
          <w:rFonts w:ascii="Times New Roman" w:hAnsi="Times New Roman" w:cs="Times New Roman"/>
          <w:sz w:val="24"/>
          <w:szCs w:val="24"/>
          <w:lang w:eastAsia="sk-SK"/>
        </w:rPr>
        <w:tab/>
      </w:r>
    </w:p>
    <w:p w:rsidR="00200155" w:rsidRPr="00441800" w:rsidRDefault="00200155" w:rsidP="00200155">
      <w:pPr>
        <w:spacing w:after="0"/>
        <w:jc w:val="both"/>
        <w:rPr>
          <w:rFonts w:ascii="Times New Roman" w:hAnsi="Times New Roman" w:cs="Times New Roman"/>
          <w:sz w:val="24"/>
          <w:szCs w:val="24"/>
          <w:lang w:eastAsia="sk-SK"/>
        </w:rPr>
      </w:pPr>
    </w:p>
    <w:p w:rsidR="00AA17E3"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Slovensko má historicky zlé výsledky v čerpaní eurofondov, za posledné programové obdobie sa podarilo vyčerpať menej ako 50 % zdrojov. V ďalšom programovom období je cieľom postupné čerpanie a vyššia miera využitia eurofondov.</w:t>
      </w:r>
    </w:p>
    <w:p w:rsidR="00200155" w:rsidRPr="00441800" w:rsidRDefault="00200155" w:rsidP="00200155">
      <w:pPr>
        <w:spacing w:after="0"/>
        <w:jc w:val="both"/>
        <w:rPr>
          <w:rFonts w:ascii="Times New Roman" w:hAnsi="Times New Roman" w:cs="Times New Roman"/>
          <w:sz w:val="24"/>
          <w:szCs w:val="24"/>
          <w:lang w:eastAsia="sk-SK"/>
        </w:rPr>
      </w:pPr>
    </w:p>
    <w:p w:rsidR="00AA17E3"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Slovensko je v trende poklesu nezamestnanosti 3. najlepšie z krajín EÚ, v roku 2020 bol však rozdiel medzi regiónmi 7,10 p.</w:t>
      </w:r>
      <w:r w:rsidR="008D6515">
        <w:rPr>
          <w:rFonts w:ascii="Times New Roman" w:hAnsi="Times New Roman" w:cs="Times New Roman"/>
          <w:sz w:val="24"/>
          <w:szCs w:val="24"/>
          <w:lang w:eastAsia="sk-SK"/>
        </w:rPr>
        <w:t xml:space="preserve"> </w:t>
      </w:r>
      <w:r w:rsidRPr="00441800">
        <w:rPr>
          <w:rFonts w:ascii="Times New Roman" w:hAnsi="Times New Roman" w:cs="Times New Roman"/>
          <w:sz w:val="24"/>
          <w:szCs w:val="24"/>
          <w:lang w:eastAsia="sk-SK"/>
        </w:rPr>
        <w:t>b. Cieľom slovenskej politiky je znižovať regionálne rozdiely aj v zamestnanosti, čo je možné dosiahnuť lepším cielením politík regionálneho rozvoja.</w:t>
      </w:r>
    </w:p>
    <w:p w:rsidR="00200155" w:rsidRPr="00441800" w:rsidRDefault="00200155" w:rsidP="00200155">
      <w:pPr>
        <w:spacing w:after="0"/>
        <w:jc w:val="both"/>
        <w:rPr>
          <w:rFonts w:ascii="Times New Roman" w:hAnsi="Times New Roman" w:cs="Times New Roman"/>
          <w:sz w:val="24"/>
          <w:szCs w:val="24"/>
          <w:lang w:eastAsia="sk-SK"/>
        </w:rPr>
      </w:pPr>
    </w:p>
    <w:p w:rsidR="00AA17E3" w:rsidRPr="00A330BC" w:rsidRDefault="00AA17E3" w:rsidP="00AA17E3">
      <w:pPr>
        <w:pStyle w:val="Popis"/>
        <w:keepNext/>
        <w:spacing w:after="0"/>
        <w:rPr>
          <w:rFonts w:ascii="Times New Roman" w:hAnsi="Times New Roman" w:cs="Times New Roman"/>
          <w:b/>
          <w:i w:val="0"/>
          <w:color w:val="5B9BD5" w:themeColor="accent1"/>
          <w:sz w:val="20"/>
          <w:szCs w:val="20"/>
        </w:rPr>
      </w:pPr>
      <w:bookmarkStart w:id="564" w:name="_Toc84528478"/>
      <w:bookmarkStart w:id="565" w:name="_Toc84845354"/>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130</w:t>
      </w:r>
      <w:r w:rsidRPr="002C35F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00B949EE">
        <w:rPr>
          <w:rFonts w:ascii="Times New Roman" w:hAnsi="Times New Roman" w:cs="Times New Roman"/>
          <w:b/>
          <w:i w:val="0"/>
          <w:color w:val="5B9BD5" w:themeColor="accent1"/>
          <w:sz w:val="20"/>
          <w:szCs w:val="20"/>
        </w:rPr>
        <w:t>–</w:t>
      </w:r>
      <w:r>
        <w:rPr>
          <w:rFonts w:ascii="Times New Roman" w:hAnsi="Times New Roman" w:cs="Times New Roman"/>
          <w:b/>
          <w:i w:val="0"/>
          <w:color w:val="5B9BD5" w:themeColor="accent1"/>
          <w:sz w:val="20"/>
          <w:szCs w:val="20"/>
        </w:rPr>
        <w:t xml:space="preserve"> </w:t>
      </w:r>
      <w:r w:rsidR="00B949EE">
        <w:rPr>
          <w:rFonts w:ascii="Times New Roman" w:hAnsi="Times New Roman" w:cs="Times New Roman"/>
          <w:b/>
          <w:i w:val="0"/>
          <w:color w:val="5B9BD5" w:themeColor="accent1"/>
          <w:sz w:val="20"/>
          <w:szCs w:val="20"/>
        </w:rPr>
        <w:t>Výdavky na o</w:t>
      </w:r>
      <w:r>
        <w:rPr>
          <w:rFonts w:ascii="Times New Roman" w:hAnsi="Times New Roman" w:cs="Times New Roman"/>
          <w:b/>
          <w:i w:val="0"/>
          <w:color w:val="5B9BD5" w:themeColor="accent1"/>
          <w:sz w:val="20"/>
          <w:szCs w:val="20"/>
        </w:rPr>
        <w:t>blasť ekonomiky</w:t>
      </w:r>
      <w:bookmarkEnd w:id="564"/>
      <w:bookmarkEnd w:id="565"/>
    </w:p>
    <w:tbl>
      <w:tblPr>
        <w:tblW w:w="5000" w:type="pct"/>
        <w:tblCellMar>
          <w:left w:w="70" w:type="dxa"/>
          <w:right w:w="70" w:type="dxa"/>
        </w:tblCellMar>
        <w:tblLook w:val="04A0" w:firstRow="1" w:lastRow="0" w:firstColumn="1" w:lastColumn="0" w:noHBand="0" w:noVBand="1"/>
      </w:tblPr>
      <w:tblGrid>
        <w:gridCol w:w="3708"/>
        <w:gridCol w:w="766"/>
        <w:gridCol w:w="780"/>
        <w:gridCol w:w="752"/>
        <w:gridCol w:w="780"/>
        <w:gridCol w:w="780"/>
        <w:gridCol w:w="780"/>
        <w:gridCol w:w="726"/>
      </w:tblGrid>
      <w:tr w:rsidR="00AA17E3" w:rsidRPr="006067BF" w:rsidTr="00AA17E3">
        <w:trPr>
          <w:trHeight w:hRule="exact" w:val="255"/>
        </w:trPr>
        <w:tc>
          <w:tcPr>
            <w:tcW w:w="1673" w:type="pct"/>
            <w:tcBorders>
              <w:top w:val="single" w:sz="4" w:space="0" w:color="auto"/>
              <w:left w:val="nil"/>
              <w:bottom w:val="single" w:sz="4" w:space="0" w:color="auto"/>
              <w:right w:val="nil"/>
            </w:tcBorders>
            <w:shd w:val="clear" w:color="auto" w:fill="auto"/>
            <w:noWrap/>
            <w:vAlign w:val="bottom"/>
            <w:hideMark/>
          </w:tcPr>
          <w:p w:rsidR="00AA17E3" w:rsidRPr="006067BF" w:rsidRDefault="00AA17E3" w:rsidP="00AA17E3">
            <w:pPr>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v tis. eur</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2019 S</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2020 S</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2021 R</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2021 OS</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2022 N</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2023 N</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6067BF" w:rsidRDefault="00AA17E3" w:rsidP="00AA17E3">
            <w:pPr>
              <w:jc w:val="right"/>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2024 N</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b/>
                <w:bCs/>
                <w:sz w:val="16"/>
                <w:szCs w:val="16"/>
                <w:lang w:eastAsia="sk-SK"/>
              </w:rPr>
            </w:pPr>
            <w:r w:rsidRPr="006067BF">
              <w:rPr>
                <w:rFonts w:ascii="Times New Roman" w:hAnsi="Times New Roman" w:cs="Times New Roman"/>
                <w:b/>
                <w:bCs/>
                <w:sz w:val="16"/>
                <w:szCs w:val="16"/>
                <w:lang w:eastAsia="sk-SK"/>
              </w:rPr>
              <w:t>Oblasť ekonomiky spolu</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683 399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1 250 459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837 578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1 972 597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1 615 272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2 146 808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b/>
                <w:bCs/>
                <w:color w:val="000000"/>
                <w:sz w:val="16"/>
                <w:szCs w:val="16"/>
                <w:lang w:eastAsia="sk-SK"/>
              </w:rPr>
            </w:pPr>
            <w:r w:rsidRPr="006067BF">
              <w:rPr>
                <w:rFonts w:ascii="Times New Roman" w:hAnsi="Times New Roman" w:cs="Times New Roman"/>
                <w:b/>
                <w:bCs/>
                <w:color w:val="000000"/>
                <w:sz w:val="16"/>
                <w:szCs w:val="16"/>
                <w:lang w:eastAsia="sk-SK"/>
              </w:rPr>
              <w:t>946 395</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Reštrukturalizácia priem. odvetví</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43 322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49 521</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50 870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45 784</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56 918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59 368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54 482</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Podpora podnikania</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210 359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312 408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351 579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552 673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242 843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209 066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22 770</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Energetika</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105 042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270 962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156 820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159 682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284 570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274 745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231 259</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 xml:space="preserve">Informatizácia </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71 500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62 537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35 093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189 903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285 494</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392 362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374 999</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Administratíva</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62 024</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66 866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62 439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114 346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62 669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61 417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61 123</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 xml:space="preserve">Regionálny rozvoj </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29 203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143 367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14 295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294 314</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477 189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951 113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15 840</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Podpora cestovného ruchu</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8 568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15 156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10 145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250 198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53 049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37 810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36 810</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Agentúra pre núdzové zásoby ropy a ropných výrobkov</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81 465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90 342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96 591</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96 454</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86 881</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87 585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88 207</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Správa štátnych hmotných rezerv SR</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26 356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135 925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19 285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80 529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21 704</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26 978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17 647</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Hospodárska mobilizácia</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11 845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46 326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11 001</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155 677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11 076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14 076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11 076</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Úrad jadrového dozoru</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9 186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9 166</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9 327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10 080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10 891</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10 899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10 906</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Úrad pre normalizáciu, metrológiu a skúšobníctvo SR</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6 843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7 615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6 339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7 808</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7 509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7 715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7 626</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 xml:space="preserve">Úrad pre reg. sieťových odvetví </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5 025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5 273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4 205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4 205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5 045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4 445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4 445</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Úrad priemyselného vlastníctva</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5 203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6 395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3 613</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3 991</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3 889</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3 775</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3 775</w:t>
            </w:r>
          </w:p>
        </w:tc>
      </w:tr>
      <w:tr w:rsidR="00AA17E3" w:rsidRPr="006067BF" w:rsidTr="00AA17E3">
        <w:trPr>
          <w:trHeight w:hRule="exact" w:val="255"/>
        </w:trPr>
        <w:tc>
          <w:tcPr>
            <w:tcW w:w="1673" w:type="pct"/>
            <w:tcBorders>
              <w:top w:val="nil"/>
              <w:left w:val="nil"/>
              <w:bottom w:val="nil"/>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MH Manažment</w:t>
            </w:r>
            <w:r>
              <w:rPr>
                <w:rFonts w:ascii="Times New Roman" w:hAnsi="Times New Roman" w:cs="Times New Roman"/>
                <w:color w:val="000000"/>
                <w:sz w:val="16"/>
                <w:szCs w:val="16"/>
                <w:lang w:eastAsia="sk-SK"/>
              </w:rPr>
              <w:t>, a. s.</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3 277</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25 052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3 032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3 712</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2 590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2 500</w:t>
            </w:r>
          </w:p>
        </w:tc>
        <w:tc>
          <w:tcPr>
            <w:tcW w:w="475" w:type="pct"/>
            <w:tcBorders>
              <w:top w:val="nil"/>
              <w:left w:val="nil"/>
              <w:bottom w:val="nil"/>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2 476</w:t>
            </w:r>
          </w:p>
        </w:tc>
      </w:tr>
      <w:tr w:rsidR="00AA17E3" w:rsidRPr="006067BF" w:rsidTr="00AA17E3">
        <w:trPr>
          <w:trHeight w:hRule="exact" w:val="255"/>
        </w:trPr>
        <w:tc>
          <w:tcPr>
            <w:tcW w:w="1673" w:type="pct"/>
            <w:tcBorders>
              <w:top w:val="nil"/>
              <w:left w:val="nil"/>
              <w:bottom w:val="single" w:sz="4" w:space="0" w:color="auto"/>
              <w:right w:val="nil"/>
            </w:tcBorders>
            <w:shd w:val="clear" w:color="auto" w:fill="auto"/>
            <w:noWrap/>
            <w:vAlign w:val="bottom"/>
            <w:hideMark/>
          </w:tcPr>
          <w:p w:rsidR="00AA17E3" w:rsidRPr="006067BF" w:rsidRDefault="00AA17E3" w:rsidP="00AA17E3">
            <w:pPr>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Protimonopolný úrad SR</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4 180</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3 547</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2 944</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3 242</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2 954</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2 954</w:t>
            </w:r>
          </w:p>
        </w:tc>
        <w:tc>
          <w:tcPr>
            <w:tcW w:w="475" w:type="pct"/>
            <w:tcBorders>
              <w:top w:val="nil"/>
              <w:left w:val="nil"/>
              <w:bottom w:val="single" w:sz="4" w:space="0" w:color="auto"/>
              <w:right w:val="nil"/>
            </w:tcBorders>
            <w:shd w:val="clear" w:color="auto" w:fill="auto"/>
            <w:noWrap/>
            <w:vAlign w:val="bottom"/>
            <w:hideMark/>
          </w:tcPr>
          <w:p w:rsidR="00AA17E3" w:rsidRPr="006067BF" w:rsidRDefault="00AA17E3" w:rsidP="00AA17E3">
            <w:pPr>
              <w:jc w:val="right"/>
              <w:rPr>
                <w:rFonts w:ascii="Times New Roman" w:hAnsi="Times New Roman" w:cs="Times New Roman"/>
                <w:color w:val="000000"/>
                <w:sz w:val="16"/>
                <w:szCs w:val="16"/>
                <w:lang w:eastAsia="sk-SK"/>
              </w:rPr>
            </w:pPr>
            <w:r w:rsidRPr="006067BF">
              <w:rPr>
                <w:rFonts w:ascii="Times New Roman" w:hAnsi="Times New Roman" w:cs="Times New Roman"/>
                <w:color w:val="000000"/>
                <w:sz w:val="16"/>
                <w:szCs w:val="16"/>
                <w:lang w:eastAsia="sk-SK"/>
              </w:rPr>
              <w:t>2 954</w:t>
            </w:r>
          </w:p>
        </w:tc>
      </w:tr>
    </w:tbl>
    <w:p w:rsidR="00AA17E3" w:rsidRPr="001F5933" w:rsidRDefault="00AA17E3" w:rsidP="00A273CE">
      <w:pPr>
        <w:spacing w:after="0"/>
        <w:rPr>
          <w:rFonts w:ascii="Times New Roman" w:hAnsi="Times New Roman" w:cs="Times New Roman"/>
          <w:i/>
          <w:sz w:val="16"/>
          <w:szCs w:val="16"/>
        </w:rPr>
      </w:pPr>
      <w:r>
        <w:rPr>
          <w:rFonts w:ascii="Times New Roman" w:hAnsi="Times New Roman" w:cs="Times New Roman"/>
          <w:b/>
          <w:color w:val="5B9BD5" w:themeColor="accent1"/>
        </w:rPr>
        <w:t xml:space="preserve">    </w:t>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t xml:space="preserve">   </w:t>
      </w:r>
      <w:r>
        <w:rPr>
          <w:rFonts w:ascii="Times New Roman" w:hAnsi="Times New Roman" w:cs="Times New Roman"/>
          <w:i/>
          <w:sz w:val="16"/>
          <w:szCs w:val="16"/>
        </w:rPr>
        <w:t>Z</w:t>
      </w:r>
      <w:r w:rsidRPr="001F5933">
        <w:rPr>
          <w:rFonts w:ascii="Times New Roman" w:hAnsi="Times New Roman" w:cs="Times New Roman"/>
          <w:i/>
          <w:sz w:val="16"/>
          <w:szCs w:val="16"/>
        </w:rPr>
        <w:t>droj: MF SR</w:t>
      </w:r>
    </w:p>
    <w:p w:rsidR="00A273CE" w:rsidRDefault="00A273CE" w:rsidP="00A273CE">
      <w:pPr>
        <w:spacing w:after="0"/>
        <w:jc w:val="both"/>
        <w:rPr>
          <w:rFonts w:ascii="Times New Roman" w:hAnsi="Times New Roman" w:cs="Times New Roman"/>
          <w:sz w:val="24"/>
          <w:szCs w:val="24"/>
          <w:lang w:eastAsia="sk-SK"/>
        </w:rPr>
      </w:pPr>
    </w:p>
    <w:p w:rsidR="00AA17E3" w:rsidRDefault="00AA17E3" w:rsidP="00A273CE">
      <w:pPr>
        <w:spacing w:after="0"/>
        <w:jc w:val="both"/>
        <w:rPr>
          <w:rFonts w:ascii="Times New Roman" w:hAnsi="Times New Roman" w:cs="Times New Roman"/>
          <w:sz w:val="24"/>
          <w:szCs w:val="24"/>
          <w:lang w:eastAsia="sk-SK"/>
        </w:rPr>
      </w:pPr>
      <w:r w:rsidRPr="00200155">
        <w:rPr>
          <w:rFonts w:ascii="Times New Roman" w:hAnsi="Times New Roman" w:cs="Times New Roman"/>
          <w:sz w:val="24"/>
          <w:szCs w:val="24"/>
          <w:lang w:eastAsia="sk-SK"/>
        </w:rPr>
        <w:t xml:space="preserve">Za oblasť ekonomiky sú v návrhu rozpočtu na rok 2022 navrhované celkové výdavky v sume 1,62 mld. eur, tieto výdavky sú smerované najmä do oblasti podpory podnikania, energetiky a inovácií, reštrukturalizácie priemyselných odvetví, informatizácie, regionálneho rozvoja, podpory cestovného ruchu, administratívy a ďalších oblastí. </w:t>
      </w:r>
    </w:p>
    <w:p w:rsidR="00200155" w:rsidRPr="00200155" w:rsidRDefault="00200155" w:rsidP="00200155">
      <w:pPr>
        <w:spacing w:after="0"/>
        <w:jc w:val="both"/>
        <w:rPr>
          <w:rFonts w:ascii="Times New Roman" w:hAnsi="Times New Roman" w:cs="Times New Roman"/>
          <w:sz w:val="24"/>
          <w:szCs w:val="24"/>
          <w:lang w:eastAsia="sk-SK"/>
        </w:rPr>
      </w:pPr>
    </w:p>
    <w:p w:rsidR="00AA17E3" w:rsidRPr="00200155" w:rsidRDefault="00AA17E3" w:rsidP="00200155">
      <w:pPr>
        <w:spacing w:after="0"/>
        <w:jc w:val="both"/>
        <w:rPr>
          <w:rFonts w:ascii="Times New Roman" w:hAnsi="Times New Roman" w:cs="Times New Roman"/>
          <w:sz w:val="24"/>
          <w:szCs w:val="24"/>
        </w:rPr>
      </w:pPr>
      <w:r w:rsidRPr="00200155">
        <w:rPr>
          <w:rFonts w:ascii="Times New Roman" w:hAnsi="Times New Roman" w:cs="Times New Roman"/>
          <w:sz w:val="24"/>
          <w:szCs w:val="24"/>
        </w:rPr>
        <w:t>Vo výdavkoch za oblasť ekonomiky sa na rok 2022 zohľadnili nasledovné tituly: </w:t>
      </w:r>
    </w:p>
    <w:p w:rsidR="00AA17E3" w:rsidRPr="008A6EC2" w:rsidRDefault="00AA17E3" w:rsidP="004B108F">
      <w:pPr>
        <w:pStyle w:val="Odsekzoznamu"/>
        <w:numPr>
          <w:ilvl w:val="0"/>
          <w:numId w:val="28"/>
        </w:numPr>
        <w:contextualSpacing w:val="0"/>
        <w:jc w:val="both"/>
        <w:rPr>
          <w:rFonts w:ascii="Times New Roman" w:hAnsi="Times New Roman"/>
        </w:rPr>
      </w:pPr>
      <w:r>
        <w:rPr>
          <w:rFonts w:ascii="Times New Roman" w:hAnsi="Times New Roman"/>
        </w:rPr>
        <w:t>výdavky</w:t>
      </w:r>
      <w:r w:rsidRPr="00502B81">
        <w:rPr>
          <w:rFonts w:ascii="Times New Roman" w:hAnsi="Times New Roman"/>
        </w:rPr>
        <w:t xml:space="preserve"> </w:t>
      </w:r>
      <w:r>
        <w:rPr>
          <w:rFonts w:ascii="Times New Roman" w:hAnsi="Times New Roman"/>
        </w:rPr>
        <w:t xml:space="preserve">zo zdrojov </w:t>
      </w:r>
      <w:r w:rsidRPr="00502B81">
        <w:rPr>
          <w:rFonts w:ascii="Times New Roman" w:hAnsi="Times New Roman"/>
        </w:rPr>
        <w:t>Európskej únie a</w:t>
      </w:r>
      <w:r>
        <w:rPr>
          <w:rFonts w:ascii="Times New Roman" w:hAnsi="Times New Roman"/>
        </w:rPr>
        <w:t> </w:t>
      </w:r>
      <w:r w:rsidRPr="00502B81">
        <w:rPr>
          <w:rFonts w:ascii="Times New Roman" w:hAnsi="Times New Roman"/>
        </w:rPr>
        <w:t>spolufinancovania</w:t>
      </w:r>
      <w:r>
        <w:rPr>
          <w:rFonts w:ascii="Times New Roman" w:hAnsi="Times New Roman"/>
        </w:rPr>
        <w:t xml:space="preserve"> v rámci kapitoly </w:t>
      </w:r>
      <w:r>
        <w:rPr>
          <w:rFonts w:ascii="Times New Roman" w:hAnsi="Times New Roman"/>
          <w:lang w:eastAsia="sk-SK"/>
        </w:rPr>
        <w:t>Ministerstva</w:t>
      </w:r>
      <w:r w:rsidRPr="000E4000">
        <w:rPr>
          <w:rFonts w:ascii="Times New Roman" w:hAnsi="Times New Roman"/>
          <w:lang w:eastAsia="sk-SK"/>
        </w:rPr>
        <w:t xml:space="preserve"> investícií, regionálneho rozvoja a informatizácie SR</w:t>
      </w:r>
      <w:r>
        <w:rPr>
          <w:rFonts w:ascii="Times New Roman" w:hAnsi="Times New Roman"/>
          <w:lang w:eastAsia="sk-SK"/>
        </w:rPr>
        <w:t xml:space="preserve"> </w:t>
      </w:r>
      <w:r w:rsidRPr="00502B81">
        <w:rPr>
          <w:rFonts w:ascii="Times New Roman" w:hAnsi="Times New Roman"/>
        </w:rPr>
        <w:t>v sume 635 mil. eur, ktoré boli presunuté z oblasti pôdohospodárstva (regionálny rozvoj) a z ob</w:t>
      </w:r>
      <w:r>
        <w:rPr>
          <w:rFonts w:ascii="Times New Roman" w:hAnsi="Times New Roman"/>
        </w:rPr>
        <w:t>lasti financie (informatizácia),</w:t>
      </w:r>
    </w:p>
    <w:p w:rsidR="00AA17E3" w:rsidRPr="00203D29" w:rsidRDefault="00AA17E3" w:rsidP="004B108F">
      <w:pPr>
        <w:pStyle w:val="Odsekzoznamu"/>
        <w:numPr>
          <w:ilvl w:val="0"/>
          <w:numId w:val="28"/>
        </w:numPr>
        <w:contextualSpacing w:val="0"/>
        <w:jc w:val="both"/>
        <w:rPr>
          <w:rFonts w:ascii="Times New Roman" w:hAnsi="Times New Roman"/>
        </w:rPr>
      </w:pPr>
      <w:r>
        <w:rPr>
          <w:rFonts w:ascii="Times New Roman" w:hAnsi="Times New Roman"/>
        </w:rPr>
        <w:t xml:space="preserve">výdavky zo zdrojov Plánu obnovy a odolnosti v rámci kapitoly </w:t>
      </w:r>
      <w:r>
        <w:rPr>
          <w:rFonts w:ascii="Times New Roman" w:hAnsi="Times New Roman"/>
          <w:color w:val="000000"/>
          <w:lang w:eastAsia="sk-SK"/>
        </w:rPr>
        <w:t>Ministerstva hospodárstva</w:t>
      </w:r>
      <w:r>
        <w:rPr>
          <w:rFonts w:ascii="Times New Roman" w:hAnsi="Times New Roman"/>
        </w:rPr>
        <w:t xml:space="preserve"> SR </w:t>
      </w:r>
      <w:r w:rsidRPr="00502B81">
        <w:rPr>
          <w:rFonts w:ascii="Times New Roman" w:hAnsi="Times New Roman"/>
        </w:rPr>
        <w:t>v</w:t>
      </w:r>
      <w:r>
        <w:rPr>
          <w:rFonts w:ascii="Times New Roman" w:hAnsi="Times New Roman"/>
        </w:rPr>
        <w:t xml:space="preserve"> celkovej sume 120 mil. eur, ktoré sú určené najmä na </w:t>
      </w:r>
      <w:r w:rsidRPr="00502B81">
        <w:rPr>
          <w:rFonts w:ascii="Times New Roman" w:hAnsi="Times New Roman"/>
        </w:rPr>
        <w:t>podporu energetickej efektívnosti</w:t>
      </w:r>
      <w:r>
        <w:rPr>
          <w:rFonts w:ascii="Times New Roman" w:hAnsi="Times New Roman"/>
        </w:rPr>
        <w:t>,</w:t>
      </w:r>
      <w:r w:rsidRPr="00502B81">
        <w:rPr>
          <w:rFonts w:ascii="Times New Roman" w:hAnsi="Times New Roman"/>
        </w:rPr>
        <w:t xml:space="preserve"> </w:t>
      </w:r>
      <w:r>
        <w:rPr>
          <w:rFonts w:ascii="Times New Roman" w:hAnsi="Times New Roman"/>
        </w:rPr>
        <w:t>podporu alternatívnych pohonov (E-mobilita) a tiež znižovanie administratívneho bremena,</w:t>
      </w:r>
    </w:p>
    <w:p w:rsidR="00AA17E3" w:rsidRPr="008A6EC2" w:rsidRDefault="00AA17E3" w:rsidP="004B108F">
      <w:pPr>
        <w:pStyle w:val="Odsekzoznamu"/>
        <w:numPr>
          <w:ilvl w:val="0"/>
          <w:numId w:val="28"/>
        </w:numPr>
        <w:contextualSpacing w:val="0"/>
        <w:jc w:val="both"/>
        <w:rPr>
          <w:rFonts w:ascii="Times New Roman" w:hAnsi="Times New Roman"/>
        </w:rPr>
      </w:pPr>
      <w:r>
        <w:rPr>
          <w:rFonts w:ascii="Times New Roman" w:hAnsi="Times New Roman"/>
        </w:rPr>
        <w:t>výdavky zo zdrojov</w:t>
      </w:r>
      <w:r w:rsidRPr="00502B81">
        <w:rPr>
          <w:rFonts w:ascii="Times New Roman" w:hAnsi="Times New Roman"/>
        </w:rPr>
        <w:t xml:space="preserve"> Plánu obnovy a</w:t>
      </w:r>
      <w:r>
        <w:rPr>
          <w:rFonts w:ascii="Times New Roman" w:hAnsi="Times New Roman"/>
        </w:rPr>
        <w:t> </w:t>
      </w:r>
      <w:r w:rsidRPr="00502B81">
        <w:rPr>
          <w:rFonts w:ascii="Times New Roman" w:hAnsi="Times New Roman"/>
        </w:rPr>
        <w:t>odolnosti</w:t>
      </w:r>
      <w:r>
        <w:rPr>
          <w:rFonts w:ascii="Times New Roman" w:hAnsi="Times New Roman"/>
        </w:rPr>
        <w:t xml:space="preserve"> v rámci kapitoly </w:t>
      </w:r>
      <w:r>
        <w:rPr>
          <w:rFonts w:ascii="Times New Roman" w:hAnsi="Times New Roman"/>
          <w:lang w:eastAsia="sk-SK"/>
        </w:rPr>
        <w:t>Ministerstva</w:t>
      </w:r>
      <w:r w:rsidRPr="000E4000">
        <w:rPr>
          <w:rFonts w:ascii="Times New Roman" w:hAnsi="Times New Roman"/>
          <w:lang w:eastAsia="sk-SK"/>
        </w:rPr>
        <w:t xml:space="preserve"> investícií, regionálneho</w:t>
      </w:r>
      <w:r>
        <w:rPr>
          <w:rFonts w:ascii="Times New Roman" w:hAnsi="Times New Roman"/>
          <w:lang w:eastAsia="sk-SK"/>
        </w:rPr>
        <w:t xml:space="preserve"> rozvoja a informatizácie </w:t>
      </w:r>
      <w:r>
        <w:rPr>
          <w:rFonts w:ascii="Times New Roman" w:hAnsi="Times New Roman"/>
        </w:rPr>
        <w:t>SR v sume</w:t>
      </w:r>
      <w:r w:rsidRPr="00502B81">
        <w:rPr>
          <w:rFonts w:ascii="Times New Roman" w:hAnsi="Times New Roman"/>
        </w:rPr>
        <w:t xml:space="preserve"> 78,6 mil. eur, ktoré sú určené na bu</w:t>
      </w:r>
      <w:r>
        <w:rPr>
          <w:rFonts w:ascii="Times New Roman" w:hAnsi="Times New Roman"/>
        </w:rPr>
        <w:t>dovanie „Digitálneho Slovenska“,</w:t>
      </w:r>
    </w:p>
    <w:p w:rsidR="00AA17E3" w:rsidRPr="00502B81" w:rsidRDefault="00AA17E3" w:rsidP="004B108F">
      <w:pPr>
        <w:pStyle w:val="Odsekzoznamu"/>
        <w:numPr>
          <w:ilvl w:val="0"/>
          <w:numId w:val="28"/>
        </w:numPr>
        <w:contextualSpacing w:val="0"/>
        <w:jc w:val="both"/>
        <w:rPr>
          <w:rFonts w:ascii="Times New Roman" w:hAnsi="Times New Roman"/>
        </w:rPr>
      </w:pPr>
      <w:r>
        <w:rPr>
          <w:rFonts w:ascii="Times New Roman" w:hAnsi="Times New Roman"/>
        </w:rPr>
        <w:t>výdavky na novovzniknutú rozpočtovú organizáciu</w:t>
      </w:r>
      <w:r w:rsidRPr="00502B81">
        <w:rPr>
          <w:rFonts w:ascii="Times New Roman" w:hAnsi="Times New Roman"/>
        </w:rPr>
        <w:t xml:space="preserve"> Slovakia Trav</w:t>
      </w:r>
      <w:r>
        <w:rPr>
          <w:rFonts w:ascii="Times New Roman" w:hAnsi="Times New Roman"/>
        </w:rPr>
        <w:t>el v sume</w:t>
      </w:r>
      <w:r w:rsidRPr="00502B81">
        <w:rPr>
          <w:rFonts w:ascii="Times New Roman" w:hAnsi="Times New Roman"/>
        </w:rPr>
        <w:t xml:space="preserve"> 22,1</w:t>
      </w:r>
      <w:r>
        <w:rPr>
          <w:rFonts w:ascii="Times New Roman" w:hAnsi="Times New Roman"/>
        </w:rPr>
        <w:t xml:space="preserve"> mil. eur,</w:t>
      </w:r>
    </w:p>
    <w:p w:rsidR="00AA17E3" w:rsidRDefault="00AA17E3" w:rsidP="004B108F">
      <w:pPr>
        <w:pStyle w:val="Odsekzoznamu"/>
        <w:numPr>
          <w:ilvl w:val="0"/>
          <w:numId w:val="28"/>
        </w:numPr>
        <w:jc w:val="both"/>
        <w:rPr>
          <w:rFonts w:ascii="Times New Roman" w:hAnsi="Times New Roman"/>
        </w:rPr>
      </w:pPr>
      <w:r>
        <w:rPr>
          <w:rFonts w:ascii="Times New Roman" w:hAnsi="Times New Roman"/>
        </w:rPr>
        <w:t>výdavky na podporu cestov</w:t>
      </w:r>
      <w:r w:rsidR="008D6515">
        <w:rPr>
          <w:rFonts w:ascii="Times New Roman" w:hAnsi="Times New Roman"/>
        </w:rPr>
        <w:t>ného ruchu v súvislosti s </w:t>
      </w:r>
      <w:r w:rsidR="00422E8F">
        <w:rPr>
          <w:rFonts w:ascii="Times New Roman" w:hAnsi="Times New Roman"/>
        </w:rPr>
        <w:t>COVID</w:t>
      </w:r>
      <w:r w:rsidR="008D6515">
        <w:rPr>
          <w:rFonts w:ascii="Times New Roman" w:hAnsi="Times New Roman"/>
        </w:rPr>
        <w:t>–</w:t>
      </w:r>
      <w:r>
        <w:rPr>
          <w:rFonts w:ascii="Times New Roman" w:hAnsi="Times New Roman"/>
        </w:rPr>
        <w:t>19 v zmysle uznesenia vlády SR č. 675/2020 v sume 20,0 mil. eur,</w:t>
      </w:r>
    </w:p>
    <w:p w:rsidR="00AA17E3" w:rsidRDefault="00AA17E3" w:rsidP="004B108F">
      <w:pPr>
        <w:pStyle w:val="Odsekzoznamu"/>
        <w:numPr>
          <w:ilvl w:val="0"/>
          <w:numId w:val="28"/>
        </w:numPr>
        <w:jc w:val="both"/>
        <w:rPr>
          <w:rFonts w:ascii="Times New Roman" w:hAnsi="Times New Roman"/>
        </w:rPr>
      </w:pPr>
      <w:r>
        <w:rPr>
          <w:rFonts w:ascii="Times New Roman" w:hAnsi="Times New Roman"/>
        </w:rPr>
        <w:t xml:space="preserve">medziročné zvýšenie výdavkov na investičné projekty v sume 6,44 mil. eur, </w:t>
      </w:r>
    </w:p>
    <w:p w:rsidR="00AA17E3" w:rsidRDefault="00AA17E3" w:rsidP="004B108F">
      <w:pPr>
        <w:pStyle w:val="Odsekzoznamu"/>
        <w:numPr>
          <w:ilvl w:val="0"/>
          <w:numId w:val="28"/>
        </w:numPr>
        <w:jc w:val="both"/>
        <w:rPr>
          <w:rFonts w:ascii="Times New Roman" w:hAnsi="Times New Roman"/>
        </w:rPr>
      </w:pPr>
      <w:r>
        <w:rPr>
          <w:rFonts w:ascii="Times New Roman" w:hAnsi="Times New Roman"/>
        </w:rPr>
        <w:t xml:space="preserve">zvýšenie výdavkov na útlm uhoľného baníctva v sume 5,82 mil. eur v nadväznosti na </w:t>
      </w:r>
      <w:r w:rsidRPr="00502B81">
        <w:rPr>
          <w:rFonts w:ascii="Times New Roman" w:hAnsi="Times New Roman"/>
        </w:rPr>
        <w:t>Akčný plán transformácie uhoľného regiónu horná Nitra</w:t>
      </w:r>
      <w:r>
        <w:rPr>
          <w:rFonts w:ascii="Times New Roman" w:hAnsi="Times New Roman"/>
        </w:rPr>
        <w:t>.</w:t>
      </w:r>
    </w:p>
    <w:p w:rsidR="00200155" w:rsidRPr="00200155" w:rsidRDefault="00200155" w:rsidP="00200155">
      <w:pPr>
        <w:pStyle w:val="Odsekzoznamu"/>
        <w:jc w:val="both"/>
        <w:rPr>
          <w:rFonts w:ascii="Times New Roman" w:hAnsi="Times New Roman"/>
        </w:rPr>
      </w:pPr>
    </w:p>
    <w:p w:rsidR="00AA17E3" w:rsidRDefault="00AA17E3" w:rsidP="00200155">
      <w:pPr>
        <w:spacing w:after="0"/>
        <w:jc w:val="both"/>
        <w:rPr>
          <w:rFonts w:ascii="Times New Roman" w:hAnsi="Times New Roman" w:cs="Times New Roman"/>
          <w:b/>
          <w:color w:val="5B9BD5" w:themeColor="accent1"/>
        </w:rPr>
      </w:pPr>
      <w:r w:rsidRPr="005A20A6">
        <w:rPr>
          <w:rFonts w:ascii="Times New Roman" w:hAnsi="Times New Roman" w:cs="Times New Roman"/>
          <w:b/>
          <w:color w:val="5B9BD5" w:themeColor="accent1"/>
        </w:rPr>
        <w:t>Reštrukturalizácia priemyselných odvetví</w:t>
      </w:r>
    </w:p>
    <w:p w:rsidR="00200155" w:rsidRPr="00A273CE" w:rsidRDefault="00200155" w:rsidP="00200155">
      <w:pPr>
        <w:spacing w:after="0"/>
        <w:jc w:val="both"/>
        <w:rPr>
          <w:rFonts w:ascii="Times New Roman" w:hAnsi="Times New Roman" w:cs="Times New Roman"/>
          <w:b/>
          <w:sz w:val="24"/>
          <w:lang w:eastAsia="sk-SK"/>
        </w:rPr>
      </w:pPr>
    </w:p>
    <w:p w:rsidR="00AA17E3" w:rsidRPr="00A235FD" w:rsidRDefault="00AA17E3" w:rsidP="00200155">
      <w:pPr>
        <w:pStyle w:val="Popis"/>
        <w:keepNext/>
        <w:spacing w:after="0"/>
        <w:rPr>
          <w:rFonts w:ascii="Times New Roman" w:hAnsi="Times New Roman" w:cs="Times New Roman"/>
          <w:b/>
          <w:i w:val="0"/>
          <w:color w:val="5B9BD5" w:themeColor="accent1"/>
          <w:sz w:val="20"/>
          <w:szCs w:val="20"/>
        </w:rPr>
      </w:pPr>
      <w:bookmarkStart w:id="566" w:name="_Toc84528479"/>
      <w:bookmarkStart w:id="567" w:name="_Toc84845355"/>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131</w:t>
      </w:r>
      <w:r w:rsidRPr="002C35F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00B949EE">
        <w:rPr>
          <w:rFonts w:ascii="Times New Roman" w:hAnsi="Times New Roman" w:cs="Times New Roman"/>
          <w:b/>
          <w:i w:val="0"/>
          <w:color w:val="5B9BD5" w:themeColor="accent1"/>
          <w:sz w:val="20"/>
          <w:szCs w:val="20"/>
        </w:rPr>
        <w:t>–</w:t>
      </w:r>
      <w:r>
        <w:rPr>
          <w:rFonts w:ascii="Times New Roman" w:hAnsi="Times New Roman" w:cs="Times New Roman"/>
          <w:b/>
          <w:i w:val="0"/>
          <w:color w:val="5B9BD5" w:themeColor="accent1"/>
          <w:sz w:val="20"/>
          <w:szCs w:val="20"/>
        </w:rPr>
        <w:t xml:space="preserve"> </w:t>
      </w:r>
      <w:r w:rsidR="00B949EE">
        <w:rPr>
          <w:rFonts w:ascii="Times New Roman" w:hAnsi="Times New Roman" w:cs="Times New Roman"/>
          <w:b/>
          <w:i w:val="0"/>
          <w:color w:val="5B9BD5" w:themeColor="accent1"/>
          <w:sz w:val="20"/>
          <w:szCs w:val="20"/>
        </w:rPr>
        <w:t>Výdavky na r</w:t>
      </w:r>
      <w:r>
        <w:rPr>
          <w:rFonts w:ascii="Times New Roman" w:hAnsi="Times New Roman" w:cs="Times New Roman"/>
          <w:b/>
          <w:i w:val="0"/>
          <w:color w:val="5B9BD5" w:themeColor="accent1"/>
          <w:sz w:val="20"/>
          <w:szCs w:val="20"/>
        </w:rPr>
        <w:t>eštrukturalizácia priemyselných odvetví</w:t>
      </w:r>
      <w:bookmarkEnd w:id="566"/>
      <w:bookmarkEnd w:id="567"/>
    </w:p>
    <w:tbl>
      <w:tblPr>
        <w:tblW w:w="5000" w:type="pct"/>
        <w:tblCellMar>
          <w:left w:w="70" w:type="dxa"/>
          <w:right w:w="70" w:type="dxa"/>
        </w:tblCellMar>
        <w:tblLook w:val="04A0" w:firstRow="1" w:lastRow="0" w:firstColumn="1" w:lastColumn="0" w:noHBand="0" w:noVBand="1"/>
      </w:tblPr>
      <w:tblGrid>
        <w:gridCol w:w="3038"/>
        <w:gridCol w:w="862"/>
        <w:gridCol w:w="862"/>
        <w:gridCol w:w="862"/>
        <w:gridCol w:w="862"/>
        <w:gridCol w:w="862"/>
        <w:gridCol w:w="862"/>
        <w:gridCol w:w="862"/>
      </w:tblGrid>
      <w:tr w:rsidR="00AA17E3" w:rsidRPr="00771943" w:rsidTr="00AA17E3">
        <w:trPr>
          <w:trHeight w:hRule="exact" w:val="255"/>
        </w:trPr>
        <w:tc>
          <w:tcPr>
            <w:tcW w:w="1674"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v tis. eur</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2019 S</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2020 S</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2021 R</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2021 OS</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2022 N</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2023 N</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sz w:val="16"/>
                <w:szCs w:val="16"/>
                <w:lang w:eastAsia="sk-SK"/>
              </w:rPr>
            </w:pPr>
            <w:r w:rsidRPr="00771943">
              <w:rPr>
                <w:rFonts w:ascii="Times New Roman" w:hAnsi="Times New Roman" w:cs="Times New Roman"/>
                <w:b/>
                <w:bCs/>
                <w:sz w:val="16"/>
                <w:szCs w:val="16"/>
                <w:lang w:eastAsia="sk-SK"/>
              </w:rPr>
              <w:t>2024 N</w:t>
            </w:r>
          </w:p>
        </w:tc>
      </w:tr>
      <w:tr w:rsidR="00AA17E3" w:rsidRPr="00771943" w:rsidTr="00AA17E3">
        <w:trPr>
          <w:trHeight w:hRule="exact" w:val="255"/>
        </w:trPr>
        <w:tc>
          <w:tcPr>
            <w:tcW w:w="1674" w:type="pct"/>
            <w:tcBorders>
              <w:top w:val="nil"/>
              <w:left w:val="nil"/>
              <w:bottom w:val="nil"/>
              <w:right w:val="nil"/>
            </w:tcBorders>
            <w:shd w:val="clear" w:color="auto" w:fill="auto"/>
            <w:noWrap/>
            <w:vAlign w:val="bottom"/>
            <w:hideMark/>
          </w:tcPr>
          <w:p w:rsidR="00AA17E3" w:rsidRPr="00771943" w:rsidRDefault="00AA17E3" w:rsidP="00AA17E3">
            <w:pPr>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Reštrukturalizácia</w:t>
            </w:r>
            <w:r w:rsidRPr="00771943">
              <w:rPr>
                <w:rFonts w:ascii="Times New Roman" w:hAnsi="Times New Roman" w:cs="Times New Roman"/>
                <w:b/>
                <w:bCs/>
                <w:color w:val="000000"/>
                <w:sz w:val="16"/>
                <w:szCs w:val="16"/>
                <w:lang w:eastAsia="sk-SK"/>
              </w:rPr>
              <w:t xml:space="preserve"> priem. odvetví</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43 322</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49 521</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50 870</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45 784</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56 918</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59 368</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b/>
                <w:bCs/>
                <w:color w:val="000000"/>
                <w:sz w:val="16"/>
                <w:szCs w:val="16"/>
                <w:lang w:eastAsia="sk-SK"/>
              </w:rPr>
            </w:pPr>
            <w:r w:rsidRPr="00771943">
              <w:rPr>
                <w:rFonts w:ascii="Times New Roman" w:hAnsi="Times New Roman" w:cs="Times New Roman"/>
                <w:b/>
                <w:bCs/>
                <w:color w:val="000000"/>
                <w:sz w:val="16"/>
                <w:szCs w:val="16"/>
                <w:lang w:eastAsia="sk-SK"/>
              </w:rPr>
              <w:t>54 482</w:t>
            </w:r>
          </w:p>
        </w:tc>
      </w:tr>
      <w:tr w:rsidR="00AA17E3" w:rsidRPr="00771943" w:rsidTr="00AA17E3">
        <w:trPr>
          <w:trHeight w:hRule="exact" w:val="255"/>
        </w:trPr>
        <w:tc>
          <w:tcPr>
            <w:tcW w:w="1674" w:type="pct"/>
            <w:tcBorders>
              <w:top w:val="nil"/>
              <w:left w:val="nil"/>
              <w:bottom w:val="nil"/>
              <w:right w:val="nil"/>
            </w:tcBorders>
            <w:shd w:val="clear" w:color="auto" w:fill="auto"/>
            <w:noWrap/>
            <w:vAlign w:val="bottom"/>
            <w:hideMark/>
          </w:tcPr>
          <w:p w:rsidR="00AA17E3" w:rsidRPr="00771943" w:rsidRDefault="00AA17E3" w:rsidP="00AA17E3">
            <w:pPr>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Podpora baníctva</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3 322</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9 669</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10 870</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5 298</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16 918</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19 368</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14 482</w:t>
            </w:r>
          </w:p>
        </w:tc>
      </w:tr>
      <w:tr w:rsidR="00AA17E3" w:rsidRPr="00771943" w:rsidTr="00AA17E3">
        <w:trPr>
          <w:trHeight w:hRule="exact" w:val="255"/>
        </w:trPr>
        <w:tc>
          <w:tcPr>
            <w:tcW w:w="1674" w:type="pct"/>
            <w:tcBorders>
              <w:top w:val="nil"/>
              <w:left w:val="nil"/>
              <w:bottom w:val="nil"/>
              <w:right w:val="nil"/>
            </w:tcBorders>
            <w:shd w:val="clear" w:color="auto" w:fill="auto"/>
            <w:noWrap/>
            <w:vAlign w:val="bottom"/>
            <w:hideMark/>
          </w:tcPr>
          <w:p w:rsidR="00AA17E3" w:rsidRPr="00771943" w:rsidRDefault="00AA17E3" w:rsidP="00AA17E3">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Podpora zníženia konc. ceny elektriny</w:t>
            </w:r>
          </w:p>
        </w:tc>
        <w:tc>
          <w:tcPr>
            <w:tcW w:w="475" w:type="pct"/>
            <w:tcBorders>
              <w:top w:val="nil"/>
              <w:left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40 000</w:t>
            </w:r>
          </w:p>
        </w:tc>
        <w:tc>
          <w:tcPr>
            <w:tcW w:w="475" w:type="pct"/>
            <w:tcBorders>
              <w:top w:val="nil"/>
              <w:left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39 853</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40 000</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40 000</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40 000</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40 000</w:t>
            </w:r>
          </w:p>
        </w:tc>
        <w:tc>
          <w:tcPr>
            <w:tcW w:w="475" w:type="pct"/>
            <w:tcBorders>
              <w:top w:val="nil"/>
              <w:left w:val="nil"/>
              <w:bottom w:val="nil"/>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40 000</w:t>
            </w:r>
          </w:p>
        </w:tc>
      </w:tr>
      <w:tr w:rsidR="00AA17E3" w:rsidRPr="00771943" w:rsidTr="00AA17E3">
        <w:trPr>
          <w:trHeight w:hRule="exact" w:val="255"/>
        </w:trPr>
        <w:tc>
          <w:tcPr>
            <w:tcW w:w="1674" w:type="pct"/>
            <w:tcBorders>
              <w:top w:val="nil"/>
              <w:left w:val="nil"/>
              <w:bottom w:val="single" w:sz="4" w:space="0" w:color="auto"/>
              <w:right w:val="nil"/>
            </w:tcBorders>
            <w:shd w:val="clear" w:color="auto" w:fill="auto"/>
            <w:noWrap/>
            <w:vAlign w:val="bottom"/>
            <w:hideMark/>
          </w:tcPr>
          <w:p w:rsidR="00AA17E3" w:rsidRPr="00771943" w:rsidRDefault="00AA17E3" w:rsidP="00AA17E3">
            <w:pPr>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Sanácia environ. záťaží</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486</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771943" w:rsidRDefault="00AA17E3" w:rsidP="00AA17E3">
            <w:pPr>
              <w:jc w:val="right"/>
              <w:rPr>
                <w:rFonts w:ascii="Times New Roman" w:hAnsi="Times New Roman" w:cs="Times New Roman"/>
                <w:color w:val="000000"/>
                <w:sz w:val="16"/>
                <w:szCs w:val="16"/>
                <w:lang w:eastAsia="sk-SK"/>
              </w:rPr>
            </w:pPr>
            <w:r w:rsidRPr="00771943">
              <w:rPr>
                <w:rFonts w:ascii="Times New Roman" w:hAnsi="Times New Roman" w:cs="Times New Roman"/>
                <w:color w:val="000000"/>
                <w:sz w:val="16"/>
                <w:szCs w:val="16"/>
                <w:lang w:eastAsia="sk-SK"/>
              </w:rPr>
              <w:t>0</w:t>
            </w:r>
          </w:p>
        </w:tc>
      </w:tr>
    </w:tbl>
    <w:p w:rsidR="00AA17E3" w:rsidRDefault="00AA17E3" w:rsidP="00AA17E3">
      <w:pPr>
        <w:jc w:val="both"/>
        <w:rPr>
          <w:rFonts w:ascii="Times New Roman" w:hAnsi="Times New Roman" w:cs="Times New Roman"/>
          <w:lang w:eastAsia="sk-SK"/>
        </w:rPr>
      </w:pPr>
    </w:p>
    <w:p w:rsidR="00AA17E3" w:rsidRPr="00441800"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 xml:space="preserve">Výdavky v oblasti reštrukturalizácie priemyselných odvetví sú na rok 2022 rozpočtované v sume 56,9 mil. eur a smerujú najmä do podpory uhoľného baníctva, kde sa na rok 2022 rozpočtuje suma 14,8 mil. eur, ktorá je určená predovšetkým na útlm uhoľného baníctva v nadväznosti na schválenú štátnu pomoc, resp. „Akčný plán transformácie uhoľného regiónu horná Nitra“ a deputátne uhlie pre dôchodcov a vdovy po baníkoch. V súvislosti s uvedeným akčným plánom sú na roky 2022 až 2024 rozpočtované výdavky v celkovej sume 43,9 mil. eur, určené najmä na uzatváranie a likvidáciu baní, resp. podpovrchové bezpečnostné práce vyplývajúce zo zatvorenia uhoľných výrobných jednotiek, náklady súvisiace s asanáciou bývalých uhoľných ťažobných lokalít, rekultiváciu povrchu a výdavky na pracovníkov, ktorí prišli, alebo prichádzajú o svoje zamestnanie. Výdavky sú tiež smerované do oblasti rudného baníctva, kde je na rok 2022 rozpočtovaná suma 1,99 mil. eur určená na zákonné sociálne náklady a technické práce, t. j. plnenie úloh obsiahnutých v aktualizovanom pláne útlmového programu a na nutné práce, ktorých útlm po dlhoročnej intenzívnej činnosti nebol dokončený. </w:t>
      </w:r>
    </w:p>
    <w:p w:rsidR="00200155" w:rsidRDefault="00200155" w:rsidP="00200155">
      <w:pPr>
        <w:spacing w:after="0"/>
        <w:jc w:val="both"/>
        <w:rPr>
          <w:rFonts w:ascii="Times New Roman" w:hAnsi="Times New Roman" w:cs="Times New Roman"/>
          <w:color w:val="000000"/>
          <w:sz w:val="24"/>
          <w:szCs w:val="24"/>
          <w:lang w:eastAsia="sk-SK"/>
        </w:rPr>
      </w:pPr>
    </w:p>
    <w:p w:rsidR="00AA17E3" w:rsidRPr="00441800" w:rsidRDefault="00AA17E3" w:rsidP="00200155">
      <w:pPr>
        <w:spacing w:after="0"/>
        <w:jc w:val="both"/>
        <w:rPr>
          <w:rFonts w:ascii="Times New Roman" w:hAnsi="Times New Roman" w:cs="Times New Roman"/>
          <w:color w:val="000000"/>
          <w:sz w:val="24"/>
          <w:szCs w:val="24"/>
          <w:lang w:eastAsia="sk-SK"/>
        </w:rPr>
      </w:pPr>
      <w:r w:rsidRPr="00441800">
        <w:rPr>
          <w:rFonts w:ascii="Times New Roman" w:hAnsi="Times New Roman" w:cs="Times New Roman"/>
          <w:color w:val="000000"/>
          <w:sz w:val="24"/>
          <w:szCs w:val="24"/>
          <w:lang w:eastAsia="sk-SK"/>
        </w:rPr>
        <w:t xml:space="preserve">V rámci tejto oblasti sa na rok 2022 rozpočtujú tiež výdavky na podporu zníženia koncovej ceny elektriny pre podniky v sume 40,0 mil. eur, v súlade so </w:t>
      </w:r>
      <w:r w:rsidRPr="00441800">
        <w:rPr>
          <w:rFonts w:ascii="Times New Roman" w:hAnsi="Times New Roman" w:cs="Times New Roman"/>
          <w:sz w:val="24"/>
          <w:szCs w:val="24"/>
          <w:lang w:eastAsia="sk-SK"/>
        </w:rPr>
        <w:t xml:space="preserve">zákonom č. 309/2009 Z. z. o podpore obnoviteľných zdrojov energie a vysoko účinnej </w:t>
      </w:r>
      <w:r w:rsidRPr="00441800">
        <w:rPr>
          <w:rFonts w:ascii="Times New Roman" w:hAnsi="Times New Roman" w:cs="Times New Roman"/>
          <w:color w:val="000000"/>
          <w:sz w:val="24"/>
          <w:szCs w:val="24"/>
          <w:lang w:eastAsia="sk-SK"/>
        </w:rPr>
        <w:t>kombinovanej výroby.</w:t>
      </w:r>
      <w:r w:rsidRPr="00441800">
        <w:rPr>
          <w:rFonts w:ascii="Times New Roman" w:hAnsi="Times New Roman" w:cs="Times New Roman"/>
          <w:sz w:val="24"/>
          <w:szCs w:val="24"/>
          <w:lang w:eastAsia="sk-SK"/>
        </w:rPr>
        <w:t xml:space="preserve"> </w:t>
      </w:r>
    </w:p>
    <w:p w:rsidR="00200155" w:rsidRDefault="00200155" w:rsidP="00200155">
      <w:pPr>
        <w:tabs>
          <w:tab w:val="left" w:pos="1080"/>
        </w:tabs>
        <w:spacing w:after="0"/>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ab/>
      </w:r>
    </w:p>
    <w:p w:rsidR="00AA17E3" w:rsidRDefault="00AA17E3" w:rsidP="00200155">
      <w:pPr>
        <w:spacing w:after="0"/>
        <w:jc w:val="both"/>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Podpora podnikania</w:t>
      </w:r>
    </w:p>
    <w:p w:rsidR="00200155" w:rsidRPr="00441800" w:rsidRDefault="00200155" w:rsidP="00200155">
      <w:pPr>
        <w:spacing w:after="0"/>
        <w:jc w:val="both"/>
        <w:rPr>
          <w:rFonts w:ascii="Times New Roman" w:hAnsi="Times New Roman" w:cs="Times New Roman"/>
          <w:b/>
          <w:color w:val="5B9BD5" w:themeColor="accent1"/>
          <w:sz w:val="24"/>
          <w:szCs w:val="24"/>
        </w:rPr>
      </w:pPr>
    </w:p>
    <w:p w:rsidR="00AA17E3" w:rsidRPr="00A235FD" w:rsidRDefault="00AA17E3" w:rsidP="00AA17E3">
      <w:pPr>
        <w:pStyle w:val="Popis"/>
        <w:keepNext/>
        <w:spacing w:after="0"/>
        <w:rPr>
          <w:rFonts w:ascii="Times New Roman" w:hAnsi="Times New Roman" w:cs="Times New Roman"/>
          <w:b/>
          <w:i w:val="0"/>
          <w:color w:val="5B9BD5" w:themeColor="accent1"/>
          <w:sz w:val="20"/>
          <w:szCs w:val="20"/>
        </w:rPr>
      </w:pPr>
      <w:bookmarkStart w:id="568" w:name="_Toc84528480"/>
      <w:bookmarkStart w:id="569" w:name="_Toc84845356"/>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132</w:t>
      </w:r>
      <w:r w:rsidRPr="002C35FD">
        <w:rPr>
          <w:rFonts w:ascii="Times New Roman" w:hAnsi="Times New Roman" w:cs="Times New Roman"/>
          <w:b/>
          <w:i w:val="0"/>
          <w:color w:val="5B9BD5" w:themeColor="accent1"/>
          <w:sz w:val="20"/>
          <w:szCs w:val="20"/>
        </w:rPr>
        <w:fldChar w:fldCharType="end"/>
      </w:r>
      <w:r w:rsidR="00441800">
        <w:rPr>
          <w:rFonts w:ascii="Times New Roman" w:hAnsi="Times New Roman" w:cs="Times New Roman"/>
          <w:b/>
          <w:i w:val="0"/>
          <w:color w:val="5B9BD5" w:themeColor="accent1"/>
          <w:sz w:val="20"/>
          <w:szCs w:val="20"/>
        </w:rPr>
        <w:t xml:space="preserve"> </w:t>
      </w:r>
      <w:r w:rsidR="00B949EE">
        <w:rPr>
          <w:rFonts w:ascii="Times New Roman" w:hAnsi="Times New Roman" w:cs="Times New Roman"/>
          <w:b/>
          <w:i w:val="0"/>
          <w:color w:val="5B9BD5" w:themeColor="accent1"/>
          <w:sz w:val="20"/>
          <w:szCs w:val="20"/>
        </w:rPr>
        <w:t>–</w:t>
      </w:r>
      <w:r>
        <w:rPr>
          <w:rFonts w:ascii="Times New Roman" w:hAnsi="Times New Roman" w:cs="Times New Roman"/>
          <w:b/>
          <w:i w:val="0"/>
          <w:color w:val="5B9BD5" w:themeColor="accent1"/>
          <w:sz w:val="20"/>
          <w:szCs w:val="20"/>
        </w:rPr>
        <w:t xml:space="preserve"> </w:t>
      </w:r>
      <w:r w:rsidR="00B949EE">
        <w:rPr>
          <w:rFonts w:ascii="Times New Roman" w:hAnsi="Times New Roman" w:cs="Times New Roman"/>
          <w:b/>
          <w:i w:val="0"/>
          <w:color w:val="5B9BD5" w:themeColor="accent1"/>
          <w:sz w:val="20"/>
          <w:szCs w:val="20"/>
        </w:rPr>
        <w:t>Výdavky na podporu</w:t>
      </w:r>
      <w:r>
        <w:rPr>
          <w:rFonts w:ascii="Times New Roman" w:hAnsi="Times New Roman" w:cs="Times New Roman"/>
          <w:b/>
          <w:i w:val="0"/>
          <w:color w:val="5B9BD5" w:themeColor="accent1"/>
          <w:sz w:val="20"/>
          <w:szCs w:val="20"/>
        </w:rPr>
        <w:t xml:space="preserve"> podnikania</w:t>
      </w:r>
      <w:bookmarkEnd w:id="568"/>
      <w:bookmarkEnd w:id="569"/>
    </w:p>
    <w:tbl>
      <w:tblPr>
        <w:tblW w:w="5000" w:type="pct"/>
        <w:tblCellMar>
          <w:left w:w="70" w:type="dxa"/>
          <w:right w:w="70" w:type="dxa"/>
        </w:tblCellMar>
        <w:tblLook w:val="04A0" w:firstRow="1" w:lastRow="0" w:firstColumn="1" w:lastColumn="0" w:noHBand="0" w:noVBand="1"/>
      </w:tblPr>
      <w:tblGrid>
        <w:gridCol w:w="3642"/>
        <w:gridCol w:w="775"/>
        <w:gridCol w:w="775"/>
        <w:gridCol w:w="776"/>
        <w:gridCol w:w="776"/>
        <w:gridCol w:w="776"/>
        <w:gridCol w:w="776"/>
        <w:gridCol w:w="776"/>
      </w:tblGrid>
      <w:tr w:rsidR="00AA17E3" w:rsidRPr="003F4882" w:rsidTr="00AA17E3">
        <w:trPr>
          <w:trHeight w:hRule="exact" w:val="255"/>
        </w:trPr>
        <w:tc>
          <w:tcPr>
            <w:tcW w:w="1673"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v tis. eur</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2019 S</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2020 S</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2021 R</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2021 OS</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2022 N</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2023 N</w:t>
            </w:r>
          </w:p>
        </w:tc>
        <w:tc>
          <w:tcPr>
            <w:tcW w:w="475" w:type="pct"/>
            <w:tcBorders>
              <w:top w:val="single" w:sz="4" w:space="0" w:color="auto"/>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sz w:val="16"/>
                <w:szCs w:val="16"/>
                <w:lang w:eastAsia="sk-SK"/>
              </w:rPr>
            </w:pPr>
            <w:r w:rsidRPr="003F4882">
              <w:rPr>
                <w:rFonts w:ascii="Times New Roman" w:hAnsi="Times New Roman" w:cs="Times New Roman"/>
                <w:b/>
                <w:bCs/>
                <w:sz w:val="16"/>
                <w:szCs w:val="16"/>
                <w:lang w:eastAsia="sk-SK"/>
              </w:rPr>
              <w:t>2024 N</w:t>
            </w:r>
          </w:p>
        </w:tc>
      </w:tr>
      <w:tr w:rsidR="00AA17E3" w:rsidRPr="003F4882" w:rsidTr="00AA17E3">
        <w:trPr>
          <w:trHeight w:hRule="exact" w:val="255"/>
        </w:trPr>
        <w:tc>
          <w:tcPr>
            <w:tcW w:w="1673" w:type="pct"/>
            <w:tcBorders>
              <w:top w:val="nil"/>
              <w:left w:val="nil"/>
              <w:bottom w:val="nil"/>
              <w:right w:val="nil"/>
            </w:tcBorders>
            <w:shd w:val="clear" w:color="auto" w:fill="auto"/>
            <w:noWrap/>
            <w:vAlign w:val="bottom"/>
            <w:hideMark/>
          </w:tcPr>
          <w:p w:rsidR="00AA17E3" w:rsidRPr="003F4882" w:rsidRDefault="00AA17E3" w:rsidP="00AA17E3">
            <w:pPr>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Podpora podnikania</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210 359</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312 408</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351 579</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552 673</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242 843</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209 066</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b/>
                <w:bCs/>
                <w:color w:val="000000"/>
                <w:sz w:val="16"/>
                <w:szCs w:val="16"/>
                <w:lang w:eastAsia="sk-SK"/>
              </w:rPr>
            </w:pPr>
            <w:r w:rsidRPr="003F4882">
              <w:rPr>
                <w:rFonts w:ascii="Times New Roman" w:hAnsi="Times New Roman" w:cs="Times New Roman"/>
                <w:b/>
                <w:bCs/>
                <w:color w:val="000000"/>
                <w:sz w:val="16"/>
                <w:szCs w:val="16"/>
                <w:lang w:eastAsia="sk-SK"/>
              </w:rPr>
              <w:t>22 770</w:t>
            </w:r>
          </w:p>
        </w:tc>
      </w:tr>
      <w:tr w:rsidR="00AA17E3" w:rsidRPr="003F4882" w:rsidTr="00AA17E3">
        <w:trPr>
          <w:trHeight w:hRule="exact" w:val="255"/>
        </w:trPr>
        <w:tc>
          <w:tcPr>
            <w:tcW w:w="1673" w:type="pct"/>
            <w:tcBorders>
              <w:top w:val="nil"/>
              <w:left w:val="nil"/>
              <w:bottom w:val="nil"/>
              <w:right w:val="nil"/>
            </w:tcBorders>
            <w:shd w:val="clear" w:color="auto" w:fill="auto"/>
            <w:noWrap/>
            <w:vAlign w:val="bottom"/>
            <w:hideMark/>
          </w:tcPr>
          <w:p w:rsidR="00AA17E3" w:rsidRPr="003F4882" w:rsidRDefault="00AA17E3" w:rsidP="00AA17E3">
            <w:pPr>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OP II - Podpora výskumu, inovácií a podp. podnikania</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116 194</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219 914</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318 324</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368 561</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216 240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176 671</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r>
      <w:tr w:rsidR="00AA17E3" w:rsidRPr="003F4882" w:rsidTr="00AA17E3">
        <w:trPr>
          <w:trHeight w:hRule="exact" w:val="255"/>
        </w:trPr>
        <w:tc>
          <w:tcPr>
            <w:tcW w:w="1673" w:type="pct"/>
            <w:tcBorders>
              <w:top w:val="nil"/>
              <w:left w:val="nil"/>
              <w:bottom w:val="nil"/>
              <w:right w:val="nil"/>
            </w:tcBorders>
            <w:shd w:val="clear" w:color="auto" w:fill="auto"/>
            <w:noWrap/>
            <w:vAlign w:val="bottom"/>
            <w:hideMark/>
          </w:tcPr>
          <w:p w:rsidR="00AA17E3" w:rsidRPr="003F4882" w:rsidRDefault="00AA17E3" w:rsidP="00AA17E3">
            <w:pPr>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Podpora investícií</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90 138</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41 924</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28 855</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66 666</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20 815</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26 589</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17 062</w:t>
            </w:r>
          </w:p>
        </w:tc>
      </w:tr>
      <w:tr w:rsidR="00AA17E3" w:rsidRPr="003F4882" w:rsidTr="00AA17E3">
        <w:trPr>
          <w:trHeight w:hRule="exact" w:val="255"/>
        </w:trPr>
        <w:tc>
          <w:tcPr>
            <w:tcW w:w="1673" w:type="pct"/>
            <w:tcBorders>
              <w:top w:val="nil"/>
              <w:left w:val="nil"/>
              <w:bottom w:val="nil"/>
              <w:right w:val="nil"/>
            </w:tcBorders>
            <w:shd w:val="clear" w:color="auto" w:fill="auto"/>
            <w:noWrap/>
            <w:vAlign w:val="bottom"/>
            <w:hideMark/>
          </w:tcPr>
          <w:p w:rsidR="00AA17E3" w:rsidRPr="003F4882" w:rsidRDefault="00AA17E3" w:rsidP="00AA17E3">
            <w:pPr>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Podpora inovácií</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705</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845</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2 500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570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3 000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3 000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3 000</w:t>
            </w:r>
          </w:p>
        </w:tc>
      </w:tr>
      <w:tr w:rsidR="00AA17E3" w:rsidRPr="003F4882" w:rsidTr="00AA17E3">
        <w:trPr>
          <w:trHeight w:hRule="exact" w:val="255"/>
        </w:trPr>
        <w:tc>
          <w:tcPr>
            <w:tcW w:w="1673" w:type="pct"/>
            <w:tcBorders>
              <w:top w:val="nil"/>
              <w:left w:val="nil"/>
              <w:bottom w:val="nil"/>
              <w:right w:val="nil"/>
            </w:tcBorders>
            <w:shd w:val="clear" w:color="auto" w:fill="auto"/>
            <w:noWrap/>
            <w:vAlign w:val="bottom"/>
            <w:hideMark/>
          </w:tcPr>
          <w:p w:rsidR="00AA17E3" w:rsidRPr="003F4882" w:rsidRDefault="00AA17E3" w:rsidP="00AA17E3">
            <w:pPr>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Administrácia podpor. schém a programov</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3 322</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3 657</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1 800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2 730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1 800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1 800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1 800</w:t>
            </w:r>
          </w:p>
        </w:tc>
      </w:tr>
      <w:tr w:rsidR="00AA17E3" w:rsidRPr="003F4882" w:rsidTr="00AA17E3">
        <w:trPr>
          <w:trHeight w:hRule="exact" w:val="255"/>
        </w:trPr>
        <w:tc>
          <w:tcPr>
            <w:tcW w:w="1673" w:type="pct"/>
            <w:tcBorders>
              <w:top w:val="nil"/>
              <w:left w:val="nil"/>
              <w:bottom w:val="nil"/>
              <w:right w:val="nil"/>
            </w:tcBorders>
            <w:shd w:val="clear" w:color="auto" w:fill="auto"/>
            <w:noWrap/>
            <w:vAlign w:val="bottom"/>
            <w:hideMark/>
          </w:tcPr>
          <w:p w:rsidR="00AA17E3" w:rsidRPr="003F4882" w:rsidRDefault="00AA17E3" w:rsidP="00AA17E3">
            <w:pPr>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 xml:space="preserve">Znižovanie admin. bremena </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100</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988</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1 007</w:t>
            </w:r>
          </w:p>
        </w:tc>
        <w:tc>
          <w:tcPr>
            <w:tcW w:w="475" w:type="pct"/>
            <w:tcBorders>
              <w:top w:val="nil"/>
              <w:left w:val="nil"/>
              <w:bottom w:val="nil"/>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908</w:t>
            </w:r>
          </w:p>
        </w:tc>
      </w:tr>
      <w:tr w:rsidR="00AA17E3" w:rsidRPr="003F4882" w:rsidTr="00AA17E3">
        <w:trPr>
          <w:trHeight w:hRule="exact" w:val="255"/>
        </w:trPr>
        <w:tc>
          <w:tcPr>
            <w:tcW w:w="1673" w:type="pct"/>
            <w:tcBorders>
              <w:top w:val="nil"/>
              <w:left w:val="nil"/>
              <w:bottom w:val="single" w:sz="4" w:space="0" w:color="auto"/>
              <w:right w:val="nil"/>
            </w:tcBorders>
            <w:shd w:val="clear" w:color="auto" w:fill="auto"/>
            <w:noWrap/>
            <w:vAlign w:val="bottom"/>
            <w:hideMark/>
          </w:tcPr>
          <w:p w:rsidR="00AA17E3" w:rsidRPr="003F4882" w:rsidRDefault="00AA17E3" w:rsidP="00AA17E3">
            <w:pPr>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Opatrenia v</w:t>
            </w:r>
            <w:r w:rsidR="008D6515">
              <w:rPr>
                <w:rFonts w:ascii="Times New Roman" w:hAnsi="Times New Roman" w:cs="Times New Roman"/>
                <w:color w:val="000000"/>
                <w:sz w:val="16"/>
                <w:szCs w:val="16"/>
                <w:lang w:eastAsia="sk-SK"/>
              </w:rPr>
              <w:t> </w:t>
            </w:r>
            <w:r w:rsidRPr="003F4882">
              <w:rPr>
                <w:rFonts w:ascii="Times New Roman" w:hAnsi="Times New Roman" w:cs="Times New Roman"/>
                <w:color w:val="000000"/>
                <w:sz w:val="16"/>
                <w:szCs w:val="16"/>
                <w:lang w:eastAsia="sk-SK"/>
              </w:rPr>
              <w:t>súvislosti</w:t>
            </w:r>
            <w:r w:rsidR="008D6515">
              <w:rPr>
                <w:rFonts w:ascii="Times New Roman" w:hAnsi="Times New Roman" w:cs="Times New Roman"/>
                <w:color w:val="000000"/>
                <w:sz w:val="16"/>
                <w:szCs w:val="16"/>
                <w:lang w:eastAsia="sk-SK"/>
              </w:rPr>
              <w:t xml:space="preserve"> s</w:t>
            </w:r>
            <w:r w:rsidRPr="003F4882">
              <w:rPr>
                <w:rFonts w:ascii="Times New Roman" w:hAnsi="Times New Roman" w:cs="Times New Roman"/>
                <w:color w:val="000000"/>
                <w:sz w:val="16"/>
                <w:szCs w:val="16"/>
                <w:lang w:eastAsia="sk-SK"/>
              </w:rPr>
              <w:t xml:space="preserve"> pandémiou</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46 067</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114 046</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AA17E3" w:rsidRPr="003F4882" w:rsidRDefault="00AA17E3" w:rsidP="00AA17E3">
            <w:pPr>
              <w:jc w:val="right"/>
              <w:rPr>
                <w:rFonts w:ascii="Times New Roman" w:hAnsi="Times New Roman" w:cs="Times New Roman"/>
                <w:color w:val="000000"/>
                <w:sz w:val="16"/>
                <w:szCs w:val="16"/>
                <w:lang w:eastAsia="sk-SK"/>
              </w:rPr>
            </w:pPr>
            <w:r w:rsidRPr="003F4882">
              <w:rPr>
                <w:rFonts w:ascii="Times New Roman" w:hAnsi="Times New Roman" w:cs="Times New Roman"/>
                <w:color w:val="000000"/>
                <w:sz w:val="16"/>
                <w:szCs w:val="16"/>
                <w:lang w:eastAsia="sk-SK"/>
              </w:rPr>
              <w:t>0</w:t>
            </w:r>
          </w:p>
        </w:tc>
      </w:tr>
    </w:tbl>
    <w:p w:rsidR="00AA17E3" w:rsidRDefault="00AA17E3" w:rsidP="00AA17E3">
      <w:pPr>
        <w:jc w:val="both"/>
        <w:rPr>
          <w:rFonts w:ascii="Times New Roman" w:hAnsi="Times New Roman" w:cs="Times New Roman"/>
          <w:lang w:eastAsia="sk-SK"/>
        </w:rPr>
      </w:pPr>
    </w:p>
    <w:p w:rsidR="00AA17E3" w:rsidRDefault="00AA17E3" w:rsidP="00200155">
      <w:pPr>
        <w:spacing w:after="0"/>
        <w:jc w:val="both"/>
        <w:rPr>
          <w:rFonts w:ascii="Times New Roman" w:hAnsi="Times New Roman" w:cs="Times New Roman"/>
          <w:sz w:val="24"/>
          <w:szCs w:val="24"/>
          <w:lang w:eastAsia="sk-SK"/>
        </w:rPr>
      </w:pPr>
      <w:r w:rsidRPr="00441800">
        <w:rPr>
          <w:rFonts w:ascii="Times New Roman" w:hAnsi="Times New Roman" w:cs="Times New Roman"/>
          <w:sz w:val="24"/>
          <w:szCs w:val="24"/>
          <w:lang w:eastAsia="sk-SK"/>
        </w:rPr>
        <w:t xml:space="preserve">Celkové výdavky na podporu podnikania sú v návrhu rozpočtu na rok 2022 rozpočtované </w:t>
      </w:r>
      <w:r w:rsidRPr="00441800">
        <w:rPr>
          <w:rFonts w:ascii="Times New Roman" w:hAnsi="Times New Roman" w:cs="Times New Roman"/>
          <w:sz w:val="24"/>
          <w:szCs w:val="24"/>
          <w:lang w:eastAsia="sk-SK"/>
        </w:rPr>
        <w:br/>
        <w:t>v sume 243 mil. eur. V rámci oblasti sú rozpočtované výdavky EÚ a spolufinancovania zo štátneho rozpočtu v rámci Operačného programu Integrovaná infraštruktúra v sume 216 mil. eur, určené najmä na podporu výskumu</w:t>
      </w:r>
      <w:r w:rsidR="008D6515">
        <w:rPr>
          <w:rFonts w:ascii="Times New Roman" w:hAnsi="Times New Roman" w:cs="Times New Roman"/>
          <w:sz w:val="24"/>
          <w:szCs w:val="24"/>
          <w:lang w:eastAsia="sk-SK"/>
        </w:rPr>
        <w:t>,</w:t>
      </w:r>
      <w:r w:rsidRPr="00441800">
        <w:rPr>
          <w:rFonts w:ascii="Times New Roman" w:hAnsi="Times New Roman" w:cs="Times New Roman"/>
          <w:sz w:val="24"/>
          <w:szCs w:val="24"/>
          <w:lang w:eastAsia="sk-SK"/>
        </w:rPr>
        <w:t xml:space="preserve"> vývoja a inovácií, posilnenie konkurencieschopnosti a rastu malého a stredného podnikania (ďalej len „MSP“), ako aj rozvoj konkurencieschopnosti MSP v Bratislavskom kraji. </w:t>
      </w:r>
    </w:p>
    <w:p w:rsidR="00200155" w:rsidRPr="00441800" w:rsidRDefault="00200155" w:rsidP="00200155">
      <w:pPr>
        <w:spacing w:after="0"/>
        <w:jc w:val="both"/>
        <w:rPr>
          <w:rFonts w:ascii="Times New Roman" w:hAnsi="Times New Roman" w:cs="Times New Roman"/>
          <w:sz w:val="24"/>
          <w:szCs w:val="24"/>
          <w:lang w:eastAsia="sk-SK"/>
        </w:rPr>
      </w:pPr>
    </w:p>
    <w:p w:rsidR="00AA17E3" w:rsidRPr="00441800" w:rsidRDefault="00AA17E3" w:rsidP="00200155">
      <w:pPr>
        <w:spacing w:after="0"/>
        <w:jc w:val="both"/>
        <w:rPr>
          <w:rFonts w:ascii="Times New Roman" w:hAnsi="Times New Roman" w:cs="Times New Roman"/>
          <w:color w:val="000000"/>
          <w:sz w:val="24"/>
          <w:szCs w:val="24"/>
          <w:lang w:eastAsia="sk-SK"/>
        </w:rPr>
      </w:pPr>
      <w:r w:rsidRPr="00441800">
        <w:rPr>
          <w:rFonts w:ascii="Times New Roman" w:hAnsi="Times New Roman" w:cs="Times New Roman"/>
          <w:sz w:val="24"/>
          <w:szCs w:val="24"/>
          <w:lang w:eastAsia="sk-SK"/>
        </w:rPr>
        <w:t>V oblasti sú na rok 2022 rozpočtované tiež výdavky na</w:t>
      </w:r>
      <w:r w:rsidRPr="00441800">
        <w:rPr>
          <w:rFonts w:ascii="Times New Roman" w:hAnsi="Times New Roman" w:cs="Times New Roman"/>
          <w:color w:val="000000"/>
          <w:sz w:val="24"/>
          <w:szCs w:val="24"/>
          <w:lang w:eastAsia="sk-SK"/>
        </w:rPr>
        <w:t xml:space="preserve"> podporu investícií, presnejšie ide o podporu investičných projektov v sume 6,44 mil. eur a </w:t>
      </w:r>
      <w:r w:rsidRPr="00441800">
        <w:rPr>
          <w:rFonts w:ascii="Times New Roman" w:hAnsi="Times New Roman" w:cs="Times New Roman"/>
          <w:sz w:val="24"/>
          <w:szCs w:val="24"/>
          <w:lang w:eastAsia="sk-SK"/>
        </w:rPr>
        <w:t>výdavky pre SARIO, ktoré sú určené na plnenie stanovených strategických cieľov agentúry pre zvýšenie investičnej atraktívnosti SR.</w:t>
      </w:r>
    </w:p>
    <w:p w:rsidR="00200155" w:rsidRDefault="00200155" w:rsidP="00200155">
      <w:pPr>
        <w:spacing w:after="0"/>
        <w:jc w:val="both"/>
        <w:rPr>
          <w:rFonts w:ascii="Times New Roman" w:hAnsi="Times New Roman" w:cs="Times New Roman"/>
          <w:color w:val="000000"/>
          <w:sz w:val="24"/>
          <w:szCs w:val="24"/>
          <w:lang w:eastAsia="sk-SK"/>
        </w:rPr>
      </w:pPr>
    </w:p>
    <w:p w:rsidR="00AA17E3" w:rsidRPr="00441800" w:rsidRDefault="00AA17E3" w:rsidP="00422E8F">
      <w:pPr>
        <w:spacing w:after="0"/>
        <w:jc w:val="both"/>
        <w:rPr>
          <w:rFonts w:ascii="Times New Roman" w:hAnsi="Times New Roman" w:cs="Times New Roman"/>
          <w:color w:val="000000"/>
          <w:sz w:val="24"/>
          <w:szCs w:val="24"/>
          <w:lang w:eastAsia="sk-SK"/>
        </w:rPr>
      </w:pPr>
      <w:r w:rsidRPr="00441800">
        <w:rPr>
          <w:rFonts w:ascii="Times New Roman" w:hAnsi="Times New Roman" w:cs="Times New Roman"/>
          <w:color w:val="000000"/>
          <w:sz w:val="24"/>
          <w:szCs w:val="24"/>
          <w:lang w:eastAsia="sk-SK"/>
        </w:rPr>
        <w:t xml:space="preserve">V oblasti sú </w:t>
      </w:r>
      <w:r w:rsidR="008D6515">
        <w:rPr>
          <w:rFonts w:ascii="Times New Roman" w:hAnsi="Times New Roman" w:cs="Times New Roman"/>
          <w:color w:val="000000"/>
          <w:sz w:val="24"/>
          <w:szCs w:val="24"/>
          <w:lang w:eastAsia="sk-SK"/>
        </w:rPr>
        <w:t xml:space="preserve">v </w:t>
      </w:r>
      <w:r w:rsidRPr="00441800">
        <w:rPr>
          <w:rFonts w:ascii="Times New Roman" w:hAnsi="Times New Roman" w:cs="Times New Roman"/>
          <w:color w:val="000000"/>
          <w:sz w:val="24"/>
          <w:szCs w:val="24"/>
          <w:lang w:eastAsia="sk-SK"/>
        </w:rPr>
        <w:t xml:space="preserve">rámci podpory investícií rozpočtované aj výdavky pre spoločnosť </w:t>
      </w:r>
      <w:r w:rsidRPr="00441800">
        <w:rPr>
          <w:rFonts w:ascii="Times New Roman" w:hAnsi="Times New Roman" w:cs="Times New Roman"/>
          <w:sz w:val="24"/>
          <w:szCs w:val="24"/>
        </w:rPr>
        <w:t xml:space="preserve">MH Invest, </w:t>
      </w:r>
      <w:r w:rsidR="00200155">
        <w:rPr>
          <w:rFonts w:ascii="Times New Roman" w:hAnsi="Times New Roman" w:cs="Times New Roman"/>
          <w:sz w:val="24"/>
          <w:szCs w:val="24"/>
        </w:rPr>
        <w:br/>
      </w:r>
      <w:r w:rsidRPr="00441800">
        <w:rPr>
          <w:rFonts w:ascii="Times New Roman" w:hAnsi="Times New Roman" w:cs="Times New Roman"/>
          <w:sz w:val="24"/>
          <w:szCs w:val="24"/>
        </w:rPr>
        <w:t>s. r. o. v sume 6,19 mil. eur, ktoré sú určené najmä na zabezpe</w:t>
      </w:r>
      <w:r w:rsidRPr="00441800">
        <w:rPr>
          <w:rFonts w:ascii="Times New Roman" w:eastAsia="TimesNewRoman" w:hAnsi="Times New Roman" w:cs="Times New Roman"/>
          <w:sz w:val="24"/>
          <w:szCs w:val="24"/>
        </w:rPr>
        <w:t>č</w:t>
      </w:r>
      <w:r w:rsidRPr="00441800">
        <w:rPr>
          <w:rFonts w:ascii="Times New Roman" w:hAnsi="Times New Roman" w:cs="Times New Roman"/>
          <w:sz w:val="24"/>
          <w:szCs w:val="24"/>
        </w:rPr>
        <w:t xml:space="preserve">ovanie územia v strategickom parku Nitra a nových investícií v oblasti priemyslu, služieb a výskumu a tiež výdavky pre spoločnosť MH Invest II, s. r. o. v sume 4,85 mil. eur, ktorá zabezpečuje najmä stavebnú a inžiniersku </w:t>
      </w:r>
      <w:r w:rsidRPr="00441800">
        <w:rPr>
          <w:rFonts w:ascii="Times New Roman" w:eastAsia="TimesNewRoman" w:hAnsi="Times New Roman" w:cs="Times New Roman"/>
          <w:sz w:val="24"/>
          <w:szCs w:val="24"/>
        </w:rPr>
        <w:t>č</w:t>
      </w:r>
      <w:r w:rsidRPr="00441800">
        <w:rPr>
          <w:rFonts w:ascii="Times New Roman" w:hAnsi="Times New Roman" w:cs="Times New Roman"/>
          <w:sz w:val="24"/>
          <w:szCs w:val="24"/>
        </w:rPr>
        <w:t>innos</w:t>
      </w:r>
      <w:r w:rsidRPr="00441800">
        <w:rPr>
          <w:rFonts w:ascii="Times New Roman" w:eastAsia="TimesNewRoman" w:hAnsi="Times New Roman" w:cs="Times New Roman"/>
          <w:sz w:val="24"/>
          <w:szCs w:val="24"/>
        </w:rPr>
        <w:t xml:space="preserve">ť </w:t>
      </w:r>
      <w:r w:rsidRPr="00441800">
        <w:rPr>
          <w:rFonts w:ascii="Times New Roman" w:hAnsi="Times New Roman" w:cs="Times New Roman"/>
          <w:sz w:val="24"/>
          <w:szCs w:val="24"/>
        </w:rPr>
        <w:t>súvisiacu s výstavbou priemyselných parkov a zón, prípravou územia a výkupom pozemkov pre investorov a so správou obytných súborov a existujúcich priemyselných parkov.</w:t>
      </w:r>
    </w:p>
    <w:p w:rsidR="00200155" w:rsidRDefault="00200155" w:rsidP="00422E8F">
      <w:pPr>
        <w:spacing w:after="0"/>
        <w:jc w:val="both"/>
        <w:rPr>
          <w:rFonts w:ascii="Times New Roman" w:hAnsi="Times New Roman" w:cs="Times New Roman"/>
          <w:color w:val="000000"/>
          <w:sz w:val="24"/>
          <w:szCs w:val="24"/>
          <w:lang w:eastAsia="sk-SK"/>
        </w:rPr>
      </w:pPr>
    </w:p>
    <w:p w:rsidR="00AA17E3" w:rsidRDefault="00AA17E3" w:rsidP="00422E8F">
      <w:pPr>
        <w:spacing w:after="0"/>
        <w:jc w:val="both"/>
        <w:rPr>
          <w:rFonts w:ascii="Times New Roman" w:hAnsi="Times New Roman" w:cs="Times New Roman"/>
          <w:color w:val="000000"/>
          <w:sz w:val="24"/>
          <w:szCs w:val="24"/>
          <w:lang w:eastAsia="sk-SK"/>
        </w:rPr>
      </w:pPr>
      <w:r w:rsidRPr="00441800">
        <w:rPr>
          <w:rFonts w:ascii="Times New Roman" w:hAnsi="Times New Roman" w:cs="Times New Roman"/>
          <w:color w:val="000000"/>
          <w:sz w:val="24"/>
          <w:szCs w:val="24"/>
          <w:lang w:eastAsia="sk-SK"/>
        </w:rPr>
        <w:t xml:space="preserve">Výdavky určené na podporu inovácií, ktoré sú rozpočtované v celkovej sume 3,00 mil. eur smerujú najmä do podpory startupov a tiež podpory inovačných projektov. Pri administrácii podporných schém a programov sú výdavky v sume 1,80 mil. eur určené najmä pre inštitúciu Slovak Business Agency, ktorá realizuje aktivity na podporu malého a stredného podnikania. V oblasti sa tiež rozpočtujú výdavky zo zdrojov Plánu obnovy a odolnosti, určené na znižovanie administratívneho zaťaženia podnikania. </w:t>
      </w:r>
    </w:p>
    <w:p w:rsidR="00200155" w:rsidRPr="00441800" w:rsidRDefault="00200155" w:rsidP="00200155">
      <w:pPr>
        <w:spacing w:after="0"/>
        <w:jc w:val="both"/>
        <w:rPr>
          <w:rFonts w:ascii="Times New Roman" w:hAnsi="Times New Roman" w:cs="Times New Roman"/>
          <w:color w:val="000000"/>
          <w:sz w:val="24"/>
          <w:szCs w:val="24"/>
          <w:lang w:eastAsia="sk-SK"/>
        </w:rPr>
      </w:pPr>
    </w:p>
    <w:p w:rsidR="00AA17E3" w:rsidRDefault="00AA17E3" w:rsidP="00200155">
      <w:pPr>
        <w:spacing w:after="0"/>
        <w:jc w:val="both"/>
        <w:rPr>
          <w:rFonts w:ascii="Times New Roman" w:hAnsi="Times New Roman" w:cs="Times New Roman"/>
          <w:color w:val="000000"/>
          <w:sz w:val="24"/>
          <w:szCs w:val="24"/>
          <w:lang w:eastAsia="sk-SK"/>
        </w:rPr>
      </w:pPr>
      <w:r w:rsidRPr="00441800">
        <w:rPr>
          <w:rFonts w:ascii="Times New Roman" w:hAnsi="Times New Roman" w:cs="Times New Roman"/>
          <w:color w:val="000000"/>
          <w:sz w:val="24"/>
          <w:szCs w:val="24"/>
          <w:lang w:eastAsia="sk-SK"/>
        </w:rPr>
        <w:t>Očakávaná skutočnosť roku 2021 je ovplyvnená najmä zahrnutím výdavkov v</w:t>
      </w:r>
      <w:r w:rsidR="008D6515">
        <w:rPr>
          <w:rFonts w:ascii="Times New Roman" w:hAnsi="Times New Roman" w:cs="Times New Roman"/>
          <w:color w:val="000000"/>
          <w:sz w:val="24"/>
          <w:szCs w:val="24"/>
          <w:lang w:eastAsia="sk-SK"/>
        </w:rPr>
        <w:t> </w:t>
      </w:r>
      <w:r w:rsidRPr="00441800">
        <w:rPr>
          <w:rFonts w:ascii="Times New Roman" w:hAnsi="Times New Roman" w:cs="Times New Roman"/>
          <w:color w:val="000000"/>
          <w:sz w:val="24"/>
          <w:szCs w:val="24"/>
          <w:lang w:eastAsia="sk-SK"/>
        </w:rPr>
        <w:t>súvislosti</w:t>
      </w:r>
      <w:r w:rsidR="008D6515">
        <w:rPr>
          <w:rFonts w:ascii="Times New Roman" w:hAnsi="Times New Roman" w:cs="Times New Roman"/>
          <w:color w:val="000000"/>
          <w:sz w:val="24"/>
          <w:szCs w:val="24"/>
          <w:lang w:eastAsia="sk-SK"/>
        </w:rPr>
        <w:t xml:space="preserve"> s </w:t>
      </w:r>
      <w:r w:rsidRPr="00441800">
        <w:rPr>
          <w:rFonts w:ascii="Times New Roman" w:hAnsi="Times New Roman" w:cs="Times New Roman"/>
          <w:color w:val="000000"/>
          <w:sz w:val="24"/>
          <w:szCs w:val="24"/>
          <w:lang w:eastAsia="sk-SK"/>
        </w:rPr>
        <w:t xml:space="preserve"> riešením dopadov pandémie v celkovej sume 114 mil. eur, z čoho dotácie na nájomné pre podniky predstavujú sumu 95 mil. eur, dotácie pre oblasť kultúry sumu 11,0 mil. eur a dotácie pre autobusovú dopravu sumu 8,05 mil. eur.</w:t>
      </w:r>
    </w:p>
    <w:p w:rsidR="00200155" w:rsidRPr="00441800" w:rsidRDefault="00200155" w:rsidP="00200155">
      <w:pPr>
        <w:spacing w:after="0"/>
        <w:jc w:val="both"/>
        <w:rPr>
          <w:rFonts w:ascii="Times New Roman" w:hAnsi="Times New Roman" w:cs="Times New Roman"/>
          <w:color w:val="000000"/>
          <w:sz w:val="24"/>
          <w:szCs w:val="24"/>
          <w:lang w:eastAsia="sk-SK"/>
        </w:rPr>
      </w:pPr>
    </w:p>
    <w:p w:rsidR="00AA17E3" w:rsidRDefault="00AA17E3" w:rsidP="00200155">
      <w:pPr>
        <w:spacing w:after="0"/>
        <w:jc w:val="both"/>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Energetika</w:t>
      </w:r>
    </w:p>
    <w:p w:rsidR="00200155" w:rsidRPr="00441800" w:rsidRDefault="00200155" w:rsidP="00200155">
      <w:pPr>
        <w:spacing w:after="0"/>
        <w:jc w:val="both"/>
        <w:rPr>
          <w:rFonts w:ascii="Times New Roman" w:hAnsi="Times New Roman" w:cs="Times New Roman"/>
          <w:b/>
          <w:color w:val="5B9BD5" w:themeColor="accent1"/>
          <w:sz w:val="24"/>
          <w:szCs w:val="24"/>
        </w:rPr>
      </w:pPr>
    </w:p>
    <w:p w:rsidR="00AA17E3" w:rsidRDefault="00AA17E3" w:rsidP="00200155">
      <w:pPr>
        <w:autoSpaceDE w:val="0"/>
        <w:autoSpaceDN w:val="0"/>
        <w:adjustRightInd w:val="0"/>
        <w:spacing w:after="0"/>
        <w:jc w:val="both"/>
        <w:rPr>
          <w:rFonts w:ascii="Times New Roman" w:hAnsi="Times New Roman" w:cs="Times New Roman"/>
          <w:sz w:val="24"/>
          <w:szCs w:val="24"/>
        </w:rPr>
      </w:pPr>
      <w:r w:rsidRPr="00441800">
        <w:rPr>
          <w:rFonts w:ascii="Times New Roman" w:hAnsi="Times New Roman" w:cs="Times New Roman"/>
          <w:sz w:val="24"/>
          <w:szCs w:val="24"/>
        </w:rPr>
        <w:t>V oblasti energetiky sú v návrhu rozpočtu na rok 2022 rozpočtované výdavky v sume 285 mil. eur, čo predstavuje medziročný nárast výdavkov o 128 mil. eur, najmä z dôvodu rozpočtovania výdavkov Plánu obnovy a odolnosti v sume 119 mil. eur, ktoré sú určené predovšetkým na podporu energetickej efektívnosti, napríklad zvýšenie výrobnej kapacity elektriny z obnoviteľných zdrojov energie (ďalej len „OZE“), modernizáciu existujúcich výrobných kapacít na výrobu elektriny z OZE a taktiež na podporu alternatívnych pohonov.</w:t>
      </w:r>
    </w:p>
    <w:p w:rsidR="00200155" w:rsidRPr="00441800" w:rsidRDefault="00200155" w:rsidP="00200155">
      <w:pPr>
        <w:autoSpaceDE w:val="0"/>
        <w:autoSpaceDN w:val="0"/>
        <w:adjustRightInd w:val="0"/>
        <w:spacing w:after="0"/>
        <w:jc w:val="both"/>
        <w:rPr>
          <w:rFonts w:ascii="Times New Roman" w:hAnsi="Times New Roman" w:cs="Times New Roman"/>
          <w:sz w:val="24"/>
          <w:szCs w:val="24"/>
        </w:rPr>
      </w:pPr>
    </w:p>
    <w:p w:rsidR="00AA17E3" w:rsidRPr="00441800" w:rsidRDefault="00AA17E3" w:rsidP="00AA17E3">
      <w:pPr>
        <w:autoSpaceDE w:val="0"/>
        <w:autoSpaceDN w:val="0"/>
        <w:adjustRightInd w:val="0"/>
        <w:jc w:val="both"/>
        <w:rPr>
          <w:rFonts w:ascii="Times New Roman" w:hAnsi="Times New Roman" w:cs="Times New Roman"/>
          <w:sz w:val="24"/>
          <w:szCs w:val="24"/>
        </w:rPr>
      </w:pPr>
      <w:r w:rsidRPr="00441800">
        <w:rPr>
          <w:rFonts w:ascii="Times New Roman" w:hAnsi="Times New Roman" w:cs="Times New Roman"/>
          <w:sz w:val="24"/>
          <w:szCs w:val="24"/>
        </w:rPr>
        <w:t>Ďalšie prostriedky v tejto oblasti, ktoré sú na rok 2022 rozpočtované v sume 165 mil. eur</w:t>
      </w:r>
      <w:r w:rsidR="008D6515">
        <w:rPr>
          <w:rFonts w:ascii="Times New Roman" w:hAnsi="Times New Roman" w:cs="Times New Roman"/>
          <w:sz w:val="24"/>
          <w:szCs w:val="24"/>
        </w:rPr>
        <w:t>,</w:t>
      </w:r>
      <w:r w:rsidRPr="00441800">
        <w:rPr>
          <w:rFonts w:ascii="Times New Roman" w:hAnsi="Times New Roman" w:cs="Times New Roman"/>
          <w:sz w:val="24"/>
          <w:szCs w:val="24"/>
        </w:rPr>
        <w:t xml:space="preserve"> sú určené predovšetkým na zabezpe</w:t>
      </w:r>
      <w:r w:rsidRPr="00441800">
        <w:rPr>
          <w:rFonts w:ascii="Times New Roman" w:eastAsia="TimesNewRoman" w:hAnsi="Times New Roman" w:cs="Times New Roman"/>
          <w:sz w:val="24"/>
          <w:szCs w:val="24"/>
        </w:rPr>
        <w:t>č</w:t>
      </w:r>
      <w:r w:rsidRPr="00441800">
        <w:rPr>
          <w:rFonts w:ascii="Times New Roman" w:hAnsi="Times New Roman" w:cs="Times New Roman"/>
          <w:sz w:val="24"/>
          <w:szCs w:val="24"/>
        </w:rPr>
        <w:t>ovanie závere</w:t>
      </w:r>
      <w:r w:rsidRPr="00441800">
        <w:rPr>
          <w:rFonts w:ascii="Times New Roman" w:eastAsia="TimesNewRoman" w:hAnsi="Times New Roman" w:cs="Times New Roman"/>
          <w:sz w:val="24"/>
          <w:szCs w:val="24"/>
        </w:rPr>
        <w:t>č</w:t>
      </w:r>
      <w:r w:rsidRPr="00441800">
        <w:rPr>
          <w:rFonts w:ascii="Times New Roman" w:hAnsi="Times New Roman" w:cs="Times New Roman"/>
          <w:sz w:val="24"/>
          <w:szCs w:val="24"/>
        </w:rPr>
        <w:t xml:space="preserve">nej </w:t>
      </w:r>
      <w:r w:rsidRPr="00441800">
        <w:rPr>
          <w:rFonts w:ascii="Times New Roman" w:eastAsia="TimesNewRoman" w:hAnsi="Times New Roman" w:cs="Times New Roman"/>
          <w:sz w:val="24"/>
          <w:szCs w:val="24"/>
        </w:rPr>
        <w:t>č</w:t>
      </w:r>
      <w:r w:rsidRPr="00441800">
        <w:rPr>
          <w:rFonts w:ascii="Times New Roman" w:hAnsi="Times New Roman" w:cs="Times New Roman"/>
          <w:sz w:val="24"/>
          <w:szCs w:val="24"/>
        </w:rPr>
        <w:t>as</w:t>
      </w:r>
      <w:r w:rsidRPr="00441800">
        <w:rPr>
          <w:rFonts w:ascii="Times New Roman" w:eastAsia="TimesNewRoman" w:hAnsi="Times New Roman" w:cs="Times New Roman"/>
          <w:sz w:val="24"/>
          <w:szCs w:val="24"/>
        </w:rPr>
        <w:t xml:space="preserve">ti </w:t>
      </w:r>
      <w:r w:rsidRPr="00441800">
        <w:rPr>
          <w:rFonts w:ascii="Times New Roman" w:hAnsi="Times New Roman" w:cs="Times New Roman"/>
          <w:sz w:val="24"/>
          <w:szCs w:val="24"/>
        </w:rPr>
        <w:t>jadrovej energetiky v súlade s platnými predpismi, a to najmä na vyra</w:t>
      </w:r>
      <w:r w:rsidRPr="00441800">
        <w:rPr>
          <w:rFonts w:ascii="Times New Roman" w:eastAsia="TimesNewRoman" w:hAnsi="Times New Roman" w:cs="Times New Roman"/>
          <w:sz w:val="24"/>
          <w:szCs w:val="24"/>
        </w:rPr>
        <w:t>ď</w:t>
      </w:r>
      <w:r w:rsidRPr="00441800">
        <w:rPr>
          <w:rFonts w:ascii="Times New Roman" w:hAnsi="Times New Roman" w:cs="Times New Roman"/>
          <w:sz w:val="24"/>
          <w:szCs w:val="24"/>
        </w:rPr>
        <w:t>ovanie jadrových zariadení, ukladanie upravených rádioaktívnych odpadov z vyra</w:t>
      </w:r>
      <w:r w:rsidRPr="00441800">
        <w:rPr>
          <w:rFonts w:ascii="Times New Roman" w:eastAsia="TimesNewRoman" w:hAnsi="Times New Roman" w:cs="Times New Roman"/>
          <w:sz w:val="24"/>
          <w:szCs w:val="24"/>
        </w:rPr>
        <w:t>ď</w:t>
      </w:r>
      <w:r w:rsidRPr="00441800">
        <w:rPr>
          <w:rFonts w:ascii="Times New Roman" w:hAnsi="Times New Roman" w:cs="Times New Roman"/>
          <w:sz w:val="24"/>
          <w:szCs w:val="24"/>
        </w:rPr>
        <w:t xml:space="preserve">ovania jadrových zariadení a nakladanie s jadrovými a rádioaktívnymi materiálmi neznámeho pôvodu. </w:t>
      </w:r>
    </w:p>
    <w:p w:rsidR="00AA17E3" w:rsidRDefault="00AA17E3" w:rsidP="00200155">
      <w:pPr>
        <w:autoSpaceDE w:val="0"/>
        <w:autoSpaceDN w:val="0"/>
        <w:adjustRightInd w:val="0"/>
        <w:spacing w:after="0"/>
        <w:jc w:val="both"/>
        <w:rPr>
          <w:rFonts w:ascii="Times New Roman" w:hAnsi="Times New Roman" w:cs="Times New Roman"/>
          <w:color w:val="000000"/>
          <w:sz w:val="24"/>
          <w:szCs w:val="24"/>
          <w:lang w:eastAsia="sk-SK"/>
        </w:rPr>
      </w:pPr>
      <w:r w:rsidRPr="00441800">
        <w:rPr>
          <w:rFonts w:ascii="Times New Roman" w:hAnsi="Times New Roman" w:cs="Times New Roman"/>
          <w:sz w:val="24"/>
          <w:szCs w:val="24"/>
        </w:rPr>
        <w:t>Prostriedky na záverečnú časť jadrovej energetiky sú sústreďované v</w:t>
      </w:r>
      <w:r w:rsidRPr="00441800">
        <w:rPr>
          <w:rFonts w:ascii="Times New Roman" w:hAnsi="Times New Roman" w:cs="Times New Roman"/>
          <w:color w:val="000000"/>
          <w:sz w:val="24"/>
          <w:szCs w:val="24"/>
          <w:lang w:eastAsia="sk-SK"/>
        </w:rPr>
        <w:t xml:space="preserve"> Národnom jadrovom fonde (ďalej len „NJF“)</w:t>
      </w:r>
      <w:r w:rsidRPr="00441800">
        <w:rPr>
          <w:rFonts w:ascii="Times New Roman" w:hAnsi="Times New Roman" w:cs="Times New Roman"/>
          <w:sz w:val="24"/>
          <w:szCs w:val="24"/>
        </w:rPr>
        <w:t xml:space="preserve">, ktorý poskytuje finančné prostriedky oprávneným žiadateľom na rok 2022 v celkovej sume 98,9 mil. eur. Súčasťou týchto výdavkov je aj časť prostriedkov z odvodu od prevádzkovateľov prenosovej sústavy a distribučných sústav odvedených do Národného jadrového fondu prostredníctvom transferu z kapitoly </w:t>
      </w:r>
      <w:r w:rsidRPr="00441800">
        <w:rPr>
          <w:rFonts w:ascii="Times New Roman" w:hAnsi="Times New Roman" w:cs="Times New Roman"/>
          <w:color w:val="000000"/>
          <w:sz w:val="24"/>
          <w:szCs w:val="24"/>
          <w:lang w:eastAsia="sk-SK"/>
        </w:rPr>
        <w:t>Ministerstva hospodárstva</w:t>
      </w:r>
      <w:r w:rsidRPr="00441800">
        <w:rPr>
          <w:rFonts w:ascii="Times New Roman" w:hAnsi="Times New Roman" w:cs="Times New Roman"/>
          <w:sz w:val="24"/>
          <w:szCs w:val="24"/>
        </w:rPr>
        <w:t xml:space="preserve"> SR, ktorý je rozpočtovaný na rok 2022 v sume 72,0 mil. eur. Prostriedky poskytnuté oprávneným žiadateľom sú určené na </w:t>
      </w:r>
      <w:r w:rsidRPr="00441800">
        <w:rPr>
          <w:rFonts w:ascii="Times New Roman" w:hAnsi="Times New Roman" w:cs="Times New Roman"/>
          <w:color w:val="000000"/>
          <w:sz w:val="24"/>
          <w:szCs w:val="24"/>
          <w:lang w:eastAsia="sk-SK"/>
        </w:rPr>
        <w:t>krytie nákladov záverečnej časti jadrovej energetiky, najmä na činnosti spojené s </w:t>
      </w:r>
      <w:r w:rsidRPr="00441800">
        <w:rPr>
          <w:rFonts w:ascii="Times New Roman" w:hAnsi="Times New Roman" w:cs="Times New Roman"/>
          <w:sz w:val="24"/>
          <w:szCs w:val="24"/>
        </w:rPr>
        <w:t>III. a IV. etapou projektu vyra</w:t>
      </w:r>
      <w:r w:rsidRPr="00441800">
        <w:rPr>
          <w:rFonts w:ascii="Times New Roman" w:eastAsia="TimesNewRoman" w:hAnsi="Times New Roman" w:cs="Times New Roman"/>
          <w:sz w:val="24"/>
          <w:szCs w:val="24"/>
        </w:rPr>
        <w:t>ď</w:t>
      </w:r>
      <w:r w:rsidRPr="00441800">
        <w:rPr>
          <w:rFonts w:ascii="Times New Roman" w:hAnsi="Times New Roman" w:cs="Times New Roman"/>
          <w:sz w:val="24"/>
          <w:szCs w:val="24"/>
        </w:rPr>
        <w:t>ovania</w:t>
      </w:r>
      <w:r w:rsidRPr="00441800">
        <w:rPr>
          <w:rFonts w:ascii="Times New Roman" w:hAnsi="Times New Roman" w:cs="Times New Roman"/>
          <w:sz w:val="24"/>
          <w:szCs w:val="24"/>
          <w:lang w:eastAsia="sk-SK"/>
        </w:rPr>
        <w:t xml:space="preserve"> </w:t>
      </w:r>
      <w:r w:rsidRPr="00441800">
        <w:rPr>
          <w:rFonts w:ascii="Times New Roman" w:hAnsi="Times New Roman" w:cs="Times New Roman"/>
          <w:sz w:val="24"/>
          <w:szCs w:val="24"/>
        </w:rPr>
        <w:t>JE</w:t>
      </w:r>
      <w:r w:rsidRPr="00441800">
        <w:rPr>
          <w:rFonts w:ascii="Times New Roman" w:hAnsi="Times New Roman" w:cs="Times New Roman"/>
          <w:color w:val="000000"/>
          <w:sz w:val="24"/>
          <w:szCs w:val="24"/>
          <w:lang w:eastAsia="sk-SK"/>
        </w:rPr>
        <w:t xml:space="preserve"> A1 a tiež na činnosti súvisiace </w:t>
      </w:r>
      <w:r w:rsidR="008D6515">
        <w:rPr>
          <w:rFonts w:ascii="Times New Roman" w:hAnsi="Times New Roman" w:cs="Times New Roman"/>
          <w:color w:val="000000"/>
          <w:sz w:val="24"/>
          <w:szCs w:val="24"/>
          <w:lang w:eastAsia="sk-SK"/>
        </w:rPr>
        <w:t xml:space="preserve">s </w:t>
      </w:r>
      <w:r w:rsidRPr="00441800">
        <w:rPr>
          <w:rFonts w:ascii="Times New Roman" w:hAnsi="Times New Roman" w:cs="Times New Roman"/>
          <w:color w:val="000000"/>
          <w:sz w:val="24"/>
          <w:szCs w:val="24"/>
          <w:lang w:eastAsia="sk-SK"/>
        </w:rPr>
        <w:t xml:space="preserve">plánovaným vyraďovaním ďalších jadrových zariadení. </w:t>
      </w:r>
    </w:p>
    <w:p w:rsidR="00200155" w:rsidRPr="00441800" w:rsidRDefault="00200155" w:rsidP="00200155">
      <w:pPr>
        <w:autoSpaceDE w:val="0"/>
        <w:autoSpaceDN w:val="0"/>
        <w:adjustRightInd w:val="0"/>
        <w:spacing w:after="0"/>
        <w:jc w:val="both"/>
        <w:rPr>
          <w:rFonts w:ascii="Times New Roman" w:hAnsi="Times New Roman" w:cs="Times New Roman"/>
          <w:sz w:val="24"/>
          <w:szCs w:val="24"/>
        </w:rPr>
      </w:pPr>
    </w:p>
    <w:p w:rsidR="00AA17E3" w:rsidRDefault="00AA17E3" w:rsidP="00200155">
      <w:pPr>
        <w:autoSpaceDE w:val="0"/>
        <w:autoSpaceDN w:val="0"/>
        <w:adjustRightInd w:val="0"/>
        <w:spacing w:after="0"/>
        <w:jc w:val="both"/>
        <w:rPr>
          <w:rFonts w:ascii="Times New Roman" w:hAnsi="Times New Roman" w:cs="Times New Roman"/>
          <w:color w:val="000000"/>
          <w:sz w:val="24"/>
          <w:szCs w:val="24"/>
          <w:lang w:eastAsia="sk-SK"/>
        </w:rPr>
      </w:pPr>
      <w:r w:rsidRPr="00441800">
        <w:rPr>
          <w:rFonts w:ascii="Times New Roman" w:hAnsi="Times New Roman" w:cs="Times New Roman"/>
          <w:sz w:val="24"/>
          <w:szCs w:val="24"/>
        </w:rPr>
        <w:t xml:space="preserve">V rámci tejto oblasti </w:t>
      </w:r>
      <w:r w:rsidRPr="00441800">
        <w:rPr>
          <w:rFonts w:ascii="Times New Roman" w:hAnsi="Times New Roman" w:cs="Times New Roman"/>
          <w:color w:val="000000"/>
          <w:sz w:val="24"/>
          <w:szCs w:val="24"/>
          <w:lang w:eastAsia="sk-SK"/>
        </w:rPr>
        <w:t xml:space="preserve">sa na rok 2022 rozpočtujú tiež výdavky Ministerstva hospodárstva SR na transfer pre Národný jadrový fond v sume 458 tis. eur, ktoré sú určené v zmysle ustanovenia </w:t>
      </w:r>
      <w:r w:rsidR="00422E8F">
        <w:rPr>
          <w:rFonts w:ascii="Times New Roman" w:hAnsi="Times New Roman" w:cs="Times New Roman"/>
          <w:color w:val="000000"/>
          <w:sz w:val="24"/>
          <w:szCs w:val="24"/>
          <w:lang w:eastAsia="sk-SK"/>
        </w:rPr>
        <w:br/>
      </w:r>
      <w:r w:rsidRPr="00441800">
        <w:rPr>
          <w:rFonts w:ascii="Times New Roman" w:hAnsi="Times New Roman" w:cs="Times New Roman"/>
          <w:color w:val="000000"/>
          <w:sz w:val="24"/>
          <w:szCs w:val="24"/>
          <w:lang w:eastAsia="sk-SK"/>
        </w:rPr>
        <w:t>§ 10 ods.1 písm. h) zákona č. 308/2018 Z. z  o Národnom jadrovom fonde a o zmene a doplnení zákona č. 541/2004 Z. z. o mierovom využívaní jadrovej energie (atómový zákon) na úhradu nevyhnutných nákladov vynaložených na nakladanie a likvidáciu jadrových materiálov alebo rádioaktívnych odpadov, ktorých pôvodca nie je známy. Tieto prostriedky následne Národný jadrový fond poskytuje oprávneným žiadateľom.</w:t>
      </w:r>
    </w:p>
    <w:p w:rsidR="00200155" w:rsidRPr="00441800" w:rsidRDefault="00200155" w:rsidP="00200155">
      <w:pPr>
        <w:autoSpaceDE w:val="0"/>
        <w:autoSpaceDN w:val="0"/>
        <w:adjustRightInd w:val="0"/>
        <w:spacing w:after="0"/>
        <w:jc w:val="both"/>
        <w:rPr>
          <w:rFonts w:ascii="Times New Roman" w:hAnsi="Times New Roman" w:cs="Times New Roman"/>
          <w:color w:val="000000"/>
          <w:sz w:val="24"/>
          <w:szCs w:val="24"/>
          <w:lang w:eastAsia="sk-SK"/>
        </w:rPr>
      </w:pPr>
    </w:p>
    <w:p w:rsidR="00AA17E3" w:rsidRDefault="00AA17E3" w:rsidP="00200155">
      <w:pPr>
        <w:spacing w:after="0"/>
        <w:rPr>
          <w:rFonts w:ascii="Times New Roman" w:hAnsi="Times New Roman"/>
          <w:b/>
          <w:color w:val="5B9BD5" w:themeColor="accent1"/>
          <w:sz w:val="24"/>
          <w:szCs w:val="24"/>
        </w:rPr>
      </w:pPr>
      <w:r w:rsidRPr="00441800">
        <w:rPr>
          <w:rFonts w:ascii="Times New Roman" w:hAnsi="Times New Roman"/>
          <w:b/>
          <w:color w:val="5B9BD5" w:themeColor="accent1"/>
          <w:sz w:val="24"/>
          <w:szCs w:val="24"/>
        </w:rPr>
        <w:t>Informatizácia</w:t>
      </w:r>
    </w:p>
    <w:p w:rsidR="00200155" w:rsidRPr="00441800" w:rsidRDefault="00200155" w:rsidP="00200155">
      <w:pPr>
        <w:spacing w:after="0"/>
        <w:rPr>
          <w:rFonts w:ascii="Times New Roman" w:hAnsi="Times New Roman"/>
          <w:b/>
          <w:color w:val="5B9BD5" w:themeColor="accent1"/>
          <w:sz w:val="24"/>
          <w:szCs w:val="24"/>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Hlavným cieľom v oblasti informatizácie je jednoduchý prístup k informáciám a službám štátu. To je možné dosiahnuť pomocou digitálnych technológií, ktoré zlepšia  komunikáciu medzi občanom a štátom a zefektívnia výkon verejnej správy. Okrem Ministerstva investícií, regionálneho rozvoja a informatizácie SR sa na dosahovaní cieľov informatizácie podieľajú najmä Ministerstvo vnútra SR a Ministerstvo financií SR.</w:t>
      </w:r>
    </w:p>
    <w:p w:rsidR="00200155" w:rsidRPr="00441800" w:rsidRDefault="00200155" w:rsidP="00200155">
      <w:pPr>
        <w:spacing w:after="0"/>
        <w:jc w:val="both"/>
        <w:rPr>
          <w:rFonts w:ascii="Times New Roman" w:hAnsi="Times New Roman"/>
          <w:sz w:val="24"/>
          <w:szCs w:val="24"/>
        </w:rPr>
      </w:pPr>
    </w:p>
    <w:p w:rsidR="00AA17E3" w:rsidRDefault="00AA17E3" w:rsidP="00441800">
      <w:pPr>
        <w:keepNext/>
        <w:spacing w:after="0"/>
        <w:rPr>
          <w:rFonts w:ascii="Times New Roman" w:hAnsi="Times New Roman" w:cs="Times New Roman"/>
          <w:b/>
          <w:iCs/>
          <w:color w:val="5B9BD5" w:themeColor="accent1"/>
          <w:sz w:val="20"/>
          <w:szCs w:val="20"/>
        </w:rPr>
      </w:pPr>
      <w:bookmarkStart w:id="570" w:name="_Toc84528481"/>
      <w:bookmarkStart w:id="571" w:name="_Toc84845357"/>
      <w:r w:rsidRPr="00A04AF0">
        <w:rPr>
          <w:rFonts w:ascii="Times New Roman" w:hAnsi="Times New Roman" w:cs="Times New Roman"/>
          <w:b/>
          <w:color w:val="5B9BD5" w:themeColor="accent1"/>
          <w:sz w:val="20"/>
          <w:szCs w:val="20"/>
        </w:rPr>
        <w:t xml:space="preserve">Tabuľka </w:t>
      </w:r>
      <w:r w:rsidRPr="00441800">
        <w:rPr>
          <w:rFonts w:ascii="Times New Roman" w:hAnsi="Times New Roman" w:cs="Times New Roman"/>
          <w:b/>
          <w:color w:val="5B9BD5" w:themeColor="accent1"/>
          <w:sz w:val="20"/>
          <w:szCs w:val="20"/>
        </w:rPr>
        <w:fldChar w:fldCharType="begin"/>
      </w:r>
      <w:r w:rsidRPr="00441800">
        <w:rPr>
          <w:rFonts w:ascii="Times New Roman" w:hAnsi="Times New Roman" w:cs="Times New Roman"/>
          <w:b/>
          <w:color w:val="5B9BD5" w:themeColor="accent1"/>
          <w:sz w:val="20"/>
          <w:szCs w:val="20"/>
        </w:rPr>
        <w:instrText xml:space="preserve"> SEQ Tabuľka \* ARABIC </w:instrText>
      </w:r>
      <w:r w:rsidRPr="00441800">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133</w:t>
      </w:r>
      <w:r w:rsidRPr="00441800">
        <w:rPr>
          <w:rFonts w:ascii="Times New Roman" w:hAnsi="Times New Roman" w:cs="Times New Roman"/>
          <w:b/>
          <w:color w:val="5B9BD5" w:themeColor="accent1"/>
          <w:sz w:val="20"/>
          <w:szCs w:val="20"/>
        </w:rPr>
        <w:fldChar w:fldCharType="end"/>
      </w:r>
      <w:r>
        <w:rPr>
          <w:rFonts w:ascii="Times New Roman" w:hAnsi="Times New Roman" w:cs="Times New Roman"/>
          <w:b/>
          <w:iCs/>
          <w:color w:val="5B9BD5" w:themeColor="accent1"/>
          <w:sz w:val="20"/>
          <w:szCs w:val="20"/>
        </w:rPr>
        <w:t xml:space="preserve"> -</w:t>
      </w:r>
      <w:r w:rsidRPr="00AC32DF">
        <w:rPr>
          <w:rFonts w:ascii="Times New Roman" w:hAnsi="Times New Roman" w:cs="Times New Roman"/>
          <w:b/>
          <w:iCs/>
          <w:color w:val="5B9BD5" w:themeColor="accent1"/>
          <w:sz w:val="20"/>
          <w:szCs w:val="20"/>
        </w:rPr>
        <w:t xml:space="preserve"> Kľúčové ukazovatele v</w:t>
      </w:r>
      <w:r>
        <w:rPr>
          <w:rFonts w:ascii="Times New Roman" w:hAnsi="Times New Roman" w:cs="Times New Roman"/>
          <w:b/>
          <w:iCs/>
          <w:color w:val="5B9BD5" w:themeColor="accent1"/>
          <w:sz w:val="20"/>
          <w:szCs w:val="20"/>
        </w:rPr>
        <w:t> </w:t>
      </w:r>
      <w:r w:rsidRPr="00AC32DF">
        <w:rPr>
          <w:rFonts w:ascii="Times New Roman" w:hAnsi="Times New Roman" w:cs="Times New Roman"/>
          <w:b/>
          <w:iCs/>
          <w:color w:val="5B9BD5" w:themeColor="accent1"/>
          <w:sz w:val="20"/>
          <w:szCs w:val="20"/>
        </w:rPr>
        <w:t>informatizácii</w:t>
      </w:r>
      <w:bookmarkEnd w:id="570"/>
      <w:bookmarkEnd w:id="571"/>
    </w:p>
    <w:tbl>
      <w:tblPr>
        <w:tblW w:w="5000" w:type="pct"/>
        <w:tblBorders>
          <w:bottom w:val="single" w:sz="4" w:space="0" w:color="auto"/>
        </w:tblBorders>
        <w:tblLayout w:type="fixed"/>
        <w:tblLook w:val="04A0" w:firstRow="1" w:lastRow="0" w:firstColumn="1" w:lastColumn="0" w:noHBand="0" w:noVBand="1"/>
      </w:tblPr>
      <w:tblGrid>
        <w:gridCol w:w="4397"/>
        <w:gridCol w:w="779"/>
        <w:gridCol w:w="319"/>
        <w:gridCol w:w="463"/>
        <w:gridCol w:w="254"/>
        <w:gridCol w:w="524"/>
        <w:gridCol w:w="216"/>
        <w:gridCol w:w="564"/>
        <w:gridCol w:w="778"/>
        <w:gridCol w:w="778"/>
      </w:tblGrid>
      <w:tr w:rsidR="00AA17E3" w:rsidRPr="00D17F56" w:rsidTr="00AA17E3">
        <w:trPr>
          <w:trHeight w:val="141"/>
        </w:trPr>
        <w:tc>
          <w:tcPr>
            <w:tcW w:w="2423" w:type="pct"/>
            <w:tcBorders>
              <w:top w:val="single" w:sz="4" w:space="0" w:color="auto"/>
              <w:bottom w:val="single" w:sz="4" w:space="0" w:color="auto"/>
            </w:tcBorders>
            <w:shd w:val="clear" w:color="auto" w:fill="auto"/>
            <w:vAlign w:val="center"/>
            <w:hideMark/>
          </w:tcPr>
          <w:p w:rsidR="00AA17E3" w:rsidRPr="00D17F56" w:rsidRDefault="00AA17E3" w:rsidP="00AA17E3">
            <w:pPr>
              <w:contextualSpacing/>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Indikátor</w:t>
            </w:r>
          </w:p>
        </w:tc>
        <w:tc>
          <w:tcPr>
            <w:tcW w:w="429" w:type="pct"/>
            <w:tcBorders>
              <w:top w:val="single" w:sz="4" w:space="0" w:color="auto"/>
              <w:bottom w:val="single" w:sz="4" w:space="0" w:color="auto"/>
            </w:tcBorders>
            <w:vAlign w:val="bottom"/>
          </w:tcPr>
          <w:p w:rsidR="00AA17E3" w:rsidRPr="00D17F56" w:rsidRDefault="00AA17E3" w:rsidP="00441800">
            <w:pPr>
              <w:contextualSpacing/>
              <w:jc w:val="right"/>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2017</w:t>
            </w:r>
          </w:p>
        </w:tc>
        <w:tc>
          <w:tcPr>
            <w:tcW w:w="431" w:type="pct"/>
            <w:gridSpan w:val="2"/>
            <w:tcBorders>
              <w:top w:val="single" w:sz="4" w:space="0" w:color="auto"/>
              <w:bottom w:val="single" w:sz="4" w:space="0" w:color="auto"/>
            </w:tcBorders>
            <w:vAlign w:val="bottom"/>
          </w:tcPr>
          <w:p w:rsidR="00AA17E3" w:rsidRPr="00D17F56" w:rsidRDefault="00AA17E3" w:rsidP="00441800">
            <w:pPr>
              <w:contextualSpacing/>
              <w:jc w:val="right"/>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2018</w:t>
            </w:r>
          </w:p>
        </w:tc>
        <w:tc>
          <w:tcPr>
            <w:tcW w:w="429" w:type="pct"/>
            <w:gridSpan w:val="2"/>
            <w:tcBorders>
              <w:top w:val="single" w:sz="4" w:space="0" w:color="auto"/>
              <w:bottom w:val="single" w:sz="4" w:space="0" w:color="auto"/>
            </w:tcBorders>
            <w:vAlign w:val="bottom"/>
          </w:tcPr>
          <w:p w:rsidR="00AA17E3" w:rsidRPr="00D17F56" w:rsidRDefault="00AA17E3" w:rsidP="00441800">
            <w:pPr>
              <w:contextualSpacing/>
              <w:jc w:val="right"/>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2019</w:t>
            </w:r>
          </w:p>
        </w:tc>
        <w:tc>
          <w:tcPr>
            <w:tcW w:w="430" w:type="pct"/>
            <w:gridSpan w:val="2"/>
            <w:tcBorders>
              <w:top w:val="single" w:sz="4" w:space="0" w:color="auto"/>
              <w:bottom w:val="single" w:sz="4" w:space="0" w:color="auto"/>
            </w:tcBorders>
            <w:vAlign w:val="bottom"/>
          </w:tcPr>
          <w:p w:rsidR="00AA17E3" w:rsidRPr="00D17F56" w:rsidRDefault="00AA17E3" w:rsidP="00441800">
            <w:pPr>
              <w:contextualSpacing/>
              <w:jc w:val="right"/>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2020</w:t>
            </w:r>
          </w:p>
        </w:tc>
        <w:tc>
          <w:tcPr>
            <w:tcW w:w="429" w:type="pct"/>
            <w:tcBorders>
              <w:top w:val="single" w:sz="4" w:space="0" w:color="auto"/>
              <w:bottom w:val="single" w:sz="4" w:space="0" w:color="auto"/>
            </w:tcBorders>
          </w:tcPr>
          <w:p w:rsidR="00AA17E3" w:rsidRPr="00D17F56" w:rsidRDefault="00AA17E3" w:rsidP="00441800">
            <w:pPr>
              <w:contextualSpacing/>
              <w:jc w:val="right"/>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cieľ 2024</w:t>
            </w:r>
          </w:p>
        </w:tc>
        <w:tc>
          <w:tcPr>
            <w:tcW w:w="429" w:type="pct"/>
            <w:tcBorders>
              <w:top w:val="single" w:sz="4" w:space="0" w:color="auto"/>
              <w:bottom w:val="single" w:sz="4" w:space="0" w:color="auto"/>
            </w:tcBorders>
          </w:tcPr>
          <w:p w:rsidR="00AA17E3" w:rsidRPr="00D17F56" w:rsidRDefault="00AA17E3" w:rsidP="00441800">
            <w:pPr>
              <w:contextualSpacing/>
              <w:jc w:val="right"/>
              <w:rPr>
                <w:rFonts w:ascii="Times New Roman" w:hAnsi="Times New Roman" w:cs="Times New Roman"/>
                <w:b/>
                <w:bCs/>
                <w:color w:val="000000"/>
                <w:sz w:val="16"/>
                <w:szCs w:val="16"/>
              </w:rPr>
            </w:pPr>
            <w:r w:rsidRPr="00D17F56">
              <w:rPr>
                <w:rFonts w:ascii="Times New Roman" w:hAnsi="Times New Roman" w:cs="Times New Roman"/>
                <w:b/>
                <w:bCs/>
                <w:color w:val="000000"/>
                <w:sz w:val="16"/>
                <w:szCs w:val="16"/>
              </w:rPr>
              <w:t>cieľ 2030</w:t>
            </w:r>
          </w:p>
        </w:tc>
      </w:tr>
      <w:tr w:rsidR="00AA17E3" w:rsidRPr="00D17F56" w:rsidTr="00AA17E3">
        <w:trPr>
          <w:trHeight w:val="57"/>
        </w:trPr>
        <w:tc>
          <w:tcPr>
            <w:tcW w:w="2423" w:type="pct"/>
            <w:tcBorders>
              <w:top w:val="single" w:sz="4" w:space="0" w:color="auto"/>
              <w:bottom w:val="single" w:sz="4" w:space="0" w:color="auto"/>
            </w:tcBorders>
            <w:shd w:val="clear" w:color="auto" w:fill="auto"/>
          </w:tcPr>
          <w:p w:rsidR="00AA17E3" w:rsidRPr="00AC32DF" w:rsidRDefault="00AA17E3" w:rsidP="00AA17E3">
            <w:pPr>
              <w:contextualSpacing/>
              <w:rPr>
                <w:rFonts w:ascii="Times New Roman" w:hAnsi="Times New Roman" w:cs="Times New Roman"/>
                <w:sz w:val="16"/>
                <w:szCs w:val="16"/>
              </w:rPr>
            </w:pPr>
            <w:r w:rsidRPr="00AC32DF">
              <w:rPr>
                <w:rFonts w:ascii="Times New Roman" w:hAnsi="Times New Roman" w:cs="Times New Roman"/>
                <w:sz w:val="16"/>
                <w:szCs w:val="16"/>
              </w:rPr>
              <w:t>Počet unikátnych prihlásení FO na Slovensko.sk</w:t>
            </w:r>
          </w:p>
        </w:tc>
        <w:tc>
          <w:tcPr>
            <w:tcW w:w="429" w:type="pct"/>
            <w:tcBorders>
              <w:top w:val="single" w:sz="4" w:space="0" w:color="auto"/>
              <w:bottom w:val="single" w:sz="4" w:space="0" w:color="auto"/>
            </w:tcBorders>
            <w:vAlign w:val="center"/>
          </w:tcPr>
          <w:p w:rsidR="00AA17E3" w:rsidRPr="00D17F56" w:rsidRDefault="00AA17E3" w:rsidP="00AA17E3">
            <w:pPr>
              <w:contextualSpacing/>
              <w:jc w:val="center"/>
              <w:rPr>
                <w:rFonts w:ascii="Times New Roman" w:hAnsi="Times New Roman" w:cs="Times New Roman"/>
                <w:color w:val="000000"/>
                <w:sz w:val="16"/>
                <w:szCs w:val="16"/>
              </w:rPr>
            </w:pPr>
            <w:r w:rsidRPr="00AC32DF">
              <w:rPr>
                <w:rFonts w:ascii="Times New Roman" w:hAnsi="Times New Roman" w:cs="Times New Roman"/>
                <w:color w:val="000000"/>
                <w:sz w:val="16"/>
                <w:szCs w:val="16"/>
              </w:rPr>
              <w:t>-</w:t>
            </w:r>
          </w:p>
        </w:tc>
        <w:tc>
          <w:tcPr>
            <w:tcW w:w="431" w:type="pct"/>
            <w:gridSpan w:val="2"/>
            <w:tcBorders>
              <w:top w:val="single" w:sz="4" w:space="0" w:color="auto"/>
              <w:bottom w:val="single" w:sz="4" w:space="0" w:color="auto"/>
            </w:tcBorders>
            <w:vAlign w:val="center"/>
          </w:tcPr>
          <w:p w:rsidR="00AA17E3" w:rsidRPr="00D17F56" w:rsidRDefault="00AA17E3" w:rsidP="00AA17E3">
            <w:pPr>
              <w:contextualSpacing/>
              <w:jc w:val="center"/>
              <w:rPr>
                <w:rFonts w:ascii="Times New Roman" w:hAnsi="Times New Roman" w:cs="Times New Roman"/>
                <w:color w:val="000000"/>
                <w:sz w:val="16"/>
                <w:szCs w:val="16"/>
              </w:rPr>
            </w:pPr>
            <w:r w:rsidRPr="00AC32DF">
              <w:rPr>
                <w:rFonts w:ascii="Times New Roman" w:hAnsi="Times New Roman" w:cs="Times New Roman"/>
                <w:color w:val="000000"/>
                <w:sz w:val="16"/>
                <w:szCs w:val="16"/>
              </w:rPr>
              <w:t>-</w:t>
            </w:r>
          </w:p>
        </w:tc>
        <w:tc>
          <w:tcPr>
            <w:tcW w:w="429"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 xml:space="preserve">181 365   </w:t>
            </w:r>
          </w:p>
        </w:tc>
        <w:tc>
          <w:tcPr>
            <w:tcW w:w="430"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 xml:space="preserve">215 611   </w:t>
            </w:r>
          </w:p>
        </w:tc>
        <w:tc>
          <w:tcPr>
            <w:tcW w:w="429" w:type="pct"/>
            <w:tcBorders>
              <w:top w:val="single" w:sz="4" w:space="0" w:color="auto"/>
              <w:bottom w:val="single" w:sz="4" w:space="0" w:color="auto"/>
            </w:tcBorders>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 xml:space="preserve">377 105     </w:t>
            </w:r>
          </w:p>
        </w:tc>
        <w:tc>
          <w:tcPr>
            <w:tcW w:w="429" w:type="pct"/>
            <w:tcBorders>
              <w:top w:val="single" w:sz="4" w:space="0" w:color="auto"/>
              <w:bottom w:val="single" w:sz="4" w:space="0" w:color="auto"/>
            </w:tcBorders>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831 191</w:t>
            </w:r>
          </w:p>
        </w:tc>
      </w:tr>
      <w:tr w:rsidR="00AA17E3" w:rsidRPr="00D17F56" w:rsidTr="00AA17E3">
        <w:trPr>
          <w:trHeight w:val="57"/>
        </w:trPr>
        <w:tc>
          <w:tcPr>
            <w:tcW w:w="2423" w:type="pct"/>
            <w:tcBorders>
              <w:top w:val="single" w:sz="4" w:space="0" w:color="auto"/>
              <w:bottom w:val="single" w:sz="4" w:space="0" w:color="auto"/>
            </w:tcBorders>
            <w:shd w:val="clear" w:color="auto" w:fill="auto"/>
            <w:hideMark/>
          </w:tcPr>
          <w:p w:rsidR="00AA17E3" w:rsidRPr="00AC32DF" w:rsidRDefault="00AA17E3" w:rsidP="00AA17E3">
            <w:pPr>
              <w:contextualSpacing/>
              <w:rPr>
                <w:rFonts w:ascii="Times New Roman" w:hAnsi="Times New Roman" w:cs="Times New Roman"/>
                <w:color w:val="000000"/>
                <w:sz w:val="16"/>
                <w:szCs w:val="16"/>
              </w:rPr>
            </w:pPr>
            <w:r w:rsidRPr="00AC32DF">
              <w:rPr>
                <w:rFonts w:ascii="Times New Roman" w:hAnsi="Times New Roman" w:cs="Times New Roman"/>
                <w:sz w:val="16"/>
                <w:szCs w:val="16"/>
              </w:rPr>
              <w:t>Používanie služieb eGovernmentu občanmi (DESI)</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40,5</w:t>
            </w:r>
          </w:p>
        </w:tc>
        <w:tc>
          <w:tcPr>
            <w:tcW w:w="431"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48,0</w:t>
            </w:r>
          </w:p>
        </w:tc>
        <w:tc>
          <w:tcPr>
            <w:tcW w:w="429"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50,7</w:t>
            </w:r>
          </w:p>
        </w:tc>
        <w:tc>
          <w:tcPr>
            <w:tcW w:w="430"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55,6</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72,6</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90,6</w:t>
            </w:r>
          </w:p>
        </w:tc>
      </w:tr>
      <w:tr w:rsidR="00AA17E3" w:rsidRPr="00D17F56" w:rsidTr="00AA17E3">
        <w:trPr>
          <w:trHeight w:val="57"/>
        </w:trPr>
        <w:tc>
          <w:tcPr>
            <w:tcW w:w="2423" w:type="pct"/>
            <w:tcBorders>
              <w:top w:val="single" w:sz="4" w:space="0" w:color="auto"/>
              <w:bottom w:val="single" w:sz="4" w:space="0" w:color="auto"/>
            </w:tcBorders>
            <w:shd w:val="clear" w:color="auto" w:fill="auto"/>
          </w:tcPr>
          <w:p w:rsidR="00AA17E3" w:rsidRPr="00AC32DF" w:rsidRDefault="00AA17E3" w:rsidP="00AA17E3">
            <w:pPr>
              <w:contextualSpacing/>
              <w:rPr>
                <w:rFonts w:ascii="Times New Roman" w:hAnsi="Times New Roman" w:cs="Times New Roman"/>
                <w:sz w:val="16"/>
                <w:szCs w:val="16"/>
              </w:rPr>
            </w:pPr>
            <w:r w:rsidRPr="00AC32DF">
              <w:rPr>
                <w:rFonts w:ascii="Times New Roman" w:hAnsi="Times New Roman" w:cs="Times New Roman"/>
                <w:sz w:val="16"/>
                <w:szCs w:val="16"/>
              </w:rPr>
              <w:t>Spokojnosť s eGov službami</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53 %</w:t>
            </w:r>
          </w:p>
        </w:tc>
        <w:tc>
          <w:tcPr>
            <w:tcW w:w="431"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57 %</w:t>
            </w:r>
          </w:p>
        </w:tc>
        <w:tc>
          <w:tcPr>
            <w:tcW w:w="429"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62 %</w:t>
            </w:r>
          </w:p>
        </w:tc>
        <w:tc>
          <w:tcPr>
            <w:tcW w:w="430"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61 %</w:t>
            </w:r>
          </w:p>
        </w:tc>
        <w:tc>
          <w:tcPr>
            <w:tcW w:w="429" w:type="pct"/>
            <w:tcBorders>
              <w:top w:val="single" w:sz="4" w:space="0" w:color="auto"/>
              <w:bottom w:val="single" w:sz="4" w:space="0" w:color="auto"/>
            </w:tcBorders>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66 %</w:t>
            </w:r>
          </w:p>
        </w:tc>
        <w:tc>
          <w:tcPr>
            <w:tcW w:w="429" w:type="pct"/>
            <w:tcBorders>
              <w:top w:val="single" w:sz="4" w:space="0" w:color="auto"/>
              <w:bottom w:val="single" w:sz="4" w:space="0" w:color="auto"/>
            </w:tcBorders>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77 %</w:t>
            </w:r>
          </w:p>
        </w:tc>
      </w:tr>
      <w:tr w:rsidR="00AA17E3" w:rsidRPr="00D17F56" w:rsidTr="00AA17E3">
        <w:trPr>
          <w:trHeight w:val="57"/>
        </w:trPr>
        <w:tc>
          <w:tcPr>
            <w:tcW w:w="2423" w:type="pct"/>
            <w:tcBorders>
              <w:top w:val="single" w:sz="4" w:space="0" w:color="auto"/>
              <w:bottom w:val="single" w:sz="4" w:space="0" w:color="auto"/>
            </w:tcBorders>
            <w:shd w:val="clear" w:color="auto" w:fill="auto"/>
          </w:tcPr>
          <w:p w:rsidR="00AA17E3" w:rsidRPr="00AC32DF" w:rsidRDefault="00AA17E3" w:rsidP="00AA17E3">
            <w:pPr>
              <w:contextualSpacing/>
              <w:rPr>
                <w:rFonts w:ascii="Times New Roman" w:hAnsi="Times New Roman" w:cs="Times New Roman"/>
                <w:color w:val="000000"/>
                <w:sz w:val="16"/>
                <w:szCs w:val="16"/>
              </w:rPr>
            </w:pPr>
            <w:r w:rsidRPr="00AC32DF">
              <w:rPr>
                <w:rFonts w:ascii="Times New Roman" w:hAnsi="Times New Roman" w:cs="Times New Roman"/>
                <w:sz w:val="16"/>
                <w:szCs w:val="16"/>
              </w:rPr>
              <w:t>Úspora zo zavedenia IT finančného riadenia (mil. eur)</w:t>
            </w:r>
          </w:p>
        </w:tc>
        <w:tc>
          <w:tcPr>
            <w:tcW w:w="429" w:type="pct"/>
            <w:tcBorders>
              <w:top w:val="single" w:sz="4" w:space="0" w:color="auto"/>
              <w:bottom w:val="single" w:sz="4" w:space="0" w:color="auto"/>
            </w:tcBorders>
            <w:vAlign w:val="center"/>
          </w:tcPr>
          <w:p w:rsidR="00AA17E3" w:rsidRPr="00D17F56" w:rsidRDefault="00AA17E3" w:rsidP="00AA17E3">
            <w:pPr>
              <w:contextualSpacing/>
              <w:jc w:val="center"/>
              <w:rPr>
                <w:rFonts w:ascii="Times New Roman" w:hAnsi="Times New Roman" w:cs="Times New Roman"/>
                <w:color w:val="000000"/>
                <w:sz w:val="16"/>
                <w:szCs w:val="16"/>
              </w:rPr>
            </w:pPr>
            <w:r w:rsidRPr="00AC32DF">
              <w:rPr>
                <w:rFonts w:ascii="Times New Roman" w:hAnsi="Times New Roman" w:cs="Times New Roman"/>
                <w:color w:val="000000"/>
                <w:sz w:val="16"/>
              </w:rPr>
              <w:t>-</w:t>
            </w:r>
          </w:p>
        </w:tc>
        <w:tc>
          <w:tcPr>
            <w:tcW w:w="431" w:type="pct"/>
            <w:gridSpan w:val="2"/>
            <w:tcBorders>
              <w:top w:val="single" w:sz="4" w:space="0" w:color="auto"/>
              <w:bottom w:val="single" w:sz="4" w:space="0" w:color="auto"/>
            </w:tcBorders>
            <w:vAlign w:val="center"/>
          </w:tcPr>
          <w:p w:rsidR="00AA17E3" w:rsidRPr="00D17F56" w:rsidRDefault="00AA17E3" w:rsidP="00AA17E3">
            <w:pPr>
              <w:contextualSpacing/>
              <w:jc w:val="center"/>
              <w:rPr>
                <w:rFonts w:ascii="Times New Roman" w:hAnsi="Times New Roman" w:cs="Times New Roman"/>
                <w:color w:val="000000"/>
                <w:sz w:val="16"/>
                <w:szCs w:val="16"/>
              </w:rPr>
            </w:pPr>
            <w:r w:rsidRPr="00AC32DF">
              <w:rPr>
                <w:rFonts w:ascii="Times New Roman" w:hAnsi="Times New Roman" w:cs="Times New Roman"/>
                <w:color w:val="000000"/>
                <w:sz w:val="16"/>
              </w:rPr>
              <w:t>-</w:t>
            </w:r>
          </w:p>
        </w:tc>
        <w:tc>
          <w:tcPr>
            <w:tcW w:w="429" w:type="pct"/>
            <w:gridSpan w:val="2"/>
            <w:tcBorders>
              <w:top w:val="single" w:sz="4" w:space="0" w:color="auto"/>
              <w:bottom w:val="single" w:sz="4" w:space="0" w:color="auto"/>
            </w:tcBorders>
            <w:vAlign w:val="center"/>
          </w:tcPr>
          <w:p w:rsidR="00AA17E3" w:rsidRPr="00D17F56" w:rsidRDefault="00AA17E3" w:rsidP="00AA17E3">
            <w:pPr>
              <w:contextualSpacing/>
              <w:jc w:val="center"/>
              <w:rPr>
                <w:rFonts w:ascii="Times New Roman" w:hAnsi="Times New Roman" w:cs="Times New Roman"/>
                <w:color w:val="000000"/>
                <w:sz w:val="16"/>
                <w:szCs w:val="16"/>
              </w:rPr>
            </w:pPr>
            <w:r w:rsidRPr="00AC32DF">
              <w:rPr>
                <w:rFonts w:ascii="Times New Roman" w:hAnsi="Times New Roman" w:cs="Times New Roman"/>
                <w:color w:val="000000"/>
                <w:sz w:val="16"/>
              </w:rPr>
              <w:t>-</w:t>
            </w:r>
          </w:p>
        </w:tc>
        <w:tc>
          <w:tcPr>
            <w:tcW w:w="430" w:type="pct"/>
            <w:gridSpan w:val="2"/>
            <w:tcBorders>
              <w:top w:val="single" w:sz="4" w:space="0" w:color="auto"/>
              <w:bottom w:val="single" w:sz="4" w:space="0" w:color="auto"/>
            </w:tcBorders>
            <w:vAlign w:val="center"/>
          </w:tcPr>
          <w:p w:rsidR="00AA17E3" w:rsidRPr="00D17F56" w:rsidRDefault="00AA17E3" w:rsidP="00AA17E3">
            <w:pPr>
              <w:contextualSpacing/>
              <w:jc w:val="center"/>
              <w:rPr>
                <w:rFonts w:ascii="Times New Roman" w:hAnsi="Times New Roman" w:cs="Times New Roman"/>
                <w:color w:val="000000"/>
                <w:sz w:val="16"/>
                <w:szCs w:val="16"/>
              </w:rPr>
            </w:pPr>
            <w:r w:rsidRPr="00AC32DF">
              <w:rPr>
                <w:rFonts w:ascii="Times New Roman" w:hAnsi="Times New Roman" w:cs="Times New Roman"/>
                <w:color w:val="000000"/>
                <w:sz w:val="16"/>
              </w:rPr>
              <w:t>-</w:t>
            </w:r>
          </w:p>
        </w:tc>
        <w:tc>
          <w:tcPr>
            <w:tcW w:w="429" w:type="pct"/>
            <w:tcBorders>
              <w:top w:val="single" w:sz="4" w:space="0" w:color="auto"/>
              <w:bottom w:val="single" w:sz="4" w:space="0" w:color="auto"/>
            </w:tcBorders>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sz w:val="16"/>
                <w:szCs w:val="16"/>
                <w:lang w:eastAsia="sk-SK"/>
              </w:rPr>
              <w:t>22,8</w:t>
            </w:r>
          </w:p>
        </w:tc>
        <w:tc>
          <w:tcPr>
            <w:tcW w:w="429" w:type="pct"/>
            <w:tcBorders>
              <w:top w:val="single" w:sz="4" w:space="0" w:color="auto"/>
              <w:bottom w:val="single" w:sz="4" w:space="0" w:color="auto"/>
            </w:tcBorders>
          </w:tcPr>
          <w:p w:rsidR="00AA17E3" w:rsidRPr="00D17F56" w:rsidRDefault="00AA17E3" w:rsidP="00AA17E3">
            <w:pPr>
              <w:contextualSpacing/>
              <w:jc w:val="right"/>
              <w:rPr>
                <w:rFonts w:ascii="Times New Roman" w:hAnsi="Times New Roman" w:cs="Times New Roman"/>
                <w:color w:val="000000"/>
                <w:sz w:val="16"/>
                <w:szCs w:val="16"/>
              </w:rPr>
            </w:pPr>
            <w:r w:rsidRPr="00AC32DF">
              <w:rPr>
                <w:rFonts w:ascii="Times New Roman" w:hAnsi="Times New Roman" w:cs="Times New Roman"/>
                <w:sz w:val="16"/>
                <w:szCs w:val="16"/>
                <w:lang w:eastAsia="sk-SK"/>
              </w:rPr>
              <w:t>33,6</w:t>
            </w:r>
          </w:p>
        </w:tc>
      </w:tr>
      <w:tr w:rsidR="00AA17E3" w:rsidRPr="00D17F56" w:rsidTr="00AA17E3">
        <w:trPr>
          <w:trHeight w:val="57"/>
        </w:trPr>
        <w:tc>
          <w:tcPr>
            <w:tcW w:w="2423" w:type="pct"/>
            <w:tcBorders>
              <w:top w:val="single" w:sz="4" w:space="0" w:color="auto"/>
              <w:bottom w:val="single" w:sz="4" w:space="0" w:color="auto"/>
            </w:tcBorders>
            <w:shd w:val="clear" w:color="auto" w:fill="auto"/>
          </w:tcPr>
          <w:p w:rsidR="00AA17E3" w:rsidRPr="00AC32DF" w:rsidRDefault="00AA17E3" w:rsidP="00AA17E3">
            <w:pPr>
              <w:contextualSpacing/>
              <w:rPr>
                <w:rFonts w:ascii="Times New Roman" w:hAnsi="Times New Roman" w:cs="Times New Roman"/>
                <w:sz w:val="16"/>
                <w:szCs w:val="16"/>
              </w:rPr>
            </w:pPr>
            <w:r w:rsidRPr="00AC32DF">
              <w:rPr>
                <w:rFonts w:ascii="Times New Roman" w:hAnsi="Times New Roman" w:cs="Times New Roman"/>
                <w:sz w:val="16"/>
                <w:szCs w:val="16"/>
              </w:rPr>
              <w:t>Podiel domácností pokrytých sieťou s veľmi vysokou kapacitou (VHCN)</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rPr>
            </w:pPr>
            <w:r w:rsidRPr="00AC32DF">
              <w:rPr>
                <w:rFonts w:ascii="Times New Roman" w:hAnsi="Times New Roman" w:cs="Times New Roman"/>
                <w:color w:val="000000"/>
                <w:sz w:val="16"/>
              </w:rPr>
              <w:t>40 %</w:t>
            </w:r>
          </w:p>
        </w:tc>
        <w:tc>
          <w:tcPr>
            <w:tcW w:w="431"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rPr>
            </w:pPr>
            <w:r w:rsidRPr="00AC32DF">
              <w:rPr>
                <w:rFonts w:ascii="Times New Roman" w:hAnsi="Times New Roman" w:cs="Times New Roman"/>
                <w:color w:val="000000"/>
                <w:sz w:val="16"/>
              </w:rPr>
              <w:t>41 %</w:t>
            </w:r>
          </w:p>
        </w:tc>
        <w:tc>
          <w:tcPr>
            <w:tcW w:w="429"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rPr>
            </w:pPr>
            <w:r w:rsidRPr="00AC32DF">
              <w:rPr>
                <w:rFonts w:ascii="Times New Roman" w:hAnsi="Times New Roman" w:cs="Times New Roman"/>
                <w:color w:val="000000"/>
                <w:sz w:val="16"/>
              </w:rPr>
              <w:t>43 %</w:t>
            </w:r>
          </w:p>
        </w:tc>
        <w:tc>
          <w:tcPr>
            <w:tcW w:w="430" w:type="pct"/>
            <w:gridSpan w:val="2"/>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rPr>
            </w:pPr>
            <w:r w:rsidRPr="00AC32DF">
              <w:rPr>
                <w:rFonts w:ascii="Times New Roman" w:hAnsi="Times New Roman" w:cs="Times New Roman"/>
                <w:color w:val="000000"/>
                <w:sz w:val="16"/>
              </w:rPr>
              <w:t>47 %</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Pr>
                <w:rFonts w:ascii="Times New Roman" w:hAnsi="Times New Roman" w:cs="Times New Roman"/>
                <w:sz w:val="16"/>
                <w:szCs w:val="16"/>
                <w:lang w:eastAsia="sk-SK"/>
              </w:rPr>
              <w:t>62%</w:t>
            </w:r>
          </w:p>
        </w:tc>
        <w:tc>
          <w:tcPr>
            <w:tcW w:w="429" w:type="pct"/>
            <w:tcBorders>
              <w:top w:val="single" w:sz="4" w:space="0" w:color="auto"/>
              <w:bottom w:val="single" w:sz="4" w:space="0" w:color="auto"/>
            </w:tcBorders>
            <w:vAlign w:val="center"/>
          </w:tcPr>
          <w:p w:rsidR="00AA17E3" w:rsidRPr="00D17F56" w:rsidRDefault="00AA17E3" w:rsidP="00AA17E3">
            <w:pPr>
              <w:contextualSpacing/>
              <w:jc w:val="right"/>
              <w:rPr>
                <w:rFonts w:ascii="Times New Roman" w:hAnsi="Times New Roman" w:cs="Times New Roman"/>
                <w:color w:val="000000"/>
                <w:sz w:val="16"/>
                <w:szCs w:val="16"/>
              </w:rPr>
            </w:pPr>
            <w:r>
              <w:rPr>
                <w:rFonts w:ascii="Times New Roman" w:hAnsi="Times New Roman" w:cs="Times New Roman"/>
                <w:sz w:val="16"/>
                <w:szCs w:val="16"/>
                <w:lang w:eastAsia="sk-SK"/>
              </w:rPr>
              <w:t>92%</w:t>
            </w:r>
          </w:p>
        </w:tc>
      </w:tr>
      <w:tr w:rsidR="00AA17E3" w:rsidRPr="00D17F56" w:rsidTr="00AA17E3">
        <w:trPr>
          <w:trHeight w:val="57"/>
        </w:trPr>
        <w:tc>
          <w:tcPr>
            <w:tcW w:w="2423" w:type="pct"/>
            <w:tcBorders>
              <w:top w:val="single" w:sz="4" w:space="0" w:color="auto"/>
              <w:bottom w:val="nil"/>
            </w:tcBorders>
            <w:shd w:val="clear" w:color="auto" w:fill="auto"/>
          </w:tcPr>
          <w:p w:rsidR="00AA17E3" w:rsidRPr="00D17F56" w:rsidRDefault="00AA17E3" w:rsidP="00AA17E3">
            <w:pPr>
              <w:contextualSpacing/>
              <w:rPr>
                <w:rFonts w:ascii="Times New Roman" w:hAnsi="Times New Roman" w:cs="Times New Roman"/>
                <w:sz w:val="16"/>
                <w:szCs w:val="16"/>
              </w:rPr>
            </w:pPr>
          </w:p>
        </w:tc>
        <w:tc>
          <w:tcPr>
            <w:tcW w:w="605" w:type="pct"/>
            <w:gridSpan w:val="2"/>
            <w:tcBorders>
              <w:top w:val="single" w:sz="4" w:space="0" w:color="auto"/>
              <w:bottom w:val="nil"/>
            </w:tcBorders>
            <w:vAlign w:val="center"/>
          </w:tcPr>
          <w:p w:rsidR="00AA17E3" w:rsidRPr="00D17F56" w:rsidRDefault="00AA17E3" w:rsidP="00AA17E3">
            <w:pPr>
              <w:contextualSpacing/>
              <w:jc w:val="right"/>
              <w:rPr>
                <w:rFonts w:ascii="Times New Roman" w:hAnsi="Times New Roman" w:cs="Times New Roman"/>
                <w:color w:val="000000"/>
                <w:sz w:val="16"/>
                <w:szCs w:val="16"/>
              </w:rPr>
            </w:pPr>
          </w:p>
        </w:tc>
        <w:tc>
          <w:tcPr>
            <w:tcW w:w="395" w:type="pct"/>
            <w:gridSpan w:val="2"/>
            <w:tcBorders>
              <w:top w:val="single" w:sz="4" w:space="0" w:color="auto"/>
              <w:bottom w:val="nil"/>
            </w:tcBorders>
            <w:vAlign w:val="center"/>
          </w:tcPr>
          <w:p w:rsidR="00AA17E3" w:rsidRPr="00D17F56" w:rsidRDefault="00AA17E3" w:rsidP="00AA17E3">
            <w:pPr>
              <w:contextualSpacing/>
              <w:jc w:val="right"/>
              <w:rPr>
                <w:rFonts w:ascii="Times New Roman" w:hAnsi="Times New Roman" w:cs="Times New Roman"/>
                <w:color w:val="000000"/>
                <w:sz w:val="16"/>
                <w:szCs w:val="16"/>
              </w:rPr>
            </w:pPr>
          </w:p>
        </w:tc>
        <w:tc>
          <w:tcPr>
            <w:tcW w:w="408" w:type="pct"/>
            <w:gridSpan w:val="2"/>
            <w:tcBorders>
              <w:top w:val="single" w:sz="4" w:space="0" w:color="auto"/>
              <w:bottom w:val="nil"/>
            </w:tcBorders>
            <w:vAlign w:val="center"/>
          </w:tcPr>
          <w:p w:rsidR="00AA17E3" w:rsidRPr="00D17F56" w:rsidRDefault="00AA17E3" w:rsidP="00AA17E3">
            <w:pPr>
              <w:contextualSpacing/>
              <w:jc w:val="right"/>
              <w:rPr>
                <w:rFonts w:ascii="Times New Roman" w:hAnsi="Times New Roman" w:cs="Times New Roman"/>
                <w:color w:val="000000"/>
                <w:sz w:val="16"/>
                <w:szCs w:val="16"/>
              </w:rPr>
            </w:pPr>
          </w:p>
        </w:tc>
        <w:tc>
          <w:tcPr>
            <w:tcW w:w="1168" w:type="pct"/>
            <w:gridSpan w:val="3"/>
            <w:tcBorders>
              <w:top w:val="single" w:sz="4" w:space="0" w:color="auto"/>
              <w:bottom w:val="nil"/>
            </w:tcBorders>
          </w:tcPr>
          <w:p w:rsidR="00AA17E3" w:rsidRPr="00D17F56" w:rsidRDefault="00AA17E3" w:rsidP="00AA17E3">
            <w:pPr>
              <w:contextualSpacing/>
              <w:jc w:val="right"/>
              <w:rPr>
                <w:rFonts w:ascii="Times New Roman" w:hAnsi="Times New Roman" w:cs="Times New Roman"/>
                <w:color w:val="000000"/>
                <w:sz w:val="16"/>
                <w:szCs w:val="16"/>
              </w:rPr>
            </w:pPr>
            <w:r w:rsidRPr="00D17F56">
              <w:rPr>
                <w:rFonts w:ascii="Times New Roman" w:hAnsi="Times New Roman" w:cs="Times New Roman"/>
                <w:i/>
                <w:sz w:val="16"/>
                <w:szCs w:val="16"/>
              </w:rPr>
              <w:t>Zdroj: MF SR</w:t>
            </w:r>
          </w:p>
        </w:tc>
      </w:tr>
    </w:tbl>
    <w:p w:rsidR="00AA17E3" w:rsidRPr="00AC32DF" w:rsidRDefault="00AA17E3" w:rsidP="00AA17E3">
      <w:pPr>
        <w:ind w:left="7788"/>
        <w:jc w:val="both"/>
        <w:rPr>
          <w:rFonts w:ascii="Times New Roman" w:hAnsi="Times New Roman" w:cs="Times New Roman"/>
          <w:i/>
          <w:sz w:val="16"/>
          <w:szCs w:val="16"/>
        </w:rPr>
      </w:pPr>
      <w:r w:rsidRPr="00AC32DF">
        <w:rPr>
          <w:rFonts w:ascii="Times New Roman" w:hAnsi="Times New Roman" w:cs="Times New Roman"/>
          <w:i/>
          <w:sz w:val="16"/>
          <w:szCs w:val="16"/>
        </w:rPr>
        <w:t xml:space="preserve">   </w:t>
      </w: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Výsledky slovenskej informatizácie sa zlepšujú, potenciál digitalizácie verejnej správy však nie je plne využitý. Podľa medzinárodného porovnania je rozsah služieb dostupných online porovnateľný s priemerom EÚ, naďalej sú však málo využívané, s rozdielnou kvalitou</w:t>
      </w:r>
      <w:r w:rsidRPr="00441800">
        <w:rPr>
          <w:rFonts w:ascii="Times New Roman" w:hAnsi="Times New Roman"/>
          <w:sz w:val="24"/>
          <w:szCs w:val="24"/>
          <w:vertAlign w:val="superscript"/>
        </w:rPr>
        <w:footnoteReference w:id="62"/>
      </w:r>
      <w:r w:rsidRPr="00441800">
        <w:rPr>
          <w:rFonts w:ascii="Times New Roman" w:hAnsi="Times New Roman"/>
          <w:sz w:val="24"/>
          <w:szCs w:val="24"/>
        </w:rPr>
        <w:t>. Tomu zodpovedá aj vývoj vnútroštátnych ukazovateľov. Cieľom pre ďalšie obdobie je najmä zvýšiť počet používateľov a ich spokojnosť so službami.</w:t>
      </w:r>
    </w:p>
    <w:p w:rsidR="00200155" w:rsidRPr="00441800" w:rsidRDefault="00200155" w:rsidP="00200155">
      <w:pPr>
        <w:spacing w:after="0"/>
        <w:jc w:val="both"/>
        <w:rPr>
          <w:rFonts w:ascii="Times New Roman" w:hAnsi="Times New Roman"/>
          <w:sz w:val="24"/>
          <w:szCs w:val="24"/>
        </w:rPr>
      </w:pPr>
    </w:p>
    <w:p w:rsidR="00AA17E3" w:rsidRDefault="008D6515" w:rsidP="00200155">
      <w:pPr>
        <w:spacing w:after="0"/>
        <w:jc w:val="both"/>
        <w:rPr>
          <w:rFonts w:ascii="Times New Roman" w:hAnsi="Times New Roman"/>
          <w:sz w:val="24"/>
          <w:szCs w:val="24"/>
        </w:rPr>
      </w:pPr>
      <w:r>
        <w:rPr>
          <w:rFonts w:ascii="Times New Roman" w:hAnsi="Times New Roman"/>
          <w:sz w:val="24"/>
          <w:szCs w:val="24"/>
        </w:rPr>
        <w:t>Takmer polovica domácností</w:t>
      </w:r>
      <w:r w:rsidR="00AA17E3" w:rsidRPr="00441800">
        <w:rPr>
          <w:rFonts w:ascii="Times New Roman" w:hAnsi="Times New Roman"/>
          <w:sz w:val="24"/>
          <w:szCs w:val="24"/>
        </w:rPr>
        <w:t xml:space="preserve"> Slovenska má pokrytie rýchlym a ultrarýchlym internetom. Podľa indexu DESI rozsah pokrytia zodpovedá priemeru EÚ (47 % vs. 44 %), miera využívania rýchleho a ultrarýchleho internetu však za priemerom EÚ zaostáva o 11 p.</w:t>
      </w:r>
      <w:r w:rsidR="00200155">
        <w:rPr>
          <w:rFonts w:ascii="Times New Roman" w:hAnsi="Times New Roman"/>
          <w:sz w:val="24"/>
          <w:szCs w:val="24"/>
        </w:rPr>
        <w:t xml:space="preserve"> </w:t>
      </w:r>
      <w:r w:rsidR="00AA17E3" w:rsidRPr="00441800">
        <w:rPr>
          <w:rFonts w:ascii="Times New Roman" w:hAnsi="Times New Roman"/>
          <w:sz w:val="24"/>
          <w:szCs w:val="24"/>
        </w:rPr>
        <w:t>b. (15 % vs. 26 %). Samotné rozširovanie pokrytia ultrarýchlym pripojením tak nemusí priniesť očakávané výsledky bez ďalších opatrení na zvýšenie miery jeho využívania.</w:t>
      </w:r>
    </w:p>
    <w:p w:rsidR="00200155" w:rsidRPr="00441800" w:rsidRDefault="00200155" w:rsidP="00200155">
      <w:pPr>
        <w:spacing w:after="0"/>
        <w:jc w:val="both"/>
        <w:rPr>
          <w:rFonts w:ascii="Times New Roman" w:hAnsi="Times New Roman"/>
          <w:sz w:val="24"/>
          <w:szCs w:val="24"/>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V súlade s opatreniami revízie výdavkov na Informatizáciu 2.0 zavádza Ministerstvo investícií, regionálneho rozvoja a informatizácie SR od 2020 systém analytického sledovania IT výdavkov a manažérskej zodpovednosti za ich výšku (IT finančné riadenie). Celkový potenciál odhaduje revízia na 48 až 95 mil. eur, nastavenie cieľov</w:t>
      </w:r>
      <w:r w:rsidRPr="00441800">
        <w:rPr>
          <w:sz w:val="24"/>
          <w:szCs w:val="24"/>
        </w:rPr>
        <w:t xml:space="preserve"> </w:t>
      </w:r>
      <w:r w:rsidRPr="00441800">
        <w:rPr>
          <w:rFonts w:ascii="Times New Roman" w:hAnsi="Times New Roman"/>
          <w:sz w:val="24"/>
          <w:szCs w:val="24"/>
        </w:rPr>
        <w:t>Ministerstva investícií, regionálneho rozvoja a informatizácie SR zodpovedá postupnej implementácii nástrojov. Najvýznamnejšie opatrenia umožnia systematický zber údajov o jednotkových cenách tovarov a služieb a lepšiu porovnateľnosť existujúcich aj plánovaných výdavkov medzi úradmi.</w:t>
      </w:r>
    </w:p>
    <w:p w:rsidR="00200155" w:rsidRPr="00441800" w:rsidRDefault="00200155" w:rsidP="00200155">
      <w:pPr>
        <w:spacing w:after="0"/>
        <w:jc w:val="both"/>
        <w:rPr>
          <w:rFonts w:ascii="Times New Roman" w:hAnsi="Times New Roman"/>
          <w:sz w:val="24"/>
          <w:szCs w:val="24"/>
        </w:rPr>
      </w:pPr>
    </w:p>
    <w:p w:rsidR="00AA17E3" w:rsidRDefault="00AA17E3" w:rsidP="00200155">
      <w:pPr>
        <w:spacing w:after="0"/>
        <w:jc w:val="both"/>
        <w:rPr>
          <w:rFonts w:ascii="Times New Roman" w:hAnsi="Times New Roman" w:cs="Times New Roman"/>
          <w:sz w:val="24"/>
          <w:szCs w:val="24"/>
        </w:rPr>
      </w:pPr>
      <w:r w:rsidRPr="00441800">
        <w:rPr>
          <w:rFonts w:ascii="Times New Roman" w:hAnsi="Times New Roman" w:cs="Times New Roman"/>
          <w:sz w:val="24"/>
          <w:szCs w:val="24"/>
        </w:rPr>
        <w:t>Ministerstvo investícií, regionálneho rozvoja a informatizácie SR je gestorom výdavkov na informačné technológie financované zo štátneho rozpočtu. Na rok 2022 je plánovaných pre všetkých účastníkov medzirezortného programu Informačné technológie financované zo štátneho rozpočtu spolu 368 mil. eur.</w:t>
      </w:r>
    </w:p>
    <w:p w:rsidR="00A273CE" w:rsidRDefault="00A273CE" w:rsidP="00200155">
      <w:pPr>
        <w:keepNext/>
        <w:spacing w:after="0"/>
        <w:rPr>
          <w:rFonts w:ascii="Times New Roman" w:hAnsi="Times New Roman" w:cs="Times New Roman"/>
          <w:sz w:val="24"/>
          <w:szCs w:val="24"/>
        </w:rPr>
      </w:pPr>
      <w:bookmarkStart w:id="572" w:name="_Toc53054199"/>
      <w:bookmarkStart w:id="573" w:name="_Toc53054860"/>
      <w:bookmarkStart w:id="574" w:name="_Toc53078052"/>
      <w:bookmarkStart w:id="575" w:name="_Toc53086454"/>
      <w:bookmarkStart w:id="576" w:name="_Toc84528482"/>
    </w:p>
    <w:p w:rsidR="00AA17E3" w:rsidRPr="00A273CE" w:rsidRDefault="00AA17E3" w:rsidP="00200155">
      <w:pPr>
        <w:keepNext/>
        <w:spacing w:after="0"/>
        <w:rPr>
          <w:rFonts w:ascii="Times New Roman" w:hAnsi="Times New Roman" w:cs="Times New Roman"/>
          <w:b/>
          <w:iCs/>
          <w:color w:val="5B9BD5" w:themeColor="accent1"/>
          <w:sz w:val="20"/>
          <w:szCs w:val="20"/>
        </w:rPr>
      </w:pPr>
      <w:bookmarkStart w:id="577" w:name="_Toc84845358"/>
      <w:r w:rsidRPr="00A273CE">
        <w:rPr>
          <w:rFonts w:ascii="Times New Roman" w:hAnsi="Times New Roman" w:cs="Times New Roman"/>
          <w:b/>
          <w:color w:val="5B9BD5" w:themeColor="accent1"/>
          <w:sz w:val="20"/>
          <w:szCs w:val="20"/>
        </w:rPr>
        <w:t>Tabuľka</w:t>
      </w:r>
      <w:r w:rsidRPr="00A273CE">
        <w:rPr>
          <w:rFonts w:ascii="Times New Roman" w:hAnsi="Times New Roman" w:cs="Times New Roman"/>
          <w:b/>
          <w:i/>
          <w:color w:val="5B9BD5" w:themeColor="accent1"/>
          <w:sz w:val="20"/>
          <w:szCs w:val="20"/>
        </w:rPr>
        <w:t xml:space="preserve"> </w:t>
      </w:r>
      <w:r w:rsidRPr="00A273CE">
        <w:rPr>
          <w:rFonts w:ascii="Times New Roman" w:hAnsi="Times New Roman" w:cs="Times New Roman"/>
          <w:b/>
          <w:color w:val="5B9BD5" w:themeColor="accent1"/>
          <w:sz w:val="20"/>
          <w:szCs w:val="20"/>
        </w:rPr>
        <w:fldChar w:fldCharType="begin"/>
      </w:r>
      <w:r w:rsidRPr="00A273CE">
        <w:rPr>
          <w:rFonts w:ascii="Times New Roman" w:hAnsi="Times New Roman" w:cs="Times New Roman"/>
          <w:b/>
          <w:color w:val="5B9BD5" w:themeColor="accent1"/>
          <w:sz w:val="20"/>
          <w:szCs w:val="20"/>
        </w:rPr>
        <w:instrText xml:space="preserve"> SEQ Tabuľka \* ARABIC </w:instrText>
      </w:r>
      <w:r w:rsidRPr="00A273CE">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134</w:t>
      </w:r>
      <w:r w:rsidRPr="00A273CE">
        <w:rPr>
          <w:rFonts w:ascii="Times New Roman" w:hAnsi="Times New Roman" w:cs="Times New Roman"/>
          <w:b/>
          <w:color w:val="5B9BD5" w:themeColor="accent1"/>
          <w:sz w:val="20"/>
          <w:szCs w:val="20"/>
        </w:rPr>
        <w:fldChar w:fldCharType="end"/>
      </w:r>
      <w:r w:rsidRPr="00A273CE">
        <w:rPr>
          <w:rFonts w:ascii="Times New Roman" w:hAnsi="Times New Roman" w:cs="Times New Roman"/>
          <w:b/>
          <w:iCs/>
          <w:color w:val="5B9BD5" w:themeColor="accent1"/>
          <w:sz w:val="20"/>
          <w:szCs w:val="20"/>
        </w:rPr>
        <w:t xml:space="preserve"> - Výdavky na IT financované zo štátneho rozpočtu</w:t>
      </w:r>
      <w:bookmarkEnd w:id="572"/>
      <w:bookmarkEnd w:id="573"/>
      <w:bookmarkEnd w:id="574"/>
      <w:bookmarkEnd w:id="575"/>
      <w:bookmarkEnd w:id="576"/>
      <w:bookmarkEnd w:id="577"/>
    </w:p>
    <w:tbl>
      <w:tblPr>
        <w:tblW w:w="5000" w:type="pct"/>
        <w:tblCellMar>
          <w:left w:w="70" w:type="dxa"/>
          <w:right w:w="70" w:type="dxa"/>
        </w:tblCellMar>
        <w:tblLook w:val="04A0" w:firstRow="1" w:lastRow="0" w:firstColumn="1" w:lastColumn="0" w:noHBand="0" w:noVBand="1"/>
      </w:tblPr>
      <w:tblGrid>
        <w:gridCol w:w="2791"/>
        <w:gridCol w:w="898"/>
        <w:gridCol w:w="898"/>
        <w:gridCol w:w="898"/>
        <w:gridCol w:w="898"/>
        <w:gridCol w:w="898"/>
        <w:gridCol w:w="898"/>
        <w:gridCol w:w="893"/>
      </w:tblGrid>
      <w:tr w:rsidR="00AA17E3" w:rsidRPr="00A273CE" w:rsidTr="00AA17E3">
        <w:trPr>
          <w:trHeight w:val="300"/>
        </w:trPr>
        <w:tc>
          <w:tcPr>
            <w:tcW w:w="1538"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v tis. eur</w:t>
            </w:r>
          </w:p>
        </w:tc>
        <w:tc>
          <w:tcPr>
            <w:tcW w:w="495"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 xml:space="preserve"> 2019 S</w:t>
            </w:r>
          </w:p>
        </w:tc>
        <w:tc>
          <w:tcPr>
            <w:tcW w:w="495"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2020 S</w:t>
            </w:r>
          </w:p>
        </w:tc>
        <w:tc>
          <w:tcPr>
            <w:tcW w:w="495"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2021 R</w:t>
            </w:r>
          </w:p>
        </w:tc>
        <w:tc>
          <w:tcPr>
            <w:tcW w:w="495"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2021 OS</w:t>
            </w:r>
          </w:p>
        </w:tc>
        <w:tc>
          <w:tcPr>
            <w:tcW w:w="495"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2022 N</w:t>
            </w:r>
          </w:p>
        </w:tc>
        <w:tc>
          <w:tcPr>
            <w:tcW w:w="495"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2023 N</w:t>
            </w:r>
          </w:p>
        </w:tc>
        <w:tc>
          <w:tcPr>
            <w:tcW w:w="492" w:type="pct"/>
            <w:tcBorders>
              <w:top w:val="single" w:sz="4" w:space="0" w:color="auto"/>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lang w:eastAsia="sk-SK"/>
              </w:rPr>
              <w:t>2024 N</w:t>
            </w:r>
          </w:p>
        </w:tc>
      </w:tr>
      <w:tr w:rsidR="00AA17E3" w:rsidRPr="00A273CE" w:rsidTr="00AA17E3">
        <w:trPr>
          <w:trHeight w:val="300"/>
        </w:trPr>
        <w:tc>
          <w:tcPr>
            <w:tcW w:w="1538" w:type="pct"/>
            <w:tcBorders>
              <w:top w:val="nil"/>
              <w:left w:val="nil"/>
              <w:bottom w:val="nil"/>
              <w:right w:val="nil"/>
            </w:tcBorders>
            <w:shd w:val="clear" w:color="auto" w:fill="auto"/>
            <w:noWrap/>
            <w:vAlign w:val="center"/>
            <w:hideMark/>
          </w:tcPr>
          <w:p w:rsidR="00AA17E3" w:rsidRPr="00A273CE" w:rsidRDefault="00AA17E3" w:rsidP="00AA17E3">
            <w:pPr>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0EK na zdroji štátny rozpočet spolu</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456 006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470 998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354 552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423 850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368 278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365 790</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b/>
                <w:bCs/>
                <w:color w:val="000000"/>
                <w:sz w:val="14"/>
                <w:szCs w:val="16"/>
                <w:lang w:eastAsia="sk-SK"/>
              </w:rPr>
            </w:pPr>
            <w:r w:rsidRPr="00A273CE">
              <w:rPr>
                <w:rFonts w:ascii="Times New Roman" w:hAnsi="Times New Roman" w:cs="Times New Roman"/>
                <w:b/>
                <w:bCs/>
                <w:color w:val="000000"/>
                <w:sz w:val="14"/>
                <w:szCs w:val="16"/>
              </w:rPr>
              <w:t>370 010</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financií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168 581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128 941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120 163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138 220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124 194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125 239</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127 896</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vnútra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80 071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124 959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63 811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85 203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66 297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66 297</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66 297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investícií, regionálneho rozvoja a informatizácie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58 403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39 094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21 466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29 579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28 814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29 211</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29 382</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práce, sociálnych vecí a rodiny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21 227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38 080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22 059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22 508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23 375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23 357</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23 357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školstva, vedy, výskumu a športu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23 494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27 971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20 557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26 665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22 847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22 385</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21 843</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spravodlivosti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22 606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24 922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20 878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18 776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20 071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20 071</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20 071</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dopravy a výstavby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12 155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11 951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9 321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13 155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11 796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11 468</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11 468</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pôdohospodárstva a rozvoja vidieka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16 010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10 982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13 486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17 582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10 493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10 480</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10 480</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kultúry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4 977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2 894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11 198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11 462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10 348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10 348</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10 348</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geodézie, kartografie a katastra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9 273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6 924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8 770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11 699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10 327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9 165</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9 347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Štatistický úrad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8 015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22 107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10 033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9 916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9 521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7 074</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8 299</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zahraničných vecí a európskych záležitostí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4 892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7 326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9 340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7 166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7 226</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7 226</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Generálna prokuratúra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6 115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4 933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3 575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3 575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3 771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3 933</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3 917</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životného prostredia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4 478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2 215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3 317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3 013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3 359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3 601</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3 601</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hospodárstva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7 826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5 245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2 494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3 589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3 074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3 074</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2 924</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Ministerstvo zdravotníctva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2 307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4 841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2 063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2 064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2 298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2 296</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2 297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Najvyšší kontrolný úrad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1 149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1 193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1 027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1 305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2 140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1 035</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1 027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Slovenská akadémia vied</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1 223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2 099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1 066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1 300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1 842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1 833</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1 824</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Kancelária Národnej rady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1 064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1 211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1 087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1 886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1 120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2 311</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2 738</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Kancelária Ústavného súdu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946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415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1 497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1 497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1 022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1 001</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970</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pre verejné obstarávanie</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2 480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1 531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1 430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1 564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1 017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1 017</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1 017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vlády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598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987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5 807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5 997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895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895</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895</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jadrového dozoru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595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309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705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719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728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768</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1 171</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priemyselného vlastníctva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896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822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303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1 164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364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250</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250</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Správa štátnych hmotných rezerv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250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315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315</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315</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pre normalizáciu, metrológiu a skúšobníctvo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143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254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224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276</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187</w:t>
            </w:r>
          </w:p>
        </w:tc>
      </w:tr>
      <w:tr w:rsidR="00AA17E3" w:rsidRPr="00A273CE" w:rsidTr="00AA17E3">
        <w:trPr>
          <w:trHeight w:val="465"/>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Kancelária Najvyššieho súdu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301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278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268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210</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210</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Národný bezpečnostný úrad</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419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266</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243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219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187</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Kancelária prezidenta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294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141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232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129</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129</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Všeobecná pokladničná správa</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62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182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489</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104</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108</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107</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Protimonopolný úrad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113</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77</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92</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95</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95</w:t>
            </w:r>
          </w:p>
        </w:tc>
      </w:tr>
      <w:tr w:rsidR="00AA17E3" w:rsidRPr="00A273CE" w:rsidTr="00AA17E3">
        <w:trPr>
          <w:trHeight w:val="300"/>
        </w:trPr>
        <w:tc>
          <w:tcPr>
            <w:tcW w:w="1538" w:type="pct"/>
            <w:tcBorders>
              <w:top w:val="nil"/>
              <w:left w:val="nil"/>
              <w:bottom w:val="nil"/>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Kancelária Súdnej rady SR</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28</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95</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30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191</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80</w:t>
            </w:r>
          </w:p>
        </w:tc>
        <w:tc>
          <w:tcPr>
            <w:tcW w:w="495"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80</w:t>
            </w:r>
          </w:p>
        </w:tc>
        <w:tc>
          <w:tcPr>
            <w:tcW w:w="492" w:type="pct"/>
            <w:tcBorders>
              <w:top w:val="nil"/>
              <w:left w:val="nil"/>
              <w:bottom w:val="nil"/>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80</w:t>
            </w:r>
          </w:p>
        </w:tc>
      </w:tr>
      <w:tr w:rsidR="00AA17E3" w:rsidRPr="00A273CE" w:rsidTr="00AA17E3">
        <w:trPr>
          <w:trHeight w:val="300"/>
        </w:trPr>
        <w:tc>
          <w:tcPr>
            <w:tcW w:w="1538" w:type="pct"/>
            <w:tcBorders>
              <w:top w:val="nil"/>
              <w:left w:val="nil"/>
              <w:bottom w:val="single" w:sz="4" w:space="0" w:color="auto"/>
              <w:right w:val="nil"/>
            </w:tcBorders>
            <w:shd w:val="clear" w:color="auto" w:fill="auto"/>
            <w:vAlign w:val="center"/>
            <w:hideMark/>
          </w:tcPr>
          <w:p w:rsidR="00AA17E3" w:rsidRPr="00A273CE" w:rsidRDefault="00AA17E3" w:rsidP="00AA17E3">
            <w:pPr>
              <w:rPr>
                <w:rFonts w:ascii="Times New Roman" w:hAnsi="Times New Roman" w:cs="Times New Roman"/>
                <w:sz w:val="14"/>
                <w:szCs w:val="16"/>
              </w:rPr>
            </w:pPr>
            <w:r w:rsidRPr="00A273CE">
              <w:rPr>
                <w:rFonts w:ascii="Times New Roman" w:hAnsi="Times New Roman" w:cs="Times New Roman"/>
                <w:color w:val="000000"/>
                <w:sz w:val="14"/>
                <w:szCs w:val="16"/>
              </w:rPr>
              <w:t>Úrad pre reguláciu sieťových odvetví</w:t>
            </w:r>
          </w:p>
        </w:tc>
        <w:tc>
          <w:tcPr>
            <w:tcW w:w="495"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91</w:t>
            </w:r>
          </w:p>
        </w:tc>
        <w:tc>
          <w:tcPr>
            <w:tcW w:w="495"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143</w:t>
            </w:r>
          </w:p>
        </w:tc>
        <w:tc>
          <w:tcPr>
            <w:tcW w:w="495"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26</w:t>
            </w:r>
          </w:p>
        </w:tc>
        <w:tc>
          <w:tcPr>
            <w:tcW w:w="495"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77</w:t>
            </w:r>
          </w:p>
        </w:tc>
        <w:tc>
          <w:tcPr>
            <w:tcW w:w="495"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55</w:t>
            </w:r>
          </w:p>
        </w:tc>
        <w:tc>
          <w:tcPr>
            <w:tcW w:w="495"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55</w:t>
            </w:r>
          </w:p>
        </w:tc>
        <w:tc>
          <w:tcPr>
            <w:tcW w:w="492" w:type="pct"/>
            <w:tcBorders>
              <w:top w:val="nil"/>
              <w:left w:val="nil"/>
              <w:bottom w:val="single" w:sz="4" w:space="0" w:color="auto"/>
              <w:right w:val="nil"/>
            </w:tcBorders>
            <w:shd w:val="clear" w:color="auto" w:fill="auto"/>
            <w:noWrap/>
            <w:vAlign w:val="center"/>
            <w:hideMark/>
          </w:tcPr>
          <w:p w:rsidR="00AA17E3" w:rsidRPr="00A273CE" w:rsidRDefault="00AA17E3" w:rsidP="00AA17E3">
            <w:pPr>
              <w:jc w:val="right"/>
              <w:rPr>
                <w:rFonts w:ascii="Times New Roman" w:hAnsi="Times New Roman" w:cs="Times New Roman"/>
                <w:sz w:val="14"/>
                <w:szCs w:val="16"/>
              </w:rPr>
            </w:pPr>
            <w:r w:rsidRPr="00A273CE">
              <w:rPr>
                <w:rFonts w:ascii="Times New Roman" w:hAnsi="Times New Roman" w:cs="Times New Roman"/>
                <w:color w:val="000000"/>
                <w:sz w:val="14"/>
                <w:szCs w:val="16"/>
              </w:rPr>
              <w:t>55</w:t>
            </w:r>
          </w:p>
        </w:tc>
      </w:tr>
    </w:tbl>
    <w:p w:rsidR="00AA17E3" w:rsidRPr="00321349" w:rsidRDefault="00AA17E3" w:rsidP="00200155">
      <w:pPr>
        <w:spacing w:after="0"/>
        <w:ind w:left="7791"/>
        <w:jc w:val="both"/>
        <w:rPr>
          <w:rFonts w:ascii="Times New Roman" w:hAnsi="Times New Roman" w:cs="Times New Roman"/>
          <w:i/>
          <w:sz w:val="16"/>
          <w:szCs w:val="16"/>
        </w:rPr>
      </w:pPr>
      <w:r w:rsidRPr="00321349">
        <w:rPr>
          <w:rFonts w:ascii="Times New Roman" w:hAnsi="Times New Roman" w:cs="Times New Roman"/>
          <w:i/>
          <w:sz w:val="16"/>
          <w:szCs w:val="16"/>
        </w:rPr>
        <w:t xml:space="preserve">     Zdroj: MF SR</w:t>
      </w:r>
    </w:p>
    <w:p w:rsidR="00200155" w:rsidRDefault="00200155" w:rsidP="00200155">
      <w:pPr>
        <w:spacing w:after="0"/>
        <w:jc w:val="both"/>
        <w:rPr>
          <w:rFonts w:ascii="Times New Roman" w:hAnsi="Times New Roman"/>
          <w:sz w:val="24"/>
          <w:szCs w:val="24"/>
        </w:rPr>
      </w:pPr>
    </w:p>
    <w:p w:rsidR="00AA17E3" w:rsidRPr="00441800" w:rsidRDefault="00AA17E3" w:rsidP="00200155">
      <w:pPr>
        <w:spacing w:after="0"/>
        <w:jc w:val="both"/>
        <w:rPr>
          <w:rFonts w:ascii="Times New Roman" w:hAnsi="Times New Roman"/>
          <w:sz w:val="24"/>
          <w:szCs w:val="24"/>
        </w:rPr>
      </w:pPr>
      <w:r w:rsidRPr="00441800">
        <w:rPr>
          <w:rFonts w:ascii="Times New Roman" w:hAnsi="Times New Roman"/>
          <w:sz w:val="24"/>
          <w:szCs w:val="24"/>
        </w:rPr>
        <w:t xml:space="preserve">Ministerstvo investícií, regionálneho rozvoja a informatizácie SR je ústredným orgánom štátnej správy pre centrálne riadenie informatizácie spoločnosti a tvorbu politiky jednotného digitálneho trhu, rozhodovanie o využívaní verejných prostriedkov vo verejnej správe pre informačné technológie, centrálnu architektúru integrovaného informačného systému verejnej správy a koordináciu plnenia úloh v oblasti informatizácie spoločnosti. </w:t>
      </w:r>
    </w:p>
    <w:p w:rsidR="00200155" w:rsidRDefault="00200155" w:rsidP="00200155">
      <w:pPr>
        <w:spacing w:after="0"/>
        <w:jc w:val="both"/>
        <w:rPr>
          <w:rFonts w:ascii="Times New Roman" w:hAnsi="Times New Roman"/>
          <w:sz w:val="24"/>
          <w:szCs w:val="24"/>
        </w:rPr>
      </w:pPr>
    </w:p>
    <w:p w:rsidR="00AA17E3" w:rsidRDefault="00AA17E3" w:rsidP="00200155">
      <w:pPr>
        <w:spacing w:after="0"/>
        <w:jc w:val="both"/>
        <w:rPr>
          <w:rFonts w:ascii="Times New Roman" w:hAnsi="Times New Roman" w:cs="Times New Roman"/>
          <w:sz w:val="24"/>
          <w:szCs w:val="24"/>
        </w:rPr>
      </w:pPr>
      <w:r w:rsidRPr="00441800">
        <w:rPr>
          <w:rFonts w:ascii="Times New Roman" w:hAnsi="Times New Roman"/>
          <w:sz w:val="24"/>
          <w:szCs w:val="24"/>
        </w:rPr>
        <w:t xml:space="preserve">Výdavky na Informatizáciu v tabuľke „Oblasť ekonomiky“ v sume 286 mil. eur sa týkajú Ministerstva investícií, regionálneho rozvoja a informatizácie SR. Najväčšiu časť tvoria </w:t>
      </w:r>
      <w:r w:rsidRPr="00441800">
        <w:rPr>
          <w:rFonts w:ascii="Times New Roman" w:hAnsi="Times New Roman" w:cs="Times New Roman"/>
          <w:sz w:val="24"/>
          <w:szCs w:val="24"/>
        </w:rPr>
        <w:t>prostriedky Európskej únie na</w:t>
      </w:r>
      <w:r w:rsidRPr="00441800">
        <w:rPr>
          <w:sz w:val="24"/>
          <w:szCs w:val="24"/>
        </w:rPr>
        <w:t xml:space="preserve"> </w:t>
      </w:r>
      <w:r w:rsidRPr="00441800">
        <w:rPr>
          <w:rFonts w:ascii="Times New Roman" w:hAnsi="Times New Roman" w:cs="Times New Roman"/>
          <w:sz w:val="24"/>
          <w:szCs w:val="24"/>
        </w:rPr>
        <w:t>Medzirezortný program Informačná spoločnosť 2014-2020, ktoré prešli do gestorstva Ministerstva investícií, regionálneho rozvoja a informatizácie SR. Zámerom tohto programu je zlepšenie prístupu k informačno-komunikačným technológiám a zlepšenie ich využí</w:t>
      </w:r>
      <w:r w:rsidR="008D6515">
        <w:rPr>
          <w:rFonts w:ascii="Times New Roman" w:hAnsi="Times New Roman" w:cs="Times New Roman"/>
          <w:sz w:val="24"/>
          <w:szCs w:val="24"/>
        </w:rPr>
        <w:t>vania a kvality. Kapitola má na</w:t>
      </w:r>
      <w:r w:rsidRPr="00441800">
        <w:rPr>
          <w:rFonts w:ascii="Times New Roman" w:hAnsi="Times New Roman" w:cs="Times New Roman"/>
          <w:sz w:val="24"/>
          <w:szCs w:val="24"/>
        </w:rPr>
        <w:t xml:space="preserve"> rok 2022 na tento účel, vrátane výdavkov určených na spolufinancovanie, plánovaných 169 mil. eur. Zároveň sem boli zaradené aj prostriedky z Plánu obnovy a odolnosti v sume 78,6 mil. eur, určené na budovanie „Digitálneho Slovenska“, napríklad prostredníctvom zapojenia sa do cezhraničných európskych projektov vedúcich k digitálnej ekonomike, podpory projektov zameraných na vývoj a aplikáciu top digitálnych technológií a skvalitnenia kybernetickej a informačnej bezpečnosti vo verejnej správe. Prostriedky </w:t>
      </w:r>
      <w:r w:rsidRPr="00441800">
        <w:rPr>
          <w:rFonts w:ascii="Times New Roman" w:hAnsi="Times New Roman"/>
          <w:sz w:val="24"/>
          <w:szCs w:val="24"/>
        </w:rPr>
        <w:t>na informačné systémy v správe samotného úradu sú rozpočtované v roku 2022 v sume 6,76 mil. eur</w:t>
      </w:r>
      <w:r w:rsidRPr="00441800">
        <w:rPr>
          <w:rFonts w:ascii="Times New Roman" w:hAnsi="Times New Roman" w:cs="Times New Roman"/>
          <w:sz w:val="24"/>
          <w:szCs w:val="24"/>
        </w:rPr>
        <w:t xml:space="preserve"> a sú určené najmä na Informačný systém Centrálna správa referenčných údajov, na podpornú infraštruktúru a na systémy vnútornej správy. Na informačné systémy </w:t>
      </w:r>
      <w:r w:rsidRPr="00441800">
        <w:rPr>
          <w:rFonts w:ascii="Times New Roman" w:hAnsi="Times New Roman"/>
          <w:sz w:val="24"/>
          <w:szCs w:val="24"/>
        </w:rPr>
        <w:t>v správe príspevkovej organizácie Národná agentúra pre sieťové a elektronické služby (ďalej len „NASES“) sú plánované prostriedky v sume 31,3 mil. eur</w:t>
      </w:r>
      <w:r w:rsidRPr="00441800">
        <w:rPr>
          <w:rFonts w:ascii="Times New Roman" w:hAnsi="Times New Roman" w:cs="Times New Roman"/>
          <w:sz w:val="24"/>
          <w:szCs w:val="24"/>
        </w:rPr>
        <w:t xml:space="preserve">. Príspevková organizácia NASES použije prostriedky najmä na zabezpečenie činnosti Ústredného portálu verejnej správy a vládnej siete GOVNET. </w:t>
      </w:r>
    </w:p>
    <w:p w:rsidR="00CD79A5" w:rsidRPr="00441800" w:rsidRDefault="00CD79A5" w:rsidP="00200155">
      <w:pPr>
        <w:spacing w:after="0"/>
        <w:jc w:val="both"/>
        <w:rPr>
          <w:rFonts w:ascii="Times New Roman" w:hAnsi="Times New Roman" w:cs="Times New Roman"/>
          <w:sz w:val="24"/>
          <w:szCs w:val="24"/>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 xml:space="preserve">Hlavnou úlohou a predmetom činnosti  príspevkovej organizácie NASES je správa, prevádzka a rozvoj vládnej dátovej siete GOVNET a prevádzka a rozvoj služieb Ústredného portálu verejnej správy, ako základných nástrojov informatizácie verejnej správy na Slovensku. Financovanie sa zabezpečuje každoročným uzatvorením kontraktu, ktorý vymedzuje vzťahy medzi ústredným orgánom štátnej správy a príspevkovou organizáciou v jeho zriaďovateľskej pôsobnosti. </w:t>
      </w:r>
    </w:p>
    <w:p w:rsidR="00200155" w:rsidRPr="00441800" w:rsidRDefault="00200155" w:rsidP="00200155">
      <w:pPr>
        <w:spacing w:after="0"/>
        <w:jc w:val="both"/>
        <w:rPr>
          <w:rFonts w:ascii="Times New Roman" w:hAnsi="Times New Roman"/>
          <w:sz w:val="24"/>
          <w:szCs w:val="24"/>
        </w:rPr>
      </w:pPr>
    </w:p>
    <w:p w:rsidR="00200155" w:rsidRDefault="00AA17E3" w:rsidP="00200155">
      <w:pPr>
        <w:spacing w:after="0"/>
        <w:jc w:val="both"/>
        <w:rPr>
          <w:rFonts w:ascii="Times New Roman" w:hAnsi="Times New Roman"/>
          <w:sz w:val="24"/>
          <w:szCs w:val="24"/>
        </w:rPr>
      </w:pPr>
      <w:r w:rsidRPr="00441800">
        <w:rPr>
          <w:rFonts w:ascii="Times New Roman" w:hAnsi="Times New Roman"/>
          <w:sz w:val="24"/>
          <w:szCs w:val="24"/>
        </w:rPr>
        <w:t>V septembri 2020 vzniklo Slovensko IT, a.</w:t>
      </w:r>
      <w:r w:rsidR="008D6515">
        <w:rPr>
          <w:rFonts w:ascii="Times New Roman" w:hAnsi="Times New Roman"/>
          <w:sz w:val="24"/>
          <w:szCs w:val="24"/>
        </w:rPr>
        <w:t xml:space="preserve"> </w:t>
      </w:r>
      <w:r w:rsidRPr="00441800">
        <w:rPr>
          <w:rFonts w:ascii="Times New Roman" w:hAnsi="Times New Roman"/>
          <w:sz w:val="24"/>
          <w:szCs w:val="24"/>
        </w:rPr>
        <w:t>s., ktorého cieľom je flexibilnejšie a nákladovo efektívnejšie plnenie IT požiadaviek štátu. Okrem úspory nákladov je dôležité najmä budovanie interných kapacít IT špecialistov a lepšia znalosť prepojenia informačných systémov a biznis procesov, čo je v súlade s odporúčaniami revízie výdavkov na informatizáciu. Regulačným nástrojom na zvyšovanie nákladovej efektívnosti sú publikované zásady cenotvorby a cenník</w:t>
      </w:r>
      <w:r w:rsidRPr="00441800">
        <w:rPr>
          <w:rFonts w:ascii="Times New Roman" w:hAnsi="Times New Roman"/>
          <w:sz w:val="24"/>
          <w:szCs w:val="24"/>
          <w:vertAlign w:val="superscript"/>
        </w:rPr>
        <w:footnoteReference w:id="63"/>
      </w:r>
      <w:r w:rsidRPr="00441800">
        <w:rPr>
          <w:rFonts w:ascii="Times New Roman" w:hAnsi="Times New Roman"/>
          <w:sz w:val="24"/>
          <w:szCs w:val="24"/>
        </w:rPr>
        <w:t xml:space="preserve">. Reálna úspora závisí od schopnosti zadávateľa (Ministerstvo investícií, regionálneho rozvoja a informatizácie SR) validovať navrhované riešenia a rozsah prác. Kľúčové je, aby bola štátna firma dlhodobo financovateľná z vlastných tržieb a verejne odpočtovala svoje úlohy a ich plnenie. </w:t>
      </w:r>
    </w:p>
    <w:p w:rsidR="00AA17E3" w:rsidRPr="00441800" w:rsidRDefault="00AA17E3" w:rsidP="00200155">
      <w:pPr>
        <w:spacing w:after="0"/>
        <w:jc w:val="both"/>
        <w:rPr>
          <w:rFonts w:ascii="Times New Roman" w:hAnsi="Times New Roman"/>
          <w:sz w:val="24"/>
          <w:szCs w:val="24"/>
        </w:rPr>
      </w:pPr>
      <w:r w:rsidRPr="00441800">
        <w:rPr>
          <w:rFonts w:ascii="Times New Roman" w:hAnsi="Times New Roman"/>
          <w:sz w:val="24"/>
          <w:szCs w:val="24"/>
        </w:rPr>
        <w:t xml:space="preserve"> </w:t>
      </w: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 xml:space="preserve">Od roku 2017 je na rozpočtovanie IT výdavkov vytvorený samostatný medzirezortný program 0EK. Informačné systémy s ročnými výdavkami do 100 tis. eur a náklady na podpornú infraštruktúru sú rozpočtované na jednom z troch všeobecných prvkov, systémy s ročnými výdavkami nad 100 tis. eur majú byť rozpočtované samostatne. </w:t>
      </w:r>
    </w:p>
    <w:p w:rsidR="00200155" w:rsidRPr="00441800" w:rsidRDefault="00200155" w:rsidP="00200155">
      <w:pPr>
        <w:spacing w:after="0"/>
        <w:jc w:val="both"/>
        <w:rPr>
          <w:rFonts w:ascii="Times New Roman" w:hAnsi="Times New Roman"/>
          <w:sz w:val="24"/>
          <w:szCs w:val="24"/>
        </w:rPr>
      </w:pPr>
    </w:p>
    <w:p w:rsidR="00AA17E3" w:rsidRPr="00441800" w:rsidRDefault="00AA17E3" w:rsidP="00200155">
      <w:pPr>
        <w:spacing w:after="0"/>
        <w:jc w:val="both"/>
        <w:rPr>
          <w:rFonts w:ascii="Times New Roman" w:hAnsi="Times New Roman"/>
          <w:sz w:val="24"/>
          <w:szCs w:val="24"/>
        </w:rPr>
      </w:pPr>
      <w:r w:rsidRPr="00441800">
        <w:rPr>
          <w:rFonts w:ascii="Times New Roman" w:hAnsi="Times New Roman"/>
          <w:sz w:val="24"/>
          <w:szCs w:val="24"/>
        </w:rPr>
        <w:t>Vo vykazovaní v programe 0EK sa štátne inštitúcie zlepšujú, avšak nie všetky. Ministerstvo zdravotníctva je dlhodobo pod priemerom ostatných inštitúcií a to najmä kvôli nedostatočnému vykazovaniu zo strany Národného centra zdravotníckych informácií. Ministerstvo vnútra, ktoré má druhé najväčšie výdavky na IT spomedzi všetkých inštitúcií, rozpisuje samostatne len dva systémy. Pozitívom je, že od roku 2022 sú samostatne rozpočtované výdavky na vládny cloud.</w:t>
      </w:r>
    </w:p>
    <w:p w:rsidR="00200155" w:rsidRDefault="00200155" w:rsidP="00200155">
      <w:pPr>
        <w:spacing w:after="0"/>
        <w:jc w:val="both"/>
        <w:rPr>
          <w:rFonts w:ascii="Times New Roman" w:hAnsi="Times New Roman"/>
          <w:sz w:val="24"/>
          <w:szCs w:val="24"/>
        </w:rPr>
      </w:pPr>
    </w:p>
    <w:p w:rsidR="00200155" w:rsidRDefault="00AA17E3" w:rsidP="00A273CE">
      <w:pPr>
        <w:spacing w:after="0"/>
        <w:jc w:val="both"/>
        <w:rPr>
          <w:rFonts w:ascii="Times New Roman" w:hAnsi="Times New Roman"/>
          <w:sz w:val="24"/>
          <w:szCs w:val="24"/>
        </w:rPr>
      </w:pPr>
      <w:r w:rsidRPr="00441800">
        <w:rPr>
          <w:rFonts w:ascii="Times New Roman" w:hAnsi="Times New Roman"/>
          <w:sz w:val="24"/>
          <w:szCs w:val="24"/>
        </w:rPr>
        <w:t>Prevádzkové IT výdavky v 0EK sú na rok 2022 rozpočtované vo výške 333 mil. eur. Podľa ekonomickej klasifikácie rozpočtovej klasifikácie (EKRK), je celková výška prevádzkových výdavkov na IT vyššia o 55 mil. eur.</w:t>
      </w: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Default="00A273CE" w:rsidP="00A273CE">
      <w:pPr>
        <w:spacing w:after="0"/>
        <w:jc w:val="both"/>
        <w:rPr>
          <w:rFonts w:ascii="Times New Roman" w:hAnsi="Times New Roman"/>
          <w:sz w:val="24"/>
          <w:szCs w:val="24"/>
        </w:rPr>
      </w:pPr>
    </w:p>
    <w:p w:rsidR="00A273CE" w:rsidRPr="00441800" w:rsidRDefault="00A273CE" w:rsidP="00A273CE">
      <w:pPr>
        <w:spacing w:after="0"/>
        <w:jc w:val="both"/>
        <w:rPr>
          <w:rFonts w:ascii="Times New Roman" w:hAnsi="Times New Roman"/>
          <w:sz w:val="24"/>
          <w:szCs w:val="24"/>
        </w:rPr>
      </w:pPr>
    </w:p>
    <w:tbl>
      <w:tblPr>
        <w:tblStyle w:val="Mriekatabuky"/>
        <w:tblW w:w="0" w:type="auto"/>
        <w:tblLook w:val="04A0" w:firstRow="1" w:lastRow="0" w:firstColumn="1" w:lastColumn="0" w:noHBand="0" w:noVBand="1"/>
      </w:tblPr>
      <w:tblGrid>
        <w:gridCol w:w="9072"/>
      </w:tblGrid>
      <w:tr w:rsidR="00AA17E3" w:rsidRPr="00EF48AC" w:rsidTr="00AA17E3">
        <w:tc>
          <w:tcPr>
            <w:tcW w:w="9072" w:type="dxa"/>
            <w:tcBorders>
              <w:top w:val="nil"/>
              <w:left w:val="nil"/>
              <w:bottom w:val="nil"/>
              <w:right w:val="nil"/>
            </w:tcBorders>
          </w:tcPr>
          <w:p w:rsidR="00AA17E3" w:rsidRPr="00EF48AC" w:rsidRDefault="00AA17E3" w:rsidP="00AA17E3">
            <w:pPr>
              <w:keepNext/>
              <w:rPr>
                <w:rFonts w:ascii="Times New Roman" w:hAnsi="Times New Roman"/>
                <w:b/>
                <w:iCs/>
                <w:color w:val="5B9BD5" w:themeColor="accent1"/>
                <w:sz w:val="20"/>
                <w:szCs w:val="20"/>
              </w:rPr>
            </w:pPr>
            <w:bookmarkStart w:id="578" w:name="_Toc84528546"/>
            <w:bookmarkStart w:id="579" w:name="_Toc84848037"/>
            <w:r w:rsidRPr="006B209A">
              <w:rPr>
                <w:rFonts w:ascii="Times New Roman" w:hAnsi="Times New Roman"/>
                <w:b/>
                <w:iCs/>
                <w:color w:val="5B9BD5" w:themeColor="accent1"/>
                <w:sz w:val="20"/>
                <w:szCs w:val="20"/>
              </w:rPr>
              <w:t xml:space="preserve">Graf </w:t>
            </w:r>
            <w:r w:rsidRPr="006B209A">
              <w:rPr>
                <w:rFonts w:ascii="Times New Roman" w:hAnsi="Times New Roman"/>
                <w:b/>
                <w:iCs/>
                <w:color w:val="5B9BD5" w:themeColor="accent1"/>
                <w:sz w:val="20"/>
                <w:szCs w:val="20"/>
              </w:rPr>
              <w:fldChar w:fldCharType="begin"/>
            </w:r>
            <w:r w:rsidRPr="006B209A">
              <w:rPr>
                <w:rFonts w:ascii="Times New Roman" w:hAnsi="Times New Roman"/>
                <w:b/>
                <w:iCs/>
                <w:color w:val="5B9BD5" w:themeColor="accent1"/>
                <w:sz w:val="20"/>
                <w:szCs w:val="20"/>
              </w:rPr>
              <w:instrText xml:space="preserve"> SEQ Obrázok \* ARABIC </w:instrText>
            </w:r>
            <w:r w:rsidRPr="006B209A">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46</w:t>
            </w:r>
            <w:r w:rsidRPr="006B209A">
              <w:rPr>
                <w:rFonts w:ascii="Times New Roman" w:hAnsi="Times New Roman"/>
                <w:b/>
                <w:iCs/>
                <w:color w:val="5B9BD5" w:themeColor="accent1"/>
                <w:sz w:val="20"/>
                <w:szCs w:val="20"/>
              </w:rPr>
              <w:fldChar w:fldCharType="end"/>
            </w:r>
            <w:r>
              <w:rPr>
                <w:rFonts w:ascii="Times New Roman" w:hAnsi="Times New Roman"/>
                <w:b/>
                <w:iCs/>
                <w:color w:val="5B9BD5" w:themeColor="accent1"/>
                <w:sz w:val="20"/>
                <w:szCs w:val="20"/>
              </w:rPr>
              <w:t xml:space="preserve"> -</w:t>
            </w:r>
            <w:r w:rsidRPr="00EF48AC">
              <w:rPr>
                <w:rFonts w:ascii="Times New Roman" w:hAnsi="Times New Roman"/>
                <w:b/>
                <w:iCs/>
                <w:color w:val="5B9BD5" w:themeColor="accent1"/>
                <w:sz w:val="20"/>
                <w:szCs w:val="20"/>
              </w:rPr>
              <w:t xml:space="preserve"> Vývoj bežných IT výdavkov financovaných zo štátneho rozpočtu podľa EKRK (mil. eur)</w:t>
            </w:r>
            <w:bookmarkEnd w:id="578"/>
            <w:bookmarkEnd w:id="579"/>
          </w:p>
        </w:tc>
      </w:tr>
      <w:tr w:rsidR="00AA17E3" w:rsidRPr="00EF48AC" w:rsidTr="00AA17E3">
        <w:tc>
          <w:tcPr>
            <w:tcW w:w="9072" w:type="dxa"/>
            <w:tcBorders>
              <w:top w:val="nil"/>
              <w:left w:val="nil"/>
              <w:bottom w:val="nil"/>
              <w:right w:val="nil"/>
            </w:tcBorders>
          </w:tcPr>
          <w:p w:rsidR="00AA17E3" w:rsidRPr="00EF48AC" w:rsidRDefault="00AA17E3" w:rsidP="00A273CE">
            <w:pPr>
              <w:jc w:val="right"/>
              <w:rPr>
                <w:rFonts w:ascii="Times New Roman" w:hAnsi="Times New Roman"/>
                <w:i/>
                <w:sz w:val="20"/>
              </w:rPr>
            </w:pPr>
          </w:p>
          <w:p w:rsidR="00AA17E3" w:rsidRPr="00EF48AC" w:rsidRDefault="00AA17E3" w:rsidP="00A273CE">
            <w:pPr>
              <w:jc w:val="right"/>
              <w:rPr>
                <w:rFonts w:ascii="Times New Roman" w:hAnsi="Times New Roman"/>
              </w:rPr>
            </w:pPr>
            <w:r w:rsidRPr="00EF48AC">
              <w:rPr>
                <w:rFonts w:ascii="Times New Roman" w:hAnsi="Times New Roman"/>
                <w:noProof/>
                <w:lang w:eastAsia="sk-SK"/>
              </w:rPr>
              <w:drawing>
                <wp:inline distT="0" distB="0" distL="0" distR="0" wp14:anchorId="1E93F114" wp14:editId="2C9452C6">
                  <wp:extent cx="5648325" cy="29718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EF48AC">
              <w:rPr>
                <w:rFonts w:ascii="Times New Roman" w:hAnsi="Times New Roman"/>
              </w:rPr>
              <w:br/>
            </w:r>
            <w:r w:rsidRPr="00EF48AC">
              <w:rPr>
                <w:rFonts w:ascii="Times New Roman" w:hAnsi="Times New Roman"/>
                <w:i/>
                <w:sz w:val="16"/>
                <w:szCs w:val="16"/>
              </w:rPr>
              <w:t>Zdroj: MF SR</w:t>
            </w:r>
            <w:r w:rsidRPr="00EF48AC">
              <w:rPr>
                <w:rFonts w:ascii="Times New Roman" w:hAnsi="Times New Roman"/>
                <w:i/>
                <w:sz w:val="20"/>
              </w:rPr>
              <w:t xml:space="preserve"> </w:t>
            </w:r>
          </w:p>
        </w:tc>
      </w:tr>
    </w:tbl>
    <w:p w:rsidR="00AA17E3" w:rsidRPr="00EF48AC" w:rsidRDefault="00AA17E3" w:rsidP="00A273CE">
      <w:pPr>
        <w:spacing w:after="0"/>
        <w:jc w:val="both"/>
        <w:rPr>
          <w:rFonts w:ascii="Times New Roman" w:hAnsi="Times New Roman"/>
        </w:rPr>
      </w:pPr>
    </w:p>
    <w:p w:rsidR="00AA17E3" w:rsidRDefault="00AA17E3" w:rsidP="00A273CE">
      <w:pPr>
        <w:spacing w:after="0"/>
        <w:jc w:val="both"/>
        <w:rPr>
          <w:rFonts w:ascii="Times New Roman" w:hAnsi="Times New Roman" w:cs="Times New Roman"/>
          <w:sz w:val="24"/>
          <w:szCs w:val="24"/>
        </w:rPr>
      </w:pPr>
      <w:r w:rsidRPr="00441800">
        <w:rPr>
          <w:rFonts w:ascii="Times New Roman" w:hAnsi="Times New Roman" w:cs="Times New Roman"/>
          <w:sz w:val="24"/>
          <w:szCs w:val="24"/>
        </w:rPr>
        <w:t>Rast oproti rozpočtu 2021 je spôsobený rozpísaním mandatórnych výdavkov do rozpočtov kapitol už na začiatku roka vo výške 26 mil. eur. Odhad výšky výdavkov na existujúce IS sa spresňuje a stabilizuje. Zlepšovanie IT finančného riadenia má potenciál v ďalších rokoch znižovať výdavky existujúcich systémov bez dopadu na kvalitu poskytovaných služieb.</w:t>
      </w:r>
    </w:p>
    <w:p w:rsidR="00200155" w:rsidRPr="00441800" w:rsidRDefault="00200155" w:rsidP="00200155">
      <w:pPr>
        <w:spacing w:after="0"/>
        <w:jc w:val="both"/>
        <w:rPr>
          <w:rFonts w:ascii="Times New Roman" w:hAnsi="Times New Roman" w:cs="Times New Roman"/>
          <w:sz w:val="24"/>
          <w:szCs w:val="24"/>
        </w:rPr>
      </w:pPr>
    </w:p>
    <w:p w:rsidR="00AA17E3" w:rsidRDefault="00AA17E3" w:rsidP="00200155">
      <w:pPr>
        <w:autoSpaceDE w:val="0"/>
        <w:autoSpaceDN w:val="0"/>
        <w:adjustRightInd w:val="0"/>
        <w:spacing w:after="0"/>
        <w:jc w:val="both"/>
        <w:rPr>
          <w:rFonts w:ascii="Times New Roman" w:hAnsi="Times New Roman" w:cs="Times New Roman"/>
          <w:sz w:val="24"/>
          <w:szCs w:val="24"/>
        </w:rPr>
      </w:pPr>
      <w:r w:rsidRPr="00441800">
        <w:rPr>
          <w:rFonts w:ascii="Times New Roman" w:hAnsi="Times New Roman"/>
          <w:sz w:val="24"/>
          <w:szCs w:val="24"/>
        </w:rPr>
        <w:t xml:space="preserve">Informatizácia spoločnosti má priniesť úsporu na osobných výdavkoch a výdavkoch na tovary a služby. Do konca roku 2023 majú byť spustené nové informačné systémy z fondov EÚ, ktorých prevádzka, približne 40-60 mil. eur ročne, bude financovaná zo štátneho rozpočtu. Zefektívnenie činností má vytvoriť priestor na zníženie nákladov na výkon optimalizovanej agendy zhruba o 80 mil. eur ročne. </w:t>
      </w:r>
      <w:r w:rsidRPr="00441800">
        <w:rPr>
          <w:rFonts w:ascii="Times New Roman" w:hAnsi="Times New Roman" w:cs="Times New Roman"/>
          <w:sz w:val="24"/>
          <w:szCs w:val="24"/>
        </w:rPr>
        <w:t xml:space="preserve">Je nevyhnutné sledovať prínosy projektov a ich premietnutie do rozpočtu. </w:t>
      </w:r>
      <w:r w:rsidRPr="00441800" w:rsidDel="00310CC9">
        <w:rPr>
          <w:rFonts w:ascii="Times New Roman" w:hAnsi="Times New Roman" w:cs="Times New Roman"/>
          <w:sz w:val="24"/>
          <w:szCs w:val="24"/>
        </w:rPr>
        <w:t xml:space="preserve"> </w:t>
      </w:r>
    </w:p>
    <w:p w:rsidR="00200155" w:rsidRPr="00441800" w:rsidRDefault="00200155" w:rsidP="00200155">
      <w:pPr>
        <w:autoSpaceDE w:val="0"/>
        <w:autoSpaceDN w:val="0"/>
        <w:adjustRightInd w:val="0"/>
        <w:spacing w:after="0"/>
        <w:jc w:val="both"/>
        <w:rPr>
          <w:rFonts w:ascii="Times New Roman" w:hAnsi="Times New Roman" w:cs="Times New Roman"/>
          <w:sz w:val="24"/>
          <w:szCs w:val="24"/>
        </w:rPr>
      </w:pPr>
    </w:p>
    <w:p w:rsidR="00AA17E3" w:rsidRDefault="00AA17E3" w:rsidP="00200155">
      <w:pPr>
        <w:spacing w:after="0"/>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Administratíva a iné výdavky</w:t>
      </w:r>
    </w:p>
    <w:p w:rsidR="00200155" w:rsidRPr="00441800" w:rsidRDefault="00200155" w:rsidP="00200155">
      <w:pPr>
        <w:spacing w:after="0"/>
        <w:rPr>
          <w:rFonts w:ascii="Times New Roman" w:hAnsi="Times New Roman" w:cs="Times New Roman"/>
          <w:b/>
          <w:color w:val="5B9BD5" w:themeColor="accent1"/>
          <w:sz w:val="24"/>
          <w:szCs w:val="24"/>
        </w:rPr>
      </w:pPr>
    </w:p>
    <w:p w:rsidR="00AA17E3" w:rsidRDefault="00AA17E3" w:rsidP="00200155">
      <w:pPr>
        <w:spacing w:after="0"/>
        <w:jc w:val="both"/>
        <w:rPr>
          <w:rFonts w:ascii="Times New Roman" w:hAnsi="Times New Roman" w:cs="Times New Roman"/>
          <w:sz w:val="24"/>
          <w:szCs w:val="24"/>
        </w:rPr>
      </w:pPr>
      <w:r w:rsidRPr="00441800">
        <w:rPr>
          <w:rFonts w:ascii="Times New Roman" w:hAnsi="Times New Roman" w:cs="Times New Roman"/>
          <w:sz w:val="24"/>
          <w:szCs w:val="24"/>
        </w:rPr>
        <w:t xml:space="preserve">Prostriedky v oblasti administratívy pre rok 2022 predstavujú sumu 62,7 mil. eur a sú určené na činnosti vykonávané ústredným orgánom kapitoly Ministerstva hospodárstva SR a jeho podriadených rozpočtových a príspevkových organizácií a tiež na informačné technológie, príspevky SR do medzinárodných organizácií a ochranu kritickej infraštruktúry. Oblasť administratívy zahŕňa aj administráciu ústredného orgánu kapitoly </w:t>
      </w:r>
      <w:r w:rsidRPr="00441800">
        <w:rPr>
          <w:rFonts w:ascii="Times New Roman" w:hAnsi="Times New Roman" w:cs="Times New Roman"/>
          <w:sz w:val="24"/>
          <w:szCs w:val="24"/>
          <w:lang w:eastAsia="sk-SK"/>
        </w:rPr>
        <w:t xml:space="preserve">Ministerstva investícií, regionálneho rozvoja a informatizácie </w:t>
      </w:r>
      <w:r w:rsidRPr="00441800">
        <w:rPr>
          <w:rFonts w:ascii="Times New Roman" w:hAnsi="Times New Roman" w:cs="Times New Roman"/>
          <w:sz w:val="24"/>
          <w:szCs w:val="24"/>
        </w:rPr>
        <w:t>SR a s tým súvisiace ďalšie činnosti.</w:t>
      </w:r>
    </w:p>
    <w:p w:rsidR="00200155" w:rsidRDefault="00200155" w:rsidP="00200155">
      <w:pPr>
        <w:spacing w:after="0"/>
        <w:jc w:val="both"/>
        <w:rPr>
          <w:rFonts w:ascii="Times New Roman" w:hAnsi="Times New Roman" w:cs="Times New Roman"/>
          <w:sz w:val="24"/>
          <w:szCs w:val="24"/>
        </w:rPr>
      </w:pPr>
    </w:p>
    <w:p w:rsidR="00A273CE" w:rsidRDefault="00A273CE" w:rsidP="00200155">
      <w:pPr>
        <w:spacing w:after="0"/>
        <w:jc w:val="both"/>
        <w:rPr>
          <w:rFonts w:ascii="Times New Roman" w:hAnsi="Times New Roman" w:cs="Times New Roman"/>
          <w:sz w:val="24"/>
          <w:szCs w:val="24"/>
        </w:rPr>
      </w:pPr>
    </w:p>
    <w:p w:rsidR="00A273CE" w:rsidRDefault="00A273CE" w:rsidP="00200155">
      <w:pPr>
        <w:spacing w:after="0"/>
        <w:jc w:val="both"/>
        <w:rPr>
          <w:rFonts w:ascii="Times New Roman" w:hAnsi="Times New Roman" w:cs="Times New Roman"/>
          <w:sz w:val="24"/>
          <w:szCs w:val="24"/>
        </w:rPr>
      </w:pPr>
    </w:p>
    <w:p w:rsidR="00A273CE" w:rsidRDefault="00A273CE" w:rsidP="00200155">
      <w:pPr>
        <w:spacing w:after="0"/>
        <w:jc w:val="both"/>
        <w:rPr>
          <w:rFonts w:ascii="Times New Roman" w:hAnsi="Times New Roman" w:cs="Times New Roman"/>
          <w:sz w:val="24"/>
          <w:szCs w:val="24"/>
        </w:rPr>
      </w:pPr>
    </w:p>
    <w:p w:rsidR="00A273CE" w:rsidRDefault="00A273CE" w:rsidP="00200155">
      <w:pPr>
        <w:spacing w:after="0"/>
        <w:jc w:val="both"/>
        <w:rPr>
          <w:rFonts w:ascii="Times New Roman" w:hAnsi="Times New Roman" w:cs="Times New Roman"/>
          <w:sz w:val="24"/>
          <w:szCs w:val="24"/>
        </w:rPr>
      </w:pPr>
    </w:p>
    <w:p w:rsidR="00A273CE" w:rsidRDefault="00A273CE" w:rsidP="00200155">
      <w:pPr>
        <w:spacing w:after="0"/>
        <w:jc w:val="both"/>
        <w:rPr>
          <w:rFonts w:ascii="Times New Roman" w:hAnsi="Times New Roman" w:cs="Times New Roman"/>
          <w:sz w:val="24"/>
          <w:szCs w:val="24"/>
        </w:rPr>
      </w:pPr>
    </w:p>
    <w:p w:rsidR="00A273CE" w:rsidRDefault="00A273CE" w:rsidP="00200155">
      <w:pPr>
        <w:spacing w:after="0"/>
        <w:jc w:val="both"/>
        <w:rPr>
          <w:rFonts w:ascii="Times New Roman" w:hAnsi="Times New Roman" w:cs="Times New Roman"/>
          <w:sz w:val="24"/>
          <w:szCs w:val="24"/>
        </w:rPr>
      </w:pPr>
    </w:p>
    <w:p w:rsidR="00A273CE" w:rsidRPr="00441800" w:rsidRDefault="00A273CE" w:rsidP="00200155">
      <w:pPr>
        <w:spacing w:after="0"/>
        <w:jc w:val="both"/>
        <w:rPr>
          <w:rFonts w:ascii="Times New Roman" w:hAnsi="Times New Roman" w:cs="Times New Roman"/>
          <w:sz w:val="24"/>
          <w:szCs w:val="24"/>
        </w:rPr>
      </w:pPr>
    </w:p>
    <w:p w:rsidR="00AA17E3" w:rsidRDefault="00AA17E3" w:rsidP="00200155">
      <w:pPr>
        <w:spacing w:after="0"/>
        <w:rPr>
          <w:rFonts w:ascii="Times New Roman" w:hAnsi="Times New Roman"/>
          <w:b/>
          <w:color w:val="5B9BD5" w:themeColor="accent1"/>
          <w:sz w:val="24"/>
          <w:szCs w:val="24"/>
        </w:rPr>
      </w:pPr>
      <w:r w:rsidRPr="00441800">
        <w:rPr>
          <w:rFonts w:ascii="Times New Roman" w:hAnsi="Times New Roman"/>
          <w:b/>
          <w:color w:val="5B9BD5" w:themeColor="accent1"/>
          <w:sz w:val="24"/>
          <w:szCs w:val="24"/>
        </w:rPr>
        <w:t>Regionálny rozvoj</w:t>
      </w:r>
    </w:p>
    <w:p w:rsidR="00200155" w:rsidRPr="00441800" w:rsidRDefault="00200155" w:rsidP="00200155">
      <w:pPr>
        <w:spacing w:after="0"/>
        <w:rPr>
          <w:rFonts w:ascii="Times New Roman" w:hAnsi="Times New Roman"/>
          <w:b/>
          <w:color w:val="5B9BD5" w:themeColor="accent1"/>
          <w:sz w:val="24"/>
          <w:szCs w:val="24"/>
        </w:rPr>
      </w:pPr>
    </w:p>
    <w:p w:rsidR="00AA17E3" w:rsidRPr="00AC32DF" w:rsidRDefault="00AA17E3" w:rsidP="00200155">
      <w:pPr>
        <w:keepNext/>
        <w:spacing w:after="0"/>
        <w:rPr>
          <w:rFonts w:ascii="Times New Roman" w:hAnsi="Times New Roman" w:cs="Times New Roman"/>
          <w:b/>
          <w:iCs/>
          <w:color w:val="5B9BD5" w:themeColor="accent1"/>
          <w:sz w:val="20"/>
          <w:szCs w:val="20"/>
        </w:rPr>
      </w:pPr>
      <w:bookmarkStart w:id="580" w:name="_Toc84528483"/>
      <w:bookmarkStart w:id="581" w:name="_Toc84845359"/>
      <w:r w:rsidRPr="00A04AF0">
        <w:rPr>
          <w:rFonts w:ascii="Times New Roman" w:hAnsi="Times New Roman" w:cs="Times New Roman"/>
          <w:b/>
          <w:color w:val="5B9BD5" w:themeColor="accent1"/>
          <w:sz w:val="20"/>
          <w:szCs w:val="20"/>
        </w:rPr>
        <w:t xml:space="preserve">Tabuľka </w:t>
      </w:r>
      <w:r w:rsidRPr="00441800">
        <w:rPr>
          <w:rFonts w:ascii="Times New Roman" w:hAnsi="Times New Roman" w:cs="Times New Roman"/>
          <w:b/>
          <w:color w:val="5B9BD5" w:themeColor="accent1"/>
          <w:sz w:val="20"/>
          <w:szCs w:val="20"/>
        </w:rPr>
        <w:fldChar w:fldCharType="begin"/>
      </w:r>
      <w:r w:rsidRPr="00441800">
        <w:rPr>
          <w:rFonts w:ascii="Times New Roman" w:hAnsi="Times New Roman" w:cs="Times New Roman"/>
          <w:b/>
          <w:color w:val="5B9BD5" w:themeColor="accent1"/>
          <w:sz w:val="20"/>
          <w:szCs w:val="20"/>
        </w:rPr>
        <w:instrText xml:space="preserve"> SEQ Tabuľka \* ARABIC </w:instrText>
      </w:r>
      <w:r w:rsidRPr="00441800">
        <w:rPr>
          <w:rFonts w:ascii="Times New Roman" w:hAnsi="Times New Roman" w:cs="Times New Roman"/>
          <w:b/>
          <w:color w:val="5B9BD5" w:themeColor="accent1"/>
          <w:sz w:val="20"/>
          <w:szCs w:val="20"/>
        </w:rPr>
        <w:fldChar w:fldCharType="separate"/>
      </w:r>
      <w:r w:rsidR="006E67C6">
        <w:rPr>
          <w:rFonts w:ascii="Times New Roman" w:hAnsi="Times New Roman" w:cs="Times New Roman"/>
          <w:b/>
          <w:noProof/>
          <w:color w:val="5B9BD5" w:themeColor="accent1"/>
          <w:sz w:val="20"/>
          <w:szCs w:val="20"/>
        </w:rPr>
        <w:t>135</w:t>
      </w:r>
      <w:r w:rsidRPr="00441800">
        <w:rPr>
          <w:rFonts w:ascii="Times New Roman" w:hAnsi="Times New Roman" w:cs="Times New Roman"/>
          <w:b/>
          <w:color w:val="5B9BD5" w:themeColor="accent1"/>
          <w:sz w:val="20"/>
          <w:szCs w:val="20"/>
        </w:rPr>
        <w:fldChar w:fldCharType="end"/>
      </w:r>
      <w:r w:rsidRPr="00441800">
        <w:rPr>
          <w:rFonts w:ascii="Times New Roman" w:hAnsi="Times New Roman" w:cs="Times New Roman"/>
          <w:b/>
          <w:iCs/>
          <w:color w:val="5B9BD5" w:themeColor="accent1"/>
          <w:sz w:val="20"/>
          <w:szCs w:val="20"/>
        </w:rPr>
        <w:t xml:space="preserve"> </w:t>
      </w:r>
      <w:r w:rsidR="00B949EE">
        <w:rPr>
          <w:rFonts w:ascii="Times New Roman" w:hAnsi="Times New Roman" w:cs="Times New Roman"/>
          <w:b/>
          <w:iCs/>
          <w:color w:val="5B9BD5" w:themeColor="accent1"/>
          <w:sz w:val="20"/>
          <w:szCs w:val="20"/>
        </w:rPr>
        <w:t>– Výdavky na</w:t>
      </w:r>
      <w:r>
        <w:rPr>
          <w:rFonts w:ascii="Times New Roman" w:hAnsi="Times New Roman" w:cs="Times New Roman"/>
          <w:b/>
          <w:iCs/>
          <w:color w:val="5B9BD5" w:themeColor="accent1"/>
          <w:sz w:val="20"/>
          <w:szCs w:val="20"/>
        </w:rPr>
        <w:t xml:space="preserve"> </w:t>
      </w:r>
      <w:r w:rsidR="00B949EE">
        <w:rPr>
          <w:rFonts w:ascii="Times New Roman" w:hAnsi="Times New Roman" w:cs="Times New Roman"/>
          <w:b/>
          <w:iCs/>
          <w:color w:val="5B9BD5" w:themeColor="accent1"/>
          <w:sz w:val="20"/>
          <w:szCs w:val="20"/>
        </w:rPr>
        <w:t>r</w:t>
      </w:r>
      <w:r w:rsidRPr="00AC32DF">
        <w:rPr>
          <w:rFonts w:ascii="Times New Roman" w:hAnsi="Times New Roman" w:cs="Times New Roman"/>
          <w:b/>
          <w:iCs/>
          <w:color w:val="5B9BD5" w:themeColor="accent1"/>
          <w:sz w:val="20"/>
          <w:szCs w:val="20"/>
        </w:rPr>
        <w:t>egionálny rozvoj</w:t>
      </w:r>
      <w:bookmarkEnd w:id="580"/>
      <w:bookmarkEnd w:id="581"/>
    </w:p>
    <w:tbl>
      <w:tblPr>
        <w:tblW w:w="5000" w:type="pct"/>
        <w:tblCellMar>
          <w:left w:w="70" w:type="dxa"/>
          <w:right w:w="70" w:type="dxa"/>
        </w:tblCellMar>
        <w:tblLook w:val="04A0" w:firstRow="1" w:lastRow="0" w:firstColumn="1" w:lastColumn="0" w:noHBand="0" w:noVBand="1"/>
      </w:tblPr>
      <w:tblGrid>
        <w:gridCol w:w="3531"/>
        <w:gridCol w:w="791"/>
        <w:gridCol w:w="793"/>
        <w:gridCol w:w="791"/>
        <w:gridCol w:w="793"/>
        <w:gridCol w:w="791"/>
        <w:gridCol w:w="793"/>
        <w:gridCol w:w="789"/>
      </w:tblGrid>
      <w:tr w:rsidR="00AA17E3" w:rsidRPr="00AC32DF" w:rsidTr="00AA17E3">
        <w:trPr>
          <w:trHeight w:hRule="exact" w:val="255"/>
        </w:trPr>
        <w:tc>
          <w:tcPr>
            <w:tcW w:w="1946" w:type="pct"/>
            <w:tcBorders>
              <w:top w:val="single" w:sz="4" w:space="0" w:color="auto"/>
              <w:left w:val="nil"/>
              <w:bottom w:val="single" w:sz="4" w:space="0" w:color="auto"/>
              <w:right w:val="nil"/>
            </w:tcBorders>
            <w:shd w:val="clear" w:color="auto" w:fill="auto"/>
            <w:noWrap/>
            <w:vAlign w:val="bottom"/>
            <w:hideMark/>
          </w:tcPr>
          <w:p w:rsidR="00AA17E3" w:rsidRPr="00AC32DF" w:rsidRDefault="00AA17E3" w:rsidP="00AA17E3">
            <w:pPr>
              <w:rPr>
                <w:rFonts w:ascii="Times New Roman" w:hAnsi="Times New Roman"/>
                <w:b/>
                <w:bCs/>
                <w:color w:val="000000"/>
                <w:sz w:val="16"/>
                <w:szCs w:val="16"/>
                <w:lang w:eastAsia="sk-SK"/>
              </w:rPr>
            </w:pPr>
            <w:r w:rsidRPr="00AC32DF">
              <w:rPr>
                <w:rFonts w:ascii="Times New Roman" w:hAnsi="Times New Roman"/>
                <w:b/>
                <w:bCs/>
                <w:color w:val="000000"/>
                <w:sz w:val="16"/>
                <w:szCs w:val="16"/>
                <w:lang w:eastAsia="sk-SK"/>
              </w:rPr>
              <w:t>v tis. eur</w:t>
            </w:r>
          </w:p>
        </w:tc>
        <w:tc>
          <w:tcPr>
            <w:tcW w:w="436"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2019 S</w:t>
            </w:r>
          </w:p>
        </w:tc>
        <w:tc>
          <w:tcPr>
            <w:tcW w:w="437"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2020 S</w:t>
            </w:r>
          </w:p>
        </w:tc>
        <w:tc>
          <w:tcPr>
            <w:tcW w:w="436"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2021 R</w:t>
            </w:r>
          </w:p>
        </w:tc>
        <w:tc>
          <w:tcPr>
            <w:tcW w:w="437"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2021 OS</w:t>
            </w:r>
          </w:p>
        </w:tc>
        <w:tc>
          <w:tcPr>
            <w:tcW w:w="436"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2022 N</w:t>
            </w:r>
          </w:p>
        </w:tc>
        <w:tc>
          <w:tcPr>
            <w:tcW w:w="437"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2023 N</w:t>
            </w:r>
          </w:p>
        </w:tc>
        <w:tc>
          <w:tcPr>
            <w:tcW w:w="435" w:type="pct"/>
            <w:tcBorders>
              <w:top w:val="single" w:sz="4" w:space="0" w:color="auto"/>
              <w:left w:val="nil"/>
              <w:bottom w:val="single" w:sz="4" w:space="0" w:color="auto"/>
              <w:right w:val="nil"/>
            </w:tcBorders>
            <w:shd w:val="clear" w:color="auto" w:fill="auto"/>
            <w:noWrap/>
            <w:hideMark/>
          </w:tcPr>
          <w:p w:rsidR="00AA17E3" w:rsidRPr="00AC32DF" w:rsidRDefault="00AA17E3" w:rsidP="00AA17E3">
            <w:pPr>
              <w:jc w:val="right"/>
              <w:rPr>
                <w:rFonts w:ascii="Times New Roman" w:hAnsi="Times New Roman" w:cs="Times New Roman"/>
                <w:b/>
                <w:sz w:val="16"/>
                <w:szCs w:val="16"/>
              </w:rPr>
            </w:pPr>
            <w:r w:rsidRPr="00AC32DF">
              <w:rPr>
                <w:rFonts w:ascii="Times New Roman" w:hAnsi="Times New Roman" w:cs="Times New Roman"/>
                <w:b/>
                <w:sz w:val="16"/>
                <w:szCs w:val="16"/>
              </w:rPr>
              <w:t>2024 N</w:t>
            </w:r>
          </w:p>
        </w:tc>
      </w:tr>
      <w:tr w:rsidR="00AA17E3" w:rsidRPr="00AC32DF" w:rsidTr="00AA17E3">
        <w:trPr>
          <w:trHeight w:hRule="exact" w:val="255"/>
        </w:trPr>
        <w:tc>
          <w:tcPr>
            <w:tcW w:w="1946" w:type="pct"/>
            <w:tcBorders>
              <w:top w:val="nil"/>
              <w:left w:val="nil"/>
              <w:bottom w:val="nil"/>
              <w:right w:val="nil"/>
            </w:tcBorders>
            <w:shd w:val="clear" w:color="auto" w:fill="auto"/>
            <w:noWrap/>
            <w:vAlign w:val="bottom"/>
            <w:hideMark/>
          </w:tcPr>
          <w:p w:rsidR="00AA17E3" w:rsidRPr="00AC32DF" w:rsidRDefault="00AA17E3" w:rsidP="00AA17E3">
            <w:pPr>
              <w:rPr>
                <w:rFonts w:ascii="Times New Roman" w:hAnsi="Times New Roman"/>
                <w:b/>
                <w:bCs/>
                <w:color w:val="000000"/>
                <w:sz w:val="16"/>
                <w:szCs w:val="16"/>
                <w:lang w:eastAsia="sk-SK"/>
              </w:rPr>
            </w:pPr>
            <w:r w:rsidRPr="00AC32DF">
              <w:rPr>
                <w:rFonts w:ascii="Times New Roman" w:hAnsi="Times New Roman"/>
                <w:b/>
                <w:bCs/>
                <w:color w:val="000000"/>
                <w:sz w:val="16"/>
                <w:szCs w:val="16"/>
                <w:lang w:eastAsia="sk-SK"/>
              </w:rPr>
              <w:t>Regionálny rozvoj</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29 203</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143 367</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14 295</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294 314</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477 189</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951 113</w:t>
            </w:r>
          </w:p>
        </w:tc>
        <w:tc>
          <w:tcPr>
            <w:tcW w:w="435"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b/>
                <w:bCs/>
                <w:color w:val="000000"/>
                <w:sz w:val="16"/>
                <w:szCs w:val="16"/>
              </w:rPr>
            </w:pPr>
            <w:r w:rsidRPr="00AC32DF">
              <w:rPr>
                <w:rFonts w:ascii="Times New Roman" w:hAnsi="Times New Roman" w:cs="Times New Roman"/>
                <w:b/>
                <w:bCs/>
                <w:color w:val="000000"/>
                <w:sz w:val="16"/>
                <w:szCs w:val="16"/>
              </w:rPr>
              <w:t>15 840</w:t>
            </w:r>
          </w:p>
        </w:tc>
      </w:tr>
      <w:tr w:rsidR="00AA17E3" w:rsidRPr="00AC32DF" w:rsidTr="00AA17E3">
        <w:trPr>
          <w:trHeight w:hRule="exact" w:val="255"/>
        </w:trPr>
        <w:tc>
          <w:tcPr>
            <w:tcW w:w="1946" w:type="pct"/>
            <w:tcBorders>
              <w:top w:val="nil"/>
              <w:left w:val="nil"/>
              <w:bottom w:val="nil"/>
              <w:right w:val="nil"/>
            </w:tcBorders>
            <w:shd w:val="clear" w:color="auto" w:fill="auto"/>
            <w:noWrap/>
            <w:vAlign w:val="bottom"/>
            <w:hideMark/>
          </w:tcPr>
          <w:p w:rsidR="00AA17E3" w:rsidRPr="00AC32DF" w:rsidRDefault="00AA17E3" w:rsidP="00AA17E3">
            <w:pPr>
              <w:rPr>
                <w:rFonts w:ascii="Times New Roman" w:hAnsi="Times New Roman"/>
                <w:color w:val="000000"/>
                <w:sz w:val="16"/>
                <w:szCs w:val="16"/>
                <w:lang w:eastAsia="sk-SK"/>
              </w:rPr>
            </w:pPr>
            <w:r w:rsidRPr="00AC32DF">
              <w:rPr>
                <w:rFonts w:ascii="Times New Roman" w:hAnsi="Times New Roman"/>
                <w:color w:val="000000"/>
                <w:sz w:val="16"/>
                <w:szCs w:val="16"/>
                <w:lang w:eastAsia="sk-SK"/>
              </w:rPr>
              <w:t>Podpora regionálneho rozvoja</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1 150</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2 260</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1 110</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21 110</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1 110</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1 110</w:t>
            </w:r>
          </w:p>
        </w:tc>
        <w:tc>
          <w:tcPr>
            <w:tcW w:w="435"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1 110</w:t>
            </w:r>
          </w:p>
        </w:tc>
      </w:tr>
      <w:tr w:rsidR="00AA17E3" w:rsidRPr="00AC32DF" w:rsidTr="00AA17E3">
        <w:trPr>
          <w:trHeight w:hRule="exact" w:val="255"/>
        </w:trPr>
        <w:tc>
          <w:tcPr>
            <w:tcW w:w="1946" w:type="pct"/>
            <w:tcBorders>
              <w:top w:val="nil"/>
              <w:left w:val="nil"/>
              <w:bottom w:val="nil"/>
              <w:right w:val="nil"/>
            </w:tcBorders>
            <w:shd w:val="clear" w:color="auto" w:fill="auto"/>
            <w:noWrap/>
            <w:vAlign w:val="bottom"/>
            <w:hideMark/>
          </w:tcPr>
          <w:p w:rsidR="00AA17E3" w:rsidRPr="00AC32DF" w:rsidRDefault="00AA17E3" w:rsidP="00AA17E3">
            <w:pPr>
              <w:rPr>
                <w:rFonts w:ascii="Times New Roman" w:hAnsi="Times New Roman"/>
                <w:color w:val="000000"/>
                <w:sz w:val="16"/>
                <w:szCs w:val="16"/>
                <w:lang w:eastAsia="sk-SK"/>
              </w:rPr>
            </w:pPr>
            <w:r w:rsidRPr="00AC32DF">
              <w:rPr>
                <w:rFonts w:ascii="Times New Roman" w:hAnsi="Times New Roman"/>
                <w:color w:val="000000"/>
                <w:sz w:val="16"/>
                <w:szCs w:val="16"/>
                <w:lang w:eastAsia="sk-SK"/>
              </w:rPr>
              <w:t>Regionálny príspevok pre najmenej rozvinuté okresy</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17 294</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24 651</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13 185</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13 185</w:t>
            </w:r>
          </w:p>
        </w:tc>
        <w:tc>
          <w:tcPr>
            <w:tcW w:w="436"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10 340</w:t>
            </w:r>
          </w:p>
        </w:tc>
        <w:tc>
          <w:tcPr>
            <w:tcW w:w="437"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8 896</w:t>
            </w:r>
          </w:p>
        </w:tc>
        <w:tc>
          <w:tcPr>
            <w:tcW w:w="435" w:type="pct"/>
            <w:tcBorders>
              <w:top w:val="nil"/>
              <w:left w:val="nil"/>
              <w:bottom w:val="nil"/>
              <w:right w:val="nil"/>
            </w:tcBorders>
            <w:shd w:val="clear" w:color="auto" w:fill="auto"/>
            <w:noWrap/>
            <w:vAlign w:val="bottom"/>
            <w:hideMark/>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8 896</w:t>
            </w:r>
          </w:p>
        </w:tc>
      </w:tr>
      <w:tr w:rsidR="00AA17E3" w:rsidRPr="00AC32DF" w:rsidTr="00AA17E3">
        <w:trPr>
          <w:trHeight w:hRule="exact" w:val="255"/>
        </w:trPr>
        <w:tc>
          <w:tcPr>
            <w:tcW w:w="1946" w:type="pct"/>
            <w:tcBorders>
              <w:top w:val="nil"/>
              <w:left w:val="nil"/>
              <w:bottom w:val="single" w:sz="4" w:space="0" w:color="auto"/>
              <w:right w:val="nil"/>
            </w:tcBorders>
            <w:shd w:val="clear" w:color="auto" w:fill="auto"/>
            <w:noWrap/>
            <w:vAlign w:val="bottom"/>
          </w:tcPr>
          <w:p w:rsidR="00AA17E3" w:rsidRPr="00AC32DF" w:rsidRDefault="00AA17E3" w:rsidP="00AA17E3">
            <w:pPr>
              <w:rPr>
                <w:rFonts w:ascii="Times New Roman" w:hAnsi="Times New Roman"/>
                <w:color w:val="000000"/>
                <w:sz w:val="16"/>
                <w:szCs w:val="16"/>
                <w:lang w:eastAsia="sk-SK"/>
              </w:rPr>
            </w:pPr>
            <w:r>
              <w:rPr>
                <w:rFonts w:ascii="Times New Roman" w:hAnsi="Times New Roman"/>
                <w:color w:val="000000"/>
                <w:sz w:val="16"/>
                <w:szCs w:val="16"/>
                <w:lang w:eastAsia="sk-SK"/>
              </w:rPr>
              <w:t xml:space="preserve">Regionálny rozvoj z prostriedkov </w:t>
            </w:r>
            <w:r w:rsidRPr="00AC32DF">
              <w:rPr>
                <w:rFonts w:ascii="Times New Roman" w:hAnsi="Times New Roman"/>
                <w:color w:val="000000"/>
                <w:sz w:val="16"/>
                <w:szCs w:val="16"/>
                <w:lang w:eastAsia="sk-SK"/>
              </w:rPr>
              <w:t>Európskej únie</w:t>
            </w:r>
          </w:p>
        </w:tc>
        <w:tc>
          <w:tcPr>
            <w:tcW w:w="436"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10 760</w:t>
            </w:r>
          </w:p>
        </w:tc>
        <w:tc>
          <w:tcPr>
            <w:tcW w:w="437"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116 456</w:t>
            </w:r>
          </w:p>
        </w:tc>
        <w:tc>
          <w:tcPr>
            <w:tcW w:w="436"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0</w:t>
            </w:r>
          </w:p>
        </w:tc>
        <w:tc>
          <w:tcPr>
            <w:tcW w:w="437"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260 018</w:t>
            </w:r>
          </w:p>
        </w:tc>
        <w:tc>
          <w:tcPr>
            <w:tcW w:w="436"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465 739</w:t>
            </w:r>
          </w:p>
        </w:tc>
        <w:tc>
          <w:tcPr>
            <w:tcW w:w="437"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941 107</w:t>
            </w:r>
          </w:p>
        </w:tc>
        <w:tc>
          <w:tcPr>
            <w:tcW w:w="435" w:type="pct"/>
            <w:tcBorders>
              <w:top w:val="nil"/>
              <w:left w:val="nil"/>
              <w:bottom w:val="single" w:sz="4" w:space="0" w:color="auto"/>
              <w:right w:val="nil"/>
            </w:tcBorders>
            <w:shd w:val="clear" w:color="auto" w:fill="auto"/>
            <w:noWrap/>
            <w:vAlign w:val="bottom"/>
          </w:tcPr>
          <w:p w:rsidR="00AA17E3" w:rsidRPr="00AC32DF" w:rsidRDefault="00AA17E3" w:rsidP="00AA17E3">
            <w:pPr>
              <w:jc w:val="right"/>
              <w:rPr>
                <w:rFonts w:ascii="Times New Roman" w:hAnsi="Times New Roman" w:cs="Times New Roman"/>
                <w:color w:val="000000"/>
                <w:sz w:val="16"/>
                <w:szCs w:val="16"/>
              </w:rPr>
            </w:pPr>
            <w:r w:rsidRPr="00AC32DF">
              <w:rPr>
                <w:rFonts w:ascii="Times New Roman" w:hAnsi="Times New Roman" w:cs="Times New Roman"/>
                <w:color w:val="000000"/>
                <w:sz w:val="16"/>
                <w:szCs w:val="16"/>
              </w:rPr>
              <w:t>5 835</w:t>
            </w:r>
          </w:p>
        </w:tc>
      </w:tr>
    </w:tbl>
    <w:p w:rsidR="00AA17E3" w:rsidRPr="00883413" w:rsidRDefault="00AA17E3" w:rsidP="00200155">
      <w:pPr>
        <w:spacing w:after="0"/>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Zdroj: MF SR</w:t>
      </w:r>
    </w:p>
    <w:p w:rsidR="00200155" w:rsidRDefault="00200155" w:rsidP="00200155">
      <w:pPr>
        <w:spacing w:after="0"/>
        <w:jc w:val="both"/>
        <w:rPr>
          <w:rFonts w:ascii="Times New Roman" w:hAnsi="Times New Roman"/>
          <w:sz w:val="24"/>
          <w:szCs w:val="24"/>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 xml:space="preserve">V zmysle novely zákona č. 134/2020 Z. z., ktorým sa mení a dopĺňa zákon č. 575/2001 Z. z. o organizácii činnosti vlády a organizácii ústrednej štátnej správy, došlo k 1. júlu 2020 k transformácii Úradu podpredsedu vlády SR pre investície a informatizáciu na Ministerstvo investícií, regionálneho rozvoja a informatizácie SR, ktoré má v kompetencii regionálny rozvoj, vrátane koordinácie prípravy politík regionálneho rozvoja. </w:t>
      </w:r>
    </w:p>
    <w:p w:rsidR="00200155" w:rsidRPr="00441800" w:rsidRDefault="00200155" w:rsidP="00200155">
      <w:pPr>
        <w:spacing w:after="0"/>
        <w:jc w:val="both"/>
        <w:rPr>
          <w:rFonts w:ascii="Times New Roman" w:hAnsi="Times New Roman"/>
          <w:sz w:val="24"/>
          <w:szCs w:val="24"/>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V súlade so zákonom č. 539/2008 Z. z. o podpore regionálneho rozvoja sa rozpočtujú dotácie prostredníctvom projektov zameraných na odstraňovanie alebo zmierňovanie nežiaducich rozdielov v úrovni hospodárskeho rozvoja, sociálneho rozvoja a územného rozvoja regiónov, zvyšovanie ekonomickej výkonnosti regiónov a zvyšovanie zamestnanosti a životnej úrovne obyvateľov v regiónoch, pri zabezpečení trvalo udržateľného rozvoja regiónov.</w:t>
      </w:r>
    </w:p>
    <w:p w:rsidR="00200155" w:rsidRPr="00441800" w:rsidRDefault="00200155" w:rsidP="00200155">
      <w:pPr>
        <w:spacing w:after="0"/>
        <w:jc w:val="both"/>
        <w:rPr>
          <w:rFonts w:ascii="Times New Roman" w:hAnsi="Times New Roman"/>
          <w:sz w:val="24"/>
          <w:szCs w:val="24"/>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 xml:space="preserve">V súlade so zákonom č. 336/2015 o podpore najmenej rozvinutých okresov je poskytovaná podpora najmenej rozvinutým okresom. Prijímateľom podpory v najmenej rozvinutom okrese sú subjekty územnej spolupráce a iné právnické osoby.  </w:t>
      </w:r>
    </w:p>
    <w:p w:rsidR="00200155" w:rsidRPr="00441800" w:rsidRDefault="00200155" w:rsidP="00200155">
      <w:pPr>
        <w:spacing w:after="0"/>
        <w:jc w:val="both"/>
        <w:rPr>
          <w:rFonts w:ascii="Times New Roman" w:hAnsi="Times New Roman"/>
          <w:sz w:val="24"/>
          <w:szCs w:val="24"/>
        </w:rPr>
      </w:pPr>
    </w:p>
    <w:p w:rsidR="00AA17E3" w:rsidRPr="00441800" w:rsidRDefault="00AA17E3" w:rsidP="00200155">
      <w:pPr>
        <w:spacing w:after="0"/>
        <w:jc w:val="both"/>
        <w:rPr>
          <w:rFonts w:ascii="Times New Roman" w:hAnsi="Times New Roman"/>
          <w:sz w:val="24"/>
          <w:szCs w:val="24"/>
        </w:rPr>
      </w:pPr>
      <w:r w:rsidRPr="00441800">
        <w:rPr>
          <w:rFonts w:ascii="Times New Roman" w:hAnsi="Times New Roman"/>
          <w:sz w:val="24"/>
          <w:szCs w:val="24"/>
        </w:rPr>
        <w:t>V ro</w:t>
      </w:r>
      <w:r w:rsidR="00CD79A5">
        <w:rPr>
          <w:rFonts w:ascii="Times New Roman" w:hAnsi="Times New Roman"/>
          <w:sz w:val="24"/>
          <w:szCs w:val="24"/>
        </w:rPr>
        <w:t>ku 2020 skončila implementácia a</w:t>
      </w:r>
      <w:r w:rsidRPr="00441800">
        <w:rPr>
          <w:rFonts w:ascii="Times New Roman" w:hAnsi="Times New Roman"/>
          <w:sz w:val="24"/>
          <w:szCs w:val="24"/>
        </w:rPr>
        <w:t>kčných plánov okresov, ktoré boli medzi najmenej rozvinuté zaradené v roku 2015. Dňa 26. mája 2021 vláda schválila novelu zákona o podpore najmenej rozvinutých okresov. Novela prinesie zjednodušenie procesu schvaľovania záväzných dokumentov týkajúcich sa poskytovania regionálneho príspevku. Nahrádzajú sa vládou schválené dva záväzné dokumenty, t. j. Akčný plán najmenej rozvinutého okresu a Ročné priority, jedným záväzným dokumentom Plánom rozvoja, ktorý ako komplexný dokument pre poskytovanie podpory najmenej rozvinutému okresu bude obsahovať súbor konkrétnych aktivít na riešenie rozvojového problému v regióne. V rozpočte kapitoly Ministerstvo investícií, regionálneho rozvoja a informatizáci</w:t>
      </w:r>
      <w:r w:rsidR="00CD79A5">
        <w:rPr>
          <w:rFonts w:ascii="Times New Roman" w:hAnsi="Times New Roman"/>
          <w:sz w:val="24"/>
          <w:szCs w:val="24"/>
        </w:rPr>
        <w:t>e SR je na rok 2022 plánovaných na r</w:t>
      </w:r>
      <w:r w:rsidRPr="00441800">
        <w:rPr>
          <w:rFonts w:ascii="Times New Roman" w:hAnsi="Times New Roman"/>
          <w:sz w:val="24"/>
          <w:szCs w:val="24"/>
        </w:rPr>
        <w:t>egionálny príspevok pre najmenej rozvinuté okresy 10,3 mil. eur.</w:t>
      </w:r>
    </w:p>
    <w:p w:rsidR="00200155" w:rsidRDefault="00200155" w:rsidP="00200155">
      <w:pPr>
        <w:spacing w:after="0"/>
        <w:jc w:val="both"/>
        <w:rPr>
          <w:rFonts w:ascii="Times New Roman" w:hAnsi="Times New Roman"/>
          <w:sz w:val="24"/>
          <w:szCs w:val="24"/>
        </w:rPr>
      </w:pPr>
    </w:p>
    <w:p w:rsidR="00AA17E3" w:rsidRPr="00441800" w:rsidRDefault="00AA17E3" w:rsidP="00200155">
      <w:pPr>
        <w:spacing w:after="0"/>
        <w:jc w:val="both"/>
        <w:rPr>
          <w:rFonts w:ascii="Times New Roman" w:hAnsi="Times New Roman"/>
          <w:sz w:val="24"/>
          <w:szCs w:val="24"/>
        </w:rPr>
      </w:pPr>
      <w:r w:rsidRPr="00441800">
        <w:rPr>
          <w:rFonts w:ascii="Times New Roman" w:hAnsi="Times New Roman"/>
          <w:sz w:val="24"/>
          <w:szCs w:val="24"/>
        </w:rPr>
        <w:t>Do kompetencie Ministerstva investícií, regionálneho rozvoja a informatizácie SR prešli prostriedky Európskej únie na Integrovaný regionálny operačný program 2014–2020. Cieľom Integrovaného regionálneho operačného programu je prispieť k zlepšeniu kvality života a zabezpečiť udržateľné poskytovanie verejných služieb s dopadom na vyvážený a udržateľný územný rozvoj, hospodársku, územnú a sociálnu súdržnosť regiónov, miest a obcí.</w:t>
      </w:r>
    </w:p>
    <w:p w:rsidR="00AA17E3" w:rsidRPr="00441800" w:rsidRDefault="00AA17E3" w:rsidP="00200155">
      <w:pPr>
        <w:autoSpaceDE w:val="0"/>
        <w:autoSpaceDN w:val="0"/>
        <w:adjustRightInd w:val="0"/>
        <w:spacing w:after="0"/>
        <w:jc w:val="both"/>
        <w:rPr>
          <w:rFonts w:ascii="Times New Roman" w:hAnsi="Times New Roman" w:cs="Times New Roman"/>
          <w:color w:val="000000"/>
          <w:sz w:val="24"/>
          <w:szCs w:val="24"/>
          <w:lang w:eastAsia="sk-SK"/>
        </w:rPr>
      </w:pPr>
    </w:p>
    <w:p w:rsidR="00AA17E3" w:rsidRDefault="00AA17E3" w:rsidP="00200155">
      <w:pPr>
        <w:spacing w:after="0"/>
        <w:jc w:val="both"/>
        <w:rPr>
          <w:rFonts w:ascii="Times New Roman" w:hAnsi="Times New Roman" w:cs="Times New Roman"/>
          <w:b/>
          <w:sz w:val="24"/>
          <w:szCs w:val="24"/>
          <w:lang w:eastAsia="sk-SK"/>
        </w:rPr>
      </w:pPr>
      <w:r w:rsidRPr="00441800">
        <w:rPr>
          <w:rFonts w:ascii="Times New Roman" w:hAnsi="Times New Roman"/>
          <w:b/>
          <w:color w:val="5B9BD5" w:themeColor="accent1"/>
          <w:sz w:val="24"/>
          <w:szCs w:val="24"/>
        </w:rPr>
        <w:t>Podpora cestovného ruchu</w:t>
      </w:r>
      <w:r w:rsidRPr="00441800">
        <w:rPr>
          <w:rFonts w:ascii="Times New Roman" w:hAnsi="Times New Roman" w:cs="Times New Roman"/>
          <w:b/>
          <w:sz w:val="24"/>
          <w:szCs w:val="24"/>
          <w:lang w:eastAsia="sk-SK"/>
        </w:rPr>
        <w:t xml:space="preserve"> </w:t>
      </w:r>
    </w:p>
    <w:p w:rsidR="00200155" w:rsidRPr="00441800" w:rsidRDefault="00200155" w:rsidP="00200155">
      <w:pPr>
        <w:spacing w:after="0"/>
        <w:jc w:val="both"/>
        <w:rPr>
          <w:rFonts w:ascii="Times New Roman" w:hAnsi="Times New Roman" w:cs="Times New Roman"/>
          <w:b/>
          <w:sz w:val="24"/>
          <w:szCs w:val="24"/>
          <w:lang w:eastAsia="sk-SK"/>
        </w:rPr>
      </w:pPr>
    </w:p>
    <w:p w:rsidR="00AA17E3" w:rsidRDefault="00AA17E3" w:rsidP="00200155">
      <w:pPr>
        <w:spacing w:after="0"/>
        <w:jc w:val="both"/>
        <w:rPr>
          <w:rFonts w:ascii="Times New Roman" w:hAnsi="Times New Roman"/>
          <w:sz w:val="24"/>
          <w:szCs w:val="24"/>
        </w:rPr>
      </w:pPr>
      <w:r w:rsidRPr="00441800">
        <w:rPr>
          <w:rFonts w:ascii="Times New Roman" w:hAnsi="Times New Roman"/>
          <w:sz w:val="24"/>
          <w:szCs w:val="24"/>
        </w:rPr>
        <w:t>Výdavky na podporu cestovného ruchu na rok 2022 sa navrhujú vo výške 53,0 mil. eur. Z uvedenej sumy je určených 9,23 mil. eur na dotácie na podporu cestovného ruchu pre oblastné a krajské organizácie cestovného ruchu poskytované v súlade so zákonom č. 91/2010 Z. z. o podpore cestovného ruchu v znení neskorších predpisov. Zároveň sa n</w:t>
      </w:r>
      <w:r w:rsidR="00CD79A5">
        <w:rPr>
          <w:rFonts w:ascii="Times New Roman" w:hAnsi="Times New Roman"/>
          <w:sz w:val="24"/>
          <w:szCs w:val="24"/>
        </w:rPr>
        <w:t>a propagáciu cestovného ruchu</w:t>
      </w:r>
      <w:r w:rsidRPr="00441800">
        <w:rPr>
          <w:rFonts w:ascii="Times New Roman" w:hAnsi="Times New Roman"/>
          <w:sz w:val="24"/>
          <w:szCs w:val="24"/>
        </w:rPr>
        <w:t xml:space="preserve"> navrhujú výdavky v sume 1,76 mil. eur. V rámci oblasti cestovného ruchu sú na rok 2022 zohľadnené tiež výdavky v sume 20,0 mil. eur, určené na štátnu pomoc v oblasti cestovné</w:t>
      </w:r>
      <w:r w:rsidR="00CD79A5">
        <w:rPr>
          <w:rFonts w:ascii="Times New Roman" w:hAnsi="Times New Roman"/>
          <w:sz w:val="24"/>
          <w:szCs w:val="24"/>
        </w:rPr>
        <w:t>ho ruchu v súvislosti s COVID-</w:t>
      </w:r>
      <w:r w:rsidRPr="00441800">
        <w:rPr>
          <w:rFonts w:ascii="Times New Roman" w:hAnsi="Times New Roman"/>
          <w:sz w:val="24"/>
          <w:szCs w:val="24"/>
        </w:rPr>
        <w:t xml:space="preserve">19 a výdavky v sume 22,1 mil. eur, ktoré sú určené na propagáciu a prezentáciu SR v zahraničí a na Slovensku ako atraktívnej turistickej destinácie  prostredníctvom novovzniknutej organizácie Slovakia Travel, ktorej úlohou je aj komunikácia, marketing a konkrétna podpora dôležitých projektov doma a v zahraničí.  </w:t>
      </w:r>
    </w:p>
    <w:p w:rsidR="00200155" w:rsidRPr="00441800" w:rsidRDefault="00200155" w:rsidP="00200155">
      <w:pPr>
        <w:spacing w:after="0"/>
        <w:jc w:val="both"/>
        <w:rPr>
          <w:rFonts w:ascii="Times New Roman" w:hAnsi="Times New Roman"/>
          <w:sz w:val="24"/>
          <w:szCs w:val="24"/>
        </w:rPr>
      </w:pPr>
    </w:p>
    <w:p w:rsidR="00AA17E3" w:rsidRPr="00441800" w:rsidRDefault="00AA17E3" w:rsidP="00200155">
      <w:pPr>
        <w:spacing w:after="0"/>
        <w:jc w:val="both"/>
        <w:rPr>
          <w:rFonts w:ascii="Times New Roman" w:hAnsi="Times New Roman"/>
          <w:b/>
          <w:color w:val="5B9BD5" w:themeColor="accent1"/>
          <w:sz w:val="24"/>
          <w:szCs w:val="24"/>
        </w:rPr>
      </w:pPr>
      <w:r w:rsidRPr="00441800">
        <w:rPr>
          <w:rFonts w:ascii="Times New Roman" w:hAnsi="Times New Roman"/>
          <w:b/>
          <w:color w:val="5B9BD5" w:themeColor="accent1"/>
          <w:sz w:val="24"/>
          <w:szCs w:val="24"/>
        </w:rPr>
        <w:t>Agentúra pre núdzové zásoby ropy a ropných výrobkov</w:t>
      </w:r>
    </w:p>
    <w:p w:rsidR="00200155" w:rsidRDefault="00200155" w:rsidP="00200155">
      <w:pPr>
        <w:spacing w:after="0"/>
        <w:jc w:val="both"/>
        <w:rPr>
          <w:rFonts w:ascii="Times New Roman" w:hAnsi="Times New Roman"/>
          <w:sz w:val="24"/>
          <w:szCs w:val="24"/>
        </w:rPr>
      </w:pPr>
    </w:p>
    <w:p w:rsidR="00AA17E3" w:rsidRPr="00441800" w:rsidRDefault="00AA17E3" w:rsidP="00200155">
      <w:pPr>
        <w:spacing w:after="0"/>
        <w:jc w:val="both"/>
        <w:rPr>
          <w:rFonts w:ascii="Times New Roman" w:hAnsi="Times New Roman"/>
          <w:sz w:val="24"/>
          <w:szCs w:val="24"/>
        </w:rPr>
      </w:pPr>
      <w:r w:rsidRPr="00441800">
        <w:rPr>
          <w:rFonts w:ascii="Times New Roman" w:hAnsi="Times New Roman"/>
          <w:sz w:val="24"/>
          <w:szCs w:val="24"/>
        </w:rPr>
        <w:t>Agentúra pre núdzové zásoby ropy a ropných výrobkov (ďalej len „Agentúra“) je záujmovým združením právnických osôb založeným za účelom obstarávania a udržiavania núdzových zásob ropy a ropných výrobkov pre potreby ich použitia v stave ropnej núdze alebo na plnenie medzinárodných záväzkov, ktorými je Slovenská republika viazaná. Agentúra bola založená na základe zákona č. 218/2013 Z. z. o núdzových zásobách ropy a ropných výrobkov a o riešení stavu ropnej núdze a o zmene a doplnení niektorých zákonov a na základe zakladateľskej zmluvy dňa 12. septembra 2013.</w:t>
      </w:r>
    </w:p>
    <w:p w:rsidR="00200155" w:rsidRDefault="00200155" w:rsidP="00200155">
      <w:pPr>
        <w:spacing w:after="0"/>
        <w:jc w:val="both"/>
        <w:rPr>
          <w:rFonts w:ascii="Times New Roman" w:hAnsi="Times New Roman"/>
          <w:sz w:val="24"/>
          <w:szCs w:val="24"/>
        </w:rPr>
      </w:pPr>
    </w:p>
    <w:p w:rsidR="00AA17E3" w:rsidRPr="00441800" w:rsidRDefault="00AA17E3" w:rsidP="00A273CE">
      <w:pPr>
        <w:spacing w:after="0"/>
        <w:jc w:val="both"/>
        <w:rPr>
          <w:rFonts w:ascii="Times New Roman" w:hAnsi="Times New Roman"/>
          <w:sz w:val="24"/>
          <w:szCs w:val="24"/>
        </w:rPr>
      </w:pPr>
      <w:r w:rsidRPr="00441800">
        <w:rPr>
          <w:rFonts w:ascii="Times New Roman" w:hAnsi="Times New Roman"/>
          <w:sz w:val="24"/>
          <w:szCs w:val="24"/>
        </w:rPr>
        <w:t>Výdavky Agentúry na rok 2022 sa rozpočtujú v sume 86,9 mil. eur, pričom sú určené najmä na splácanie tuzemskej istiny z návratnej finančnej výpomoci a udržiavanie a ochraňovanie núdzových zásob ropy a ropných výrobkov. Agentúra v roku 2022 neplánuje doplnenie núdzových zásob ropy a ropných výrobkov.</w:t>
      </w:r>
    </w:p>
    <w:p w:rsidR="00200155" w:rsidRDefault="00200155" w:rsidP="00A273CE">
      <w:pPr>
        <w:spacing w:after="0"/>
        <w:jc w:val="both"/>
        <w:rPr>
          <w:rFonts w:ascii="Times New Roman" w:hAnsi="Times New Roman"/>
          <w:b/>
          <w:color w:val="5B9BD5" w:themeColor="accent1"/>
          <w:sz w:val="24"/>
          <w:szCs w:val="24"/>
        </w:rPr>
      </w:pPr>
    </w:p>
    <w:p w:rsidR="00AA17E3" w:rsidRPr="00441800" w:rsidRDefault="00AA17E3" w:rsidP="00A273CE">
      <w:pPr>
        <w:spacing w:after="0"/>
        <w:jc w:val="both"/>
        <w:rPr>
          <w:rFonts w:ascii="Times New Roman" w:hAnsi="Times New Roman"/>
          <w:b/>
          <w:color w:val="5B9BD5" w:themeColor="accent1"/>
          <w:sz w:val="24"/>
          <w:szCs w:val="24"/>
        </w:rPr>
      </w:pPr>
      <w:r w:rsidRPr="00441800">
        <w:rPr>
          <w:rFonts w:ascii="Times New Roman" w:hAnsi="Times New Roman"/>
          <w:b/>
          <w:color w:val="5B9BD5" w:themeColor="accent1"/>
          <w:sz w:val="24"/>
          <w:szCs w:val="24"/>
        </w:rPr>
        <w:t xml:space="preserve">Správa štátnych hmotných rezerv SR </w:t>
      </w:r>
    </w:p>
    <w:p w:rsidR="00AA17E3" w:rsidRPr="00A273CE" w:rsidRDefault="00AA17E3" w:rsidP="00AA17E3">
      <w:pPr>
        <w:pStyle w:val="Popis"/>
        <w:keepNext/>
        <w:spacing w:after="0"/>
        <w:rPr>
          <w:rFonts w:ascii="Times New Roman" w:hAnsi="Times New Roman" w:cs="Times New Roman"/>
          <w:b/>
          <w:i w:val="0"/>
          <w:color w:val="5B9BD5" w:themeColor="accent1"/>
          <w:sz w:val="24"/>
          <w:szCs w:val="20"/>
        </w:rPr>
      </w:pPr>
    </w:p>
    <w:p w:rsidR="00AA17E3" w:rsidRPr="00DF5B9B" w:rsidRDefault="00AA17E3" w:rsidP="00AA17E3">
      <w:pPr>
        <w:pStyle w:val="Popis"/>
        <w:keepNext/>
        <w:spacing w:after="0"/>
        <w:rPr>
          <w:rFonts w:ascii="Times New Roman" w:hAnsi="Times New Roman" w:cs="Times New Roman"/>
          <w:b/>
          <w:i w:val="0"/>
          <w:color w:val="5B9BD5" w:themeColor="accent1"/>
          <w:sz w:val="20"/>
          <w:szCs w:val="20"/>
        </w:rPr>
      </w:pPr>
      <w:bookmarkStart w:id="582" w:name="_Toc84528484"/>
      <w:bookmarkStart w:id="583" w:name="_Toc84845360"/>
      <w:r w:rsidRPr="002C35FD">
        <w:rPr>
          <w:rFonts w:ascii="Times New Roman" w:hAnsi="Times New Roman" w:cs="Times New Roman"/>
          <w:b/>
          <w:i w:val="0"/>
          <w:color w:val="5B9BD5" w:themeColor="accent1"/>
          <w:sz w:val="20"/>
          <w:szCs w:val="20"/>
        </w:rPr>
        <w:t xml:space="preserve">Tabuľka </w:t>
      </w:r>
      <w:r w:rsidRPr="002C35FD">
        <w:rPr>
          <w:rFonts w:ascii="Times New Roman" w:hAnsi="Times New Roman" w:cs="Times New Roman"/>
          <w:b/>
          <w:i w:val="0"/>
          <w:color w:val="5B9BD5" w:themeColor="accent1"/>
          <w:sz w:val="20"/>
          <w:szCs w:val="20"/>
        </w:rPr>
        <w:fldChar w:fldCharType="begin"/>
      </w:r>
      <w:r w:rsidRPr="002C35FD">
        <w:rPr>
          <w:rFonts w:ascii="Times New Roman" w:hAnsi="Times New Roman" w:cs="Times New Roman"/>
          <w:b/>
          <w:i w:val="0"/>
          <w:color w:val="5B9BD5" w:themeColor="accent1"/>
          <w:sz w:val="20"/>
          <w:szCs w:val="20"/>
        </w:rPr>
        <w:instrText xml:space="preserve"> SEQ Tabuľka \* ARABIC </w:instrText>
      </w:r>
      <w:r w:rsidRPr="002C35FD">
        <w:rPr>
          <w:rFonts w:ascii="Times New Roman" w:hAnsi="Times New Roman" w:cs="Times New Roman"/>
          <w:b/>
          <w:i w:val="0"/>
          <w:color w:val="5B9BD5" w:themeColor="accent1"/>
          <w:sz w:val="20"/>
          <w:szCs w:val="20"/>
        </w:rPr>
        <w:fldChar w:fldCharType="separate"/>
      </w:r>
      <w:r w:rsidR="006E67C6">
        <w:rPr>
          <w:rFonts w:ascii="Times New Roman" w:hAnsi="Times New Roman" w:cs="Times New Roman"/>
          <w:b/>
          <w:i w:val="0"/>
          <w:noProof/>
          <w:color w:val="5B9BD5" w:themeColor="accent1"/>
          <w:sz w:val="20"/>
          <w:szCs w:val="20"/>
        </w:rPr>
        <w:t>136</w:t>
      </w:r>
      <w:r w:rsidRPr="002C35F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223FFE">
        <w:rPr>
          <w:rFonts w:ascii="Times New Roman" w:hAnsi="Times New Roman" w:cs="Times New Roman"/>
          <w:b/>
          <w:i w:val="0"/>
          <w:color w:val="5B9BD5" w:themeColor="accent1"/>
          <w:sz w:val="20"/>
          <w:szCs w:val="20"/>
        </w:rPr>
        <w:t xml:space="preserve"> Oblasť </w:t>
      </w:r>
      <w:r>
        <w:rPr>
          <w:rFonts w:ascii="Times New Roman" w:hAnsi="Times New Roman" w:cs="Times New Roman"/>
          <w:b/>
          <w:i w:val="0"/>
          <w:color w:val="5B9BD5" w:themeColor="accent1"/>
          <w:sz w:val="20"/>
          <w:szCs w:val="20"/>
        </w:rPr>
        <w:t xml:space="preserve">správy </w:t>
      </w:r>
      <w:r w:rsidRPr="00223FFE">
        <w:rPr>
          <w:rFonts w:ascii="Times New Roman" w:hAnsi="Times New Roman" w:cs="Times New Roman"/>
          <w:b/>
          <w:i w:val="0"/>
          <w:color w:val="5B9BD5" w:themeColor="accent1"/>
          <w:sz w:val="20"/>
          <w:szCs w:val="20"/>
        </w:rPr>
        <w:t>štátnych hmotných rezerv</w:t>
      </w:r>
      <w:bookmarkEnd w:id="582"/>
      <w:bookmarkEnd w:id="583"/>
      <w:r w:rsidRPr="00223FFE">
        <w:rPr>
          <w:rFonts w:ascii="Times New Roman" w:hAnsi="Times New Roman" w:cs="Times New Roman"/>
          <w:b/>
          <w:i w:val="0"/>
          <w:color w:val="5B9BD5" w:themeColor="accent1"/>
          <w:sz w:val="20"/>
          <w:szCs w:val="20"/>
        </w:rPr>
        <w:t xml:space="preserve"> </w:t>
      </w:r>
    </w:p>
    <w:tbl>
      <w:tblPr>
        <w:tblW w:w="9067" w:type="dxa"/>
        <w:tblLayout w:type="fixed"/>
        <w:tblCellMar>
          <w:left w:w="70" w:type="dxa"/>
          <w:right w:w="70" w:type="dxa"/>
        </w:tblCellMar>
        <w:tblLook w:val="04A0" w:firstRow="1" w:lastRow="0" w:firstColumn="1" w:lastColumn="0" w:noHBand="0" w:noVBand="1"/>
      </w:tblPr>
      <w:tblGrid>
        <w:gridCol w:w="2689"/>
        <w:gridCol w:w="911"/>
        <w:gridCol w:w="911"/>
        <w:gridCol w:w="911"/>
        <w:gridCol w:w="911"/>
        <w:gridCol w:w="911"/>
        <w:gridCol w:w="911"/>
        <w:gridCol w:w="912"/>
      </w:tblGrid>
      <w:tr w:rsidR="00AA17E3" w:rsidRPr="00B37D60" w:rsidTr="00AA17E3">
        <w:trPr>
          <w:trHeight w:val="261"/>
        </w:trPr>
        <w:tc>
          <w:tcPr>
            <w:tcW w:w="2689" w:type="dxa"/>
            <w:tcBorders>
              <w:top w:val="single" w:sz="4" w:space="0" w:color="auto"/>
              <w:bottom w:val="single" w:sz="4" w:space="0" w:color="auto"/>
            </w:tcBorders>
            <w:shd w:val="clear" w:color="auto" w:fill="auto"/>
            <w:noWrap/>
            <w:vAlign w:val="center"/>
            <w:hideMark/>
          </w:tcPr>
          <w:p w:rsidR="00AA17E3" w:rsidRPr="00B37D60" w:rsidRDefault="00AA17E3" w:rsidP="00AA17E3">
            <w:pPr>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v tis. eur</w:t>
            </w:r>
          </w:p>
        </w:tc>
        <w:tc>
          <w:tcPr>
            <w:tcW w:w="911"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2019 S</w:t>
            </w:r>
          </w:p>
        </w:tc>
        <w:tc>
          <w:tcPr>
            <w:tcW w:w="911"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2020 S</w:t>
            </w:r>
          </w:p>
        </w:tc>
        <w:tc>
          <w:tcPr>
            <w:tcW w:w="911"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2021 R</w:t>
            </w:r>
          </w:p>
        </w:tc>
        <w:tc>
          <w:tcPr>
            <w:tcW w:w="911"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2021 OS</w:t>
            </w:r>
          </w:p>
        </w:tc>
        <w:tc>
          <w:tcPr>
            <w:tcW w:w="911"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2022 N</w:t>
            </w:r>
          </w:p>
        </w:tc>
        <w:tc>
          <w:tcPr>
            <w:tcW w:w="911"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2023 N</w:t>
            </w:r>
          </w:p>
        </w:tc>
        <w:tc>
          <w:tcPr>
            <w:tcW w:w="912" w:type="dxa"/>
            <w:tcBorders>
              <w:top w:val="single" w:sz="4" w:space="0" w:color="auto"/>
              <w:bottom w:val="single" w:sz="4" w:space="0" w:color="auto"/>
            </w:tcBorders>
            <w:shd w:val="clear" w:color="auto" w:fill="auto"/>
            <w:noWrap/>
            <w:vAlign w:val="center"/>
            <w:hideMark/>
          </w:tcPr>
          <w:p w:rsidR="00AA17E3" w:rsidRPr="00B37D60" w:rsidRDefault="00AA17E3" w:rsidP="00AA17E3">
            <w:pPr>
              <w:jc w:val="right"/>
              <w:rPr>
                <w:rFonts w:ascii="Times New Roman" w:hAnsi="Times New Roman" w:cs="Times New Roman"/>
                <w:b/>
                <w:bCs/>
                <w:color w:val="000000"/>
                <w:sz w:val="16"/>
                <w:szCs w:val="16"/>
                <w:lang w:eastAsia="sk-SK"/>
              </w:rPr>
            </w:pPr>
            <w:r w:rsidRPr="00B37D60">
              <w:rPr>
                <w:rFonts w:ascii="Times New Roman" w:hAnsi="Times New Roman" w:cs="Times New Roman"/>
                <w:b/>
                <w:bCs/>
                <w:color w:val="000000"/>
                <w:sz w:val="16"/>
                <w:szCs w:val="16"/>
                <w:lang w:eastAsia="sk-SK"/>
              </w:rPr>
              <w:t>2024 N</w:t>
            </w:r>
          </w:p>
        </w:tc>
      </w:tr>
      <w:tr w:rsidR="00AA17E3" w:rsidRPr="00B37D60" w:rsidTr="00AA17E3">
        <w:trPr>
          <w:trHeight w:val="261"/>
        </w:trPr>
        <w:tc>
          <w:tcPr>
            <w:tcW w:w="2689" w:type="dxa"/>
            <w:tcBorders>
              <w:top w:val="single" w:sz="4" w:space="0" w:color="auto"/>
            </w:tcBorders>
            <w:shd w:val="clear" w:color="auto" w:fill="auto"/>
            <w:noWrap/>
            <w:vAlign w:val="bottom"/>
            <w:hideMark/>
          </w:tcPr>
          <w:p w:rsidR="00AA17E3" w:rsidRPr="00B37D60" w:rsidRDefault="00AA17E3" w:rsidP="00AA17E3">
            <w:pPr>
              <w:rPr>
                <w:rFonts w:ascii="Times New Roman" w:hAnsi="Times New Roman" w:cs="Times New Roman"/>
                <w:sz w:val="16"/>
                <w:szCs w:val="16"/>
              </w:rPr>
            </w:pPr>
            <w:r w:rsidRPr="00B37D60">
              <w:rPr>
                <w:rFonts w:ascii="Times New Roman" w:hAnsi="Times New Roman" w:cs="Times New Roman"/>
                <w:sz w:val="16"/>
                <w:szCs w:val="16"/>
              </w:rPr>
              <w:t>Oblasť SŠHR SR celkom</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26 356</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135 925</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19 285</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80 529</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21 704</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26 978</w:t>
            </w:r>
          </w:p>
        </w:tc>
        <w:tc>
          <w:tcPr>
            <w:tcW w:w="912"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b/>
                <w:bCs/>
                <w:color w:val="000000"/>
                <w:sz w:val="16"/>
                <w:szCs w:val="16"/>
              </w:rPr>
            </w:pPr>
            <w:r w:rsidRPr="00B37D60">
              <w:rPr>
                <w:rFonts w:ascii="Times New Roman" w:hAnsi="Times New Roman" w:cs="Times New Roman"/>
                <w:b/>
                <w:bCs/>
                <w:color w:val="000000"/>
                <w:sz w:val="16"/>
                <w:szCs w:val="16"/>
              </w:rPr>
              <w:t>17 647</w:t>
            </w:r>
          </w:p>
        </w:tc>
      </w:tr>
      <w:tr w:rsidR="00AA17E3" w:rsidRPr="00B37D60" w:rsidTr="00AA17E3">
        <w:trPr>
          <w:trHeight w:val="261"/>
        </w:trPr>
        <w:tc>
          <w:tcPr>
            <w:tcW w:w="2689" w:type="dxa"/>
            <w:shd w:val="clear" w:color="auto" w:fill="auto"/>
            <w:noWrap/>
            <w:vAlign w:val="bottom"/>
            <w:hideMark/>
          </w:tcPr>
          <w:p w:rsidR="00AA17E3" w:rsidRPr="00B37D60" w:rsidRDefault="00AA17E3" w:rsidP="00AA17E3">
            <w:pPr>
              <w:rPr>
                <w:rFonts w:ascii="Times New Roman" w:hAnsi="Times New Roman" w:cs="Times New Roman"/>
                <w:sz w:val="16"/>
                <w:szCs w:val="16"/>
              </w:rPr>
            </w:pPr>
            <w:r w:rsidRPr="00B37D60">
              <w:rPr>
                <w:rFonts w:ascii="Times New Roman" w:hAnsi="Times New Roman" w:cs="Times New Roman"/>
                <w:sz w:val="16"/>
                <w:szCs w:val="16"/>
              </w:rPr>
              <w:t>prostriedky SŠHR SR zo ŠR</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14 535</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120 905</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8 305</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69 485</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7 957</w:t>
            </w:r>
          </w:p>
        </w:tc>
        <w:tc>
          <w:tcPr>
            <w:tcW w:w="911"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7 957</w:t>
            </w:r>
          </w:p>
        </w:tc>
        <w:tc>
          <w:tcPr>
            <w:tcW w:w="912" w:type="dxa"/>
            <w:tcBorders>
              <w:top w:val="nil"/>
              <w:left w:val="nil"/>
              <w:bottom w:val="nil"/>
              <w:right w:val="nil"/>
            </w:tcBorders>
            <w:shd w:val="clear" w:color="auto" w:fill="auto"/>
            <w:noWrap/>
            <w:vAlign w:val="bottom"/>
            <w:hideMark/>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7 957</w:t>
            </w:r>
          </w:p>
        </w:tc>
      </w:tr>
      <w:tr w:rsidR="00AA17E3" w:rsidRPr="00B37D60" w:rsidTr="00AA17E3">
        <w:trPr>
          <w:trHeight w:val="261"/>
        </w:trPr>
        <w:tc>
          <w:tcPr>
            <w:tcW w:w="2689" w:type="dxa"/>
            <w:tcBorders>
              <w:bottom w:val="single" w:sz="4" w:space="0" w:color="auto"/>
            </w:tcBorders>
            <w:shd w:val="clear" w:color="auto" w:fill="auto"/>
            <w:noWrap/>
            <w:vAlign w:val="bottom"/>
          </w:tcPr>
          <w:p w:rsidR="00AA17E3" w:rsidRPr="00B37D60" w:rsidRDefault="00AA17E3" w:rsidP="00AA17E3">
            <w:pPr>
              <w:rPr>
                <w:rFonts w:ascii="Times New Roman" w:hAnsi="Times New Roman" w:cs="Times New Roman"/>
                <w:sz w:val="16"/>
                <w:szCs w:val="16"/>
              </w:rPr>
            </w:pPr>
            <w:r w:rsidRPr="00B37D60">
              <w:rPr>
                <w:rFonts w:ascii="Times New Roman" w:hAnsi="Times New Roman" w:cs="Times New Roman"/>
                <w:sz w:val="16"/>
                <w:szCs w:val="16"/>
              </w:rPr>
              <w:t>samostatný účet obmien a zámen</w:t>
            </w:r>
          </w:p>
        </w:tc>
        <w:tc>
          <w:tcPr>
            <w:tcW w:w="911"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11 821</w:t>
            </w:r>
          </w:p>
        </w:tc>
        <w:tc>
          <w:tcPr>
            <w:tcW w:w="911"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15 021</w:t>
            </w:r>
          </w:p>
        </w:tc>
        <w:tc>
          <w:tcPr>
            <w:tcW w:w="911"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10 980</w:t>
            </w:r>
          </w:p>
        </w:tc>
        <w:tc>
          <w:tcPr>
            <w:tcW w:w="911"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11 043</w:t>
            </w:r>
          </w:p>
        </w:tc>
        <w:tc>
          <w:tcPr>
            <w:tcW w:w="911"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13 747</w:t>
            </w:r>
          </w:p>
        </w:tc>
        <w:tc>
          <w:tcPr>
            <w:tcW w:w="911"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19 021</w:t>
            </w:r>
          </w:p>
        </w:tc>
        <w:tc>
          <w:tcPr>
            <w:tcW w:w="912" w:type="dxa"/>
            <w:tcBorders>
              <w:top w:val="nil"/>
              <w:left w:val="nil"/>
              <w:bottom w:val="single" w:sz="4" w:space="0" w:color="auto"/>
              <w:right w:val="nil"/>
            </w:tcBorders>
            <w:shd w:val="clear" w:color="auto" w:fill="auto"/>
            <w:noWrap/>
            <w:vAlign w:val="bottom"/>
          </w:tcPr>
          <w:p w:rsidR="00AA17E3" w:rsidRPr="00B37D60" w:rsidRDefault="00AA17E3" w:rsidP="00AA17E3">
            <w:pPr>
              <w:jc w:val="right"/>
              <w:rPr>
                <w:rFonts w:ascii="Times New Roman" w:hAnsi="Times New Roman" w:cs="Times New Roman"/>
                <w:color w:val="000000"/>
                <w:sz w:val="16"/>
                <w:szCs w:val="16"/>
              </w:rPr>
            </w:pPr>
            <w:r w:rsidRPr="00B37D60">
              <w:rPr>
                <w:rFonts w:ascii="Times New Roman" w:hAnsi="Times New Roman" w:cs="Times New Roman"/>
                <w:color w:val="000000"/>
                <w:sz w:val="16"/>
                <w:szCs w:val="16"/>
              </w:rPr>
              <w:t>9 690</w:t>
            </w:r>
          </w:p>
        </w:tc>
      </w:tr>
    </w:tbl>
    <w:p w:rsidR="00AA17E3" w:rsidRDefault="00AA17E3" w:rsidP="00FA7DE1">
      <w:pPr>
        <w:spacing w:after="0"/>
        <w:jc w:val="both"/>
        <w:rPr>
          <w:rFonts w:ascii="Times New Roman" w:hAnsi="Times New Roman"/>
          <w:i/>
          <w:sz w:val="16"/>
          <w:szCs w:val="16"/>
        </w:rPr>
      </w:pPr>
      <w:r w:rsidRPr="00FB767C">
        <w:rPr>
          <w:rFonts w:ascii="Times New Roman" w:hAnsi="Times New Roman"/>
          <w:i/>
          <w:sz w:val="16"/>
          <w:szCs w:val="16"/>
        </w:rPr>
        <w:t xml:space="preserve">                                                                                                                                                                                                           Zdroj: MF SR</w:t>
      </w:r>
    </w:p>
    <w:p w:rsidR="00200155" w:rsidRDefault="00200155" w:rsidP="00FA7DE1">
      <w:pPr>
        <w:spacing w:after="0"/>
        <w:jc w:val="both"/>
        <w:rPr>
          <w:rFonts w:ascii="Times New Roman" w:hAnsi="Times New Roman" w:cs="Times New Roman"/>
          <w:sz w:val="24"/>
          <w:szCs w:val="24"/>
        </w:rPr>
      </w:pPr>
    </w:p>
    <w:p w:rsidR="00AA17E3" w:rsidRDefault="00CD79A5" w:rsidP="00FA7DE1">
      <w:pPr>
        <w:spacing w:after="0"/>
        <w:jc w:val="both"/>
        <w:rPr>
          <w:rFonts w:ascii="Times New Roman" w:hAnsi="Times New Roman" w:cs="Times New Roman"/>
          <w:sz w:val="24"/>
          <w:szCs w:val="24"/>
        </w:rPr>
      </w:pPr>
      <w:r>
        <w:rPr>
          <w:rFonts w:ascii="Times New Roman" w:hAnsi="Times New Roman" w:cs="Times New Roman"/>
          <w:sz w:val="24"/>
          <w:szCs w:val="24"/>
        </w:rPr>
        <w:t>Do kapitoly</w:t>
      </w:r>
      <w:r w:rsidR="00AA17E3" w:rsidRPr="00441800">
        <w:rPr>
          <w:rFonts w:ascii="Times New Roman" w:hAnsi="Times New Roman" w:cs="Times New Roman"/>
          <w:sz w:val="24"/>
          <w:szCs w:val="24"/>
        </w:rPr>
        <w:t xml:space="preserve"> Správa štátnych hmotných rezerv SR v roku 2022 smerujú prostriedky v celkovej výške 21,7 mil. eur. Výdavky kapitoly Správa štátnych hmotných rezerv SR zo štátneho rozpočtu na rok 2022 v sume 7,96 mil. eur zabezpečujú úlohy v hospodárení hmotných rezerv, mobilizačných rezerv a pohotovostných zásob. V oblasti hmotných rezerv sa budú prioritne zabezpečovať úlohy súvisiace s potravinovou a energetickou bezpečnosťou štátu. V oblasti mobilizačných rezerv sa zabezpečuje riešenie krízových situácií a  po</w:t>
      </w:r>
      <w:r>
        <w:rPr>
          <w:rFonts w:ascii="Times New Roman" w:hAnsi="Times New Roman" w:cs="Times New Roman"/>
          <w:sz w:val="24"/>
          <w:szCs w:val="24"/>
        </w:rPr>
        <w:t>hotovostné zásoby sú určené na</w:t>
      </w:r>
      <w:r w:rsidR="00AA17E3" w:rsidRPr="00441800">
        <w:rPr>
          <w:rFonts w:ascii="Times New Roman" w:hAnsi="Times New Roman" w:cs="Times New Roman"/>
          <w:sz w:val="24"/>
          <w:szCs w:val="24"/>
        </w:rPr>
        <w:t xml:space="preserve"> pomoc obyvateľstvu postihnutého krízovou situáciou a na poskytovanie humanitárnej pomoci. V medzirezortnom programe Podpora obrany sa zabezpečujú úlohy v oblasti mobilizačných rezerv v zmysle požiadaviek ozbrojených síl. V kapitole sú zahrnuté aj výdavky v medzirezortných programov Civilné núdzové plánovanie a Informačné technológie financované zo štátneho rozpočtu. Kapitola na rok 2022 rozpočtuje výdavky na samostatnom účte obmien a zámen v sume 13,7 mil. eur. Prostredníctvom daného účtu sa zabezpečuje hospodárenie, t. j. obchodná činnosť pri nákupe a predaji štátnych hmotných rezerv v rámci obmien, zámen a pôžičiek. Uvedený účet sa používa tiež na pravidelné mesačné uhrád</w:t>
      </w:r>
      <w:r w:rsidR="00200155">
        <w:rPr>
          <w:rFonts w:ascii="Times New Roman" w:hAnsi="Times New Roman" w:cs="Times New Roman"/>
          <w:sz w:val="24"/>
          <w:szCs w:val="24"/>
        </w:rPr>
        <w:t xml:space="preserve">zanie dane z pridanej hodnoty. </w:t>
      </w:r>
    </w:p>
    <w:p w:rsidR="00200155" w:rsidRPr="00441800" w:rsidRDefault="00200155" w:rsidP="00200155">
      <w:pPr>
        <w:spacing w:after="0"/>
        <w:jc w:val="both"/>
        <w:rPr>
          <w:rFonts w:ascii="Times New Roman" w:hAnsi="Times New Roman" w:cs="Times New Roman"/>
          <w:sz w:val="24"/>
          <w:szCs w:val="24"/>
        </w:rPr>
      </w:pPr>
    </w:p>
    <w:p w:rsidR="00AA17E3" w:rsidRDefault="00CD79A5" w:rsidP="00200155">
      <w:pPr>
        <w:spacing w:after="0"/>
        <w:jc w:val="both"/>
        <w:rPr>
          <w:rFonts w:ascii="Times New Roman" w:hAnsi="Times New Roman" w:cs="Times New Roman"/>
          <w:sz w:val="24"/>
          <w:szCs w:val="24"/>
        </w:rPr>
      </w:pPr>
      <w:r>
        <w:rPr>
          <w:rFonts w:ascii="Times New Roman" w:hAnsi="Times New Roman" w:cs="Times New Roman"/>
          <w:sz w:val="24"/>
          <w:szCs w:val="24"/>
        </w:rPr>
        <w:t>Výdavky v kapitole</w:t>
      </w:r>
      <w:r w:rsidR="00AA17E3" w:rsidRPr="00441800">
        <w:rPr>
          <w:rFonts w:ascii="Times New Roman" w:hAnsi="Times New Roman" w:cs="Times New Roman"/>
          <w:sz w:val="24"/>
          <w:szCs w:val="24"/>
        </w:rPr>
        <w:t xml:space="preserve"> Správa štátnych hmotných rezerv SR v roku 2021 sa očakávajú vo výške 80,5 mil. eur. Tieto výdavky sú vo veľkej miere ovplyvnené zvýšenými výdavkami na nákup pohotovostných zásob v súvislosti s ochorením COVID-19 v sume 53,3 mil. eur. </w:t>
      </w:r>
    </w:p>
    <w:p w:rsidR="00200155" w:rsidRPr="00441800" w:rsidRDefault="00200155" w:rsidP="00200155">
      <w:pPr>
        <w:spacing w:after="0"/>
        <w:jc w:val="both"/>
        <w:rPr>
          <w:rFonts w:ascii="Times New Roman" w:hAnsi="Times New Roman" w:cs="Times New Roman"/>
          <w:sz w:val="24"/>
          <w:szCs w:val="24"/>
        </w:rPr>
      </w:pPr>
    </w:p>
    <w:p w:rsidR="00AA17E3" w:rsidRDefault="00AA17E3" w:rsidP="00200155">
      <w:pPr>
        <w:spacing w:after="0"/>
        <w:jc w:val="both"/>
        <w:rPr>
          <w:rFonts w:ascii="Times New Roman" w:hAnsi="Times New Roman" w:cs="Times New Roman"/>
          <w:b/>
          <w:sz w:val="24"/>
          <w:szCs w:val="24"/>
        </w:rPr>
      </w:pPr>
      <w:r w:rsidRPr="00441800">
        <w:rPr>
          <w:rFonts w:ascii="Times New Roman" w:hAnsi="Times New Roman" w:cs="Times New Roman"/>
          <w:b/>
          <w:color w:val="5B9BD5" w:themeColor="accent1"/>
          <w:sz w:val="24"/>
          <w:szCs w:val="24"/>
        </w:rPr>
        <w:t>Hospodárska mobilizácia</w:t>
      </w:r>
      <w:r w:rsidRPr="00441800">
        <w:rPr>
          <w:rFonts w:ascii="Times New Roman" w:hAnsi="Times New Roman" w:cs="Times New Roman"/>
          <w:b/>
          <w:sz w:val="24"/>
          <w:szCs w:val="24"/>
        </w:rPr>
        <w:t xml:space="preserve"> </w:t>
      </w:r>
    </w:p>
    <w:p w:rsidR="00200155" w:rsidRPr="00441800" w:rsidRDefault="00200155" w:rsidP="00200155">
      <w:pPr>
        <w:spacing w:after="0"/>
        <w:jc w:val="both"/>
        <w:rPr>
          <w:rFonts w:ascii="Times New Roman" w:hAnsi="Times New Roman" w:cs="Times New Roman"/>
          <w:b/>
          <w:sz w:val="24"/>
          <w:szCs w:val="24"/>
        </w:rPr>
      </w:pPr>
    </w:p>
    <w:p w:rsidR="00AA17E3" w:rsidRDefault="00AA17E3" w:rsidP="00200155">
      <w:pPr>
        <w:spacing w:after="0"/>
        <w:jc w:val="both"/>
        <w:rPr>
          <w:rFonts w:ascii="Times New Roman" w:hAnsi="Times New Roman" w:cs="Times New Roman"/>
          <w:sz w:val="24"/>
          <w:szCs w:val="24"/>
        </w:rPr>
      </w:pPr>
      <w:r w:rsidRPr="00441800">
        <w:rPr>
          <w:rFonts w:ascii="Times New Roman" w:hAnsi="Times New Roman" w:cs="Times New Roman"/>
          <w:sz w:val="24"/>
          <w:szCs w:val="24"/>
        </w:rPr>
        <w:t>V rozpočte na rok 2022 sú na hospodársku mobilizáciu rozpočtované výdavky v sume 11,1 mil. eur, ktoré sú určené najmä na plnenie opatrení hospodárskej mobilizácie v súlade so zákonom č. 179/2011 Z. z. o hospodárskej mobilizácii a o zmene a doplnení zákona č. 387/2002 Z. z. o riadení štátu v krízových situáciách mimo času vojny a vojnového stavu a vyhláškou č. 552/2011 Z. z. o podrobnostiach výdavkov na hospodársku mobilizáciu z prostriedkov štátneho rozpočtu.</w:t>
      </w:r>
    </w:p>
    <w:p w:rsidR="00200155" w:rsidRPr="00441800" w:rsidRDefault="00200155" w:rsidP="00200155">
      <w:pPr>
        <w:spacing w:after="0"/>
        <w:jc w:val="both"/>
        <w:rPr>
          <w:rFonts w:ascii="Times New Roman" w:hAnsi="Times New Roman" w:cs="Times New Roman"/>
          <w:sz w:val="24"/>
          <w:szCs w:val="24"/>
        </w:rPr>
      </w:pPr>
    </w:p>
    <w:p w:rsidR="00AA17E3" w:rsidRDefault="00AA17E3" w:rsidP="00200155">
      <w:pPr>
        <w:spacing w:after="0"/>
        <w:jc w:val="both"/>
        <w:rPr>
          <w:rFonts w:ascii="Times New Roman" w:hAnsi="Times New Roman" w:cs="Times New Roman"/>
          <w:sz w:val="24"/>
          <w:szCs w:val="24"/>
        </w:rPr>
      </w:pPr>
      <w:r w:rsidRPr="00441800">
        <w:rPr>
          <w:rFonts w:ascii="Times New Roman" w:hAnsi="Times New Roman" w:cs="Times New Roman"/>
          <w:sz w:val="24"/>
          <w:szCs w:val="24"/>
        </w:rPr>
        <w:t>V roku 2021 sa výdavky medzirezortného programu Hospodárska mobilizácia očakávajú v sume 156 mil. eur. Tieto výdavky sú vo veľkej miere ovplyvnené zvýšenými výdavkami na opatrenia v súvislosti s ochorením COVID-19 v celkovej sume 110 mil. eur, z čoho sumu 105 mil. eur predstavujú výdavky kapitoly Ministerstva zdravotníctva SR a sumu 5,92 mil. eur tvoria výdavky ostatných kapitol štátneho rozpočtu.</w:t>
      </w:r>
    </w:p>
    <w:p w:rsidR="00200155" w:rsidRPr="00441800" w:rsidRDefault="00200155" w:rsidP="00200155">
      <w:pPr>
        <w:spacing w:after="0"/>
        <w:jc w:val="both"/>
        <w:rPr>
          <w:rFonts w:ascii="Times New Roman" w:hAnsi="Times New Roman" w:cs="Times New Roman"/>
          <w:sz w:val="24"/>
          <w:szCs w:val="24"/>
        </w:rPr>
      </w:pPr>
    </w:p>
    <w:p w:rsidR="00AA17E3" w:rsidRPr="00441800" w:rsidRDefault="00AA17E3" w:rsidP="00200155">
      <w:pPr>
        <w:spacing w:after="0"/>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 xml:space="preserve">Úrad jadrového dozoru SR </w:t>
      </w:r>
    </w:p>
    <w:p w:rsidR="00200155" w:rsidRDefault="00200155" w:rsidP="00200155">
      <w:pPr>
        <w:spacing w:after="0"/>
        <w:jc w:val="both"/>
        <w:rPr>
          <w:rFonts w:ascii="Times New Roman" w:eastAsia="Calibri" w:hAnsi="Times New Roman" w:cs="Times New Roman"/>
          <w:sz w:val="24"/>
          <w:szCs w:val="24"/>
        </w:rPr>
      </w:pPr>
    </w:p>
    <w:p w:rsidR="00AA17E3" w:rsidRDefault="00AA17E3" w:rsidP="00200155">
      <w:pPr>
        <w:spacing w:after="0"/>
        <w:jc w:val="both"/>
        <w:rPr>
          <w:rFonts w:ascii="Times New Roman" w:eastAsia="Calibri" w:hAnsi="Times New Roman" w:cs="Times New Roman"/>
          <w:sz w:val="24"/>
          <w:szCs w:val="24"/>
        </w:rPr>
      </w:pPr>
      <w:r w:rsidRPr="00441800">
        <w:rPr>
          <w:rFonts w:ascii="Times New Roman" w:eastAsia="Calibri" w:hAnsi="Times New Roman" w:cs="Times New Roman"/>
          <w:sz w:val="24"/>
          <w:szCs w:val="24"/>
        </w:rPr>
        <w:t>Výdavky Úradu jadrového dozoru SR sú na rok 2022 rozpočtované v sume 10,9 mil. eur. Výdavky sú určené na plnenie úloh rezortu najmä v oblasti zabezpečenia výkonu dozoru nad jadrovou bezpečnosťou a zastupovaním SR v medzinárodných organizáciách pre jadrovú bezpečnosť.</w:t>
      </w:r>
    </w:p>
    <w:p w:rsidR="00200155" w:rsidRPr="00441800" w:rsidRDefault="00200155" w:rsidP="00200155">
      <w:pPr>
        <w:spacing w:after="0"/>
        <w:jc w:val="both"/>
        <w:rPr>
          <w:rFonts w:ascii="Times New Roman" w:eastAsia="Calibri" w:hAnsi="Times New Roman" w:cs="Times New Roman"/>
          <w:sz w:val="24"/>
          <w:szCs w:val="24"/>
        </w:rPr>
      </w:pPr>
    </w:p>
    <w:p w:rsidR="00AA17E3" w:rsidRPr="00441800" w:rsidRDefault="00AA17E3" w:rsidP="00200155">
      <w:pPr>
        <w:spacing w:after="0"/>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Úrad pre normalizáciu, metrológiu a skúšobníctvo SR</w:t>
      </w:r>
    </w:p>
    <w:p w:rsidR="00200155" w:rsidRDefault="00200155" w:rsidP="00200155">
      <w:pPr>
        <w:spacing w:after="0"/>
        <w:jc w:val="both"/>
        <w:rPr>
          <w:rFonts w:ascii="Times New Roman" w:hAnsi="Times New Roman" w:cs="Times New Roman"/>
          <w:sz w:val="24"/>
          <w:szCs w:val="24"/>
        </w:rPr>
      </w:pPr>
    </w:p>
    <w:p w:rsidR="00AA17E3" w:rsidRPr="00441800" w:rsidRDefault="00AA17E3" w:rsidP="00FA7DE1">
      <w:pPr>
        <w:spacing w:after="0"/>
        <w:jc w:val="both"/>
        <w:rPr>
          <w:rFonts w:ascii="Times New Roman" w:hAnsi="Times New Roman" w:cs="Times New Roman"/>
          <w:sz w:val="24"/>
          <w:szCs w:val="24"/>
        </w:rPr>
      </w:pPr>
      <w:r w:rsidRPr="00441800">
        <w:rPr>
          <w:rFonts w:ascii="Times New Roman" w:hAnsi="Times New Roman" w:cs="Times New Roman"/>
          <w:sz w:val="24"/>
          <w:szCs w:val="24"/>
        </w:rPr>
        <w:t>Výdavky Úradu pre normalizáciu, metrológiu a skúšobníctvo SR sú rozpočtované na rok 2022 v sume 7,51 mil. eur. Výdavky sú smerované na zabezpečenie úloh ústredného orgánu, rozpočtovej a príspevkovej organizácie rezortu v oblasti štátnej politiky kvality, technickej normalizácie, metrológie, skúšobníctva, akreditácie a kvality. V rámci výdavkov sa rozpočtujú prostriedky na úlohy v oblasti kybernetickej bezpečnosti, na Národný program kvality SR, moder</w:t>
      </w:r>
      <w:r w:rsidR="00CD79A5">
        <w:rPr>
          <w:rFonts w:ascii="Times New Roman" w:hAnsi="Times New Roman" w:cs="Times New Roman"/>
          <w:sz w:val="24"/>
          <w:szCs w:val="24"/>
        </w:rPr>
        <w:t>nizáciu informačných technológií</w:t>
      </w:r>
      <w:r w:rsidRPr="00441800">
        <w:rPr>
          <w:rFonts w:ascii="Times New Roman" w:hAnsi="Times New Roman" w:cs="Times New Roman"/>
          <w:sz w:val="24"/>
          <w:szCs w:val="24"/>
        </w:rPr>
        <w:t xml:space="preserve">, metrologický dozor a kontrolu v oblasti používania meradiel, na revíziu národných etalónov a zabezpečenie ich medzinárodnej akceptovateľnosti. V súvislosti s potrebou investícií do národných etalónov boli na rok 2022 a ďalšie roky zvýšené prostriedky určené pre Slovenský metrologický ústav o sumu 900 000 eur. </w:t>
      </w:r>
    </w:p>
    <w:p w:rsidR="00200155" w:rsidRDefault="00200155" w:rsidP="00FA7DE1">
      <w:pPr>
        <w:spacing w:after="0"/>
        <w:rPr>
          <w:rFonts w:ascii="Times New Roman" w:hAnsi="Times New Roman"/>
          <w:b/>
          <w:color w:val="5B9BD5" w:themeColor="accent1"/>
          <w:sz w:val="24"/>
          <w:szCs w:val="24"/>
        </w:rPr>
      </w:pPr>
    </w:p>
    <w:p w:rsidR="00AA17E3" w:rsidRDefault="00AA17E3" w:rsidP="00FA7DE1">
      <w:pPr>
        <w:spacing w:after="0"/>
        <w:rPr>
          <w:rFonts w:ascii="Times New Roman" w:hAnsi="Times New Roman"/>
          <w:b/>
          <w:color w:val="5B9BD5" w:themeColor="accent1"/>
          <w:sz w:val="24"/>
          <w:szCs w:val="24"/>
        </w:rPr>
      </w:pPr>
      <w:r w:rsidRPr="00441800">
        <w:rPr>
          <w:rFonts w:ascii="Times New Roman" w:hAnsi="Times New Roman"/>
          <w:b/>
          <w:color w:val="5B9BD5" w:themeColor="accent1"/>
          <w:sz w:val="24"/>
          <w:szCs w:val="24"/>
        </w:rPr>
        <w:t>Úrad pre reguláciu sieťových odvetví</w:t>
      </w:r>
    </w:p>
    <w:p w:rsidR="00200155" w:rsidRPr="00441800" w:rsidRDefault="00200155" w:rsidP="00FA7DE1">
      <w:pPr>
        <w:spacing w:after="0"/>
        <w:rPr>
          <w:rFonts w:ascii="Times New Roman" w:hAnsi="Times New Roman"/>
          <w:b/>
          <w:color w:val="5B9BD5" w:themeColor="accent1"/>
          <w:sz w:val="24"/>
          <w:szCs w:val="24"/>
          <w:highlight w:val="yellow"/>
        </w:rPr>
      </w:pPr>
    </w:p>
    <w:p w:rsidR="00AA17E3" w:rsidRPr="00441800" w:rsidRDefault="00AA17E3" w:rsidP="00FA7DE1">
      <w:pPr>
        <w:spacing w:after="0"/>
        <w:jc w:val="both"/>
        <w:rPr>
          <w:rFonts w:ascii="Times New Roman" w:eastAsia="Calibri" w:hAnsi="Times New Roman" w:cs="Times New Roman"/>
          <w:sz w:val="24"/>
          <w:szCs w:val="24"/>
        </w:rPr>
      </w:pPr>
      <w:r w:rsidRPr="00441800">
        <w:rPr>
          <w:rFonts w:ascii="Times New Roman" w:eastAsia="Calibri" w:hAnsi="Times New Roman" w:cs="Times New Roman"/>
          <w:sz w:val="24"/>
          <w:szCs w:val="24"/>
        </w:rPr>
        <w:t xml:space="preserve">Výdavky Úradu pre reguláciu sieťových odvetví sa v rozpočte na rok 2022 navrhujú v sume 5,05 mil. eur a úrad prostredníctvom výdavkov vykonáva reguláciu v sieťových odvetviach, kde hlavným cieľom je  zabezpečiť transparentný a nediskriminačný výkon činnosti subjektov v elektroenergetike a plynárenstve, tepelnej energetike a vo vodnom hospodárstve. </w:t>
      </w:r>
    </w:p>
    <w:p w:rsidR="00200155" w:rsidRDefault="00200155" w:rsidP="00200155">
      <w:pPr>
        <w:spacing w:after="0"/>
        <w:jc w:val="both"/>
        <w:rPr>
          <w:rFonts w:ascii="Times New Roman" w:hAnsi="Times New Roman"/>
          <w:b/>
          <w:bCs/>
          <w:color w:val="5B9BD5" w:themeColor="accent1"/>
          <w:sz w:val="24"/>
          <w:szCs w:val="24"/>
        </w:rPr>
      </w:pPr>
    </w:p>
    <w:p w:rsidR="00AA17E3" w:rsidRPr="00441800" w:rsidRDefault="00AA17E3" w:rsidP="00200155">
      <w:pPr>
        <w:spacing w:after="0"/>
        <w:jc w:val="both"/>
        <w:rPr>
          <w:rFonts w:ascii="Times New Roman" w:hAnsi="Times New Roman"/>
          <w:color w:val="5B9BD5" w:themeColor="accent1"/>
          <w:sz w:val="24"/>
          <w:szCs w:val="24"/>
        </w:rPr>
      </w:pPr>
      <w:r w:rsidRPr="00441800">
        <w:rPr>
          <w:rFonts w:ascii="Times New Roman" w:hAnsi="Times New Roman"/>
          <w:b/>
          <w:bCs/>
          <w:color w:val="5B9BD5" w:themeColor="accent1"/>
          <w:sz w:val="24"/>
          <w:szCs w:val="24"/>
        </w:rPr>
        <w:t xml:space="preserve">Úrad priemyselného vlastníctva </w:t>
      </w:r>
      <w:r w:rsidR="00CD79A5">
        <w:rPr>
          <w:rFonts w:ascii="Times New Roman" w:hAnsi="Times New Roman"/>
          <w:b/>
          <w:bCs/>
          <w:color w:val="5B9BD5" w:themeColor="accent1"/>
          <w:sz w:val="24"/>
          <w:szCs w:val="24"/>
        </w:rPr>
        <w:t>SR</w:t>
      </w:r>
    </w:p>
    <w:p w:rsidR="00200155" w:rsidRDefault="00200155" w:rsidP="00200155">
      <w:pPr>
        <w:spacing w:after="0"/>
        <w:jc w:val="both"/>
        <w:rPr>
          <w:rFonts w:ascii="Times New Roman" w:eastAsia="Calibri" w:hAnsi="Times New Roman" w:cs="Times New Roman"/>
          <w:sz w:val="24"/>
          <w:szCs w:val="24"/>
        </w:rPr>
      </w:pPr>
    </w:p>
    <w:p w:rsidR="00AA17E3" w:rsidRDefault="00AA17E3" w:rsidP="00200155">
      <w:pPr>
        <w:spacing w:after="0"/>
        <w:jc w:val="both"/>
        <w:rPr>
          <w:rFonts w:ascii="Times New Roman" w:eastAsia="Calibri" w:hAnsi="Times New Roman" w:cs="Times New Roman"/>
          <w:sz w:val="24"/>
          <w:szCs w:val="24"/>
        </w:rPr>
      </w:pPr>
      <w:r w:rsidRPr="00441800">
        <w:rPr>
          <w:rFonts w:ascii="Times New Roman" w:eastAsia="Calibri" w:hAnsi="Times New Roman" w:cs="Times New Roman"/>
          <w:sz w:val="24"/>
          <w:szCs w:val="24"/>
        </w:rPr>
        <w:t>Zdroje úradu v roku 2022 predstavujú 3,89 mil. eur, pričom úrad vo svojej kompetencii vykonáva štátnu správu v oblasti ochrany vynálezov, úžitkových vzorov, topografií polovodičových výrobkov, dizajnov, ochranných známok, označení pôvodu výrobkov a zemepisných označení. Tiež vedie ústredný fond patentovej a známkovej dokumentácie, sprístupňuje ho verejnosti a pôsobí ako špecializované stredisko patentových informácií v Slovenskej republike.</w:t>
      </w:r>
    </w:p>
    <w:p w:rsidR="00200155" w:rsidRPr="00441800" w:rsidRDefault="00200155" w:rsidP="00200155">
      <w:pPr>
        <w:spacing w:after="0"/>
        <w:jc w:val="both"/>
        <w:rPr>
          <w:rFonts w:ascii="Times New Roman" w:eastAsia="Calibri" w:hAnsi="Times New Roman" w:cs="Times New Roman"/>
          <w:sz w:val="24"/>
          <w:szCs w:val="24"/>
        </w:rPr>
      </w:pPr>
    </w:p>
    <w:p w:rsidR="00AA17E3" w:rsidRPr="00441800" w:rsidRDefault="00AA17E3" w:rsidP="00200155">
      <w:pPr>
        <w:spacing w:after="0"/>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MH Manažment, a. s.</w:t>
      </w:r>
    </w:p>
    <w:p w:rsidR="00200155" w:rsidRDefault="00200155" w:rsidP="00200155">
      <w:pPr>
        <w:spacing w:after="0"/>
        <w:jc w:val="both"/>
        <w:rPr>
          <w:rFonts w:ascii="Times New Roman" w:hAnsi="Times New Roman"/>
          <w:sz w:val="24"/>
          <w:szCs w:val="24"/>
        </w:rPr>
      </w:pPr>
    </w:p>
    <w:p w:rsidR="00200155" w:rsidRDefault="00AA17E3" w:rsidP="00200155">
      <w:pPr>
        <w:spacing w:after="0"/>
        <w:jc w:val="both"/>
        <w:rPr>
          <w:rFonts w:ascii="Times New Roman" w:hAnsi="Times New Roman"/>
          <w:sz w:val="24"/>
          <w:szCs w:val="24"/>
        </w:rPr>
      </w:pPr>
      <w:r w:rsidRPr="00441800">
        <w:rPr>
          <w:rFonts w:ascii="Times New Roman" w:hAnsi="Times New Roman"/>
          <w:sz w:val="24"/>
          <w:szCs w:val="24"/>
        </w:rPr>
        <w:t>MH Manažment, a. s. (ďalej „MHM, a. s.“) je podľa zákona č. 375/2015 Z. z. o zrušení Fondu národného majetku Slovenskej republiky a o zmene a doplnení niektorých zákonov v znení neskorších predpisov právnym nástupcom Fondu národného majetku SR a vstupuje do všetkých jeho práv a povinností vyplývajúcich z právnych vzťahov, ktorých bol účastníkom. Výdavky MHM, a. s. sú na rok 2022 rozpočtované v sume 2,59 mil. eur. Okrem výdavkov spojených s činnosťou MHM, a. s. rozpočet zahŕňa výdavky na úhradu záväzkov z rozhodnutí o privatizácii a privatizačných projektov, výdavky spojené s prevodom cenných papierov od fyzických osôb na MHM, a. s. a výdavky na splátku dlhopisov v pôsobnosti MHM, a. s., čím sa podieľa na znižovaní verejného dlhu.</w:t>
      </w:r>
    </w:p>
    <w:p w:rsidR="00AA17E3" w:rsidRPr="00441800" w:rsidRDefault="00AA17E3" w:rsidP="00200155">
      <w:pPr>
        <w:spacing w:after="0"/>
        <w:jc w:val="both"/>
        <w:rPr>
          <w:rFonts w:ascii="Times New Roman" w:hAnsi="Times New Roman" w:cs="Times New Roman"/>
          <w:sz w:val="24"/>
          <w:szCs w:val="24"/>
        </w:rPr>
      </w:pPr>
      <w:r w:rsidRPr="00441800">
        <w:rPr>
          <w:rFonts w:ascii="Times New Roman" w:hAnsi="Times New Roman"/>
          <w:sz w:val="24"/>
          <w:szCs w:val="24"/>
        </w:rPr>
        <w:t xml:space="preserve"> </w:t>
      </w:r>
    </w:p>
    <w:p w:rsidR="00AA17E3" w:rsidRPr="00441800" w:rsidRDefault="00AA17E3" w:rsidP="00200155">
      <w:pPr>
        <w:spacing w:after="0"/>
        <w:rPr>
          <w:rFonts w:ascii="Times New Roman" w:hAnsi="Times New Roman" w:cs="Times New Roman"/>
          <w:b/>
          <w:color w:val="5B9BD5" w:themeColor="accent1"/>
          <w:sz w:val="24"/>
          <w:szCs w:val="24"/>
        </w:rPr>
      </w:pPr>
      <w:r w:rsidRPr="00441800">
        <w:rPr>
          <w:rFonts w:ascii="Times New Roman" w:hAnsi="Times New Roman" w:cs="Times New Roman"/>
          <w:b/>
          <w:color w:val="5B9BD5" w:themeColor="accent1"/>
          <w:sz w:val="24"/>
          <w:szCs w:val="24"/>
        </w:rPr>
        <w:t>Protimonopolný úrad SR</w:t>
      </w:r>
    </w:p>
    <w:p w:rsidR="00200155" w:rsidRDefault="00200155" w:rsidP="00200155">
      <w:pPr>
        <w:spacing w:after="0"/>
        <w:jc w:val="both"/>
        <w:rPr>
          <w:rFonts w:ascii="Times New Roman" w:hAnsi="Times New Roman" w:cs="Times New Roman"/>
          <w:sz w:val="24"/>
          <w:szCs w:val="24"/>
        </w:rPr>
      </w:pPr>
    </w:p>
    <w:p w:rsidR="00AA17E3" w:rsidRDefault="00AA17E3" w:rsidP="00200155">
      <w:pPr>
        <w:spacing w:after="0"/>
        <w:jc w:val="both"/>
        <w:rPr>
          <w:rFonts w:ascii="Times New Roman" w:hAnsi="Times New Roman" w:cs="Times New Roman"/>
          <w:sz w:val="24"/>
          <w:szCs w:val="24"/>
        </w:rPr>
      </w:pPr>
      <w:r w:rsidRPr="00441800">
        <w:rPr>
          <w:rFonts w:ascii="Times New Roman" w:hAnsi="Times New Roman" w:cs="Times New Roman"/>
          <w:sz w:val="24"/>
          <w:szCs w:val="24"/>
        </w:rPr>
        <w:t>Výdavky Protimonopolného úradu SR sú na rok 2022 rozpočtované v sume 2,95 mil. eur, čo predstavuje úroveň schváleného rozpočtu na rok 2021. Hlavnou náplňou úradu je ochrana a aplikovanie slovenského a európskeho práva na pravidlá hospodárskej súťaže. Dôležitou úlohou úradu je aj predchádzať zneužívaniu dominantného postavenia alebo zabrániť dohodám obmedzujúcim súťaž.</w:t>
      </w:r>
    </w:p>
    <w:p w:rsidR="00441800" w:rsidRPr="00441800" w:rsidRDefault="00441800" w:rsidP="00200155">
      <w:pPr>
        <w:spacing w:after="0"/>
        <w:jc w:val="both"/>
        <w:rPr>
          <w:rFonts w:ascii="Times New Roman" w:hAnsi="Times New Roman" w:cs="Times New Roman"/>
          <w:sz w:val="24"/>
          <w:szCs w:val="24"/>
        </w:rPr>
      </w:pPr>
    </w:p>
    <w:p w:rsidR="00AA17E3" w:rsidRPr="0078257F" w:rsidRDefault="00AA17E3" w:rsidP="00200155">
      <w:pPr>
        <w:pStyle w:val="Nadpis2"/>
        <w:spacing w:before="0" w:after="0"/>
        <w:rPr>
          <w:rFonts w:ascii="Times New Roman" w:hAnsi="Times New Roman"/>
          <w:bCs w:val="0"/>
          <w:i w:val="0"/>
          <w:color w:val="5B9BD5"/>
          <w:sz w:val="24"/>
        </w:rPr>
      </w:pPr>
      <w:bookmarkStart w:id="584" w:name="_Toc53062624"/>
      <w:bookmarkStart w:id="585" w:name="_Toc53084682"/>
      <w:bookmarkStart w:id="586" w:name="_Toc84528347"/>
      <w:bookmarkStart w:id="587" w:name="_Toc84684770"/>
      <w:r w:rsidRPr="0078257F">
        <w:rPr>
          <w:rFonts w:ascii="Times New Roman" w:hAnsi="Times New Roman"/>
          <w:bCs w:val="0"/>
          <w:i w:val="0"/>
          <w:color w:val="5B9BD5"/>
          <w:sz w:val="24"/>
        </w:rPr>
        <w:t>4.14. Kultúra</w:t>
      </w:r>
      <w:bookmarkEnd w:id="584"/>
      <w:bookmarkEnd w:id="585"/>
      <w:bookmarkEnd w:id="586"/>
      <w:bookmarkEnd w:id="587"/>
    </w:p>
    <w:p w:rsidR="00AA17E3" w:rsidRDefault="00AA17E3" w:rsidP="00AA17E3">
      <w:pPr>
        <w:spacing w:after="0"/>
        <w:jc w:val="both"/>
        <w:rPr>
          <w:rFonts w:ascii="Times New Roman" w:hAnsi="Times New Roman" w:cs="Times New Roman"/>
          <w:sz w:val="24"/>
          <w:highlight w:val="yellow"/>
        </w:rPr>
      </w:pPr>
    </w:p>
    <w:p w:rsidR="00AA17E3" w:rsidRDefault="00AA17E3" w:rsidP="00AA17E3">
      <w:pPr>
        <w:spacing w:after="0"/>
        <w:jc w:val="both"/>
        <w:rPr>
          <w:rFonts w:ascii="Times New Roman" w:hAnsi="Times New Roman" w:cs="Times New Roman"/>
          <w:sz w:val="24"/>
        </w:rPr>
      </w:pPr>
      <w:r w:rsidRPr="0010618B">
        <w:rPr>
          <w:rFonts w:ascii="Times New Roman" w:hAnsi="Times New Roman" w:cs="Times New Roman"/>
          <w:sz w:val="24"/>
        </w:rPr>
        <w:t xml:space="preserve">Hlavným cieľom kultúrnej politiky je budovanie citlivej, otvorenej, informovanej a odlišnosti akceptujúcej spoločnosti; podpora a šírenie umenia a kreatívnych aktivít; ochrana a sprístupňovanie hmotného a nehmotného kultúrneho dedičstva a rozvoj kultúrnej a kreatívnej ekonomiky. </w:t>
      </w:r>
    </w:p>
    <w:p w:rsidR="00AA17E3" w:rsidRPr="0010618B" w:rsidRDefault="00AA17E3" w:rsidP="00AA17E3">
      <w:pPr>
        <w:spacing w:after="0"/>
        <w:jc w:val="both"/>
        <w:rPr>
          <w:rFonts w:ascii="Times New Roman" w:hAnsi="Times New Roman" w:cs="Times New Roman"/>
          <w:sz w:val="24"/>
        </w:rPr>
      </w:pPr>
    </w:p>
    <w:p w:rsidR="00AA17E3" w:rsidRDefault="00AA17E3" w:rsidP="00200155">
      <w:pPr>
        <w:spacing w:after="0"/>
        <w:jc w:val="both"/>
        <w:rPr>
          <w:rFonts w:ascii="Times New Roman" w:hAnsi="Times New Roman" w:cs="Times New Roman"/>
          <w:sz w:val="24"/>
        </w:rPr>
      </w:pPr>
      <w:r w:rsidRPr="0010618B">
        <w:rPr>
          <w:rFonts w:ascii="Times New Roman" w:hAnsi="Times New Roman" w:cs="Times New Roman"/>
          <w:sz w:val="24"/>
        </w:rPr>
        <w:t xml:space="preserve">Verejné výdavky Slovenska na kultúru </w:t>
      </w:r>
      <w:r>
        <w:rPr>
          <w:rFonts w:ascii="Times New Roman" w:hAnsi="Times New Roman" w:cs="Times New Roman"/>
          <w:sz w:val="24"/>
        </w:rPr>
        <w:t>(podľa metodiky COFOG</w:t>
      </w:r>
      <w:r w:rsidRPr="00491A98">
        <w:rPr>
          <w:rFonts w:ascii="Times New Roman" w:hAnsi="Times New Roman" w:cs="Times New Roman"/>
          <w:sz w:val="24"/>
        </w:rPr>
        <w:t>)</w:t>
      </w:r>
      <w:r w:rsidRPr="00422E8F">
        <w:rPr>
          <w:rStyle w:val="Odkaznapoznmkupodiarou"/>
          <w:rFonts w:ascii="Times New Roman" w:hAnsi="Times New Roman"/>
          <w:sz w:val="24"/>
        </w:rPr>
        <w:footnoteReference w:id="64"/>
      </w:r>
      <w:r w:rsidRPr="00422E8F">
        <w:rPr>
          <w:rFonts w:ascii="Times New Roman" w:hAnsi="Times New Roman" w:cs="Times New Roman"/>
          <w:sz w:val="24"/>
        </w:rPr>
        <w:t xml:space="preserve"> </w:t>
      </w:r>
      <w:r w:rsidRPr="0010618B">
        <w:rPr>
          <w:rFonts w:ascii="Times New Roman" w:hAnsi="Times New Roman" w:cs="Times New Roman"/>
          <w:sz w:val="24"/>
        </w:rPr>
        <w:t>v rokoch 2011 – 201</w:t>
      </w:r>
      <w:r>
        <w:rPr>
          <w:rFonts w:ascii="Times New Roman" w:hAnsi="Times New Roman" w:cs="Times New Roman"/>
          <w:sz w:val="24"/>
        </w:rPr>
        <w:t xml:space="preserve">9 </w:t>
      </w:r>
      <w:r w:rsidRPr="0010618B">
        <w:rPr>
          <w:rFonts w:ascii="Times New Roman" w:hAnsi="Times New Roman" w:cs="Times New Roman"/>
          <w:sz w:val="24"/>
        </w:rPr>
        <w:t>sú porovnateľné až mierne vyššie oproti EÚ28, zaostávajú oproti priemeru štátov V4. V rokoch 2011 až 201</w:t>
      </w:r>
      <w:r>
        <w:rPr>
          <w:rFonts w:ascii="Times New Roman" w:hAnsi="Times New Roman" w:cs="Times New Roman"/>
          <w:sz w:val="24"/>
        </w:rPr>
        <w:t>9</w:t>
      </w:r>
      <w:r w:rsidRPr="0010618B">
        <w:rPr>
          <w:rFonts w:ascii="Times New Roman" w:hAnsi="Times New Roman" w:cs="Times New Roman"/>
          <w:sz w:val="24"/>
        </w:rPr>
        <w:t xml:space="preserve"> tvorili 0,8 % HDP, priemer štátov EÚ28 bol 0,7 % HDP. V pomere k celkovým verejným výdavkom sú verejné výdavky Slovenska na kultúru (1,</w:t>
      </w:r>
      <w:r>
        <w:rPr>
          <w:rFonts w:ascii="Times New Roman" w:hAnsi="Times New Roman" w:cs="Times New Roman"/>
          <w:sz w:val="24"/>
        </w:rPr>
        <w:t>9</w:t>
      </w:r>
      <w:r w:rsidRPr="0010618B">
        <w:rPr>
          <w:rFonts w:ascii="Times New Roman" w:hAnsi="Times New Roman" w:cs="Times New Roman"/>
          <w:sz w:val="24"/>
        </w:rPr>
        <w:t xml:space="preserve"> %) v tomto období dokonca vyššie než priemer štátov EÚ28 (1,6 %). Priemerné výdavky V4 sú však výrazne ovplyvnené vysokými výdavkami v Maďarsku (</w:t>
      </w:r>
      <w:r>
        <w:rPr>
          <w:rFonts w:ascii="Times New Roman" w:hAnsi="Times New Roman" w:cs="Times New Roman"/>
          <w:sz w:val="24"/>
        </w:rPr>
        <w:t>1,7</w:t>
      </w:r>
      <w:r w:rsidRPr="0010618B">
        <w:rPr>
          <w:rFonts w:ascii="Times New Roman" w:hAnsi="Times New Roman" w:cs="Times New Roman"/>
          <w:sz w:val="24"/>
        </w:rPr>
        <w:t xml:space="preserve"> % HDP, </w:t>
      </w:r>
      <w:r>
        <w:rPr>
          <w:rFonts w:ascii="Times New Roman" w:hAnsi="Times New Roman" w:cs="Times New Roman"/>
          <w:sz w:val="24"/>
        </w:rPr>
        <w:t>3,7</w:t>
      </w:r>
      <w:r w:rsidRPr="0010618B">
        <w:rPr>
          <w:rFonts w:ascii="Times New Roman" w:hAnsi="Times New Roman" w:cs="Times New Roman"/>
          <w:sz w:val="24"/>
        </w:rPr>
        <w:t> % výdavkov).</w:t>
      </w:r>
    </w:p>
    <w:p w:rsidR="00441800" w:rsidRDefault="00441800" w:rsidP="00200155">
      <w:pPr>
        <w:spacing w:after="0"/>
        <w:jc w:val="both"/>
        <w:rPr>
          <w:rFonts w:ascii="Times New Roman" w:hAnsi="Times New Roman" w:cs="Times New Roman"/>
          <w:sz w:val="24"/>
        </w:rPr>
      </w:pPr>
    </w:p>
    <w:p w:rsidR="00AA17E3" w:rsidRPr="004441CD" w:rsidRDefault="00AA17E3" w:rsidP="00200155">
      <w:pPr>
        <w:pStyle w:val="Popis"/>
        <w:spacing w:after="0"/>
        <w:rPr>
          <w:rFonts w:ascii="Times New Roman" w:hAnsi="Times New Roman" w:cs="Times New Roman"/>
          <w:b/>
          <w:i w:val="0"/>
          <w:color w:val="5B9BD5"/>
          <w:sz w:val="20"/>
          <w:szCs w:val="20"/>
        </w:rPr>
      </w:pPr>
      <w:bookmarkStart w:id="588" w:name="_Toc53054171"/>
      <w:bookmarkStart w:id="589" w:name="_Toc53054896"/>
      <w:bookmarkStart w:id="590" w:name="_Toc53077972"/>
      <w:bookmarkStart w:id="591" w:name="_Toc53086305"/>
      <w:bookmarkStart w:id="592" w:name="_Toc84528547"/>
      <w:bookmarkStart w:id="593" w:name="_Toc84848038"/>
      <w:r w:rsidRPr="004441CD">
        <w:rPr>
          <w:rFonts w:ascii="Times New Roman" w:hAnsi="Times New Roman" w:cs="Times New Roman"/>
          <w:b/>
          <w:i w:val="0"/>
          <w:color w:val="5B9BD5"/>
          <w:sz w:val="20"/>
          <w:szCs w:val="20"/>
        </w:rPr>
        <w:t xml:space="preserve">Graf </w:t>
      </w:r>
      <w:r w:rsidRPr="004441CD">
        <w:rPr>
          <w:rFonts w:ascii="Times New Roman" w:hAnsi="Times New Roman" w:cs="Times New Roman"/>
          <w:b/>
          <w:i w:val="0"/>
          <w:color w:val="5B9BD5"/>
          <w:sz w:val="20"/>
          <w:szCs w:val="20"/>
        </w:rPr>
        <w:fldChar w:fldCharType="begin"/>
      </w:r>
      <w:r w:rsidRPr="004441CD">
        <w:rPr>
          <w:rFonts w:ascii="Times New Roman" w:hAnsi="Times New Roman" w:cs="Times New Roman"/>
          <w:b/>
          <w:i w:val="0"/>
          <w:color w:val="5B9BD5"/>
          <w:sz w:val="20"/>
          <w:szCs w:val="20"/>
        </w:rPr>
        <w:instrText xml:space="preserve"> SEQ Obrázok \* ARABIC </w:instrText>
      </w:r>
      <w:r w:rsidRPr="004441CD">
        <w:rPr>
          <w:rFonts w:ascii="Times New Roman" w:hAnsi="Times New Roman" w:cs="Times New Roman"/>
          <w:b/>
          <w:i w:val="0"/>
          <w:color w:val="5B9BD5"/>
          <w:sz w:val="20"/>
          <w:szCs w:val="20"/>
        </w:rPr>
        <w:fldChar w:fldCharType="separate"/>
      </w:r>
      <w:r w:rsidR="006E67C6">
        <w:rPr>
          <w:rFonts w:ascii="Times New Roman" w:hAnsi="Times New Roman" w:cs="Times New Roman"/>
          <w:b/>
          <w:i w:val="0"/>
          <w:noProof/>
          <w:color w:val="5B9BD5"/>
          <w:sz w:val="20"/>
          <w:szCs w:val="20"/>
        </w:rPr>
        <w:t>47</w:t>
      </w:r>
      <w:r w:rsidRPr="004441CD">
        <w:rPr>
          <w:rFonts w:ascii="Times New Roman" w:hAnsi="Times New Roman" w:cs="Times New Roman"/>
          <w:b/>
          <w:i w:val="0"/>
          <w:color w:val="5B9BD5"/>
          <w:sz w:val="20"/>
          <w:szCs w:val="20"/>
        </w:rPr>
        <w:fldChar w:fldCharType="end"/>
      </w:r>
      <w:r w:rsidR="00441800">
        <w:rPr>
          <w:rFonts w:ascii="Times New Roman" w:hAnsi="Times New Roman" w:cs="Times New Roman"/>
          <w:b/>
          <w:i w:val="0"/>
          <w:color w:val="5B9BD5"/>
          <w:sz w:val="20"/>
          <w:szCs w:val="20"/>
        </w:rPr>
        <w:t xml:space="preserve"> -</w:t>
      </w:r>
      <w:r w:rsidRPr="004441CD">
        <w:rPr>
          <w:rFonts w:ascii="Times New Roman" w:hAnsi="Times New Roman" w:cs="Times New Roman"/>
          <w:b/>
          <w:i w:val="0"/>
          <w:color w:val="5B9BD5"/>
          <w:sz w:val="20"/>
          <w:szCs w:val="20"/>
        </w:rPr>
        <w:t xml:space="preserve"> Verejné výdavky na kultúru v rokoch 2011 – 201</w:t>
      </w:r>
      <w:bookmarkEnd w:id="588"/>
      <w:bookmarkEnd w:id="589"/>
      <w:bookmarkEnd w:id="590"/>
      <w:bookmarkEnd w:id="591"/>
      <w:r w:rsidRPr="004441CD">
        <w:rPr>
          <w:rFonts w:ascii="Times New Roman" w:hAnsi="Times New Roman" w:cs="Times New Roman"/>
          <w:b/>
          <w:i w:val="0"/>
          <w:color w:val="5B9BD5"/>
          <w:sz w:val="20"/>
          <w:szCs w:val="20"/>
        </w:rPr>
        <w:t>9</w:t>
      </w:r>
      <w:r>
        <w:rPr>
          <w:rFonts w:ascii="Times New Roman" w:hAnsi="Times New Roman" w:cs="Times New Roman"/>
          <w:b/>
          <w:i w:val="0"/>
          <w:color w:val="5B9BD5"/>
          <w:sz w:val="20"/>
          <w:szCs w:val="20"/>
        </w:rPr>
        <w:t xml:space="preserve"> (podľa metodiky COFOG)</w:t>
      </w:r>
      <w:bookmarkEnd w:id="592"/>
      <w:bookmarkEnd w:id="593"/>
    </w:p>
    <w:p w:rsidR="00AA17E3" w:rsidRPr="00213694" w:rsidRDefault="00AA17E3" w:rsidP="00AA17E3">
      <w:pPr>
        <w:pStyle w:val="Popis"/>
        <w:pBdr>
          <w:top w:val="single" w:sz="4" w:space="1" w:color="auto"/>
          <w:bottom w:val="single" w:sz="4" w:space="1" w:color="auto"/>
        </w:pBdr>
        <w:rPr>
          <w:rFonts w:ascii="Times New Roman" w:hAnsi="Times New Roman" w:cs="Times New Roman"/>
          <w:b/>
          <w:i w:val="0"/>
          <w:color w:val="auto"/>
        </w:rPr>
      </w:pPr>
      <w:r w:rsidRPr="004441CD">
        <w:rPr>
          <w:rFonts w:ascii="Times New Roman" w:hAnsi="Times New Roman" w:cs="Times New Roman"/>
          <w:b/>
          <w:i w:val="0"/>
          <w:color w:val="auto"/>
        </w:rPr>
        <w:t>Verejné výdavky na kultúru (% HDP)</w:t>
      </w:r>
      <w:r w:rsidRPr="004441CD">
        <w:rPr>
          <w:rFonts w:ascii="Times New Roman" w:hAnsi="Times New Roman" w:cs="Times New Roman"/>
          <w:b/>
          <w:i w:val="0"/>
          <w:color w:val="auto"/>
        </w:rPr>
        <w:tab/>
      </w:r>
      <w:r w:rsidRPr="004441CD">
        <w:rPr>
          <w:rFonts w:ascii="Times New Roman" w:hAnsi="Times New Roman" w:cs="Times New Roman"/>
          <w:b/>
          <w:i w:val="0"/>
          <w:color w:val="auto"/>
        </w:rPr>
        <w:tab/>
        <w:t xml:space="preserve">     Verejné výdavky na kultúru (% verejných výdavkov)</w:t>
      </w:r>
    </w:p>
    <w:p w:rsidR="00AA17E3" w:rsidRPr="007944E1" w:rsidRDefault="00AA17E3" w:rsidP="00AA17E3">
      <w:r>
        <w:rPr>
          <w:noProof/>
          <w:lang w:eastAsia="sk-SK"/>
        </w:rPr>
        <w:drawing>
          <wp:inline distT="0" distB="0" distL="0" distR="0" wp14:anchorId="51384CD9" wp14:editId="77E8EF47">
            <wp:extent cx="2876550" cy="1901952"/>
            <wp:effectExtent l="0" t="0" r="0" b="317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lang w:eastAsia="sk-SK"/>
        </w:rPr>
        <w:t xml:space="preserve"> </w:t>
      </w:r>
      <w:r>
        <w:rPr>
          <w:noProof/>
          <w:lang w:eastAsia="sk-SK"/>
        </w:rPr>
        <w:drawing>
          <wp:inline distT="0" distB="0" distL="0" distR="0" wp14:anchorId="3E307DD0" wp14:editId="65577AB0">
            <wp:extent cx="2845613" cy="1901952"/>
            <wp:effectExtent l="0" t="0" r="0" b="317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lang w:eastAsia="sk-SK"/>
        </w:rPr>
        <w:t xml:space="preserve">  </w:t>
      </w:r>
    </w:p>
    <w:tbl>
      <w:tblPr>
        <w:tblW w:w="5000" w:type="pct"/>
        <w:tblLook w:val="04A0" w:firstRow="1" w:lastRow="0" w:firstColumn="1" w:lastColumn="0" w:noHBand="0" w:noVBand="1"/>
      </w:tblPr>
      <w:tblGrid>
        <w:gridCol w:w="9072"/>
      </w:tblGrid>
      <w:tr w:rsidR="00AA17E3" w:rsidRPr="000D2FCD" w:rsidTr="00AA17E3">
        <w:trPr>
          <w:trHeight w:val="193"/>
        </w:trPr>
        <w:tc>
          <w:tcPr>
            <w:tcW w:w="5000" w:type="pct"/>
            <w:tcBorders>
              <w:top w:val="single" w:sz="4" w:space="0" w:color="auto"/>
              <w:left w:val="nil"/>
              <w:right w:val="nil"/>
            </w:tcBorders>
            <w:shd w:val="clear" w:color="auto" w:fill="auto"/>
            <w:hideMark/>
          </w:tcPr>
          <w:p w:rsidR="00AA17E3" w:rsidRPr="000D2FCD" w:rsidRDefault="00AA17E3" w:rsidP="00AA17E3">
            <w:pPr>
              <w:jc w:val="right"/>
              <w:rPr>
                <w:rFonts w:ascii="Times New Roman" w:eastAsia="Calibri" w:hAnsi="Times New Roman" w:cs="Times New Roman"/>
                <w:i/>
                <w:sz w:val="16"/>
                <w:szCs w:val="16"/>
              </w:rPr>
            </w:pPr>
            <w:r w:rsidRPr="000D2FCD">
              <w:rPr>
                <w:rFonts w:ascii="Times New Roman" w:eastAsia="Calibri" w:hAnsi="Times New Roman" w:cs="Times New Roman"/>
                <w:i/>
                <w:sz w:val="16"/>
                <w:szCs w:val="16"/>
              </w:rPr>
              <w:t>Zdroj: Eurostat</w:t>
            </w:r>
          </w:p>
        </w:tc>
      </w:tr>
    </w:tbl>
    <w:p w:rsidR="00200155" w:rsidRDefault="00200155" w:rsidP="00AA17E3">
      <w:pPr>
        <w:spacing w:after="0"/>
        <w:jc w:val="both"/>
        <w:rPr>
          <w:rFonts w:ascii="Times New Roman" w:hAnsi="Times New Roman" w:cs="Times New Roman"/>
          <w:sz w:val="24"/>
        </w:rPr>
      </w:pPr>
    </w:p>
    <w:p w:rsidR="00AA17E3" w:rsidRDefault="00AA17E3" w:rsidP="00AA17E3">
      <w:pPr>
        <w:pStyle w:val="Popis"/>
        <w:spacing w:after="0"/>
        <w:rPr>
          <w:rFonts w:ascii="Times New Roman" w:hAnsi="Times New Roman" w:cs="Times New Roman"/>
          <w:b/>
          <w:i w:val="0"/>
          <w:color w:val="5B9BD5"/>
          <w:sz w:val="20"/>
          <w:szCs w:val="20"/>
        </w:rPr>
      </w:pPr>
      <w:bookmarkStart w:id="594" w:name="_Toc53054201"/>
      <w:bookmarkStart w:id="595" w:name="_Toc53054862"/>
      <w:bookmarkStart w:id="596" w:name="_Toc53078054"/>
      <w:bookmarkStart w:id="597" w:name="_Toc53086456"/>
      <w:bookmarkStart w:id="598" w:name="_Toc84528485"/>
      <w:bookmarkStart w:id="599" w:name="_Toc84845361"/>
      <w:r w:rsidRPr="00515919">
        <w:rPr>
          <w:rFonts w:ascii="Times New Roman" w:hAnsi="Times New Roman" w:cs="Times New Roman"/>
          <w:b/>
          <w:i w:val="0"/>
          <w:color w:val="5B9BD5"/>
          <w:sz w:val="20"/>
          <w:szCs w:val="20"/>
        </w:rPr>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6E67C6">
        <w:rPr>
          <w:rFonts w:ascii="Times New Roman" w:hAnsi="Times New Roman" w:cs="Times New Roman"/>
          <w:b/>
          <w:i w:val="0"/>
          <w:noProof/>
          <w:color w:val="5B9BD5"/>
          <w:sz w:val="20"/>
          <w:szCs w:val="20"/>
        </w:rPr>
        <w:t>137</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Kľúčové ukazovatele výsledkov kultúrnej politiky</w:t>
      </w:r>
      <w:bookmarkEnd w:id="594"/>
      <w:bookmarkEnd w:id="595"/>
      <w:bookmarkEnd w:id="596"/>
      <w:bookmarkEnd w:id="597"/>
      <w:bookmarkEnd w:id="598"/>
      <w:bookmarkEnd w:id="599"/>
    </w:p>
    <w:tbl>
      <w:tblPr>
        <w:tblW w:w="5000" w:type="pct"/>
        <w:tblLayout w:type="fixed"/>
        <w:tblCellMar>
          <w:left w:w="70" w:type="dxa"/>
          <w:right w:w="70" w:type="dxa"/>
        </w:tblCellMar>
        <w:tblLook w:val="04A0" w:firstRow="1" w:lastRow="0" w:firstColumn="1" w:lastColumn="0" w:noHBand="0" w:noVBand="1"/>
      </w:tblPr>
      <w:tblGrid>
        <w:gridCol w:w="2249"/>
        <w:gridCol w:w="1801"/>
        <w:gridCol w:w="628"/>
        <w:gridCol w:w="628"/>
        <w:gridCol w:w="628"/>
        <w:gridCol w:w="628"/>
        <w:gridCol w:w="628"/>
        <w:gridCol w:w="628"/>
        <w:gridCol w:w="628"/>
        <w:gridCol w:w="626"/>
      </w:tblGrid>
      <w:tr w:rsidR="00AA17E3" w:rsidRPr="00287420" w:rsidTr="00AA17E3">
        <w:trPr>
          <w:trHeight w:val="300"/>
        </w:trPr>
        <w:tc>
          <w:tcPr>
            <w:tcW w:w="1240" w:type="pct"/>
            <w:tcBorders>
              <w:top w:val="single" w:sz="4" w:space="0" w:color="auto"/>
              <w:bottom w:val="single" w:sz="4" w:space="0" w:color="auto"/>
            </w:tcBorders>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Kultúrna politika/oblasť</w:t>
            </w:r>
          </w:p>
        </w:tc>
        <w:tc>
          <w:tcPr>
            <w:tcW w:w="993" w:type="pct"/>
            <w:tcBorders>
              <w:top w:val="single" w:sz="4" w:space="0" w:color="auto"/>
              <w:bottom w:val="single" w:sz="4" w:space="0" w:color="auto"/>
            </w:tcBorders>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Indikátor</w:t>
            </w:r>
          </w:p>
        </w:tc>
        <w:tc>
          <w:tcPr>
            <w:tcW w:w="346" w:type="pct"/>
            <w:tcBorders>
              <w:top w:val="single" w:sz="4" w:space="0" w:color="auto"/>
              <w:bottom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2015</w:t>
            </w:r>
          </w:p>
        </w:tc>
        <w:tc>
          <w:tcPr>
            <w:tcW w:w="346" w:type="pct"/>
            <w:tcBorders>
              <w:top w:val="single" w:sz="4" w:space="0" w:color="auto"/>
              <w:bottom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2016</w:t>
            </w:r>
          </w:p>
        </w:tc>
        <w:tc>
          <w:tcPr>
            <w:tcW w:w="346" w:type="pct"/>
            <w:tcBorders>
              <w:top w:val="single" w:sz="4" w:space="0" w:color="auto"/>
              <w:bottom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2017</w:t>
            </w:r>
          </w:p>
        </w:tc>
        <w:tc>
          <w:tcPr>
            <w:tcW w:w="346" w:type="pct"/>
            <w:tcBorders>
              <w:top w:val="single" w:sz="4" w:space="0" w:color="auto"/>
              <w:bottom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2018</w:t>
            </w:r>
          </w:p>
        </w:tc>
        <w:tc>
          <w:tcPr>
            <w:tcW w:w="346" w:type="pct"/>
            <w:tcBorders>
              <w:top w:val="single" w:sz="4" w:space="0" w:color="auto"/>
              <w:bottom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2019</w:t>
            </w:r>
          </w:p>
        </w:tc>
        <w:tc>
          <w:tcPr>
            <w:tcW w:w="346" w:type="pct"/>
            <w:tcBorders>
              <w:top w:val="single" w:sz="4" w:space="0" w:color="auto"/>
              <w:bottom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2020</w:t>
            </w:r>
          </w:p>
        </w:tc>
        <w:tc>
          <w:tcPr>
            <w:tcW w:w="346" w:type="pct"/>
            <w:tcBorders>
              <w:top w:val="single" w:sz="4" w:space="0" w:color="auto"/>
              <w:bottom w:val="single" w:sz="4" w:space="0" w:color="auto"/>
            </w:tcBorders>
            <w:shd w:val="clear" w:color="auto" w:fill="auto"/>
            <w:noWrap/>
            <w:vAlign w:val="bottom"/>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Cieľ 2024</w:t>
            </w:r>
            <w:r>
              <w:rPr>
                <w:rFonts w:ascii="Times New Roman" w:eastAsia="Times New Roman" w:hAnsi="Times New Roman" w:cs="Times New Roman"/>
                <w:b/>
                <w:bCs/>
                <w:color w:val="000000"/>
                <w:sz w:val="18"/>
                <w:szCs w:val="18"/>
                <w:lang w:eastAsia="sk-SK"/>
              </w:rPr>
              <w:t>*</w:t>
            </w:r>
          </w:p>
        </w:tc>
        <w:tc>
          <w:tcPr>
            <w:tcW w:w="345" w:type="pct"/>
            <w:tcBorders>
              <w:top w:val="single" w:sz="4" w:space="0" w:color="auto"/>
              <w:bottom w:val="single" w:sz="4" w:space="0" w:color="auto"/>
            </w:tcBorders>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b/>
                <w:bCs/>
                <w:color w:val="000000"/>
                <w:sz w:val="18"/>
                <w:szCs w:val="18"/>
                <w:lang w:eastAsia="sk-SK"/>
              </w:rPr>
            </w:pPr>
            <w:r w:rsidRPr="00287420">
              <w:rPr>
                <w:rFonts w:ascii="Times New Roman" w:eastAsia="Times New Roman" w:hAnsi="Times New Roman" w:cs="Times New Roman"/>
                <w:b/>
                <w:bCs/>
                <w:color w:val="000000"/>
                <w:sz w:val="18"/>
                <w:szCs w:val="18"/>
                <w:lang w:eastAsia="sk-SK"/>
              </w:rPr>
              <w:t>Cieľ 2030*</w:t>
            </w:r>
          </w:p>
        </w:tc>
      </w:tr>
      <w:tr w:rsidR="00AA17E3" w:rsidRPr="00287420" w:rsidTr="00AA17E3">
        <w:trPr>
          <w:trHeight w:val="510"/>
        </w:trPr>
        <w:tc>
          <w:tcPr>
            <w:tcW w:w="1240" w:type="pct"/>
            <w:tcBorders>
              <w:top w:val="single" w:sz="4" w:space="0" w:color="auto"/>
            </w:tcBorders>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podpory kultúry a kreatívneho priemyslu</w:t>
            </w:r>
          </w:p>
        </w:tc>
        <w:tc>
          <w:tcPr>
            <w:tcW w:w="993" w:type="pct"/>
            <w:tcBorders>
              <w:top w:val="single" w:sz="4" w:space="0" w:color="auto"/>
            </w:tcBorders>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Podiel pridanej hodnoty KKP na PH ekonomiky</w:t>
            </w:r>
          </w:p>
        </w:tc>
        <w:tc>
          <w:tcPr>
            <w:tcW w:w="346" w:type="pct"/>
            <w:tcBorders>
              <w:top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1,69%</w:t>
            </w:r>
          </w:p>
        </w:tc>
        <w:tc>
          <w:tcPr>
            <w:tcW w:w="346" w:type="pct"/>
            <w:tcBorders>
              <w:top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1,84%</w:t>
            </w:r>
          </w:p>
        </w:tc>
        <w:tc>
          <w:tcPr>
            <w:tcW w:w="346" w:type="pct"/>
            <w:tcBorders>
              <w:top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1,78%</w:t>
            </w:r>
          </w:p>
        </w:tc>
        <w:tc>
          <w:tcPr>
            <w:tcW w:w="346" w:type="pct"/>
            <w:tcBorders>
              <w:top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1,83%</w:t>
            </w:r>
          </w:p>
        </w:tc>
        <w:tc>
          <w:tcPr>
            <w:tcW w:w="346" w:type="pct"/>
            <w:tcBorders>
              <w:top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tcBorders>
              <w:top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tcBorders>
              <w:top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tcBorders>
              <w:top w:val="single" w:sz="4" w:space="0" w:color="auto"/>
            </w:tcBorders>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850"/>
        </w:trPr>
        <w:tc>
          <w:tcPr>
            <w:tcW w:w="1240" w:type="pct"/>
            <w:shd w:val="clear" w:color="auto" w:fill="auto"/>
            <w:noWrap/>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kultúrneho dedičstva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Návštevnosť zbierkotvorných inštitúcií (v mil.)</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4,5</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5,1</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5,7</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5,7</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5,9</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765"/>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kultúrneho dedičstva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Podiel vlastných príjmov na celkových v zbierkotvorných inštitúciách</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14,2%</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18,5%</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19,2%</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17,7%</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18,6%</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765"/>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kultúrneho dedičstva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 xml:space="preserve">Podiel občanov s </w:t>
            </w:r>
            <w:r>
              <w:rPr>
                <w:rFonts w:ascii="Times New Roman" w:eastAsia="Times New Roman" w:hAnsi="Times New Roman" w:cs="Times New Roman"/>
                <w:sz w:val="18"/>
                <w:szCs w:val="18"/>
                <w:lang w:eastAsia="sk-SK"/>
              </w:rPr>
              <w:t>či</w:t>
            </w:r>
            <w:r w:rsidRPr="00287420">
              <w:rPr>
                <w:rFonts w:ascii="Times New Roman" w:eastAsia="Times New Roman" w:hAnsi="Times New Roman" w:cs="Times New Roman"/>
                <w:sz w:val="18"/>
                <w:szCs w:val="18"/>
                <w:lang w:eastAsia="sk-SK"/>
              </w:rPr>
              <w:t>tateľským preukazom</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7,8%</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7,5%</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7,3%</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7,2%</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7,3%</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330"/>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kultúrneho dedičstva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Počet vyradení z pamiatkovej ochrany</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9</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19</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24</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7</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6</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0</w:t>
            </w:r>
          </w:p>
        </w:tc>
        <w:tc>
          <w:tcPr>
            <w:tcW w:w="345"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0</w:t>
            </w:r>
          </w:p>
        </w:tc>
      </w:tr>
      <w:tr w:rsidR="00AA17E3" w:rsidRPr="00287420" w:rsidTr="00AA17E3">
        <w:trPr>
          <w:trHeight w:val="510"/>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umenia</w:t>
            </w:r>
          </w:p>
        </w:tc>
        <w:tc>
          <w:tcPr>
            <w:tcW w:w="993" w:type="pct"/>
            <w:shd w:val="clear" w:color="auto" w:fill="auto"/>
            <w:vAlign w:val="center"/>
            <w:hideMark/>
          </w:tcPr>
          <w:p w:rsidR="00AA17E3"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 xml:space="preserve">Návštevnosť kultúrnych subjektov </w:t>
            </w:r>
            <w:r w:rsidR="00CD79A5">
              <w:rPr>
                <w:rFonts w:ascii="Times New Roman" w:eastAsia="Times New Roman" w:hAnsi="Times New Roman" w:cs="Times New Roman"/>
                <w:sz w:val="18"/>
                <w:szCs w:val="18"/>
                <w:lang w:eastAsia="sk-SK"/>
              </w:rPr>
              <w:t xml:space="preserve">v </w:t>
            </w:r>
            <w:r w:rsidRPr="00287420">
              <w:rPr>
                <w:rFonts w:ascii="Times New Roman" w:eastAsia="Times New Roman" w:hAnsi="Times New Roman" w:cs="Times New Roman"/>
                <w:sz w:val="18"/>
                <w:szCs w:val="18"/>
                <w:lang w:eastAsia="sk-SK"/>
              </w:rPr>
              <w:t xml:space="preserve">scénickom umení </w:t>
            </w:r>
          </w:p>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(v mil.)</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1,9</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1,9</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1,8</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765"/>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umenia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Podiel vlastných príjmov na celkových v scénickom umení</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16,7%</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16,6%</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17,9%</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16,5%</w:t>
            </w:r>
          </w:p>
        </w:tc>
        <w:tc>
          <w:tcPr>
            <w:tcW w:w="346" w:type="pct"/>
            <w:shd w:val="clear" w:color="auto" w:fill="auto"/>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15,9%</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510"/>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Politika umenia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Návštevnosť festivalov (v mil.)</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4,4</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4,9</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5,8</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6,1</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6,1</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noWrap/>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510"/>
        </w:trPr>
        <w:tc>
          <w:tcPr>
            <w:tcW w:w="1240"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Audiovizuálna politika</w:t>
            </w:r>
          </w:p>
        </w:tc>
        <w:tc>
          <w:tcPr>
            <w:tcW w:w="993" w:type="pct"/>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Počet uvedených premiér slovenských filmov</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25</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29</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33</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31</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43</w:t>
            </w:r>
          </w:p>
        </w:tc>
        <w:tc>
          <w:tcPr>
            <w:tcW w:w="346" w:type="pct"/>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20</w:t>
            </w:r>
          </w:p>
        </w:tc>
        <w:tc>
          <w:tcPr>
            <w:tcW w:w="346"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r w:rsidR="00AA17E3" w:rsidRPr="00287420" w:rsidTr="00AA17E3">
        <w:trPr>
          <w:trHeight w:val="510"/>
        </w:trPr>
        <w:tc>
          <w:tcPr>
            <w:tcW w:w="1240" w:type="pct"/>
            <w:tcBorders>
              <w:bottom w:val="single" w:sz="4" w:space="0" w:color="auto"/>
            </w:tcBorders>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Mediálna politika</w:t>
            </w:r>
          </w:p>
        </w:tc>
        <w:tc>
          <w:tcPr>
            <w:tcW w:w="993" w:type="pct"/>
            <w:tcBorders>
              <w:bottom w:val="single" w:sz="4" w:space="0" w:color="auto"/>
            </w:tcBorders>
            <w:shd w:val="clear" w:color="auto" w:fill="auto"/>
            <w:vAlign w:val="center"/>
            <w:hideMark/>
          </w:tcPr>
          <w:p w:rsidR="00AA17E3" w:rsidRPr="00287420" w:rsidRDefault="00AA17E3" w:rsidP="00AA17E3">
            <w:pPr>
              <w:spacing w:after="0" w:line="240" w:lineRule="auto"/>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Podiel občanov, ktorí</w:t>
            </w:r>
            <w:r w:rsidRPr="00287420">
              <w:rPr>
                <w:rFonts w:ascii="Times New Roman" w:eastAsia="Times New Roman" w:hAnsi="Times New Roman" w:cs="Times New Roman"/>
                <w:sz w:val="18"/>
                <w:szCs w:val="18"/>
                <w:lang w:eastAsia="sk-SK"/>
              </w:rPr>
              <w:t xml:space="preserve"> dôverujú médiám</w:t>
            </w:r>
          </w:p>
        </w:tc>
        <w:tc>
          <w:tcPr>
            <w:tcW w:w="346" w:type="pct"/>
            <w:tcBorders>
              <w:bottom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35,0%</w:t>
            </w:r>
          </w:p>
        </w:tc>
        <w:tc>
          <w:tcPr>
            <w:tcW w:w="346" w:type="pct"/>
            <w:tcBorders>
              <w:bottom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30,0%</w:t>
            </w:r>
          </w:p>
        </w:tc>
        <w:tc>
          <w:tcPr>
            <w:tcW w:w="346" w:type="pct"/>
            <w:tcBorders>
              <w:bottom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34,0%</w:t>
            </w:r>
          </w:p>
        </w:tc>
        <w:tc>
          <w:tcPr>
            <w:tcW w:w="346" w:type="pct"/>
            <w:tcBorders>
              <w:bottom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31,0%</w:t>
            </w:r>
          </w:p>
        </w:tc>
        <w:tc>
          <w:tcPr>
            <w:tcW w:w="346" w:type="pct"/>
            <w:tcBorders>
              <w:bottom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sidRPr="00287420">
              <w:rPr>
                <w:rFonts w:ascii="Times New Roman" w:eastAsia="Times New Roman" w:hAnsi="Times New Roman" w:cs="Times New Roman"/>
                <w:sz w:val="18"/>
                <w:szCs w:val="18"/>
                <w:lang w:eastAsia="sk-SK"/>
              </w:rPr>
              <w:t>35,0%</w:t>
            </w:r>
          </w:p>
        </w:tc>
        <w:tc>
          <w:tcPr>
            <w:tcW w:w="346" w:type="pct"/>
            <w:tcBorders>
              <w:bottom w:val="single" w:sz="4" w:space="0" w:color="auto"/>
            </w:tcBorders>
            <w:shd w:val="clear" w:color="auto" w:fill="auto"/>
            <w:noWrap/>
            <w:vAlign w:val="center"/>
            <w:hideMark/>
          </w:tcPr>
          <w:p w:rsidR="00AA17E3" w:rsidRPr="00287420" w:rsidRDefault="00AA17E3" w:rsidP="00200155">
            <w:pPr>
              <w:spacing w:after="0" w:line="240" w:lineRule="auto"/>
              <w:jc w:val="right"/>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w:t>
            </w:r>
          </w:p>
        </w:tc>
        <w:tc>
          <w:tcPr>
            <w:tcW w:w="346" w:type="pct"/>
            <w:tcBorders>
              <w:bottom w:val="single" w:sz="4" w:space="0" w:color="auto"/>
            </w:tcBorders>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c>
          <w:tcPr>
            <w:tcW w:w="345" w:type="pct"/>
            <w:tcBorders>
              <w:bottom w:val="single" w:sz="4" w:space="0" w:color="auto"/>
            </w:tcBorders>
            <w:shd w:val="clear" w:color="auto" w:fill="auto"/>
            <w:vAlign w:val="center"/>
            <w:hideMark/>
          </w:tcPr>
          <w:p w:rsidR="00AA17E3" w:rsidRPr="00287420" w:rsidRDefault="00AA17E3" w:rsidP="00AA17E3">
            <w:pPr>
              <w:spacing w:after="0" w:line="240" w:lineRule="auto"/>
              <w:jc w:val="center"/>
              <w:rPr>
                <w:rFonts w:ascii="Times New Roman" w:eastAsia="Times New Roman" w:hAnsi="Times New Roman" w:cs="Times New Roman"/>
                <w:sz w:val="18"/>
                <w:szCs w:val="18"/>
                <w:lang w:eastAsia="sk-SK"/>
              </w:rPr>
            </w:pPr>
            <w:r>
              <w:rPr>
                <w:rFonts w:ascii="Times New Roman" w:eastAsia="Times New Roman" w:hAnsi="Times New Roman" w:cs="Times New Roman"/>
                <w:sz w:val="18"/>
                <w:szCs w:val="18"/>
                <w:lang w:eastAsia="sk-SK"/>
              </w:rPr>
              <w:t>TBD</w:t>
            </w:r>
          </w:p>
        </w:tc>
      </w:tr>
    </w:tbl>
    <w:p w:rsidR="00AA17E3" w:rsidRPr="006748AF" w:rsidRDefault="00AA17E3" w:rsidP="00200155">
      <w:pPr>
        <w:spacing w:after="0"/>
        <w:rPr>
          <w:rFonts w:ascii="Times New Roman" w:hAnsi="Times New Roman" w:cs="Times New Roman"/>
          <w:i/>
          <w:sz w:val="16"/>
        </w:rPr>
      </w:pPr>
      <w:r w:rsidRPr="006748AF">
        <w:rPr>
          <w:rFonts w:ascii="Times New Roman" w:hAnsi="Times New Roman" w:cs="Times New Roman"/>
          <w:i/>
          <w:sz w:val="16"/>
        </w:rPr>
        <w:t>*</w:t>
      </w:r>
      <w:r w:rsidRPr="006748AF">
        <w:rPr>
          <w:rFonts w:eastAsiaTheme="minorEastAsia" w:hAnsi="Calibri"/>
          <w:color w:val="000000" w:themeColor="dark1"/>
          <w:sz w:val="20"/>
          <w:lang w:eastAsia="sk-SK"/>
        </w:rPr>
        <w:t xml:space="preserve"> </w:t>
      </w:r>
      <w:r w:rsidRPr="006748AF">
        <w:rPr>
          <w:rFonts w:ascii="Times New Roman" w:hAnsi="Times New Roman" w:cs="Times New Roman"/>
          <w:i/>
          <w:sz w:val="16"/>
        </w:rPr>
        <w:t>Cieľové hodnoty budú vyplývať z pripravovanej Stratégii kultúry 2030, ktorá má byť publikovaná v roku 2022.</w:t>
      </w:r>
    </w:p>
    <w:p w:rsidR="00200155" w:rsidRDefault="00200155" w:rsidP="00200155">
      <w:pPr>
        <w:spacing w:after="0"/>
        <w:jc w:val="both"/>
        <w:rPr>
          <w:rFonts w:ascii="Times New Roman" w:hAnsi="Times New Roman" w:cs="Times New Roman"/>
          <w:sz w:val="24"/>
        </w:rPr>
      </w:pPr>
    </w:p>
    <w:p w:rsidR="00AA17E3" w:rsidRDefault="00AA17E3" w:rsidP="00200155">
      <w:pPr>
        <w:spacing w:after="0"/>
        <w:jc w:val="both"/>
        <w:rPr>
          <w:rFonts w:ascii="Times New Roman" w:hAnsi="Times New Roman" w:cs="Times New Roman"/>
          <w:sz w:val="24"/>
        </w:rPr>
      </w:pPr>
      <w:r>
        <w:rPr>
          <w:rFonts w:ascii="Times New Roman" w:hAnsi="Times New Roman" w:cs="Times New Roman"/>
          <w:sz w:val="24"/>
        </w:rPr>
        <w:t>V</w:t>
      </w:r>
      <w:r w:rsidRPr="001F1AE8">
        <w:rPr>
          <w:rFonts w:ascii="Times New Roman" w:hAnsi="Times New Roman" w:cs="Times New Roman"/>
          <w:sz w:val="24"/>
        </w:rPr>
        <w:t xml:space="preserve">ýsledky v kultúre je možné merať pomocou desiatich ukazovateľov. Zameriavajú sa najmä na návštevnosť kultúrnych inštitúcií a ich schopnosť tvoriť vlastné príjmy. </w:t>
      </w:r>
      <w:r>
        <w:rPr>
          <w:rFonts w:ascii="Times New Roman" w:hAnsi="Times New Roman" w:cs="Times New Roman"/>
          <w:sz w:val="24"/>
        </w:rPr>
        <w:t>Cieľové hodnoty ukazovateľov vyplynú zo Stratégie kultúry 2030, ktorá bude publikovaná v roku 2022</w:t>
      </w:r>
      <w:r w:rsidR="00CD79A5">
        <w:rPr>
          <w:rFonts w:ascii="Times New Roman" w:hAnsi="Times New Roman" w:cs="Times New Roman"/>
          <w:sz w:val="24"/>
        </w:rPr>
        <w:t>.</w:t>
      </w:r>
    </w:p>
    <w:p w:rsidR="00200155" w:rsidRDefault="00200155" w:rsidP="00200155">
      <w:pPr>
        <w:spacing w:after="0"/>
        <w:jc w:val="both"/>
        <w:rPr>
          <w:rFonts w:ascii="Times New Roman" w:hAnsi="Times New Roman" w:cs="Times New Roman"/>
          <w:sz w:val="24"/>
        </w:rPr>
      </w:pPr>
    </w:p>
    <w:p w:rsidR="00AA17E3" w:rsidRPr="00A645F0" w:rsidRDefault="00AA17E3" w:rsidP="00200155">
      <w:pPr>
        <w:spacing w:after="0"/>
        <w:jc w:val="both"/>
        <w:rPr>
          <w:rFonts w:ascii="Times New Roman" w:hAnsi="Times New Roman" w:cs="Times New Roman"/>
          <w:sz w:val="24"/>
        </w:rPr>
      </w:pPr>
      <w:r w:rsidRPr="00A645F0">
        <w:rPr>
          <w:rFonts w:ascii="Times New Roman" w:hAnsi="Times New Roman" w:cs="Times New Roman"/>
          <w:sz w:val="24"/>
        </w:rPr>
        <w:t>Návštevnosť zbierkotvorných inštitúcii (múzeí a galérií) aj festivalov v posledných rokoch pomaly rástla. Naopak, stagnujúci trend má návštevnosť subjektov v scénickom umení (divadlá, vážna hudba). Napriek hustej knižničnej sieti stagnuje aj podiel obyvateľov s čitateľským preukazom.</w:t>
      </w:r>
    </w:p>
    <w:p w:rsidR="00200155" w:rsidRDefault="00200155" w:rsidP="00200155">
      <w:pPr>
        <w:spacing w:after="0"/>
        <w:jc w:val="both"/>
        <w:rPr>
          <w:rFonts w:ascii="Times New Roman" w:hAnsi="Times New Roman" w:cs="Times New Roman"/>
          <w:sz w:val="24"/>
        </w:rPr>
      </w:pPr>
    </w:p>
    <w:p w:rsidR="00AA17E3" w:rsidRDefault="00AA17E3" w:rsidP="00200155">
      <w:pPr>
        <w:spacing w:after="0"/>
        <w:jc w:val="both"/>
        <w:rPr>
          <w:rFonts w:ascii="Times New Roman" w:hAnsi="Times New Roman" w:cs="Times New Roman"/>
          <w:sz w:val="24"/>
        </w:rPr>
      </w:pPr>
      <w:r w:rsidRPr="00A645F0">
        <w:rPr>
          <w:rFonts w:ascii="Times New Roman" w:hAnsi="Times New Roman" w:cs="Times New Roman"/>
          <w:sz w:val="24"/>
        </w:rPr>
        <w:t>Počet premiér slovenských filmov mal do vypuknutia pandémie koronavírusu stúpajúcu tendenciu. K zlepšeniu v posledných rokoch dochádza aj pri vyraďovaní z pamiatkovej ochrany. Vyradenie svedčí o zlom stave pamiatky, cieľom by preto malo byť, aby k vyradeniu z pamiatkovej ochrany nedochádzalo.</w:t>
      </w:r>
    </w:p>
    <w:p w:rsidR="00200155" w:rsidRDefault="00200155" w:rsidP="00AA17E3">
      <w:pPr>
        <w:pStyle w:val="BodyText25"/>
        <w:ind w:left="0" w:firstLine="0"/>
        <w:jc w:val="both"/>
        <w:rPr>
          <w:rFonts w:eastAsiaTheme="minorHAnsi"/>
          <w:b w:val="0"/>
          <w:i w:val="0"/>
          <w:sz w:val="24"/>
          <w:szCs w:val="22"/>
          <w:lang w:eastAsia="en-US"/>
        </w:rPr>
      </w:pPr>
    </w:p>
    <w:p w:rsidR="00AA17E3" w:rsidRDefault="00AA17E3" w:rsidP="00AA17E3">
      <w:pPr>
        <w:pStyle w:val="BodyText25"/>
        <w:ind w:left="0" w:firstLine="0"/>
        <w:jc w:val="both"/>
        <w:rPr>
          <w:rFonts w:eastAsiaTheme="minorHAnsi"/>
          <w:b w:val="0"/>
          <w:i w:val="0"/>
          <w:sz w:val="24"/>
          <w:szCs w:val="22"/>
          <w:lang w:eastAsia="en-US"/>
        </w:rPr>
      </w:pPr>
      <w:r>
        <w:rPr>
          <w:rFonts w:eastAsiaTheme="minorHAnsi"/>
          <w:b w:val="0"/>
          <w:i w:val="0"/>
          <w:sz w:val="24"/>
          <w:szCs w:val="22"/>
          <w:lang w:eastAsia="en-US"/>
        </w:rPr>
        <w:t xml:space="preserve">Verejné </w:t>
      </w:r>
      <w:r w:rsidRPr="002079C2">
        <w:rPr>
          <w:rFonts w:eastAsiaTheme="minorHAnsi"/>
          <w:b w:val="0"/>
          <w:i w:val="0"/>
          <w:sz w:val="24"/>
          <w:szCs w:val="22"/>
          <w:lang w:eastAsia="en-US"/>
        </w:rPr>
        <w:t>výdavky na kultúru</w:t>
      </w:r>
      <w:r>
        <w:rPr>
          <w:rFonts w:eastAsiaTheme="minorHAnsi"/>
          <w:b w:val="0"/>
          <w:i w:val="0"/>
          <w:sz w:val="24"/>
          <w:szCs w:val="22"/>
          <w:lang w:eastAsia="en-US"/>
        </w:rPr>
        <w:t xml:space="preserve"> (podľa metodiky COFOG)</w:t>
      </w:r>
      <w:r w:rsidRPr="002079C2">
        <w:rPr>
          <w:rFonts w:eastAsiaTheme="minorHAnsi"/>
          <w:b w:val="0"/>
          <w:i w:val="0"/>
          <w:sz w:val="24"/>
          <w:szCs w:val="22"/>
          <w:lang w:eastAsia="en-US"/>
        </w:rPr>
        <w:t xml:space="preserve"> v roku 2022 dosiahnu </w:t>
      </w:r>
      <w:r>
        <w:rPr>
          <w:rFonts w:eastAsiaTheme="minorHAnsi"/>
          <w:b w:val="0"/>
          <w:i w:val="0"/>
          <w:sz w:val="24"/>
          <w:szCs w:val="22"/>
          <w:lang w:eastAsia="en-US"/>
        </w:rPr>
        <w:t xml:space="preserve">sumu </w:t>
      </w:r>
      <w:r w:rsidRPr="002079C2">
        <w:rPr>
          <w:rFonts w:eastAsiaTheme="minorHAnsi"/>
          <w:b w:val="0"/>
          <w:i w:val="0"/>
          <w:sz w:val="24"/>
          <w:szCs w:val="22"/>
          <w:lang w:eastAsia="en-US"/>
        </w:rPr>
        <w:t xml:space="preserve">793 mil. eur. </w:t>
      </w:r>
      <w:r>
        <w:rPr>
          <w:rFonts w:eastAsiaTheme="minorHAnsi"/>
          <w:b w:val="0"/>
          <w:i w:val="0"/>
          <w:sz w:val="24"/>
          <w:szCs w:val="22"/>
          <w:lang w:eastAsia="en-US"/>
        </w:rPr>
        <w:t xml:space="preserve">Štruktúra výdavkov je zobrazená </w:t>
      </w:r>
      <w:r w:rsidRPr="009D293D">
        <w:rPr>
          <w:rFonts w:eastAsiaTheme="minorHAnsi"/>
          <w:b w:val="0"/>
          <w:i w:val="0"/>
          <w:sz w:val="24"/>
          <w:szCs w:val="22"/>
          <w:lang w:eastAsia="en-US"/>
        </w:rPr>
        <w:t>v </w:t>
      </w:r>
      <w:r>
        <w:rPr>
          <w:rFonts w:eastAsiaTheme="minorHAnsi"/>
          <w:b w:val="0"/>
          <w:i w:val="0"/>
          <w:sz w:val="24"/>
          <w:szCs w:val="22"/>
          <w:lang w:eastAsia="en-US"/>
        </w:rPr>
        <w:t>s</w:t>
      </w:r>
      <w:r w:rsidRPr="009D293D">
        <w:rPr>
          <w:rFonts w:eastAsiaTheme="minorHAnsi"/>
          <w:b w:val="0"/>
          <w:i w:val="0"/>
          <w:sz w:val="24"/>
          <w:szCs w:val="22"/>
          <w:lang w:eastAsia="en-US"/>
        </w:rPr>
        <w:t>chéme 1</w:t>
      </w:r>
      <w:r>
        <w:rPr>
          <w:rFonts w:eastAsiaTheme="minorHAnsi"/>
          <w:b w:val="0"/>
          <w:i w:val="0"/>
          <w:sz w:val="24"/>
          <w:szCs w:val="22"/>
          <w:lang w:eastAsia="en-US"/>
        </w:rPr>
        <w:t>.</w:t>
      </w:r>
    </w:p>
    <w:p w:rsidR="00441800" w:rsidRPr="00227C9C" w:rsidRDefault="00441800" w:rsidP="00AA17E3">
      <w:pPr>
        <w:pStyle w:val="BodyText25"/>
        <w:ind w:left="0" w:firstLine="0"/>
        <w:jc w:val="both"/>
        <w:rPr>
          <w:rFonts w:eastAsiaTheme="minorHAnsi"/>
          <w:b w:val="0"/>
          <w:i w:val="0"/>
          <w:sz w:val="24"/>
          <w:szCs w:val="22"/>
          <w:lang w:eastAsia="en-US"/>
        </w:rPr>
      </w:pPr>
    </w:p>
    <w:tbl>
      <w:tblPr>
        <w:tblStyle w:val="Mriekatabuky"/>
        <w:tblW w:w="27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gridCol w:w="8640"/>
        <w:gridCol w:w="9288"/>
      </w:tblGrid>
      <w:tr w:rsidR="00AA17E3" w:rsidRPr="00227C9C" w:rsidTr="000E1014">
        <w:tc>
          <w:tcPr>
            <w:tcW w:w="9288" w:type="dxa"/>
            <w:tcBorders>
              <w:bottom w:val="single" w:sz="4" w:space="0" w:color="000000"/>
            </w:tcBorders>
          </w:tcPr>
          <w:p w:rsidR="00AA17E3" w:rsidRPr="00567C4F" w:rsidRDefault="00AA17E3" w:rsidP="00AA17E3">
            <w:pPr>
              <w:pStyle w:val="Popis"/>
              <w:keepNext/>
              <w:spacing w:after="0"/>
              <w:rPr>
                <w:rFonts w:ascii="Times New Roman" w:hAnsi="Times New Roman"/>
                <w:b/>
                <w:i w:val="0"/>
                <w:color w:val="5B9BD5"/>
                <w:sz w:val="20"/>
                <w:szCs w:val="20"/>
                <w:highlight w:val="yellow"/>
              </w:rPr>
            </w:pPr>
            <w:bookmarkStart w:id="600" w:name="_Toc84528548"/>
            <w:bookmarkStart w:id="601" w:name="_Toc84848039"/>
            <w:r w:rsidRPr="004441CD">
              <w:rPr>
                <w:rFonts w:ascii="Times New Roman" w:hAnsi="Times New Roman"/>
                <w:b/>
                <w:i w:val="0"/>
                <w:color w:val="5B9BD5"/>
                <w:sz w:val="20"/>
                <w:szCs w:val="20"/>
              </w:rPr>
              <w:t xml:space="preserve">Graf </w:t>
            </w:r>
            <w:r w:rsidRPr="004441CD">
              <w:rPr>
                <w:rFonts w:ascii="Times New Roman" w:hAnsi="Times New Roman"/>
                <w:b/>
                <w:i w:val="0"/>
                <w:color w:val="5B9BD5"/>
                <w:sz w:val="20"/>
                <w:szCs w:val="20"/>
              </w:rPr>
              <w:fldChar w:fldCharType="begin"/>
            </w:r>
            <w:r w:rsidRPr="004441CD">
              <w:rPr>
                <w:rFonts w:ascii="Times New Roman" w:hAnsi="Times New Roman"/>
                <w:b/>
                <w:i w:val="0"/>
                <w:color w:val="5B9BD5"/>
                <w:sz w:val="20"/>
                <w:szCs w:val="20"/>
              </w:rPr>
              <w:instrText xml:space="preserve"> SEQ Obrázok \* ARABIC </w:instrText>
            </w:r>
            <w:r w:rsidRPr="004441CD">
              <w:rPr>
                <w:rFonts w:ascii="Times New Roman" w:hAnsi="Times New Roman"/>
                <w:b/>
                <w:i w:val="0"/>
                <w:color w:val="5B9BD5"/>
                <w:sz w:val="20"/>
                <w:szCs w:val="20"/>
              </w:rPr>
              <w:fldChar w:fldCharType="separate"/>
            </w:r>
            <w:r w:rsidR="006E67C6">
              <w:rPr>
                <w:rFonts w:ascii="Times New Roman" w:hAnsi="Times New Roman"/>
                <w:b/>
                <w:i w:val="0"/>
                <w:noProof/>
                <w:color w:val="5B9BD5"/>
                <w:sz w:val="20"/>
                <w:szCs w:val="20"/>
              </w:rPr>
              <w:t>48</w:t>
            </w:r>
            <w:r w:rsidRPr="004441CD">
              <w:rPr>
                <w:rFonts w:ascii="Times New Roman" w:hAnsi="Times New Roman"/>
                <w:b/>
                <w:i w:val="0"/>
                <w:color w:val="5B9BD5"/>
                <w:sz w:val="20"/>
                <w:szCs w:val="20"/>
              </w:rPr>
              <w:fldChar w:fldCharType="end"/>
            </w:r>
            <w:r w:rsidR="00441800">
              <w:rPr>
                <w:rFonts w:ascii="Times New Roman" w:hAnsi="Times New Roman"/>
                <w:b/>
                <w:i w:val="0"/>
                <w:color w:val="5B9BD5"/>
                <w:sz w:val="20"/>
                <w:szCs w:val="20"/>
              </w:rPr>
              <w:t xml:space="preserve"> </w:t>
            </w:r>
            <w:r>
              <w:rPr>
                <w:rFonts w:ascii="Times New Roman" w:hAnsi="Times New Roman"/>
                <w:b/>
                <w:i w:val="0"/>
                <w:color w:val="5B9BD5"/>
                <w:sz w:val="20"/>
                <w:szCs w:val="20"/>
              </w:rPr>
              <w:t>–</w:t>
            </w:r>
            <w:r w:rsidRPr="00227C9C">
              <w:rPr>
                <w:rFonts w:ascii="Times New Roman" w:hAnsi="Times New Roman"/>
                <w:b/>
                <w:i w:val="0"/>
                <w:color w:val="5B9BD5"/>
                <w:sz w:val="20"/>
                <w:szCs w:val="20"/>
              </w:rPr>
              <w:t xml:space="preserve"> </w:t>
            </w:r>
            <w:r>
              <w:rPr>
                <w:rFonts w:ascii="Times New Roman" w:hAnsi="Times New Roman"/>
                <w:b/>
                <w:i w:val="0"/>
                <w:color w:val="5B9BD5"/>
                <w:sz w:val="20"/>
                <w:szCs w:val="20"/>
              </w:rPr>
              <w:t>Štruktúra verejných výdavkov na kultúru* (podľa metodiky COFOG) v roku 2022</w:t>
            </w:r>
            <w:bookmarkEnd w:id="600"/>
            <w:bookmarkEnd w:id="601"/>
          </w:p>
        </w:tc>
        <w:tc>
          <w:tcPr>
            <w:tcW w:w="8640" w:type="dxa"/>
          </w:tcPr>
          <w:p w:rsidR="00AA17E3" w:rsidRPr="00567C4F" w:rsidRDefault="00AA17E3" w:rsidP="00AA17E3">
            <w:pPr>
              <w:pStyle w:val="Popis"/>
              <w:keepNext/>
              <w:spacing w:after="0"/>
              <w:rPr>
                <w:rFonts w:ascii="Times New Roman" w:hAnsi="Times New Roman"/>
                <w:b/>
                <w:i w:val="0"/>
                <w:color w:val="5B9BD5"/>
                <w:sz w:val="20"/>
                <w:szCs w:val="20"/>
                <w:highlight w:val="yellow"/>
              </w:rPr>
            </w:pPr>
          </w:p>
        </w:tc>
        <w:tc>
          <w:tcPr>
            <w:tcW w:w="9288" w:type="dxa"/>
            <w:tcBorders>
              <w:bottom w:val="single" w:sz="4" w:space="0" w:color="000000"/>
            </w:tcBorders>
          </w:tcPr>
          <w:p w:rsidR="00AA17E3" w:rsidRPr="00227C9C" w:rsidRDefault="00AA17E3" w:rsidP="00AA17E3">
            <w:pPr>
              <w:pStyle w:val="Popis"/>
              <w:keepNext/>
              <w:spacing w:after="0"/>
              <w:rPr>
                <w:rFonts w:ascii="Times New Roman" w:hAnsi="Times New Roman"/>
                <w:b/>
                <w:i w:val="0"/>
                <w:color w:val="5B9BD5"/>
                <w:sz w:val="20"/>
                <w:szCs w:val="20"/>
              </w:rPr>
            </w:pPr>
            <w:r w:rsidRPr="00567C4F">
              <w:rPr>
                <w:rFonts w:ascii="Times New Roman" w:hAnsi="Times New Roman"/>
                <w:b/>
                <w:i w:val="0"/>
                <w:color w:val="5B9BD5"/>
                <w:sz w:val="20"/>
                <w:szCs w:val="20"/>
                <w:highlight w:val="yellow"/>
              </w:rPr>
              <w:t>Schéma X</w:t>
            </w:r>
            <w:r w:rsidRPr="00227C9C">
              <w:rPr>
                <w:rFonts w:ascii="Times New Roman" w:hAnsi="Times New Roman"/>
                <w:b/>
                <w:i w:val="0"/>
                <w:color w:val="5B9BD5"/>
                <w:sz w:val="20"/>
                <w:szCs w:val="20"/>
              </w:rPr>
              <w:t xml:space="preserve"> </w:t>
            </w:r>
            <w:r>
              <w:rPr>
                <w:rFonts w:ascii="Times New Roman" w:hAnsi="Times New Roman"/>
                <w:b/>
                <w:i w:val="0"/>
                <w:color w:val="5B9BD5"/>
                <w:sz w:val="20"/>
                <w:szCs w:val="20"/>
              </w:rPr>
              <w:t>–</w:t>
            </w:r>
            <w:r w:rsidRPr="00227C9C">
              <w:rPr>
                <w:rFonts w:ascii="Times New Roman" w:hAnsi="Times New Roman"/>
                <w:b/>
                <w:i w:val="0"/>
                <w:color w:val="5B9BD5"/>
                <w:sz w:val="20"/>
                <w:szCs w:val="20"/>
              </w:rPr>
              <w:t xml:space="preserve"> </w:t>
            </w:r>
            <w:r>
              <w:rPr>
                <w:rFonts w:ascii="Times New Roman" w:hAnsi="Times New Roman"/>
                <w:b/>
                <w:i w:val="0"/>
                <w:color w:val="5B9BD5"/>
                <w:sz w:val="20"/>
                <w:szCs w:val="20"/>
              </w:rPr>
              <w:t>Štruktúra verejných výdavkov na kultúru v roku 2022</w:t>
            </w:r>
          </w:p>
        </w:tc>
      </w:tr>
      <w:tr w:rsidR="00AA17E3" w:rsidRPr="00227C9C" w:rsidTr="000E1014">
        <w:tc>
          <w:tcPr>
            <w:tcW w:w="9288" w:type="dxa"/>
            <w:tcBorders>
              <w:top w:val="single" w:sz="4" w:space="0" w:color="000000"/>
              <w:bottom w:val="single" w:sz="4" w:space="0" w:color="000000"/>
            </w:tcBorders>
          </w:tcPr>
          <w:p w:rsidR="00AA17E3" w:rsidRPr="00227C9C" w:rsidRDefault="00AA17E3" w:rsidP="00AA17E3">
            <w:pPr>
              <w:keepNext/>
              <w:rPr>
                <w:noProof/>
                <w:lang w:eastAsia="sk-SK"/>
              </w:rPr>
            </w:pPr>
            <w:r>
              <w:rPr>
                <w:noProof/>
                <w:lang w:eastAsia="sk-SK"/>
              </w:rPr>
              <w:drawing>
                <wp:inline distT="0" distB="0" distL="0" distR="0" wp14:anchorId="680AA1E1" wp14:editId="7AF11CCF">
                  <wp:extent cx="5760720" cy="3362325"/>
                  <wp:effectExtent l="0" t="0" r="0" b="952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c>
          <w:tcPr>
            <w:tcW w:w="8640" w:type="dxa"/>
          </w:tcPr>
          <w:p w:rsidR="00AA17E3" w:rsidRPr="00227C9C" w:rsidRDefault="00AA17E3" w:rsidP="00AA17E3">
            <w:pPr>
              <w:keepNext/>
              <w:rPr>
                <w:noProof/>
                <w:lang w:eastAsia="sk-SK"/>
              </w:rPr>
            </w:pPr>
          </w:p>
        </w:tc>
        <w:tc>
          <w:tcPr>
            <w:tcW w:w="9288" w:type="dxa"/>
            <w:tcBorders>
              <w:top w:val="single" w:sz="4" w:space="0" w:color="000000"/>
              <w:bottom w:val="single" w:sz="4" w:space="0" w:color="000000"/>
            </w:tcBorders>
          </w:tcPr>
          <w:p w:rsidR="00AA17E3" w:rsidRPr="00227C9C" w:rsidRDefault="00AA17E3" w:rsidP="00AA17E3">
            <w:pPr>
              <w:keepNext/>
            </w:pPr>
            <w:r w:rsidRPr="00227C9C">
              <w:rPr>
                <w:noProof/>
                <w:lang w:eastAsia="sk-SK"/>
              </w:rPr>
              <w:drawing>
                <wp:inline distT="0" distB="0" distL="0" distR="0" wp14:anchorId="0EEB3CDE" wp14:editId="718ADA4D">
                  <wp:extent cx="5760720" cy="3181350"/>
                  <wp:effectExtent l="0" t="0" r="0" b="1905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bl>
    <w:tbl>
      <w:tblPr>
        <w:tblStyle w:val="Mriekatabuk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3291"/>
      </w:tblGrid>
      <w:tr w:rsidR="00AA17E3" w:rsidRPr="002079C2" w:rsidTr="00AA17E3">
        <w:trPr>
          <w:trHeight w:val="64"/>
        </w:trPr>
        <w:tc>
          <w:tcPr>
            <w:tcW w:w="5781" w:type="dxa"/>
            <w:tcBorders>
              <w:top w:val="single" w:sz="4" w:space="0" w:color="000000"/>
            </w:tcBorders>
          </w:tcPr>
          <w:p w:rsidR="00AA17E3" w:rsidRPr="002079C2" w:rsidRDefault="00AA17E3" w:rsidP="00AA17E3">
            <w:pPr>
              <w:rPr>
                <w:rFonts w:ascii="Times New Roman" w:hAnsi="Times New Roman"/>
                <w:i/>
                <w:color w:val="000000"/>
                <w:sz w:val="16"/>
                <w:szCs w:val="16"/>
              </w:rPr>
            </w:pPr>
            <w:r w:rsidRPr="002079C2">
              <w:rPr>
                <w:rFonts w:ascii="Times New Roman" w:hAnsi="Times New Roman"/>
                <w:i/>
                <w:color w:val="000000"/>
                <w:sz w:val="16"/>
                <w:szCs w:val="16"/>
              </w:rPr>
              <w:t>*Poznámka: výdavky na kultúru definované  na základe revízie výdavkov na kultúru ako oddiel 8 – Kultúra, okrem skupiny 8.1 Rekreačné a športové služby.</w:t>
            </w:r>
          </w:p>
          <w:p w:rsidR="00AA17E3" w:rsidRPr="000E1014" w:rsidRDefault="00AA17E3" w:rsidP="00AA17E3">
            <w:pPr>
              <w:rPr>
                <w:rFonts w:ascii="Times New Roman" w:hAnsi="Times New Roman"/>
                <w:i/>
                <w:color w:val="000000"/>
                <w:sz w:val="12"/>
                <w:szCs w:val="16"/>
                <w:highlight w:val="yellow"/>
              </w:rPr>
            </w:pPr>
          </w:p>
          <w:p w:rsidR="00AA17E3" w:rsidRPr="001915F0" w:rsidRDefault="00AA17E3" w:rsidP="00AA17E3">
            <w:pPr>
              <w:rPr>
                <w:rFonts w:ascii="Times New Roman" w:hAnsi="Times New Roman"/>
                <w:i/>
                <w:color w:val="000000"/>
                <w:sz w:val="16"/>
                <w:szCs w:val="16"/>
                <w:highlight w:val="yellow"/>
              </w:rPr>
            </w:pPr>
          </w:p>
        </w:tc>
        <w:tc>
          <w:tcPr>
            <w:tcW w:w="3291" w:type="dxa"/>
            <w:tcBorders>
              <w:top w:val="single" w:sz="4" w:space="0" w:color="000000"/>
            </w:tcBorders>
          </w:tcPr>
          <w:p w:rsidR="00AA17E3" w:rsidRPr="002079C2" w:rsidRDefault="00AA17E3" w:rsidP="00AA17E3">
            <w:pPr>
              <w:jc w:val="right"/>
              <w:rPr>
                <w:rFonts w:ascii="Times New Roman" w:hAnsi="Times New Roman"/>
                <w:i/>
                <w:color w:val="000000"/>
                <w:sz w:val="16"/>
                <w:szCs w:val="16"/>
              </w:rPr>
            </w:pPr>
            <w:r w:rsidRPr="002079C2">
              <w:rPr>
                <w:rFonts w:ascii="Times New Roman" w:hAnsi="Times New Roman"/>
                <w:i/>
                <w:color w:val="000000"/>
                <w:sz w:val="16"/>
                <w:szCs w:val="16"/>
              </w:rPr>
              <w:t>Zdroj: MF SR</w:t>
            </w:r>
          </w:p>
        </w:tc>
      </w:tr>
    </w:tbl>
    <w:p w:rsidR="00AA17E3" w:rsidRPr="0099140B" w:rsidRDefault="00AA17E3" w:rsidP="00AA17E3">
      <w:pPr>
        <w:jc w:val="both"/>
        <w:rPr>
          <w:rFonts w:ascii="Times New Roman" w:hAnsi="Times New Roman" w:cs="Times New Roman"/>
          <w:color w:val="000000" w:themeColor="text1"/>
          <w:sz w:val="24"/>
          <w:szCs w:val="24"/>
        </w:rPr>
      </w:pPr>
      <w:r w:rsidRPr="0099140B">
        <w:rPr>
          <w:rFonts w:ascii="Times New Roman" w:hAnsi="Times New Roman" w:cs="Times New Roman"/>
          <w:color w:val="000000" w:themeColor="text1"/>
          <w:sz w:val="24"/>
          <w:szCs w:val="24"/>
        </w:rPr>
        <w:t>Výdavky na kultúru sú v  rok</w:t>
      </w:r>
      <w:r>
        <w:rPr>
          <w:rFonts w:ascii="Times New Roman" w:hAnsi="Times New Roman" w:cs="Times New Roman"/>
          <w:color w:val="000000" w:themeColor="text1"/>
          <w:sz w:val="24"/>
          <w:szCs w:val="24"/>
        </w:rPr>
        <w:t>u</w:t>
      </w:r>
      <w:r w:rsidRPr="0099140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2022 </w:t>
      </w:r>
      <w:r w:rsidRPr="0099140B">
        <w:rPr>
          <w:rFonts w:ascii="Times New Roman" w:hAnsi="Times New Roman" w:cs="Times New Roman"/>
          <w:color w:val="000000" w:themeColor="text1"/>
          <w:sz w:val="24"/>
          <w:szCs w:val="24"/>
        </w:rPr>
        <w:t>ovplyvnené:</w:t>
      </w:r>
    </w:p>
    <w:p w:rsidR="00AA17E3" w:rsidRPr="00BC514C" w:rsidRDefault="00AA17E3" w:rsidP="004B108F">
      <w:pPr>
        <w:pStyle w:val="Odsekzoznamu"/>
        <w:numPr>
          <w:ilvl w:val="0"/>
          <w:numId w:val="23"/>
        </w:numPr>
        <w:jc w:val="both"/>
        <w:rPr>
          <w:rFonts w:ascii="Times New Roman" w:hAnsi="Times New Roman" w:cs="Times New Roman"/>
        </w:rPr>
      </w:pPr>
      <w:r>
        <w:rPr>
          <w:rFonts w:ascii="Times New Roman" w:hAnsi="Times New Roman" w:cs="Times New Roman"/>
          <w:color w:val="000000" w:themeColor="text1"/>
        </w:rPr>
        <w:t>výdavkami</w:t>
      </w:r>
      <w:r w:rsidRPr="0010618B">
        <w:rPr>
          <w:rFonts w:ascii="Times New Roman" w:hAnsi="Times New Roman" w:cs="Times New Roman"/>
        </w:rPr>
        <w:t xml:space="preserve"> na rekonštrukciu a modernizáciu Slovenskej národnej galérie</w:t>
      </w:r>
      <w:r>
        <w:rPr>
          <w:rFonts w:ascii="Times New Roman" w:hAnsi="Times New Roman" w:cs="Times New Roman"/>
        </w:rPr>
        <w:t xml:space="preserve"> v sume 12 mil. eur</w:t>
      </w:r>
      <w:r w:rsidRPr="0010618B">
        <w:rPr>
          <w:rFonts w:ascii="Times New Roman" w:hAnsi="Times New Roman" w:cs="Times New Roman"/>
        </w:rPr>
        <w:t xml:space="preserve">, na rekonštrukciu </w:t>
      </w:r>
      <w:r>
        <w:rPr>
          <w:rFonts w:ascii="Times New Roman" w:hAnsi="Times New Roman" w:cs="Times New Roman"/>
        </w:rPr>
        <w:t>Š</w:t>
      </w:r>
      <w:r w:rsidRPr="0010618B">
        <w:rPr>
          <w:rFonts w:ascii="Times New Roman" w:hAnsi="Times New Roman" w:cs="Times New Roman"/>
        </w:rPr>
        <w:t>tátnej opery Banská Bystrica</w:t>
      </w:r>
      <w:r>
        <w:rPr>
          <w:rFonts w:ascii="Times New Roman" w:hAnsi="Times New Roman" w:cs="Times New Roman"/>
        </w:rPr>
        <w:t xml:space="preserve"> v sume 2,4 mil. eur</w:t>
      </w:r>
      <w:r w:rsidRPr="0010618B">
        <w:rPr>
          <w:rFonts w:ascii="Times New Roman" w:hAnsi="Times New Roman" w:cs="Times New Roman"/>
        </w:rPr>
        <w:t>, na obnovu a revitalizáciu hradu Krásna Hôrka</w:t>
      </w:r>
      <w:r>
        <w:rPr>
          <w:rFonts w:ascii="Times New Roman" w:hAnsi="Times New Roman" w:cs="Times New Roman"/>
        </w:rPr>
        <w:t xml:space="preserve"> v sume 15,6 mil. eur</w:t>
      </w:r>
      <w:r w:rsidRPr="0010618B">
        <w:rPr>
          <w:rFonts w:ascii="Times New Roman" w:hAnsi="Times New Roman" w:cs="Times New Roman"/>
        </w:rPr>
        <w:t xml:space="preserve"> a na zabezpečenie </w:t>
      </w:r>
      <w:r w:rsidRPr="00931CB8">
        <w:rPr>
          <w:rFonts w:ascii="Times New Roman" w:hAnsi="Times New Roman" w:cs="Times New Roman"/>
        </w:rPr>
        <w:t>sanácie havarijného stavu Spišského hradu v sume 1,8 mil. eur,</w:t>
      </w:r>
      <w:r w:rsidRPr="00BC514C">
        <w:rPr>
          <w:rFonts w:ascii="Times New Roman" w:hAnsi="Times New Roman" w:cs="Times New Roman"/>
          <w:color w:val="000000" w:themeColor="text1"/>
        </w:rPr>
        <w:t xml:space="preserve"> </w:t>
      </w:r>
    </w:p>
    <w:p w:rsidR="00AA17E3" w:rsidRPr="00BC514C" w:rsidRDefault="00AA17E3" w:rsidP="004B108F">
      <w:pPr>
        <w:pStyle w:val="Odsekzoznamu"/>
        <w:numPr>
          <w:ilvl w:val="0"/>
          <w:numId w:val="23"/>
        </w:numPr>
        <w:jc w:val="both"/>
        <w:rPr>
          <w:rFonts w:ascii="Times New Roman" w:hAnsi="Times New Roman" w:cs="Times New Roman"/>
        </w:rPr>
      </w:pPr>
      <w:r>
        <w:rPr>
          <w:rFonts w:ascii="Times New Roman" w:hAnsi="Times New Roman" w:cs="Times New Roman"/>
          <w:color w:val="000000" w:themeColor="text1"/>
        </w:rPr>
        <w:t>výdavkami</w:t>
      </w:r>
      <w:r>
        <w:rPr>
          <w:rFonts w:ascii="Times New Roman" w:hAnsi="Times New Roman" w:cs="Times New Roman"/>
        </w:rPr>
        <w:t xml:space="preserve"> na </w:t>
      </w:r>
      <w:r w:rsidRPr="001D29F5">
        <w:rPr>
          <w:rFonts w:ascii="Times New Roman" w:hAnsi="Times New Roman" w:cs="Times New Roman"/>
        </w:rPr>
        <w:t xml:space="preserve">reformu zvýšenia transparentnosti a zefektívnenia rozhodnutí Pamiatkového Úradu </w:t>
      </w:r>
      <w:r w:rsidR="00CD79A5">
        <w:rPr>
          <w:rFonts w:ascii="Times New Roman" w:hAnsi="Times New Roman" w:cs="Times New Roman"/>
        </w:rPr>
        <w:t>SR</w:t>
      </w:r>
      <w:r>
        <w:rPr>
          <w:rFonts w:ascii="Times New Roman" w:hAnsi="Times New Roman" w:cs="Times New Roman"/>
        </w:rPr>
        <w:t xml:space="preserve"> </w:t>
      </w:r>
      <w:r w:rsidRPr="00931CB8">
        <w:rPr>
          <w:rFonts w:ascii="Times New Roman" w:hAnsi="Times New Roman" w:cs="Times New Roman"/>
        </w:rPr>
        <w:t>financovanú z prostriedkov Plánu obnovy a odolnosti v</w:t>
      </w:r>
      <w:r>
        <w:rPr>
          <w:rFonts w:ascii="Times New Roman" w:hAnsi="Times New Roman" w:cs="Times New Roman"/>
        </w:rPr>
        <w:t> </w:t>
      </w:r>
      <w:r w:rsidRPr="00931CB8">
        <w:rPr>
          <w:rFonts w:ascii="Times New Roman" w:hAnsi="Times New Roman" w:cs="Times New Roman"/>
        </w:rPr>
        <w:t>sume</w:t>
      </w:r>
      <w:r>
        <w:rPr>
          <w:rFonts w:ascii="Times New Roman" w:hAnsi="Times New Roman" w:cs="Times New Roman"/>
        </w:rPr>
        <w:t xml:space="preserve"> 3,7 mil. eur,</w:t>
      </w:r>
    </w:p>
    <w:p w:rsidR="00AA17E3" w:rsidRPr="00931CB8" w:rsidRDefault="00AA17E3" w:rsidP="004B108F">
      <w:pPr>
        <w:pStyle w:val="Odsekzoznamu"/>
        <w:numPr>
          <w:ilvl w:val="0"/>
          <w:numId w:val="23"/>
        </w:numPr>
        <w:jc w:val="both"/>
        <w:rPr>
          <w:rFonts w:ascii="Times New Roman" w:hAnsi="Times New Roman" w:cs="Times New Roman"/>
        </w:rPr>
      </w:pPr>
      <w:r w:rsidRPr="00931CB8">
        <w:rPr>
          <w:rFonts w:ascii="Times New Roman" w:hAnsi="Times New Roman" w:cs="Times New Roman"/>
          <w:color w:val="000000" w:themeColor="text1"/>
        </w:rPr>
        <w:t>výdavkami</w:t>
      </w:r>
      <w:r w:rsidR="000F72E0">
        <w:rPr>
          <w:rFonts w:ascii="Times New Roman" w:hAnsi="Times New Roman" w:cs="Times New Roman"/>
        </w:rPr>
        <w:t xml:space="preserve"> pre analytickú jednotku</w:t>
      </w:r>
      <w:r w:rsidRPr="00931CB8">
        <w:rPr>
          <w:rFonts w:ascii="Times New Roman" w:hAnsi="Times New Roman" w:cs="Times New Roman"/>
        </w:rPr>
        <w:t xml:space="preserve"> na Ministerstve kultúry SR v sume 435 tis. eur</w:t>
      </w:r>
      <w:r w:rsidR="00422E8F">
        <w:rPr>
          <w:rFonts w:ascii="Times New Roman" w:hAnsi="Times New Roman" w:cs="Times New Roman"/>
        </w:rPr>
        <w:t>,</w:t>
      </w:r>
    </w:p>
    <w:p w:rsidR="00AA17E3" w:rsidRDefault="00AA17E3" w:rsidP="004B108F">
      <w:pPr>
        <w:pStyle w:val="Odsekzoznamu"/>
        <w:numPr>
          <w:ilvl w:val="0"/>
          <w:numId w:val="23"/>
        </w:numPr>
        <w:jc w:val="both"/>
        <w:rPr>
          <w:rFonts w:ascii="Times New Roman" w:hAnsi="Times New Roman" w:cs="Times New Roman"/>
        </w:rPr>
      </w:pPr>
      <w:r w:rsidRPr="00931CB8">
        <w:rPr>
          <w:rFonts w:ascii="Times New Roman" w:hAnsi="Times New Roman" w:cs="Times New Roman"/>
        </w:rPr>
        <w:t>zvýšením vlastných príjmov organizácii zriadených Ministerstv</w:t>
      </w:r>
      <w:r>
        <w:rPr>
          <w:rFonts w:ascii="Times New Roman" w:hAnsi="Times New Roman" w:cs="Times New Roman"/>
        </w:rPr>
        <w:t>om</w:t>
      </w:r>
      <w:r w:rsidRPr="00931CB8">
        <w:rPr>
          <w:rFonts w:ascii="Times New Roman" w:hAnsi="Times New Roman" w:cs="Times New Roman"/>
        </w:rPr>
        <w:t xml:space="preserve"> kultúry SR oproti roku 2021 o</w:t>
      </w:r>
      <w:r>
        <w:rPr>
          <w:rFonts w:ascii="Times New Roman" w:hAnsi="Times New Roman" w:cs="Times New Roman"/>
        </w:rPr>
        <w:t xml:space="preserve"> sumu </w:t>
      </w:r>
      <w:r w:rsidRPr="00931CB8">
        <w:rPr>
          <w:rFonts w:ascii="Times New Roman" w:hAnsi="Times New Roman" w:cs="Times New Roman"/>
        </w:rPr>
        <w:t>7,1</w:t>
      </w:r>
      <w:r>
        <w:rPr>
          <w:rFonts w:ascii="Times New Roman" w:hAnsi="Times New Roman" w:cs="Times New Roman"/>
        </w:rPr>
        <w:t xml:space="preserve"> mil. eur.</w:t>
      </w:r>
    </w:p>
    <w:p w:rsidR="00AA17E3" w:rsidRPr="000E1014" w:rsidRDefault="00AA17E3" w:rsidP="000E1014">
      <w:pPr>
        <w:spacing w:after="0"/>
        <w:jc w:val="both"/>
        <w:rPr>
          <w:rFonts w:ascii="Times New Roman" w:hAnsi="Times New Roman" w:cs="Times New Roman"/>
          <w:sz w:val="24"/>
        </w:rPr>
      </w:pPr>
    </w:p>
    <w:p w:rsidR="00FA7DE1" w:rsidRDefault="00AA17E3" w:rsidP="000E1014">
      <w:pPr>
        <w:spacing w:after="0"/>
        <w:jc w:val="both"/>
        <w:rPr>
          <w:rFonts w:ascii="Times New Roman" w:hAnsi="Times New Roman" w:cs="Times New Roman"/>
          <w:sz w:val="24"/>
        </w:rPr>
      </w:pPr>
      <w:r w:rsidRPr="0010618B">
        <w:rPr>
          <w:rFonts w:ascii="Times New Roman" w:hAnsi="Times New Roman" w:cs="Times New Roman"/>
          <w:sz w:val="24"/>
        </w:rPr>
        <w:t>V</w:t>
      </w:r>
      <w:r>
        <w:rPr>
          <w:rFonts w:ascii="Times New Roman" w:hAnsi="Times New Roman" w:cs="Times New Roman"/>
          <w:sz w:val="24"/>
        </w:rPr>
        <w:t>o</w:t>
      </w:r>
      <w:r w:rsidRPr="0010618B">
        <w:rPr>
          <w:rFonts w:ascii="Times New Roman" w:hAnsi="Times New Roman" w:cs="Times New Roman"/>
          <w:sz w:val="24"/>
        </w:rPr>
        <w:t xml:space="preserve"> výdavkoch na oblasť </w:t>
      </w:r>
      <w:r w:rsidRPr="00B46DC7">
        <w:rPr>
          <w:rFonts w:ascii="Times New Roman" w:hAnsi="Times New Roman" w:cs="Times New Roman"/>
          <w:sz w:val="24"/>
        </w:rPr>
        <w:t>kultúry</w:t>
      </w:r>
      <w:r w:rsidRPr="00B46DC7">
        <w:rPr>
          <w:rStyle w:val="Odkaznapoznmkupodiarou"/>
          <w:rFonts w:ascii="Times New Roman" w:hAnsi="Times New Roman"/>
          <w:sz w:val="24"/>
        </w:rPr>
        <w:footnoteReference w:id="65"/>
      </w:r>
      <w:r w:rsidRPr="0010618B">
        <w:rPr>
          <w:rFonts w:ascii="Times New Roman" w:hAnsi="Times New Roman" w:cs="Times New Roman"/>
          <w:sz w:val="24"/>
        </w:rPr>
        <w:t xml:space="preserve"> sú obsiahnuté výdavky na inštitucionálnu podporu organizácií rezortu Ministerstva kultúry S</w:t>
      </w:r>
      <w:r w:rsidRPr="007418D6">
        <w:rPr>
          <w:rFonts w:ascii="Times New Roman" w:hAnsi="Times New Roman" w:cs="Times New Roman"/>
          <w:color w:val="000000" w:themeColor="text1"/>
          <w:sz w:val="24"/>
        </w:rPr>
        <w:t>R</w:t>
      </w:r>
      <w:r w:rsidRPr="0010618B">
        <w:rPr>
          <w:rFonts w:ascii="Times New Roman" w:hAnsi="Times New Roman" w:cs="Times New Roman"/>
          <w:sz w:val="24"/>
        </w:rPr>
        <w:t xml:space="preserve">, </w:t>
      </w:r>
      <w:r w:rsidRPr="001D29F5">
        <w:rPr>
          <w:rFonts w:ascii="Times New Roman" w:hAnsi="Times New Roman" w:cs="Times New Roman"/>
          <w:sz w:val="24"/>
        </w:rPr>
        <w:t>výdavky na projekty orientované na zachovanie a rozvoj kultúrneho dedičstva prostredníctvom Dotačného systém Ministerstva kultúry SR,</w:t>
      </w:r>
      <w:r w:rsidRPr="0010618B">
        <w:rPr>
          <w:rFonts w:ascii="Times New Roman" w:hAnsi="Times New Roman" w:cs="Times New Roman"/>
          <w:sz w:val="24"/>
        </w:rPr>
        <w:t xml:space="preserve"> </w:t>
      </w:r>
      <w:r>
        <w:rPr>
          <w:rFonts w:ascii="Times New Roman" w:hAnsi="Times New Roman" w:cs="Times New Roman"/>
          <w:sz w:val="24"/>
        </w:rPr>
        <w:t xml:space="preserve">výdavky </w:t>
      </w:r>
      <w:r w:rsidRPr="0010618B">
        <w:rPr>
          <w:rFonts w:ascii="Times New Roman" w:hAnsi="Times New Roman" w:cs="Times New Roman"/>
          <w:sz w:val="24"/>
        </w:rPr>
        <w:t xml:space="preserve">na podporu verejnoprávnych inštitúcií, výdavky Rady pre vysielanie a retransmisiu, </w:t>
      </w:r>
      <w:r w:rsidRPr="001D29F5">
        <w:rPr>
          <w:rFonts w:ascii="Times New Roman" w:hAnsi="Times New Roman" w:cs="Times New Roman"/>
          <w:sz w:val="24"/>
        </w:rPr>
        <w:t xml:space="preserve">výdavky na strategické zámery </w:t>
      </w:r>
      <w:r w:rsidRPr="007418D6">
        <w:rPr>
          <w:rFonts w:ascii="Times New Roman" w:hAnsi="Times New Roman" w:cs="Times New Roman"/>
          <w:sz w:val="24"/>
        </w:rPr>
        <w:t>kapitoly,</w:t>
      </w:r>
      <w:r>
        <w:rPr>
          <w:rFonts w:ascii="Times New Roman" w:hAnsi="Times New Roman" w:cs="Times New Roman"/>
          <w:sz w:val="24"/>
        </w:rPr>
        <w:t xml:space="preserve"> </w:t>
      </w:r>
      <w:r w:rsidRPr="0010618B">
        <w:rPr>
          <w:rFonts w:ascii="Times New Roman" w:hAnsi="Times New Roman" w:cs="Times New Roman"/>
          <w:sz w:val="24"/>
        </w:rPr>
        <w:t xml:space="preserve">výdavky na podporu činnosti cirkví a náboženských spoločností, </w:t>
      </w:r>
      <w:r>
        <w:rPr>
          <w:rFonts w:ascii="Times New Roman" w:hAnsi="Times New Roman" w:cs="Times New Roman"/>
          <w:sz w:val="24"/>
        </w:rPr>
        <w:t xml:space="preserve">výdavky </w:t>
      </w:r>
      <w:r w:rsidRPr="0010618B">
        <w:rPr>
          <w:rFonts w:ascii="Times New Roman" w:hAnsi="Times New Roman" w:cs="Times New Roman"/>
          <w:sz w:val="24"/>
        </w:rPr>
        <w:t>na informačné technológie</w:t>
      </w:r>
      <w:r>
        <w:rPr>
          <w:rFonts w:ascii="Times New Roman" w:hAnsi="Times New Roman" w:cs="Times New Roman"/>
          <w:sz w:val="24"/>
        </w:rPr>
        <w:t xml:space="preserve">, výdavky </w:t>
      </w:r>
      <w:r w:rsidRPr="001D29F5">
        <w:rPr>
          <w:rFonts w:ascii="Times New Roman" w:hAnsi="Times New Roman" w:cs="Times New Roman"/>
          <w:sz w:val="24"/>
        </w:rPr>
        <w:t xml:space="preserve">na reformu zvýšenia transparentnosti a zefektívnenia rozhodnutí Pamiatkového Úradu </w:t>
      </w:r>
      <w:r w:rsidR="00CD79A5">
        <w:rPr>
          <w:rFonts w:ascii="Times New Roman" w:hAnsi="Times New Roman" w:cs="Times New Roman"/>
          <w:sz w:val="24"/>
        </w:rPr>
        <w:t>SR</w:t>
      </w:r>
      <w:r w:rsidRPr="007418D6">
        <w:rPr>
          <w:rFonts w:ascii="Times New Roman" w:hAnsi="Times New Roman" w:cs="Times New Roman"/>
          <w:color w:val="000000" w:themeColor="text1"/>
          <w:sz w:val="24"/>
        </w:rPr>
        <w:t xml:space="preserve"> financovanú z prostriedkov Plánu obnovy a odolnosti </w:t>
      </w:r>
      <w:r w:rsidRPr="0010618B">
        <w:rPr>
          <w:rFonts w:ascii="Times New Roman" w:hAnsi="Times New Roman" w:cs="Times New Roman"/>
          <w:sz w:val="24"/>
        </w:rPr>
        <w:t>a administratívne výdavky.</w:t>
      </w:r>
    </w:p>
    <w:p w:rsidR="00FA7DE1" w:rsidRPr="00A645F0" w:rsidRDefault="00FA7DE1" w:rsidP="00FA7DE1">
      <w:pPr>
        <w:spacing w:after="0"/>
        <w:jc w:val="both"/>
        <w:rPr>
          <w:rFonts w:ascii="Times New Roman" w:hAnsi="Times New Roman" w:cs="Times New Roman"/>
          <w:sz w:val="24"/>
        </w:rPr>
      </w:pPr>
    </w:p>
    <w:p w:rsidR="00AA17E3" w:rsidRPr="00515919" w:rsidRDefault="00AA17E3" w:rsidP="00AA17E3">
      <w:pPr>
        <w:pStyle w:val="Popis"/>
        <w:spacing w:after="0"/>
        <w:rPr>
          <w:rFonts w:ascii="Times New Roman" w:hAnsi="Times New Roman" w:cs="Times New Roman"/>
          <w:b/>
          <w:i w:val="0"/>
          <w:color w:val="5B9BD5"/>
          <w:sz w:val="20"/>
          <w:szCs w:val="20"/>
        </w:rPr>
      </w:pPr>
      <w:bookmarkStart w:id="602" w:name="_Toc53054202"/>
      <w:bookmarkStart w:id="603" w:name="_Toc53054863"/>
      <w:bookmarkStart w:id="604" w:name="_Toc53078055"/>
      <w:bookmarkStart w:id="605" w:name="_Toc53086457"/>
      <w:bookmarkStart w:id="606" w:name="_Toc84528486"/>
      <w:bookmarkStart w:id="607" w:name="_Toc84845362"/>
      <w:r w:rsidRPr="00515919">
        <w:rPr>
          <w:rFonts w:ascii="Times New Roman" w:hAnsi="Times New Roman" w:cs="Times New Roman"/>
          <w:b/>
          <w:i w:val="0"/>
          <w:color w:val="5B9BD5"/>
          <w:sz w:val="20"/>
          <w:szCs w:val="20"/>
        </w:rPr>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6E67C6">
        <w:rPr>
          <w:rFonts w:ascii="Times New Roman" w:hAnsi="Times New Roman" w:cs="Times New Roman"/>
          <w:b/>
          <w:i w:val="0"/>
          <w:noProof/>
          <w:color w:val="5B9BD5"/>
          <w:sz w:val="20"/>
          <w:szCs w:val="20"/>
        </w:rPr>
        <w:t>138</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Výdavky na kultúru</w:t>
      </w:r>
      <w:bookmarkEnd w:id="602"/>
      <w:bookmarkEnd w:id="603"/>
      <w:bookmarkEnd w:id="604"/>
      <w:bookmarkEnd w:id="605"/>
      <w:bookmarkEnd w:id="606"/>
      <w:bookmarkEnd w:id="607"/>
    </w:p>
    <w:tbl>
      <w:tblPr>
        <w:tblW w:w="5000" w:type="pct"/>
        <w:tblCellMar>
          <w:left w:w="70" w:type="dxa"/>
          <w:right w:w="70" w:type="dxa"/>
        </w:tblCellMar>
        <w:tblLook w:val="04A0" w:firstRow="1" w:lastRow="0" w:firstColumn="1" w:lastColumn="0" w:noHBand="0" w:noVBand="1"/>
      </w:tblPr>
      <w:tblGrid>
        <w:gridCol w:w="3531"/>
        <w:gridCol w:w="792"/>
        <w:gridCol w:w="792"/>
        <w:gridCol w:w="792"/>
        <w:gridCol w:w="792"/>
        <w:gridCol w:w="793"/>
        <w:gridCol w:w="793"/>
        <w:gridCol w:w="787"/>
      </w:tblGrid>
      <w:tr w:rsidR="00AA17E3" w:rsidRPr="005C613D" w:rsidTr="00AA17E3">
        <w:trPr>
          <w:trHeight w:hRule="exact" w:val="255"/>
        </w:trPr>
        <w:tc>
          <w:tcPr>
            <w:tcW w:w="1601"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v tis. eur</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2019 S</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2020 S</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sz w:val="16"/>
                <w:szCs w:val="16"/>
                <w:lang w:eastAsia="sk-SK"/>
              </w:rPr>
            </w:pPr>
            <w:r w:rsidRPr="005C613D">
              <w:rPr>
                <w:rFonts w:ascii="Times New Roman" w:eastAsia="Times New Roman" w:hAnsi="Times New Roman" w:cs="Times New Roman"/>
                <w:b/>
                <w:bCs/>
                <w:sz w:val="16"/>
                <w:szCs w:val="16"/>
                <w:lang w:eastAsia="sk-SK"/>
              </w:rPr>
              <w:t>2021 R</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sz w:val="16"/>
                <w:szCs w:val="16"/>
                <w:lang w:eastAsia="sk-SK"/>
              </w:rPr>
            </w:pPr>
            <w:r w:rsidRPr="005C613D">
              <w:rPr>
                <w:rFonts w:ascii="Times New Roman" w:eastAsia="Times New Roman" w:hAnsi="Times New Roman" w:cs="Times New Roman"/>
                <w:b/>
                <w:bCs/>
                <w:sz w:val="16"/>
                <w:szCs w:val="16"/>
                <w:lang w:eastAsia="sk-SK"/>
              </w:rPr>
              <w:t>2021 OS</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2022 N</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2023 N</w:t>
            </w:r>
          </w:p>
        </w:tc>
        <w:tc>
          <w:tcPr>
            <w:tcW w:w="486" w:type="pct"/>
            <w:tcBorders>
              <w:top w:val="single" w:sz="4" w:space="0" w:color="auto"/>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2024 N</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Výdavky na kultúru</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446 738</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438 513</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392 149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47</w:t>
            </w:r>
            <w:r>
              <w:rPr>
                <w:rFonts w:ascii="Times New Roman" w:eastAsia="Times New Roman" w:hAnsi="Times New Roman" w:cs="Times New Roman"/>
                <w:b/>
                <w:bCs/>
                <w:color w:val="000000"/>
                <w:sz w:val="16"/>
                <w:szCs w:val="16"/>
                <w:lang w:eastAsia="sk-SK"/>
              </w:rPr>
              <w:t>5 333</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613D">
              <w:rPr>
                <w:rFonts w:ascii="Times New Roman" w:eastAsia="Times New Roman" w:hAnsi="Times New Roman" w:cs="Times New Roman"/>
                <w:b/>
                <w:bCs/>
                <w:color w:val="000000"/>
                <w:sz w:val="16"/>
                <w:szCs w:val="16"/>
                <w:lang w:eastAsia="sk-SK"/>
              </w:rPr>
              <w:t>4</w:t>
            </w:r>
            <w:r>
              <w:rPr>
                <w:rFonts w:ascii="Times New Roman" w:eastAsia="Times New Roman" w:hAnsi="Times New Roman" w:cs="Times New Roman"/>
                <w:b/>
                <w:bCs/>
                <w:color w:val="000000"/>
                <w:sz w:val="16"/>
                <w:szCs w:val="16"/>
                <w:lang w:eastAsia="sk-SK"/>
              </w:rPr>
              <w:t>25 482</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411 369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394 570</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Inštitucionálna podpora organizácií</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173 821</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175 187</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133 668</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139 71</w:t>
            </w:r>
            <w:r w:rsidRPr="005C613D">
              <w:rPr>
                <w:rFonts w:ascii="Times New Roman" w:eastAsia="Times New Roman" w:hAnsi="Times New Roman" w:cs="Times New Roman"/>
                <w:color w:val="000000"/>
                <w:sz w:val="16"/>
                <w:szCs w:val="16"/>
                <w:lang w:eastAsia="sk-SK"/>
              </w:rPr>
              <w:t>2</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165 523</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150 758</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136 369</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Dotačný  systém</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15 219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15 808</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16 996</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45 996</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15 996</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15 996</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15 996</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0F72E0" w:rsidP="00AA17E3">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V</w:t>
            </w:r>
            <w:r w:rsidR="00AA17E3" w:rsidRPr="005C613D">
              <w:rPr>
                <w:rFonts w:ascii="Times New Roman" w:eastAsia="Times New Roman" w:hAnsi="Times New Roman" w:cs="Times New Roman"/>
                <w:color w:val="000000"/>
                <w:sz w:val="16"/>
                <w:szCs w:val="16"/>
                <w:lang w:eastAsia="sk-SK"/>
              </w:rPr>
              <w:t>ý</w:t>
            </w:r>
            <w:r w:rsidR="00CD79A5">
              <w:rPr>
                <w:rFonts w:ascii="Times New Roman" w:eastAsia="Times New Roman" w:hAnsi="Times New Roman" w:cs="Times New Roman"/>
                <w:color w:val="000000"/>
                <w:sz w:val="16"/>
                <w:szCs w:val="16"/>
                <w:lang w:eastAsia="sk-SK"/>
              </w:rPr>
              <w:t>davky verejnoprávnych inštitúcií</w:t>
            </w:r>
            <w:r w:rsidR="00AA17E3" w:rsidRPr="005C613D">
              <w:rPr>
                <w:rFonts w:ascii="Times New Roman" w:eastAsia="Times New Roman" w:hAnsi="Times New Roman" w:cs="Times New Roman"/>
                <w:color w:val="000000"/>
                <w:sz w:val="16"/>
                <w:szCs w:val="16"/>
                <w:lang w:eastAsia="sk-SK"/>
              </w:rPr>
              <w:t xml:space="preserve"> v oblasti kultúry</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183 620</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175 319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162 405</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209 872</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161 070</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162 211</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162 553</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Výdavky na RVR</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1 543</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1 674</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1 544</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1 544</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1 567</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1 587</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1 606</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Strategické zámery kapitoly</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3 213</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2 645</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2 589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2 946</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2 589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2 589</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2 589</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 xml:space="preserve">Cirkvi a náboženské spoločnosti </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47 716</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51 998</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51 977</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51 977</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52 174</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52 435</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52 876</w:t>
            </w:r>
          </w:p>
        </w:tc>
      </w:tr>
      <w:tr w:rsidR="00AA17E3" w:rsidRPr="005C613D" w:rsidTr="00AA17E3">
        <w:trPr>
          <w:trHeight w:hRule="exact" w:val="255"/>
        </w:trPr>
        <w:tc>
          <w:tcPr>
            <w:tcW w:w="1601" w:type="pct"/>
            <w:tcBorders>
              <w:top w:val="nil"/>
              <w:left w:val="nil"/>
              <w:bottom w:val="nil"/>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Administratívne výdavky a IT</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21 605</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15 882</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22 971</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23 880</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2</w:t>
            </w:r>
            <w:r w:rsidRPr="005C613D">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8</w:t>
            </w:r>
            <w:r w:rsidRPr="005C613D">
              <w:rPr>
                <w:rFonts w:ascii="Times New Roman" w:eastAsia="Times New Roman" w:hAnsi="Times New Roman" w:cs="Times New Roman"/>
                <w:color w:val="000000"/>
                <w:sz w:val="16"/>
                <w:szCs w:val="16"/>
                <w:lang w:eastAsia="sk-SK"/>
              </w:rPr>
              <w:t>91</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2</w:t>
            </w:r>
            <w:r w:rsidRPr="005C613D">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8</w:t>
            </w:r>
            <w:r w:rsidRPr="005C613D">
              <w:rPr>
                <w:rFonts w:ascii="Times New Roman" w:eastAsia="Times New Roman" w:hAnsi="Times New Roman" w:cs="Times New Roman"/>
                <w:color w:val="000000"/>
                <w:sz w:val="16"/>
                <w:szCs w:val="16"/>
                <w:lang w:eastAsia="sk-SK"/>
              </w:rPr>
              <w:t>91</w:t>
            </w:r>
          </w:p>
        </w:tc>
        <w:tc>
          <w:tcPr>
            <w:tcW w:w="486" w:type="pct"/>
            <w:tcBorders>
              <w:top w:val="nil"/>
              <w:left w:val="nil"/>
              <w:bottom w:val="nil"/>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2</w:t>
            </w:r>
            <w:r w:rsidRPr="005C613D">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5</w:t>
            </w:r>
            <w:r w:rsidRPr="005C613D">
              <w:rPr>
                <w:rFonts w:ascii="Times New Roman" w:eastAsia="Times New Roman" w:hAnsi="Times New Roman" w:cs="Times New Roman"/>
                <w:color w:val="000000"/>
                <w:sz w:val="16"/>
                <w:szCs w:val="16"/>
                <w:lang w:eastAsia="sk-SK"/>
              </w:rPr>
              <w:t>81</w:t>
            </w:r>
          </w:p>
        </w:tc>
      </w:tr>
      <w:tr w:rsidR="00AA17E3" w:rsidRPr="005C613D" w:rsidTr="00AA17E3">
        <w:trPr>
          <w:trHeight w:hRule="exact" w:val="255"/>
        </w:trPr>
        <w:tc>
          <w:tcPr>
            <w:tcW w:w="1601" w:type="pct"/>
            <w:tcBorders>
              <w:top w:val="nil"/>
              <w:left w:val="nil"/>
              <w:bottom w:val="single" w:sz="4" w:space="0" w:color="auto"/>
              <w:right w:val="nil"/>
            </w:tcBorders>
            <w:shd w:val="clear" w:color="auto" w:fill="auto"/>
            <w:noWrap/>
            <w:vAlign w:val="center"/>
            <w:hideMark/>
          </w:tcPr>
          <w:p w:rsidR="00AA17E3" w:rsidRPr="005C613D" w:rsidRDefault="00AA17E3" w:rsidP="00AA17E3">
            <w:pPr>
              <w:spacing w:after="0" w:line="240" w:lineRule="auto"/>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Prostriedky Plánu obnovy a odolnosti</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0</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0</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0</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0</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3 671</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3 171</w:t>
            </w:r>
          </w:p>
        </w:tc>
        <w:tc>
          <w:tcPr>
            <w:tcW w:w="486" w:type="pct"/>
            <w:tcBorders>
              <w:top w:val="nil"/>
              <w:left w:val="nil"/>
              <w:bottom w:val="single" w:sz="4" w:space="0" w:color="auto"/>
              <w:right w:val="nil"/>
            </w:tcBorders>
            <w:shd w:val="clear" w:color="auto" w:fill="auto"/>
            <w:noWrap/>
            <w:vAlign w:val="bottom"/>
            <w:hideMark/>
          </w:tcPr>
          <w:p w:rsidR="00AA17E3" w:rsidRPr="005C613D"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613D">
              <w:rPr>
                <w:rFonts w:ascii="Times New Roman" w:eastAsia="Times New Roman" w:hAnsi="Times New Roman" w:cs="Times New Roman"/>
                <w:color w:val="000000"/>
                <w:sz w:val="16"/>
                <w:szCs w:val="16"/>
                <w:lang w:eastAsia="sk-SK"/>
              </w:rPr>
              <w:t>0</w:t>
            </w:r>
          </w:p>
        </w:tc>
      </w:tr>
    </w:tbl>
    <w:p w:rsidR="00AA17E3" w:rsidRDefault="00AA17E3" w:rsidP="000E1014">
      <w:pPr>
        <w:spacing w:after="0"/>
        <w:jc w:val="right"/>
        <w:rPr>
          <w:rFonts w:ascii="Times New Roman" w:hAnsi="Times New Roman" w:cs="Times New Roman"/>
          <w:i/>
          <w:color w:val="000000"/>
          <w:sz w:val="16"/>
          <w:szCs w:val="16"/>
        </w:rPr>
      </w:pPr>
      <w:r w:rsidRPr="000D2FCD">
        <w:rPr>
          <w:rFonts w:ascii="Times New Roman" w:hAnsi="Times New Roman" w:cs="Times New Roman"/>
          <w:i/>
          <w:color w:val="000000"/>
          <w:sz w:val="16"/>
          <w:szCs w:val="16"/>
        </w:rPr>
        <w:t>Zdroj:</w:t>
      </w:r>
      <w:r>
        <w:rPr>
          <w:rFonts w:ascii="Times New Roman" w:hAnsi="Times New Roman" w:cs="Times New Roman"/>
          <w:i/>
          <w:color w:val="000000"/>
          <w:sz w:val="16"/>
          <w:szCs w:val="16"/>
        </w:rPr>
        <w:t xml:space="preserve"> MF SR</w:t>
      </w:r>
    </w:p>
    <w:p w:rsidR="000E1014" w:rsidRDefault="000E1014" w:rsidP="000E1014">
      <w:pPr>
        <w:spacing w:after="0"/>
        <w:jc w:val="both"/>
        <w:rPr>
          <w:rFonts w:ascii="Times New Roman" w:hAnsi="Times New Roman" w:cs="Times New Roman"/>
          <w:b/>
          <w:color w:val="5B9BD5"/>
          <w:sz w:val="24"/>
        </w:rPr>
      </w:pPr>
    </w:p>
    <w:p w:rsidR="00F7633B" w:rsidRDefault="00AA17E3" w:rsidP="000E1014">
      <w:pPr>
        <w:spacing w:after="0"/>
        <w:jc w:val="both"/>
        <w:rPr>
          <w:rFonts w:ascii="Times New Roman" w:hAnsi="Times New Roman" w:cs="Times New Roman"/>
          <w:b/>
          <w:color w:val="5B9BD5"/>
          <w:sz w:val="24"/>
        </w:rPr>
      </w:pPr>
      <w:r w:rsidRPr="0010618B">
        <w:rPr>
          <w:rFonts w:ascii="Times New Roman" w:hAnsi="Times New Roman" w:cs="Times New Roman"/>
          <w:b/>
          <w:color w:val="5B9BD5"/>
          <w:sz w:val="24"/>
        </w:rPr>
        <w:t>Inštitucionálna podpora organizácií</w:t>
      </w:r>
    </w:p>
    <w:p w:rsidR="00AA17E3" w:rsidRPr="0010618B" w:rsidRDefault="00AA17E3" w:rsidP="00F7633B">
      <w:pPr>
        <w:spacing w:after="0"/>
        <w:jc w:val="both"/>
        <w:rPr>
          <w:rFonts w:ascii="Times New Roman" w:hAnsi="Times New Roman" w:cs="Times New Roman"/>
          <w:color w:val="5B9BD5"/>
          <w:sz w:val="24"/>
        </w:rPr>
      </w:pPr>
      <w:r w:rsidRPr="0010618B">
        <w:rPr>
          <w:rFonts w:ascii="Times New Roman" w:hAnsi="Times New Roman" w:cs="Times New Roman"/>
          <w:b/>
          <w:color w:val="5B9BD5"/>
          <w:sz w:val="24"/>
        </w:rPr>
        <w:t xml:space="preserve"> </w:t>
      </w:r>
    </w:p>
    <w:p w:rsidR="00AA17E3" w:rsidRDefault="00AA17E3" w:rsidP="00F7633B">
      <w:pPr>
        <w:spacing w:after="0"/>
        <w:jc w:val="both"/>
        <w:rPr>
          <w:rFonts w:ascii="Times New Roman" w:hAnsi="Times New Roman" w:cs="Times New Roman"/>
          <w:sz w:val="24"/>
        </w:rPr>
      </w:pPr>
      <w:r w:rsidRPr="0010618B">
        <w:rPr>
          <w:rFonts w:ascii="Times New Roman" w:hAnsi="Times New Roman" w:cs="Times New Roman"/>
          <w:sz w:val="24"/>
        </w:rPr>
        <w:t>Výdavky v oblasti inštitucionálnej podpory organizácií rezortu Ministerstva kultúry SR</w:t>
      </w:r>
      <w:r w:rsidRPr="0010618B">
        <w:rPr>
          <w:rFonts w:ascii="Times New Roman" w:hAnsi="Times New Roman" w:cs="Times New Roman"/>
          <w:b/>
          <w:sz w:val="24"/>
        </w:rPr>
        <w:t xml:space="preserve"> </w:t>
      </w:r>
      <w:r w:rsidRPr="0010618B">
        <w:rPr>
          <w:rFonts w:ascii="Times New Roman" w:hAnsi="Times New Roman" w:cs="Times New Roman"/>
          <w:sz w:val="24"/>
        </w:rPr>
        <w:t xml:space="preserve">zahŕňajú podporu hlavnej činnosti v divadlách a divadelnej činnosti, v hudbe, koncertnej činnosti a umeleckých súboroch, vo výtvarnom umení, fotografiách, architektúre a dizajne, v múzeách a galériách, knižniciach a knižničnej činnosti, </w:t>
      </w:r>
      <w:r w:rsidRPr="00931CB8">
        <w:rPr>
          <w:rFonts w:ascii="Times New Roman" w:hAnsi="Times New Roman" w:cs="Times New Roman"/>
          <w:sz w:val="24"/>
        </w:rPr>
        <w:t>osvetovej činnosti a tradičnej ľudovej kultúre, v literatúre a knižnej kultúre a v médiách a audiovízii. Do inštitucionálnej podpory sú zahrnuté aj výdavky spojené s aktivitami štátnych rozpočtových a príspevkových organizácií rezortu nad rámec ich rozpočtu, ktoré sú im poskytované na projekty v oblasti kultúry, ako aj výdavky Matice slovenskej.</w:t>
      </w:r>
      <w:r w:rsidRPr="0010618B">
        <w:rPr>
          <w:rFonts w:ascii="Times New Roman" w:hAnsi="Times New Roman" w:cs="Times New Roman"/>
          <w:sz w:val="24"/>
        </w:rPr>
        <w:t xml:space="preserve"> </w:t>
      </w:r>
      <w:r w:rsidRPr="001D29F5">
        <w:rPr>
          <w:rFonts w:ascii="Times New Roman" w:hAnsi="Times New Roman" w:cs="Times New Roman"/>
          <w:sz w:val="24"/>
        </w:rPr>
        <w:t>V nadväznosti na rozpočtované výdavky na rok 2021 sú v návrhu rozpočtu verejnej správy na rok 2022 zabezpečené finančné prostriedky v rozpočte kapitoly Ministerstva kultúry SR</w:t>
      </w:r>
      <w:r w:rsidRPr="0010618B">
        <w:rPr>
          <w:rFonts w:ascii="Times New Roman" w:hAnsi="Times New Roman" w:cs="Times New Roman"/>
          <w:sz w:val="24"/>
        </w:rPr>
        <w:t xml:space="preserve"> na rekonštrukciu a modernizáciu Slovenskej národnej galérie, na rekonštrukciu </w:t>
      </w:r>
      <w:r>
        <w:rPr>
          <w:rFonts w:ascii="Times New Roman" w:hAnsi="Times New Roman" w:cs="Times New Roman"/>
          <w:sz w:val="24"/>
        </w:rPr>
        <w:t>Š</w:t>
      </w:r>
      <w:r w:rsidRPr="0010618B">
        <w:rPr>
          <w:rFonts w:ascii="Times New Roman" w:hAnsi="Times New Roman" w:cs="Times New Roman"/>
          <w:sz w:val="24"/>
        </w:rPr>
        <w:t xml:space="preserve">tátnej opery Banská Bystrica, na obnovu a revitalizáciu hradu Krásna Hôrka a na zabezpečenie sanácie havarijného stavu Spišského hradu. </w:t>
      </w:r>
    </w:p>
    <w:p w:rsidR="00F7633B" w:rsidRDefault="00F7633B" w:rsidP="00F7633B">
      <w:pPr>
        <w:spacing w:after="0"/>
        <w:jc w:val="both"/>
        <w:rPr>
          <w:rFonts w:ascii="Times New Roman" w:hAnsi="Times New Roman" w:cs="Times New Roman"/>
          <w:sz w:val="24"/>
        </w:rPr>
      </w:pPr>
    </w:p>
    <w:p w:rsidR="000E1014" w:rsidRDefault="000E1014" w:rsidP="00F7633B">
      <w:pPr>
        <w:spacing w:after="0"/>
        <w:jc w:val="both"/>
        <w:rPr>
          <w:rFonts w:ascii="Times New Roman" w:hAnsi="Times New Roman" w:cs="Times New Roman"/>
          <w:sz w:val="24"/>
        </w:rPr>
      </w:pPr>
    </w:p>
    <w:p w:rsidR="000E1014" w:rsidRDefault="000E1014" w:rsidP="00F7633B">
      <w:pPr>
        <w:spacing w:after="0"/>
        <w:jc w:val="both"/>
        <w:rPr>
          <w:rFonts w:ascii="Times New Roman" w:hAnsi="Times New Roman" w:cs="Times New Roman"/>
          <w:sz w:val="24"/>
        </w:rPr>
      </w:pPr>
    </w:p>
    <w:p w:rsidR="000E1014" w:rsidRDefault="000E1014" w:rsidP="00F7633B">
      <w:pPr>
        <w:spacing w:after="0"/>
        <w:jc w:val="both"/>
        <w:rPr>
          <w:rFonts w:ascii="Times New Roman" w:hAnsi="Times New Roman" w:cs="Times New Roman"/>
          <w:sz w:val="24"/>
        </w:rPr>
      </w:pPr>
    </w:p>
    <w:p w:rsidR="000E1014" w:rsidRDefault="000E1014" w:rsidP="00F7633B">
      <w:pPr>
        <w:spacing w:after="0"/>
        <w:jc w:val="both"/>
        <w:rPr>
          <w:rFonts w:ascii="Times New Roman" w:hAnsi="Times New Roman" w:cs="Times New Roman"/>
          <w:sz w:val="24"/>
        </w:rPr>
      </w:pPr>
    </w:p>
    <w:p w:rsidR="000E1014" w:rsidRPr="0010618B" w:rsidRDefault="000E1014" w:rsidP="00F7633B">
      <w:pPr>
        <w:spacing w:after="0"/>
        <w:jc w:val="both"/>
        <w:rPr>
          <w:rFonts w:ascii="Times New Roman" w:hAnsi="Times New Roman" w:cs="Times New Roman"/>
          <w:sz w:val="24"/>
        </w:rPr>
      </w:pPr>
    </w:p>
    <w:p w:rsidR="00AA17E3" w:rsidRPr="009C078E" w:rsidRDefault="00AA17E3" w:rsidP="00F7633B">
      <w:pPr>
        <w:pStyle w:val="Popis"/>
        <w:spacing w:after="0"/>
        <w:rPr>
          <w:rFonts w:ascii="Times New Roman" w:hAnsi="Times New Roman" w:cs="Times New Roman"/>
          <w:b/>
          <w:i w:val="0"/>
          <w:color w:val="5B9BD5"/>
          <w:sz w:val="20"/>
          <w:szCs w:val="20"/>
        </w:rPr>
      </w:pPr>
      <w:bookmarkStart w:id="608" w:name="_Toc53054203"/>
      <w:bookmarkStart w:id="609" w:name="_Toc53054864"/>
      <w:bookmarkStart w:id="610" w:name="_Toc53078056"/>
      <w:bookmarkStart w:id="611" w:name="_Toc53086458"/>
      <w:bookmarkStart w:id="612" w:name="_Toc84528487"/>
      <w:bookmarkStart w:id="613" w:name="_Toc84845363"/>
      <w:r w:rsidRPr="00515919">
        <w:rPr>
          <w:rFonts w:ascii="Times New Roman" w:hAnsi="Times New Roman" w:cs="Times New Roman"/>
          <w:b/>
          <w:i w:val="0"/>
          <w:color w:val="5B9BD5"/>
          <w:sz w:val="20"/>
          <w:szCs w:val="20"/>
        </w:rPr>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6E67C6">
        <w:rPr>
          <w:rFonts w:ascii="Times New Roman" w:hAnsi="Times New Roman" w:cs="Times New Roman"/>
          <w:b/>
          <w:i w:val="0"/>
          <w:noProof/>
          <w:color w:val="5B9BD5"/>
          <w:sz w:val="20"/>
          <w:szCs w:val="20"/>
        </w:rPr>
        <w:t>139</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Významné investičné akcie v rezorte kultúry</w:t>
      </w:r>
      <w:bookmarkEnd w:id="608"/>
      <w:bookmarkEnd w:id="609"/>
      <w:bookmarkEnd w:id="610"/>
      <w:bookmarkEnd w:id="611"/>
      <w:bookmarkEnd w:id="612"/>
      <w:bookmarkEnd w:id="613"/>
    </w:p>
    <w:tbl>
      <w:tblPr>
        <w:tblW w:w="4962" w:type="pct"/>
        <w:tblCellMar>
          <w:left w:w="70" w:type="dxa"/>
          <w:right w:w="70" w:type="dxa"/>
        </w:tblCellMar>
        <w:tblLook w:val="04A0" w:firstRow="1" w:lastRow="0" w:firstColumn="1" w:lastColumn="0" w:noHBand="0" w:noVBand="1"/>
      </w:tblPr>
      <w:tblGrid>
        <w:gridCol w:w="2426"/>
        <w:gridCol w:w="710"/>
        <w:gridCol w:w="710"/>
        <w:gridCol w:w="738"/>
        <w:gridCol w:w="855"/>
        <w:gridCol w:w="736"/>
        <w:gridCol w:w="736"/>
        <w:gridCol w:w="736"/>
        <w:gridCol w:w="1356"/>
      </w:tblGrid>
      <w:tr w:rsidR="00AA17E3" w:rsidRPr="0010618B" w:rsidTr="00AA17E3">
        <w:trPr>
          <w:trHeight w:hRule="exact" w:val="428"/>
        </w:trPr>
        <w:tc>
          <w:tcPr>
            <w:tcW w:w="1347"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v tis. eur</w:t>
            </w:r>
          </w:p>
        </w:tc>
        <w:tc>
          <w:tcPr>
            <w:tcW w:w="394"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201</w:t>
            </w:r>
            <w:r>
              <w:rPr>
                <w:rFonts w:ascii="Times New Roman" w:hAnsi="Times New Roman" w:cs="Times New Roman"/>
                <w:b/>
                <w:bCs/>
                <w:color w:val="000000"/>
                <w:sz w:val="16"/>
                <w:szCs w:val="16"/>
                <w:lang w:eastAsia="sk-SK"/>
              </w:rPr>
              <w:t>9</w:t>
            </w:r>
            <w:r w:rsidRPr="00FF4DEB">
              <w:rPr>
                <w:rFonts w:ascii="Times New Roman" w:hAnsi="Times New Roman" w:cs="Times New Roman"/>
                <w:b/>
                <w:bCs/>
                <w:color w:val="000000"/>
                <w:sz w:val="16"/>
                <w:szCs w:val="16"/>
                <w:lang w:eastAsia="sk-SK"/>
              </w:rPr>
              <w:t xml:space="preserve"> S</w:t>
            </w:r>
          </w:p>
        </w:tc>
        <w:tc>
          <w:tcPr>
            <w:tcW w:w="394"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w:t>
            </w:r>
            <w:r>
              <w:rPr>
                <w:rFonts w:ascii="Times New Roman" w:hAnsi="Times New Roman" w:cs="Times New Roman"/>
                <w:b/>
                <w:bCs/>
                <w:color w:val="000000"/>
                <w:sz w:val="16"/>
                <w:szCs w:val="16"/>
                <w:lang w:eastAsia="sk-SK"/>
              </w:rPr>
              <w:t>20</w:t>
            </w:r>
            <w:r w:rsidRPr="00FF4DEB">
              <w:rPr>
                <w:rFonts w:ascii="Times New Roman" w:hAnsi="Times New Roman" w:cs="Times New Roman"/>
                <w:b/>
                <w:bCs/>
                <w:color w:val="000000"/>
                <w:sz w:val="16"/>
                <w:szCs w:val="16"/>
                <w:lang w:eastAsia="sk-SK"/>
              </w:rPr>
              <w:t xml:space="preserve"> S</w:t>
            </w:r>
          </w:p>
        </w:tc>
        <w:tc>
          <w:tcPr>
            <w:tcW w:w="410"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sz w:val="16"/>
                <w:szCs w:val="16"/>
                <w:lang w:eastAsia="sk-SK"/>
              </w:rPr>
            </w:pPr>
            <w:r w:rsidRPr="00FF4DEB">
              <w:rPr>
                <w:rFonts w:ascii="Times New Roman" w:hAnsi="Times New Roman" w:cs="Times New Roman"/>
                <w:b/>
                <w:bCs/>
                <w:sz w:val="16"/>
                <w:szCs w:val="16"/>
                <w:lang w:eastAsia="sk-SK"/>
              </w:rPr>
              <w:t>202</w:t>
            </w:r>
            <w:r>
              <w:rPr>
                <w:rFonts w:ascii="Times New Roman" w:hAnsi="Times New Roman" w:cs="Times New Roman"/>
                <w:b/>
                <w:bCs/>
                <w:sz w:val="16"/>
                <w:szCs w:val="16"/>
                <w:lang w:eastAsia="sk-SK"/>
              </w:rPr>
              <w:t>1</w:t>
            </w:r>
            <w:r w:rsidRPr="00FF4DEB">
              <w:rPr>
                <w:rFonts w:ascii="Times New Roman" w:hAnsi="Times New Roman" w:cs="Times New Roman"/>
                <w:b/>
                <w:bCs/>
                <w:sz w:val="16"/>
                <w:szCs w:val="16"/>
                <w:lang w:eastAsia="sk-SK"/>
              </w:rPr>
              <w:t xml:space="preserve"> R</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sz w:val="16"/>
                <w:szCs w:val="16"/>
                <w:lang w:eastAsia="sk-SK"/>
              </w:rPr>
            </w:pPr>
            <w:r w:rsidRPr="00FF4DEB">
              <w:rPr>
                <w:rFonts w:ascii="Times New Roman" w:hAnsi="Times New Roman" w:cs="Times New Roman"/>
                <w:b/>
                <w:bCs/>
                <w:sz w:val="16"/>
                <w:szCs w:val="16"/>
                <w:lang w:eastAsia="sk-SK"/>
              </w:rPr>
              <w:t>202</w:t>
            </w:r>
            <w:r>
              <w:rPr>
                <w:rFonts w:ascii="Times New Roman" w:hAnsi="Times New Roman" w:cs="Times New Roman"/>
                <w:b/>
                <w:bCs/>
                <w:sz w:val="16"/>
                <w:szCs w:val="16"/>
                <w:lang w:eastAsia="sk-SK"/>
              </w:rPr>
              <w:t>1</w:t>
            </w:r>
            <w:r w:rsidRPr="00FF4DEB">
              <w:rPr>
                <w:rFonts w:ascii="Times New Roman" w:hAnsi="Times New Roman" w:cs="Times New Roman"/>
                <w:b/>
                <w:bCs/>
                <w:sz w:val="16"/>
                <w:szCs w:val="16"/>
                <w:lang w:eastAsia="sk-SK"/>
              </w:rPr>
              <w:t xml:space="preserve"> OS</w:t>
            </w:r>
          </w:p>
        </w:tc>
        <w:tc>
          <w:tcPr>
            <w:tcW w:w="409"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202</w:t>
            </w:r>
            <w:r>
              <w:rPr>
                <w:rFonts w:ascii="Times New Roman" w:hAnsi="Times New Roman" w:cs="Times New Roman"/>
                <w:b/>
                <w:bCs/>
                <w:color w:val="000000"/>
                <w:sz w:val="16"/>
                <w:szCs w:val="16"/>
                <w:lang w:eastAsia="sk-SK"/>
              </w:rPr>
              <w:t>2</w:t>
            </w:r>
            <w:r w:rsidRPr="00FF4DEB">
              <w:rPr>
                <w:rFonts w:ascii="Times New Roman" w:hAnsi="Times New Roman" w:cs="Times New Roman"/>
                <w:b/>
                <w:bCs/>
                <w:color w:val="000000"/>
                <w:sz w:val="16"/>
                <w:szCs w:val="16"/>
                <w:lang w:eastAsia="sk-SK"/>
              </w:rPr>
              <w:t xml:space="preserve"> N</w:t>
            </w:r>
          </w:p>
        </w:tc>
        <w:tc>
          <w:tcPr>
            <w:tcW w:w="409"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202</w:t>
            </w:r>
            <w:r>
              <w:rPr>
                <w:rFonts w:ascii="Times New Roman" w:hAnsi="Times New Roman" w:cs="Times New Roman"/>
                <w:b/>
                <w:bCs/>
                <w:color w:val="000000"/>
                <w:sz w:val="16"/>
                <w:szCs w:val="16"/>
                <w:lang w:eastAsia="sk-SK"/>
              </w:rPr>
              <w:t>3</w:t>
            </w:r>
            <w:r w:rsidRPr="00FF4DEB">
              <w:rPr>
                <w:rFonts w:ascii="Times New Roman" w:hAnsi="Times New Roman" w:cs="Times New Roman"/>
                <w:b/>
                <w:bCs/>
                <w:color w:val="000000"/>
                <w:sz w:val="16"/>
                <w:szCs w:val="16"/>
                <w:lang w:eastAsia="sk-SK"/>
              </w:rPr>
              <w:t xml:space="preserve"> N</w:t>
            </w:r>
          </w:p>
        </w:tc>
        <w:tc>
          <w:tcPr>
            <w:tcW w:w="409" w:type="pct"/>
            <w:tcBorders>
              <w:top w:val="single" w:sz="4" w:space="0" w:color="auto"/>
              <w:left w:val="nil"/>
              <w:bottom w:val="single" w:sz="4" w:space="0" w:color="auto"/>
              <w:right w:val="nil"/>
            </w:tcBorders>
            <w:shd w:val="clear" w:color="auto" w:fill="auto"/>
            <w:noWrap/>
            <w:vAlign w:val="center"/>
            <w:hideMark/>
          </w:tcPr>
          <w:p w:rsidR="00AA17E3" w:rsidRPr="00FF4DEB" w:rsidRDefault="00AA17E3" w:rsidP="00AA17E3">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202</w:t>
            </w:r>
            <w:r>
              <w:rPr>
                <w:rFonts w:ascii="Times New Roman" w:hAnsi="Times New Roman" w:cs="Times New Roman"/>
                <w:b/>
                <w:bCs/>
                <w:color w:val="000000"/>
                <w:sz w:val="16"/>
                <w:szCs w:val="16"/>
                <w:lang w:eastAsia="sk-SK"/>
              </w:rPr>
              <w:t>4</w:t>
            </w:r>
            <w:r w:rsidRPr="00FF4DEB">
              <w:rPr>
                <w:rFonts w:ascii="Times New Roman" w:hAnsi="Times New Roman" w:cs="Times New Roman"/>
                <w:b/>
                <w:bCs/>
                <w:color w:val="000000"/>
                <w:sz w:val="16"/>
                <w:szCs w:val="16"/>
                <w:lang w:eastAsia="sk-SK"/>
              </w:rPr>
              <w:t xml:space="preserve"> N</w:t>
            </w:r>
          </w:p>
        </w:tc>
        <w:tc>
          <w:tcPr>
            <w:tcW w:w="753" w:type="pct"/>
            <w:tcBorders>
              <w:top w:val="single" w:sz="4" w:space="0" w:color="auto"/>
              <w:left w:val="nil"/>
              <w:bottom w:val="single" w:sz="4" w:space="0" w:color="auto"/>
              <w:right w:val="nil"/>
            </w:tcBorders>
            <w:shd w:val="clear" w:color="auto" w:fill="auto"/>
            <w:vAlign w:val="center"/>
            <w:hideMark/>
          </w:tcPr>
          <w:p w:rsidR="00AA17E3" w:rsidRPr="0010618B" w:rsidRDefault="00AA17E3" w:rsidP="00AA17E3">
            <w:pPr>
              <w:jc w:val="right"/>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celkové náklady</w:t>
            </w:r>
            <w:r w:rsidRPr="0010618B">
              <w:rPr>
                <w:rFonts w:ascii="Times New Roman" w:hAnsi="Times New Roman" w:cs="Times New Roman"/>
                <w:b/>
                <w:bCs/>
                <w:color w:val="000000"/>
                <w:sz w:val="16"/>
                <w:szCs w:val="16"/>
                <w:lang w:eastAsia="sk-SK"/>
              </w:rPr>
              <w:t xml:space="preserve"> stavby</w:t>
            </w:r>
          </w:p>
        </w:tc>
      </w:tr>
      <w:tr w:rsidR="00AA17E3" w:rsidRPr="0010618B" w:rsidTr="00AA17E3">
        <w:trPr>
          <w:trHeight w:hRule="exact" w:val="255"/>
        </w:trPr>
        <w:tc>
          <w:tcPr>
            <w:tcW w:w="1347" w:type="pct"/>
            <w:tcBorders>
              <w:top w:val="nil"/>
              <w:left w:val="nil"/>
              <w:bottom w:val="nil"/>
              <w:right w:val="nil"/>
            </w:tcBorders>
            <w:shd w:val="clear" w:color="auto" w:fill="auto"/>
            <w:noWrap/>
            <w:vAlign w:val="bottom"/>
            <w:hideMark/>
          </w:tcPr>
          <w:p w:rsidR="00AA17E3" w:rsidRPr="0010618B" w:rsidRDefault="00AA17E3" w:rsidP="00AA17E3">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Slovenská národná galéria</w:t>
            </w:r>
          </w:p>
        </w:tc>
        <w:tc>
          <w:tcPr>
            <w:tcW w:w="394"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10 927</w:t>
            </w:r>
          </w:p>
        </w:tc>
        <w:tc>
          <w:tcPr>
            <w:tcW w:w="394"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18 200</w:t>
            </w:r>
          </w:p>
        </w:tc>
        <w:tc>
          <w:tcPr>
            <w:tcW w:w="410"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5 000</w:t>
            </w:r>
          </w:p>
        </w:tc>
        <w:tc>
          <w:tcPr>
            <w:tcW w:w="475"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5 000</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12 000</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9 800</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0</w:t>
            </w:r>
          </w:p>
        </w:tc>
        <w:tc>
          <w:tcPr>
            <w:tcW w:w="753"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bCs/>
                <w:color w:val="000000"/>
                <w:sz w:val="16"/>
                <w:szCs w:val="16"/>
                <w:lang w:eastAsia="sk-SK"/>
              </w:rPr>
              <w:t>70 618</w:t>
            </w:r>
          </w:p>
        </w:tc>
      </w:tr>
      <w:tr w:rsidR="00AA17E3" w:rsidRPr="0010618B" w:rsidTr="00AA17E3">
        <w:trPr>
          <w:trHeight w:hRule="exact" w:val="255"/>
        </w:trPr>
        <w:tc>
          <w:tcPr>
            <w:tcW w:w="1347" w:type="pct"/>
            <w:tcBorders>
              <w:top w:val="nil"/>
              <w:left w:val="nil"/>
              <w:bottom w:val="nil"/>
              <w:right w:val="nil"/>
            </w:tcBorders>
            <w:shd w:val="clear" w:color="auto" w:fill="auto"/>
            <w:noWrap/>
            <w:vAlign w:val="bottom"/>
            <w:hideMark/>
          </w:tcPr>
          <w:p w:rsidR="00AA17E3" w:rsidRPr="0010618B" w:rsidRDefault="00AA17E3" w:rsidP="00AA17E3">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Štátna opera Banská Bystrica</w:t>
            </w:r>
          </w:p>
        </w:tc>
        <w:tc>
          <w:tcPr>
            <w:tcW w:w="394"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394"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10"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330</w:t>
            </w:r>
          </w:p>
        </w:tc>
        <w:tc>
          <w:tcPr>
            <w:tcW w:w="475"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330</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2 410</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4 989</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6</w:t>
            </w:r>
            <w:r w:rsidRPr="0010618B">
              <w:rPr>
                <w:rFonts w:ascii="Times New Roman" w:hAnsi="Times New Roman" w:cs="Times New Roman"/>
                <w:color w:val="000000"/>
                <w:sz w:val="16"/>
                <w:szCs w:val="16"/>
                <w:lang w:eastAsia="sk-SK"/>
              </w:rPr>
              <w:t xml:space="preserve"> </w:t>
            </w:r>
            <w:r>
              <w:rPr>
                <w:rFonts w:ascii="Times New Roman" w:hAnsi="Times New Roman" w:cs="Times New Roman"/>
                <w:color w:val="000000"/>
                <w:sz w:val="16"/>
                <w:szCs w:val="16"/>
                <w:lang w:eastAsia="sk-SK"/>
              </w:rPr>
              <w:t>79</w:t>
            </w:r>
            <w:r w:rsidRPr="0010618B">
              <w:rPr>
                <w:rFonts w:ascii="Times New Roman" w:hAnsi="Times New Roman" w:cs="Times New Roman"/>
                <w:color w:val="000000"/>
                <w:sz w:val="16"/>
                <w:szCs w:val="16"/>
                <w:lang w:eastAsia="sk-SK"/>
              </w:rPr>
              <w:t>9</w:t>
            </w:r>
          </w:p>
        </w:tc>
        <w:tc>
          <w:tcPr>
            <w:tcW w:w="753"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bCs/>
                <w:color w:val="000000"/>
                <w:sz w:val="16"/>
                <w:szCs w:val="16"/>
                <w:lang w:eastAsia="sk-SK"/>
              </w:rPr>
              <w:t>30 558</w:t>
            </w:r>
          </w:p>
        </w:tc>
      </w:tr>
      <w:tr w:rsidR="00AA17E3" w:rsidRPr="0010618B" w:rsidTr="00AA17E3">
        <w:trPr>
          <w:trHeight w:hRule="exact" w:val="255"/>
        </w:trPr>
        <w:tc>
          <w:tcPr>
            <w:tcW w:w="1347" w:type="pct"/>
            <w:tcBorders>
              <w:top w:val="nil"/>
              <w:left w:val="nil"/>
              <w:bottom w:val="nil"/>
              <w:right w:val="nil"/>
            </w:tcBorders>
            <w:shd w:val="clear" w:color="auto" w:fill="auto"/>
            <w:noWrap/>
            <w:vAlign w:val="bottom"/>
            <w:hideMark/>
          </w:tcPr>
          <w:p w:rsidR="00AA17E3" w:rsidRPr="0010618B" w:rsidRDefault="00AA17E3" w:rsidP="00AA17E3">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Hrad Krásna Hôrka</w:t>
            </w:r>
          </w:p>
        </w:tc>
        <w:tc>
          <w:tcPr>
            <w:tcW w:w="394"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268</w:t>
            </w:r>
          </w:p>
        </w:tc>
        <w:tc>
          <w:tcPr>
            <w:tcW w:w="394"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190</w:t>
            </w:r>
          </w:p>
        </w:tc>
        <w:tc>
          <w:tcPr>
            <w:tcW w:w="410"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5 130</w:t>
            </w:r>
          </w:p>
        </w:tc>
        <w:tc>
          <w:tcPr>
            <w:tcW w:w="475"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5 130</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15 583</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7 895</w:t>
            </w:r>
          </w:p>
        </w:tc>
        <w:tc>
          <w:tcPr>
            <w:tcW w:w="409"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2</w:t>
            </w:r>
            <w:r w:rsidRPr="0010618B">
              <w:rPr>
                <w:rFonts w:ascii="Times New Roman" w:hAnsi="Times New Roman" w:cs="Times New Roman"/>
                <w:color w:val="000000"/>
                <w:sz w:val="16"/>
                <w:szCs w:val="16"/>
                <w:lang w:eastAsia="sk-SK"/>
              </w:rPr>
              <w:t xml:space="preserve"> </w:t>
            </w:r>
            <w:r>
              <w:rPr>
                <w:rFonts w:ascii="Times New Roman" w:hAnsi="Times New Roman" w:cs="Times New Roman"/>
                <w:color w:val="000000"/>
                <w:sz w:val="16"/>
                <w:szCs w:val="16"/>
                <w:lang w:eastAsia="sk-SK"/>
              </w:rPr>
              <w:t>560</w:t>
            </w:r>
          </w:p>
        </w:tc>
        <w:tc>
          <w:tcPr>
            <w:tcW w:w="753" w:type="pct"/>
            <w:tcBorders>
              <w:top w:val="nil"/>
              <w:left w:val="nil"/>
              <w:bottom w:val="nil"/>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Pr>
                <w:rFonts w:ascii="Times New Roman" w:hAnsi="Times New Roman" w:cs="Times New Roman"/>
                <w:bCs/>
                <w:color w:val="000000"/>
                <w:sz w:val="16"/>
                <w:szCs w:val="16"/>
                <w:lang w:eastAsia="sk-SK"/>
              </w:rPr>
              <w:t>35 263</w:t>
            </w:r>
          </w:p>
        </w:tc>
      </w:tr>
      <w:tr w:rsidR="00AA17E3" w:rsidRPr="0010618B" w:rsidTr="00AA17E3">
        <w:trPr>
          <w:trHeight w:hRule="exact" w:val="255"/>
        </w:trPr>
        <w:tc>
          <w:tcPr>
            <w:tcW w:w="1347" w:type="pct"/>
            <w:tcBorders>
              <w:top w:val="nil"/>
              <w:left w:val="nil"/>
              <w:bottom w:val="single" w:sz="4" w:space="0" w:color="auto"/>
              <w:right w:val="nil"/>
            </w:tcBorders>
            <w:shd w:val="clear" w:color="auto" w:fill="auto"/>
            <w:noWrap/>
            <w:vAlign w:val="bottom"/>
            <w:hideMark/>
          </w:tcPr>
          <w:p w:rsidR="00AA17E3" w:rsidRPr="0010618B" w:rsidRDefault="00AA17E3" w:rsidP="00AA17E3">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Spišský hrad</w:t>
            </w:r>
          </w:p>
        </w:tc>
        <w:tc>
          <w:tcPr>
            <w:tcW w:w="394"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412</w:t>
            </w:r>
          </w:p>
        </w:tc>
        <w:tc>
          <w:tcPr>
            <w:tcW w:w="394"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1 5</w:t>
            </w:r>
            <w:r>
              <w:rPr>
                <w:rFonts w:ascii="Times New Roman" w:hAnsi="Times New Roman" w:cs="Times New Roman"/>
                <w:sz w:val="16"/>
                <w:szCs w:val="16"/>
                <w:lang w:eastAsia="sk-SK"/>
              </w:rPr>
              <w:t>65</w:t>
            </w:r>
          </w:p>
        </w:tc>
        <w:tc>
          <w:tcPr>
            <w:tcW w:w="410"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1 935</w:t>
            </w:r>
          </w:p>
        </w:tc>
        <w:tc>
          <w:tcPr>
            <w:tcW w:w="475"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1 935</w:t>
            </w:r>
          </w:p>
        </w:tc>
        <w:tc>
          <w:tcPr>
            <w:tcW w:w="409"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1 800</w:t>
            </w:r>
          </w:p>
        </w:tc>
        <w:tc>
          <w:tcPr>
            <w:tcW w:w="409"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1 100</w:t>
            </w:r>
          </w:p>
        </w:tc>
        <w:tc>
          <w:tcPr>
            <w:tcW w:w="409"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0</w:t>
            </w:r>
          </w:p>
        </w:tc>
        <w:tc>
          <w:tcPr>
            <w:tcW w:w="753" w:type="pct"/>
            <w:tcBorders>
              <w:top w:val="nil"/>
              <w:left w:val="nil"/>
              <w:bottom w:val="single" w:sz="4" w:space="0" w:color="auto"/>
              <w:right w:val="nil"/>
            </w:tcBorders>
            <w:shd w:val="clear" w:color="auto" w:fill="auto"/>
            <w:noWrap/>
            <w:vAlign w:val="bottom"/>
            <w:hideMark/>
          </w:tcPr>
          <w:p w:rsidR="00AA17E3" w:rsidRPr="0010618B" w:rsidRDefault="00AA17E3" w:rsidP="00AA17E3">
            <w:pPr>
              <w:jc w:val="right"/>
              <w:rPr>
                <w:rFonts w:ascii="Times New Roman" w:hAnsi="Times New Roman" w:cs="Times New Roman"/>
                <w:color w:val="000000"/>
                <w:sz w:val="16"/>
                <w:szCs w:val="16"/>
                <w:lang w:eastAsia="sk-SK"/>
              </w:rPr>
            </w:pPr>
            <w:r w:rsidRPr="0010618B">
              <w:rPr>
                <w:rFonts w:ascii="Times New Roman" w:hAnsi="Times New Roman" w:cs="Times New Roman"/>
                <w:bCs/>
                <w:color w:val="000000"/>
                <w:sz w:val="16"/>
                <w:szCs w:val="16"/>
                <w:lang w:eastAsia="sk-SK"/>
              </w:rPr>
              <w:t>6 8</w:t>
            </w:r>
            <w:r>
              <w:rPr>
                <w:rFonts w:ascii="Times New Roman" w:hAnsi="Times New Roman" w:cs="Times New Roman"/>
                <w:bCs/>
                <w:color w:val="000000"/>
                <w:sz w:val="16"/>
                <w:szCs w:val="16"/>
                <w:lang w:eastAsia="sk-SK"/>
              </w:rPr>
              <w:t>71</w:t>
            </w:r>
          </w:p>
        </w:tc>
      </w:tr>
    </w:tbl>
    <w:p w:rsidR="00AA17E3" w:rsidRDefault="00AA17E3" w:rsidP="000E1014">
      <w:pPr>
        <w:spacing w:after="0"/>
        <w:jc w:val="right"/>
        <w:rPr>
          <w:rFonts w:ascii="Times New Roman" w:hAnsi="Times New Roman" w:cs="Times New Roman"/>
          <w:i/>
          <w:color w:val="000000"/>
          <w:sz w:val="16"/>
          <w:szCs w:val="16"/>
        </w:rPr>
      </w:pPr>
      <w:r w:rsidRPr="000D2FCD">
        <w:rPr>
          <w:rFonts w:ascii="Times New Roman" w:hAnsi="Times New Roman" w:cs="Times New Roman"/>
          <w:i/>
          <w:color w:val="000000"/>
          <w:sz w:val="16"/>
          <w:szCs w:val="16"/>
        </w:rPr>
        <w:t>Zdroj:</w:t>
      </w:r>
      <w:r>
        <w:rPr>
          <w:rFonts w:ascii="Times New Roman" w:hAnsi="Times New Roman" w:cs="Times New Roman"/>
          <w:i/>
          <w:color w:val="000000"/>
          <w:sz w:val="16"/>
          <w:szCs w:val="16"/>
        </w:rPr>
        <w:t xml:space="preserve"> MF SR, MK SR</w:t>
      </w:r>
    </w:p>
    <w:p w:rsidR="000E1014" w:rsidRDefault="000E1014" w:rsidP="000E1014">
      <w:pPr>
        <w:tabs>
          <w:tab w:val="left" w:pos="6645"/>
        </w:tabs>
        <w:spacing w:after="0"/>
        <w:jc w:val="both"/>
        <w:rPr>
          <w:rFonts w:ascii="Times New Roman" w:hAnsi="Times New Roman" w:cs="Times New Roman"/>
          <w:b/>
          <w:bCs/>
          <w:color w:val="5B9BD5"/>
          <w:sz w:val="24"/>
        </w:rPr>
      </w:pPr>
    </w:p>
    <w:p w:rsidR="00AA17E3" w:rsidRDefault="00AA17E3" w:rsidP="000E1014">
      <w:pPr>
        <w:tabs>
          <w:tab w:val="left" w:pos="6645"/>
        </w:tabs>
        <w:spacing w:after="0"/>
        <w:jc w:val="both"/>
        <w:rPr>
          <w:rFonts w:ascii="Times New Roman" w:hAnsi="Times New Roman" w:cs="Times New Roman"/>
          <w:b/>
          <w:bCs/>
          <w:color w:val="5B9BD5"/>
          <w:sz w:val="24"/>
        </w:rPr>
      </w:pPr>
      <w:r w:rsidRPr="0010618B">
        <w:rPr>
          <w:rFonts w:ascii="Times New Roman" w:hAnsi="Times New Roman" w:cs="Times New Roman"/>
          <w:b/>
          <w:bCs/>
          <w:color w:val="5B9BD5"/>
          <w:sz w:val="24"/>
        </w:rPr>
        <w:t>Účelová podpora kultúry</w:t>
      </w:r>
    </w:p>
    <w:p w:rsidR="000E1014" w:rsidRPr="0010618B" w:rsidRDefault="000E1014" w:rsidP="000E1014">
      <w:pPr>
        <w:tabs>
          <w:tab w:val="left" w:pos="6645"/>
        </w:tabs>
        <w:spacing w:after="0"/>
        <w:jc w:val="both"/>
        <w:rPr>
          <w:rFonts w:ascii="Times New Roman" w:hAnsi="Times New Roman" w:cs="Times New Roman"/>
          <w:i/>
          <w:iCs/>
          <w:color w:val="5B9BD5"/>
          <w:sz w:val="24"/>
        </w:rPr>
      </w:pPr>
    </w:p>
    <w:p w:rsidR="00AA17E3" w:rsidRDefault="00AA17E3" w:rsidP="00F7633B">
      <w:pPr>
        <w:autoSpaceDE w:val="0"/>
        <w:autoSpaceDN w:val="0"/>
        <w:adjustRightInd w:val="0"/>
        <w:spacing w:after="0"/>
        <w:jc w:val="both"/>
        <w:rPr>
          <w:rFonts w:ascii="Times New Roman" w:hAnsi="Times New Roman" w:cs="Times New Roman"/>
          <w:sz w:val="24"/>
        </w:rPr>
      </w:pPr>
      <w:r w:rsidRPr="0010618B">
        <w:rPr>
          <w:rFonts w:ascii="Times New Roman" w:hAnsi="Times New Roman" w:cs="Times New Roman"/>
          <w:bCs/>
          <w:sz w:val="24"/>
        </w:rPr>
        <w:t>Dotačný systém Ministerstva kultúry SR</w:t>
      </w:r>
      <w:r w:rsidRPr="0010618B">
        <w:rPr>
          <w:rFonts w:ascii="Times New Roman" w:hAnsi="Times New Roman" w:cs="Times New Roman"/>
          <w:sz w:val="24"/>
        </w:rPr>
        <w:t xml:space="preserve"> je zameraný na podporu a financovanie kultúry prostredníctvom projektov</w:t>
      </w:r>
      <w:r>
        <w:rPr>
          <w:rFonts w:ascii="Times New Roman" w:hAnsi="Times New Roman" w:cs="Times New Roman"/>
          <w:sz w:val="24"/>
        </w:rPr>
        <w:t xml:space="preserve"> </w:t>
      </w:r>
      <w:r w:rsidRPr="0010618B">
        <w:rPr>
          <w:rFonts w:ascii="Times New Roman" w:hAnsi="Times New Roman" w:cs="Times New Roman"/>
          <w:sz w:val="24"/>
        </w:rPr>
        <w:t xml:space="preserve">orientovaných na zachovanie a rozvoj kultúrneho dedičstva. Výdavky v rámci dotačného systému sú rozpočtované </w:t>
      </w:r>
      <w:r>
        <w:rPr>
          <w:rFonts w:ascii="Times New Roman" w:hAnsi="Times New Roman" w:cs="Times New Roman"/>
          <w:sz w:val="24"/>
        </w:rPr>
        <w:t xml:space="preserve">na </w:t>
      </w:r>
      <w:r w:rsidRPr="0010618B">
        <w:rPr>
          <w:rFonts w:ascii="Times New Roman" w:hAnsi="Times New Roman" w:cs="Times New Roman"/>
          <w:sz w:val="24"/>
        </w:rPr>
        <w:t xml:space="preserve">obnovu národných kultúrnych pamiatok </w:t>
      </w:r>
      <w:r>
        <w:rPr>
          <w:rFonts w:ascii="Times New Roman" w:hAnsi="Times New Roman" w:cs="Times New Roman"/>
          <w:sz w:val="24"/>
        </w:rPr>
        <w:t xml:space="preserve">na </w:t>
      </w:r>
      <w:r w:rsidRPr="0010618B">
        <w:rPr>
          <w:rFonts w:ascii="Times New Roman" w:hAnsi="Times New Roman" w:cs="Times New Roman"/>
          <w:sz w:val="24"/>
        </w:rPr>
        <w:t>program</w:t>
      </w:r>
      <w:r>
        <w:rPr>
          <w:rFonts w:ascii="Times New Roman" w:hAnsi="Times New Roman" w:cs="Times New Roman"/>
          <w:sz w:val="24"/>
        </w:rPr>
        <w:t>e</w:t>
      </w:r>
      <w:r w:rsidRPr="0010618B">
        <w:rPr>
          <w:rFonts w:ascii="Times New Roman" w:hAnsi="Times New Roman" w:cs="Times New Roman"/>
          <w:sz w:val="24"/>
        </w:rPr>
        <w:t xml:space="preserve"> Obnovme si svoj dom</w:t>
      </w:r>
      <w:r>
        <w:rPr>
          <w:rFonts w:ascii="Times New Roman" w:hAnsi="Times New Roman" w:cs="Times New Roman"/>
          <w:sz w:val="24"/>
        </w:rPr>
        <w:t>,</w:t>
      </w:r>
      <w:r w:rsidRPr="0010618B">
        <w:rPr>
          <w:rFonts w:ascii="Times New Roman" w:hAnsi="Times New Roman" w:cs="Times New Roman"/>
          <w:sz w:val="24"/>
        </w:rPr>
        <w:t xml:space="preserve"> </w:t>
      </w:r>
      <w:r w:rsidRPr="001D29F5">
        <w:rPr>
          <w:rFonts w:ascii="Times New Roman" w:hAnsi="Times New Roman" w:cs="Times New Roman"/>
          <w:sz w:val="24"/>
        </w:rPr>
        <w:t xml:space="preserve">na sprístupňovanie kultúrnych hodnôt žiakom základných škôl a stredných škôl </w:t>
      </w:r>
      <w:r w:rsidRPr="00402146">
        <w:rPr>
          <w:rFonts w:ascii="Times New Roman" w:hAnsi="Times New Roman" w:cs="Times New Roman"/>
          <w:sz w:val="24"/>
        </w:rPr>
        <w:t>a pedagogickým zamestnancom základných škôl a stredných škôl</w:t>
      </w:r>
      <w:r w:rsidRPr="001D29F5">
        <w:rPr>
          <w:rFonts w:ascii="Times New Roman" w:hAnsi="Times New Roman" w:cs="Times New Roman"/>
          <w:sz w:val="24"/>
        </w:rPr>
        <w:t xml:space="preserve"> rozpočtované na programe Podpora návštevnosti kultúrnych podujatí</w:t>
      </w:r>
      <w:r>
        <w:rPr>
          <w:rFonts w:ascii="Times New Roman" w:hAnsi="Times New Roman" w:cs="Times New Roman"/>
          <w:sz w:val="24"/>
        </w:rPr>
        <w:t xml:space="preserve">. </w:t>
      </w:r>
      <w:r w:rsidRPr="00402146">
        <w:rPr>
          <w:rFonts w:ascii="Times New Roman" w:hAnsi="Times New Roman" w:cs="Times New Roman"/>
          <w:sz w:val="24"/>
        </w:rPr>
        <w:t>Výdavky v rámci dotačného systému upravuje zákon č. 299/2020 Z. z. o poskytovaní dotácií v pôsobnosti Ministerstva kultúry SR účinný od 1. novembra 2020, ktorý okrem už uvedených účelov poskytnutia dotácií zo štátneho rozpočtu ustanovuje aj ďalšie účely a to dotácie na podporu aktivít v oblasti kultúry, umenia a kreatívneho priemyslu, dotácie na podporu kultúry osôb so zdravotným postihnutím</w:t>
      </w:r>
      <w:r>
        <w:rPr>
          <w:rFonts w:ascii="Times New Roman" w:hAnsi="Times New Roman" w:cs="Times New Roman"/>
          <w:sz w:val="24"/>
        </w:rPr>
        <w:t>,</w:t>
      </w:r>
      <w:r w:rsidRPr="00402146">
        <w:rPr>
          <w:rFonts w:ascii="Times New Roman" w:hAnsi="Times New Roman" w:cs="Times New Roman"/>
          <w:sz w:val="24"/>
        </w:rPr>
        <w:t xml:space="preserve"> alebo inak znevýhodnených skupín obyvateľstva, ktorá sa môže poskytnúť na podporu kultúrnej aktivity osôb so zdravotným postihnutím</w:t>
      </w:r>
      <w:r>
        <w:rPr>
          <w:rFonts w:ascii="Times New Roman" w:hAnsi="Times New Roman" w:cs="Times New Roman"/>
          <w:sz w:val="24"/>
        </w:rPr>
        <w:t>,</w:t>
      </w:r>
      <w:r w:rsidRPr="00402146">
        <w:rPr>
          <w:rFonts w:ascii="Times New Roman" w:hAnsi="Times New Roman" w:cs="Times New Roman"/>
          <w:sz w:val="24"/>
        </w:rPr>
        <w:t xml:space="preserve"> alebo inak znevýhodnených skupín obyvateľstva a tiež na podporu fyzickej debarierizácie</w:t>
      </w:r>
      <w:r>
        <w:rPr>
          <w:rFonts w:ascii="Times New Roman" w:hAnsi="Times New Roman" w:cs="Times New Roman"/>
          <w:sz w:val="24"/>
        </w:rPr>
        <w:t>,</w:t>
      </w:r>
      <w:r w:rsidRPr="00402146">
        <w:rPr>
          <w:rFonts w:ascii="Times New Roman" w:hAnsi="Times New Roman" w:cs="Times New Roman"/>
          <w:sz w:val="24"/>
        </w:rPr>
        <w:t xml:space="preserve"> alebo informačnej debarierizácie kultúry pre osoby so zdravotným postihnutím. Ďalším novým účelom poskytnutia dotácie je odstraňovanie následkov mimoriadnych udalostí alebo znižovanie negatívnych vplyvov krízovej situácie mimo času vojny a vojnového stavu na oblasť kultúry a tiež dotácie na podporu a rozvoj mediálnej výchovy vrátane boja proti dezinformáciám.</w:t>
      </w:r>
    </w:p>
    <w:p w:rsidR="00F7633B" w:rsidRPr="00402146" w:rsidRDefault="00F7633B" w:rsidP="00F7633B">
      <w:pPr>
        <w:autoSpaceDE w:val="0"/>
        <w:autoSpaceDN w:val="0"/>
        <w:adjustRightInd w:val="0"/>
        <w:spacing w:after="0"/>
        <w:jc w:val="both"/>
        <w:rPr>
          <w:rFonts w:ascii="Times New Roman" w:hAnsi="Times New Roman" w:cs="Times New Roman"/>
          <w:sz w:val="24"/>
        </w:rPr>
      </w:pPr>
    </w:p>
    <w:p w:rsidR="00AA17E3" w:rsidRDefault="00AA17E3" w:rsidP="00F7633B">
      <w:pPr>
        <w:tabs>
          <w:tab w:val="left" w:pos="6645"/>
        </w:tabs>
        <w:spacing w:after="0"/>
        <w:jc w:val="both"/>
        <w:rPr>
          <w:rFonts w:ascii="Times New Roman" w:hAnsi="Times New Roman" w:cs="Times New Roman"/>
          <w:b/>
          <w:bCs/>
          <w:color w:val="5B9BD5"/>
          <w:sz w:val="24"/>
        </w:rPr>
      </w:pPr>
      <w:r w:rsidRPr="0010618B">
        <w:rPr>
          <w:rFonts w:ascii="Times New Roman" w:hAnsi="Times New Roman" w:cs="Times New Roman"/>
          <w:b/>
          <w:bCs/>
          <w:color w:val="5B9BD5"/>
          <w:sz w:val="24"/>
        </w:rPr>
        <w:t>Výdavky verejnoprávnych inštitúcií</w:t>
      </w:r>
    </w:p>
    <w:p w:rsidR="00F7633B" w:rsidRPr="0010618B" w:rsidRDefault="00F7633B" w:rsidP="00F7633B">
      <w:pPr>
        <w:tabs>
          <w:tab w:val="left" w:pos="6645"/>
        </w:tabs>
        <w:spacing w:after="0"/>
        <w:jc w:val="both"/>
        <w:rPr>
          <w:rFonts w:ascii="Times New Roman" w:hAnsi="Times New Roman" w:cs="Times New Roman"/>
          <w:b/>
          <w:bCs/>
          <w:color w:val="5B9BD5"/>
          <w:sz w:val="24"/>
        </w:rPr>
      </w:pPr>
    </w:p>
    <w:p w:rsidR="00AA17E3" w:rsidRDefault="00AA17E3" w:rsidP="00F7633B">
      <w:pPr>
        <w:tabs>
          <w:tab w:val="left" w:pos="6645"/>
        </w:tabs>
        <w:spacing w:after="0"/>
        <w:jc w:val="both"/>
        <w:rPr>
          <w:rFonts w:ascii="Times New Roman" w:hAnsi="Times New Roman" w:cs="Times New Roman"/>
          <w:bCs/>
          <w:sz w:val="24"/>
        </w:rPr>
      </w:pPr>
      <w:r w:rsidRPr="0010618B">
        <w:rPr>
          <w:rFonts w:ascii="Times New Roman" w:hAnsi="Times New Roman" w:cs="Times New Roman"/>
          <w:bCs/>
          <w:sz w:val="24"/>
        </w:rPr>
        <w:t xml:space="preserve">V celkových verejných zdrojoch </w:t>
      </w:r>
      <w:r w:rsidRPr="0010618B">
        <w:rPr>
          <w:rFonts w:ascii="Times New Roman" w:hAnsi="Times New Roman" w:cs="Times New Roman"/>
          <w:sz w:val="24"/>
        </w:rPr>
        <w:t xml:space="preserve">na oblasť kultúry </w:t>
      </w:r>
      <w:r w:rsidRPr="0010618B">
        <w:rPr>
          <w:rFonts w:ascii="Times New Roman" w:hAnsi="Times New Roman" w:cs="Times New Roman"/>
          <w:bCs/>
          <w:sz w:val="24"/>
        </w:rPr>
        <w:t>sú zohľadnené</w:t>
      </w:r>
      <w:r w:rsidRPr="0010618B">
        <w:rPr>
          <w:rFonts w:ascii="Times New Roman" w:hAnsi="Times New Roman" w:cs="Times New Roman"/>
          <w:sz w:val="24"/>
        </w:rPr>
        <w:t xml:space="preserve"> </w:t>
      </w:r>
      <w:r w:rsidRPr="0010618B">
        <w:rPr>
          <w:rFonts w:ascii="Times New Roman" w:hAnsi="Times New Roman" w:cs="Times New Roman"/>
          <w:bCs/>
          <w:sz w:val="24"/>
        </w:rPr>
        <w:t xml:space="preserve">výdavky verejnoprávnych inštitúcií Rozhlasu a televízie Slovenska, Tlačovej agentúry </w:t>
      </w:r>
      <w:r w:rsidR="00CD79A5">
        <w:rPr>
          <w:rFonts w:ascii="Times New Roman" w:hAnsi="Times New Roman" w:cs="Times New Roman"/>
          <w:bCs/>
          <w:sz w:val="24"/>
        </w:rPr>
        <w:t xml:space="preserve">SR </w:t>
      </w:r>
      <w:r w:rsidRPr="0010618B">
        <w:rPr>
          <w:rFonts w:ascii="Times New Roman" w:hAnsi="Times New Roman" w:cs="Times New Roman"/>
          <w:bCs/>
          <w:sz w:val="24"/>
        </w:rPr>
        <w:t xml:space="preserve">, Audiovizuálneho fondu, Fond na podporu umenia a Fond na podporu kultúry národnostných menšín v oblasti kultúry. </w:t>
      </w:r>
    </w:p>
    <w:p w:rsidR="00F7633B" w:rsidRPr="00D66343" w:rsidRDefault="00F7633B" w:rsidP="00F7633B">
      <w:pPr>
        <w:tabs>
          <w:tab w:val="left" w:pos="6645"/>
        </w:tabs>
        <w:spacing w:after="0"/>
        <w:jc w:val="both"/>
        <w:rPr>
          <w:rFonts w:ascii="Times New Roman" w:hAnsi="Times New Roman" w:cs="Times New Roman"/>
          <w:bCs/>
          <w:sz w:val="24"/>
        </w:rPr>
      </w:pPr>
    </w:p>
    <w:p w:rsidR="00AA17E3" w:rsidRPr="00515919" w:rsidRDefault="00AA17E3" w:rsidP="00F7633B">
      <w:pPr>
        <w:pStyle w:val="Popis"/>
        <w:spacing w:after="0"/>
        <w:rPr>
          <w:rFonts w:ascii="Times New Roman" w:hAnsi="Times New Roman" w:cs="Times New Roman"/>
          <w:b/>
          <w:i w:val="0"/>
          <w:color w:val="5B9BD5"/>
          <w:sz w:val="20"/>
          <w:szCs w:val="20"/>
        </w:rPr>
      </w:pPr>
      <w:bookmarkStart w:id="614" w:name="_Toc53054204"/>
      <w:bookmarkStart w:id="615" w:name="_Toc53054865"/>
      <w:bookmarkStart w:id="616" w:name="_Toc53078057"/>
      <w:bookmarkStart w:id="617" w:name="_Toc53086459"/>
      <w:bookmarkStart w:id="618" w:name="_Toc84528488"/>
      <w:bookmarkStart w:id="619" w:name="_Toc84845364"/>
      <w:r w:rsidRPr="00515919">
        <w:rPr>
          <w:rFonts w:ascii="Times New Roman" w:hAnsi="Times New Roman" w:cs="Times New Roman"/>
          <w:b/>
          <w:i w:val="0"/>
          <w:color w:val="5B9BD5"/>
          <w:sz w:val="20"/>
          <w:szCs w:val="20"/>
        </w:rPr>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6E67C6">
        <w:rPr>
          <w:rFonts w:ascii="Times New Roman" w:hAnsi="Times New Roman" w:cs="Times New Roman"/>
          <w:b/>
          <w:i w:val="0"/>
          <w:noProof/>
          <w:color w:val="5B9BD5"/>
          <w:sz w:val="20"/>
          <w:szCs w:val="20"/>
        </w:rPr>
        <w:t>140</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Výdavky verejnoprávnych inštitúcií</w:t>
      </w:r>
      <w:bookmarkEnd w:id="614"/>
      <w:bookmarkEnd w:id="615"/>
      <w:bookmarkEnd w:id="616"/>
      <w:bookmarkEnd w:id="617"/>
      <w:bookmarkEnd w:id="618"/>
      <w:bookmarkEnd w:id="619"/>
    </w:p>
    <w:tbl>
      <w:tblPr>
        <w:tblW w:w="5000" w:type="pct"/>
        <w:tblCellMar>
          <w:left w:w="70" w:type="dxa"/>
          <w:right w:w="70" w:type="dxa"/>
        </w:tblCellMar>
        <w:tblLook w:val="04A0" w:firstRow="1" w:lastRow="0" w:firstColumn="1" w:lastColumn="0" w:noHBand="0" w:noVBand="1"/>
      </w:tblPr>
      <w:tblGrid>
        <w:gridCol w:w="3166"/>
        <w:gridCol w:w="838"/>
        <w:gridCol w:w="873"/>
        <w:gridCol w:w="862"/>
        <w:gridCol w:w="840"/>
        <w:gridCol w:w="782"/>
        <w:gridCol w:w="858"/>
        <w:gridCol w:w="853"/>
      </w:tblGrid>
      <w:tr w:rsidR="00AA17E3" w:rsidRPr="005C2408" w:rsidTr="00AA17E3">
        <w:trPr>
          <w:trHeight w:hRule="exact" w:val="255"/>
        </w:trPr>
        <w:tc>
          <w:tcPr>
            <w:tcW w:w="1745" w:type="pct"/>
            <w:tcBorders>
              <w:top w:val="single" w:sz="4" w:space="0" w:color="auto"/>
              <w:left w:val="nil"/>
              <w:bottom w:val="nil"/>
              <w:right w:val="nil"/>
            </w:tcBorders>
            <w:shd w:val="clear" w:color="auto" w:fill="auto"/>
            <w:noWrap/>
            <w:vAlign w:val="center"/>
            <w:hideMark/>
          </w:tcPr>
          <w:p w:rsidR="00AA17E3" w:rsidRPr="005C2408" w:rsidRDefault="00AA17E3" w:rsidP="00AA17E3">
            <w:pPr>
              <w:spacing w:after="0" w:line="240" w:lineRule="auto"/>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v tis. eur</w:t>
            </w:r>
          </w:p>
        </w:tc>
        <w:tc>
          <w:tcPr>
            <w:tcW w:w="462"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2019 S</w:t>
            </w:r>
          </w:p>
        </w:tc>
        <w:tc>
          <w:tcPr>
            <w:tcW w:w="481"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2020 S</w:t>
            </w:r>
          </w:p>
        </w:tc>
        <w:tc>
          <w:tcPr>
            <w:tcW w:w="475"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sz w:val="16"/>
                <w:szCs w:val="16"/>
                <w:lang w:eastAsia="sk-SK"/>
              </w:rPr>
            </w:pPr>
            <w:r w:rsidRPr="005C2408">
              <w:rPr>
                <w:rFonts w:ascii="Times New Roman" w:eastAsia="Times New Roman" w:hAnsi="Times New Roman" w:cs="Times New Roman"/>
                <w:b/>
                <w:bCs/>
                <w:sz w:val="16"/>
                <w:szCs w:val="16"/>
                <w:lang w:eastAsia="sk-SK"/>
              </w:rPr>
              <w:t>2021 R</w:t>
            </w:r>
          </w:p>
        </w:tc>
        <w:tc>
          <w:tcPr>
            <w:tcW w:w="463"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sz w:val="16"/>
                <w:szCs w:val="16"/>
                <w:lang w:eastAsia="sk-SK"/>
              </w:rPr>
            </w:pPr>
            <w:r w:rsidRPr="005C2408">
              <w:rPr>
                <w:rFonts w:ascii="Times New Roman" w:eastAsia="Times New Roman" w:hAnsi="Times New Roman" w:cs="Times New Roman"/>
                <w:b/>
                <w:bCs/>
                <w:sz w:val="16"/>
                <w:szCs w:val="16"/>
                <w:lang w:eastAsia="sk-SK"/>
              </w:rPr>
              <w:t>2021 OS</w:t>
            </w:r>
          </w:p>
        </w:tc>
        <w:tc>
          <w:tcPr>
            <w:tcW w:w="431"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2022 N</w:t>
            </w:r>
          </w:p>
        </w:tc>
        <w:tc>
          <w:tcPr>
            <w:tcW w:w="473"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2023 N</w:t>
            </w:r>
          </w:p>
        </w:tc>
        <w:tc>
          <w:tcPr>
            <w:tcW w:w="470" w:type="pct"/>
            <w:tcBorders>
              <w:top w:val="single" w:sz="4" w:space="0" w:color="auto"/>
              <w:left w:val="nil"/>
              <w:bottom w:val="single" w:sz="4" w:space="0" w:color="auto"/>
              <w:right w:val="nil"/>
            </w:tcBorders>
            <w:shd w:val="clear" w:color="auto" w:fill="auto"/>
            <w:noWrap/>
            <w:vAlign w:val="center"/>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2024 N</w:t>
            </w:r>
          </w:p>
        </w:tc>
      </w:tr>
      <w:tr w:rsidR="00AA17E3" w:rsidRPr="005C2408" w:rsidTr="00AA17E3">
        <w:trPr>
          <w:trHeight w:hRule="exact" w:val="255"/>
        </w:trPr>
        <w:tc>
          <w:tcPr>
            <w:tcW w:w="1745" w:type="pct"/>
            <w:tcBorders>
              <w:top w:val="single" w:sz="4" w:space="0" w:color="auto"/>
              <w:left w:val="nil"/>
              <w:bottom w:val="nil"/>
              <w:right w:val="nil"/>
            </w:tcBorders>
            <w:shd w:val="clear" w:color="auto" w:fill="auto"/>
            <w:noWrap/>
            <w:vAlign w:val="bottom"/>
            <w:hideMark/>
          </w:tcPr>
          <w:p w:rsidR="00AA17E3" w:rsidRPr="005C2408" w:rsidRDefault="00AA17E3" w:rsidP="00AA17E3">
            <w:pPr>
              <w:spacing w:after="0" w:line="240" w:lineRule="auto"/>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Výdavky verejnoprávnych inštitúcii</w:t>
            </w:r>
          </w:p>
        </w:tc>
        <w:tc>
          <w:tcPr>
            <w:tcW w:w="462"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183 620</w:t>
            </w:r>
          </w:p>
        </w:tc>
        <w:tc>
          <w:tcPr>
            <w:tcW w:w="48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175 319</w:t>
            </w:r>
          </w:p>
        </w:tc>
        <w:tc>
          <w:tcPr>
            <w:tcW w:w="47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162 405</w:t>
            </w:r>
          </w:p>
        </w:tc>
        <w:tc>
          <w:tcPr>
            <w:tcW w:w="46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209 872</w:t>
            </w:r>
          </w:p>
        </w:tc>
        <w:tc>
          <w:tcPr>
            <w:tcW w:w="43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161 070</w:t>
            </w:r>
          </w:p>
        </w:tc>
        <w:tc>
          <w:tcPr>
            <w:tcW w:w="47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162 211</w:t>
            </w:r>
          </w:p>
        </w:tc>
        <w:tc>
          <w:tcPr>
            <w:tcW w:w="470"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5C2408">
              <w:rPr>
                <w:rFonts w:ascii="Times New Roman" w:eastAsia="Times New Roman" w:hAnsi="Times New Roman" w:cs="Times New Roman"/>
                <w:b/>
                <w:bCs/>
                <w:color w:val="000000"/>
                <w:sz w:val="16"/>
                <w:szCs w:val="16"/>
                <w:lang w:eastAsia="sk-SK"/>
              </w:rPr>
              <w:t>162 553</w:t>
            </w:r>
          </w:p>
        </w:tc>
      </w:tr>
      <w:tr w:rsidR="00AA17E3" w:rsidRPr="005C2408" w:rsidTr="00AA17E3">
        <w:trPr>
          <w:trHeight w:hRule="exact" w:val="255"/>
        </w:trPr>
        <w:tc>
          <w:tcPr>
            <w:tcW w:w="174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RTVS</w:t>
            </w:r>
          </w:p>
        </w:tc>
        <w:tc>
          <w:tcPr>
            <w:tcW w:w="462"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135 304</w:t>
            </w:r>
          </w:p>
        </w:tc>
        <w:tc>
          <w:tcPr>
            <w:tcW w:w="48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128 390</w:t>
            </w:r>
          </w:p>
        </w:tc>
        <w:tc>
          <w:tcPr>
            <w:tcW w:w="47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114 032</w:t>
            </w:r>
          </w:p>
        </w:tc>
        <w:tc>
          <w:tcPr>
            <w:tcW w:w="46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148 376</w:t>
            </w:r>
          </w:p>
        </w:tc>
        <w:tc>
          <w:tcPr>
            <w:tcW w:w="43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112 409</w:t>
            </w:r>
          </w:p>
        </w:tc>
        <w:tc>
          <w:tcPr>
            <w:tcW w:w="47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113 239</w:t>
            </w:r>
          </w:p>
        </w:tc>
        <w:tc>
          <w:tcPr>
            <w:tcW w:w="470"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113 239</w:t>
            </w:r>
          </w:p>
        </w:tc>
      </w:tr>
      <w:tr w:rsidR="00AA17E3" w:rsidRPr="005C2408" w:rsidTr="00AA17E3">
        <w:trPr>
          <w:trHeight w:hRule="exact" w:val="255"/>
        </w:trPr>
        <w:tc>
          <w:tcPr>
            <w:tcW w:w="174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TASR</w:t>
            </w:r>
          </w:p>
        </w:tc>
        <w:tc>
          <w:tcPr>
            <w:tcW w:w="462"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5 597</w:t>
            </w:r>
          </w:p>
        </w:tc>
        <w:tc>
          <w:tcPr>
            <w:tcW w:w="48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5 411</w:t>
            </w:r>
          </w:p>
        </w:tc>
        <w:tc>
          <w:tcPr>
            <w:tcW w:w="47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5 226</w:t>
            </w:r>
          </w:p>
        </w:tc>
        <w:tc>
          <w:tcPr>
            <w:tcW w:w="46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5 312</w:t>
            </w:r>
          </w:p>
        </w:tc>
        <w:tc>
          <w:tcPr>
            <w:tcW w:w="43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5 254</w:t>
            </w:r>
          </w:p>
        </w:tc>
        <w:tc>
          <w:tcPr>
            <w:tcW w:w="47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5 285</w:t>
            </w:r>
          </w:p>
        </w:tc>
        <w:tc>
          <w:tcPr>
            <w:tcW w:w="470"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5 317</w:t>
            </w:r>
          </w:p>
        </w:tc>
      </w:tr>
      <w:tr w:rsidR="00AA17E3" w:rsidRPr="005C2408" w:rsidTr="00AA17E3">
        <w:trPr>
          <w:trHeight w:hRule="exact" w:val="255"/>
        </w:trPr>
        <w:tc>
          <w:tcPr>
            <w:tcW w:w="174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AVF</w:t>
            </w:r>
          </w:p>
        </w:tc>
        <w:tc>
          <w:tcPr>
            <w:tcW w:w="462"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12 023</w:t>
            </w:r>
          </w:p>
        </w:tc>
        <w:tc>
          <w:tcPr>
            <w:tcW w:w="48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12 640</w:t>
            </w:r>
          </w:p>
        </w:tc>
        <w:tc>
          <w:tcPr>
            <w:tcW w:w="47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14 690</w:t>
            </w:r>
          </w:p>
        </w:tc>
        <w:tc>
          <w:tcPr>
            <w:tcW w:w="46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14 705</w:t>
            </w:r>
          </w:p>
        </w:tc>
        <w:tc>
          <w:tcPr>
            <w:tcW w:w="43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14 950</w:t>
            </w:r>
          </w:p>
        </w:tc>
        <w:tc>
          <w:tcPr>
            <w:tcW w:w="47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15 230</w:t>
            </w:r>
          </w:p>
        </w:tc>
        <w:tc>
          <w:tcPr>
            <w:tcW w:w="470"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15 540</w:t>
            </w:r>
          </w:p>
        </w:tc>
      </w:tr>
      <w:tr w:rsidR="00AA17E3" w:rsidRPr="005C2408" w:rsidTr="00AA17E3">
        <w:trPr>
          <w:trHeight w:hRule="exact" w:val="255"/>
        </w:trPr>
        <w:tc>
          <w:tcPr>
            <w:tcW w:w="174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FPU</w:t>
            </w:r>
          </w:p>
        </w:tc>
        <w:tc>
          <w:tcPr>
            <w:tcW w:w="462"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22 831</w:t>
            </w:r>
          </w:p>
        </w:tc>
        <w:tc>
          <w:tcPr>
            <w:tcW w:w="48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20 909</w:t>
            </w:r>
          </w:p>
        </w:tc>
        <w:tc>
          <w:tcPr>
            <w:tcW w:w="475"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20 417</w:t>
            </w:r>
          </w:p>
        </w:tc>
        <w:tc>
          <w:tcPr>
            <w:tcW w:w="46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32 138</w:t>
            </w:r>
          </w:p>
        </w:tc>
        <w:tc>
          <w:tcPr>
            <w:tcW w:w="431"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20 417</w:t>
            </w:r>
          </w:p>
        </w:tc>
        <w:tc>
          <w:tcPr>
            <w:tcW w:w="473"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20 417</w:t>
            </w:r>
          </w:p>
        </w:tc>
        <w:tc>
          <w:tcPr>
            <w:tcW w:w="470" w:type="pct"/>
            <w:tcBorders>
              <w:top w:val="nil"/>
              <w:left w:val="nil"/>
              <w:bottom w:val="nil"/>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20 417</w:t>
            </w:r>
          </w:p>
        </w:tc>
      </w:tr>
      <w:tr w:rsidR="00AA17E3" w:rsidRPr="005C2408" w:rsidTr="00AA17E3">
        <w:trPr>
          <w:trHeight w:hRule="exact" w:val="255"/>
        </w:trPr>
        <w:tc>
          <w:tcPr>
            <w:tcW w:w="1745"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FPKNM</w:t>
            </w:r>
          </w:p>
        </w:tc>
        <w:tc>
          <w:tcPr>
            <w:tcW w:w="462"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7 866</w:t>
            </w:r>
          </w:p>
        </w:tc>
        <w:tc>
          <w:tcPr>
            <w:tcW w:w="481"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7 969</w:t>
            </w:r>
          </w:p>
        </w:tc>
        <w:tc>
          <w:tcPr>
            <w:tcW w:w="475"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8 040</w:t>
            </w:r>
          </w:p>
        </w:tc>
        <w:tc>
          <w:tcPr>
            <w:tcW w:w="463"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9 341</w:t>
            </w:r>
          </w:p>
        </w:tc>
        <w:tc>
          <w:tcPr>
            <w:tcW w:w="431"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8 040</w:t>
            </w:r>
          </w:p>
        </w:tc>
        <w:tc>
          <w:tcPr>
            <w:tcW w:w="473"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8 040</w:t>
            </w:r>
          </w:p>
        </w:tc>
        <w:tc>
          <w:tcPr>
            <w:tcW w:w="470" w:type="pct"/>
            <w:tcBorders>
              <w:top w:val="nil"/>
              <w:left w:val="nil"/>
              <w:bottom w:val="single" w:sz="4" w:space="0" w:color="auto"/>
              <w:right w:val="nil"/>
            </w:tcBorders>
            <w:shd w:val="clear" w:color="auto" w:fill="auto"/>
            <w:noWrap/>
            <w:vAlign w:val="bottom"/>
            <w:hideMark/>
          </w:tcPr>
          <w:p w:rsidR="00AA17E3" w:rsidRPr="005C2408"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5C2408">
              <w:rPr>
                <w:rFonts w:ascii="Times New Roman" w:eastAsia="Times New Roman" w:hAnsi="Times New Roman" w:cs="Times New Roman"/>
                <w:color w:val="000000"/>
                <w:sz w:val="16"/>
                <w:szCs w:val="16"/>
                <w:lang w:eastAsia="sk-SK"/>
              </w:rPr>
              <w:t>8 040</w:t>
            </w:r>
          </w:p>
        </w:tc>
      </w:tr>
    </w:tbl>
    <w:p w:rsidR="00AA17E3" w:rsidRDefault="00AA17E3" w:rsidP="00F7633B">
      <w:pPr>
        <w:spacing w:after="0"/>
        <w:jc w:val="right"/>
        <w:rPr>
          <w:rFonts w:ascii="Times New Roman" w:hAnsi="Times New Roman" w:cs="Times New Roman"/>
          <w:i/>
          <w:color w:val="000000"/>
          <w:sz w:val="16"/>
          <w:szCs w:val="16"/>
        </w:rPr>
      </w:pPr>
      <w:r w:rsidRPr="000D2FCD">
        <w:rPr>
          <w:rFonts w:ascii="Times New Roman" w:hAnsi="Times New Roman" w:cs="Times New Roman"/>
          <w:i/>
          <w:color w:val="000000"/>
          <w:sz w:val="16"/>
          <w:szCs w:val="16"/>
        </w:rPr>
        <w:t>Zdroj:</w:t>
      </w:r>
      <w:r>
        <w:rPr>
          <w:rFonts w:ascii="Times New Roman" w:hAnsi="Times New Roman" w:cs="Times New Roman"/>
          <w:i/>
          <w:color w:val="000000"/>
          <w:sz w:val="16"/>
          <w:szCs w:val="16"/>
        </w:rPr>
        <w:t xml:space="preserve"> MF SR</w:t>
      </w:r>
    </w:p>
    <w:p w:rsidR="00F7633B" w:rsidRDefault="00F7633B" w:rsidP="00F7633B">
      <w:pPr>
        <w:tabs>
          <w:tab w:val="left" w:pos="6645"/>
        </w:tabs>
        <w:spacing w:after="0"/>
        <w:jc w:val="both"/>
        <w:rPr>
          <w:rFonts w:ascii="Times New Roman" w:hAnsi="Times New Roman" w:cs="Times New Roman"/>
          <w:bCs/>
          <w:sz w:val="24"/>
        </w:rPr>
      </w:pPr>
    </w:p>
    <w:p w:rsidR="00AA17E3" w:rsidRDefault="00AA17E3" w:rsidP="00F7633B">
      <w:pPr>
        <w:tabs>
          <w:tab w:val="left" w:pos="6645"/>
        </w:tabs>
        <w:spacing w:after="0"/>
        <w:jc w:val="both"/>
        <w:rPr>
          <w:rFonts w:ascii="Times New Roman" w:hAnsi="Times New Roman" w:cs="Times New Roman"/>
          <w:bCs/>
          <w:sz w:val="24"/>
        </w:rPr>
      </w:pPr>
      <w:r w:rsidRPr="001D29F5">
        <w:rPr>
          <w:rFonts w:ascii="Times New Roman" w:hAnsi="Times New Roman" w:cs="Times New Roman"/>
          <w:bCs/>
          <w:sz w:val="24"/>
        </w:rPr>
        <w:t>Finančné prostriedky pre vyššie uvedené verejnoprávne inštitúcie sa poskytujú na základe zmluvy medzi Ministerstvom kultúry SR a dotknutou inštitúciou, ktorá upravuje mechanizmus poskytovania finančných prostriedkov a špecifikuje účel ich použitia v danom rozpočtovom roku. Zákonom stanovené príspevky pre verejnoprávne inštitúcie sú zohľadnené v Návrhu rozpočtu verejnej správy na roky 2022 až 2024 a sú nástrojom na finančnú stabilizáciu na nasledujúce obdobie, aby boli zabezpečené také opatrenia a postupy pri čerpaní týchto</w:t>
      </w:r>
      <w:r w:rsidRPr="00494979">
        <w:rPr>
          <w:rFonts w:ascii="Times New Roman" w:hAnsi="Times New Roman" w:cs="Times New Roman"/>
          <w:bCs/>
          <w:sz w:val="24"/>
          <w:highlight w:val="green"/>
        </w:rPr>
        <w:t xml:space="preserve"> </w:t>
      </w:r>
      <w:r w:rsidRPr="001D29F5">
        <w:rPr>
          <w:rFonts w:ascii="Times New Roman" w:hAnsi="Times New Roman" w:cs="Times New Roman"/>
          <w:bCs/>
          <w:sz w:val="24"/>
        </w:rPr>
        <w:t>prostriedkov, ktorých cieľom bude dosiahnutie maximálnej efektívnosti a skvalitnenia poskytovania služieb v jednotlivých oblastiach kultúrnej činnosti.</w:t>
      </w:r>
    </w:p>
    <w:p w:rsidR="00F7633B" w:rsidRDefault="00F7633B" w:rsidP="00F7633B">
      <w:pPr>
        <w:tabs>
          <w:tab w:val="left" w:pos="6645"/>
        </w:tabs>
        <w:spacing w:after="0"/>
        <w:jc w:val="both"/>
        <w:rPr>
          <w:rFonts w:ascii="Times New Roman" w:hAnsi="Times New Roman" w:cs="Times New Roman"/>
          <w:bCs/>
          <w:color w:val="000000" w:themeColor="text1"/>
          <w:sz w:val="24"/>
        </w:rPr>
      </w:pPr>
    </w:p>
    <w:p w:rsidR="00AA17E3" w:rsidRPr="007418D6" w:rsidRDefault="00AA17E3" w:rsidP="00F7633B">
      <w:pPr>
        <w:tabs>
          <w:tab w:val="left" w:pos="6645"/>
        </w:tabs>
        <w:spacing w:after="0"/>
        <w:jc w:val="both"/>
        <w:rPr>
          <w:rFonts w:ascii="Times New Roman" w:hAnsi="Times New Roman" w:cs="Times New Roman"/>
          <w:bCs/>
          <w:color w:val="000000" w:themeColor="text1"/>
          <w:sz w:val="24"/>
        </w:rPr>
      </w:pPr>
      <w:r w:rsidRPr="007418D6">
        <w:rPr>
          <w:rFonts w:ascii="Times New Roman" w:hAnsi="Times New Roman" w:cs="Times New Roman"/>
          <w:bCs/>
          <w:color w:val="000000" w:themeColor="text1"/>
          <w:sz w:val="24"/>
        </w:rPr>
        <w:t>Finančná podpora verejnoprávnej inštitúcie Rozhlas a televízia Slovenska, ktorá bola zriadená 1. januára 2011 zákonom č. 532/2010 Z. z. o Rozhlase a televízii Slovenska a o zmene a doplnení niektorých zákonov je v návrhu rozpočtu verejnej správy na rok 2022 v sume 31 mil. eur. V celkovej sume transferu je zahrnutá aj čiastočná kompenzácia výšky úhrad z dôvodu výpadku príjmov za úhradu služby verejnosti v sume 8 mil. eur.</w:t>
      </w:r>
    </w:p>
    <w:p w:rsidR="00F7633B" w:rsidRDefault="00F7633B" w:rsidP="00F7633B">
      <w:pPr>
        <w:tabs>
          <w:tab w:val="left" w:pos="6645"/>
        </w:tabs>
        <w:spacing w:after="0"/>
        <w:jc w:val="both"/>
        <w:rPr>
          <w:rFonts w:ascii="Times New Roman" w:hAnsi="Times New Roman" w:cs="Times New Roman"/>
          <w:bCs/>
          <w:sz w:val="24"/>
        </w:rPr>
      </w:pPr>
    </w:p>
    <w:p w:rsidR="00AA17E3" w:rsidRPr="001D29F5" w:rsidRDefault="00AA17E3" w:rsidP="00637878">
      <w:pPr>
        <w:tabs>
          <w:tab w:val="left" w:pos="6645"/>
        </w:tabs>
        <w:spacing w:after="0"/>
        <w:jc w:val="both"/>
        <w:rPr>
          <w:rFonts w:ascii="Times New Roman" w:hAnsi="Times New Roman" w:cs="Times New Roman"/>
          <w:bCs/>
          <w:sz w:val="24"/>
        </w:rPr>
      </w:pPr>
      <w:r w:rsidRPr="001D29F5">
        <w:rPr>
          <w:rFonts w:ascii="Times New Roman" w:hAnsi="Times New Roman" w:cs="Times New Roman"/>
          <w:bCs/>
          <w:sz w:val="24"/>
        </w:rPr>
        <w:t xml:space="preserve">Tlačová agentúra </w:t>
      </w:r>
      <w:r w:rsidR="00CD79A5">
        <w:rPr>
          <w:rFonts w:ascii="Times New Roman" w:hAnsi="Times New Roman" w:cs="Times New Roman"/>
          <w:bCs/>
          <w:sz w:val="24"/>
        </w:rPr>
        <w:t>SR</w:t>
      </w:r>
      <w:r w:rsidRPr="001D29F5">
        <w:rPr>
          <w:rFonts w:ascii="Times New Roman" w:hAnsi="Times New Roman" w:cs="Times New Roman"/>
          <w:bCs/>
          <w:sz w:val="24"/>
        </w:rPr>
        <w:t xml:space="preserve"> je zriadená zákonom č. 385/2008 Z. z. o Tlačovej agentúre Slovenskej republiky ako verejnoprávna, národná, nezávislá, informačná inštitúcia, ktorá poskytuje služby verejnosti v oblasti spravodajstva od 1. januára 2009. Medzi hlavné činnosti Tlačovej agentúry SR patrí vyhľadávanie, spracovávanie, uchovávanie a distribuovanie informácií z územia Slovenskej republiky o spoločenských, kultúrnych, hospodárskych, politických a športových udalostiach na celoštátnej, medzinárodnej ako aj na regionálnej úrovni, taktiež o športových udalostiach celosvetového významu, európskeho významu a regionálneho významu s dôrazom na udalosti týkajúce sa Slovenskej republiky a jeho občanov. V zmysle podmienok ustanovených zákonom o Tlačovej agentúre SR vydáva vo verejnom záujme vyhlásenia, stanoviská a oznámenia ústavných činiteľov, ústredných orgánov štátnej správy a ďalších orgánov verejnej moci, ako aj ďalších osôb, zhromažďuje a sprístupňuje informácie o činnosti, legislatívnom procese, rozhodnutiach a aktivitách orgánov Európskej únie.</w:t>
      </w:r>
    </w:p>
    <w:p w:rsidR="00F7633B" w:rsidRDefault="00F7633B" w:rsidP="00637878">
      <w:pPr>
        <w:tabs>
          <w:tab w:val="left" w:pos="6645"/>
        </w:tabs>
        <w:spacing w:after="0"/>
        <w:jc w:val="both"/>
        <w:rPr>
          <w:rFonts w:ascii="Times New Roman" w:hAnsi="Times New Roman" w:cs="Times New Roman"/>
          <w:bCs/>
          <w:sz w:val="24"/>
        </w:rPr>
      </w:pPr>
    </w:p>
    <w:p w:rsidR="00AA17E3" w:rsidRPr="001D29F5" w:rsidRDefault="00AA17E3" w:rsidP="00637878">
      <w:pPr>
        <w:tabs>
          <w:tab w:val="left" w:pos="6645"/>
        </w:tabs>
        <w:spacing w:after="0"/>
        <w:jc w:val="both"/>
        <w:rPr>
          <w:rFonts w:ascii="Times New Roman" w:hAnsi="Times New Roman" w:cs="Times New Roman"/>
          <w:bCs/>
          <w:sz w:val="24"/>
        </w:rPr>
      </w:pPr>
      <w:r w:rsidRPr="001D29F5">
        <w:rPr>
          <w:rFonts w:ascii="Times New Roman" w:hAnsi="Times New Roman" w:cs="Times New Roman"/>
          <w:bCs/>
          <w:sz w:val="24"/>
        </w:rPr>
        <w:t>Fond na podporu umenia je zriadený zákonom č. 284/2014 Z. z. o Fonde na podporu umenia a o zmene a doplnení zákona č. 434/2010 Z. z. o poskytovaní dotácií v pôsobnosti Ministerstva kultúry S</w:t>
      </w:r>
      <w:r w:rsidRPr="007418D6">
        <w:rPr>
          <w:rFonts w:ascii="Times New Roman" w:hAnsi="Times New Roman" w:cs="Times New Roman"/>
          <w:bCs/>
          <w:color w:val="000000" w:themeColor="text1"/>
          <w:sz w:val="24"/>
        </w:rPr>
        <w:t>R</w:t>
      </w:r>
      <w:r>
        <w:rPr>
          <w:rFonts w:ascii="Times New Roman" w:hAnsi="Times New Roman" w:cs="Times New Roman"/>
          <w:bCs/>
          <w:sz w:val="24"/>
        </w:rPr>
        <w:t xml:space="preserve"> </w:t>
      </w:r>
      <w:r w:rsidRPr="001D29F5">
        <w:rPr>
          <w:rFonts w:ascii="Times New Roman" w:hAnsi="Times New Roman" w:cs="Times New Roman"/>
          <w:bCs/>
          <w:sz w:val="24"/>
        </w:rPr>
        <w:t>v znení zákona č. 79/2013 Z. z., ako verejnoprávna inštitúcia, ktorej základným poslaním je poskytovanie finančných prostriedkov na podporu umeleckých aktivít, kultúry a kreatívneho priemyslu, ale aj utváranie materiálnych podmienok na ich verejnú prezentáciu a šírenie v slovenskom, ako aj medzinárodnom kultúrnom, či umeleckom kontexte. V rámci štruktúry podpornej činnosti sa verejnosti poskytuje podpora vo forme dotácií štipendií alebo pôžičky najmä na programy, či podprogramy - divadlo, tanec, hudba, vizuálne umenie, literatúra, medziodborové aktivity, tradičná kultúra, kultúrno-osvetová činnosť, knižnice, múzeá a galérie.</w:t>
      </w:r>
    </w:p>
    <w:p w:rsidR="00F7633B" w:rsidRDefault="00F7633B" w:rsidP="00F7633B">
      <w:pPr>
        <w:tabs>
          <w:tab w:val="left" w:pos="6645"/>
        </w:tabs>
        <w:spacing w:after="0"/>
        <w:jc w:val="both"/>
        <w:rPr>
          <w:rFonts w:ascii="Times New Roman" w:hAnsi="Times New Roman" w:cs="Times New Roman"/>
          <w:bCs/>
          <w:sz w:val="24"/>
        </w:rPr>
      </w:pPr>
    </w:p>
    <w:p w:rsidR="00AA17E3" w:rsidRPr="001D29F5" w:rsidRDefault="00AA17E3" w:rsidP="00F7633B">
      <w:pPr>
        <w:tabs>
          <w:tab w:val="left" w:pos="6645"/>
        </w:tabs>
        <w:spacing w:after="0"/>
        <w:jc w:val="both"/>
        <w:rPr>
          <w:rFonts w:ascii="Times New Roman" w:hAnsi="Times New Roman" w:cs="Times New Roman"/>
          <w:bCs/>
          <w:sz w:val="24"/>
        </w:rPr>
      </w:pPr>
      <w:r w:rsidRPr="001D29F5">
        <w:rPr>
          <w:rFonts w:ascii="Times New Roman" w:hAnsi="Times New Roman" w:cs="Times New Roman"/>
          <w:bCs/>
          <w:sz w:val="24"/>
        </w:rPr>
        <w:t>Dňom 1. januára 2009 vznikla verejnoprávna inštitúcia Audiovizuálny fond, zameraná na podporu a rozvoj audiovizuálnej kultúry a priemyslu zriadená zákonom č. 516/2008 Z. z. o Audiovizuálnom fonde a o zmene a doplnení niektorých zákonov. Audiovizuálny fond finančne podporuje vývoj, tvorbu a produkciu slovenských audiovizuálnych diel vrátane európskych koprodukcií, distribúciu, propagáciu a marketingovú podporu audiovizuálnych diel, prezentáciu slovenskej kinematografie v zahraničí, digitalizáciu kín a technologický rozvoj v audiovízii, filmové festivaly a prehliadky, výskum a vydávanie odbornej literatúry, vzdelávanie, workshopy a tréningy pre profesionálov v audiovízii. V nadväznosti na rozpočtované výdavky na rok 2021 sa v návrhu rozpočtu verejnej správy na rok 2022 pre Audiovizuálny fond rozpočtujú zvýšené výdavky vyplývajúce z novely vyššie citovaného zákona, ktorým sa upravuje zvýšenie percentuálneho podielu dotácie poskytovanej na podporu audiovizuálneho priemyslu z</w:t>
      </w:r>
      <w:r w:rsidR="00CD79A5">
        <w:rPr>
          <w:rFonts w:ascii="Times New Roman" w:hAnsi="Times New Roman" w:cs="Times New Roman"/>
          <w:bCs/>
          <w:sz w:val="24"/>
        </w:rPr>
        <w:t> </w:t>
      </w:r>
      <w:r w:rsidRPr="001D29F5">
        <w:rPr>
          <w:rFonts w:ascii="Times New Roman" w:hAnsi="Times New Roman" w:cs="Times New Roman"/>
          <w:bCs/>
          <w:sz w:val="24"/>
        </w:rPr>
        <w:t>20</w:t>
      </w:r>
      <w:r w:rsidR="00CD79A5">
        <w:rPr>
          <w:rFonts w:ascii="Times New Roman" w:hAnsi="Times New Roman" w:cs="Times New Roman"/>
          <w:bCs/>
          <w:sz w:val="24"/>
        </w:rPr>
        <w:t xml:space="preserve"> </w:t>
      </w:r>
      <w:r w:rsidRPr="001D29F5">
        <w:rPr>
          <w:rFonts w:ascii="Times New Roman" w:hAnsi="Times New Roman" w:cs="Times New Roman"/>
          <w:bCs/>
          <w:sz w:val="24"/>
        </w:rPr>
        <w:t>% oprávnených výdavkov na 33</w:t>
      </w:r>
      <w:r w:rsidR="00CD79A5">
        <w:rPr>
          <w:rFonts w:ascii="Times New Roman" w:hAnsi="Times New Roman" w:cs="Times New Roman"/>
          <w:bCs/>
          <w:sz w:val="24"/>
        </w:rPr>
        <w:t xml:space="preserve"> </w:t>
      </w:r>
      <w:r w:rsidRPr="001D29F5">
        <w:rPr>
          <w:rFonts w:ascii="Times New Roman" w:hAnsi="Times New Roman" w:cs="Times New Roman"/>
          <w:bCs/>
          <w:sz w:val="24"/>
        </w:rPr>
        <w:t>%.</w:t>
      </w:r>
    </w:p>
    <w:p w:rsidR="00F7633B" w:rsidRDefault="00F7633B" w:rsidP="00F7633B">
      <w:pPr>
        <w:tabs>
          <w:tab w:val="left" w:pos="6645"/>
        </w:tabs>
        <w:spacing w:after="0"/>
        <w:jc w:val="both"/>
        <w:rPr>
          <w:rFonts w:ascii="Times New Roman" w:hAnsi="Times New Roman" w:cs="Times New Roman"/>
          <w:bCs/>
          <w:sz w:val="24"/>
        </w:rPr>
      </w:pPr>
    </w:p>
    <w:p w:rsidR="00AA17E3" w:rsidRDefault="00AA17E3" w:rsidP="00F7633B">
      <w:pPr>
        <w:tabs>
          <w:tab w:val="left" w:pos="6645"/>
        </w:tabs>
        <w:spacing w:after="0"/>
        <w:jc w:val="both"/>
        <w:rPr>
          <w:rFonts w:ascii="Times New Roman" w:hAnsi="Times New Roman" w:cs="Times New Roman"/>
          <w:bCs/>
          <w:sz w:val="24"/>
        </w:rPr>
      </w:pPr>
      <w:r w:rsidRPr="001D29F5">
        <w:rPr>
          <w:rFonts w:ascii="Times New Roman" w:hAnsi="Times New Roman" w:cs="Times New Roman"/>
          <w:bCs/>
          <w:sz w:val="24"/>
        </w:rPr>
        <w:t>Fond na podporu kultúry národnostných menšín je zriadený zákonom č. 138/2017 Z. z. o Fonde na podpo</w:t>
      </w:r>
      <w:r w:rsidR="00CD79A5">
        <w:rPr>
          <w:rFonts w:ascii="Times New Roman" w:hAnsi="Times New Roman" w:cs="Times New Roman"/>
          <w:bCs/>
          <w:sz w:val="24"/>
        </w:rPr>
        <w:t>ru kultúry národnostných menšín</w:t>
      </w:r>
      <w:r w:rsidRPr="001D29F5">
        <w:rPr>
          <w:rFonts w:ascii="Times New Roman" w:hAnsi="Times New Roman" w:cs="Times New Roman"/>
          <w:bCs/>
          <w:sz w:val="24"/>
        </w:rPr>
        <w:t xml:space="preserve"> ako nezávislá verejnoprávna inštitúcia, ktorej poslaním je podporovať a stimulovať kultúru národnostných menšín. V rámci štruktúry podpornej činnosti poskytuje Fond na podporu kultúry národnostných menšín podporu vo forme dotácií a štipendií na</w:t>
      </w:r>
      <w:hyperlink r:id="rId86" w:anchor="program1" w:history="1">
        <w:r w:rsidRPr="001D29F5">
          <w:rPr>
            <w:rFonts w:ascii="Times New Roman" w:hAnsi="Times New Roman" w:cs="Times New Roman"/>
            <w:bCs/>
            <w:sz w:val="24"/>
          </w:rPr>
          <w:t xml:space="preserve"> kultúrno-osvetovú činnosť, vzdelávaciu činnosť, vedu a výskum</w:t>
        </w:r>
      </w:hyperlink>
      <w:r w:rsidRPr="001D29F5">
        <w:rPr>
          <w:rFonts w:ascii="Times New Roman" w:hAnsi="Times New Roman" w:cs="Times New Roman"/>
          <w:bCs/>
          <w:sz w:val="24"/>
        </w:rPr>
        <w:t xml:space="preserve">, na </w:t>
      </w:r>
      <w:hyperlink r:id="rId87" w:anchor="program2" w:history="1">
        <w:r w:rsidRPr="001D29F5">
          <w:rPr>
            <w:rFonts w:ascii="Times New Roman" w:hAnsi="Times New Roman" w:cs="Times New Roman"/>
            <w:bCs/>
            <w:sz w:val="24"/>
          </w:rPr>
          <w:t>literárnu, nakladateľskú a vydavateľskú činnosť</w:t>
        </w:r>
      </w:hyperlink>
      <w:r w:rsidRPr="001D29F5">
        <w:rPr>
          <w:rFonts w:ascii="Times New Roman" w:hAnsi="Times New Roman" w:cs="Times New Roman"/>
          <w:bCs/>
          <w:sz w:val="24"/>
        </w:rPr>
        <w:t xml:space="preserve">, na </w:t>
      </w:r>
      <w:hyperlink r:id="rId88" w:anchor="program3" w:history="1">
        <w:r w:rsidRPr="001D29F5">
          <w:rPr>
            <w:rFonts w:ascii="Times New Roman" w:hAnsi="Times New Roman" w:cs="Times New Roman"/>
            <w:bCs/>
            <w:sz w:val="24"/>
          </w:rPr>
          <w:t>podporu divadelného, hudobného, tanečného, výtvarného a audiovizuálneho umenia, na </w:t>
        </w:r>
      </w:hyperlink>
      <w:hyperlink r:id="rId89" w:anchor="program4" w:history="1">
        <w:r w:rsidRPr="001D29F5">
          <w:rPr>
            <w:rFonts w:ascii="Times New Roman" w:hAnsi="Times New Roman" w:cs="Times New Roman"/>
            <w:bCs/>
            <w:sz w:val="24"/>
          </w:rPr>
          <w:t>zabezpečenia interkultúrneho dialógu a porozumenia medzi občanmi slovenskej národnosti a občanmi patriacimi k národnostným menšinám a etnickým skupinám</w:t>
        </w:r>
      </w:hyperlink>
      <w:r w:rsidRPr="001D29F5">
        <w:rPr>
          <w:rFonts w:ascii="Times New Roman" w:hAnsi="Times New Roman" w:cs="Times New Roman"/>
          <w:bCs/>
          <w:sz w:val="24"/>
        </w:rPr>
        <w:t>.</w:t>
      </w:r>
    </w:p>
    <w:p w:rsidR="00F7633B" w:rsidRPr="001D29F5" w:rsidRDefault="00F7633B" w:rsidP="00F7633B">
      <w:pPr>
        <w:tabs>
          <w:tab w:val="left" w:pos="6645"/>
        </w:tabs>
        <w:spacing w:after="0"/>
        <w:jc w:val="both"/>
        <w:rPr>
          <w:rFonts w:ascii="Times New Roman" w:hAnsi="Times New Roman" w:cs="Times New Roman"/>
          <w:bCs/>
          <w:sz w:val="24"/>
        </w:rPr>
      </w:pPr>
    </w:p>
    <w:p w:rsidR="00AA17E3" w:rsidRDefault="00AA17E3" w:rsidP="00F7633B">
      <w:pPr>
        <w:tabs>
          <w:tab w:val="left" w:pos="6645"/>
        </w:tabs>
        <w:spacing w:after="0"/>
        <w:jc w:val="both"/>
        <w:rPr>
          <w:rFonts w:ascii="Times New Roman" w:hAnsi="Times New Roman" w:cs="Times New Roman"/>
          <w:b/>
          <w:bCs/>
          <w:color w:val="5B9BD5"/>
          <w:sz w:val="24"/>
        </w:rPr>
      </w:pPr>
      <w:r w:rsidRPr="0010618B">
        <w:rPr>
          <w:rFonts w:ascii="Times New Roman" w:hAnsi="Times New Roman" w:cs="Times New Roman"/>
          <w:b/>
          <w:color w:val="5B9BD5"/>
          <w:sz w:val="24"/>
        </w:rPr>
        <w:t>Finančná podpora činnosti</w:t>
      </w:r>
      <w:r w:rsidRPr="0010618B">
        <w:rPr>
          <w:rFonts w:ascii="Times New Roman" w:hAnsi="Times New Roman" w:cs="Times New Roman"/>
          <w:color w:val="5B9BD5"/>
          <w:sz w:val="24"/>
        </w:rPr>
        <w:t xml:space="preserve"> </w:t>
      </w:r>
      <w:r w:rsidRPr="0010618B">
        <w:rPr>
          <w:rFonts w:ascii="Times New Roman" w:hAnsi="Times New Roman" w:cs="Times New Roman"/>
          <w:b/>
          <w:bCs/>
          <w:color w:val="5B9BD5"/>
          <w:sz w:val="24"/>
        </w:rPr>
        <w:t>cirkví a náboženských spoločností</w:t>
      </w:r>
    </w:p>
    <w:p w:rsidR="00F7633B" w:rsidRPr="0010618B" w:rsidRDefault="00F7633B" w:rsidP="00F7633B">
      <w:pPr>
        <w:tabs>
          <w:tab w:val="left" w:pos="6645"/>
        </w:tabs>
        <w:spacing w:after="0"/>
        <w:jc w:val="both"/>
        <w:rPr>
          <w:rFonts w:ascii="Times New Roman" w:hAnsi="Times New Roman" w:cs="Times New Roman"/>
          <w:i/>
          <w:iCs/>
          <w:color w:val="5B9BD5"/>
          <w:sz w:val="24"/>
        </w:rPr>
      </w:pPr>
    </w:p>
    <w:p w:rsidR="00AA17E3" w:rsidRPr="0010618B" w:rsidRDefault="00AA17E3" w:rsidP="00F7633B">
      <w:pPr>
        <w:spacing w:after="0"/>
        <w:jc w:val="both"/>
        <w:rPr>
          <w:rFonts w:ascii="Times New Roman" w:hAnsi="Times New Roman" w:cs="Times New Roman"/>
          <w:sz w:val="24"/>
        </w:rPr>
      </w:pPr>
      <w:r w:rsidRPr="0010618B">
        <w:rPr>
          <w:rFonts w:ascii="Times New Roman" w:hAnsi="Times New Roman" w:cs="Times New Roman"/>
          <w:sz w:val="24"/>
        </w:rPr>
        <w:t xml:space="preserve">Finančnú podporu činnosti registrovaných </w:t>
      </w:r>
      <w:r w:rsidRPr="0010618B">
        <w:rPr>
          <w:rFonts w:ascii="Times New Roman" w:hAnsi="Times New Roman" w:cs="Times New Roman"/>
          <w:bCs/>
          <w:sz w:val="24"/>
        </w:rPr>
        <w:t>cirkví a náboženských spoločností</w:t>
      </w:r>
      <w:r w:rsidRPr="0010618B">
        <w:rPr>
          <w:rFonts w:ascii="Times New Roman" w:hAnsi="Times New Roman" w:cs="Times New Roman"/>
          <w:sz w:val="24"/>
        </w:rPr>
        <w:t xml:space="preserve"> upravuje zákon č. 370/2019 Z. z. o finančnej podpore činnosti cirkví a náboženských spoločností s účinnosťou od 1.</w:t>
      </w:r>
      <w:r>
        <w:rPr>
          <w:rFonts w:ascii="Times New Roman" w:hAnsi="Times New Roman" w:cs="Times New Roman"/>
          <w:sz w:val="24"/>
        </w:rPr>
        <w:t xml:space="preserve"> </w:t>
      </w:r>
      <w:r w:rsidRPr="0010618B">
        <w:rPr>
          <w:rFonts w:ascii="Times New Roman" w:hAnsi="Times New Roman" w:cs="Times New Roman"/>
          <w:sz w:val="24"/>
        </w:rPr>
        <w:t>1.</w:t>
      </w:r>
      <w:r>
        <w:rPr>
          <w:rFonts w:ascii="Times New Roman" w:hAnsi="Times New Roman" w:cs="Times New Roman"/>
          <w:sz w:val="24"/>
        </w:rPr>
        <w:t xml:space="preserve"> </w:t>
      </w:r>
      <w:r w:rsidRPr="0010618B">
        <w:rPr>
          <w:rFonts w:ascii="Times New Roman" w:hAnsi="Times New Roman" w:cs="Times New Roman"/>
          <w:sz w:val="24"/>
        </w:rPr>
        <w:t>2020. Cirkvi môžu použiť príspevok štátu napríklad na financovanie výdavkov súvisiacich s bohoslužobnou, výchovnou, charitatívnou a kultúrnou činnosťou cirkvi vrátane mzdových a prevádzkových nákladov.</w:t>
      </w:r>
    </w:p>
    <w:p w:rsidR="00AA17E3" w:rsidRDefault="00AA17E3" w:rsidP="00AA17E3">
      <w:pPr>
        <w:spacing w:after="0"/>
        <w:jc w:val="both"/>
        <w:rPr>
          <w:rFonts w:ascii="Times New Roman" w:hAnsi="Times New Roman" w:cs="Times New Roman"/>
          <w:sz w:val="24"/>
          <w:highlight w:val="yellow"/>
        </w:rPr>
      </w:pPr>
    </w:p>
    <w:p w:rsidR="00F7633B" w:rsidRDefault="00AA17E3" w:rsidP="001D6A9B">
      <w:pPr>
        <w:pStyle w:val="Nadpis2"/>
        <w:spacing w:before="0" w:after="0"/>
        <w:rPr>
          <w:rFonts w:ascii="Times New Roman" w:hAnsi="Times New Roman"/>
          <w:i w:val="0"/>
          <w:color w:val="5B9BD5" w:themeColor="accent1"/>
          <w:kern w:val="32"/>
          <w:sz w:val="24"/>
          <w:szCs w:val="24"/>
        </w:rPr>
      </w:pPr>
      <w:bookmarkStart w:id="620" w:name="_Toc53062625"/>
      <w:bookmarkStart w:id="621" w:name="_Toc53084683"/>
      <w:bookmarkStart w:id="622" w:name="_Toc84528348"/>
      <w:bookmarkStart w:id="623" w:name="_Toc84684771"/>
      <w:r w:rsidRPr="0078257F">
        <w:rPr>
          <w:rFonts w:ascii="Times New Roman" w:hAnsi="Times New Roman"/>
          <w:i w:val="0"/>
          <w:color w:val="5B9BD5" w:themeColor="accent1"/>
          <w:kern w:val="32"/>
          <w:sz w:val="24"/>
          <w:szCs w:val="24"/>
        </w:rPr>
        <w:t>4.15. Verejné služby</w:t>
      </w:r>
      <w:bookmarkEnd w:id="620"/>
      <w:bookmarkEnd w:id="621"/>
      <w:bookmarkEnd w:id="622"/>
      <w:bookmarkEnd w:id="623"/>
    </w:p>
    <w:p w:rsidR="00F7633B" w:rsidRPr="00F7633B" w:rsidRDefault="00F7633B" w:rsidP="001D6A9B">
      <w:pPr>
        <w:spacing w:after="0"/>
        <w:rPr>
          <w:lang w:eastAsia="cs-CZ"/>
        </w:rPr>
      </w:pPr>
    </w:p>
    <w:p w:rsidR="00AA17E3" w:rsidRDefault="00AA17E3" w:rsidP="001D6A9B">
      <w:pPr>
        <w:spacing w:after="0"/>
        <w:jc w:val="both"/>
        <w:rPr>
          <w:rFonts w:ascii="Times New Roman" w:hAnsi="Times New Roman" w:cs="Times New Roman"/>
          <w:sz w:val="24"/>
          <w:lang w:eastAsia="cs-CZ"/>
        </w:rPr>
      </w:pPr>
      <w:r w:rsidRPr="00684F57">
        <w:rPr>
          <w:rFonts w:ascii="Times New Roman" w:hAnsi="Times New Roman" w:cs="Times New Roman"/>
          <w:sz w:val="24"/>
          <w:lang w:eastAsia="cs-CZ"/>
        </w:rPr>
        <w:t xml:space="preserve">Verejné služby sú občanom poskytované </w:t>
      </w:r>
      <w:r w:rsidR="00CD79A5">
        <w:rPr>
          <w:rFonts w:ascii="Times New Roman" w:hAnsi="Times New Roman" w:cs="Times New Roman"/>
          <w:sz w:val="24"/>
          <w:lang w:eastAsia="cs-CZ"/>
        </w:rPr>
        <w:t>z verejných financií buď priamo</w:t>
      </w:r>
      <w:r w:rsidRPr="00684F57">
        <w:rPr>
          <w:rFonts w:ascii="Times New Roman" w:hAnsi="Times New Roman" w:cs="Times New Roman"/>
          <w:sz w:val="24"/>
          <w:lang w:eastAsia="cs-CZ"/>
        </w:rPr>
        <w:t xml:space="preserve"> alebo prenesením na iný subjekt či organizáciu (napr. obec či dopravný podnik). Samosprávu realizujú obce a vyššie územné celky, ktoré vykonávajú prenesené funkcie štátu, ale majú aj vlastné kompetencie.</w:t>
      </w:r>
      <w:r w:rsidRPr="007A44E3">
        <w:rPr>
          <w:rFonts w:ascii="Times New Roman" w:hAnsi="Times New Roman" w:cs="Times New Roman"/>
          <w:sz w:val="24"/>
          <w:lang w:eastAsia="cs-CZ"/>
        </w:rPr>
        <w:t xml:space="preserve"> </w:t>
      </w:r>
      <w:r w:rsidRPr="00684F57">
        <w:rPr>
          <w:rFonts w:ascii="Times New Roman" w:hAnsi="Times New Roman" w:cs="Times New Roman"/>
          <w:sz w:val="24"/>
          <w:lang w:eastAsia="cs-CZ"/>
        </w:rPr>
        <w:t xml:space="preserve">Z rozpočtu verejných služieb sú </w:t>
      </w:r>
      <w:r>
        <w:rPr>
          <w:rFonts w:ascii="Times New Roman" w:hAnsi="Times New Roman" w:cs="Times New Roman"/>
          <w:sz w:val="24"/>
          <w:lang w:eastAsia="cs-CZ"/>
        </w:rPr>
        <w:t xml:space="preserve">tiež </w:t>
      </w:r>
      <w:r w:rsidRPr="00684F57">
        <w:rPr>
          <w:rFonts w:ascii="Times New Roman" w:hAnsi="Times New Roman" w:cs="Times New Roman"/>
          <w:sz w:val="24"/>
          <w:lang w:eastAsia="cs-CZ"/>
        </w:rPr>
        <w:t>financované výkonné a zákonodarné orgány, zahran</w:t>
      </w:r>
      <w:r>
        <w:rPr>
          <w:rFonts w:ascii="Times New Roman" w:hAnsi="Times New Roman" w:cs="Times New Roman"/>
          <w:sz w:val="24"/>
          <w:lang w:eastAsia="cs-CZ"/>
        </w:rPr>
        <w:t xml:space="preserve">ičné vzťahy a zahraničná pomoc a </w:t>
      </w:r>
      <w:r w:rsidRPr="00684F57">
        <w:rPr>
          <w:rFonts w:ascii="Times New Roman" w:hAnsi="Times New Roman" w:cs="Times New Roman"/>
          <w:sz w:val="24"/>
          <w:lang w:eastAsia="cs-CZ"/>
        </w:rPr>
        <w:t>miestna štátna správa. Miestna štátna správa predstavuje výkon funkcií štátu v regiónoch, najmä prostredníctvom okresných úradov.</w:t>
      </w:r>
      <w:r>
        <w:rPr>
          <w:rFonts w:ascii="Times New Roman" w:hAnsi="Times New Roman" w:cs="Times New Roman"/>
          <w:sz w:val="24"/>
          <w:lang w:eastAsia="cs-CZ"/>
        </w:rPr>
        <w:t xml:space="preserve"> </w:t>
      </w:r>
    </w:p>
    <w:p w:rsidR="00F7633B" w:rsidRPr="00F7633B" w:rsidRDefault="00F7633B" w:rsidP="00F7633B">
      <w:pPr>
        <w:spacing w:after="0"/>
        <w:jc w:val="both"/>
        <w:rPr>
          <w:rFonts w:ascii="Times New Roman" w:hAnsi="Times New Roman" w:cs="Times New Roman"/>
          <w:sz w:val="24"/>
          <w:lang w:eastAsia="cs-CZ"/>
        </w:rPr>
      </w:pPr>
    </w:p>
    <w:tbl>
      <w:tblPr>
        <w:tblpPr w:leftFromText="141" w:rightFromText="141" w:vertAnchor="text" w:horzAnchor="margin" w:tblpY="253"/>
        <w:tblW w:w="5000" w:type="pct"/>
        <w:tblCellMar>
          <w:left w:w="70" w:type="dxa"/>
          <w:right w:w="70" w:type="dxa"/>
        </w:tblCellMar>
        <w:tblLook w:val="04A0" w:firstRow="1" w:lastRow="0" w:firstColumn="1" w:lastColumn="0" w:noHBand="0" w:noVBand="1"/>
      </w:tblPr>
      <w:tblGrid>
        <w:gridCol w:w="2748"/>
        <w:gridCol w:w="903"/>
        <w:gridCol w:w="903"/>
        <w:gridCol w:w="904"/>
        <w:gridCol w:w="904"/>
        <w:gridCol w:w="904"/>
        <w:gridCol w:w="904"/>
        <w:gridCol w:w="902"/>
      </w:tblGrid>
      <w:tr w:rsidR="00AA17E3" w:rsidRPr="009363BF" w:rsidTr="00AA17E3">
        <w:trPr>
          <w:trHeight w:val="300"/>
        </w:trPr>
        <w:tc>
          <w:tcPr>
            <w:tcW w:w="1515" w:type="pct"/>
            <w:tcBorders>
              <w:top w:val="single" w:sz="4" w:space="0" w:color="auto"/>
              <w:left w:val="nil"/>
              <w:bottom w:val="single" w:sz="4" w:space="0" w:color="auto"/>
              <w:right w:val="nil"/>
            </w:tcBorders>
            <w:shd w:val="clear" w:color="auto" w:fill="auto"/>
            <w:noWrap/>
            <w:vAlign w:val="center"/>
            <w:hideMark/>
          </w:tcPr>
          <w:p w:rsidR="00AA17E3" w:rsidRPr="009363BF" w:rsidRDefault="00AA17E3" w:rsidP="00F7633B">
            <w:pPr>
              <w:spacing w:after="0"/>
              <w:rPr>
                <w:rFonts w:ascii="Times New Roman" w:hAnsi="Times New Roman"/>
                <w:b/>
                <w:bCs/>
                <w:color w:val="000000"/>
                <w:sz w:val="16"/>
                <w:szCs w:val="16"/>
                <w:lang w:eastAsia="sk-SK"/>
              </w:rPr>
            </w:pPr>
            <w:r w:rsidRPr="009363BF">
              <w:rPr>
                <w:rFonts w:ascii="Times New Roman" w:hAnsi="Times New Roman"/>
                <w:b/>
                <w:bCs/>
                <w:color w:val="000000"/>
                <w:sz w:val="16"/>
                <w:szCs w:val="16"/>
                <w:lang w:eastAsia="sk-SK"/>
              </w:rPr>
              <w:t>v tis. eur</w:t>
            </w:r>
          </w:p>
        </w:tc>
        <w:tc>
          <w:tcPr>
            <w:tcW w:w="498"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2019</w:t>
            </w:r>
            <w:r w:rsidRPr="00A2768A">
              <w:rPr>
                <w:rFonts w:ascii="Times New Roman" w:hAnsi="Times New Roman"/>
                <w:b/>
                <w:bCs/>
                <w:color w:val="000000"/>
                <w:sz w:val="16"/>
                <w:szCs w:val="16"/>
                <w:lang w:eastAsia="sk-SK"/>
              </w:rPr>
              <w:t xml:space="preserve"> S</w:t>
            </w:r>
          </w:p>
        </w:tc>
        <w:tc>
          <w:tcPr>
            <w:tcW w:w="498"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w:t>
            </w:r>
            <w:r>
              <w:rPr>
                <w:rFonts w:ascii="Times New Roman" w:hAnsi="Times New Roman"/>
                <w:b/>
                <w:bCs/>
                <w:color w:val="000000"/>
                <w:sz w:val="16"/>
                <w:szCs w:val="16"/>
                <w:lang w:eastAsia="sk-SK"/>
              </w:rPr>
              <w:t>20</w:t>
            </w:r>
            <w:r w:rsidRPr="00A2768A">
              <w:rPr>
                <w:rFonts w:ascii="Times New Roman" w:hAnsi="Times New Roman"/>
                <w:b/>
                <w:bCs/>
                <w:color w:val="000000"/>
                <w:sz w:val="16"/>
                <w:szCs w:val="16"/>
                <w:lang w:eastAsia="sk-SK"/>
              </w:rPr>
              <w:t xml:space="preserve"> S</w:t>
            </w:r>
          </w:p>
        </w:tc>
        <w:tc>
          <w:tcPr>
            <w:tcW w:w="498"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1</w:t>
            </w:r>
            <w:r w:rsidRPr="00A2768A">
              <w:rPr>
                <w:rFonts w:ascii="Times New Roman" w:hAnsi="Times New Roman"/>
                <w:b/>
                <w:bCs/>
                <w:color w:val="000000"/>
                <w:sz w:val="16"/>
                <w:szCs w:val="16"/>
                <w:lang w:eastAsia="sk-SK"/>
              </w:rPr>
              <w:t xml:space="preserve"> R</w:t>
            </w:r>
          </w:p>
        </w:tc>
        <w:tc>
          <w:tcPr>
            <w:tcW w:w="498"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2021</w:t>
            </w:r>
            <w:r w:rsidRPr="00A2768A">
              <w:rPr>
                <w:rFonts w:ascii="Times New Roman" w:hAnsi="Times New Roman"/>
                <w:b/>
                <w:bCs/>
                <w:color w:val="000000"/>
                <w:sz w:val="16"/>
                <w:szCs w:val="16"/>
                <w:lang w:eastAsia="sk-SK"/>
              </w:rPr>
              <w:t xml:space="preserve"> OS</w:t>
            </w:r>
          </w:p>
        </w:tc>
        <w:tc>
          <w:tcPr>
            <w:tcW w:w="498"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2</w:t>
            </w:r>
            <w:r w:rsidRPr="00A2768A">
              <w:rPr>
                <w:rFonts w:ascii="Times New Roman" w:hAnsi="Times New Roman"/>
                <w:b/>
                <w:bCs/>
                <w:color w:val="000000"/>
                <w:sz w:val="16"/>
                <w:szCs w:val="16"/>
                <w:lang w:eastAsia="sk-SK"/>
              </w:rPr>
              <w:t xml:space="preserve"> N</w:t>
            </w:r>
          </w:p>
        </w:tc>
        <w:tc>
          <w:tcPr>
            <w:tcW w:w="498"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3</w:t>
            </w:r>
            <w:r w:rsidRPr="00A2768A">
              <w:rPr>
                <w:rFonts w:ascii="Times New Roman" w:hAnsi="Times New Roman"/>
                <w:b/>
                <w:bCs/>
                <w:color w:val="000000"/>
                <w:sz w:val="16"/>
                <w:szCs w:val="16"/>
                <w:lang w:eastAsia="sk-SK"/>
              </w:rPr>
              <w:t xml:space="preserve"> N</w:t>
            </w:r>
          </w:p>
        </w:tc>
        <w:tc>
          <w:tcPr>
            <w:tcW w:w="497"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4</w:t>
            </w:r>
            <w:r w:rsidRPr="00A2768A">
              <w:rPr>
                <w:rFonts w:ascii="Times New Roman" w:hAnsi="Times New Roman"/>
                <w:b/>
                <w:bCs/>
                <w:color w:val="000000"/>
                <w:sz w:val="16"/>
                <w:szCs w:val="16"/>
                <w:lang w:eastAsia="sk-SK"/>
              </w:rPr>
              <w:t xml:space="preserve"> N</w:t>
            </w:r>
          </w:p>
        </w:tc>
      </w:tr>
      <w:tr w:rsidR="00AA17E3" w:rsidRPr="009363BF" w:rsidTr="00AA17E3">
        <w:trPr>
          <w:trHeight w:val="300"/>
        </w:trPr>
        <w:tc>
          <w:tcPr>
            <w:tcW w:w="1515" w:type="pct"/>
            <w:tcBorders>
              <w:top w:val="nil"/>
              <w:left w:val="nil"/>
              <w:right w:val="nil"/>
            </w:tcBorders>
            <w:shd w:val="clear" w:color="auto" w:fill="auto"/>
            <w:noWrap/>
            <w:vAlign w:val="center"/>
            <w:hideMark/>
          </w:tcPr>
          <w:p w:rsidR="00AA17E3" w:rsidRPr="009363BF" w:rsidRDefault="00AA17E3" w:rsidP="00F7633B">
            <w:pPr>
              <w:spacing w:after="0"/>
              <w:rPr>
                <w:rFonts w:ascii="Times New Roman" w:hAnsi="Times New Roman"/>
                <w:b/>
                <w:bCs/>
                <w:color w:val="000000"/>
                <w:sz w:val="16"/>
                <w:szCs w:val="16"/>
                <w:lang w:eastAsia="sk-SK"/>
              </w:rPr>
            </w:pPr>
            <w:r w:rsidRPr="009363BF">
              <w:rPr>
                <w:rFonts w:ascii="Times New Roman" w:hAnsi="Times New Roman"/>
                <w:b/>
                <w:bCs/>
                <w:color w:val="000000"/>
                <w:sz w:val="16"/>
                <w:szCs w:val="16"/>
                <w:lang w:eastAsia="sk-SK"/>
              </w:rPr>
              <w:t>Verejné služby spolu</w:t>
            </w:r>
          </w:p>
        </w:tc>
        <w:tc>
          <w:tcPr>
            <w:tcW w:w="498" w:type="pct"/>
            <w:tcBorders>
              <w:top w:val="nil"/>
              <w:left w:val="nil"/>
              <w:right w:val="nil"/>
            </w:tcBorders>
            <w:shd w:val="clear" w:color="auto" w:fill="auto"/>
            <w:vAlign w:val="center"/>
            <w:hideMark/>
          </w:tcPr>
          <w:p w:rsidR="00AA17E3" w:rsidRPr="007A63D1" w:rsidRDefault="00AA17E3" w:rsidP="00F7633B">
            <w:pPr>
              <w:spacing w:after="0"/>
              <w:jc w:val="right"/>
              <w:rPr>
                <w:rFonts w:ascii="Times New Roman" w:hAnsi="Times New Roman" w:cs="Times New Roman"/>
                <w:b/>
                <w:bCs/>
                <w:color w:val="000000"/>
                <w:sz w:val="16"/>
                <w:szCs w:val="16"/>
              </w:rPr>
            </w:pPr>
            <w:r w:rsidRPr="007A63D1">
              <w:rPr>
                <w:rFonts w:ascii="Times New Roman" w:hAnsi="Times New Roman" w:cs="Times New Roman"/>
                <w:b/>
                <w:bCs/>
                <w:color w:val="000000"/>
                <w:sz w:val="16"/>
                <w:szCs w:val="16"/>
              </w:rPr>
              <w:t>7 611 303</w:t>
            </w:r>
          </w:p>
        </w:tc>
        <w:tc>
          <w:tcPr>
            <w:tcW w:w="498" w:type="pct"/>
            <w:tcBorders>
              <w:top w:val="nil"/>
              <w:left w:val="nil"/>
              <w:right w:val="nil"/>
            </w:tcBorders>
            <w:shd w:val="clear" w:color="auto" w:fill="auto"/>
            <w:vAlign w:val="center"/>
            <w:hideMark/>
          </w:tcPr>
          <w:p w:rsidR="00AA17E3" w:rsidRPr="007A63D1" w:rsidRDefault="00AA17E3" w:rsidP="00F7633B">
            <w:pPr>
              <w:spacing w:after="0"/>
              <w:jc w:val="right"/>
              <w:rPr>
                <w:rFonts w:ascii="Times New Roman" w:hAnsi="Times New Roman" w:cs="Times New Roman"/>
                <w:b/>
                <w:bCs/>
                <w:color w:val="000000"/>
                <w:sz w:val="16"/>
                <w:szCs w:val="16"/>
              </w:rPr>
            </w:pPr>
            <w:r w:rsidRPr="007A63D1">
              <w:rPr>
                <w:rFonts w:ascii="Times New Roman" w:hAnsi="Times New Roman" w:cs="Times New Roman"/>
                <w:b/>
                <w:bCs/>
                <w:color w:val="000000"/>
                <w:sz w:val="16"/>
                <w:szCs w:val="16"/>
              </w:rPr>
              <w:t>7 850 076</w:t>
            </w:r>
          </w:p>
        </w:tc>
        <w:tc>
          <w:tcPr>
            <w:tcW w:w="498" w:type="pct"/>
            <w:tcBorders>
              <w:top w:val="nil"/>
              <w:left w:val="nil"/>
              <w:right w:val="nil"/>
            </w:tcBorders>
            <w:shd w:val="clear" w:color="auto" w:fill="auto"/>
            <w:vAlign w:val="center"/>
            <w:hideMark/>
          </w:tcPr>
          <w:p w:rsidR="00AA17E3" w:rsidRPr="007A63D1" w:rsidRDefault="001D6A9B" w:rsidP="00F7633B">
            <w:pPr>
              <w:spacing w:after="0"/>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7 799 107</w:t>
            </w:r>
          </w:p>
        </w:tc>
        <w:tc>
          <w:tcPr>
            <w:tcW w:w="498" w:type="pct"/>
            <w:tcBorders>
              <w:top w:val="nil"/>
              <w:left w:val="nil"/>
              <w:right w:val="nil"/>
            </w:tcBorders>
            <w:shd w:val="clear" w:color="auto" w:fill="auto"/>
            <w:vAlign w:val="center"/>
            <w:hideMark/>
          </w:tcPr>
          <w:p w:rsidR="00AA17E3" w:rsidRPr="007A63D1" w:rsidRDefault="001D6A9B" w:rsidP="00F7633B">
            <w:pPr>
              <w:spacing w:after="0"/>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8 123 917</w:t>
            </w:r>
          </w:p>
        </w:tc>
        <w:tc>
          <w:tcPr>
            <w:tcW w:w="498" w:type="pct"/>
            <w:tcBorders>
              <w:top w:val="nil"/>
              <w:left w:val="nil"/>
              <w:right w:val="nil"/>
            </w:tcBorders>
            <w:shd w:val="clear" w:color="auto" w:fill="auto"/>
            <w:vAlign w:val="center"/>
            <w:hideMark/>
          </w:tcPr>
          <w:p w:rsidR="00AA17E3" w:rsidRPr="00F62A67" w:rsidRDefault="00F84C3C" w:rsidP="00F7633B">
            <w:pPr>
              <w:spacing w:after="0"/>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8 261 942</w:t>
            </w:r>
          </w:p>
        </w:tc>
        <w:tc>
          <w:tcPr>
            <w:tcW w:w="498" w:type="pct"/>
            <w:tcBorders>
              <w:top w:val="nil"/>
              <w:left w:val="nil"/>
              <w:right w:val="nil"/>
            </w:tcBorders>
            <w:shd w:val="clear" w:color="auto" w:fill="auto"/>
            <w:vAlign w:val="center"/>
            <w:hideMark/>
          </w:tcPr>
          <w:p w:rsidR="00AA17E3" w:rsidRPr="00F62A67" w:rsidRDefault="00F84C3C" w:rsidP="00F7633B">
            <w:pPr>
              <w:spacing w:after="0"/>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8 345 131</w:t>
            </w:r>
          </w:p>
        </w:tc>
        <w:tc>
          <w:tcPr>
            <w:tcW w:w="497" w:type="pct"/>
            <w:tcBorders>
              <w:top w:val="nil"/>
              <w:left w:val="nil"/>
              <w:right w:val="nil"/>
            </w:tcBorders>
            <w:shd w:val="clear" w:color="auto" w:fill="auto"/>
            <w:vAlign w:val="center"/>
            <w:hideMark/>
          </w:tcPr>
          <w:p w:rsidR="00AA17E3" w:rsidRPr="00F62A67" w:rsidRDefault="00F84C3C" w:rsidP="00F7633B">
            <w:pPr>
              <w:spacing w:after="0"/>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8 506 424</w:t>
            </w:r>
          </w:p>
        </w:tc>
      </w:tr>
      <w:tr w:rsidR="00AA17E3" w:rsidRPr="009363BF" w:rsidTr="00AA17E3">
        <w:trPr>
          <w:trHeight w:val="300"/>
        </w:trPr>
        <w:tc>
          <w:tcPr>
            <w:tcW w:w="1515" w:type="pct"/>
            <w:tcBorders>
              <w:top w:val="nil"/>
              <w:left w:val="nil"/>
              <w:right w:val="nil"/>
            </w:tcBorders>
            <w:shd w:val="clear" w:color="auto" w:fill="auto"/>
            <w:noWrap/>
            <w:vAlign w:val="bottom"/>
          </w:tcPr>
          <w:p w:rsidR="00AA17E3" w:rsidRPr="009363BF" w:rsidRDefault="00AA17E3" w:rsidP="00F7633B">
            <w:pPr>
              <w:spacing w:after="0"/>
              <w:rPr>
                <w:rFonts w:ascii="Times New Roman" w:hAnsi="Times New Roman"/>
                <w:b/>
                <w:bCs/>
                <w:color w:val="000000"/>
                <w:sz w:val="16"/>
                <w:szCs w:val="16"/>
                <w:lang w:eastAsia="sk-SK"/>
              </w:rPr>
            </w:pPr>
            <w:r w:rsidRPr="009363BF">
              <w:rPr>
                <w:rFonts w:ascii="Times New Roman" w:hAnsi="Times New Roman"/>
                <w:color w:val="000000"/>
                <w:sz w:val="16"/>
                <w:szCs w:val="16"/>
                <w:lang w:eastAsia="sk-SK"/>
              </w:rPr>
              <w:t>Samospráva</w:t>
            </w:r>
          </w:p>
        </w:tc>
        <w:tc>
          <w:tcPr>
            <w:tcW w:w="498" w:type="pct"/>
            <w:tcBorders>
              <w:top w:val="nil"/>
              <w:left w:val="nil"/>
              <w:right w:val="nil"/>
            </w:tcBorders>
            <w:shd w:val="clear" w:color="auto" w:fill="auto"/>
            <w:vAlign w:val="bottom"/>
          </w:tcPr>
          <w:p w:rsidR="00AA17E3" w:rsidRPr="007A63D1" w:rsidRDefault="00AA17E3" w:rsidP="00F7633B">
            <w:pPr>
              <w:spacing w:after="0"/>
              <w:jc w:val="right"/>
              <w:rPr>
                <w:rFonts w:ascii="Times New Roman" w:hAnsi="Times New Roman" w:cs="Times New Roman"/>
                <w:b/>
                <w:bCs/>
                <w:color w:val="000000"/>
                <w:sz w:val="16"/>
                <w:szCs w:val="16"/>
              </w:rPr>
            </w:pPr>
            <w:r w:rsidRPr="007A63D1">
              <w:rPr>
                <w:rFonts w:ascii="Times New Roman" w:hAnsi="Times New Roman" w:cs="Times New Roman"/>
                <w:color w:val="000000"/>
                <w:sz w:val="16"/>
                <w:szCs w:val="16"/>
              </w:rPr>
              <w:t>7 092 816</w:t>
            </w:r>
          </w:p>
        </w:tc>
        <w:tc>
          <w:tcPr>
            <w:tcW w:w="498" w:type="pct"/>
            <w:tcBorders>
              <w:top w:val="nil"/>
              <w:left w:val="nil"/>
              <w:right w:val="nil"/>
            </w:tcBorders>
            <w:shd w:val="clear" w:color="auto" w:fill="auto"/>
            <w:vAlign w:val="bottom"/>
          </w:tcPr>
          <w:p w:rsidR="00AA17E3" w:rsidRPr="007A63D1" w:rsidRDefault="00AA17E3" w:rsidP="00F7633B">
            <w:pPr>
              <w:spacing w:after="0"/>
              <w:jc w:val="right"/>
              <w:rPr>
                <w:rFonts w:ascii="Times New Roman" w:hAnsi="Times New Roman" w:cs="Times New Roman"/>
                <w:b/>
                <w:bCs/>
                <w:color w:val="000000"/>
                <w:sz w:val="16"/>
                <w:szCs w:val="16"/>
              </w:rPr>
            </w:pPr>
            <w:r w:rsidRPr="007A63D1">
              <w:rPr>
                <w:rFonts w:ascii="Times New Roman" w:hAnsi="Times New Roman" w:cs="Times New Roman"/>
                <w:color w:val="000000"/>
                <w:sz w:val="16"/>
                <w:szCs w:val="16"/>
              </w:rPr>
              <w:t>7 340 735</w:t>
            </w:r>
          </w:p>
        </w:tc>
        <w:tc>
          <w:tcPr>
            <w:tcW w:w="498" w:type="pct"/>
            <w:tcBorders>
              <w:top w:val="nil"/>
              <w:left w:val="nil"/>
              <w:right w:val="nil"/>
            </w:tcBorders>
            <w:shd w:val="clear" w:color="auto" w:fill="auto"/>
            <w:vAlign w:val="bottom"/>
          </w:tcPr>
          <w:p w:rsidR="00AA17E3" w:rsidRPr="007A63D1" w:rsidRDefault="00AA17E3" w:rsidP="00F7633B">
            <w:pPr>
              <w:spacing w:after="0"/>
              <w:jc w:val="right"/>
              <w:rPr>
                <w:rFonts w:ascii="Times New Roman" w:hAnsi="Times New Roman" w:cs="Times New Roman"/>
                <w:b/>
                <w:bCs/>
                <w:color w:val="000000"/>
                <w:sz w:val="16"/>
                <w:szCs w:val="16"/>
              </w:rPr>
            </w:pPr>
            <w:r w:rsidRPr="007A63D1">
              <w:rPr>
                <w:rFonts w:ascii="Times New Roman" w:hAnsi="Times New Roman" w:cs="Times New Roman"/>
                <w:color w:val="000000"/>
                <w:sz w:val="16"/>
                <w:szCs w:val="16"/>
              </w:rPr>
              <w:t>7 330 051</w:t>
            </w:r>
          </w:p>
        </w:tc>
        <w:tc>
          <w:tcPr>
            <w:tcW w:w="498" w:type="pct"/>
            <w:tcBorders>
              <w:top w:val="nil"/>
              <w:left w:val="nil"/>
              <w:right w:val="nil"/>
            </w:tcBorders>
            <w:shd w:val="clear" w:color="auto" w:fill="auto"/>
            <w:vAlign w:val="bottom"/>
          </w:tcPr>
          <w:p w:rsidR="00AA17E3" w:rsidRPr="007A63D1" w:rsidRDefault="00AA17E3" w:rsidP="00F7633B">
            <w:pPr>
              <w:spacing w:after="0"/>
              <w:jc w:val="right"/>
              <w:rPr>
                <w:rFonts w:ascii="Times New Roman" w:hAnsi="Times New Roman" w:cs="Times New Roman"/>
                <w:b/>
                <w:bCs/>
                <w:color w:val="000000"/>
                <w:sz w:val="16"/>
                <w:szCs w:val="16"/>
              </w:rPr>
            </w:pPr>
            <w:r w:rsidRPr="007A63D1">
              <w:rPr>
                <w:rFonts w:ascii="Times New Roman" w:hAnsi="Times New Roman" w:cs="Times New Roman"/>
                <w:color w:val="000000"/>
                <w:sz w:val="16"/>
                <w:szCs w:val="16"/>
              </w:rPr>
              <w:t>7 555 014</w:t>
            </w:r>
          </w:p>
        </w:tc>
        <w:tc>
          <w:tcPr>
            <w:tcW w:w="498" w:type="pct"/>
            <w:tcBorders>
              <w:top w:val="nil"/>
              <w:left w:val="nil"/>
              <w:right w:val="nil"/>
            </w:tcBorders>
            <w:shd w:val="clear" w:color="auto" w:fill="auto"/>
            <w:vAlign w:val="bottom"/>
          </w:tcPr>
          <w:p w:rsidR="00AA17E3" w:rsidRPr="00F62A67" w:rsidRDefault="00AA17E3" w:rsidP="00F7633B">
            <w:pPr>
              <w:spacing w:after="0"/>
              <w:jc w:val="right"/>
              <w:rPr>
                <w:rFonts w:ascii="Times New Roman" w:hAnsi="Times New Roman" w:cs="Times New Roman"/>
                <w:b/>
                <w:bCs/>
                <w:color w:val="000000"/>
                <w:sz w:val="16"/>
                <w:szCs w:val="16"/>
              </w:rPr>
            </w:pPr>
            <w:r w:rsidRPr="009C17A7">
              <w:rPr>
                <w:rFonts w:ascii="Times New Roman" w:hAnsi="Times New Roman" w:cs="Times New Roman"/>
                <w:color w:val="000000"/>
                <w:sz w:val="16"/>
                <w:szCs w:val="16"/>
              </w:rPr>
              <w:t>7 704 725</w:t>
            </w:r>
          </w:p>
        </w:tc>
        <w:tc>
          <w:tcPr>
            <w:tcW w:w="498" w:type="pct"/>
            <w:tcBorders>
              <w:top w:val="nil"/>
              <w:left w:val="nil"/>
              <w:right w:val="nil"/>
            </w:tcBorders>
            <w:shd w:val="clear" w:color="auto" w:fill="auto"/>
            <w:vAlign w:val="bottom"/>
          </w:tcPr>
          <w:p w:rsidR="00AA17E3" w:rsidRPr="00F62A67" w:rsidRDefault="00AA17E3" w:rsidP="00F7633B">
            <w:pPr>
              <w:spacing w:after="0"/>
              <w:jc w:val="right"/>
              <w:rPr>
                <w:rFonts w:ascii="Times New Roman" w:hAnsi="Times New Roman" w:cs="Times New Roman"/>
                <w:b/>
                <w:bCs/>
                <w:color w:val="000000"/>
                <w:sz w:val="16"/>
                <w:szCs w:val="16"/>
              </w:rPr>
            </w:pPr>
            <w:r w:rsidRPr="009C17A7">
              <w:rPr>
                <w:rFonts w:ascii="Times New Roman" w:hAnsi="Times New Roman" w:cs="Times New Roman"/>
                <w:color w:val="000000"/>
                <w:sz w:val="16"/>
                <w:szCs w:val="16"/>
              </w:rPr>
              <w:t>7 780 480</w:t>
            </w:r>
          </w:p>
        </w:tc>
        <w:tc>
          <w:tcPr>
            <w:tcW w:w="497" w:type="pct"/>
            <w:tcBorders>
              <w:top w:val="nil"/>
              <w:left w:val="nil"/>
              <w:right w:val="nil"/>
            </w:tcBorders>
            <w:shd w:val="clear" w:color="auto" w:fill="auto"/>
            <w:vAlign w:val="bottom"/>
          </w:tcPr>
          <w:p w:rsidR="00AA17E3" w:rsidRPr="00F62A67" w:rsidRDefault="00AA17E3" w:rsidP="00F7633B">
            <w:pPr>
              <w:spacing w:after="0"/>
              <w:jc w:val="right"/>
              <w:rPr>
                <w:rFonts w:ascii="Times New Roman" w:hAnsi="Times New Roman" w:cs="Times New Roman"/>
                <w:b/>
                <w:bCs/>
                <w:color w:val="000000"/>
                <w:sz w:val="16"/>
                <w:szCs w:val="16"/>
              </w:rPr>
            </w:pPr>
            <w:r w:rsidRPr="009C17A7">
              <w:rPr>
                <w:rFonts w:ascii="Times New Roman" w:hAnsi="Times New Roman" w:cs="Times New Roman"/>
                <w:color w:val="000000"/>
                <w:sz w:val="16"/>
                <w:szCs w:val="16"/>
              </w:rPr>
              <w:t>7 895 357</w:t>
            </w:r>
          </w:p>
        </w:tc>
      </w:tr>
      <w:tr w:rsidR="00AA17E3" w:rsidRPr="009363BF" w:rsidTr="00AA17E3">
        <w:trPr>
          <w:trHeight w:val="300"/>
        </w:trPr>
        <w:tc>
          <w:tcPr>
            <w:tcW w:w="1515" w:type="pct"/>
            <w:tcBorders>
              <w:left w:val="nil"/>
              <w:bottom w:val="nil"/>
              <w:right w:val="nil"/>
            </w:tcBorders>
            <w:shd w:val="clear" w:color="auto" w:fill="auto"/>
            <w:noWrap/>
            <w:vAlign w:val="bottom"/>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Výkonné a zákonodarné orgány</w:t>
            </w:r>
          </w:p>
        </w:tc>
        <w:tc>
          <w:tcPr>
            <w:tcW w:w="498" w:type="pct"/>
            <w:tcBorders>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160 114</w:t>
            </w:r>
          </w:p>
        </w:tc>
        <w:tc>
          <w:tcPr>
            <w:tcW w:w="498" w:type="pct"/>
            <w:tcBorders>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172 168</w:t>
            </w:r>
          </w:p>
        </w:tc>
        <w:tc>
          <w:tcPr>
            <w:tcW w:w="498" w:type="pct"/>
            <w:tcBorders>
              <w:left w:val="nil"/>
              <w:bottom w:val="nil"/>
              <w:right w:val="nil"/>
            </w:tcBorders>
            <w:shd w:val="clear" w:color="auto" w:fill="auto"/>
            <w:noWrap/>
            <w:vAlign w:val="bottom"/>
            <w:hideMark/>
          </w:tcPr>
          <w:p w:rsidR="00AA17E3" w:rsidRPr="00431E5E" w:rsidRDefault="001D6A9B" w:rsidP="00F7633B">
            <w:pPr>
              <w:spacing w:after="0"/>
              <w:jc w:val="right"/>
              <w:rPr>
                <w:rFonts w:ascii="Times New Roman" w:hAnsi="Times New Roman" w:cs="Times New Roman"/>
                <w:color w:val="000000"/>
                <w:sz w:val="16"/>
                <w:szCs w:val="16"/>
              </w:rPr>
            </w:pPr>
            <w:r>
              <w:rPr>
                <w:rFonts w:ascii="Times New Roman" w:hAnsi="Times New Roman" w:cs="Times New Roman"/>
                <w:color w:val="000000"/>
                <w:sz w:val="16"/>
                <w:szCs w:val="16"/>
              </w:rPr>
              <w:t>181 849</w:t>
            </w:r>
          </w:p>
        </w:tc>
        <w:tc>
          <w:tcPr>
            <w:tcW w:w="498" w:type="pct"/>
            <w:tcBorders>
              <w:left w:val="nil"/>
              <w:bottom w:val="nil"/>
              <w:right w:val="nil"/>
            </w:tcBorders>
            <w:shd w:val="clear" w:color="auto" w:fill="auto"/>
            <w:noWrap/>
            <w:vAlign w:val="bottom"/>
            <w:hideMark/>
          </w:tcPr>
          <w:p w:rsidR="00AA17E3" w:rsidRPr="00431E5E" w:rsidRDefault="001D6A9B" w:rsidP="00F7633B">
            <w:pPr>
              <w:spacing w:after="0"/>
              <w:jc w:val="right"/>
              <w:rPr>
                <w:rFonts w:ascii="Times New Roman" w:hAnsi="Times New Roman" w:cs="Times New Roman"/>
                <w:color w:val="000000"/>
                <w:sz w:val="16"/>
                <w:szCs w:val="16"/>
              </w:rPr>
            </w:pPr>
            <w:r>
              <w:rPr>
                <w:rFonts w:ascii="Times New Roman" w:hAnsi="Times New Roman" w:cs="Times New Roman"/>
                <w:color w:val="000000"/>
                <w:sz w:val="16"/>
                <w:szCs w:val="16"/>
              </w:rPr>
              <w:t>181 198</w:t>
            </w:r>
          </w:p>
        </w:tc>
        <w:tc>
          <w:tcPr>
            <w:tcW w:w="498" w:type="pct"/>
            <w:tcBorders>
              <w:left w:val="nil"/>
              <w:bottom w:val="nil"/>
              <w:right w:val="nil"/>
            </w:tcBorders>
            <w:shd w:val="clear" w:color="auto" w:fill="auto"/>
            <w:noWrap/>
            <w:vAlign w:val="bottom"/>
            <w:hideMark/>
          </w:tcPr>
          <w:p w:rsidR="00AA17E3" w:rsidRPr="00F62A67" w:rsidRDefault="001D6A9B" w:rsidP="00F7633B">
            <w:pPr>
              <w:spacing w:after="0"/>
              <w:jc w:val="right"/>
              <w:rPr>
                <w:rFonts w:ascii="Times New Roman" w:hAnsi="Times New Roman" w:cs="Times New Roman"/>
                <w:color w:val="000000"/>
                <w:sz w:val="16"/>
                <w:szCs w:val="16"/>
              </w:rPr>
            </w:pPr>
            <w:r>
              <w:rPr>
                <w:rFonts w:ascii="Times New Roman" w:hAnsi="Times New Roman" w:cs="Times New Roman"/>
                <w:bCs/>
                <w:color w:val="000000"/>
                <w:sz w:val="16"/>
                <w:szCs w:val="16"/>
              </w:rPr>
              <w:t>259 420</w:t>
            </w:r>
          </w:p>
        </w:tc>
        <w:tc>
          <w:tcPr>
            <w:tcW w:w="498" w:type="pct"/>
            <w:tcBorders>
              <w:left w:val="nil"/>
              <w:bottom w:val="nil"/>
              <w:right w:val="nil"/>
            </w:tcBorders>
            <w:shd w:val="clear" w:color="auto" w:fill="auto"/>
            <w:noWrap/>
            <w:vAlign w:val="bottom"/>
            <w:hideMark/>
          </w:tcPr>
          <w:p w:rsidR="00AA17E3" w:rsidRPr="00F62A67" w:rsidRDefault="00AA17E3" w:rsidP="00F7633B">
            <w:pPr>
              <w:spacing w:after="0"/>
              <w:jc w:val="right"/>
              <w:rPr>
                <w:rFonts w:ascii="Times New Roman" w:hAnsi="Times New Roman" w:cs="Times New Roman"/>
                <w:color w:val="000000"/>
                <w:sz w:val="16"/>
                <w:szCs w:val="16"/>
              </w:rPr>
            </w:pPr>
            <w:r w:rsidRPr="00F62A67">
              <w:rPr>
                <w:rFonts w:ascii="Times New Roman" w:hAnsi="Times New Roman" w:cs="Times New Roman"/>
                <w:bCs/>
                <w:color w:val="000000"/>
                <w:sz w:val="16"/>
                <w:szCs w:val="16"/>
              </w:rPr>
              <w:t>280 464</w:t>
            </w:r>
          </w:p>
        </w:tc>
        <w:tc>
          <w:tcPr>
            <w:tcW w:w="497" w:type="pct"/>
            <w:tcBorders>
              <w:left w:val="nil"/>
              <w:bottom w:val="nil"/>
              <w:right w:val="nil"/>
            </w:tcBorders>
            <w:shd w:val="clear" w:color="auto" w:fill="auto"/>
            <w:noWrap/>
            <w:vAlign w:val="bottom"/>
            <w:hideMark/>
          </w:tcPr>
          <w:p w:rsidR="00AA17E3" w:rsidRPr="00F62A67" w:rsidRDefault="00AA17E3" w:rsidP="00F7633B">
            <w:pPr>
              <w:spacing w:after="0"/>
              <w:jc w:val="right"/>
              <w:rPr>
                <w:rFonts w:ascii="Times New Roman" w:hAnsi="Times New Roman" w:cs="Times New Roman"/>
                <w:color w:val="000000"/>
                <w:sz w:val="16"/>
                <w:szCs w:val="16"/>
              </w:rPr>
            </w:pPr>
            <w:r w:rsidRPr="00F62A67">
              <w:rPr>
                <w:rFonts w:ascii="Times New Roman" w:hAnsi="Times New Roman" w:cs="Times New Roman"/>
                <w:bCs/>
                <w:color w:val="000000"/>
                <w:sz w:val="16"/>
                <w:szCs w:val="16"/>
              </w:rPr>
              <w:t>290 972</w:t>
            </w:r>
          </w:p>
        </w:tc>
      </w:tr>
      <w:tr w:rsidR="00AA17E3" w:rsidRPr="009363BF" w:rsidTr="00AA17E3">
        <w:trPr>
          <w:trHeight w:val="300"/>
        </w:trPr>
        <w:tc>
          <w:tcPr>
            <w:tcW w:w="1515" w:type="pct"/>
            <w:tcBorders>
              <w:top w:val="nil"/>
              <w:left w:val="nil"/>
              <w:right w:val="nil"/>
            </w:tcBorders>
            <w:shd w:val="clear" w:color="auto" w:fill="auto"/>
            <w:noWrap/>
            <w:vAlign w:val="bottom"/>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Zahraničné vzťahy a zahraničná pomoc</w:t>
            </w:r>
          </w:p>
        </w:tc>
        <w:tc>
          <w:tcPr>
            <w:tcW w:w="498"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197 804</w:t>
            </w:r>
          </w:p>
        </w:tc>
        <w:tc>
          <w:tcPr>
            <w:tcW w:w="498"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152 259</w:t>
            </w:r>
          </w:p>
        </w:tc>
        <w:tc>
          <w:tcPr>
            <w:tcW w:w="498"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154 709</w:t>
            </w:r>
          </w:p>
        </w:tc>
        <w:tc>
          <w:tcPr>
            <w:tcW w:w="498"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157 992</w:t>
            </w:r>
          </w:p>
        </w:tc>
        <w:tc>
          <w:tcPr>
            <w:tcW w:w="498"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154 381</w:t>
            </w:r>
          </w:p>
        </w:tc>
        <w:tc>
          <w:tcPr>
            <w:tcW w:w="498"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155 544</w:t>
            </w:r>
          </w:p>
        </w:tc>
        <w:tc>
          <w:tcPr>
            <w:tcW w:w="497" w:type="pct"/>
            <w:tcBorders>
              <w:top w:val="nil"/>
              <w:left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155 427</w:t>
            </w:r>
          </w:p>
        </w:tc>
      </w:tr>
      <w:tr w:rsidR="00AA17E3" w:rsidRPr="009363BF" w:rsidTr="00AA17E3">
        <w:trPr>
          <w:trHeight w:val="300"/>
        </w:trPr>
        <w:tc>
          <w:tcPr>
            <w:tcW w:w="1515" w:type="pct"/>
            <w:tcBorders>
              <w:top w:val="nil"/>
              <w:left w:val="nil"/>
              <w:bottom w:val="single" w:sz="4" w:space="0" w:color="auto"/>
              <w:right w:val="nil"/>
            </w:tcBorders>
            <w:shd w:val="clear" w:color="auto" w:fill="auto"/>
            <w:noWrap/>
            <w:vAlign w:val="bottom"/>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Miestna štátna správa</w:t>
            </w:r>
          </w:p>
        </w:tc>
        <w:tc>
          <w:tcPr>
            <w:tcW w:w="498"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160 569</w:t>
            </w:r>
          </w:p>
        </w:tc>
        <w:tc>
          <w:tcPr>
            <w:tcW w:w="498"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184 914</w:t>
            </w:r>
          </w:p>
        </w:tc>
        <w:tc>
          <w:tcPr>
            <w:tcW w:w="498"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132 497</w:t>
            </w:r>
          </w:p>
        </w:tc>
        <w:tc>
          <w:tcPr>
            <w:tcW w:w="498"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229 714</w:t>
            </w:r>
          </w:p>
        </w:tc>
        <w:tc>
          <w:tcPr>
            <w:tcW w:w="498"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143 415</w:t>
            </w:r>
          </w:p>
        </w:tc>
        <w:tc>
          <w:tcPr>
            <w:tcW w:w="498"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128 643</w:t>
            </w:r>
          </w:p>
        </w:tc>
        <w:tc>
          <w:tcPr>
            <w:tcW w:w="497" w:type="pct"/>
            <w:tcBorders>
              <w:top w:val="nil"/>
              <w:left w:val="nil"/>
              <w:bottom w:val="single" w:sz="4" w:space="0" w:color="auto"/>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164 667</w:t>
            </w:r>
          </w:p>
        </w:tc>
      </w:tr>
    </w:tbl>
    <w:p w:rsidR="00AA17E3" w:rsidRPr="009363BF" w:rsidRDefault="00AA17E3" w:rsidP="00F7633B">
      <w:pPr>
        <w:keepNext/>
        <w:spacing w:after="0" w:line="240" w:lineRule="auto"/>
        <w:rPr>
          <w:rFonts w:ascii="Times New Roman" w:hAnsi="Times New Roman"/>
          <w:b/>
          <w:iCs/>
          <w:color w:val="5B9BD5" w:themeColor="accent1"/>
          <w:sz w:val="20"/>
          <w:szCs w:val="20"/>
        </w:rPr>
      </w:pPr>
      <w:bookmarkStart w:id="624" w:name="_Toc53054205"/>
      <w:bookmarkStart w:id="625" w:name="_Toc53054866"/>
      <w:bookmarkStart w:id="626" w:name="_Toc53078058"/>
      <w:bookmarkStart w:id="627" w:name="_Toc53086460"/>
      <w:bookmarkStart w:id="628" w:name="_Toc84528489"/>
      <w:bookmarkStart w:id="629" w:name="_Toc84845365"/>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141</w:t>
      </w:r>
      <w:r w:rsidRPr="009363BF">
        <w:rPr>
          <w:rFonts w:ascii="Times New Roman" w:hAnsi="Times New Roman"/>
          <w:b/>
          <w:iCs/>
          <w:color w:val="5B9BD5" w:themeColor="accent1"/>
          <w:sz w:val="20"/>
          <w:szCs w:val="20"/>
        </w:rPr>
        <w:fldChar w:fldCharType="end"/>
      </w:r>
      <w:r w:rsidRPr="009363BF">
        <w:rPr>
          <w:rFonts w:ascii="Times New Roman" w:hAnsi="Times New Roman"/>
          <w:b/>
          <w:iCs/>
          <w:color w:val="5B9BD5" w:themeColor="accent1"/>
          <w:sz w:val="20"/>
          <w:szCs w:val="20"/>
        </w:rPr>
        <w:t xml:space="preserve"> </w:t>
      </w:r>
      <w:r w:rsidR="00B949EE">
        <w:rPr>
          <w:rFonts w:ascii="Times New Roman" w:hAnsi="Times New Roman"/>
          <w:b/>
          <w:iCs/>
          <w:color w:val="5B9BD5" w:themeColor="accent1"/>
          <w:sz w:val="20"/>
          <w:szCs w:val="20"/>
        </w:rPr>
        <w:t>–</w:t>
      </w:r>
      <w:r w:rsidRPr="009363BF">
        <w:rPr>
          <w:rFonts w:ascii="Times New Roman" w:hAnsi="Times New Roman"/>
          <w:b/>
          <w:iCs/>
          <w:color w:val="5B9BD5" w:themeColor="accent1"/>
          <w:sz w:val="20"/>
          <w:szCs w:val="20"/>
        </w:rPr>
        <w:t xml:space="preserve"> </w:t>
      </w:r>
      <w:r w:rsidR="00B949EE">
        <w:rPr>
          <w:rFonts w:ascii="Times New Roman" w:hAnsi="Times New Roman"/>
          <w:b/>
          <w:iCs/>
          <w:color w:val="5B9BD5" w:themeColor="accent1"/>
          <w:sz w:val="20"/>
          <w:szCs w:val="20"/>
        </w:rPr>
        <w:t>Výdavky na v</w:t>
      </w:r>
      <w:r w:rsidRPr="009363BF">
        <w:rPr>
          <w:rFonts w:ascii="Times New Roman" w:hAnsi="Times New Roman"/>
          <w:b/>
          <w:iCs/>
          <w:color w:val="5B9BD5" w:themeColor="accent1"/>
          <w:sz w:val="20"/>
          <w:szCs w:val="20"/>
        </w:rPr>
        <w:t>erejné služby</w:t>
      </w:r>
      <w:bookmarkEnd w:id="624"/>
      <w:bookmarkEnd w:id="625"/>
      <w:bookmarkEnd w:id="626"/>
      <w:bookmarkEnd w:id="627"/>
      <w:bookmarkEnd w:id="628"/>
      <w:bookmarkEnd w:id="629"/>
    </w:p>
    <w:p w:rsidR="00AA17E3" w:rsidRPr="009363BF" w:rsidRDefault="00AA17E3" w:rsidP="00F7633B">
      <w:pPr>
        <w:spacing w:after="0"/>
        <w:ind w:left="7080" w:firstLine="708"/>
        <w:jc w:val="both"/>
        <w:rPr>
          <w:rFonts w:ascii="Times New Roman" w:hAnsi="Times New Roman"/>
          <w:i/>
          <w:color w:val="000000"/>
          <w:szCs w:val="24"/>
        </w:rPr>
      </w:pPr>
      <w:r w:rsidRPr="009363BF">
        <w:rPr>
          <w:rFonts w:ascii="Times New Roman" w:hAnsi="Times New Roman"/>
          <w:i/>
          <w:kern w:val="32"/>
          <w:sz w:val="16"/>
          <w:szCs w:val="16"/>
        </w:rPr>
        <w:t xml:space="preserve">       Zdroj: MF SR</w:t>
      </w:r>
    </w:p>
    <w:p w:rsidR="00F7633B" w:rsidRDefault="00F7633B" w:rsidP="00F7633B">
      <w:pPr>
        <w:spacing w:after="0"/>
        <w:jc w:val="both"/>
        <w:rPr>
          <w:rFonts w:ascii="Times New Roman" w:hAnsi="Times New Roman" w:cs="Times New Roman"/>
          <w:b/>
          <w:sz w:val="24"/>
          <w:szCs w:val="24"/>
        </w:rPr>
      </w:pPr>
    </w:p>
    <w:p w:rsidR="00AA17E3" w:rsidRPr="000F39C3" w:rsidRDefault="00AA17E3" w:rsidP="00F7633B">
      <w:pPr>
        <w:spacing w:after="0"/>
        <w:jc w:val="both"/>
        <w:rPr>
          <w:rFonts w:ascii="Times New Roman" w:hAnsi="Times New Roman" w:cs="Times New Roman"/>
          <w:b/>
          <w:sz w:val="24"/>
          <w:szCs w:val="24"/>
        </w:rPr>
      </w:pPr>
      <w:r w:rsidRPr="003014F7">
        <w:rPr>
          <w:rFonts w:ascii="Times New Roman" w:hAnsi="Times New Roman" w:cs="Times New Roman"/>
          <w:b/>
          <w:sz w:val="24"/>
          <w:szCs w:val="24"/>
        </w:rPr>
        <w:t xml:space="preserve">Výdavky na verejné služby sú v najbližších rokoch ovplyvnené aj týmito zapracovanými </w:t>
      </w:r>
      <w:r w:rsidRPr="000F39C3">
        <w:rPr>
          <w:rFonts w:ascii="Times New Roman" w:hAnsi="Times New Roman" w:cs="Times New Roman"/>
          <w:b/>
          <w:sz w:val="24"/>
          <w:szCs w:val="24"/>
        </w:rPr>
        <w:t>opatreniami:</w:t>
      </w:r>
    </w:p>
    <w:p w:rsidR="00AA17E3" w:rsidRDefault="00AA17E3" w:rsidP="004B108F">
      <w:pPr>
        <w:pStyle w:val="Odsekzoznamu"/>
        <w:numPr>
          <w:ilvl w:val="0"/>
          <w:numId w:val="29"/>
        </w:numPr>
        <w:spacing w:after="160" w:line="259" w:lineRule="auto"/>
        <w:jc w:val="both"/>
        <w:rPr>
          <w:rFonts w:ascii="Times New Roman" w:hAnsi="Times New Roman"/>
          <w:color w:val="000000"/>
        </w:rPr>
      </w:pPr>
      <w:r w:rsidRPr="000F39C3">
        <w:rPr>
          <w:rFonts w:ascii="Times New Roman" w:hAnsi="Times New Roman"/>
          <w:color w:val="000000"/>
        </w:rPr>
        <w:t>V samospráve je zohľadnený nárast kapitálových výdavkov obcí na financovanie spoločných projektov EÚ a SR, pričom ide hlavne o prostriedky Ministerstva školstva</w:t>
      </w:r>
      <w:r w:rsidR="00CD79A5">
        <w:rPr>
          <w:rFonts w:ascii="Times New Roman" w:hAnsi="Times New Roman"/>
          <w:color w:val="000000"/>
        </w:rPr>
        <w:t>,</w:t>
      </w:r>
      <w:r w:rsidRPr="000F39C3">
        <w:rPr>
          <w:rFonts w:ascii="Times New Roman" w:hAnsi="Times New Roman"/>
          <w:color w:val="000000"/>
        </w:rPr>
        <w:t xml:space="preserve"> vedy</w:t>
      </w:r>
      <w:r w:rsidR="00CD79A5">
        <w:rPr>
          <w:rFonts w:ascii="Times New Roman" w:hAnsi="Times New Roman"/>
          <w:color w:val="000000"/>
        </w:rPr>
        <w:t>,</w:t>
      </w:r>
      <w:r w:rsidRPr="000F39C3">
        <w:rPr>
          <w:rFonts w:ascii="Times New Roman" w:hAnsi="Times New Roman"/>
          <w:color w:val="000000"/>
        </w:rPr>
        <w:t xml:space="preserve"> výskumu a športu SR vynaložené v rámci Plánu obnovy a odolnosti v sume 191 mil. eur. </w:t>
      </w:r>
    </w:p>
    <w:p w:rsidR="00AA17E3" w:rsidRPr="000F39C3" w:rsidRDefault="00AA17E3" w:rsidP="004B108F">
      <w:pPr>
        <w:pStyle w:val="Odsekzoznamu"/>
        <w:numPr>
          <w:ilvl w:val="0"/>
          <w:numId w:val="29"/>
        </w:numPr>
        <w:spacing w:after="160" w:line="259" w:lineRule="auto"/>
        <w:jc w:val="both"/>
        <w:rPr>
          <w:rFonts w:ascii="Times New Roman" w:hAnsi="Times New Roman"/>
          <w:color w:val="000000"/>
        </w:rPr>
      </w:pPr>
      <w:r w:rsidRPr="000F39C3">
        <w:rPr>
          <w:rFonts w:ascii="Times New Roman" w:hAnsi="Times New Roman"/>
          <w:color w:val="000000"/>
        </w:rPr>
        <w:t xml:space="preserve">Výkonné a zákonodarné orgány sú zapojené do výdavkov Plánu obnovy a odolnosti v sume 124,4 mil. eur. Úrad vlády SR rozpočtuje výdavky Plánu obnovy </w:t>
      </w:r>
      <w:r w:rsidR="00CD79A5">
        <w:rPr>
          <w:rFonts w:ascii="Times New Roman" w:hAnsi="Times New Roman"/>
          <w:color w:val="000000"/>
        </w:rPr>
        <w:t xml:space="preserve">a odolnosti </w:t>
      </w:r>
      <w:r w:rsidRPr="000F39C3">
        <w:rPr>
          <w:rFonts w:ascii="Times New Roman" w:hAnsi="Times New Roman"/>
          <w:color w:val="000000"/>
        </w:rPr>
        <w:t>v sume 123,8 mil. eur, pričom prostriedky sú plánované na financovanie výskumu, vývoja a inovácií v sume 120 mil. eur, na boj proti korupcii pre Národnú implementačnú a koordinačnú autoritu v sume 1,66 mil. eur a pre Úrad na o</w:t>
      </w:r>
      <w:r w:rsidR="00B2265D">
        <w:rPr>
          <w:rFonts w:ascii="Times New Roman" w:hAnsi="Times New Roman"/>
          <w:color w:val="000000"/>
        </w:rPr>
        <w:t>chranu oznamovateľov protispoločenskej činnosti</w:t>
      </w:r>
      <w:r w:rsidRPr="000F39C3">
        <w:rPr>
          <w:rFonts w:ascii="Times New Roman" w:hAnsi="Times New Roman"/>
          <w:color w:val="000000"/>
        </w:rPr>
        <w:t xml:space="preserve"> v sume 1,81 mil. eur. Úrad pre verejné obstarávanie rozpočtuje výdavky Plánu obnovy </w:t>
      </w:r>
      <w:r w:rsidR="00CD79A5">
        <w:rPr>
          <w:rFonts w:ascii="Times New Roman" w:hAnsi="Times New Roman"/>
          <w:color w:val="000000"/>
        </w:rPr>
        <w:t xml:space="preserve">a odolnosti </w:t>
      </w:r>
      <w:r w:rsidRPr="000F39C3">
        <w:rPr>
          <w:rFonts w:ascii="Times New Roman" w:hAnsi="Times New Roman"/>
          <w:color w:val="000000"/>
        </w:rPr>
        <w:t>v sume 550 tis. eur a sú určené na profesionalizáciu vo verejnom obstarávaní.</w:t>
      </w:r>
    </w:p>
    <w:p w:rsidR="00AA17E3" w:rsidRDefault="00AA17E3" w:rsidP="004B108F">
      <w:pPr>
        <w:pStyle w:val="Odsekzoznamu"/>
        <w:numPr>
          <w:ilvl w:val="0"/>
          <w:numId w:val="29"/>
        </w:numPr>
        <w:spacing w:after="160" w:line="259" w:lineRule="auto"/>
        <w:jc w:val="both"/>
        <w:rPr>
          <w:rFonts w:ascii="Times New Roman" w:hAnsi="Times New Roman"/>
          <w:color w:val="000000"/>
        </w:rPr>
      </w:pPr>
      <w:r>
        <w:rPr>
          <w:rFonts w:ascii="Times New Roman" w:hAnsi="Times New Roman"/>
          <w:color w:val="000000"/>
        </w:rPr>
        <w:t xml:space="preserve">Zohľadnené sú výdavky na voľby </w:t>
      </w:r>
      <w:r w:rsidRPr="0073136D">
        <w:rPr>
          <w:rFonts w:ascii="Times New Roman" w:hAnsi="Times New Roman"/>
          <w:color w:val="000000"/>
        </w:rPr>
        <w:t>do orgánov samosprávy obcí a orgánov vyšších územných celkov v sume 14,7 mil. eur, ktoré sa v roku 2022 budú prvýkrát konať spoločne a</w:t>
      </w:r>
      <w:r>
        <w:rPr>
          <w:rFonts w:ascii="Times New Roman" w:hAnsi="Times New Roman"/>
          <w:color w:val="000000"/>
        </w:rPr>
        <w:t xml:space="preserve"> výdavky na </w:t>
      </w:r>
      <w:r w:rsidRPr="0073136D">
        <w:rPr>
          <w:rFonts w:ascii="Times New Roman" w:hAnsi="Times New Roman"/>
          <w:color w:val="000000"/>
        </w:rPr>
        <w:t>nové voľby v sume 548 tis. eur</w:t>
      </w:r>
      <w:r>
        <w:rPr>
          <w:rFonts w:ascii="Times New Roman" w:hAnsi="Times New Roman"/>
          <w:color w:val="000000"/>
        </w:rPr>
        <w:t>.</w:t>
      </w:r>
    </w:p>
    <w:p w:rsidR="00AA17E3" w:rsidRDefault="00AA17E3" w:rsidP="004B108F">
      <w:pPr>
        <w:pStyle w:val="Odsekzoznamu"/>
        <w:numPr>
          <w:ilvl w:val="0"/>
          <w:numId w:val="29"/>
        </w:numPr>
        <w:spacing w:line="259" w:lineRule="auto"/>
        <w:jc w:val="both"/>
        <w:rPr>
          <w:rFonts w:ascii="Times New Roman" w:hAnsi="Times New Roman"/>
          <w:color w:val="000000"/>
        </w:rPr>
      </w:pPr>
      <w:r>
        <w:rPr>
          <w:rFonts w:ascii="Times New Roman" w:hAnsi="Times New Roman"/>
          <w:color w:val="000000"/>
        </w:rPr>
        <w:t xml:space="preserve">Na </w:t>
      </w:r>
      <w:r w:rsidRPr="005E19D6">
        <w:rPr>
          <w:rFonts w:ascii="Times New Roman" w:hAnsi="Times New Roman"/>
          <w:color w:val="000000"/>
        </w:rPr>
        <w:t>prenesený výkon štátnej správy na matriky boli zvýšené výdavky každoročne o sumu 1,6 mil. eur.</w:t>
      </w:r>
    </w:p>
    <w:p w:rsidR="00F7633B" w:rsidRDefault="00F7633B" w:rsidP="00F7633B">
      <w:pPr>
        <w:pStyle w:val="Odsekzoznamu"/>
        <w:spacing w:line="259" w:lineRule="auto"/>
        <w:jc w:val="both"/>
        <w:rPr>
          <w:rFonts w:ascii="Times New Roman" w:hAnsi="Times New Roman"/>
          <w:color w:val="000000"/>
        </w:rPr>
      </w:pPr>
    </w:p>
    <w:p w:rsidR="00AA17E3" w:rsidRDefault="00AA17E3" w:rsidP="00F7633B">
      <w:pPr>
        <w:spacing w:after="0"/>
        <w:jc w:val="both"/>
        <w:rPr>
          <w:rFonts w:ascii="Times New Roman" w:hAnsi="Times New Roman"/>
          <w:color w:val="000000"/>
          <w:sz w:val="24"/>
          <w:szCs w:val="24"/>
        </w:rPr>
      </w:pPr>
      <w:r w:rsidRPr="00494AE5">
        <w:rPr>
          <w:rFonts w:ascii="Times New Roman" w:hAnsi="Times New Roman"/>
          <w:color w:val="000000"/>
          <w:sz w:val="24"/>
          <w:szCs w:val="24"/>
        </w:rPr>
        <w:t>Za oblasť verejných služieb sú v rozpočte na rok 2022 rozpočtované výdavky v sume 8,2</w:t>
      </w:r>
      <w:r w:rsidR="004B6EE6">
        <w:rPr>
          <w:rFonts w:ascii="Times New Roman" w:hAnsi="Times New Roman"/>
          <w:color w:val="000000"/>
          <w:sz w:val="24"/>
          <w:szCs w:val="24"/>
        </w:rPr>
        <w:t>6</w:t>
      </w:r>
      <w:r w:rsidRPr="00494AE5">
        <w:rPr>
          <w:rFonts w:ascii="Times New Roman" w:hAnsi="Times New Roman"/>
          <w:color w:val="000000"/>
          <w:sz w:val="24"/>
          <w:szCs w:val="24"/>
        </w:rPr>
        <w:t xml:space="preserve"> mld. eur. Tieto výdavky sú určené pre obce, vyššie územné celky </w:t>
      </w:r>
      <w:r>
        <w:rPr>
          <w:rFonts w:ascii="Times New Roman" w:hAnsi="Times New Roman"/>
          <w:color w:val="000000"/>
          <w:sz w:val="24"/>
          <w:szCs w:val="24"/>
        </w:rPr>
        <w:t>vrátane ich</w:t>
      </w:r>
      <w:r w:rsidRPr="00494AE5">
        <w:rPr>
          <w:rFonts w:ascii="Times New Roman" w:hAnsi="Times New Roman"/>
          <w:color w:val="000000"/>
          <w:sz w:val="24"/>
          <w:szCs w:val="24"/>
        </w:rPr>
        <w:t xml:space="preserve"> dopravn</w:t>
      </w:r>
      <w:r>
        <w:rPr>
          <w:rFonts w:ascii="Times New Roman" w:hAnsi="Times New Roman"/>
          <w:color w:val="000000"/>
          <w:sz w:val="24"/>
          <w:szCs w:val="24"/>
        </w:rPr>
        <w:t>ých</w:t>
      </w:r>
      <w:r w:rsidRPr="00494AE5">
        <w:rPr>
          <w:rFonts w:ascii="Times New Roman" w:hAnsi="Times New Roman"/>
          <w:color w:val="000000"/>
          <w:sz w:val="24"/>
          <w:szCs w:val="24"/>
        </w:rPr>
        <w:t xml:space="preserve"> podnik</w:t>
      </w:r>
      <w:r>
        <w:rPr>
          <w:rFonts w:ascii="Times New Roman" w:hAnsi="Times New Roman"/>
          <w:color w:val="000000"/>
          <w:sz w:val="24"/>
          <w:szCs w:val="24"/>
        </w:rPr>
        <w:t xml:space="preserve">ov, </w:t>
      </w:r>
      <w:r w:rsidRPr="00494AE5">
        <w:rPr>
          <w:rFonts w:ascii="Times New Roman" w:hAnsi="Times New Roman"/>
          <w:color w:val="000000"/>
          <w:sz w:val="24"/>
          <w:szCs w:val="24"/>
        </w:rPr>
        <w:t xml:space="preserve">pre výkonné a zákonodarné orgány, na výdavky Ministerstva zahraničných vecí a európskych záležitostí SR, </w:t>
      </w:r>
      <w:r>
        <w:rPr>
          <w:rFonts w:ascii="Times New Roman" w:hAnsi="Times New Roman"/>
          <w:color w:val="000000"/>
          <w:sz w:val="24"/>
          <w:szCs w:val="24"/>
        </w:rPr>
        <w:t xml:space="preserve">ako aj </w:t>
      </w:r>
      <w:r w:rsidRPr="00494AE5">
        <w:rPr>
          <w:rFonts w:ascii="Times New Roman" w:hAnsi="Times New Roman"/>
          <w:color w:val="000000"/>
          <w:sz w:val="24"/>
          <w:szCs w:val="24"/>
        </w:rPr>
        <w:t>na výdavky okresných úradov, štátnych</w:t>
      </w:r>
      <w:r>
        <w:rPr>
          <w:rFonts w:ascii="Times New Roman" w:hAnsi="Times New Roman"/>
          <w:color w:val="000000"/>
          <w:sz w:val="24"/>
          <w:szCs w:val="24"/>
        </w:rPr>
        <w:t xml:space="preserve"> archívov a na výdavky na voľby.</w:t>
      </w:r>
    </w:p>
    <w:p w:rsidR="00637878" w:rsidRDefault="00637878" w:rsidP="00AA17E3">
      <w:pPr>
        <w:spacing w:after="0"/>
        <w:rPr>
          <w:rFonts w:ascii="Times New Roman" w:hAnsi="Times New Roman"/>
          <w:color w:val="000000"/>
          <w:sz w:val="24"/>
          <w:szCs w:val="24"/>
        </w:rPr>
      </w:pPr>
    </w:p>
    <w:p w:rsidR="00AA17E3" w:rsidRPr="0055578A" w:rsidRDefault="00AA17E3" w:rsidP="00AA17E3">
      <w:pPr>
        <w:spacing w:after="0"/>
        <w:rPr>
          <w:rFonts w:ascii="Times New Roman" w:hAnsi="Times New Roman"/>
          <w:b/>
          <w:bCs/>
          <w:noProof/>
          <w:color w:val="5B9BD5" w:themeColor="accent1"/>
          <w:sz w:val="24"/>
          <w:szCs w:val="24"/>
          <w:lang w:eastAsia="sk-SK"/>
        </w:rPr>
      </w:pPr>
      <w:r w:rsidRPr="0055578A">
        <w:rPr>
          <w:rFonts w:ascii="Times New Roman" w:hAnsi="Times New Roman"/>
          <w:b/>
          <w:bCs/>
          <w:noProof/>
          <w:color w:val="5B9BD5" w:themeColor="accent1"/>
          <w:sz w:val="24"/>
          <w:szCs w:val="24"/>
          <w:lang w:eastAsia="sk-SK"/>
        </w:rPr>
        <w:t xml:space="preserve">Samospráva </w:t>
      </w:r>
    </w:p>
    <w:p w:rsidR="00AA17E3" w:rsidRDefault="00AA17E3" w:rsidP="00AA17E3">
      <w:pPr>
        <w:spacing w:after="0"/>
        <w:contextualSpacing/>
        <w:jc w:val="both"/>
        <w:rPr>
          <w:rFonts w:ascii="Times New Roman" w:hAnsi="Times New Roman"/>
          <w:b/>
          <w:noProof/>
          <w:color w:val="5B9BD5" w:themeColor="accent1"/>
          <w:sz w:val="24"/>
          <w:szCs w:val="24"/>
          <w:lang w:eastAsia="sk-SK"/>
        </w:rPr>
      </w:pPr>
    </w:p>
    <w:p w:rsidR="00AA17E3" w:rsidRDefault="00AA17E3" w:rsidP="00AA17E3">
      <w:pPr>
        <w:spacing w:after="0"/>
        <w:contextualSpacing/>
        <w:jc w:val="both"/>
        <w:rPr>
          <w:rFonts w:ascii="Times New Roman" w:hAnsi="Times New Roman"/>
          <w:b/>
          <w:noProof/>
          <w:color w:val="5B9BD5" w:themeColor="accent1"/>
          <w:sz w:val="24"/>
          <w:szCs w:val="24"/>
          <w:lang w:eastAsia="sk-SK"/>
        </w:rPr>
      </w:pPr>
      <w:r w:rsidRPr="00F80EBB">
        <w:rPr>
          <w:rFonts w:ascii="Times New Roman" w:hAnsi="Times New Roman"/>
          <w:b/>
          <w:noProof/>
          <w:color w:val="5B9BD5" w:themeColor="accent1"/>
          <w:sz w:val="24"/>
          <w:szCs w:val="24"/>
          <w:lang w:eastAsia="sk-SK"/>
        </w:rPr>
        <w:t>Obce</w:t>
      </w:r>
    </w:p>
    <w:p w:rsidR="00F7633B" w:rsidRPr="00F80EBB" w:rsidRDefault="00F7633B" w:rsidP="00AA17E3">
      <w:pPr>
        <w:spacing w:after="0"/>
        <w:contextualSpacing/>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Obce predpokladajú vo svojich rozpočtoch výdavky na financovanie preneseného výkonu štátnej správy a financovanie samosprávnych (originálnych) kompetencií. </w:t>
      </w:r>
    </w:p>
    <w:p w:rsidR="00AA17E3" w:rsidRPr="00F80EBB" w:rsidRDefault="00AA17E3" w:rsidP="00AA17E3">
      <w:pPr>
        <w:spacing w:after="0"/>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Vývoj výdavkovej časti rozpočtu obcí na roky 2022 až 2024 v porovnaní so schváleným rozpočtom obcí na rok 2021, očakávanou skutočnosťou na rok 2021 a skutočnosťou za roky 2019 a 2020 je nasledovný (predikcia M</w:t>
      </w:r>
      <w:r>
        <w:rPr>
          <w:rFonts w:ascii="Times New Roman" w:hAnsi="Times New Roman"/>
          <w:noProof/>
          <w:sz w:val="24"/>
          <w:szCs w:val="24"/>
          <w:lang w:eastAsia="sk-SK"/>
        </w:rPr>
        <w:t>inisterstva financií</w:t>
      </w:r>
      <w:r w:rsidRPr="00F80EBB">
        <w:rPr>
          <w:rFonts w:ascii="Times New Roman" w:hAnsi="Times New Roman"/>
          <w:noProof/>
          <w:sz w:val="24"/>
          <w:szCs w:val="24"/>
          <w:lang w:eastAsia="sk-SK"/>
        </w:rPr>
        <w:t xml:space="preserve"> SR):</w:t>
      </w:r>
    </w:p>
    <w:p w:rsidR="00AA17E3" w:rsidRPr="00F80EBB" w:rsidRDefault="00AA17E3" w:rsidP="00AA17E3">
      <w:pPr>
        <w:spacing w:after="0"/>
        <w:jc w:val="both"/>
        <w:rPr>
          <w:rFonts w:ascii="Times New Roman" w:hAnsi="Times New Roman"/>
          <w:noProof/>
          <w:sz w:val="24"/>
          <w:szCs w:val="24"/>
          <w:lang w:eastAsia="sk-SK"/>
        </w:rPr>
      </w:pPr>
    </w:p>
    <w:p w:rsidR="00AA17E3" w:rsidRPr="00F80EBB" w:rsidRDefault="00AA17E3" w:rsidP="00F7633B">
      <w:pPr>
        <w:keepNext/>
        <w:spacing w:after="0" w:line="240" w:lineRule="auto"/>
        <w:rPr>
          <w:rFonts w:ascii="Times New Roman" w:hAnsi="Times New Roman"/>
          <w:b/>
          <w:iCs/>
          <w:color w:val="5B9BD5" w:themeColor="accent1"/>
          <w:sz w:val="20"/>
          <w:szCs w:val="20"/>
        </w:rPr>
      </w:pPr>
      <w:bookmarkStart w:id="630" w:name="_Toc84528490"/>
      <w:bookmarkStart w:id="631" w:name="_Toc84845366"/>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142</w:t>
      </w:r>
      <w:r w:rsidRPr="009363BF">
        <w:rPr>
          <w:rFonts w:ascii="Times New Roman" w:hAnsi="Times New Roman"/>
          <w:b/>
          <w:iCs/>
          <w:color w:val="5B9BD5" w:themeColor="accent1"/>
          <w:sz w:val="20"/>
          <w:szCs w:val="20"/>
        </w:rPr>
        <w:fldChar w:fldCharType="end"/>
      </w:r>
      <w:r w:rsidRPr="00F80EBB">
        <w:rPr>
          <w:rFonts w:ascii="Times New Roman" w:hAnsi="Times New Roman"/>
          <w:b/>
          <w:iCs/>
          <w:color w:val="5B9BD5" w:themeColor="accent1"/>
          <w:sz w:val="20"/>
          <w:szCs w:val="20"/>
        </w:rPr>
        <w:t xml:space="preserve"> – Obce</w:t>
      </w:r>
      <w:bookmarkEnd w:id="630"/>
      <w:bookmarkEnd w:id="631"/>
    </w:p>
    <w:tbl>
      <w:tblPr>
        <w:tblW w:w="5000" w:type="pct"/>
        <w:tblCellMar>
          <w:left w:w="70" w:type="dxa"/>
          <w:right w:w="70" w:type="dxa"/>
        </w:tblCellMar>
        <w:tblLook w:val="04A0" w:firstRow="1" w:lastRow="0" w:firstColumn="1" w:lastColumn="0" w:noHBand="0" w:noVBand="1"/>
      </w:tblPr>
      <w:tblGrid>
        <w:gridCol w:w="2291"/>
        <w:gridCol w:w="969"/>
        <w:gridCol w:w="969"/>
        <w:gridCol w:w="969"/>
        <w:gridCol w:w="969"/>
        <w:gridCol w:w="969"/>
        <w:gridCol w:w="969"/>
        <w:gridCol w:w="967"/>
      </w:tblGrid>
      <w:tr w:rsidR="00AA17E3" w:rsidRPr="00F80EBB" w:rsidTr="00AA17E3">
        <w:trPr>
          <w:trHeight w:val="285"/>
        </w:trPr>
        <w:tc>
          <w:tcPr>
            <w:tcW w:w="1263"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v tis. eur</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2019 S</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2020 S</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2021 R</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2021 OS</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2022 N</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2023 N</w:t>
            </w:r>
          </w:p>
        </w:tc>
        <w:tc>
          <w:tcPr>
            <w:tcW w:w="53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2024 N</w:t>
            </w:r>
          </w:p>
        </w:tc>
      </w:tr>
      <w:tr w:rsidR="00AA17E3" w:rsidRPr="00F80EBB" w:rsidTr="00AA17E3">
        <w:trPr>
          <w:trHeight w:val="285"/>
        </w:trPr>
        <w:tc>
          <w:tcPr>
            <w:tcW w:w="1263"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Výdavky</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5 278 449</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5 417 938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5 381 872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5 580 572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5 675 76</w:t>
            </w:r>
            <w:r>
              <w:rPr>
                <w:rFonts w:ascii="Times New Roman" w:eastAsia="Times New Roman" w:hAnsi="Times New Roman" w:cs="Times New Roman"/>
                <w:b/>
                <w:bCs/>
                <w:color w:val="000000"/>
                <w:sz w:val="16"/>
                <w:szCs w:val="16"/>
                <w:lang w:eastAsia="sk-SK"/>
              </w:rPr>
              <w:t>5</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5 703 31</w:t>
            </w:r>
            <w:r>
              <w:rPr>
                <w:rFonts w:ascii="Times New Roman" w:eastAsia="Times New Roman" w:hAnsi="Times New Roman" w:cs="Times New Roman"/>
                <w:b/>
                <w:bCs/>
                <w:color w:val="000000"/>
                <w:sz w:val="16"/>
                <w:szCs w:val="16"/>
                <w:lang w:eastAsia="sk-SK"/>
              </w:rPr>
              <w:t>0</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b/>
                <w:bCs/>
                <w:color w:val="000000"/>
                <w:sz w:val="16"/>
                <w:szCs w:val="16"/>
                <w:lang w:eastAsia="sk-SK"/>
              </w:rPr>
            </w:pPr>
            <w:r w:rsidRPr="00F80EBB">
              <w:rPr>
                <w:rFonts w:ascii="Times New Roman" w:eastAsia="Times New Roman" w:hAnsi="Times New Roman" w:cs="Times New Roman"/>
                <w:b/>
                <w:bCs/>
                <w:color w:val="000000"/>
                <w:sz w:val="16"/>
                <w:szCs w:val="16"/>
                <w:lang w:eastAsia="sk-SK"/>
              </w:rPr>
              <w:t>5 743 186</w:t>
            </w:r>
          </w:p>
        </w:tc>
      </w:tr>
      <w:tr w:rsidR="00AA17E3" w:rsidRPr="00F80EBB" w:rsidTr="00AA17E3">
        <w:trPr>
          <w:trHeight w:val="285"/>
        </w:trPr>
        <w:tc>
          <w:tcPr>
            <w:tcW w:w="1263" w:type="pct"/>
            <w:tcBorders>
              <w:top w:val="nil"/>
              <w:left w:val="nil"/>
              <w:bottom w:val="nil"/>
              <w:right w:val="nil"/>
            </w:tcBorders>
            <w:shd w:val="clear" w:color="auto" w:fill="auto"/>
            <w:vAlign w:val="center"/>
            <w:hideMark/>
          </w:tcPr>
          <w:p w:rsidR="00AA17E3" w:rsidRPr="00F80EBB" w:rsidRDefault="00AA17E3" w:rsidP="00AA17E3">
            <w:pPr>
              <w:spacing w:after="0" w:line="240" w:lineRule="auto"/>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 xml:space="preserve">Bežné výdavky          </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4 193 939</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4 400 562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4 608 888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4 685 954</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4 628 01</w:t>
            </w:r>
            <w:r>
              <w:rPr>
                <w:rFonts w:ascii="Times New Roman" w:eastAsia="Times New Roman" w:hAnsi="Times New Roman" w:cs="Times New Roman"/>
                <w:color w:val="000000"/>
                <w:sz w:val="16"/>
                <w:szCs w:val="16"/>
                <w:lang w:eastAsia="sk-SK"/>
              </w:rPr>
              <w:t>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4 796 71</w:t>
            </w:r>
            <w:r>
              <w:rPr>
                <w:rFonts w:ascii="Times New Roman" w:eastAsia="Times New Roman" w:hAnsi="Times New Roman" w:cs="Times New Roman"/>
                <w:color w:val="000000"/>
                <w:sz w:val="16"/>
                <w:szCs w:val="16"/>
                <w:lang w:eastAsia="sk-SK"/>
              </w:rPr>
              <w:t>4</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4 977 093</w:t>
            </w:r>
          </w:p>
        </w:tc>
      </w:tr>
      <w:tr w:rsidR="00AA17E3" w:rsidRPr="00F80EBB" w:rsidTr="00AA17E3">
        <w:trPr>
          <w:trHeight w:val="285"/>
        </w:trPr>
        <w:tc>
          <w:tcPr>
            <w:tcW w:w="1263" w:type="pct"/>
            <w:tcBorders>
              <w:top w:val="nil"/>
              <w:left w:val="nil"/>
              <w:bottom w:val="nil"/>
              <w:right w:val="nil"/>
            </w:tcBorders>
            <w:shd w:val="clear" w:color="auto" w:fill="auto"/>
            <w:vAlign w:val="center"/>
            <w:hideMark/>
          </w:tcPr>
          <w:p w:rsidR="00AA17E3" w:rsidRPr="00F80EBB" w:rsidRDefault="00AA17E3" w:rsidP="00AA17E3">
            <w:pPr>
              <w:spacing w:after="0" w:line="240" w:lineRule="auto"/>
              <w:ind w:firstLineChars="100" w:firstLine="160"/>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Osobné výdavky</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2 267 838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2 461 818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2 503 922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2 540 987</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2 463 88</w:t>
            </w:r>
            <w:r>
              <w:rPr>
                <w:rFonts w:ascii="Times New Roman" w:eastAsia="Times New Roman" w:hAnsi="Times New Roman" w:cs="Times New Roman"/>
                <w:color w:val="000000"/>
                <w:sz w:val="16"/>
                <w:szCs w:val="16"/>
                <w:lang w:eastAsia="sk-SK"/>
              </w:rPr>
              <w:t>4</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2 603 147</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2 733 079</w:t>
            </w:r>
          </w:p>
        </w:tc>
      </w:tr>
      <w:tr w:rsidR="00AA17E3" w:rsidRPr="00F80EBB" w:rsidTr="00AA17E3">
        <w:trPr>
          <w:trHeight w:val="285"/>
        </w:trPr>
        <w:tc>
          <w:tcPr>
            <w:tcW w:w="1263" w:type="pct"/>
            <w:tcBorders>
              <w:top w:val="nil"/>
              <w:left w:val="nil"/>
              <w:bottom w:val="nil"/>
              <w:right w:val="nil"/>
            </w:tcBorders>
            <w:shd w:val="clear" w:color="auto" w:fill="auto"/>
            <w:vAlign w:val="center"/>
            <w:hideMark/>
          </w:tcPr>
          <w:p w:rsidR="00AA17E3" w:rsidRPr="00F80EBB" w:rsidRDefault="00AA17E3" w:rsidP="00AA17E3">
            <w:pPr>
              <w:spacing w:after="0" w:line="240" w:lineRule="auto"/>
              <w:ind w:firstLineChars="100" w:firstLine="160"/>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 xml:space="preserve">Tovary a služby                  </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1 315 139</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1 297 468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1 476 991</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1 476 99</w:t>
            </w:r>
            <w:r>
              <w:rPr>
                <w:rFonts w:ascii="Times New Roman" w:eastAsia="Times New Roman" w:hAnsi="Times New Roman" w:cs="Times New Roman"/>
                <w:color w:val="000000"/>
                <w:sz w:val="16"/>
                <w:szCs w:val="16"/>
                <w:lang w:eastAsia="sk-SK"/>
              </w:rPr>
              <w:t>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1 464 768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1 478 720</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1 514 542</w:t>
            </w:r>
          </w:p>
        </w:tc>
      </w:tr>
      <w:tr w:rsidR="00AA17E3" w:rsidRPr="00F80EBB" w:rsidTr="00AA17E3">
        <w:trPr>
          <w:trHeight w:val="285"/>
        </w:trPr>
        <w:tc>
          <w:tcPr>
            <w:tcW w:w="1263" w:type="pct"/>
            <w:tcBorders>
              <w:top w:val="nil"/>
              <w:left w:val="nil"/>
              <w:bottom w:val="nil"/>
              <w:right w:val="nil"/>
            </w:tcBorders>
            <w:shd w:val="clear" w:color="auto" w:fill="auto"/>
            <w:vAlign w:val="center"/>
            <w:hideMark/>
          </w:tcPr>
          <w:p w:rsidR="00AA17E3" w:rsidRPr="00F80EBB" w:rsidRDefault="00AA17E3" w:rsidP="00AA17E3">
            <w:pPr>
              <w:spacing w:after="0" w:line="240" w:lineRule="auto"/>
              <w:ind w:firstLineChars="100" w:firstLine="160"/>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 xml:space="preserve">Bežné transfery                  </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594 238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625 752</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610 975</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650 975</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682 360</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697 84</w:t>
            </w:r>
            <w:r>
              <w:rPr>
                <w:rFonts w:ascii="Times New Roman" w:eastAsia="Times New Roman" w:hAnsi="Times New Roman" w:cs="Times New Roman"/>
                <w:color w:val="000000"/>
                <w:sz w:val="16"/>
                <w:szCs w:val="16"/>
                <w:lang w:eastAsia="sk-SK"/>
              </w:rPr>
              <w:t>7</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712 472</w:t>
            </w:r>
          </w:p>
        </w:tc>
      </w:tr>
      <w:tr w:rsidR="00AA17E3" w:rsidRPr="00F80EBB" w:rsidTr="00AA17E3">
        <w:trPr>
          <w:trHeight w:val="285"/>
        </w:trPr>
        <w:tc>
          <w:tcPr>
            <w:tcW w:w="1263" w:type="pct"/>
            <w:tcBorders>
              <w:top w:val="nil"/>
              <w:left w:val="nil"/>
              <w:bottom w:val="nil"/>
              <w:right w:val="nil"/>
            </w:tcBorders>
            <w:shd w:val="clear" w:color="auto" w:fill="auto"/>
            <w:vAlign w:val="center"/>
            <w:hideMark/>
          </w:tcPr>
          <w:p w:rsidR="00AA17E3" w:rsidRPr="00F80EBB" w:rsidRDefault="00AA17E3" w:rsidP="00AA17E3">
            <w:pPr>
              <w:spacing w:after="0" w:line="240" w:lineRule="auto"/>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 xml:space="preserve">Kapitálové výdavky      </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857 863</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779 020</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552 984</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664 618</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812 753</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671 596</w:t>
            </w:r>
          </w:p>
        </w:tc>
        <w:tc>
          <w:tcPr>
            <w:tcW w:w="534" w:type="pct"/>
            <w:tcBorders>
              <w:top w:val="nil"/>
              <w:left w:val="nil"/>
              <w:bottom w:val="nil"/>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531 093</w:t>
            </w:r>
          </w:p>
        </w:tc>
      </w:tr>
      <w:tr w:rsidR="00AA17E3" w:rsidRPr="00F80EBB" w:rsidTr="00AA17E3">
        <w:trPr>
          <w:trHeight w:val="285"/>
        </w:trPr>
        <w:tc>
          <w:tcPr>
            <w:tcW w:w="1263"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 xml:space="preserve">Finančné operácie </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226 647</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238 356</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220 000</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230 000</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235 000</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235 000</w:t>
            </w:r>
          </w:p>
        </w:tc>
        <w:tc>
          <w:tcPr>
            <w:tcW w:w="534" w:type="pct"/>
            <w:tcBorders>
              <w:top w:val="nil"/>
              <w:left w:val="nil"/>
              <w:bottom w:val="single" w:sz="4" w:space="0" w:color="auto"/>
              <w:right w:val="nil"/>
            </w:tcBorders>
            <w:shd w:val="clear" w:color="auto" w:fill="auto"/>
            <w:noWrap/>
            <w:vAlign w:val="center"/>
            <w:hideMark/>
          </w:tcPr>
          <w:p w:rsidR="00AA17E3" w:rsidRPr="00F80EBB" w:rsidRDefault="00AA17E3" w:rsidP="00AA17E3">
            <w:pPr>
              <w:spacing w:after="0" w:line="240" w:lineRule="auto"/>
              <w:jc w:val="right"/>
              <w:rPr>
                <w:rFonts w:ascii="Times New Roman" w:eastAsia="Times New Roman" w:hAnsi="Times New Roman" w:cs="Times New Roman"/>
                <w:color w:val="000000"/>
                <w:sz w:val="16"/>
                <w:szCs w:val="16"/>
                <w:lang w:eastAsia="sk-SK"/>
              </w:rPr>
            </w:pPr>
            <w:r w:rsidRPr="00F80EBB">
              <w:rPr>
                <w:rFonts w:ascii="Times New Roman" w:eastAsia="Times New Roman" w:hAnsi="Times New Roman" w:cs="Times New Roman"/>
                <w:color w:val="000000"/>
                <w:sz w:val="16"/>
                <w:szCs w:val="16"/>
                <w:lang w:eastAsia="sk-SK"/>
              </w:rPr>
              <w:t>235 000</w:t>
            </w:r>
          </w:p>
        </w:tc>
      </w:tr>
    </w:tbl>
    <w:p w:rsidR="00AA17E3" w:rsidRPr="00F80EBB" w:rsidRDefault="00AA17E3" w:rsidP="00F7633B">
      <w:pPr>
        <w:spacing w:after="0"/>
        <w:ind w:left="7080" w:firstLine="708"/>
        <w:jc w:val="both"/>
        <w:rPr>
          <w:rFonts w:ascii="Times New Roman" w:hAnsi="Times New Roman"/>
          <w:i/>
          <w:noProof/>
          <w:szCs w:val="24"/>
          <w:lang w:eastAsia="sk-SK"/>
        </w:rPr>
      </w:pPr>
      <w:r w:rsidRPr="00F80EBB">
        <w:rPr>
          <w:rFonts w:ascii="Times New Roman" w:hAnsi="Times New Roman"/>
          <w:kern w:val="32"/>
          <w:sz w:val="16"/>
          <w:szCs w:val="16"/>
        </w:rPr>
        <w:t xml:space="preserve">        </w:t>
      </w:r>
      <w:r w:rsidRPr="00F80EBB">
        <w:rPr>
          <w:rFonts w:ascii="Times New Roman" w:hAnsi="Times New Roman"/>
          <w:i/>
          <w:kern w:val="32"/>
          <w:sz w:val="16"/>
          <w:szCs w:val="16"/>
        </w:rPr>
        <w:t>Zdroj: MF SR</w:t>
      </w:r>
    </w:p>
    <w:p w:rsidR="00F7633B" w:rsidRDefault="00F7633B" w:rsidP="00F7633B">
      <w:pPr>
        <w:spacing w:after="0"/>
        <w:contextualSpacing/>
        <w:jc w:val="both"/>
        <w:rPr>
          <w:rFonts w:ascii="Times New Roman" w:hAnsi="Times New Roman"/>
          <w:noProof/>
          <w:sz w:val="24"/>
          <w:szCs w:val="24"/>
          <w:lang w:eastAsia="sk-SK"/>
        </w:rPr>
      </w:pPr>
    </w:p>
    <w:p w:rsidR="00AA17E3" w:rsidRPr="00F80EBB" w:rsidRDefault="00AA17E3" w:rsidP="00F7633B">
      <w:pPr>
        <w:spacing w:after="0"/>
        <w:contextualSpacing/>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Na rok 2022 sú rozpočtované celkové výdavky obcí v sume 5,68 mld. eur. Z toho pripadá na bežné výdavky suma 4,63 mld. eur. Na kapitálové výdavky sa predpokladá vynaložiť suma </w:t>
      </w:r>
      <w:r w:rsidRPr="00F80EBB">
        <w:rPr>
          <w:rFonts w:ascii="Times New Roman" w:hAnsi="Times New Roman"/>
          <w:noProof/>
          <w:sz w:val="24"/>
          <w:szCs w:val="24"/>
          <w:lang w:eastAsia="sk-SK"/>
        </w:rPr>
        <w:br/>
        <w:t>813 mil. eur. Na výdavkové finančné operácie sa rozpočtuje suma 235 mil. eur.</w:t>
      </w:r>
    </w:p>
    <w:p w:rsidR="00AA17E3" w:rsidRPr="00F80EBB" w:rsidRDefault="00AA17E3" w:rsidP="00AA17E3">
      <w:pPr>
        <w:spacing w:after="0"/>
        <w:contextualSpacing/>
        <w:jc w:val="both"/>
        <w:rPr>
          <w:rFonts w:ascii="Times New Roman" w:hAnsi="Times New Roman"/>
          <w:noProof/>
          <w:sz w:val="24"/>
          <w:szCs w:val="24"/>
          <w:lang w:eastAsia="sk-SK"/>
        </w:rPr>
      </w:pPr>
    </w:p>
    <w:p w:rsidR="00AA17E3" w:rsidRPr="00F80EBB" w:rsidRDefault="00AA17E3" w:rsidP="00AA17E3">
      <w:pPr>
        <w:spacing w:after="0"/>
        <w:contextualSpacing/>
        <w:jc w:val="both"/>
        <w:rPr>
          <w:rFonts w:ascii="Times New Roman" w:hAnsi="Times New Roman"/>
          <w:noProof/>
          <w:sz w:val="24"/>
          <w:szCs w:val="24"/>
          <w:lang w:eastAsia="sk-SK"/>
        </w:rPr>
      </w:pPr>
      <w:r w:rsidRPr="00F80EBB">
        <w:rPr>
          <w:rFonts w:ascii="Times New Roman" w:hAnsi="Times New Roman"/>
          <w:noProof/>
          <w:sz w:val="24"/>
          <w:szCs w:val="24"/>
          <w:lang w:eastAsia="sk-SK"/>
        </w:rPr>
        <w:t>V rámci bežných výdavkov ide najmä o osobné výdavky vo výške 2,46 mld. eur pre zamestnancov obcí a ich rozpočtových organizácií. Úroveň osobných výdavkov je ovplyvnená skutočnosťou, že jednotlivé rozpočtové kapitoly predbežne nezapájajú prostriedky EÚ a spolufinancovanie v rámci rozpočtu, pričom v skutočnosti za rok 2020 predstavovali tieto prostriedky sumu 116 mil. eur. Ďalej</w:t>
      </w:r>
      <w:r w:rsidR="00ED2BAA">
        <w:rPr>
          <w:rFonts w:ascii="Times New Roman" w:hAnsi="Times New Roman"/>
          <w:noProof/>
          <w:sz w:val="24"/>
          <w:szCs w:val="24"/>
          <w:lang w:eastAsia="sk-SK"/>
        </w:rPr>
        <w:t xml:space="preserve"> sú to</w:t>
      </w:r>
      <w:r w:rsidRPr="00F80EBB">
        <w:rPr>
          <w:rFonts w:ascii="Times New Roman" w:hAnsi="Times New Roman"/>
          <w:noProof/>
          <w:sz w:val="24"/>
          <w:szCs w:val="24"/>
          <w:lang w:eastAsia="sk-SK"/>
        </w:rPr>
        <w:t xml:space="preserve"> tovary a služby v sume 1,46 mld. eur na zabezpečenie činnosti obcí a ich rozpočtových organizácií a bežné tranfery 682 mil. eur najmä na financovanie príspevkových organizácií v zriaďovateľskej pôsobnosti obcí, podnikov mestskej hromadnej dopravy a pod.</w:t>
      </w:r>
    </w:p>
    <w:p w:rsidR="00AA17E3" w:rsidRPr="00F80EBB" w:rsidRDefault="00AA17E3" w:rsidP="00AA17E3">
      <w:pPr>
        <w:spacing w:after="0"/>
        <w:contextualSpacing/>
        <w:jc w:val="both"/>
        <w:rPr>
          <w:rFonts w:ascii="Times New Roman" w:hAnsi="Times New Roman"/>
          <w:noProof/>
          <w:sz w:val="24"/>
          <w:szCs w:val="24"/>
          <w:lang w:eastAsia="sk-SK"/>
        </w:rPr>
      </w:pPr>
    </w:p>
    <w:p w:rsidR="00AA17E3" w:rsidRPr="00F80EBB" w:rsidRDefault="00AA17E3" w:rsidP="00AA17E3">
      <w:pPr>
        <w:spacing w:after="0"/>
        <w:contextualSpacing/>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V rámci bežných výdavkov sa rozpočtujú výdavky na prenesený výkon štátnej správy v celkovej výške 1,14 mld. eur, pričom na financovanie regionálneho školstva sa rozpočtuje suma 1,11 mld. eur, na matričnú činnosť suma 8,90 mil. eur, na hlásenie pobytu občanov </w:t>
      </w:r>
      <w:r w:rsidRPr="00F80EBB">
        <w:rPr>
          <w:rFonts w:ascii="Times New Roman" w:hAnsi="Times New Roman"/>
          <w:noProof/>
          <w:sz w:val="24"/>
          <w:szCs w:val="24"/>
          <w:lang w:eastAsia="sk-SK"/>
        </w:rPr>
        <w:br/>
        <w:t>a vedenie registra obyvateľov Slovenskej republiky suma 1,80 mil. eur, na register adries suma 197 tis. eur, na starostlivosť o životné prostredie suma 547 tis. eur, na voľby suma 10,5 mil. eur, na dopravu suma 236 tis. eur, na pôsobnosti na úseku stavebného poriadku suma 8,24 mil. eur.</w:t>
      </w:r>
    </w:p>
    <w:p w:rsidR="00AA17E3" w:rsidRPr="00F80EBB" w:rsidRDefault="00AA17E3" w:rsidP="00AA17E3">
      <w:pPr>
        <w:spacing w:after="0"/>
        <w:contextualSpacing/>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V rámci bežných výdavkov sa rozpočtujú výdavky na originálne kompetencie vo výške </w:t>
      </w:r>
      <w:r w:rsidRPr="00F80EBB">
        <w:rPr>
          <w:rFonts w:ascii="Times New Roman" w:hAnsi="Times New Roman"/>
          <w:noProof/>
          <w:sz w:val="24"/>
          <w:szCs w:val="24"/>
          <w:lang w:eastAsia="sk-SK"/>
        </w:rPr>
        <w:br/>
        <w:t>3,49 mld. eur, ktoré obce použijú na financovanie vzdelávania (materské školy, základné umelecké školy a školské zariadenia</w:t>
      </w:r>
      <w:r w:rsidRPr="00F80EBB">
        <w:rPr>
          <w:rFonts w:ascii="Times New Roman" w:hAnsi="Times New Roman"/>
          <w:sz w:val="24"/>
          <w:szCs w:val="24"/>
        </w:rPr>
        <w:t>)</w:t>
      </w:r>
      <w:r w:rsidRPr="00F80EBB">
        <w:rPr>
          <w:rFonts w:ascii="Times New Roman" w:hAnsi="Times New Roman"/>
          <w:noProof/>
          <w:sz w:val="24"/>
          <w:szCs w:val="24"/>
          <w:lang w:eastAsia="sk-SK"/>
        </w:rPr>
        <w:t xml:space="preserve">, činnosti obecných a mestských úradov, cestnej dopravy, rozvoja obcí a bývania,  sociálneho zabezpečenia, rekreačných a kultúrnych služieb, požiarnej ochrany a verejného poriadku a ochrany životného prostredia najmä v oblasti nakladania </w:t>
      </w:r>
      <w:r w:rsidRPr="00F80EBB">
        <w:rPr>
          <w:rFonts w:ascii="Times New Roman" w:hAnsi="Times New Roman"/>
          <w:noProof/>
          <w:sz w:val="24"/>
          <w:szCs w:val="24"/>
          <w:lang w:eastAsia="sk-SK"/>
        </w:rPr>
        <w:br/>
        <w:t xml:space="preserve">s odpadmi. </w:t>
      </w:r>
    </w:p>
    <w:p w:rsidR="00AA17E3" w:rsidRPr="00F80EBB" w:rsidRDefault="00AA17E3" w:rsidP="00AA17E3">
      <w:pPr>
        <w:spacing w:after="0"/>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V rámci kapitálových výdavkov obcí sa na rok 2022 rozpočtuje suma 813 mil. eur, pričom sa predpokladá, že vlastné zdroje zapoja vo výške 535 mil. eur a zároveň vyčerpajú prijaté kapitálové transfery v sume 278 mil. eur, z toho zdroje na financovanie spoločných projektov EÚ a SR do rozpočtov obcí predstavujú 191 mil. eur, pričom ide o prostriedky </w:t>
      </w:r>
      <w:r w:rsidRPr="00F80EBB">
        <w:rPr>
          <w:rFonts w:ascii="Times New Roman" w:hAnsi="Times New Roman"/>
          <w:noProof/>
          <w:sz w:val="24"/>
          <w:szCs w:val="24"/>
          <w:lang w:eastAsia="sk-SK"/>
        </w:rPr>
        <w:br/>
        <w:t xml:space="preserve">MŠVVŠ SR vynaložené vrámci Plánu obnovy a odolnosti na vytvorenie vzdelávania pre </w:t>
      </w:r>
      <w:r w:rsidRPr="00F80EBB">
        <w:rPr>
          <w:rFonts w:ascii="Times New Roman" w:hAnsi="Times New Roman"/>
          <w:noProof/>
          <w:sz w:val="24"/>
          <w:szCs w:val="24"/>
          <w:lang w:eastAsia="sk-SK"/>
        </w:rPr>
        <w:br/>
        <w:t>21. storočie a na inkluzívne vzdelávanie. Zvýšenie kapitálových výdavkov sa očakáva v nadväznosti na uvedené zdroje Plánu obnovy, ako aj v súvislosti s predpokladaným zvýšením investičného úsilia obcí a miest vo volebnom roku. Ostatné kapitálové výdavky sa plánujú použiť najmä na výstavbu a</w:t>
      </w:r>
      <w:r w:rsidR="00ED2BAA">
        <w:rPr>
          <w:rFonts w:ascii="Times New Roman" w:hAnsi="Times New Roman"/>
          <w:noProof/>
          <w:sz w:val="24"/>
          <w:szCs w:val="24"/>
          <w:lang w:eastAsia="sk-SK"/>
        </w:rPr>
        <w:t> </w:t>
      </w:r>
      <w:r w:rsidRPr="00F80EBB">
        <w:rPr>
          <w:rFonts w:ascii="Times New Roman" w:hAnsi="Times New Roman"/>
          <w:noProof/>
          <w:sz w:val="24"/>
          <w:szCs w:val="24"/>
          <w:lang w:eastAsia="sk-SK"/>
        </w:rPr>
        <w:t>modernizáciu</w:t>
      </w:r>
      <w:r w:rsidR="00ED2BAA">
        <w:rPr>
          <w:rFonts w:ascii="Times New Roman" w:hAnsi="Times New Roman"/>
          <w:noProof/>
          <w:sz w:val="24"/>
          <w:szCs w:val="24"/>
          <w:lang w:eastAsia="sk-SK"/>
        </w:rPr>
        <w:t>,</w:t>
      </w:r>
      <w:r w:rsidRPr="00F80EBB">
        <w:rPr>
          <w:rFonts w:ascii="Times New Roman" w:hAnsi="Times New Roman"/>
          <w:noProof/>
          <w:sz w:val="24"/>
          <w:szCs w:val="24"/>
          <w:lang w:eastAsia="sk-SK"/>
        </w:rPr>
        <w:t xml:space="preserve"> resp. rekonštrukciu cestnej dopravy, kultúrnych pamiatok a ďalšieho majetku obce.</w:t>
      </w:r>
    </w:p>
    <w:p w:rsidR="00AA17E3" w:rsidRDefault="00AA17E3" w:rsidP="00AA17E3">
      <w:pPr>
        <w:spacing w:after="0"/>
        <w:rPr>
          <w:rFonts w:ascii="Times New Roman" w:hAnsi="Times New Roman"/>
          <w:b/>
          <w:noProof/>
          <w:color w:val="5B9BD5" w:themeColor="accent1"/>
          <w:sz w:val="24"/>
          <w:szCs w:val="24"/>
          <w:lang w:eastAsia="sk-SK"/>
        </w:rPr>
      </w:pPr>
    </w:p>
    <w:p w:rsidR="00AA17E3" w:rsidRDefault="00AA17E3" w:rsidP="00AA17E3">
      <w:pPr>
        <w:spacing w:after="0"/>
        <w:rPr>
          <w:rFonts w:ascii="Times New Roman" w:hAnsi="Times New Roman"/>
          <w:b/>
          <w:noProof/>
          <w:color w:val="5B9BD5" w:themeColor="accent1"/>
          <w:sz w:val="24"/>
          <w:szCs w:val="24"/>
          <w:lang w:eastAsia="sk-SK"/>
        </w:rPr>
      </w:pPr>
      <w:r w:rsidRPr="00F80EBB">
        <w:rPr>
          <w:rFonts w:ascii="Times New Roman" w:hAnsi="Times New Roman"/>
          <w:b/>
          <w:noProof/>
          <w:color w:val="5B9BD5" w:themeColor="accent1"/>
          <w:sz w:val="24"/>
          <w:szCs w:val="24"/>
          <w:lang w:eastAsia="sk-SK"/>
        </w:rPr>
        <w:t>Vyššie územné celky</w:t>
      </w:r>
    </w:p>
    <w:p w:rsidR="00AA17E3" w:rsidRPr="00F80EBB" w:rsidRDefault="00AA17E3" w:rsidP="00AA17E3">
      <w:pPr>
        <w:spacing w:after="0"/>
        <w:rPr>
          <w:rFonts w:ascii="Times New Roman" w:hAnsi="Times New Roman"/>
          <w:b/>
          <w:noProof/>
          <w:color w:val="5B9BD5" w:themeColor="accent1"/>
          <w:sz w:val="24"/>
          <w:szCs w:val="24"/>
          <w:lang w:eastAsia="sk-SK"/>
        </w:rPr>
      </w:pPr>
    </w:p>
    <w:p w:rsidR="00637878"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Vyššie územné celky (ďalej len „VÚC“) zabezpečujú vo svojich rozpočtoch výdavky na financovanie preneseného výkonu štátnej správy a financovanie samosprávn</w:t>
      </w:r>
      <w:r w:rsidR="000E1014">
        <w:rPr>
          <w:rFonts w:ascii="Times New Roman" w:hAnsi="Times New Roman"/>
          <w:noProof/>
          <w:sz w:val="24"/>
          <w:szCs w:val="24"/>
          <w:lang w:eastAsia="sk-SK"/>
        </w:rPr>
        <w:t>ych (originálnych) kompetencií.</w:t>
      </w:r>
    </w:p>
    <w:p w:rsidR="00637878" w:rsidRDefault="00637878" w:rsidP="00AA17E3">
      <w:pPr>
        <w:spacing w:after="0"/>
        <w:jc w:val="both"/>
        <w:rPr>
          <w:rFonts w:ascii="Times New Roman" w:hAnsi="Times New Roman"/>
          <w:noProof/>
          <w:sz w:val="24"/>
          <w:szCs w:val="24"/>
          <w:lang w:eastAsia="sk-SK"/>
        </w:rPr>
      </w:pPr>
    </w:p>
    <w:p w:rsidR="00AA17E3"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Vývoj výdavkovej časti rozpočtu VÚC na roky 2022 až 2024 v porovnaní so schváleným rozpočtom VÚC na rok 2021, očakávanou skutočnosťou na rok 2021 a skutočnosťou za roky 2019 a 2020 je nasledovný (predikcia M</w:t>
      </w:r>
      <w:r>
        <w:rPr>
          <w:rFonts w:ascii="Times New Roman" w:hAnsi="Times New Roman"/>
          <w:noProof/>
          <w:sz w:val="24"/>
          <w:szCs w:val="24"/>
          <w:lang w:eastAsia="sk-SK"/>
        </w:rPr>
        <w:t>inisterstva financií</w:t>
      </w:r>
      <w:r w:rsidR="000E1014">
        <w:rPr>
          <w:rFonts w:ascii="Times New Roman" w:hAnsi="Times New Roman"/>
          <w:noProof/>
          <w:sz w:val="24"/>
          <w:szCs w:val="24"/>
          <w:lang w:eastAsia="sk-SK"/>
        </w:rPr>
        <w:t xml:space="preserve"> SR).</w:t>
      </w: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Pr="00F80EBB" w:rsidRDefault="000E1014" w:rsidP="00AA17E3">
      <w:pPr>
        <w:spacing w:after="0"/>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p>
    <w:tbl>
      <w:tblPr>
        <w:tblpPr w:leftFromText="141" w:rightFromText="141" w:vertAnchor="text" w:horzAnchor="margin" w:tblpY="272"/>
        <w:tblW w:w="5000" w:type="pct"/>
        <w:tblCellMar>
          <w:left w:w="70" w:type="dxa"/>
          <w:right w:w="70" w:type="dxa"/>
        </w:tblCellMar>
        <w:tblLook w:val="04A0" w:firstRow="1" w:lastRow="0" w:firstColumn="1" w:lastColumn="0" w:noHBand="0" w:noVBand="1"/>
      </w:tblPr>
      <w:tblGrid>
        <w:gridCol w:w="1652"/>
        <w:gridCol w:w="1060"/>
        <w:gridCol w:w="1060"/>
        <w:gridCol w:w="1060"/>
        <w:gridCol w:w="1060"/>
        <w:gridCol w:w="1060"/>
        <w:gridCol w:w="1060"/>
        <w:gridCol w:w="1060"/>
      </w:tblGrid>
      <w:tr w:rsidR="00AA17E3" w:rsidRPr="00F80EBB" w:rsidTr="00AA17E3">
        <w:trPr>
          <w:trHeight w:val="313"/>
        </w:trPr>
        <w:tc>
          <w:tcPr>
            <w:tcW w:w="910"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v tis. eur</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2019 S</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2020 S</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2021 R</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2021 OS</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2022 N</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2023 N</w:t>
            </w:r>
          </w:p>
        </w:tc>
        <w:tc>
          <w:tcPr>
            <w:tcW w:w="584" w:type="pct"/>
            <w:tcBorders>
              <w:top w:val="single" w:sz="4" w:space="0" w:color="auto"/>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b/>
                <w:bCs/>
                <w:noProof/>
                <w:color w:val="000000"/>
                <w:sz w:val="16"/>
                <w:szCs w:val="16"/>
                <w:lang w:eastAsia="sk-SK"/>
              </w:rPr>
            </w:pPr>
            <w:r w:rsidRPr="00F80EBB">
              <w:rPr>
                <w:rFonts w:ascii="Times New Roman" w:hAnsi="Times New Roman"/>
                <w:b/>
                <w:bCs/>
                <w:noProof/>
                <w:color w:val="000000"/>
                <w:sz w:val="16"/>
                <w:szCs w:val="16"/>
                <w:lang w:eastAsia="sk-SK"/>
              </w:rPr>
              <w:t>2024 N</w:t>
            </w:r>
          </w:p>
        </w:tc>
      </w:tr>
      <w:tr w:rsidR="00AA17E3" w:rsidRPr="00F80EBB" w:rsidTr="00AA17E3">
        <w:trPr>
          <w:trHeight w:val="591"/>
        </w:trPr>
        <w:tc>
          <w:tcPr>
            <w:tcW w:w="910" w:type="pct"/>
            <w:tcBorders>
              <w:top w:val="nil"/>
              <w:left w:val="nil"/>
              <w:bottom w:val="nil"/>
              <w:right w:val="nil"/>
            </w:tcBorders>
            <w:shd w:val="clear" w:color="auto" w:fill="auto"/>
            <w:noWrap/>
            <w:vAlign w:val="center"/>
            <w:hideMark/>
          </w:tcPr>
          <w:p w:rsidR="00AA17E3" w:rsidRPr="00F80EBB" w:rsidRDefault="00AA17E3" w:rsidP="00AA17E3">
            <w:pPr>
              <w:rPr>
                <w:rFonts w:ascii="Times New Roman" w:hAnsi="Times New Roman"/>
                <w:b/>
                <w:noProof/>
                <w:color w:val="000000"/>
                <w:sz w:val="16"/>
                <w:szCs w:val="16"/>
                <w:lang w:eastAsia="sk-SK"/>
              </w:rPr>
            </w:pPr>
            <w:r w:rsidRPr="00F80EBB">
              <w:rPr>
                <w:rFonts w:ascii="Times New Roman" w:hAnsi="Times New Roman"/>
                <w:b/>
                <w:noProof/>
                <w:color w:val="000000"/>
                <w:sz w:val="16"/>
                <w:szCs w:val="16"/>
                <w:lang w:eastAsia="sk-SK"/>
              </w:rPr>
              <w:t>Výdavky</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1 593 505</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1 701 733</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1 688 599</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1 705 325</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1 748 584</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1 808 742</w:t>
            </w:r>
          </w:p>
        </w:tc>
        <w:tc>
          <w:tcPr>
            <w:tcW w:w="584" w:type="pct"/>
            <w:tcBorders>
              <w:top w:val="nil"/>
              <w:left w:val="nil"/>
              <w:bottom w:val="nil"/>
              <w:right w:val="nil"/>
            </w:tcBorders>
            <w:shd w:val="clear" w:color="auto" w:fill="auto"/>
            <w:noWrap/>
            <w:vAlign w:val="center"/>
            <w:hideMark/>
          </w:tcPr>
          <w:p w:rsidR="00AA17E3" w:rsidRPr="00F80EBB" w:rsidRDefault="00AA17E3" w:rsidP="00AA17E3">
            <w:pPr>
              <w:jc w:val="right"/>
              <w:rPr>
                <w:rFonts w:ascii="Times New Roman" w:hAnsi="Times New Roman" w:cs="Times New Roman"/>
                <w:b/>
                <w:sz w:val="16"/>
                <w:szCs w:val="16"/>
              </w:rPr>
            </w:pPr>
            <w:r w:rsidRPr="00F80EBB">
              <w:rPr>
                <w:rFonts w:ascii="Times New Roman" w:hAnsi="Times New Roman" w:cs="Times New Roman"/>
                <w:b/>
                <w:sz w:val="16"/>
                <w:szCs w:val="16"/>
              </w:rPr>
              <w:t>1 885 152</w:t>
            </w:r>
          </w:p>
        </w:tc>
      </w:tr>
      <w:tr w:rsidR="00AA17E3" w:rsidRPr="00F80EBB" w:rsidTr="00AA17E3">
        <w:trPr>
          <w:trHeight w:val="313"/>
        </w:trPr>
        <w:tc>
          <w:tcPr>
            <w:tcW w:w="910" w:type="pct"/>
            <w:tcBorders>
              <w:top w:val="nil"/>
              <w:left w:val="nil"/>
              <w:bottom w:val="nil"/>
              <w:right w:val="nil"/>
            </w:tcBorders>
            <w:shd w:val="clear" w:color="auto" w:fill="auto"/>
            <w:hideMark/>
          </w:tcPr>
          <w:p w:rsidR="00AA17E3" w:rsidRPr="00F80EBB" w:rsidRDefault="00AA17E3" w:rsidP="00AA17E3">
            <w:pPr>
              <w:rPr>
                <w:rFonts w:ascii="Times New Roman" w:hAnsi="Times New Roman"/>
                <w:noProof/>
                <w:color w:val="000000"/>
                <w:sz w:val="16"/>
                <w:szCs w:val="16"/>
                <w:lang w:eastAsia="sk-SK"/>
              </w:rPr>
            </w:pPr>
            <w:r w:rsidRPr="00F80EBB">
              <w:rPr>
                <w:rFonts w:ascii="Times New Roman" w:hAnsi="Times New Roman"/>
                <w:noProof/>
                <w:color w:val="000000"/>
                <w:sz w:val="16"/>
                <w:szCs w:val="16"/>
                <w:lang w:eastAsia="sk-SK"/>
              </w:rPr>
              <w:t xml:space="preserve">Bežné výdavky          </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1 340 458</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1 426 998</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1 474 323</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1 463 770</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1 520 170</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1 581 428</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1 657 838</w:t>
            </w:r>
          </w:p>
        </w:tc>
      </w:tr>
      <w:tr w:rsidR="00AA17E3" w:rsidRPr="00F80EBB" w:rsidTr="00AA17E3">
        <w:trPr>
          <w:trHeight w:val="313"/>
        </w:trPr>
        <w:tc>
          <w:tcPr>
            <w:tcW w:w="910" w:type="pct"/>
            <w:tcBorders>
              <w:top w:val="nil"/>
              <w:left w:val="nil"/>
              <w:bottom w:val="nil"/>
              <w:right w:val="nil"/>
            </w:tcBorders>
            <w:shd w:val="clear" w:color="auto" w:fill="auto"/>
          </w:tcPr>
          <w:p w:rsidR="00AA17E3" w:rsidRPr="00F80EBB" w:rsidRDefault="00AA17E3" w:rsidP="00AA17E3">
            <w:pPr>
              <w:ind w:left="214"/>
              <w:rPr>
                <w:rFonts w:ascii="Times New Roman" w:hAnsi="Times New Roman"/>
                <w:noProof/>
                <w:sz w:val="16"/>
                <w:szCs w:val="16"/>
                <w:lang w:eastAsia="sk-SK"/>
              </w:rPr>
            </w:pPr>
            <w:r w:rsidRPr="00F80EBB">
              <w:rPr>
                <w:rFonts w:ascii="Times New Roman" w:hAnsi="Times New Roman"/>
                <w:noProof/>
                <w:color w:val="000000"/>
                <w:sz w:val="16"/>
                <w:szCs w:val="16"/>
                <w:lang w:eastAsia="sk-SK"/>
              </w:rPr>
              <w:t>Osobné výdavky</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534 676</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582 378</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600 486</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515 397</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553 355</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564 424</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582 245</w:t>
            </w:r>
          </w:p>
        </w:tc>
      </w:tr>
      <w:tr w:rsidR="00AA17E3" w:rsidRPr="00F80EBB" w:rsidTr="00AA17E3">
        <w:trPr>
          <w:trHeight w:val="313"/>
        </w:trPr>
        <w:tc>
          <w:tcPr>
            <w:tcW w:w="910" w:type="pct"/>
            <w:tcBorders>
              <w:top w:val="nil"/>
              <w:left w:val="nil"/>
              <w:bottom w:val="nil"/>
              <w:right w:val="nil"/>
            </w:tcBorders>
            <w:shd w:val="clear" w:color="auto" w:fill="auto"/>
          </w:tcPr>
          <w:p w:rsidR="00AA17E3" w:rsidRPr="00F80EBB" w:rsidRDefault="00AA17E3" w:rsidP="00AA17E3">
            <w:pPr>
              <w:ind w:left="214"/>
              <w:rPr>
                <w:rFonts w:ascii="Times New Roman" w:hAnsi="Times New Roman"/>
                <w:noProof/>
                <w:color w:val="000000"/>
                <w:sz w:val="16"/>
                <w:szCs w:val="16"/>
                <w:lang w:eastAsia="sk-SK"/>
              </w:rPr>
            </w:pPr>
            <w:r w:rsidRPr="00F80EBB">
              <w:rPr>
                <w:rFonts w:ascii="Times New Roman" w:hAnsi="Times New Roman"/>
                <w:noProof/>
                <w:color w:val="000000"/>
                <w:sz w:val="16"/>
                <w:szCs w:val="16"/>
                <w:lang w:eastAsia="sk-SK"/>
              </w:rPr>
              <w:t xml:space="preserve">Tovary a služby                  </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246 164</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236 040</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259 877</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264 413</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280 304</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316 798</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360 754</w:t>
            </w:r>
          </w:p>
        </w:tc>
      </w:tr>
      <w:tr w:rsidR="00AA17E3" w:rsidRPr="00F80EBB" w:rsidTr="00AA17E3">
        <w:trPr>
          <w:trHeight w:val="313"/>
        </w:trPr>
        <w:tc>
          <w:tcPr>
            <w:tcW w:w="910" w:type="pct"/>
            <w:tcBorders>
              <w:top w:val="nil"/>
              <w:left w:val="nil"/>
              <w:bottom w:val="nil"/>
              <w:right w:val="nil"/>
            </w:tcBorders>
            <w:shd w:val="clear" w:color="auto" w:fill="auto"/>
          </w:tcPr>
          <w:p w:rsidR="00AA17E3" w:rsidRPr="00F80EBB" w:rsidRDefault="00AA17E3" w:rsidP="00AA17E3">
            <w:pPr>
              <w:ind w:left="214"/>
              <w:rPr>
                <w:rFonts w:ascii="Times New Roman" w:hAnsi="Times New Roman"/>
                <w:noProof/>
                <w:color w:val="000000"/>
                <w:sz w:val="16"/>
                <w:szCs w:val="16"/>
                <w:lang w:eastAsia="sk-SK"/>
              </w:rPr>
            </w:pPr>
            <w:r w:rsidRPr="00F80EBB">
              <w:rPr>
                <w:rFonts w:ascii="Times New Roman" w:hAnsi="Times New Roman"/>
                <w:noProof/>
                <w:color w:val="000000"/>
                <w:sz w:val="16"/>
                <w:szCs w:val="16"/>
                <w:lang w:eastAsia="sk-SK"/>
              </w:rPr>
              <w:t xml:space="preserve">Bežné transfery                  </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556 855</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606 224</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609 960</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679 960</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682 511</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696 206</w:t>
            </w:r>
          </w:p>
        </w:tc>
        <w:tc>
          <w:tcPr>
            <w:tcW w:w="584" w:type="pct"/>
            <w:tcBorders>
              <w:top w:val="nil"/>
              <w:left w:val="nil"/>
              <w:bottom w:val="nil"/>
              <w:right w:val="nil"/>
            </w:tcBorders>
            <w:shd w:val="clear" w:color="auto" w:fill="auto"/>
            <w:noWrap/>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710 839</w:t>
            </w:r>
          </w:p>
        </w:tc>
      </w:tr>
      <w:tr w:rsidR="00AA17E3" w:rsidRPr="00F80EBB" w:rsidTr="00AA17E3">
        <w:trPr>
          <w:trHeight w:val="313"/>
        </w:trPr>
        <w:tc>
          <w:tcPr>
            <w:tcW w:w="910" w:type="pct"/>
            <w:tcBorders>
              <w:top w:val="nil"/>
              <w:left w:val="nil"/>
              <w:bottom w:val="nil"/>
              <w:right w:val="nil"/>
            </w:tcBorders>
            <w:shd w:val="clear" w:color="auto" w:fill="auto"/>
            <w:hideMark/>
          </w:tcPr>
          <w:p w:rsidR="00AA17E3" w:rsidRPr="00F80EBB" w:rsidRDefault="00AA17E3" w:rsidP="00AA17E3">
            <w:pPr>
              <w:rPr>
                <w:rFonts w:ascii="Times New Roman" w:hAnsi="Times New Roman"/>
                <w:noProof/>
                <w:color w:val="000000"/>
                <w:sz w:val="16"/>
                <w:szCs w:val="16"/>
                <w:lang w:eastAsia="sk-SK"/>
              </w:rPr>
            </w:pPr>
            <w:r w:rsidRPr="00F80EBB">
              <w:rPr>
                <w:rFonts w:ascii="Times New Roman" w:hAnsi="Times New Roman"/>
                <w:noProof/>
                <w:color w:val="000000"/>
                <w:sz w:val="16"/>
                <w:szCs w:val="16"/>
                <w:lang w:eastAsia="sk-SK"/>
              </w:rPr>
              <w:t xml:space="preserve">Kapitálové výdavky      </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219 418</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228 113</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178 276</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175 555</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182 414</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181 314</w:t>
            </w:r>
          </w:p>
        </w:tc>
        <w:tc>
          <w:tcPr>
            <w:tcW w:w="584" w:type="pct"/>
            <w:tcBorders>
              <w:top w:val="nil"/>
              <w:left w:val="nil"/>
              <w:bottom w:val="nil"/>
              <w:right w:val="nil"/>
            </w:tcBorders>
            <w:shd w:val="clear" w:color="auto" w:fill="auto"/>
            <w:noWrap/>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181 314</w:t>
            </w:r>
          </w:p>
        </w:tc>
      </w:tr>
      <w:tr w:rsidR="00AA17E3" w:rsidRPr="00F80EBB" w:rsidTr="00AA17E3">
        <w:trPr>
          <w:trHeight w:val="313"/>
        </w:trPr>
        <w:tc>
          <w:tcPr>
            <w:tcW w:w="910" w:type="pct"/>
            <w:tcBorders>
              <w:top w:val="nil"/>
              <w:left w:val="nil"/>
              <w:bottom w:val="single" w:sz="4" w:space="0" w:color="auto"/>
              <w:right w:val="nil"/>
            </w:tcBorders>
            <w:shd w:val="clear" w:color="auto" w:fill="auto"/>
            <w:noWrap/>
            <w:vAlign w:val="center"/>
            <w:hideMark/>
          </w:tcPr>
          <w:p w:rsidR="00AA17E3" w:rsidRPr="00F80EBB" w:rsidRDefault="00AA17E3" w:rsidP="00AA17E3">
            <w:pPr>
              <w:rPr>
                <w:rFonts w:ascii="Times New Roman" w:hAnsi="Times New Roman"/>
                <w:noProof/>
                <w:color w:val="000000"/>
                <w:sz w:val="16"/>
                <w:szCs w:val="16"/>
                <w:lang w:eastAsia="sk-SK"/>
              </w:rPr>
            </w:pPr>
            <w:r w:rsidRPr="00F80EBB">
              <w:rPr>
                <w:rFonts w:ascii="Times New Roman" w:hAnsi="Times New Roman"/>
                <w:noProof/>
                <w:color w:val="000000"/>
                <w:sz w:val="16"/>
                <w:szCs w:val="16"/>
                <w:lang w:eastAsia="sk-SK"/>
              </w:rPr>
              <w:t xml:space="preserve">Finančné operácie </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33 629</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46 622</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36 000</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66 000</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46 000</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46 000</w:t>
            </w:r>
          </w:p>
        </w:tc>
        <w:tc>
          <w:tcPr>
            <w:tcW w:w="584" w:type="pct"/>
            <w:tcBorders>
              <w:top w:val="nil"/>
              <w:left w:val="nil"/>
              <w:bottom w:val="single" w:sz="4" w:space="0" w:color="auto"/>
              <w:right w:val="nil"/>
            </w:tcBorders>
            <w:shd w:val="clear" w:color="auto" w:fill="auto"/>
            <w:noWrap/>
            <w:vAlign w:val="center"/>
            <w:hideMark/>
          </w:tcPr>
          <w:p w:rsidR="00AA17E3" w:rsidRPr="00F80EBB" w:rsidRDefault="00AA17E3" w:rsidP="00AA17E3">
            <w:pPr>
              <w:jc w:val="right"/>
              <w:rPr>
                <w:rFonts w:ascii="Times New Roman" w:hAnsi="Times New Roman" w:cs="Times New Roman"/>
                <w:sz w:val="16"/>
                <w:szCs w:val="16"/>
              </w:rPr>
            </w:pPr>
            <w:r w:rsidRPr="00F80EBB">
              <w:rPr>
                <w:rFonts w:ascii="Times New Roman" w:hAnsi="Times New Roman" w:cs="Times New Roman"/>
                <w:sz w:val="16"/>
                <w:szCs w:val="16"/>
              </w:rPr>
              <w:t>46 000</w:t>
            </w:r>
          </w:p>
        </w:tc>
      </w:tr>
    </w:tbl>
    <w:p w:rsidR="00AA17E3" w:rsidRPr="00F80EBB" w:rsidRDefault="00AA17E3" w:rsidP="00AA17E3">
      <w:pPr>
        <w:keepNext/>
        <w:spacing w:after="200" w:line="240" w:lineRule="auto"/>
        <w:rPr>
          <w:rFonts w:ascii="Times New Roman" w:hAnsi="Times New Roman"/>
          <w:b/>
          <w:iCs/>
          <w:color w:val="5B9BD5" w:themeColor="accent1"/>
          <w:sz w:val="20"/>
          <w:szCs w:val="20"/>
        </w:rPr>
      </w:pPr>
      <w:bookmarkStart w:id="632" w:name="_Toc84528491"/>
      <w:bookmarkStart w:id="633" w:name="_Toc84845367"/>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143</w:t>
      </w:r>
      <w:r w:rsidRPr="009363BF">
        <w:rPr>
          <w:rFonts w:ascii="Times New Roman" w:hAnsi="Times New Roman"/>
          <w:b/>
          <w:iCs/>
          <w:color w:val="5B9BD5" w:themeColor="accent1"/>
          <w:sz w:val="20"/>
          <w:szCs w:val="20"/>
        </w:rPr>
        <w:fldChar w:fldCharType="end"/>
      </w:r>
      <w:r w:rsidRPr="00F80EBB">
        <w:rPr>
          <w:rFonts w:ascii="Times New Roman" w:hAnsi="Times New Roman"/>
          <w:b/>
          <w:iCs/>
          <w:color w:val="5B9BD5" w:themeColor="accent1"/>
          <w:sz w:val="20"/>
          <w:szCs w:val="20"/>
        </w:rPr>
        <w:t xml:space="preserve"> - VÚC</w:t>
      </w:r>
      <w:bookmarkEnd w:id="632"/>
      <w:bookmarkEnd w:id="633"/>
    </w:p>
    <w:p w:rsidR="00AA17E3" w:rsidRPr="00F80EBB" w:rsidRDefault="00AA17E3" w:rsidP="000E1014">
      <w:pPr>
        <w:spacing w:after="0"/>
        <w:ind w:left="7080" w:firstLine="708"/>
        <w:jc w:val="both"/>
        <w:rPr>
          <w:rFonts w:ascii="Times New Roman" w:hAnsi="Times New Roman"/>
          <w:i/>
          <w:kern w:val="32"/>
          <w:sz w:val="16"/>
          <w:szCs w:val="16"/>
        </w:rPr>
      </w:pPr>
      <w:r w:rsidRPr="00F80EBB">
        <w:rPr>
          <w:rFonts w:ascii="Times New Roman" w:hAnsi="Times New Roman"/>
          <w:kern w:val="32"/>
          <w:sz w:val="16"/>
          <w:szCs w:val="16"/>
        </w:rPr>
        <w:t xml:space="preserve">       </w:t>
      </w:r>
      <w:r w:rsidRPr="00F80EBB">
        <w:rPr>
          <w:rFonts w:ascii="Times New Roman" w:hAnsi="Times New Roman"/>
          <w:i/>
          <w:kern w:val="32"/>
          <w:sz w:val="16"/>
          <w:szCs w:val="16"/>
        </w:rPr>
        <w:t>Zdroj: MF SR</w:t>
      </w:r>
    </w:p>
    <w:p w:rsidR="000E1014" w:rsidRDefault="000E1014" w:rsidP="000E1014">
      <w:pPr>
        <w:spacing w:after="0"/>
        <w:jc w:val="both"/>
        <w:rPr>
          <w:rFonts w:ascii="Times New Roman" w:hAnsi="Times New Roman"/>
          <w:noProof/>
          <w:sz w:val="24"/>
          <w:szCs w:val="24"/>
          <w:lang w:eastAsia="sk-SK"/>
        </w:rPr>
      </w:pPr>
    </w:p>
    <w:p w:rsidR="00AA17E3" w:rsidRPr="00F80EBB" w:rsidRDefault="00AA17E3" w:rsidP="000E1014">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Na rok 2022 sú rozpočtované celkové výdavky VÚC v sume 1,75 mld. eur. Z toho pripadá na bežné výdavky suma 1,52 mld. eur. Na kapitálové výdavky sa predpokladá vynaložiť suma 182 mil. eur. Na výdavkové finančné operácie sa rozpočtuje suma 46 mil. eur.</w:t>
      </w:r>
    </w:p>
    <w:p w:rsidR="00AA17E3" w:rsidRPr="00F80EBB" w:rsidRDefault="00AA17E3" w:rsidP="00AA17E3">
      <w:pPr>
        <w:spacing w:after="0"/>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V rámci bežných výdavkov ide najmä o osobné výdavky v sume 553 mil. eur pre zamestnancov VÚC a ich rozpočtových </w:t>
      </w:r>
      <w:r w:rsidRPr="00B91FAC">
        <w:rPr>
          <w:rFonts w:ascii="Times New Roman" w:hAnsi="Times New Roman"/>
          <w:noProof/>
          <w:sz w:val="24"/>
          <w:szCs w:val="24"/>
          <w:lang w:eastAsia="sk-SK"/>
        </w:rPr>
        <w:t xml:space="preserve">organizácií, </w:t>
      </w:r>
      <w:r w:rsidRPr="007A0CEA">
        <w:rPr>
          <w:rFonts w:ascii="Times New Roman" w:hAnsi="Times New Roman"/>
          <w:noProof/>
          <w:sz w:val="24"/>
          <w:szCs w:val="24"/>
          <w:lang w:eastAsia="sk-SK"/>
        </w:rPr>
        <w:t>suma osobných výdavkov je ovplyvnená poklesom grantov a transferov v prenesenom výkone štátnej správy.</w:t>
      </w:r>
      <w:r w:rsidRPr="00B91FAC">
        <w:rPr>
          <w:rFonts w:ascii="Times New Roman" w:hAnsi="Times New Roman"/>
          <w:noProof/>
          <w:sz w:val="24"/>
          <w:szCs w:val="24"/>
          <w:lang w:eastAsia="sk-SK"/>
        </w:rPr>
        <w:t xml:space="preserve"> Tovary a služby sa rozpočtujú</w:t>
      </w:r>
      <w:r w:rsidRPr="00F80EBB">
        <w:rPr>
          <w:rFonts w:ascii="Times New Roman" w:hAnsi="Times New Roman"/>
          <w:noProof/>
          <w:sz w:val="24"/>
          <w:szCs w:val="24"/>
          <w:lang w:eastAsia="sk-SK"/>
        </w:rPr>
        <w:t xml:space="preserve"> v sume 280 mil. eur na zabezpečenie činností VÚC a ich rozpočtových organizácií, bežné tranfery 683 mil. eur najmä na financovanie príspevkových organizácií, dopravných podnikov v prímestskej a regionálnej doprave a pod. </w:t>
      </w:r>
    </w:p>
    <w:p w:rsidR="00AA17E3" w:rsidRPr="00F80EBB" w:rsidRDefault="00AA17E3" w:rsidP="00AA17E3">
      <w:pPr>
        <w:spacing w:after="0"/>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 rámci bežných výdavkov sa rozpočtujú výdavky na prenesený výkon štátnej správy v celkovej sume 507 mil. eur. Ide o financovanie stredných škôl, ku ktorým plnia VÚC zriaďovateľskú funkciu.</w:t>
      </w:r>
    </w:p>
    <w:p w:rsidR="00AA17E3" w:rsidRPr="00F80EBB" w:rsidRDefault="00AA17E3" w:rsidP="00AA17E3">
      <w:pPr>
        <w:spacing w:after="0"/>
        <w:jc w:val="both"/>
        <w:rPr>
          <w:rFonts w:ascii="Times New Roman" w:hAnsi="Times New Roman"/>
          <w:noProof/>
          <w:sz w:val="24"/>
          <w:szCs w:val="24"/>
          <w:lang w:eastAsia="sk-SK"/>
        </w:rPr>
      </w:pPr>
    </w:p>
    <w:p w:rsidR="00AA17E3"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 rámci bežných výdavkov sa rozpočtujú výdavky na originálne kompetencie vo výške 1 013 mil. eur, ktoré VÚC použijú najmä na financovanie cestnej dopravy (správa a údržba ciest II. a III. triedy, prímestská a regionálna doprava), na chod a zabezpečenie školských zariadení a stredoškolských internátov, na prevádzku zariadení sociálnych služieb a kultúrnych zariadení a výdavky spojené s projektom „Digitálne Slovensko“ v nadväznosti na prostriedky z realizácie Plánu obnovy</w:t>
      </w:r>
      <w:r w:rsidR="00ED2BAA">
        <w:rPr>
          <w:rFonts w:ascii="Times New Roman" w:hAnsi="Times New Roman"/>
          <w:noProof/>
          <w:sz w:val="24"/>
          <w:szCs w:val="24"/>
          <w:lang w:eastAsia="sk-SK"/>
        </w:rPr>
        <w:t xml:space="preserve"> a odolnosti</w:t>
      </w:r>
      <w:r w:rsidRPr="00F80EBB">
        <w:rPr>
          <w:rFonts w:ascii="Times New Roman" w:hAnsi="Times New Roman"/>
          <w:noProof/>
          <w:sz w:val="24"/>
          <w:szCs w:val="24"/>
          <w:lang w:eastAsia="sk-SK"/>
        </w:rPr>
        <w:t>.</w:t>
      </w:r>
    </w:p>
    <w:p w:rsidR="00AA17E3" w:rsidRPr="00F80EBB" w:rsidRDefault="00AA17E3" w:rsidP="00AA17E3">
      <w:pPr>
        <w:spacing w:after="0"/>
        <w:jc w:val="both"/>
        <w:rPr>
          <w:rFonts w:ascii="Times New Roman" w:hAnsi="Times New Roman"/>
          <w:noProof/>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 rámci kapitálových výdavkov VÚC sa na rok 2022 rozpočtuje suma 182 mil. eur, pričom sa predpokladá, že vlastné zdroje zapoja vo výške 180 mil. eur a zároveň vyčerpajú prijaté kapitálové transfery v sume 1,70 mil. eur. Tak ako v predchádzajúcom období, aj v roku 2022 jednotlivé rozpočtové kapitoly nezapájajú zdroje na financovanie spoločných projektov EÚ a SR z 3. programového obdobia do rozpočtov VÚC. Kapitálové výdavky sa plánujú použiť najmä na výstavbu, modernizáciu, resp. rekonštrukciu ciest II. a III. triedy a ďalšieho majetku vo vlastníctve VÚC.</w:t>
      </w:r>
    </w:p>
    <w:p w:rsidR="00AA17E3" w:rsidRDefault="00AA17E3"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Pr="00F80EBB" w:rsidRDefault="000E1014" w:rsidP="00AA17E3">
      <w:pPr>
        <w:spacing w:after="0"/>
        <w:jc w:val="both"/>
        <w:rPr>
          <w:rFonts w:ascii="Times New Roman" w:hAnsi="Times New Roman"/>
          <w:noProof/>
          <w:sz w:val="24"/>
          <w:szCs w:val="24"/>
          <w:lang w:eastAsia="sk-SK"/>
        </w:rPr>
      </w:pPr>
    </w:p>
    <w:p w:rsidR="00AA17E3" w:rsidRPr="00F80EBB" w:rsidRDefault="00AA17E3" w:rsidP="00AA17E3">
      <w:pPr>
        <w:spacing w:after="0"/>
        <w:rPr>
          <w:rFonts w:ascii="Times New Roman" w:hAnsi="Times New Roman"/>
          <w:b/>
          <w:noProof/>
          <w:color w:val="5B9BD5" w:themeColor="accent1"/>
          <w:sz w:val="24"/>
          <w:szCs w:val="24"/>
          <w:lang w:eastAsia="sk-SK"/>
        </w:rPr>
      </w:pPr>
      <w:r w:rsidRPr="00F80EBB">
        <w:rPr>
          <w:rFonts w:ascii="Times New Roman" w:hAnsi="Times New Roman"/>
          <w:b/>
          <w:noProof/>
          <w:color w:val="5B9BD5" w:themeColor="accent1"/>
          <w:sz w:val="24"/>
          <w:szCs w:val="24"/>
          <w:lang w:eastAsia="sk-SK"/>
        </w:rPr>
        <w:t xml:space="preserve">Dopravné podniky </w:t>
      </w:r>
    </w:p>
    <w:p w:rsidR="00AA17E3" w:rsidRPr="00F80EBB" w:rsidRDefault="00AA17E3" w:rsidP="00AA17E3">
      <w:pPr>
        <w:spacing w:after="0"/>
        <w:rPr>
          <w:rFonts w:ascii="Times New Roman" w:hAnsi="Times New Roman"/>
          <w:b/>
          <w:noProof/>
          <w:color w:val="5B9BD5" w:themeColor="accent1"/>
          <w:sz w:val="24"/>
          <w:szCs w:val="24"/>
          <w:lang w:eastAsia="sk-SK"/>
        </w:rPr>
      </w:pPr>
    </w:p>
    <w:p w:rsidR="00AA17E3" w:rsidRPr="00F80EBB"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 xml:space="preserve">V zmysle metodiky ESA 2010 sú dopravné podniky v zakladateľskej pôsobnosti miest Bratislava, Košice, Prešov, Považská Bystrica  a Žilina zaradené do sektora verejnej správy, na ktoré sa v plnom rozsahu vzťahujú ustanovenia zákona č. 523/2004 Z. z. o rozpočtových pravidlách verejnej správy v znení neskorších predpisov. </w:t>
      </w:r>
    </w:p>
    <w:p w:rsidR="00AA17E3" w:rsidRPr="00F80EBB" w:rsidRDefault="00AA17E3" w:rsidP="00AA17E3">
      <w:pPr>
        <w:spacing w:after="0"/>
        <w:jc w:val="both"/>
        <w:rPr>
          <w:rFonts w:ascii="Times New Roman" w:hAnsi="Times New Roman"/>
          <w:noProof/>
          <w:sz w:val="24"/>
          <w:szCs w:val="24"/>
          <w:lang w:eastAsia="sk-SK"/>
        </w:rPr>
      </w:pPr>
    </w:p>
    <w:p w:rsidR="00AA17E3" w:rsidRDefault="00AA17E3" w:rsidP="00AA17E3">
      <w:pPr>
        <w:spacing w:after="0"/>
        <w:jc w:val="both"/>
        <w:rPr>
          <w:rFonts w:ascii="Times New Roman" w:hAnsi="Times New Roman"/>
          <w:noProof/>
          <w:sz w:val="24"/>
          <w:szCs w:val="24"/>
          <w:lang w:eastAsia="sk-SK"/>
        </w:rPr>
      </w:pPr>
      <w:r w:rsidRPr="00F80EBB">
        <w:rPr>
          <w:rFonts w:ascii="Times New Roman" w:hAnsi="Times New Roman"/>
          <w:noProof/>
          <w:sz w:val="24"/>
          <w:szCs w:val="24"/>
          <w:lang w:eastAsia="sk-SK"/>
        </w:rPr>
        <w:t>Vývoj výdavkovej časti rozpočtu dopravných podnikov na roky  2022 až  2024 v porovnaní so schváleným rozpočtom na rok 2021, očakávanou skutočnosťou na rok 2020 a skutočnosťou za</w:t>
      </w:r>
      <w:r w:rsidR="000E1014">
        <w:rPr>
          <w:rFonts w:ascii="Times New Roman" w:hAnsi="Times New Roman"/>
          <w:noProof/>
          <w:sz w:val="24"/>
          <w:szCs w:val="24"/>
          <w:lang w:eastAsia="sk-SK"/>
        </w:rPr>
        <w:t xml:space="preserve"> roky 2019 a 2020 je nasledovný.</w:t>
      </w:r>
    </w:p>
    <w:p w:rsidR="00D022F2" w:rsidRPr="00D022F2" w:rsidRDefault="00D022F2" w:rsidP="00D022F2">
      <w:pPr>
        <w:keepNext/>
        <w:spacing w:after="0" w:line="240" w:lineRule="auto"/>
        <w:rPr>
          <w:rFonts w:ascii="Times New Roman" w:hAnsi="Times New Roman"/>
          <w:b/>
          <w:iCs/>
          <w:color w:val="5B9BD5" w:themeColor="accent1"/>
          <w:sz w:val="20"/>
          <w:szCs w:val="20"/>
        </w:rPr>
      </w:pPr>
    </w:p>
    <w:tbl>
      <w:tblPr>
        <w:tblpPr w:leftFromText="141" w:rightFromText="141" w:vertAnchor="text" w:horzAnchor="margin" w:tblpY="274"/>
        <w:tblW w:w="5000" w:type="pct"/>
        <w:tblCellMar>
          <w:left w:w="70" w:type="dxa"/>
          <w:right w:w="70" w:type="dxa"/>
        </w:tblCellMar>
        <w:tblLook w:val="04A0" w:firstRow="1" w:lastRow="0" w:firstColumn="1" w:lastColumn="0" w:noHBand="0" w:noVBand="1"/>
      </w:tblPr>
      <w:tblGrid>
        <w:gridCol w:w="1652"/>
        <w:gridCol w:w="1060"/>
        <w:gridCol w:w="1060"/>
        <w:gridCol w:w="1060"/>
        <w:gridCol w:w="1060"/>
        <w:gridCol w:w="1060"/>
        <w:gridCol w:w="1060"/>
        <w:gridCol w:w="1060"/>
      </w:tblGrid>
      <w:tr w:rsidR="00D022F2" w:rsidRPr="00D022F2" w:rsidTr="00EE11DA">
        <w:trPr>
          <w:trHeight w:val="313"/>
        </w:trPr>
        <w:tc>
          <w:tcPr>
            <w:tcW w:w="910"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v tis. eur</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2019 S</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2020 S</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2021 R</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2021 OS</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2022 N</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2023 N</w:t>
            </w:r>
          </w:p>
        </w:tc>
        <w:tc>
          <w:tcPr>
            <w:tcW w:w="584" w:type="pct"/>
            <w:tcBorders>
              <w:top w:val="single" w:sz="4" w:space="0" w:color="auto"/>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b/>
                <w:bCs/>
                <w:noProof/>
                <w:color w:val="000000"/>
                <w:sz w:val="16"/>
                <w:szCs w:val="16"/>
                <w:lang w:eastAsia="sk-SK"/>
              </w:rPr>
            </w:pPr>
            <w:r w:rsidRPr="00D022F2">
              <w:rPr>
                <w:rFonts w:ascii="Times New Roman" w:hAnsi="Times New Roman"/>
                <w:b/>
                <w:bCs/>
                <w:noProof/>
                <w:color w:val="000000"/>
                <w:sz w:val="16"/>
                <w:szCs w:val="16"/>
                <w:lang w:eastAsia="sk-SK"/>
              </w:rPr>
              <w:t>2024 N</w:t>
            </w:r>
          </w:p>
        </w:tc>
      </w:tr>
      <w:tr w:rsidR="00D022F2" w:rsidRPr="00D022F2" w:rsidTr="00EE11DA">
        <w:trPr>
          <w:trHeight w:val="591"/>
        </w:trPr>
        <w:tc>
          <w:tcPr>
            <w:tcW w:w="910" w:type="pct"/>
            <w:tcBorders>
              <w:top w:val="nil"/>
              <w:left w:val="nil"/>
              <w:bottom w:val="nil"/>
              <w:right w:val="nil"/>
            </w:tcBorders>
            <w:shd w:val="clear" w:color="auto" w:fill="auto"/>
            <w:noWrap/>
            <w:vAlign w:val="center"/>
            <w:hideMark/>
          </w:tcPr>
          <w:p w:rsidR="00D022F2" w:rsidRPr="00D022F2" w:rsidRDefault="00D022F2" w:rsidP="00D022F2">
            <w:pPr>
              <w:rPr>
                <w:rFonts w:ascii="Times New Roman" w:hAnsi="Times New Roman"/>
                <w:b/>
                <w:noProof/>
                <w:color w:val="000000"/>
                <w:sz w:val="16"/>
                <w:szCs w:val="16"/>
                <w:lang w:eastAsia="sk-SK"/>
              </w:rPr>
            </w:pPr>
            <w:r w:rsidRPr="00D022F2">
              <w:rPr>
                <w:rFonts w:ascii="Times New Roman" w:hAnsi="Times New Roman"/>
                <w:b/>
                <w:noProof/>
                <w:color w:val="000000"/>
                <w:sz w:val="16"/>
                <w:szCs w:val="16"/>
                <w:lang w:eastAsia="sk-SK"/>
              </w:rPr>
              <w:t>Výdavky</w:t>
            </w:r>
          </w:p>
        </w:tc>
        <w:tc>
          <w:tcPr>
            <w:tcW w:w="584" w:type="pct"/>
            <w:tcBorders>
              <w:top w:val="nil"/>
              <w:left w:val="nil"/>
              <w:bottom w:val="nil"/>
              <w:right w:val="nil"/>
            </w:tcBorders>
            <w:shd w:val="clear" w:color="auto" w:fill="auto"/>
            <w:noWrap/>
            <w:vAlign w:val="center"/>
            <w:hideMark/>
          </w:tcPr>
          <w:p w:rsidR="00D022F2" w:rsidRPr="00D022F2" w:rsidRDefault="00D022F2" w:rsidP="00D022F2">
            <w:pPr>
              <w:jc w:val="right"/>
              <w:rPr>
                <w:rFonts w:ascii="Times New Roman" w:hAnsi="Times New Roman" w:cs="Times New Roman"/>
                <w:b/>
                <w:sz w:val="16"/>
                <w:szCs w:val="16"/>
              </w:rPr>
            </w:pPr>
            <w:r w:rsidRPr="00D022F2">
              <w:rPr>
                <w:rFonts w:ascii="Times New Roman" w:hAnsi="Times New Roman" w:cs="Times New Roman"/>
                <w:b/>
                <w:sz w:val="16"/>
                <w:szCs w:val="16"/>
              </w:rPr>
              <w:t>220 861</w:t>
            </w:r>
          </w:p>
        </w:tc>
        <w:tc>
          <w:tcPr>
            <w:tcW w:w="584" w:type="pct"/>
            <w:tcBorders>
              <w:top w:val="nil"/>
              <w:left w:val="nil"/>
              <w:bottom w:val="nil"/>
              <w:right w:val="nil"/>
            </w:tcBorders>
            <w:shd w:val="clear" w:color="auto" w:fill="auto"/>
            <w:noWrap/>
            <w:vAlign w:val="center"/>
            <w:hideMark/>
          </w:tcPr>
          <w:p w:rsidR="00D022F2" w:rsidRPr="00D022F2" w:rsidRDefault="00D022F2" w:rsidP="00D022F2">
            <w:pPr>
              <w:jc w:val="right"/>
              <w:rPr>
                <w:rFonts w:ascii="Times New Roman" w:hAnsi="Times New Roman" w:cs="Times New Roman"/>
                <w:b/>
                <w:sz w:val="16"/>
                <w:szCs w:val="16"/>
              </w:rPr>
            </w:pPr>
            <w:r w:rsidRPr="00D022F2">
              <w:rPr>
                <w:rFonts w:ascii="Times New Roman" w:hAnsi="Times New Roman" w:cs="Times New Roman"/>
                <w:b/>
                <w:sz w:val="16"/>
                <w:szCs w:val="16"/>
              </w:rPr>
              <w:t>221 064</w:t>
            </w:r>
          </w:p>
        </w:tc>
        <w:tc>
          <w:tcPr>
            <w:tcW w:w="584" w:type="pct"/>
            <w:tcBorders>
              <w:top w:val="nil"/>
              <w:left w:val="nil"/>
              <w:bottom w:val="nil"/>
              <w:right w:val="nil"/>
            </w:tcBorders>
            <w:shd w:val="clear" w:color="auto" w:fill="auto"/>
            <w:noWrap/>
            <w:vAlign w:val="center"/>
            <w:hideMark/>
          </w:tcPr>
          <w:p w:rsidR="00D022F2" w:rsidRPr="00D022F2" w:rsidRDefault="00D022F2" w:rsidP="00D022F2">
            <w:pPr>
              <w:jc w:val="right"/>
              <w:rPr>
                <w:rFonts w:ascii="Times New Roman" w:hAnsi="Times New Roman" w:cs="Times New Roman"/>
                <w:b/>
                <w:sz w:val="16"/>
                <w:szCs w:val="16"/>
              </w:rPr>
            </w:pPr>
            <w:r w:rsidRPr="00D022F2">
              <w:rPr>
                <w:rFonts w:ascii="Times New Roman" w:hAnsi="Times New Roman" w:cs="Times New Roman"/>
                <w:b/>
                <w:sz w:val="16"/>
                <w:szCs w:val="16"/>
              </w:rPr>
              <w:t>259 580</w:t>
            </w:r>
          </w:p>
        </w:tc>
        <w:tc>
          <w:tcPr>
            <w:tcW w:w="584" w:type="pct"/>
            <w:tcBorders>
              <w:top w:val="nil"/>
              <w:left w:val="nil"/>
              <w:bottom w:val="nil"/>
              <w:right w:val="nil"/>
            </w:tcBorders>
            <w:shd w:val="clear" w:color="auto" w:fill="auto"/>
            <w:noWrap/>
            <w:vAlign w:val="center"/>
            <w:hideMark/>
          </w:tcPr>
          <w:p w:rsidR="00D022F2" w:rsidRPr="00D022F2" w:rsidRDefault="0008599D" w:rsidP="00D022F2">
            <w:pPr>
              <w:jc w:val="right"/>
              <w:rPr>
                <w:rFonts w:ascii="Times New Roman" w:hAnsi="Times New Roman" w:cs="Times New Roman"/>
                <w:b/>
                <w:sz w:val="16"/>
                <w:szCs w:val="16"/>
              </w:rPr>
            </w:pPr>
            <w:r>
              <w:rPr>
                <w:rFonts w:ascii="Times New Roman" w:hAnsi="Times New Roman" w:cs="Times New Roman"/>
                <w:b/>
                <w:sz w:val="16"/>
                <w:szCs w:val="16"/>
              </w:rPr>
              <w:t>269 117</w:t>
            </w:r>
          </w:p>
        </w:tc>
        <w:tc>
          <w:tcPr>
            <w:tcW w:w="584" w:type="pct"/>
            <w:tcBorders>
              <w:top w:val="nil"/>
              <w:left w:val="nil"/>
              <w:bottom w:val="nil"/>
              <w:right w:val="nil"/>
            </w:tcBorders>
            <w:shd w:val="clear" w:color="auto" w:fill="auto"/>
            <w:noWrap/>
            <w:vAlign w:val="center"/>
            <w:hideMark/>
          </w:tcPr>
          <w:p w:rsidR="00D022F2" w:rsidRPr="00D022F2" w:rsidRDefault="00D022F2" w:rsidP="00D022F2">
            <w:pPr>
              <w:jc w:val="right"/>
              <w:rPr>
                <w:rFonts w:ascii="Times New Roman" w:hAnsi="Times New Roman" w:cs="Times New Roman"/>
                <w:b/>
                <w:sz w:val="16"/>
                <w:szCs w:val="16"/>
              </w:rPr>
            </w:pPr>
            <w:r w:rsidRPr="00D022F2">
              <w:rPr>
                <w:rFonts w:ascii="Times New Roman" w:hAnsi="Times New Roman" w:cs="Times New Roman"/>
                <w:b/>
                <w:sz w:val="16"/>
                <w:szCs w:val="16"/>
              </w:rPr>
              <w:t>280 377</w:t>
            </w:r>
          </w:p>
        </w:tc>
        <w:tc>
          <w:tcPr>
            <w:tcW w:w="584" w:type="pct"/>
            <w:tcBorders>
              <w:top w:val="nil"/>
              <w:left w:val="nil"/>
              <w:bottom w:val="nil"/>
              <w:right w:val="nil"/>
            </w:tcBorders>
            <w:shd w:val="clear" w:color="auto" w:fill="auto"/>
            <w:noWrap/>
            <w:vAlign w:val="center"/>
            <w:hideMark/>
          </w:tcPr>
          <w:p w:rsidR="00D022F2" w:rsidRPr="00D022F2" w:rsidRDefault="00D022F2" w:rsidP="00D022F2">
            <w:pPr>
              <w:jc w:val="right"/>
              <w:rPr>
                <w:rFonts w:ascii="Times New Roman" w:hAnsi="Times New Roman" w:cs="Times New Roman"/>
                <w:b/>
                <w:sz w:val="16"/>
                <w:szCs w:val="16"/>
              </w:rPr>
            </w:pPr>
            <w:r w:rsidRPr="00D022F2">
              <w:rPr>
                <w:rFonts w:ascii="Times New Roman" w:hAnsi="Times New Roman" w:cs="Times New Roman"/>
                <w:b/>
                <w:sz w:val="16"/>
                <w:szCs w:val="16"/>
              </w:rPr>
              <w:t>268 428</w:t>
            </w:r>
          </w:p>
        </w:tc>
        <w:tc>
          <w:tcPr>
            <w:tcW w:w="584" w:type="pct"/>
            <w:tcBorders>
              <w:top w:val="nil"/>
              <w:left w:val="nil"/>
              <w:bottom w:val="nil"/>
              <w:right w:val="nil"/>
            </w:tcBorders>
            <w:shd w:val="clear" w:color="auto" w:fill="auto"/>
            <w:noWrap/>
            <w:vAlign w:val="center"/>
            <w:hideMark/>
          </w:tcPr>
          <w:p w:rsidR="00D022F2" w:rsidRPr="00D022F2" w:rsidRDefault="00D022F2" w:rsidP="00D022F2">
            <w:pPr>
              <w:jc w:val="right"/>
              <w:rPr>
                <w:rFonts w:ascii="Times New Roman" w:hAnsi="Times New Roman" w:cs="Times New Roman"/>
                <w:b/>
                <w:sz w:val="16"/>
                <w:szCs w:val="16"/>
              </w:rPr>
            </w:pPr>
            <w:r w:rsidRPr="00D022F2">
              <w:rPr>
                <w:rFonts w:ascii="Times New Roman" w:hAnsi="Times New Roman" w:cs="Times New Roman"/>
                <w:b/>
                <w:sz w:val="16"/>
                <w:szCs w:val="16"/>
              </w:rPr>
              <w:t>267 018</w:t>
            </w:r>
          </w:p>
        </w:tc>
      </w:tr>
      <w:tr w:rsidR="00D022F2" w:rsidRPr="00D022F2" w:rsidTr="00EE11DA">
        <w:trPr>
          <w:trHeight w:val="313"/>
        </w:trPr>
        <w:tc>
          <w:tcPr>
            <w:tcW w:w="910" w:type="pct"/>
            <w:tcBorders>
              <w:top w:val="nil"/>
              <w:left w:val="nil"/>
              <w:bottom w:val="nil"/>
              <w:right w:val="nil"/>
            </w:tcBorders>
            <w:shd w:val="clear" w:color="auto" w:fill="auto"/>
            <w:hideMark/>
          </w:tcPr>
          <w:p w:rsidR="00D022F2" w:rsidRPr="00D022F2" w:rsidRDefault="00D022F2" w:rsidP="00D022F2">
            <w:pPr>
              <w:rPr>
                <w:rFonts w:ascii="Times New Roman" w:hAnsi="Times New Roman"/>
                <w:noProof/>
                <w:color w:val="000000"/>
                <w:sz w:val="16"/>
                <w:szCs w:val="16"/>
                <w:lang w:eastAsia="sk-SK"/>
              </w:rPr>
            </w:pPr>
            <w:r w:rsidRPr="00D022F2">
              <w:rPr>
                <w:rFonts w:ascii="Times New Roman" w:hAnsi="Times New Roman"/>
                <w:noProof/>
                <w:color w:val="000000"/>
                <w:sz w:val="16"/>
                <w:szCs w:val="16"/>
                <w:lang w:eastAsia="sk-SK"/>
              </w:rPr>
              <w:t xml:space="preserve">Bežné výdavky          </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188 247</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189 090</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194 941</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197 279</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199 165</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207 210</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210 234</w:t>
            </w:r>
          </w:p>
        </w:tc>
      </w:tr>
      <w:tr w:rsidR="00D022F2" w:rsidRPr="00D022F2" w:rsidTr="00EE11DA">
        <w:trPr>
          <w:trHeight w:val="313"/>
        </w:trPr>
        <w:tc>
          <w:tcPr>
            <w:tcW w:w="910" w:type="pct"/>
            <w:tcBorders>
              <w:top w:val="nil"/>
              <w:left w:val="nil"/>
              <w:bottom w:val="nil"/>
              <w:right w:val="nil"/>
            </w:tcBorders>
            <w:shd w:val="clear" w:color="auto" w:fill="auto"/>
          </w:tcPr>
          <w:p w:rsidR="00D022F2" w:rsidRPr="00D022F2" w:rsidRDefault="00D022F2" w:rsidP="00D022F2">
            <w:pPr>
              <w:ind w:left="214"/>
              <w:rPr>
                <w:rFonts w:ascii="Times New Roman" w:hAnsi="Times New Roman"/>
                <w:noProof/>
                <w:sz w:val="16"/>
                <w:szCs w:val="16"/>
                <w:lang w:eastAsia="sk-SK"/>
              </w:rPr>
            </w:pPr>
            <w:r w:rsidRPr="00D022F2">
              <w:rPr>
                <w:rFonts w:ascii="Times New Roman" w:hAnsi="Times New Roman"/>
                <w:noProof/>
                <w:color w:val="000000"/>
                <w:sz w:val="16"/>
                <w:szCs w:val="16"/>
                <w:lang w:eastAsia="sk-SK"/>
              </w:rPr>
              <w:t>Osobné výdavky</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93 746</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99 701</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104 353</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105 216</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112 089</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118 036</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120 978</w:t>
            </w:r>
          </w:p>
        </w:tc>
      </w:tr>
      <w:tr w:rsidR="00D022F2" w:rsidRPr="00D022F2" w:rsidTr="00EE11DA">
        <w:trPr>
          <w:trHeight w:val="313"/>
        </w:trPr>
        <w:tc>
          <w:tcPr>
            <w:tcW w:w="910" w:type="pct"/>
            <w:tcBorders>
              <w:top w:val="nil"/>
              <w:left w:val="nil"/>
              <w:bottom w:val="nil"/>
              <w:right w:val="nil"/>
            </w:tcBorders>
            <w:shd w:val="clear" w:color="auto" w:fill="auto"/>
          </w:tcPr>
          <w:p w:rsidR="00D022F2" w:rsidRPr="00D022F2" w:rsidRDefault="00D022F2" w:rsidP="00D022F2">
            <w:pPr>
              <w:ind w:left="214"/>
              <w:rPr>
                <w:rFonts w:ascii="Times New Roman" w:hAnsi="Times New Roman"/>
                <w:noProof/>
                <w:color w:val="000000"/>
                <w:sz w:val="16"/>
                <w:szCs w:val="16"/>
                <w:lang w:eastAsia="sk-SK"/>
              </w:rPr>
            </w:pPr>
            <w:r w:rsidRPr="00D022F2">
              <w:rPr>
                <w:rFonts w:ascii="Times New Roman" w:hAnsi="Times New Roman"/>
                <w:noProof/>
                <w:color w:val="000000"/>
                <w:sz w:val="16"/>
                <w:szCs w:val="16"/>
                <w:lang w:eastAsia="sk-SK"/>
              </w:rPr>
              <w:t xml:space="preserve">Tovary a služby                  </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93 162</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88 263</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89 338</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90 813</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85 515</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87 530</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87 674</w:t>
            </w:r>
          </w:p>
        </w:tc>
      </w:tr>
      <w:tr w:rsidR="00D022F2" w:rsidRPr="00D022F2" w:rsidTr="00EE11DA">
        <w:trPr>
          <w:trHeight w:val="313"/>
        </w:trPr>
        <w:tc>
          <w:tcPr>
            <w:tcW w:w="910" w:type="pct"/>
            <w:tcBorders>
              <w:top w:val="nil"/>
              <w:left w:val="nil"/>
              <w:bottom w:val="nil"/>
              <w:right w:val="nil"/>
            </w:tcBorders>
            <w:shd w:val="clear" w:color="auto" w:fill="auto"/>
          </w:tcPr>
          <w:p w:rsidR="00D022F2" w:rsidRPr="00D022F2" w:rsidRDefault="00D022F2" w:rsidP="00D022F2">
            <w:pPr>
              <w:ind w:left="214"/>
              <w:rPr>
                <w:rFonts w:ascii="Times New Roman" w:hAnsi="Times New Roman"/>
                <w:noProof/>
                <w:color w:val="000000"/>
                <w:sz w:val="16"/>
                <w:szCs w:val="16"/>
                <w:lang w:eastAsia="sk-SK"/>
              </w:rPr>
            </w:pPr>
            <w:r w:rsidRPr="00D022F2">
              <w:rPr>
                <w:rFonts w:ascii="Times New Roman" w:hAnsi="Times New Roman"/>
                <w:noProof/>
                <w:color w:val="000000"/>
                <w:sz w:val="16"/>
                <w:szCs w:val="16"/>
                <w:lang w:eastAsia="sk-SK"/>
              </w:rPr>
              <w:t xml:space="preserve">Bežné transfery                  </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297</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335</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406</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406</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516</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591</w:t>
            </w:r>
          </w:p>
        </w:tc>
        <w:tc>
          <w:tcPr>
            <w:tcW w:w="584" w:type="pct"/>
            <w:tcBorders>
              <w:top w:val="nil"/>
              <w:left w:val="nil"/>
              <w:bottom w:val="nil"/>
              <w:right w:val="nil"/>
            </w:tcBorders>
            <w:shd w:val="clear" w:color="auto" w:fill="auto"/>
            <w:noWrap/>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536</w:t>
            </w:r>
          </w:p>
        </w:tc>
      </w:tr>
      <w:tr w:rsidR="00D022F2" w:rsidRPr="00D022F2" w:rsidTr="00EE11DA">
        <w:trPr>
          <w:trHeight w:val="313"/>
        </w:trPr>
        <w:tc>
          <w:tcPr>
            <w:tcW w:w="910" w:type="pct"/>
            <w:tcBorders>
              <w:top w:val="nil"/>
              <w:left w:val="nil"/>
              <w:bottom w:val="nil"/>
              <w:right w:val="nil"/>
            </w:tcBorders>
            <w:shd w:val="clear" w:color="auto" w:fill="auto"/>
            <w:hideMark/>
          </w:tcPr>
          <w:p w:rsidR="00D022F2" w:rsidRPr="00D022F2" w:rsidRDefault="00D022F2" w:rsidP="00D022F2">
            <w:pPr>
              <w:rPr>
                <w:rFonts w:ascii="Times New Roman" w:hAnsi="Times New Roman"/>
                <w:noProof/>
                <w:color w:val="000000"/>
                <w:sz w:val="16"/>
                <w:szCs w:val="16"/>
                <w:lang w:eastAsia="sk-SK"/>
              </w:rPr>
            </w:pPr>
            <w:r w:rsidRPr="00D022F2">
              <w:rPr>
                <w:rFonts w:ascii="Times New Roman" w:hAnsi="Times New Roman"/>
                <w:noProof/>
                <w:color w:val="000000"/>
                <w:sz w:val="16"/>
                <w:szCs w:val="16"/>
                <w:lang w:eastAsia="sk-SK"/>
              </w:rPr>
              <w:t xml:space="preserve">Kapitálové výdavky      </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12 797</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16 369</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44 611</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51 810</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73 113</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52 697</w:t>
            </w:r>
          </w:p>
        </w:tc>
        <w:tc>
          <w:tcPr>
            <w:tcW w:w="584" w:type="pct"/>
            <w:tcBorders>
              <w:top w:val="nil"/>
              <w:left w:val="nil"/>
              <w:bottom w:val="nil"/>
              <w:right w:val="nil"/>
            </w:tcBorders>
            <w:shd w:val="clear" w:color="auto" w:fill="auto"/>
            <w:noWrap/>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48 030</w:t>
            </w:r>
          </w:p>
        </w:tc>
      </w:tr>
      <w:tr w:rsidR="00D022F2" w:rsidRPr="00D022F2" w:rsidTr="00EE11DA">
        <w:trPr>
          <w:trHeight w:val="313"/>
        </w:trPr>
        <w:tc>
          <w:tcPr>
            <w:tcW w:w="910" w:type="pct"/>
            <w:tcBorders>
              <w:top w:val="nil"/>
              <w:left w:val="nil"/>
              <w:bottom w:val="single" w:sz="4" w:space="0" w:color="auto"/>
              <w:right w:val="nil"/>
            </w:tcBorders>
            <w:shd w:val="clear" w:color="auto" w:fill="auto"/>
            <w:noWrap/>
            <w:vAlign w:val="center"/>
            <w:hideMark/>
          </w:tcPr>
          <w:p w:rsidR="00D022F2" w:rsidRPr="00D022F2" w:rsidRDefault="00D022F2" w:rsidP="00D022F2">
            <w:pPr>
              <w:rPr>
                <w:rFonts w:ascii="Times New Roman" w:hAnsi="Times New Roman"/>
                <w:noProof/>
                <w:color w:val="000000"/>
                <w:sz w:val="16"/>
                <w:szCs w:val="16"/>
                <w:lang w:eastAsia="sk-SK"/>
              </w:rPr>
            </w:pPr>
            <w:r w:rsidRPr="00D022F2">
              <w:rPr>
                <w:rFonts w:ascii="Times New Roman" w:hAnsi="Times New Roman"/>
                <w:noProof/>
                <w:color w:val="000000"/>
                <w:sz w:val="16"/>
                <w:szCs w:val="16"/>
                <w:lang w:eastAsia="sk-SK"/>
              </w:rPr>
              <w:t xml:space="preserve">Finančné operácie </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19 817</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15 605</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20 028</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20 028</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8 099</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8 521</w:t>
            </w:r>
          </w:p>
        </w:tc>
        <w:tc>
          <w:tcPr>
            <w:tcW w:w="584" w:type="pct"/>
            <w:tcBorders>
              <w:top w:val="nil"/>
              <w:left w:val="nil"/>
              <w:bottom w:val="single" w:sz="4" w:space="0" w:color="auto"/>
              <w:right w:val="nil"/>
            </w:tcBorders>
            <w:shd w:val="clear" w:color="auto" w:fill="auto"/>
            <w:noWrap/>
            <w:vAlign w:val="center"/>
            <w:hideMark/>
          </w:tcPr>
          <w:p w:rsidR="00D022F2" w:rsidRPr="00D022F2" w:rsidRDefault="00D022F2" w:rsidP="00D022F2">
            <w:pPr>
              <w:jc w:val="right"/>
              <w:rPr>
                <w:rFonts w:ascii="Times New Roman" w:hAnsi="Times New Roman" w:cs="Times New Roman"/>
                <w:sz w:val="16"/>
                <w:szCs w:val="16"/>
              </w:rPr>
            </w:pPr>
            <w:r w:rsidRPr="00D022F2">
              <w:rPr>
                <w:rFonts w:ascii="Times New Roman" w:hAnsi="Times New Roman" w:cs="Times New Roman"/>
                <w:sz w:val="16"/>
                <w:szCs w:val="16"/>
              </w:rPr>
              <w:t>8 754</w:t>
            </w:r>
          </w:p>
        </w:tc>
      </w:tr>
    </w:tbl>
    <w:p w:rsidR="00D022F2" w:rsidRPr="00780017" w:rsidRDefault="00D022F2" w:rsidP="00780017">
      <w:pPr>
        <w:keepNext/>
        <w:spacing w:after="0" w:line="240" w:lineRule="auto"/>
        <w:rPr>
          <w:rFonts w:ascii="Times New Roman" w:hAnsi="Times New Roman"/>
          <w:b/>
          <w:iCs/>
          <w:color w:val="5B9BD5" w:themeColor="accent1"/>
          <w:sz w:val="20"/>
          <w:szCs w:val="20"/>
        </w:rPr>
      </w:pPr>
      <w:r w:rsidRPr="00D022F2">
        <w:rPr>
          <w:rFonts w:ascii="Times New Roman" w:hAnsi="Times New Roman"/>
          <w:kern w:val="32"/>
          <w:sz w:val="16"/>
          <w:szCs w:val="16"/>
        </w:rPr>
        <w:t xml:space="preserve">   </w:t>
      </w:r>
      <w:bookmarkStart w:id="634" w:name="_Toc84845368"/>
      <w:r w:rsidR="00780017" w:rsidRPr="00D022F2">
        <w:rPr>
          <w:rFonts w:ascii="Times New Roman" w:hAnsi="Times New Roman"/>
          <w:b/>
          <w:iCs/>
          <w:color w:val="5B9BD5" w:themeColor="accent1"/>
          <w:sz w:val="20"/>
          <w:szCs w:val="20"/>
        </w:rPr>
        <w:t xml:space="preserve">Tabuľka </w:t>
      </w:r>
      <w:r w:rsidR="00780017" w:rsidRPr="00D022F2">
        <w:rPr>
          <w:rFonts w:ascii="Times New Roman" w:hAnsi="Times New Roman"/>
          <w:b/>
          <w:iCs/>
          <w:color w:val="5B9BD5" w:themeColor="accent1"/>
          <w:sz w:val="20"/>
          <w:szCs w:val="20"/>
        </w:rPr>
        <w:fldChar w:fldCharType="begin"/>
      </w:r>
      <w:r w:rsidR="00780017" w:rsidRPr="00D022F2">
        <w:rPr>
          <w:rFonts w:ascii="Times New Roman" w:hAnsi="Times New Roman"/>
          <w:b/>
          <w:iCs/>
          <w:color w:val="5B9BD5" w:themeColor="accent1"/>
          <w:sz w:val="20"/>
          <w:szCs w:val="20"/>
        </w:rPr>
        <w:instrText xml:space="preserve"> SEQ Tabuľka \* ARABIC </w:instrText>
      </w:r>
      <w:r w:rsidR="00780017" w:rsidRPr="00D022F2">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144</w:t>
      </w:r>
      <w:r w:rsidR="00780017" w:rsidRPr="00D022F2">
        <w:rPr>
          <w:rFonts w:ascii="Times New Roman" w:hAnsi="Times New Roman"/>
          <w:b/>
          <w:iCs/>
          <w:color w:val="5B9BD5" w:themeColor="accent1"/>
          <w:sz w:val="20"/>
          <w:szCs w:val="20"/>
        </w:rPr>
        <w:fldChar w:fldCharType="end"/>
      </w:r>
      <w:r w:rsidR="00780017" w:rsidRPr="00D022F2">
        <w:rPr>
          <w:rFonts w:ascii="Times New Roman" w:hAnsi="Times New Roman"/>
          <w:b/>
          <w:iCs/>
          <w:color w:val="5B9BD5" w:themeColor="accent1"/>
          <w:sz w:val="20"/>
          <w:szCs w:val="20"/>
        </w:rPr>
        <w:t xml:space="preserve"> - Dopravné podnik</w:t>
      </w:r>
      <w:r w:rsidR="00780017">
        <w:rPr>
          <w:rFonts w:ascii="Times New Roman" w:hAnsi="Times New Roman"/>
          <w:b/>
          <w:iCs/>
          <w:color w:val="5B9BD5" w:themeColor="accent1"/>
          <w:sz w:val="20"/>
          <w:szCs w:val="20"/>
        </w:rPr>
        <w:t>y</w:t>
      </w:r>
      <w:bookmarkEnd w:id="634"/>
    </w:p>
    <w:p w:rsidR="00D022F2" w:rsidRPr="00D022F2" w:rsidRDefault="00D022F2" w:rsidP="004B108F">
      <w:pPr>
        <w:numPr>
          <w:ilvl w:val="0"/>
          <w:numId w:val="30"/>
        </w:numPr>
        <w:ind w:left="142" w:hanging="142"/>
        <w:contextualSpacing/>
        <w:jc w:val="both"/>
        <w:rPr>
          <w:rFonts w:ascii="Times New Roman" w:eastAsia="Times New Roman" w:hAnsi="Times New Roman" w:cs="Courier"/>
          <w:i/>
          <w:kern w:val="32"/>
          <w:sz w:val="16"/>
          <w:szCs w:val="16"/>
          <w:lang w:eastAsia="cs-CZ"/>
        </w:rPr>
      </w:pPr>
      <w:r w:rsidRPr="00D022F2">
        <w:rPr>
          <w:rFonts w:ascii="Times New Roman" w:eastAsia="Times New Roman" w:hAnsi="Times New Roman" w:cs="Courier"/>
          <w:i/>
          <w:kern w:val="32"/>
          <w:sz w:val="16"/>
          <w:szCs w:val="16"/>
          <w:lang w:eastAsia="cs-CZ"/>
        </w:rPr>
        <w:t>DP Považská Bystrica bol zaradený medzi subjekty VS 28.</w:t>
      </w:r>
      <w:r w:rsidR="00B949EE">
        <w:rPr>
          <w:rFonts w:ascii="Times New Roman" w:eastAsia="Times New Roman" w:hAnsi="Times New Roman" w:cs="Courier"/>
          <w:i/>
          <w:kern w:val="32"/>
          <w:sz w:val="16"/>
          <w:szCs w:val="16"/>
          <w:lang w:eastAsia="cs-CZ"/>
        </w:rPr>
        <w:t xml:space="preserve"> </w:t>
      </w:r>
      <w:r w:rsidRPr="00D022F2">
        <w:rPr>
          <w:rFonts w:ascii="Times New Roman" w:eastAsia="Times New Roman" w:hAnsi="Times New Roman" w:cs="Courier"/>
          <w:i/>
          <w:kern w:val="32"/>
          <w:sz w:val="16"/>
          <w:szCs w:val="16"/>
          <w:lang w:eastAsia="cs-CZ"/>
        </w:rPr>
        <w:t>7.</w:t>
      </w:r>
      <w:r w:rsidR="00B949EE">
        <w:rPr>
          <w:rFonts w:ascii="Times New Roman" w:eastAsia="Times New Roman" w:hAnsi="Times New Roman" w:cs="Courier"/>
          <w:i/>
          <w:kern w:val="32"/>
          <w:sz w:val="16"/>
          <w:szCs w:val="16"/>
          <w:lang w:eastAsia="cs-CZ"/>
        </w:rPr>
        <w:t xml:space="preserve"> 2020, skutočnosť roku</w:t>
      </w:r>
      <w:r w:rsidR="00780017">
        <w:rPr>
          <w:rFonts w:ascii="Times New Roman" w:eastAsia="Times New Roman" w:hAnsi="Times New Roman" w:cs="Courier"/>
          <w:i/>
          <w:kern w:val="32"/>
          <w:sz w:val="16"/>
          <w:szCs w:val="16"/>
          <w:lang w:eastAsia="cs-CZ"/>
        </w:rPr>
        <w:t xml:space="preserve"> 2019 a rozpočet roku </w:t>
      </w:r>
      <w:r w:rsidRPr="00D022F2">
        <w:rPr>
          <w:rFonts w:ascii="Times New Roman" w:eastAsia="Times New Roman" w:hAnsi="Times New Roman" w:cs="Courier"/>
          <w:i/>
          <w:kern w:val="32"/>
          <w:sz w:val="16"/>
          <w:szCs w:val="16"/>
          <w:lang w:eastAsia="cs-CZ"/>
        </w:rPr>
        <w:t>2021 je bez údajov za DP Považská Bystrica</w:t>
      </w:r>
      <w:r w:rsidR="00B949EE">
        <w:rPr>
          <w:rFonts w:ascii="Times New Roman" w:eastAsia="Times New Roman" w:hAnsi="Times New Roman" w:cs="Courier"/>
          <w:i/>
          <w:kern w:val="32"/>
          <w:sz w:val="16"/>
          <w:szCs w:val="16"/>
          <w:lang w:eastAsia="cs-CZ"/>
        </w:rPr>
        <w:t xml:space="preserve">                                                                                                                                                                                           </w:t>
      </w:r>
      <w:r w:rsidR="00B949EE" w:rsidRPr="00D022F2">
        <w:rPr>
          <w:rFonts w:ascii="Times New Roman" w:hAnsi="Times New Roman"/>
          <w:i/>
          <w:kern w:val="32"/>
          <w:sz w:val="16"/>
          <w:szCs w:val="16"/>
        </w:rPr>
        <w:t>Zdroj: MF SR</w:t>
      </w:r>
    </w:p>
    <w:p w:rsidR="000E1014" w:rsidRDefault="000E1014" w:rsidP="000E1014">
      <w:pPr>
        <w:jc w:val="both"/>
        <w:rPr>
          <w:rFonts w:ascii="Times New Roman" w:hAnsi="Times New Roman"/>
          <w:kern w:val="32"/>
          <w:sz w:val="16"/>
          <w:szCs w:val="16"/>
        </w:rPr>
      </w:pPr>
    </w:p>
    <w:p w:rsidR="00AA17E3" w:rsidRPr="000E1014" w:rsidRDefault="00AA17E3" w:rsidP="000E1014">
      <w:pPr>
        <w:spacing w:after="0"/>
        <w:jc w:val="both"/>
        <w:rPr>
          <w:rFonts w:ascii="Times New Roman" w:hAnsi="Times New Roman"/>
          <w:i/>
          <w:kern w:val="32"/>
          <w:sz w:val="16"/>
          <w:szCs w:val="16"/>
        </w:rPr>
      </w:pPr>
      <w:r w:rsidRPr="007329CA">
        <w:rPr>
          <w:rFonts w:ascii="Times New Roman" w:hAnsi="Times New Roman"/>
          <w:noProof/>
          <w:sz w:val="24"/>
          <w:szCs w:val="24"/>
          <w:lang w:eastAsia="sk-SK"/>
        </w:rPr>
        <w:t>Celková výška výdavkov dopravných podnikov v roku 2022 sa predpokladá v sume 280 mil. eur. V tom bežné výdavky predstavujú sumu 199 mil. eur, kapitálové výdavky predstavujú sumu 73 mil. eur a finančné operácie sú v sume 8 mil. eur (platby za úvery, splácanie istín).</w:t>
      </w:r>
    </w:p>
    <w:p w:rsidR="00AA17E3" w:rsidRPr="007329CA" w:rsidRDefault="00AA17E3" w:rsidP="000E1014">
      <w:pPr>
        <w:spacing w:after="0"/>
        <w:jc w:val="both"/>
        <w:rPr>
          <w:rFonts w:ascii="Times New Roman" w:hAnsi="Times New Roman"/>
          <w:noProof/>
          <w:sz w:val="24"/>
          <w:szCs w:val="24"/>
          <w:lang w:eastAsia="sk-SK"/>
        </w:rPr>
      </w:pPr>
    </w:p>
    <w:p w:rsidR="00AA17E3" w:rsidRDefault="00AA17E3" w:rsidP="000E1014">
      <w:pPr>
        <w:spacing w:after="0"/>
        <w:jc w:val="both"/>
        <w:rPr>
          <w:rFonts w:ascii="Times New Roman" w:hAnsi="Times New Roman"/>
          <w:noProof/>
          <w:sz w:val="24"/>
          <w:szCs w:val="24"/>
          <w:lang w:eastAsia="sk-SK"/>
        </w:rPr>
      </w:pPr>
      <w:r w:rsidRPr="007329CA">
        <w:rPr>
          <w:rFonts w:ascii="Times New Roman" w:hAnsi="Times New Roman"/>
          <w:noProof/>
          <w:sz w:val="24"/>
          <w:szCs w:val="24"/>
          <w:lang w:eastAsia="sk-SK"/>
        </w:rPr>
        <w:t xml:space="preserve">V rámci bežných výdavkov ide najmä o osobné výdavky v sume 112 mil. eur, tovary a služby (energie, materiál, údržbu a opravy) v sume 86 mil. eur. Kapitálové výdavky sa rozpočtujú </w:t>
      </w:r>
      <w:r w:rsidRPr="007329CA">
        <w:rPr>
          <w:rFonts w:ascii="Times New Roman" w:hAnsi="Times New Roman"/>
          <w:noProof/>
          <w:sz w:val="24"/>
          <w:szCs w:val="24"/>
          <w:lang w:eastAsia="sk-SK"/>
        </w:rPr>
        <w:br/>
        <w:t>oproti roku 2021 vyššie o 28,5 mil. eur v súvislosti s očakávaným vyšším zapojením úverových zdrojov a budú smerované prevažne na nákup dopravných prostriedkov a dopravnej tec</w:t>
      </w:r>
      <w:r w:rsidR="0008599D">
        <w:rPr>
          <w:rFonts w:ascii="Times New Roman" w:hAnsi="Times New Roman"/>
          <w:noProof/>
          <w:sz w:val="24"/>
          <w:szCs w:val="24"/>
          <w:lang w:eastAsia="sk-SK"/>
        </w:rPr>
        <w:t>h</w:t>
      </w:r>
      <w:r w:rsidRPr="007329CA">
        <w:rPr>
          <w:rFonts w:ascii="Times New Roman" w:hAnsi="Times New Roman"/>
          <w:noProof/>
          <w:sz w:val="24"/>
          <w:szCs w:val="24"/>
          <w:lang w:eastAsia="sk-SK"/>
        </w:rPr>
        <w:t>nickej infraštruktúry.</w:t>
      </w:r>
      <w:r w:rsidRPr="00F80EBB">
        <w:rPr>
          <w:rFonts w:ascii="Times New Roman" w:hAnsi="Times New Roman"/>
          <w:noProof/>
          <w:sz w:val="24"/>
          <w:szCs w:val="24"/>
          <w:lang w:eastAsia="sk-SK"/>
        </w:rPr>
        <w:t xml:space="preserve"> </w:t>
      </w:r>
    </w:p>
    <w:p w:rsidR="00AA17E3" w:rsidRDefault="00AA17E3"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0E1014" w:rsidRDefault="000E1014" w:rsidP="00AA17E3">
      <w:pPr>
        <w:spacing w:after="0"/>
        <w:jc w:val="both"/>
        <w:rPr>
          <w:rFonts w:ascii="Times New Roman" w:hAnsi="Times New Roman"/>
          <w:noProof/>
          <w:sz w:val="24"/>
          <w:szCs w:val="24"/>
          <w:lang w:eastAsia="sk-SK"/>
        </w:rPr>
      </w:pPr>
    </w:p>
    <w:p w:rsidR="00AA17E3" w:rsidRPr="009363BF" w:rsidRDefault="00AA17E3" w:rsidP="00AA17E3">
      <w:pPr>
        <w:spacing w:after="0"/>
        <w:jc w:val="both"/>
        <w:rPr>
          <w:rFonts w:ascii="Times New Roman" w:hAnsi="Times New Roman"/>
          <w:b/>
          <w:color w:val="5B9BD5" w:themeColor="accent1"/>
          <w:kern w:val="32"/>
          <w:sz w:val="24"/>
          <w:szCs w:val="24"/>
        </w:rPr>
      </w:pPr>
      <w:r w:rsidRPr="009363BF">
        <w:rPr>
          <w:rFonts w:ascii="Times New Roman" w:hAnsi="Times New Roman"/>
          <w:b/>
          <w:color w:val="5B9BD5" w:themeColor="accent1"/>
          <w:kern w:val="32"/>
          <w:sz w:val="24"/>
          <w:szCs w:val="24"/>
        </w:rPr>
        <w:t xml:space="preserve">Výkonné a zákonodarné orgány </w:t>
      </w:r>
    </w:p>
    <w:p w:rsidR="00AA17E3" w:rsidRPr="009363BF" w:rsidRDefault="00AA17E3" w:rsidP="00AA17E3">
      <w:pPr>
        <w:spacing w:after="0"/>
        <w:jc w:val="both"/>
        <w:rPr>
          <w:rFonts w:ascii="Times New Roman" w:hAnsi="Times New Roman"/>
          <w:b/>
          <w:color w:val="5B9BD5" w:themeColor="accent1"/>
          <w:kern w:val="32"/>
          <w:sz w:val="24"/>
          <w:szCs w:val="24"/>
        </w:rPr>
      </w:pPr>
    </w:p>
    <w:tbl>
      <w:tblPr>
        <w:tblpPr w:leftFromText="141" w:rightFromText="141" w:vertAnchor="text" w:horzAnchor="margin" w:tblpY="274"/>
        <w:tblW w:w="5000" w:type="pct"/>
        <w:tblCellMar>
          <w:left w:w="70" w:type="dxa"/>
          <w:right w:w="70" w:type="dxa"/>
        </w:tblCellMar>
        <w:tblLook w:val="04A0" w:firstRow="1" w:lastRow="0" w:firstColumn="1" w:lastColumn="0" w:noHBand="0" w:noVBand="1"/>
      </w:tblPr>
      <w:tblGrid>
        <w:gridCol w:w="2415"/>
        <w:gridCol w:w="950"/>
        <w:gridCol w:w="950"/>
        <w:gridCol w:w="951"/>
        <w:gridCol w:w="951"/>
        <w:gridCol w:w="951"/>
        <w:gridCol w:w="953"/>
        <w:gridCol w:w="951"/>
      </w:tblGrid>
      <w:tr w:rsidR="00AA17E3" w:rsidRPr="009363BF" w:rsidTr="00AA17E3">
        <w:trPr>
          <w:trHeight w:val="300"/>
        </w:trPr>
        <w:tc>
          <w:tcPr>
            <w:tcW w:w="1331" w:type="pct"/>
            <w:tcBorders>
              <w:top w:val="single" w:sz="4" w:space="0" w:color="auto"/>
              <w:left w:val="nil"/>
              <w:bottom w:val="single" w:sz="4" w:space="0" w:color="auto"/>
              <w:right w:val="nil"/>
            </w:tcBorders>
            <w:shd w:val="clear" w:color="auto" w:fill="auto"/>
            <w:noWrap/>
            <w:vAlign w:val="center"/>
            <w:hideMark/>
          </w:tcPr>
          <w:p w:rsidR="00AA17E3" w:rsidRPr="009363BF" w:rsidRDefault="00AA17E3" w:rsidP="00AA17E3">
            <w:pPr>
              <w:rPr>
                <w:rFonts w:ascii="Times New Roman" w:hAnsi="Times New Roman"/>
                <w:b/>
                <w:bCs/>
                <w:color w:val="000000"/>
                <w:sz w:val="16"/>
                <w:szCs w:val="16"/>
                <w:lang w:eastAsia="sk-SK"/>
              </w:rPr>
            </w:pPr>
            <w:r w:rsidRPr="009363BF">
              <w:rPr>
                <w:rFonts w:ascii="Times New Roman" w:hAnsi="Times New Roman"/>
                <w:b/>
                <w:bCs/>
                <w:color w:val="000000"/>
                <w:sz w:val="16"/>
                <w:szCs w:val="16"/>
                <w:lang w:eastAsia="sk-SK"/>
              </w:rPr>
              <w:t>v tis. eur</w:t>
            </w:r>
          </w:p>
        </w:tc>
        <w:tc>
          <w:tcPr>
            <w:tcW w:w="524"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2019</w:t>
            </w:r>
            <w:r w:rsidRPr="00A2768A">
              <w:rPr>
                <w:rFonts w:ascii="Times New Roman" w:hAnsi="Times New Roman"/>
                <w:b/>
                <w:bCs/>
                <w:color w:val="000000"/>
                <w:sz w:val="16"/>
                <w:szCs w:val="16"/>
                <w:lang w:eastAsia="sk-SK"/>
              </w:rPr>
              <w:t xml:space="preserve"> S</w:t>
            </w:r>
          </w:p>
        </w:tc>
        <w:tc>
          <w:tcPr>
            <w:tcW w:w="524"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w:t>
            </w:r>
            <w:r>
              <w:rPr>
                <w:rFonts w:ascii="Times New Roman" w:hAnsi="Times New Roman"/>
                <w:b/>
                <w:bCs/>
                <w:color w:val="000000"/>
                <w:sz w:val="16"/>
                <w:szCs w:val="16"/>
                <w:lang w:eastAsia="sk-SK"/>
              </w:rPr>
              <w:t>20</w:t>
            </w:r>
            <w:r w:rsidRPr="00A2768A">
              <w:rPr>
                <w:rFonts w:ascii="Times New Roman" w:hAnsi="Times New Roman"/>
                <w:b/>
                <w:bCs/>
                <w:color w:val="000000"/>
                <w:sz w:val="16"/>
                <w:szCs w:val="16"/>
                <w:lang w:eastAsia="sk-SK"/>
              </w:rPr>
              <w:t xml:space="preserve"> S</w:t>
            </w:r>
          </w:p>
        </w:tc>
        <w:tc>
          <w:tcPr>
            <w:tcW w:w="524"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1</w:t>
            </w:r>
            <w:r w:rsidRPr="00A2768A">
              <w:rPr>
                <w:rFonts w:ascii="Times New Roman" w:hAnsi="Times New Roman"/>
                <w:b/>
                <w:bCs/>
                <w:color w:val="000000"/>
                <w:sz w:val="16"/>
                <w:szCs w:val="16"/>
                <w:lang w:eastAsia="sk-SK"/>
              </w:rPr>
              <w:t xml:space="preserve"> R</w:t>
            </w:r>
          </w:p>
        </w:tc>
        <w:tc>
          <w:tcPr>
            <w:tcW w:w="524"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2021</w:t>
            </w:r>
            <w:r w:rsidRPr="00A2768A">
              <w:rPr>
                <w:rFonts w:ascii="Times New Roman" w:hAnsi="Times New Roman"/>
                <w:b/>
                <w:bCs/>
                <w:color w:val="000000"/>
                <w:sz w:val="16"/>
                <w:szCs w:val="16"/>
                <w:lang w:eastAsia="sk-SK"/>
              </w:rPr>
              <w:t xml:space="preserve"> OS</w:t>
            </w:r>
          </w:p>
        </w:tc>
        <w:tc>
          <w:tcPr>
            <w:tcW w:w="524"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2</w:t>
            </w:r>
            <w:r w:rsidRPr="00A2768A">
              <w:rPr>
                <w:rFonts w:ascii="Times New Roman" w:hAnsi="Times New Roman"/>
                <w:b/>
                <w:bCs/>
                <w:color w:val="000000"/>
                <w:sz w:val="16"/>
                <w:szCs w:val="16"/>
                <w:lang w:eastAsia="sk-SK"/>
              </w:rPr>
              <w:t xml:space="preserve"> N</w:t>
            </w:r>
          </w:p>
        </w:tc>
        <w:tc>
          <w:tcPr>
            <w:tcW w:w="525"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3</w:t>
            </w:r>
            <w:r w:rsidRPr="00A2768A">
              <w:rPr>
                <w:rFonts w:ascii="Times New Roman" w:hAnsi="Times New Roman"/>
                <w:b/>
                <w:bCs/>
                <w:color w:val="000000"/>
                <w:sz w:val="16"/>
                <w:szCs w:val="16"/>
                <w:lang w:eastAsia="sk-SK"/>
              </w:rPr>
              <w:t xml:space="preserve"> N</w:t>
            </w:r>
          </w:p>
        </w:tc>
        <w:tc>
          <w:tcPr>
            <w:tcW w:w="524"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4</w:t>
            </w:r>
            <w:r w:rsidRPr="00A2768A">
              <w:rPr>
                <w:rFonts w:ascii="Times New Roman" w:hAnsi="Times New Roman"/>
                <w:b/>
                <w:bCs/>
                <w:color w:val="000000"/>
                <w:sz w:val="16"/>
                <w:szCs w:val="16"/>
                <w:lang w:eastAsia="sk-SK"/>
              </w:rPr>
              <w:t xml:space="preserve"> N</w:t>
            </w:r>
          </w:p>
        </w:tc>
      </w:tr>
      <w:tr w:rsidR="00AA17E3" w:rsidRPr="009363BF" w:rsidTr="00AA17E3">
        <w:trPr>
          <w:trHeight w:val="300"/>
        </w:trPr>
        <w:tc>
          <w:tcPr>
            <w:tcW w:w="1331" w:type="pct"/>
            <w:tcBorders>
              <w:top w:val="nil"/>
              <w:left w:val="nil"/>
              <w:bottom w:val="nil"/>
              <w:right w:val="nil"/>
            </w:tcBorders>
            <w:shd w:val="clear" w:color="auto" w:fill="auto"/>
            <w:noWrap/>
            <w:vAlign w:val="center"/>
            <w:hideMark/>
          </w:tcPr>
          <w:p w:rsidR="00AA17E3" w:rsidRPr="0013355F" w:rsidRDefault="00AA17E3" w:rsidP="00AA17E3">
            <w:pPr>
              <w:rPr>
                <w:rFonts w:ascii="Times New Roman" w:hAnsi="Times New Roman"/>
                <w:b/>
                <w:bCs/>
                <w:color w:val="000000"/>
                <w:sz w:val="16"/>
                <w:szCs w:val="16"/>
                <w:lang w:eastAsia="sk-SK"/>
              </w:rPr>
            </w:pPr>
            <w:r w:rsidRPr="0013355F">
              <w:rPr>
                <w:rFonts w:ascii="Times New Roman" w:hAnsi="Times New Roman"/>
                <w:b/>
                <w:bCs/>
                <w:color w:val="000000"/>
                <w:sz w:val="16"/>
                <w:szCs w:val="16"/>
                <w:lang w:eastAsia="sk-SK"/>
              </w:rPr>
              <w:t>Výkonné a zákonodarné orgány</w:t>
            </w:r>
          </w:p>
        </w:tc>
        <w:tc>
          <w:tcPr>
            <w:tcW w:w="524" w:type="pct"/>
            <w:tcBorders>
              <w:top w:val="nil"/>
              <w:left w:val="nil"/>
              <w:bottom w:val="nil"/>
              <w:right w:val="nil"/>
            </w:tcBorders>
            <w:shd w:val="clear" w:color="auto" w:fill="auto"/>
            <w:noWrap/>
            <w:vAlign w:val="bottom"/>
            <w:hideMark/>
          </w:tcPr>
          <w:p w:rsidR="00AA17E3" w:rsidRPr="0013355F" w:rsidRDefault="00AA17E3" w:rsidP="00AA17E3">
            <w:pPr>
              <w:jc w:val="right"/>
              <w:rPr>
                <w:rFonts w:ascii="Times New Roman" w:hAnsi="Times New Roman" w:cs="Times New Roman"/>
                <w:b/>
                <w:bCs/>
                <w:color w:val="000000"/>
                <w:sz w:val="16"/>
                <w:szCs w:val="16"/>
              </w:rPr>
            </w:pPr>
            <w:r w:rsidRPr="0013355F">
              <w:rPr>
                <w:rFonts w:ascii="Times New Roman" w:hAnsi="Times New Roman" w:cs="Times New Roman"/>
                <w:b/>
                <w:bCs/>
                <w:color w:val="000000"/>
                <w:sz w:val="16"/>
                <w:szCs w:val="16"/>
              </w:rPr>
              <w:t>160 114</w:t>
            </w:r>
          </w:p>
        </w:tc>
        <w:tc>
          <w:tcPr>
            <w:tcW w:w="524" w:type="pct"/>
            <w:tcBorders>
              <w:top w:val="nil"/>
              <w:left w:val="nil"/>
              <w:bottom w:val="nil"/>
              <w:right w:val="nil"/>
            </w:tcBorders>
            <w:shd w:val="clear" w:color="auto" w:fill="auto"/>
            <w:noWrap/>
            <w:vAlign w:val="bottom"/>
            <w:hideMark/>
          </w:tcPr>
          <w:p w:rsidR="00AA17E3" w:rsidRPr="0013355F" w:rsidRDefault="00AA17E3" w:rsidP="00AA17E3">
            <w:pPr>
              <w:jc w:val="right"/>
              <w:rPr>
                <w:rFonts w:ascii="Times New Roman" w:hAnsi="Times New Roman" w:cs="Times New Roman"/>
                <w:b/>
                <w:bCs/>
                <w:color w:val="000000"/>
                <w:sz w:val="16"/>
                <w:szCs w:val="16"/>
              </w:rPr>
            </w:pPr>
            <w:r w:rsidRPr="0013355F">
              <w:rPr>
                <w:rFonts w:ascii="Times New Roman" w:hAnsi="Times New Roman" w:cs="Times New Roman"/>
                <w:b/>
                <w:bCs/>
                <w:color w:val="000000"/>
                <w:sz w:val="16"/>
                <w:szCs w:val="16"/>
              </w:rPr>
              <w:t>172 168</w:t>
            </w:r>
          </w:p>
        </w:tc>
        <w:tc>
          <w:tcPr>
            <w:tcW w:w="524" w:type="pct"/>
            <w:tcBorders>
              <w:top w:val="nil"/>
              <w:left w:val="nil"/>
              <w:bottom w:val="nil"/>
              <w:right w:val="nil"/>
            </w:tcBorders>
            <w:shd w:val="clear" w:color="auto" w:fill="auto"/>
            <w:noWrap/>
            <w:vAlign w:val="bottom"/>
            <w:hideMark/>
          </w:tcPr>
          <w:p w:rsidR="00AA17E3" w:rsidRPr="00431E5E" w:rsidRDefault="001D6A9B" w:rsidP="00AA17E3">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181 849</w:t>
            </w:r>
          </w:p>
        </w:tc>
        <w:tc>
          <w:tcPr>
            <w:tcW w:w="524" w:type="pct"/>
            <w:tcBorders>
              <w:top w:val="nil"/>
              <w:left w:val="nil"/>
              <w:bottom w:val="nil"/>
              <w:right w:val="nil"/>
            </w:tcBorders>
            <w:shd w:val="clear" w:color="auto" w:fill="auto"/>
            <w:noWrap/>
            <w:vAlign w:val="bottom"/>
            <w:hideMark/>
          </w:tcPr>
          <w:p w:rsidR="00AA17E3" w:rsidRPr="00431E5E" w:rsidRDefault="001D6A9B" w:rsidP="00AA17E3">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181 198</w:t>
            </w:r>
          </w:p>
        </w:tc>
        <w:tc>
          <w:tcPr>
            <w:tcW w:w="524" w:type="pct"/>
            <w:tcBorders>
              <w:top w:val="nil"/>
              <w:left w:val="nil"/>
              <w:bottom w:val="nil"/>
              <w:right w:val="nil"/>
            </w:tcBorders>
            <w:shd w:val="clear" w:color="auto" w:fill="auto"/>
            <w:noWrap/>
            <w:vAlign w:val="bottom"/>
            <w:hideMark/>
          </w:tcPr>
          <w:p w:rsidR="00AA17E3" w:rsidRPr="00F62A67" w:rsidRDefault="001D6A9B" w:rsidP="00AA17E3">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259 420</w:t>
            </w:r>
          </w:p>
        </w:tc>
        <w:tc>
          <w:tcPr>
            <w:tcW w:w="525" w:type="pct"/>
            <w:tcBorders>
              <w:top w:val="nil"/>
              <w:left w:val="nil"/>
              <w:bottom w:val="nil"/>
              <w:right w:val="nil"/>
            </w:tcBorders>
            <w:shd w:val="clear" w:color="auto" w:fill="auto"/>
            <w:noWrap/>
            <w:vAlign w:val="bottom"/>
            <w:hideMark/>
          </w:tcPr>
          <w:p w:rsidR="00AA17E3" w:rsidRPr="00F62A67" w:rsidRDefault="00AA17E3" w:rsidP="00AA17E3">
            <w:pPr>
              <w:jc w:val="right"/>
              <w:rPr>
                <w:rFonts w:ascii="Times New Roman" w:hAnsi="Times New Roman" w:cs="Times New Roman"/>
                <w:b/>
                <w:bCs/>
                <w:color w:val="000000"/>
                <w:sz w:val="16"/>
                <w:szCs w:val="16"/>
              </w:rPr>
            </w:pPr>
            <w:r w:rsidRPr="00F62A67">
              <w:rPr>
                <w:rFonts w:ascii="Times New Roman" w:hAnsi="Times New Roman" w:cs="Times New Roman"/>
                <w:b/>
                <w:bCs/>
                <w:color w:val="000000"/>
                <w:sz w:val="16"/>
                <w:szCs w:val="16"/>
              </w:rPr>
              <w:t>280 464</w:t>
            </w:r>
          </w:p>
        </w:tc>
        <w:tc>
          <w:tcPr>
            <w:tcW w:w="524" w:type="pct"/>
            <w:tcBorders>
              <w:top w:val="nil"/>
              <w:left w:val="nil"/>
              <w:bottom w:val="nil"/>
              <w:right w:val="nil"/>
            </w:tcBorders>
            <w:shd w:val="clear" w:color="auto" w:fill="auto"/>
            <w:noWrap/>
            <w:vAlign w:val="bottom"/>
            <w:hideMark/>
          </w:tcPr>
          <w:p w:rsidR="00AA17E3" w:rsidRPr="00F62A67" w:rsidRDefault="00AA17E3" w:rsidP="00AA17E3">
            <w:pPr>
              <w:jc w:val="right"/>
              <w:rPr>
                <w:rFonts w:ascii="Times New Roman" w:hAnsi="Times New Roman" w:cs="Times New Roman"/>
                <w:b/>
                <w:bCs/>
                <w:color w:val="000000"/>
                <w:sz w:val="16"/>
                <w:szCs w:val="16"/>
              </w:rPr>
            </w:pPr>
            <w:r w:rsidRPr="00F62A67">
              <w:rPr>
                <w:rFonts w:ascii="Times New Roman" w:hAnsi="Times New Roman" w:cs="Times New Roman"/>
                <w:b/>
                <w:bCs/>
                <w:color w:val="000000"/>
                <w:sz w:val="16"/>
                <w:szCs w:val="16"/>
              </w:rPr>
              <w:t>290 972</w:t>
            </w:r>
          </w:p>
        </w:tc>
      </w:tr>
      <w:tr w:rsidR="00AA17E3" w:rsidRPr="009363BF" w:rsidTr="00AA17E3">
        <w:trPr>
          <w:trHeight w:val="300"/>
        </w:trPr>
        <w:tc>
          <w:tcPr>
            <w:tcW w:w="1331" w:type="pct"/>
            <w:tcBorders>
              <w:top w:val="nil"/>
              <w:left w:val="nil"/>
              <w:bottom w:val="nil"/>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Úradu vlády SR</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46 810</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36 936</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69 087</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63 251</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155 046</w:t>
            </w:r>
          </w:p>
        </w:tc>
        <w:tc>
          <w:tcPr>
            <w:tcW w:w="525"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181 020</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184 697</w:t>
            </w:r>
          </w:p>
        </w:tc>
      </w:tr>
      <w:tr w:rsidR="00AA17E3" w:rsidRPr="009363BF" w:rsidTr="00AA17E3">
        <w:trPr>
          <w:trHeight w:val="300"/>
        </w:trPr>
        <w:tc>
          <w:tcPr>
            <w:tcW w:w="1331" w:type="pct"/>
            <w:tcBorders>
              <w:top w:val="nil"/>
              <w:left w:val="nil"/>
              <w:bottom w:val="nil"/>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Kancelárie Národnej rady SR</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48 038</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40 616</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35 702</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36 757</w:t>
            </w:r>
          </w:p>
        </w:tc>
        <w:tc>
          <w:tcPr>
            <w:tcW w:w="524" w:type="pct"/>
            <w:tcBorders>
              <w:top w:val="nil"/>
              <w:left w:val="nil"/>
              <w:bottom w:val="nil"/>
              <w:right w:val="nil"/>
            </w:tcBorders>
            <w:shd w:val="clear" w:color="auto" w:fill="auto"/>
            <w:vAlign w:val="bottom"/>
            <w:hideMark/>
          </w:tcPr>
          <w:p w:rsidR="00AA17E3" w:rsidRPr="00F62A67" w:rsidRDefault="00AA17E3" w:rsidP="00AA17E3">
            <w:pPr>
              <w:jc w:val="right"/>
              <w:rPr>
                <w:rFonts w:ascii="Times New Roman" w:hAnsi="Times New Roman" w:cs="Times New Roman"/>
                <w:color w:val="000000"/>
                <w:sz w:val="16"/>
                <w:szCs w:val="16"/>
              </w:rPr>
            </w:pPr>
            <w:r w:rsidRPr="00F62A67">
              <w:rPr>
                <w:rFonts w:ascii="Times New Roman" w:hAnsi="Times New Roman" w:cs="Times New Roman"/>
                <w:color w:val="000000"/>
                <w:sz w:val="16"/>
                <w:szCs w:val="16"/>
              </w:rPr>
              <w:t>37 663</w:t>
            </w:r>
          </w:p>
        </w:tc>
        <w:tc>
          <w:tcPr>
            <w:tcW w:w="525" w:type="pct"/>
            <w:tcBorders>
              <w:top w:val="nil"/>
              <w:left w:val="nil"/>
              <w:bottom w:val="nil"/>
              <w:right w:val="nil"/>
            </w:tcBorders>
            <w:shd w:val="clear" w:color="auto" w:fill="auto"/>
            <w:vAlign w:val="bottom"/>
            <w:hideMark/>
          </w:tcPr>
          <w:p w:rsidR="00AA17E3" w:rsidRPr="00F62A67" w:rsidRDefault="00AA17E3" w:rsidP="00AA17E3">
            <w:pPr>
              <w:jc w:val="right"/>
              <w:rPr>
                <w:rFonts w:ascii="Times New Roman" w:hAnsi="Times New Roman" w:cs="Times New Roman"/>
                <w:color w:val="000000"/>
                <w:sz w:val="16"/>
                <w:szCs w:val="16"/>
              </w:rPr>
            </w:pPr>
            <w:r w:rsidRPr="00F62A67">
              <w:rPr>
                <w:rFonts w:ascii="Times New Roman" w:hAnsi="Times New Roman" w:cs="Times New Roman"/>
                <w:color w:val="000000"/>
                <w:sz w:val="16"/>
                <w:szCs w:val="16"/>
              </w:rPr>
              <w:t>39 215</w:t>
            </w:r>
          </w:p>
        </w:tc>
        <w:tc>
          <w:tcPr>
            <w:tcW w:w="524" w:type="pct"/>
            <w:tcBorders>
              <w:top w:val="nil"/>
              <w:left w:val="nil"/>
              <w:bottom w:val="nil"/>
              <w:right w:val="nil"/>
            </w:tcBorders>
            <w:shd w:val="clear" w:color="auto" w:fill="auto"/>
            <w:vAlign w:val="bottom"/>
            <w:hideMark/>
          </w:tcPr>
          <w:p w:rsidR="00AA17E3" w:rsidRPr="00F62A67" w:rsidRDefault="00AA17E3" w:rsidP="00AA17E3">
            <w:pPr>
              <w:jc w:val="right"/>
              <w:rPr>
                <w:rFonts w:ascii="Times New Roman" w:hAnsi="Times New Roman" w:cs="Times New Roman"/>
                <w:color w:val="000000"/>
                <w:sz w:val="16"/>
                <w:szCs w:val="16"/>
              </w:rPr>
            </w:pPr>
            <w:r w:rsidRPr="00F62A67">
              <w:rPr>
                <w:rFonts w:ascii="Times New Roman" w:hAnsi="Times New Roman" w:cs="Times New Roman"/>
                <w:color w:val="000000"/>
                <w:sz w:val="16"/>
                <w:szCs w:val="16"/>
              </w:rPr>
              <w:t>40 844</w:t>
            </w:r>
          </w:p>
        </w:tc>
      </w:tr>
      <w:tr w:rsidR="00AA17E3" w:rsidRPr="00431E5E" w:rsidTr="00AA17E3">
        <w:trPr>
          <w:trHeight w:val="300"/>
        </w:trPr>
        <w:tc>
          <w:tcPr>
            <w:tcW w:w="1331" w:type="pct"/>
            <w:tcBorders>
              <w:top w:val="nil"/>
              <w:left w:val="nil"/>
              <w:bottom w:val="nil"/>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Kancelárie prezidenta SR</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olor w:val="000000"/>
                <w:sz w:val="16"/>
                <w:szCs w:val="16"/>
                <w:lang w:eastAsia="sk-SK"/>
              </w:rPr>
            </w:pPr>
            <w:r w:rsidRPr="0013355F">
              <w:rPr>
                <w:rFonts w:ascii="Times New Roman" w:hAnsi="Times New Roman"/>
                <w:color w:val="000000"/>
                <w:sz w:val="16"/>
                <w:szCs w:val="16"/>
                <w:lang w:eastAsia="sk-SK"/>
              </w:rPr>
              <w:t>7 638</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olor w:val="000000"/>
                <w:sz w:val="16"/>
                <w:szCs w:val="16"/>
                <w:lang w:eastAsia="sk-SK"/>
              </w:rPr>
            </w:pPr>
            <w:r w:rsidRPr="0013355F">
              <w:rPr>
                <w:rFonts w:ascii="Times New Roman" w:hAnsi="Times New Roman"/>
                <w:color w:val="000000"/>
                <w:sz w:val="16"/>
                <w:szCs w:val="16"/>
                <w:lang w:eastAsia="sk-SK"/>
              </w:rPr>
              <w:t>5 753</w:t>
            </w:r>
          </w:p>
        </w:tc>
        <w:tc>
          <w:tcPr>
            <w:tcW w:w="524" w:type="pct"/>
            <w:tcBorders>
              <w:top w:val="nil"/>
              <w:left w:val="nil"/>
              <w:bottom w:val="nil"/>
              <w:right w:val="nil"/>
            </w:tcBorders>
            <w:shd w:val="clear" w:color="auto" w:fill="auto"/>
            <w:vAlign w:val="bottom"/>
            <w:hideMark/>
          </w:tcPr>
          <w:p w:rsidR="00AA17E3" w:rsidRPr="00431E5E" w:rsidRDefault="001D6A9B"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4 619</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5 586</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5 315</w:t>
            </w:r>
          </w:p>
        </w:tc>
        <w:tc>
          <w:tcPr>
            <w:tcW w:w="525"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5 315</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5 315</w:t>
            </w:r>
          </w:p>
        </w:tc>
      </w:tr>
      <w:tr w:rsidR="00AA17E3" w:rsidRPr="00431E5E" w:rsidTr="00AA17E3">
        <w:trPr>
          <w:trHeight w:val="300"/>
        </w:trPr>
        <w:tc>
          <w:tcPr>
            <w:tcW w:w="1331" w:type="pct"/>
            <w:tcBorders>
              <w:top w:val="nil"/>
              <w:left w:val="nil"/>
              <w:bottom w:val="nil"/>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Najvyššieho kontrolného úradu SR</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12 698</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13 428</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11 533</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13 307</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13 624</w:t>
            </w:r>
          </w:p>
        </w:tc>
        <w:tc>
          <w:tcPr>
            <w:tcW w:w="525"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12 519</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12 511</w:t>
            </w:r>
          </w:p>
        </w:tc>
      </w:tr>
      <w:tr w:rsidR="00AA17E3" w:rsidRPr="00431E5E" w:rsidTr="00AA17E3">
        <w:trPr>
          <w:trHeight w:val="300"/>
        </w:trPr>
        <w:tc>
          <w:tcPr>
            <w:tcW w:w="1331" w:type="pct"/>
            <w:tcBorders>
              <w:top w:val="nil"/>
              <w:left w:val="nil"/>
              <w:bottom w:val="nil"/>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Štatistického úradu SR</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olor w:val="000000"/>
                <w:sz w:val="16"/>
                <w:szCs w:val="16"/>
                <w:lang w:eastAsia="sk-SK"/>
              </w:rPr>
            </w:pPr>
            <w:r w:rsidRPr="0013355F">
              <w:rPr>
                <w:rFonts w:ascii="Times New Roman" w:hAnsi="Times New Roman"/>
                <w:color w:val="000000"/>
                <w:sz w:val="16"/>
                <w:szCs w:val="16"/>
                <w:lang w:eastAsia="sk-SK"/>
              </w:rPr>
              <w:t>32 271</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olor w:val="000000"/>
                <w:sz w:val="16"/>
                <w:szCs w:val="16"/>
                <w:lang w:eastAsia="sk-SK"/>
              </w:rPr>
            </w:pPr>
            <w:r w:rsidRPr="0013355F">
              <w:rPr>
                <w:rFonts w:ascii="Times New Roman" w:hAnsi="Times New Roman"/>
                <w:color w:val="000000"/>
                <w:sz w:val="16"/>
                <w:szCs w:val="16"/>
                <w:lang w:eastAsia="sk-SK"/>
              </w:rPr>
              <w:t>61 653</w:t>
            </w:r>
          </w:p>
        </w:tc>
        <w:tc>
          <w:tcPr>
            <w:tcW w:w="524" w:type="pct"/>
            <w:tcBorders>
              <w:top w:val="nil"/>
              <w:left w:val="nil"/>
              <w:bottom w:val="nil"/>
              <w:right w:val="nil"/>
            </w:tcBorders>
            <w:shd w:val="clear" w:color="auto" w:fill="auto"/>
            <w:vAlign w:val="bottom"/>
            <w:hideMark/>
          </w:tcPr>
          <w:p w:rsidR="00AA17E3" w:rsidRPr="00431E5E" w:rsidRDefault="001D6A9B"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48 478</w:t>
            </w:r>
          </w:p>
        </w:tc>
        <w:tc>
          <w:tcPr>
            <w:tcW w:w="524" w:type="pct"/>
            <w:tcBorders>
              <w:top w:val="nil"/>
              <w:left w:val="nil"/>
              <w:bottom w:val="nil"/>
              <w:right w:val="nil"/>
            </w:tcBorders>
            <w:shd w:val="clear" w:color="auto" w:fill="auto"/>
            <w:vAlign w:val="bottom"/>
            <w:hideMark/>
          </w:tcPr>
          <w:p w:rsidR="00AA17E3" w:rsidRPr="00431E5E" w:rsidRDefault="001D6A9B" w:rsidP="00AA17E3">
            <w:pPr>
              <w:jc w:val="right"/>
              <w:rPr>
                <w:rFonts w:ascii="Times New Roman" w:hAnsi="Times New Roman"/>
                <w:color w:val="000000"/>
                <w:sz w:val="16"/>
                <w:szCs w:val="16"/>
              </w:rPr>
            </w:pPr>
            <w:r>
              <w:rPr>
                <w:rFonts w:ascii="Times New Roman" w:hAnsi="Times New Roman"/>
                <w:color w:val="000000"/>
                <w:sz w:val="16"/>
                <w:szCs w:val="16"/>
              </w:rPr>
              <w:t>48 988</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35 193</w:t>
            </w:r>
          </w:p>
        </w:tc>
        <w:tc>
          <w:tcPr>
            <w:tcW w:w="525"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29 898</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35 117</w:t>
            </w:r>
          </w:p>
        </w:tc>
      </w:tr>
      <w:tr w:rsidR="00AA17E3" w:rsidRPr="00431E5E" w:rsidTr="00AA17E3">
        <w:trPr>
          <w:trHeight w:val="300"/>
        </w:trPr>
        <w:tc>
          <w:tcPr>
            <w:tcW w:w="1331" w:type="pct"/>
            <w:tcBorders>
              <w:top w:val="nil"/>
              <w:left w:val="nil"/>
              <w:bottom w:val="nil"/>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Úradu pre verejné obstarávanie</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olor w:val="000000"/>
                <w:sz w:val="16"/>
                <w:szCs w:val="16"/>
                <w:lang w:eastAsia="sk-SK"/>
              </w:rPr>
            </w:pPr>
            <w:r w:rsidRPr="0013355F">
              <w:rPr>
                <w:rFonts w:ascii="Times New Roman" w:hAnsi="Times New Roman"/>
                <w:color w:val="000000"/>
                <w:sz w:val="16"/>
                <w:szCs w:val="16"/>
                <w:lang w:eastAsia="sk-SK"/>
              </w:rPr>
              <w:t>10 931</w:t>
            </w:r>
          </w:p>
        </w:tc>
        <w:tc>
          <w:tcPr>
            <w:tcW w:w="524" w:type="pct"/>
            <w:tcBorders>
              <w:top w:val="nil"/>
              <w:left w:val="nil"/>
              <w:bottom w:val="nil"/>
              <w:right w:val="nil"/>
            </w:tcBorders>
            <w:shd w:val="clear" w:color="auto" w:fill="auto"/>
            <w:vAlign w:val="bottom"/>
            <w:hideMark/>
          </w:tcPr>
          <w:p w:rsidR="00AA17E3" w:rsidRPr="0013355F" w:rsidRDefault="00AA17E3" w:rsidP="00AA17E3">
            <w:pPr>
              <w:jc w:val="right"/>
              <w:rPr>
                <w:rFonts w:ascii="Times New Roman" w:hAnsi="Times New Roman"/>
                <w:color w:val="000000"/>
                <w:sz w:val="16"/>
                <w:szCs w:val="16"/>
                <w:lang w:eastAsia="sk-SK"/>
              </w:rPr>
            </w:pPr>
            <w:r w:rsidRPr="0013355F">
              <w:rPr>
                <w:rFonts w:ascii="Times New Roman" w:hAnsi="Times New Roman"/>
                <w:color w:val="000000"/>
                <w:sz w:val="16"/>
                <w:szCs w:val="16"/>
                <w:lang w:eastAsia="sk-SK"/>
              </w:rPr>
              <w:t>11 820</w:t>
            </w:r>
          </w:p>
        </w:tc>
        <w:tc>
          <w:tcPr>
            <w:tcW w:w="524" w:type="pct"/>
            <w:tcBorders>
              <w:top w:val="nil"/>
              <w:left w:val="nil"/>
              <w:bottom w:val="nil"/>
              <w:right w:val="nil"/>
            </w:tcBorders>
            <w:shd w:val="clear" w:color="auto" w:fill="auto"/>
            <w:vAlign w:val="bottom"/>
            <w:hideMark/>
          </w:tcPr>
          <w:p w:rsidR="00AA17E3" w:rsidRPr="00431E5E" w:rsidRDefault="001D6A9B"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10 703</w:t>
            </w:r>
          </w:p>
        </w:tc>
        <w:tc>
          <w:tcPr>
            <w:tcW w:w="524" w:type="pct"/>
            <w:tcBorders>
              <w:top w:val="nil"/>
              <w:left w:val="nil"/>
              <w:bottom w:val="nil"/>
              <w:right w:val="nil"/>
            </w:tcBorders>
            <w:shd w:val="clear" w:color="auto" w:fill="auto"/>
            <w:vAlign w:val="bottom"/>
            <w:hideMark/>
          </w:tcPr>
          <w:p w:rsidR="00AA17E3" w:rsidRPr="00431E5E" w:rsidRDefault="001D6A9B" w:rsidP="00AA17E3">
            <w:pPr>
              <w:jc w:val="right"/>
              <w:rPr>
                <w:rFonts w:ascii="Times New Roman" w:hAnsi="Times New Roman"/>
                <w:color w:val="000000"/>
                <w:sz w:val="16"/>
                <w:szCs w:val="16"/>
              </w:rPr>
            </w:pPr>
            <w:r>
              <w:rPr>
                <w:rFonts w:ascii="Times New Roman" w:hAnsi="Times New Roman"/>
                <w:color w:val="000000"/>
                <w:sz w:val="16"/>
                <w:szCs w:val="16"/>
              </w:rPr>
              <w:t>11 581</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10 848</w:t>
            </w:r>
          </w:p>
        </w:tc>
        <w:tc>
          <w:tcPr>
            <w:tcW w:w="525"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10 767</w:t>
            </w:r>
          </w:p>
        </w:tc>
        <w:tc>
          <w:tcPr>
            <w:tcW w:w="524" w:type="pct"/>
            <w:tcBorders>
              <w:top w:val="nil"/>
              <w:left w:val="nil"/>
              <w:bottom w:val="nil"/>
              <w:right w:val="nil"/>
            </w:tcBorders>
            <w:shd w:val="clear" w:color="auto" w:fill="auto"/>
            <w:vAlign w:val="bottom"/>
            <w:hideMark/>
          </w:tcPr>
          <w:p w:rsidR="00AA17E3" w:rsidRPr="00431E5E" w:rsidRDefault="00AA17E3" w:rsidP="00AA17E3">
            <w:pPr>
              <w:jc w:val="right"/>
              <w:rPr>
                <w:rFonts w:ascii="Times New Roman" w:hAnsi="Times New Roman"/>
                <w:color w:val="000000"/>
                <w:sz w:val="16"/>
                <w:szCs w:val="16"/>
              </w:rPr>
            </w:pPr>
            <w:r w:rsidRPr="00431E5E">
              <w:rPr>
                <w:rFonts w:ascii="Times New Roman" w:hAnsi="Times New Roman"/>
                <w:color w:val="000000"/>
                <w:sz w:val="16"/>
                <w:szCs w:val="16"/>
              </w:rPr>
              <w:t>10 758</w:t>
            </w:r>
          </w:p>
        </w:tc>
      </w:tr>
      <w:tr w:rsidR="00AA17E3" w:rsidRPr="009363BF" w:rsidTr="00AA17E3">
        <w:trPr>
          <w:trHeight w:val="300"/>
        </w:trPr>
        <w:tc>
          <w:tcPr>
            <w:tcW w:w="1331" w:type="pct"/>
            <w:tcBorders>
              <w:top w:val="nil"/>
              <w:left w:val="nil"/>
              <w:bottom w:val="single" w:sz="4" w:space="0" w:color="auto"/>
              <w:right w:val="nil"/>
            </w:tcBorders>
            <w:shd w:val="clear" w:color="000000" w:fill="FFFFFF"/>
            <w:noWrap/>
            <w:vAlign w:val="center"/>
            <w:hideMark/>
          </w:tcPr>
          <w:p w:rsidR="00AA17E3" w:rsidRPr="0013355F" w:rsidRDefault="00AA17E3" w:rsidP="00AA17E3">
            <w:pPr>
              <w:rPr>
                <w:rFonts w:ascii="Times New Roman" w:hAnsi="Times New Roman"/>
                <w:color w:val="000000"/>
                <w:sz w:val="16"/>
                <w:szCs w:val="16"/>
                <w:lang w:eastAsia="sk-SK"/>
              </w:rPr>
            </w:pPr>
            <w:r w:rsidRPr="0013355F">
              <w:rPr>
                <w:rFonts w:ascii="Times New Roman" w:hAnsi="Times New Roman"/>
                <w:color w:val="000000"/>
                <w:sz w:val="16"/>
                <w:szCs w:val="16"/>
                <w:lang w:eastAsia="sk-SK"/>
              </w:rPr>
              <w:t>Úradu na ochranu osobných údajov</w:t>
            </w:r>
          </w:p>
        </w:tc>
        <w:tc>
          <w:tcPr>
            <w:tcW w:w="524" w:type="pct"/>
            <w:tcBorders>
              <w:top w:val="nil"/>
              <w:left w:val="nil"/>
              <w:bottom w:val="single" w:sz="4" w:space="0" w:color="auto"/>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1 728</w:t>
            </w:r>
          </w:p>
        </w:tc>
        <w:tc>
          <w:tcPr>
            <w:tcW w:w="524" w:type="pct"/>
            <w:tcBorders>
              <w:top w:val="nil"/>
              <w:left w:val="nil"/>
              <w:bottom w:val="single" w:sz="4" w:space="0" w:color="auto"/>
              <w:right w:val="nil"/>
            </w:tcBorders>
            <w:shd w:val="clear" w:color="auto" w:fill="auto"/>
            <w:vAlign w:val="bottom"/>
            <w:hideMark/>
          </w:tcPr>
          <w:p w:rsidR="00AA17E3" w:rsidRPr="0013355F" w:rsidRDefault="00AA17E3" w:rsidP="00AA17E3">
            <w:pPr>
              <w:jc w:val="right"/>
              <w:rPr>
                <w:rFonts w:ascii="Times New Roman" w:hAnsi="Times New Roman" w:cs="Times New Roman"/>
                <w:color w:val="000000"/>
                <w:sz w:val="16"/>
                <w:szCs w:val="16"/>
              </w:rPr>
            </w:pPr>
            <w:r w:rsidRPr="0013355F">
              <w:rPr>
                <w:rFonts w:ascii="Times New Roman" w:hAnsi="Times New Roman" w:cs="Times New Roman"/>
                <w:color w:val="000000"/>
                <w:sz w:val="16"/>
                <w:szCs w:val="16"/>
              </w:rPr>
              <w:t>1 962</w:t>
            </w:r>
          </w:p>
        </w:tc>
        <w:tc>
          <w:tcPr>
            <w:tcW w:w="524" w:type="pct"/>
            <w:tcBorders>
              <w:top w:val="nil"/>
              <w:left w:val="nil"/>
              <w:bottom w:val="single" w:sz="4" w:space="0" w:color="auto"/>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1 728</w:t>
            </w:r>
          </w:p>
        </w:tc>
        <w:tc>
          <w:tcPr>
            <w:tcW w:w="524" w:type="pct"/>
            <w:tcBorders>
              <w:top w:val="nil"/>
              <w:left w:val="nil"/>
              <w:bottom w:val="single" w:sz="4" w:space="0" w:color="auto"/>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1 728</w:t>
            </w:r>
          </w:p>
        </w:tc>
        <w:tc>
          <w:tcPr>
            <w:tcW w:w="524" w:type="pct"/>
            <w:tcBorders>
              <w:top w:val="nil"/>
              <w:left w:val="nil"/>
              <w:bottom w:val="single" w:sz="4" w:space="0" w:color="auto"/>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1 730</w:t>
            </w:r>
          </w:p>
        </w:tc>
        <w:tc>
          <w:tcPr>
            <w:tcW w:w="525" w:type="pct"/>
            <w:tcBorders>
              <w:top w:val="nil"/>
              <w:left w:val="nil"/>
              <w:bottom w:val="single" w:sz="4" w:space="0" w:color="auto"/>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1 730</w:t>
            </w:r>
          </w:p>
        </w:tc>
        <w:tc>
          <w:tcPr>
            <w:tcW w:w="524" w:type="pct"/>
            <w:tcBorders>
              <w:top w:val="nil"/>
              <w:left w:val="nil"/>
              <w:bottom w:val="single" w:sz="4" w:space="0" w:color="auto"/>
              <w:right w:val="nil"/>
            </w:tcBorders>
            <w:shd w:val="clear" w:color="auto" w:fill="auto"/>
            <w:vAlign w:val="bottom"/>
            <w:hideMark/>
          </w:tcPr>
          <w:p w:rsidR="00AA17E3" w:rsidRPr="00431E5E" w:rsidRDefault="00AA17E3" w:rsidP="00AA17E3">
            <w:pPr>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1 730</w:t>
            </w:r>
          </w:p>
        </w:tc>
      </w:tr>
    </w:tbl>
    <w:p w:rsidR="00AA17E3" w:rsidRPr="009363BF" w:rsidRDefault="00AA17E3" w:rsidP="00AA17E3">
      <w:pPr>
        <w:keepNext/>
        <w:spacing w:after="200" w:line="240" w:lineRule="auto"/>
        <w:rPr>
          <w:rFonts w:ascii="Times New Roman" w:hAnsi="Times New Roman"/>
          <w:b/>
          <w:iCs/>
          <w:color w:val="5B9BD5" w:themeColor="accent1"/>
          <w:sz w:val="20"/>
          <w:szCs w:val="20"/>
        </w:rPr>
      </w:pPr>
      <w:bookmarkStart w:id="635" w:name="_Toc53054206"/>
      <w:bookmarkStart w:id="636" w:name="_Toc53054867"/>
      <w:bookmarkStart w:id="637" w:name="_Toc53078059"/>
      <w:bookmarkStart w:id="638" w:name="_Toc53086461"/>
      <w:bookmarkStart w:id="639" w:name="_Toc84528493"/>
      <w:bookmarkStart w:id="640" w:name="_Toc84845369"/>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145</w:t>
      </w:r>
      <w:r w:rsidRPr="009363BF">
        <w:rPr>
          <w:rFonts w:ascii="Times New Roman" w:hAnsi="Times New Roman"/>
          <w:b/>
          <w:iCs/>
          <w:color w:val="5B9BD5" w:themeColor="accent1"/>
          <w:sz w:val="20"/>
          <w:szCs w:val="20"/>
        </w:rPr>
        <w:fldChar w:fldCharType="end"/>
      </w:r>
      <w:r w:rsidRPr="009363BF">
        <w:rPr>
          <w:rFonts w:ascii="Times New Roman" w:hAnsi="Times New Roman"/>
          <w:b/>
          <w:iCs/>
          <w:color w:val="5B9BD5" w:themeColor="accent1"/>
          <w:sz w:val="20"/>
          <w:szCs w:val="20"/>
        </w:rPr>
        <w:t xml:space="preserve"> </w:t>
      </w:r>
      <w:r w:rsidR="00780017">
        <w:rPr>
          <w:rFonts w:ascii="Times New Roman" w:hAnsi="Times New Roman"/>
          <w:b/>
          <w:iCs/>
          <w:color w:val="5B9BD5" w:themeColor="accent1"/>
          <w:sz w:val="20"/>
          <w:szCs w:val="20"/>
        </w:rPr>
        <w:t>–</w:t>
      </w:r>
      <w:r w:rsidRPr="009363BF">
        <w:rPr>
          <w:rFonts w:ascii="Times New Roman" w:hAnsi="Times New Roman"/>
          <w:b/>
          <w:iCs/>
          <w:color w:val="5B9BD5" w:themeColor="accent1"/>
          <w:sz w:val="20"/>
          <w:szCs w:val="20"/>
        </w:rPr>
        <w:t xml:space="preserve"> </w:t>
      </w:r>
      <w:r w:rsidR="00780017">
        <w:rPr>
          <w:rFonts w:ascii="Times New Roman" w:hAnsi="Times New Roman"/>
          <w:b/>
          <w:iCs/>
          <w:color w:val="5B9BD5" w:themeColor="accent1"/>
          <w:sz w:val="20"/>
          <w:szCs w:val="20"/>
        </w:rPr>
        <w:t>Výdavky na v</w:t>
      </w:r>
      <w:r w:rsidRPr="009363BF">
        <w:rPr>
          <w:rFonts w:ascii="Times New Roman" w:hAnsi="Times New Roman"/>
          <w:b/>
          <w:iCs/>
          <w:color w:val="5B9BD5" w:themeColor="accent1"/>
          <w:sz w:val="20"/>
          <w:szCs w:val="20"/>
        </w:rPr>
        <w:t>ýkonné a zákonodarné orgány</w:t>
      </w:r>
      <w:bookmarkEnd w:id="635"/>
      <w:bookmarkEnd w:id="636"/>
      <w:bookmarkEnd w:id="637"/>
      <w:bookmarkEnd w:id="638"/>
      <w:bookmarkEnd w:id="639"/>
      <w:bookmarkEnd w:id="640"/>
    </w:p>
    <w:p w:rsidR="00AA17E3" w:rsidRPr="009363BF" w:rsidRDefault="00AA17E3" w:rsidP="00F7633B">
      <w:pPr>
        <w:spacing w:after="0"/>
        <w:ind w:left="7788"/>
        <w:jc w:val="both"/>
        <w:rPr>
          <w:rFonts w:ascii="Times New Roman" w:hAnsi="Times New Roman"/>
          <w:i/>
          <w:kern w:val="32"/>
          <w:sz w:val="16"/>
          <w:szCs w:val="16"/>
        </w:rPr>
      </w:pPr>
      <w:r w:rsidRPr="009363BF">
        <w:rPr>
          <w:rFonts w:ascii="Times New Roman" w:hAnsi="Times New Roman"/>
          <w:i/>
          <w:kern w:val="32"/>
          <w:sz w:val="16"/>
          <w:szCs w:val="16"/>
        </w:rPr>
        <w:t xml:space="preserve">       Zdroj: MF SR</w:t>
      </w:r>
    </w:p>
    <w:p w:rsidR="00F7633B"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C521A4">
        <w:rPr>
          <w:rFonts w:ascii="Times New Roman" w:hAnsi="Times New Roman"/>
          <w:color w:val="000000"/>
          <w:sz w:val="24"/>
          <w:szCs w:val="24"/>
        </w:rPr>
        <w:t xml:space="preserve">Výdavkami Úradu vlády SR na rok 2022 sa zabezpečujú prostriedky na činnosť vlády a jej poradných orgánov, činnosť zmiešaných medzivládnych komisií, Kancelárie Bezpečnostnej rady SR, na činnosť </w:t>
      </w:r>
      <w:r>
        <w:rPr>
          <w:rFonts w:ascii="Times New Roman" w:hAnsi="Times New Roman"/>
          <w:color w:val="000000"/>
          <w:sz w:val="24"/>
          <w:szCs w:val="24"/>
        </w:rPr>
        <w:t>p</w:t>
      </w:r>
      <w:r w:rsidR="002731F5">
        <w:rPr>
          <w:rFonts w:ascii="Times New Roman" w:hAnsi="Times New Roman"/>
          <w:color w:val="000000"/>
          <w:sz w:val="24"/>
          <w:szCs w:val="24"/>
        </w:rPr>
        <w:t xml:space="preserve">odpredsedu vlády, ktorý neriadi ministerstvo </w:t>
      </w:r>
      <w:r w:rsidRPr="00C521A4">
        <w:rPr>
          <w:rFonts w:ascii="Times New Roman" w:hAnsi="Times New Roman"/>
          <w:color w:val="000000"/>
          <w:sz w:val="24"/>
          <w:szCs w:val="24"/>
        </w:rPr>
        <w:t>a prostriedky na rezervu predsedu vlády. Medziročný rast výdavkov je spôsobený najmä výdavkami Plánu obnovy</w:t>
      </w:r>
      <w:r w:rsidR="00ED2BAA">
        <w:rPr>
          <w:rFonts w:ascii="Times New Roman" w:hAnsi="Times New Roman"/>
          <w:color w:val="000000"/>
          <w:sz w:val="24"/>
          <w:szCs w:val="24"/>
        </w:rPr>
        <w:t xml:space="preserve"> a odolnosti</w:t>
      </w:r>
      <w:r w:rsidRPr="00C521A4">
        <w:rPr>
          <w:rFonts w:ascii="Times New Roman" w:hAnsi="Times New Roman"/>
          <w:color w:val="000000"/>
          <w:sz w:val="24"/>
          <w:szCs w:val="24"/>
        </w:rPr>
        <w:t xml:space="preserve"> v sume 123,8 mil. eur, určenými na financovanie výskumu, vývoja a inovácií, na boj proti korupcii pre Národnú implementačnú a koordinačnú autoritu a pre Úrad na ochranu oznamovateľov korupcie. </w:t>
      </w:r>
      <w:r>
        <w:rPr>
          <w:rFonts w:ascii="Times New Roman" w:hAnsi="Times New Roman"/>
          <w:color w:val="000000"/>
          <w:sz w:val="24"/>
          <w:szCs w:val="24"/>
        </w:rPr>
        <w:t xml:space="preserve">Do kapitoly boli presunuté </w:t>
      </w:r>
      <w:r w:rsidRPr="001C4090">
        <w:rPr>
          <w:rFonts w:ascii="Times New Roman" w:hAnsi="Times New Roman"/>
          <w:color w:val="000000"/>
          <w:sz w:val="24"/>
          <w:szCs w:val="24"/>
        </w:rPr>
        <w:t>výdavk</w:t>
      </w:r>
      <w:r>
        <w:rPr>
          <w:rFonts w:ascii="Times New Roman" w:hAnsi="Times New Roman"/>
          <w:color w:val="000000"/>
          <w:sz w:val="24"/>
          <w:szCs w:val="24"/>
        </w:rPr>
        <w:t>y</w:t>
      </w:r>
      <w:r w:rsidRPr="001C4090">
        <w:rPr>
          <w:rFonts w:ascii="Times New Roman" w:hAnsi="Times New Roman"/>
          <w:color w:val="000000"/>
          <w:sz w:val="24"/>
          <w:szCs w:val="24"/>
        </w:rPr>
        <w:t xml:space="preserve"> Úradu splnomocnenca vlády SR pre róm</w:t>
      </w:r>
      <w:r>
        <w:rPr>
          <w:rFonts w:ascii="Times New Roman" w:hAnsi="Times New Roman"/>
          <w:color w:val="000000"/>
          <w:sz w:val="24"/>
          <w:szCs w:val="24"/>
        </w:rPr>
        <w:t xml:space="preserve">ske komunity z Ministerstva vnútra </w:t>
      </w:r>
      <w:r w:rsidRPr="001C4090">
        <w:rPr>
          <w:rFonts w:ascii="Times New Roman" w:hAnsi="Times New Roman"/>
          <w:color w:val="000000"/>
          <w:sz w:val="24"/>
          <w:szCs w:val="24"/>
        </w:rPr>
        <w:t>SR</w:t>
      </w:r>
      <w:r>
        <w:rPr>
          <w:rFonts w:ascii="Times New Roman" w:hAnsi="Times New Roman"/>
          <w:color w:val="000000"/>
          <w:sz w:val="24"/>
          <w:szCs w:val="24"/>
        </w:rPr>
        <w:t xml:space="preserve"> v sume 927 tis. eur a zár</w:t>
      </w:r>
      <w:r w:rsidR="00ED2BAA">
        <w:rPr>
          <w:rFonts w:ascii="Times New Roman" w:hAnsi="Times New Roman"/>
          <w:color w:val="000000"/>
          <w:sz w:val="24"/>
          <w:szCs w:val="24"/>
        </w:rPr>
        <w:t>oveň boli z kapitoly presunuté e</w:t>
      </w:r>
      <w:r>
        <w:rPr>
          <w:rFonts w:ascii="Times New Roman" w:hAnsi="Times New Roman"/>
          <w:color w:val="000000"/>
          <w:sz w:val="24"/>
          <w:szCs w:val="24"/>
        </w:rPr>
        <w:t xml:space="preserve">urópske prostriedky do rozpočtu Ministerstva investícií, regionálneho rozvoja a informatizácie </w:t>
      </w:r>
      <w:r w:rsidR="00422E8F">
        <w:rPr>
          <w:rFonts w:ascii="Times New Roman" w:hAnsi="Times New Roman"/>
          <w:color w:val="000000"/>
          <w:sz w:val="24"/>
          <w:szCs w:val="24"/>
        </w:rPr>
        <w:t xml:space="preserve">SR </w:t>
      </w:r>
      <w:r>
        <w:rPr>
          <w:rFonts w:ascii="Times New Roman" w:hAnsi="Times New Roman"/>
          <w:color w:val="000000"/>
          <w:sz w:val="24"/>
          <w:szCs w:val="24"/>
        </w:rPr>
        <w:t xml:space="preserve">v objeme 30 mil. eur. </w:t>
      </w:r>
      <w:r w:rsidRPr="00C521A4">
        <w:rPr>
          <w:rFonts w:ascii="Times New Roman" w:hAnsi="Times New Roman"/>
          <w:color w:val="000000"/>
          <w:sz w:val="24"/>
          <w:szCs w:val="24"/>
        </w:rPr>
        <w:t>Celkové výdavky kapitoly v roku 2022 sú vo výške 155</w:t>
      </w:r>
      <w:r>
        <w:rPr>
          <w:rFonts w:ascii="Times New Roman" w:hAnsi="Times New Roman"/>
          <w:color w:val="000000"/>
          <w:sz w:val="24"/>
          <w:szCs w:val="24"/>
        </w:rPr>
        <w:t xml:space="preserve"> mil.</w:t>
      </w:r>
      <w:r w:rsidRPr="00C521A4">
        <w:rPr>
          <w:rFonts w:ascii="Times New Roman" w:hAnsi="Times New Roman"/>
          <w:color w:val="000000"/>
          <w:sz w:val="24"/>
          <w:szCs w:val="24"/>
        </w:rPr>
        <w:t xml:space="preserve"> eur.</w:t>
      </w:r>
    </w:p>
    <w:p w:rsidR="00F7633B" w:rsidRPr="00C521A4" w:rsidRDefault="00F7633B" w:rsidP="00F7633B">
      <w:pPr>
        <w:spacing w:after="0"/>
        <w:jc w:val="both"/>
        <w:rPr>
          <w:rFonts w:ascii="Times New Roman" w:hAnsi="Times New Roman"/>
          <w:color w:val="000000"/>
          <w:sz w:val="24"/>
          <w:szCs w:val="24"/>
        </w:rPr>
      </w:pPr>
    </w:p>
    <w:p w:rsidR="00AA17E3" w:rsidRDefault="00AA17E3" w:rsidP="00ED2BAA">
      <w:pPr>
        <w:autoSpaceDE w:val="0"/>
        <w:autoSpaceDN w:val="0"/>
        <w:adjustRightInd w:val="0"/>
        <w:spacing w:after="0"/>
        <w:jc w:val="both"/>
        <w:rPr>
          <w:rFonts w:ascii="Times New Roman" w:hAnsi="Times New Roman"/>
          <w:color w:val="000000"/>
          <w:sz w:val="24"/>
          <w:szCs w:val="24"/>
        </w:rPr>
      </w:pPr>
      <w:r w:rsidRPr="00450CA2">
        <w:rPr>
          <w:rFonts w:ascii="Times New Roman" w:hAnsi="Times New Roman"/>
          <w:color w:val="000000"/>
          <w:sz w:val="24"/>
          <w:szCs w:val="24"/>
        </w:rPr>
        <w:t>V rozpočte Kancelárie Národnej rady SR sú zahrnuté výdavky na plnenie funkcií a činnosť poslancov a výborov N</w:t>
      </w:r>
      <w:r>
        <w:rPr>
          <w:rFonts w:ascii="Times New Roman" w:hAnsi="Times New Roman"/>
          <w:color w:val="000000"/>
          <w:sz w:val="24"/>
          <w:szCs w:val="24"/>
        </w:rPr>
        <w:t>árodnej rady</w:t>
      </w:r>
      <w:r w:rsidRPr="00450CA2">
        <w:rPr>
          <w:rFonts w:ascii="Times New Roman" w:hAnsi="Times New Roman"/>
          <w:color w:val="000000"/>
          <w:sz w:val="24"/>
          <w:szCs w:val="24"/>
        </w:rPr>
        <w:t xml:space="preserve"> SR, vrátane odmien asistentom poslancov, výdavkov na prevádzku poslaneckých pracovní v areáli N</w:t>
      </w:r>
      <w:r>
        <w:rPr>
          <w:rFonts w:ascii="Times New Roman" w:hAnsi="Times New Roman"/>
          <w:color w:val="000000"/>
          <w:sz w:val="24"/>
          <w:szCs w:val="24"/>
        </w:rPr>
        <w:t>árodnej rady</w:t>
      </w:r>
      <w:r w:rsidRPr="00450CA2">
        <w:rPr>
          <w:rFonts w:ascii="Times New Roman" w:hAnsi="Times New Roman"/>
          <w:color w:val="000000"/>
          <w:sz w:val="24"/>
          <w:szCs w:val="24"/>
        </w:rPr>
        <w:t xml:space="preserve"> SR, ako aj kancelárií vo vybraných sídlach v rámci územia SR, výdavky na ubytovanie poslancov mimo ubytovacieho zariadenia N</w:t>
      </w:r>
      <w:r>
        <w:rPr>
          <w:rFonts w:ascii="Times New Roman" w:hAnsi="Times New Roman"/>
          <w:color w:val="000000"/>
          <w:sz w:val="24"/>
          <w:szCs w:val="24"/>
        </w:rPr>
        <w:t xml:space="preserve">árodnej rady </w:t>
      </w:r>
      <w:r w:rsidRPr="00450CA2">
        <w:rPr>
          <w:rFonts w:ascii="Times New Roman" w:hAnsi="Times New Roman"/>
          <w:color w:val="000000"/>
          <w:sz w:val="24"/>
          <w:szCs w:val="24"/>
        </w:rPr>
        <w:t>SR a výdavky na činnosť poslaneckých klubov. V rozpočte kapitoly sú zahrnuté aj výdavky súvisiace s rekonštrukciou a prevádzkou Bratislavského hradu. V roku 2022 dosahujú rozpočtované výdavky kapitoly sumu 37,7 mil. eur.</w:t>
      </w:r>
      <w:r w:rsidRPr="009363BF">
        <w:rPr>
          <w:rFonts w:ascii="Times New Roman" w:hAnsi="Times New Roman"/>
          <w:color w:val="000000"/>
          <w:sz w:val="24"/>
          <w:szCs w:val="24"/>
        </w:rPr>
        <w:t xml:space="preserve"> </w:t>
      </w:r>
    </w:p>
    <w:p w:rsidR="00ED2BAA" w:rsidRDefault="00ED2BAA" w:rsidP="00ED2BAA">
      <w:pPr>
        <w:autoSpaceDE w:val="0"/>
        <w:autoSpaceDN w:val="0"/>
        <w:adjustRightInd w:val="0"/>
        <w:spacing w:after="0"/>
        <w:jc w:val="both"/>
        <w:rPr>
          <w:rFonts w:ascii="Times New Roman" w:hAnsi="Times New Roman"/>
          <w:color w:val="000000"/>
          <w:sz w:val="24"/>
          <w:szCs w:val="24"/>
        </w:rPr>
      </w:pPr>
    </w:p>
    <w:p w:rsidR="00AA17E3" w:rsidRDefault="00AA17E3" w:rsidP="00ED2BAA">
      <w:pPr>
        <w:autoSpaceDE w:val="0"/>
        <w:autoSpaceDN w:val="0"/>
        <w:adjustRightInd w:val="0"/>
        <w:spacing w:after="0"/>
        <w:jc w:val="both"/>
        <w:rPr>
          <w:rFonts w:ascii="Times New Roman" w:hAnsi="Times New Roman"/>
          <w:color w:val="000000"/>
          <w:sz w:val="24"/>
          <w:szCs w:val="24"/>
        </w:rPr>
      </w:pPr>
      <w:r w:rsidRPr="00431E5E">
        <w:rPr>
          <w:rFonts w:ascii="Times New Roman" w:hAnsi="Times New Roman"/>
          <w:color w:val="000000"/>
          <w:sz w:val="24"/>
          <w:szCs w:val="24"/>
        </w:rPr>
        <w:t>V rámci výdavkov Kancelárie prezidenta SR sa zabezpečujú úlohy súvisiace so zabezpečením podmienok a všetkých činností potrebných pre výkon ústavných právomocí prezidenta republiky. Kapitálové výdavky vychádzajú z registra investícií a zabezpečuje sa nimi obstaranie dlhodobého majetku. Výdavky kapitoly v roku 2022 sú vo výške 5,32 mil. eur.</w:t>
      </w:r>
    </w:p>
    <w:p w:rsidR="00F7633B" w:rsidRPr="009363BF" w:rsidRDefault="00F7633B" w:rsidP="00F7633B">
      <w:pPr>
        <w:autoSpaceDE w:val="0"/>
        <w:autoSpaceDN w:val="0"/>
        <w:adjustRightInd w:val="0"/>
        <w:spacing w:after="0"/>
        <w:jc w:val="both"/>
        <w:rPr>
          <w:rFonts w:ascii="Times New Roman" w:hAnsi="Times New Roman"/>
          <w:sz w:val="24"/>
          <w:szCs w:val="24"/>
        </w:rPr>
      </w:pPr>
    </w:p>
    <w:p w:rsidR="00AA17E3" w:rsidRDefault="00AA17E3" w:rsidP="00F7633B">
      <w:pPr>
        <w:autoSpaceDE w:val="0"/>
        <w:autoSpaceDN w:val="0"/>
        <w:adjustRightInd w:val="0"/>
        <w:spacing w:after="0"/>
        <w:jc w:val="both"/>
        <w:rPr>
          <w:rFonts w:ascii="Times New Roman" w:hAnsi="Times New Roman"/>
          <w:color w:val="000000"/>
          <w:sz w:val="24"/>
          <w:szCs w:val="24"/>
        </w:rPr>
      </w:pPr>
      <w:r w:rsidRPr="00450CA2">
        <w:rPr>
          <w:rFonts w:ascii="Times New Roman" w:hAnsi="Times New Roman"/>
          <w:color w:val="000000"/>
          <w:sz w:val="24"/>
          <w:szCs w:val="24"/>
        </w:rPr>
        <w:t xml:space="preserve">V rozpočte Najvyššieho kontrolného úradu SR sa zohľadňuje predovšetkým zabezpečenie plnenia kontrolných úloh zameraných na spoločensky významné tematické problémy vrátane špecifických kontrolných akcií. </w:t>
      </w:r>
      <w:r>
        <w:rPr>
          <w:rFonts w:ascii="Times New Roman" w:hAnsi="Times New Roman"/>
          <w:color w:val="000000"/>
          <w:sz w:val="24"/>
          <w:szCs w:val="24"/>
        </w:rPr>
        <w:t>K</w:t>
      </w:r>
      <w:r w:rsidRPr="00450CA2">
        <w:rPr>
          <w:rFonts w:ascii="Times New Roman" w:hAnsi="Times New Roman"/>
          <w:color w:val="000000"/>
          <w:sz w:val="24"/>
          <w:szCs w:val="24"/>
        </w:rPr>
        <w:t>apitálov</w:t>
      </w:r>
      <w:r>
        <w:rPr>
          <w:rFonts w:ascii="Times New Roman" w:hAnsi="Times New Roman"/>
          <w:color w:val="000000"/>
          <w:sz w:val="24"/>
          <w:szCs w:val="24"/>
        </w:rPr>
        <w:t>é výdavky</w:t>
      </w:r>
      <w:r w:rsidRPr="00450CA2">
        <w:rPr>
          <w:rFonts w:ascii="Times New Roman" w:hAnsi="Times New Roman"/>
          <w:color w:val="000000"/>
          <w:sz w:val="24"/>
          <w:szCs w:val="24"/>
        </w:rPr>
        <w:t xml:space="preserve"> sa zabezpečuj</w:t>
      </w:r>
      <w:r>
        <w:rPr>
          <w:rFonts w:ascii="Times New Roman" w:hAnsi="Times New Roman"/>
          <w:color w:val="000000"/>
          <w:sz w:val="24"/>
          <w:szCs w:val="24"/>
        </w:rPr>
        <w:t>ú</w:t>
      </w:r>
      <w:r w:rsidRPr="00450CA2">
        <w:rPr>
          <w:rFonts w:ascii="Times New Roman" w:hAnsi="Times New Roman"/>
          <w:color w:val="000000"/>
          <w:sz w:val="24"/>
          <w:szCs w:val="24"/>
        </w:rPr>
        <w:t xml:space="preserve"> najmä </w:t>
      </w:r>
      <w:r>
        <w:rPr>
          <w:rFonts w:ascii="Times New Roman" w:hAnsi="Times New Roman"/>
          <w:color w:val="000000"/>
          <w:sz w:val="24"/>
          <w:szCs w:val="24"/>
        </w:rPr>
        <w:t>na modernizáciu</w:t>
      </w:r>
      <w:r w:rsidRPr="00450CA2">
        <w:rPr>
          <w:rFonts w:ascii="Times New Roman" w:hAnsi="Times New Roman"/>
          <w:color w:val="000000"/>
          <w:sz w:val="24"/>
          <w:szCs w:val="24"/>
        </w:rPr>
        <w:t xml:space="preserve"> Kontrolórskeho informačného systému </w:t>
      </w:r>
      <w:r w:rsidRPr="00077624">
        <w:rPr>
          <w:rFonts w:ascii="Times New Roman" w:hAnsi="Times New Roman"/>
          <w:color w:val="000000"/>
          <w:sz w:val="24"/>
          <w:szCs w:val="24"/>
        </w:rPr>
        <w:t>v sume 1,12 mil. eur</w:t>
      </w:r>
      <w:r>
        <w:rPr>
          <w:rFonts w:ascii="Times New Roman" w:hAnsi="Times New Roman"/>
          <w:color w:val="000000"/>
          <w:sz w:val="24"/>
          <w:szCs w:val="24"/>
        </w:rPr>
        <w:t>, ale aj na</w:t>
      </w:r>
      <w:r w:rsidRPr="00450CA2">
        <w:rPr>
          <w:rFonts w:ascii="Times New Roman" w:hAnsi="Times New Roman"/>
          <w:color w:val="000000"/>
          <w:sz w:val="24"/>
          <w:szCs w:val="24"/>
        </w:rPr>
        <w:t xml:space="preserve"> obstaranie vozového parku a výpočtovej techniky. </w:t>
      </w:r>
      <w:r>
        <w:rPr>
          <w:rFonts w:ascii="Times New Roman" w:hAnsi="Times New Roman"/>
          <w:color w:val="000000"/>
          <w:sz w:val="24"/>
          <w:szCs w:val="24"/>
        </w:rPr>
        <w:t>Celkové v</w:t>
      </w:r>
      <w:r w:rsidRPr="00450CA2">
        <w:rPr>
          <w:rFonts w:ascii="Times New Roman" w:hAnsi="Times New Roman"/>
          <w:color w:val="000000"/>
          <w:sz w:val="24"/>
          <w:szCs w:val="24"/>
        </w:rPr>
        <w:t>ýdavky kapitoly v roku 2022 sa rozpočtujú v sume 13,6 mil. eur.</w:t>
      </w:r>
      <w:r w:rsidRPr="009363BF">
        <w:rPr>
          <w:rFonts w:ascii="Times New Roman" w:hAnsi="Times New Roman"/>
          <w:color w:val="000000"/>
          <w:sz w:val="24"/>
          <w:szCs w:val="24"/>
        </w:rPr>
        <w:t xml:space="preserve">   </w:t>
      </w:r>
    </w:p>
    <w:p w:rsidR="00F7633B" w:rsidRDefault="00F7633B" w:rsidP="00F7633B">
      <w:pPr>
        <w:autoSpaceDE w:val="0"/>
        <w:autoSpaceDN w:val="0"/>
        <w:adjustRightInd w:val="0"/>
        <w:spacing w:after="0"/>
        <w:jc w:val="both"/>
        <w:rPr>
          <w:rFonts w:ascii="Times New Roman" w:hAnsi="Times New Roman"/>
          <w:color w:val="000000"/>
          <w:sz w:val="24"/>
          <w:szCs w:val="24"/>
        </w:rPr>
      </w:pPr>
    </w:p>
    <w:p w:rsidR="00AA17E3" w:rsidRDefault="00AA17E3" w:rsidP="00F7633B">
      <w:pPr>
        <w:autoSpaceDE w:val="0"/>
        <w:autoSpaceDN w:val="0"/>
        <w:adjustRightInd w:val="0"/>
        <w:spacing w:after="0"/>
        <w:jc w:val="both"/>
        <w:rPr>
          <w:rFonts w:ascii="Times New Roman" w:hAnsi="Times New Roman"/>
          <w:color w:val="000000"/>
          <w:sz w:val="24"/>
          <w:szCs w:val="24"/>
        </w:rPr>
      </w:pPr>
      <w:r w:rsidRPr="00431E5E">
        <w:rPr>
          <w:rFonts w:ascii="Times New Roman" w:hAnsi="Times New Roman"/>
          <w:color w:val="000000"/>
          <w:sz w:val="24"/>
          <w:szCs w:val="24"/>
        </w:rPr>
        <w:t>V rámci výdavkov Štatistického úradu SR sa zabezpečujú prostriedky na zabezpe</w:t>
      </w:r>
      <w:r w:rsidRPr="00431E5E">
        <w:rPr>
          <w:rFonts w:ascii="Times New Roman" w:hAnsi="Times New Roman" w:hint="eastAsia"/>
          <w:color w:val="000000"/>
          <w:sz w:val="24"/>
          <w:szCs w:val="24"/>
        </w:rPr>
        <w:t>č</w:t>
      </w:r>
      <w:r w:rsidRPr="00431E5E">
        <w:rPr>
          <w:rFonts w:ascii="Times New Roman" w:hAnsi="Times New Roman"/>
          <w:color w:val="000000"/>
          <w:sz w:val="24"/>
          <w:szCs w:val="24"/>
        </w:rPr>
        <w:t>enie chodu kapitoly. Nad rámec bežných potrieb sú v príslušných rokoch zohľadnené aj výdavky na spracovanie výsledkov volieb (voľby do N</w:t>
      </w:r>
      <w:r>
        <w:rPr>
          <w:rFonts w:ascii="Times New Roman" w:hAnsi="Times New Roman"/>
          <w:color w:val="000000"/>
          <w:sz w:val="24"/>
          <w:szCs w:val="24"/>
        </w:rPr>
        <w:t xml:space="preserve">árodnej rady </w:t>
      </w:r>
      <w:r w:rsidRPr="00431E5E">
        <w:rPr>
          <w:rFonts w:ascii="Times New Roman" w:hAnsi="Times New Roman"/>
          <w:color w:val="000000"/>
          <w:sz w:val="24"/>
          <w:szCs w:val="24"/>
        </w:rPr>
        <w:t xml:space="preserve">SR, voľby prezidenta, voľby do orgánov samosprávy obcí a orgánov vyšších územných celkov, voľby do Európskeho parlamentu), ako aj výdavky potrebné </w:t>
      </w:r>
      <w:r>
        <w:rPr>
          <w:rFonts w:ascii="Times New Roman" w:hAnsi="Times New Roman"/>
          <w:color w:val="000000"/>
          <w:sz w:val="24"/>
          <w:szCs w:val="24"/>
        </w:rPr>
        <w:t>na spracovanie výsledkov</w:t>
      </w:r>
      <w:r w:rsidRPr="00431E5E">
        <w:rPr>
          <w:rFonts w:ascii="Times New Roman" w:hAnsi="Times New Roman"/>
          <w:color w:val="000000"/>
          <w:sz w:val="24"/>
          <w:szCs w:val="24"/>
        </w:rPr>
        <w:t xml:space="preserve"> sčítania obyvateľov, domov a bytov, ktoré sa uskutočnilo v roku 2021. V rámci kapitálových výdavkov sa zabezpečujú najmä prostriedky na informa</w:t>
      </w:r>
      <w:r w:rsidRPr="00431E5E">
        <w:rPr>
          <w:rFonts w:ascii="Times New Roman" w:hAnsi="Times New Roman" w:hint="eastAsia"/>
          <w:color w:val="000000"/>
          <w:sz w:val="24"/>
          <w:szCs w:val="24"/>
        </w:rPr>
        <w:t>č</w:t>
      </w:r>
      <w:r w:rsidRPr="00431E5E">
        <w:rPr>
          <w:rFonts w:ascii="Times New Roman" w:hAnsi="Times New Roman"/>
          <w:color w:val="000000"/>
          <w:sz w:val="24"/>
          <w:szCs w:val="24"/>
        </w:rPr>
        <w:t>né technológie, rekonštrukciu a modernizáciu budov v správe Š</w:t>
      </w:r>
      <w:r>
        <w:rPr>
          <w:rFonts w:ascii="Times New Roman" w:hAnsi="Times New Roman"/>
          <w:color w:val="000000"/>
          <w:sz w:val="24"/>
          <w:szCs w:val="24"/>
        </w:rPr>
        <w:t xml:space="preserve">tatistického úradu </w:t>
      </w:r>
      <w:r w:rsidRPr="00431E5E">
        <w:rPr>
          <w:rFonts w:ascii="Times New Roman" w:hAnsi="Times New Roman"/>
          <w:color w:val="000000"/>
          <w:sz w:val="24"/>
          <w:szCs w:val="24"/>
        </w:rPr>
        <w:t>SR a</w:t>
      </w:r>
      <w:r>
        <w:rPr>
          <w:rFonts w:ascii="Times New Roman" w:hAnsi="Times New Roman"/>
          <w:color w:val="000000"/>
          <w:sz w:val="24"/>
          <w:szCs w:val="24"/>
        </w:rPr>
        <w:t xml:space="preserve"> na </w:t>
      </w:r>
      <w:r w:rsidRPr="00431E5E">
        <w:rPr>
          <w:rFonts w:ascii="Times New Roman" w:hAnsi="Times New Roman"/>
          <w:color w:val="000000"/>
          <w:sz w:val="24"/>
          <w:szCs w:val="24"/>
        </w:rPr>
        <w:t>nákup osobných automobilov. Výdavky kapitoly v roku 2022 sú rozpočtované v sume 35,2 mil. eur. Úrad je zriaďovateľom príspevkovej organizácie INFOSTAT - Inštitút informatiky, ktorá na základe každoročne uzatváraných kontraktov so Štatistickým úradom SR rieši výskumno-vývojové úlohy štátnej štatistiky. Na jeho činnosť je v roku 2022 rozpočtovaná suma 857 tis. eur.</w:t>
      </w:r>
    </w:p>
    <w:p w:rsidR="00F7633B" w:rsidRPr="00431E5E" w:rsidRDefault="00F7633B" w:rsidP="00F7633B">
      <w:pPr>
        <w:autoSpaceDE w:val="0"/>
        <w:autoSpaceDN w:val="0"/>
        <w:adjustRightInd w:val="0"/>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431E5E">
        <w:rPr>
          <w:rFonts w:ascii="Times New Roman" w:hAnsi="Times New Roman"/>
          <w:color w:val="000000"/>
          <w:sz w:val="24"/>
          <w:szCs w:val="24"/>
        </w:rPr>
        <w:t>V rozpočte výdavkov kapitoly Úrad pre verejné obstarávanie sa predovšetkým zabezpečujú prostriedky na budovanie a rozvoj elektronického verejného obstarávania, ktoré zabezpečuje efektívne a transparentné verejné obstarávanie a vedie k finančným úsporám a ku skráteniu lehôt v procese verejného obstarávania. Úrad vykonáva doh</w:t>
      </w:r>
      <w:r w:rsidRPr="00431E5E">
        <w:rPr>
          <w:rFonts w:ascii="Times New Roman" w:hAnsi="Times New Roman" w:hint="eastAsia"/>
          <w:color w:val="000000"/>
          <w:sz w:val="24"/>
          <w:szCs w:val="24"/>
        </w:rPr>
        <w:t>ľ</w:t>
      </w:r>
      <w:r w:rsidRPr="00431E5E">
        <w:rPr>
          <w:rFonts w:ascii="Times New Roman" w:hAnsi="Times New Roman"/>
          <w:color w:val="000000"/>
          <w:sz w:val="24"/>
          <w:szCs w:val="24"/>
        </w:rPr>
        <w:t>ad nad verejným obstarávaním, ukladá sankcie, spolupracuje s Európskou komisiou a zabezpečuje plnenie informačných povinností voči Európskej komisii. Výdavky kapitoly v roku 2022 sú rozpočtované vo výške 10,8 mil. eur.</w:t>
      </w:r>
    </w:p>
    <w:p w:rsidR="00F7633B" w:rsidRPr="00431E5E" w:rsidRDefault="00F7633B" w:rsidP="00F7633B">
      <w:pPr>
        <w:spacing w:after="0"/>
        <w:jc w:val="both"/>
        <w:rPr>
          <w:rFonts w:ascii="Times New Roman" w:hAnsi="Times New Roman"/>
          <w:color w:val="000000"/>
          <w:sz w:val="24"/>
          <w:szCs w:val="24"/>
        </w:rPr>
      </w:pPr>
    </w:p>
    <w:p w:rsidR="00AA17E3" w:rsidRDefault="00AA17E3" w:rsidP="00F7633B">
      <w:pPr>
        <w:autoSpaceDE w:val="0"/>
        <w:autoSpaceDN w:val="0"/>
        <w:adjustRightInd w:val="0"/>
        <w:spacing w:after="0"/>
        <w:jc w:val="both"/>
        <w:rPr>
          <w:rFonts w:ascii="Times New Roman" w:hAnsi="Times New Roman"/>
          <w:color w:val="000000"/>
          <w:sz w:val="24"/>
          <w:szCs w:val="24"/>
        </w:rPr>
      </w:pPr>
      <w:r w:rsidRPr="00431E5E">
        <w:rPr>
          <w:rFonts w:ascii="Times New Roman" w:hAnsi="Times New Roman"/>
          <w:color w:val="000000"/>
          <w:sz w:val="24"/>
          <w:szCs w:val="24"/>
        </w:rPr>
        <w:t>V oblasti sú zahrnuté aj výdavky pre</w:t>
      </w:r>
      <w:r w:rsidRPr="00431E5E">
        <w:rPr>
          <w:rFonts w:ascii="Times New Roman" w:hAnsi="Times New Roman"/>
          <w:sz w:val="24"/>
          <w:szCs w:val="24"/>
        </w:rPr>
        <w:t xml:space="preserve"> </w:t>
      </w:r>
      <w:r w:rsidRPr="00431E5E">
        <w:rPr>
          <w:rFonts w:ascii="Times New Roman" w:hAnsi="Times New Roman"/>
          <w:color w:val="000000"/>
          <w:sz w:val="24"/>
          <w:szCs w:val="24"/>
        </w:rPr>
        <w:t>Úrad na ochranu osobných údajov, ktorý vykonáva dozor nad ochranou osobných údajov a podie</w:t>
      </w:r>
      <w:r w:rsidRPr="00431E5E">
        <w:rPr>
          <w:rFonts w:ascii="Times New Roman" w:hAnsi="Times New Roman" w:hint="eastAsia"/>
          <w:color w:val="000000"/>
          <w:sz w:val="24"/>
          <w:szCs w:val="24"/>
        </w:rPr>
        <w:t>ľ</w:t>
      </w:r>
      <w:r w:rsidRPr="00431E5E">
        <w:rPr>
          <w:rFonts w:ascii="Times New Roman" w:hAnsi="Times New Roman"/>
          <w:color w:val="000000"/>
          <w:sz w:val="24"/>
          <w:szCs w:val="24"/>
        </w:rPr>
        <w:t>a sa na ochrane základných práv a slobôd fyzických osôb pri spracúvaní ich osobných údajov.</w:t>
      </w:r>
    </w:p>
    <w:p w:rsidR="00F7633B" w:rsidRPr="009363BF" w:rsidRDefault="00F7633B" w:rsidP="00F7633B">
      <w:pPr>
        <w:autoSpaceDE w:val="0"/>
        <w:autoSpaceDN w:val="0"/>
        <w:adjustRightInd w:val="0"/>
        <w:spacing w:after="0"/>
        <w:jc w:val="both"/>
        <w:rPr>
          <w:rFonts w:ascii="Times New Roman" w:hAnsi="Times New Roman"/>
          <w:color w:val="000000"/>
          <w:sz w:val="24"/>
          <w:szCs w:val="24"/>
        </w:rPr>
      </w:pPr>
    </w:p>
    <w:p w:rsidR="00AA17E3" w:rsidRPr="009363BF" w:rsidRDefault="00AA17E3" w:rsidP="00F7633B">
      <w:pPr>
        <w:spacing w:after="0"/>
        <w:jc w:val="both"/>
        <w:rPr>
          <w:rFonts w:ascii="Times New Roman" w:hAnsi="Times New Roman"/>
          <w:b/>
          <w:color w:val="5B9BD5" w:themeColor="accent1"/>
          <w:sz w:val="24"/>
          <w:szCs w:val="24"/>
        </w:rPr>
      </w:pPr>
      <w:r w:rsidRPr="009363BF">
        <w:rPr>
          <w:rFonts w:ascii="Times New Roman" w:hAnsi="Times New Roman"/>
          <w:b/>
          <w:color w:val="5B9BD5" w:themeColor="accent1"/>
          <w:sz w:val="24"/>
          <w:szCs w:val="24"/>
        </w:rPr>
        <w:t>Zahraničné vzťahy a zahraničná pomoc</w:t>
      </w:r>
    </w:p>
    <w:p w:rsidR="00F7633B" w:rsidRDefault="00F7633B" w:rsidP="00F7633B">
      <w:pPr>
        <w:spacing w:after="0"/>
        <w:jc w:val="both"/>
        <w:rPr>
          <w:rFonts w:ascii="Times New Roman" w:hAnsi="Times New Roman"/>
          <w:sz w:val="24"/>
          <w:szCs w:val="24"/>
        </w:rPr>
      </w:pPr>
    </w:p>
    <w:p w:rsidR="00AA17E3" w:rsidRDefault="00AA17E3" w:rsidP="00F7633B">
      <w:pPr>
        <w:spacing w:after="0"/>
        <w:jc w:val="both"/>
        <w:rPr>
          <w:rFonts w:ascii="Times New Roman" w:hAnsi="Times New Roman"/>
          <w:color w:val="000000"/>
          <w:sz w:val="24"/>
          <w:szCs w:val="24"/>
        </w:rPr>
      </w:pPr>
      <w:r w:rsidRPr="00F33440">
        <w:rPr>
          <w:rFonts w:ascii="Times New Roman" w:hAnsi="Times New Roman"/>
          <w:sz w:val="24"/>
          <w:szCs w:val="24"/>
        </w:rPr>
        <w:t>Činnosti v zahraničných vzťahoch možno rozdeliť do dvoch skupín, a to smerom navonok a smerom dovnútra štátu. Navonok zahraničné vzťahy prezentáciou krajiny zvyšujú vnímanie Slovenska v zahraničí a obhajujú záujmy Slovenska v medzinárodných organizáciách.</w:t>
      </w:r>
      <w:r w:rsidRPr="00F33440">
        <w:rPr>
          <w:rFonts w:ascii="Times New Roman" w:hAnsi="Times New Roman"/>
          <w:color w:val="FF0000"/>
          <w:sz w:val="24"/>
          <w:szCs w:val="24"/>
        </w:rPr>
        <w:t xml:space="preserve"> </w:t>
      </w:r>
      <w:r w:rsidRPr="00F33440">
        <w:rPr>
          <w:rFonts w:ascii="Times New Roman" w:hAnsi="Times New Roman"/>
          <w:color w:val="000000"/>
          <w:sz w:val="24"/>
          <w:szCs w:val="24"/>
        </w:rPr>
        <w:t>Smerom do vnútra krajiny zahraničné vzťahy poukazujú na pozitíva Slovenska vo svete a tým zvyšujú dôveru obyvateľstva v medzinárodné inštitúcie</w:t>
      </w:r>
      <w:r>
        <w:rPr>
          <w:rFonts w:ascii="Times New Roman" w:hAnsi="Times New Roman"/>
          <w:color w:val="000000"/>
          <w:sz w:val="24"/>
          <w:szCs w:val="24"/>
        </w:rPr>
        <w:t>.</w:t>
      </w:r>
    </w:p>
    <w:p w:rsidR="00F7633B" w:rsidRDefault="00F7633B" w:rsidP="00F7633B">
      <w:pPr>
        <w:spacing w:after="0"/>
        <w:jc w:val="both"/>
        <w:rPr>
          <w:rFonts w:ascii="Times New Roman" w:hAnsi="Times New Roman"/>
          <w:color w:val="000000"/>
          <w:sz w:val="24"/>
          <w:szCs w:val="24"/>
        </w:rPr>
      </w:pPr>
    </w:p>
    <w:p w:rsidR="00AA17E3" w:rsidRPr="00086991" w:rsidRDefault="00AA17E3" w:rsidP="00F7633B">
      <w:pPr>
        <w:keepNext/>
        <w:spacing w:after="0" w:line="240" w:lineRule="auto"/>
        <w:rPr>
          <w:rFonts w:ascii="Times New Roman" w:hAnsi="Times New Roman"/>
          <w:b/>
          <w:iCs/>
          <w:color w:val="5B9BD5" w:themeColor="accent1"/>
          <w:sz w:val="20"/>
          <w:szCs w:val="20"/>
        </w:rPr>
      </w:pPr>
      <w:bookmarkStart w:id="641" w:name="_Toc53054207"/>
      <w:bookmarkStart w:id="642" w:name="_Toc53054868"/>
      <w:bookmarkStart w:id="643" w:name="_Toc53078060"/>
      <w:bookmarkStart w:id="644" w:name="_Toc53086462"/>
      <w:bookmarkStart w:id="645" w:name="_Toc84528494"/>
      <w:bookmarkStart w:id="646" w:name="_Toc84845370"/>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146</w:t>
      </w:r>
      <w:r w:rsidRPr="009363BF">
        <w:rPr>
          <w:rFonts w:ascii="Times New Roman" w:hAnsi="Times New Roman"/>
          <w:b/>
          <w:iCs/>
          <w:color w:val="5B9BD5" w:themeColor="accent1"/>
          <w:sz w:val="20"/>
          <w:szCs w:val="20"/>
        </w:rPr>
        <w:fldChar w:fldCharType="end"/>
      </w:r>
      <w:r w:rsidRPr="00086991">
        <w:rPr>
          <w:rFonts w:ascii="Times New Roman" w:hAnsi="Times New Roman"/>
          <w:b/>
          <w:iCs/>
          <w:color w:val="5B9BD5" w:themeColor="accent1"/>
          <w:sz w:val="20"/>
          <w:szCs w:val="20"/>
        </w:rPr>
        <w:t xml:space="preserve"> - </w:t>
      </w:r>
      <w:bookmarkEnd w:id="641"/>
      <w:bookmarkEnd w:id="642"/>
      <w:bookmarkEnd w:id="643"/>
      <w:bookmarkEnd w:id="644"/>
      <w:r w:rsidRPr="00086991">
        <w:rPr>
          <w:rFonts w:ascii="Times New Roman" w:hAnsi="Times New Roman"/>
          <w:b/>
          <w:color w:val="5B9BD5" w:themeColor="accent1"/>
          <w:sz w:val="20"/>
          <w:szCs w:val="20"/>
        </w:rPr>
        <w:t>Kľúčové ukazovatele zahraničných vzťahov a zahraničnej pomoci</w:t>
      </w:r>
      <w:bookmarkEnd w:id="645"/>
      <w:bookmarkEnd w:id="646"/>
    </w:p>
    <w:tbl>
      <w:tblPr>
        <w:tblW w:w="5000" w:type="pct"/>
        <w:tblCellMar>
          <w:left w:w="70" w:type="dxa"/>
          <w:right w:w="70" w:type="dxa"/>
        </w:tblCellMar>
        <w:tblLook w:val="04A0" w:firstRow="1" w:lastRow="0" w:firstColumn="1" w:lastColumn="0" w:noHBand="0" w:noVBand="1"/>
      </w:tblPr>
      <w:tblGrid>
        <w:gridCol w:w="1294"/>
        <w:gridCol w:w="1542"/>
        <w:gridCol w:w="766"/>
        <w:gridCol w:w="702"/>
        <w:gridCol w:w="702"/>
        <w:gridCol w:w="702"/>
        <w:gridCol w:w="702"/>
        <w:gridCol w:w="702"/>
        <w:gridCol w:w="980"/>
        <w:gridCol w:w="980"/>
      </w:tblGrid>
      <w:tr w:rsidR="00AA17E3" w:rsidRPr="00242E66" w:rsidTr="00AA17E3">
        <w:trPr>
          <w:trHeight w:val="20"/>
        </w:trPr>
        <w:tc>
          <w:tcPr>
            <w:tcW w:w="713" w:type="pct"/>
            <w:tcBorders>
              <w:top w:val="single" w:sz="4" w:space="0" w:color="auto"/>
              <w:bottom w:val="single" w:sz="4" w:space="0" w:color="auto"/>
              <w:right w:val="nil"/>
            </w:tcBorders>
            <w:shd w:val="clear" w:color="auto" w:fill="auto"/>
            <w:noWrap/>
            <w:vAlign w:val="center"/>
            <w:hideMark/>
          </w:tcPr>
          <w:p w:rsidR="00AA17E3" w:rsidRPr="00242E66" w:rsidRDefault="00AA17E3" w:rsidP="00AA17E3">
            <w:pPr>
              <w:spacing w:after="0" w:line="240" w:lineRule="auto"/>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Oblasť</w:t>
            </w:r>
          </w:p>
        </w:tc>
        <w:tc>
          <w:tcPr>
            <w:tcW w:w="850"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Indikátor</w:t>
            </w:r>
          </w:p>
        </w:tc>
        <w:tc>
          <w:tcPr>
            <w:tcW w:w="422"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voči čomu</w:t>
            </w:r>
          </w:p>
        </w:tc>
        <w:tc>
          <w:tcPr>
            <w:tcW w:w="387"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2017</w:t>
            </w:r>
          </w:p>
        </w:tc>
        <w:tc>
          <w:tcPr>
            <w:tcW w:w="387"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2018</w:t>
            </w:r>
          </w:p>
        </w:tc>
        <w:tc>
          <w:tcPr>
            <w:tcW w:w="387"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2019</w:t>
            </w:r>
          </w:p>
        </w:tc>
        <w:tc>
          <w:tcPr>
            <w:tcW w:w="387"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2020</w:t>
            </w:r>
          </w:p>
        </w:tc>
        <w:tc>
          <w:tcPr>
            <w:tcW w:w="387"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2021</w:t>
            </w:r>
          </w:p>
        </w:tc>
        <w:tc>
          <w:tcPr>
            <w:tcW w:w="540"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Cieľ 2024</w:t>
            </w:r>
          </w:p>
        </w:tc>
        <w:tc>
          <w:tcPr>
            <w:tcW w:w="540" w:type="pct"/>
            <w:tcBorders>
              <w:top w:val="single" w:sz="4" w:space="0" w:color="auto"/>
              <w:left w:val="nil"/>
              <w:bottom w:val="single" w:sz="4" w:space="0" w:color="auto"/>
              <w:right w:val="nil"/>
            </w:tcBorders>
            <w:shd w:val="clear" w:color="auto" w:fill="auto"/>
            <w:noWrap/>
            <w:vAlign w:val="center"/>
            <w:hideMark/>
          </w:tcPr>
          <w:p w:rsidR="00AA17E3" w:rsidRPr="00242E66" w:rsidRDefault="00AA17E3" w:rsidP="00AA17E3">
            <w:pPr>
              <w:spacing w:after="0" w:line="240" w:lineRule="auto"/>
              <w:jc w:val="center"/>
              <w:rPr>
                <w:rFonts w:ascii="Times New Roman" w:eastAsia="Times New Roman" w:hAnsi="Times New Roman" w:cs="Times New Roman"/>
                <w:b/>
                <w:bCs/>
                <w:sz w:val="16"/>
                <w:szCs w:val="16"/>
                <w:lang w:eastAsia="sk-SK"/>
              </w:rPr>
            </w:pPr>
            <w:r w:rsidRPr="00242E66">
              <w:rPr>
                <w:rFonts w:ascii="Times New Roman" w:eastAsia="Times New Roman" w:hAnsi="Times New Roman" w:cs="Times New Roman"/>
                <w:b/>
                <w:bCs/>
                <w:sz w:val="16"/>
                <w:szCs w:val="16"/>
                <w:lang w:eastAsia="sk-SK"/>
              </w:rPr>
              <w:t>Cieľ 2030</w:t>
            </w:r>
          </w:p>
        </w:tc>
      </w:tr>
      <w:tr w:rsidR="00AA17E3" w:rsidRPr="00242E66" w:rsidTr="00AA17E3">
        <w:trPr>
          <w:trHeight w:val="20"/>
        </w:trPr>
        <w:tc>
          <w:tcPr>
            <w:tcW w:w="713" w:type="pct"/>
            <w:vMerge w:val="restart"/>
            <w:tcBorders>
              <w:top w:val="single" w:sz="4" w:space="0" w:color="auto"/>
              <w:bottom w:val="single" w:sz="8" w:space="0" w:color="000000"/>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xml:space="preserve">Geopolitické postavenie SR </w:t>
            </w:r>
          </w:p>
        </w:tc>
        <w:tc>
          <w:tcPr>
            <w:tcW w:w="850" w:type="pct"/>
            <w:vMerge w:val="restart"/>
            <w:tcBorders>
              <w:top w:val="single" w:sz="4" w:space="0" w:color="auto"/>
              <w:left w:val="nil"/>
              <w:bottom w:val="single" w:sz="8" w:space="0" w:color="000000"/>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Podpora verejnosti členstvu SR v NATO</w:t>
            </w:r>
          </w:p>
        </w:tc>
        <w:tc>
          <w:tcPr>
            <w:tcW w:w="422"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SR</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57%</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63%</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51%</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51%</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r>
      <w:tr w:rsidR="00AA17E3" w:rsidRPr="00242E66" w:rsidTr="00AA17E3">
        <w:trPr>
          <w:trHeight w:val="248"/>
        </w:trPr>
        <w:tc>
          <w:tcPr>
            <w:tcW w:w="713" w:type="pct"/>
            <w:vMerge/>
            <w:tcBorders>
              <w:top w:val="single" w:sz="8" w:space="0" w:color="auto"/>
              <w:bottom w:val="single" w:sz="4" w:space="0" w:color="auto"/>
              <w:right w:val="nil"/>
            </w:tcBorders>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850" w:type="pct"/>
            <w:vMerge/>
            <w:tcBorders>
              <w:top w:val="single" w:sz="8" w:space="0" w:color="auto"/>
              <w:left w:val="nil"/>
              <w:bottom w:val="single" w:sz="4" w:space="0" w:color="auto"/>
              <w:right w:val="nil"/>
            </w:tcBorders>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422"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xml:space="preserve">NATO </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68%</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71%</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62%</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71%</w:t>
            </w:r>
          </w:p>
        </w:tc>
        <w:tc>
          <w:tcPr>
            <w:tcW w:w="540" w:type="pct"/>
            <w:tcBorders>
              <w:top w:val="single" w:sz="2" w:space="0" w:color="auto"/>
              <w:left w:val="nil"/>
              <w:bottom w:val="single" w:sz="4"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p>
        </w:tc>
        <w:tc>
          <w:tcPr>
            <w:tcW w:w="540" w:type="pct"/>
            <w:tcBorders>
              <w:top w:val="single" w:sz="2" w:space="0" w:color="auto"/>
              <w:left w:val="nil"/>
              <w:bottom w:val="single" w:sz="4"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p>
        </w:tc>
      </w:tr>
      <w:tr w:rsidR="00AA17E3" w:rsidRPr="00242E66" w:rsidTr="00AA17E3">
        <w:trPr>
          <w:trHeight w:val="20"/>
        </w:trPr>
        <w:tc>
          <w:tcPr>
            <w:tcW w:w="713" w:type="pct"/>
            <w:vMerge w:val="restart"/>
            <w:tcBorders>
              <w:top w:val="single" w:sz="4" w:space="0" w:color="auto"/>
              <w:bottom w:val="single" w:sz="4" w:space="0" w:color="auto"/>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Európska politika</w:t>
            </w:r>
          </w:p>
        </w:tc>
        <w:tc>
          <w:tcPr>
            <w:tcW w:w="850" w:type="pct"/>
            <w:vMerge w:val="restar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Dôvera verejnosti v EÚ</w:t>
            </w:r>
          </w:p>
        </w:tc>
        <w:tc>
          <w:tcPr>
            <w:tcW w:w="422"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SR</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48%</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43%</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45%</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50%</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r>
      <w:tr w:rsidR="00AA17E3" w:rsidRPr="00242E66" w:rsidTr="00AA17E3">
        <w:trPr>
          <w:trHeight w:val="252"/>
        </w:trPr>
        <w:tc>
          <w:tcPr>
            <w:tcW w:w="713" w:type="pct"/>
            <w:vMerge/>
            <w:tcBorders>
              <w:top w:val="nil"/>
              <w:bottom w:val="single" w:sz="4" w:space="0" w:color="auto"/>
              <w:right w:val="nil"/>
            </w:tcBorders>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850" w:type="pct"/>
            <w:vMerge/>
            <w:tcBorders>
              <w:top w:val="nil"/>
              <w:left w:val="nil"/>
              <w:bottom w:val="single" w:sz="4" w:space="0" w:color="auto"/>
              <w:right w:val="nil"/>
            </w:tcBorders>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422"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EÚ</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41%</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42%</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43%</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49%</w:t>
            </w:r>
          </w:p>
        </w:tc>
        <w:tc>
          <w:tcPr>
            <w:tcW w:w="540" w:type="pct"/>
            <w:tcBorders>
              <w:top w:val="single" w:sz="2" w:space="0" w:color="auto"/>
              <w:left w:val="nil"/>
              <w:bottom w:val="single" w:sz="4"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p>
        </w:tc>
        <w:tc>
          <w:tcPr>
            <w:tcW w:w="540" w:type="pct"/>
            <w:tcBorders>
              <w:top w:val="single" w:sz="2" w:space="0" w:color="auto"/>
              <w:left w:val="nil"/>
              <w:bottom w:val="single" w:sz="4"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p>
        </w:tc>
      </w:tr>
      <w:tr w:rsidR="00AA17E3" w:rsidRPr="00242E66" w:rsidTr="00AA17E3">
        <w:trPr>
          <w:trHeight w:val="20"/>
        </w:trPr>
        <w:tc>
          <w:tcPr>
            <w:tcW w:w="713" w:type="pct"/>
            <w:vMerge w:val="restart"/>
            <w:tcBorders>
              <w:top w:val="single" w:sz="4" w:space="0" w:color="auto"/>
              <w:bottom w:val="single" w:sz="8" w:space="0" w:color="000000"/>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Prezentácia SR a komunikácia zahranično-politických záujmov SR</w:t>
            </w:r>
          </w:p>
        </w:tc>
        <w:tc>
          <w:tcPr>
            <w:tcW w:w="850" w:type="pct"/>
            <w:vMerge w:val="restart"/>
            <w:tcBorders>
              <w:top w:val="single" w:sz="4" w:space="0" w:color="auto"/>
              <w:left w:val="nil"/>
              <w:bottom w:val="single" w:sz="8" w:space="0" w:color="000000"/>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Vnímanie SR v zahraničí</w:t>
            </w:r>
          </w:p>
        </w:tc>
        <w:tc>
          <w:tcPr>
            <w:tcW w:w="422"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SR</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35. miesto</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42. miesto</w:t>
            </w:r>
          </w:p>
        </w:tc>
        <w:tc>
          <w:tcPr>
            <w:tcW w:w="387" w:type="pct"/>
            <w:tcBorders>
              <w:top w:val="single" w:sz="4" w:space="0" w:color="auto"/>
              <w:left w:val="nil"/>
              <w:bottom w:val="single" w:sz="2"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r>
      <w:tr w:rsidR="00AA17E3" w:rsidRPr="00242E66" w:rsidTr="00AA17E3">
        <w:trPr>
          <w:trHeight w:val="406"/>
        </w:trPr>
        <w:tc>
          <w:tcPr>
            <w:tcW w:w="713" w:type="pct"/>
            <w:vMerge/>
            <w:tcBorders>
              <w:top w:val="nil"/>
              <w:bottom w:val="single" w:sz="4" w:space="0" w:color="auto"/>
              <w:right w:val="nil"/>
            </w:tcBorders>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850" w:type="pct"/>
            <w:vMerge/>
            <w:tcBorders>
              <w:top w:val="nil"/>
              <w:left w:val="nil"/>
              <w:bottom w:val="single" w:sz="4" w:space="0" w:color="auto"/>
              <w:right w:val="nil"/>
            </w:tcBorders>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p>
        </w:tc>
        <w:tc>
          <w:tcPr>
            <w:tcW w:w="422"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xml:space="preserve">medián EÚ </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38. miesto</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40. miesto</w:t>
            </w:r>
          </w:p>
        </w:tc>
        <w:tc>
          <w:tcPr>
            <w:tcW w:w="387" w:type="pct"/>
            <w:tcBorders>
              <w:top w:val="single" w:sz="2"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540" w:type="pct"/>
            <w:tcBorders>
              <w:top w:val="single" w:sz="2" w:space="0" w:color="auto"/>
              <w:left w:val="nil"/>
              <w:bottom w:val="single" w:sz="4" w:space="0" w:color="auto"/>
              <w:right w:val="nil"/>
            </w:tcBorders>
            <w:shd w:val="clear" w:color="auto" w:fill="auto"/>
            <w:vAlign w:val="center"/>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c>
          <w:tcPr>
            <w:tcW w:w="540" w:type="pct"/>
            <w:tcBorders>
              <w:top w:val="single" w:sz="2" w:space="0" w:color="auto"/>
              <w:left w:val="nil"/>
              <w:bottom w:val="single" w:sz="4" w:space="0" w:color="auto"/>
              <w:right w:val="nil"/>
            </w:tcBorders>
            <w:shd w:val="clear" w:color="auto" w:fill="auto"/>
            <w:vAlign w:val="center"/>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p>
        </w:tc>
      </w:tr>
      <w:tr w:rsidR="00AA17E3" w:rsidRPr="00242E66" w:rsidTr="00AA17E3">
        <w:trPr>
          <w:trHeight w:val="20"/>
        </w:trPr>
        <w:tc>
          <w:tcPr>
            <w:tcW w:w="713" w:type="pct"/>
            <w:tcBorders>
              <w:top w:val="single" w:sz="4" w:space="0" w:color="auto"/>
              <w:bottom w:val="single" w:sz="4" w:space="0" w:color="auto"/>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xml:space="preserve">Prosperita a solidarita </w:t>
            </w:r>
          </w:p>
        </w:tc>
        <w:tc>
          <w:tcPr>
            <w:tcW w:w="850"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Výška rozvojovej pomoci ako podiel HNP</w:t>
            </w:r>
          </w:p>
        </w:tc>
        <w:tc>
          <w:tcPr>
            <w:tcW w:w="422"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SK</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0,13%</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0,13%</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0,11%</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0,14%</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540" w:type="pct"/>
            <w:tcBorders>
              <w:top w:val="single" w:sz="4" w:space="0" w:color="auto"/>
              <w:left w:val="nil"/>
              <w:bottom w:val="single" w:sz="4" w:space="0" w:color="auto"/>
              <w:right w:val="nil"/>
            </w:tcBorders>
            <w:shd w:val="clear" w:color="auto" w:fill="auto"/>
            <w:vAlign w:val="center"/>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A681E">
              <w:rPr>
                <w:rFonts w:ascii="Times New Roman" w:eastAsia="Times New Roman" w:hAnsi="Times New Roman" w:cs="Times New Roman"/>
                <w:color w:val="000000"/>
                <w:sz w:val="16"/>
                <w:szCs w:val="16"/>
                <w:lang w:eastAsia="sk-SK"/>
              </w:rPr>
              <w:t>0,17%</w:t>
            </w:r>
          </w:p>
        </w:tc>
        <w:tc>
          <w:tcPr>
            <w:tcW w:w="540" w:type="pct"/>
            <w:tcBorders>
              <w:top w:val="single" w:sz="4" w:space="0" w:color="auto"/>
              <w:left w:val="nil"/>
              <w:bottom w:val="single" w:sz="4" w:space="0" w:color="auto"/>
              <w:right w:val="nil"/>
            </w:tcBorders>
            <w:shd w:val="clear" w:color="auto" w:fill="auto"/>
            <w:vAlign w:val="center"/>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6A681E">
              <w:rPr>
                <w:rFonts w:ascii="Times New Roman" w:eastAsia="Times New Roman" w:hAnsi="Times New Roman" w:cs="Times New Roman"/>
                <w:color w:val="000000"/>
                <w:sz w:val="16"/>
                <w:szCs w:val="16"/>
                <w:lang w:eastAsia="sk-SK"/>
              </w:rPr>
              <w:t>0,33%</w:t>
            </w:r>
          </w:p>
        </w:tc>
      </w:tr>
      <w:tr w:rsidR="00AA17E3" w:rsidRPr="00242E66" w:rsidTr="00AA17E3">
        <w:trPr>
          <w:trHeight w:val="20"/>
        </w:trPr>
        <w:tc>
          <w:tcPr>
            <w:tcW w:w="713" w:type="pct"/>
            <w:tcBorders>
              <w:top w:val="single" w:sz="4" w:space="0" w:color="auto"/>
              <w:bottom w:val="single" w:sz="4" w:space="0" w:color="auto"/>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Služba občanom</w:t>
            </w:r>
          </w:p>
        </w:tc>
        <w:tc>
          <w:tcPr>
            <w:tcW w:w="850"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Globálne umiestnenie </w:t>
            </w:r>
            <w:r w:rsidRPr="00242E66">
              <w:rPr>
                <w:rFonts w:ascii="Times New Roman" w:eastAsia="Times New Roman" w:hAnsi="Times New Roman" w:cs="Times New Roman"/>
                <w:color w:val="000000"/>
                <w:sz w:val="16"/>
                <w:szCs w:val="16"/>
                <w:lang w:eastAsia="sk-SK"/>
              </w:rPr>
              <w:t>pasu SR</w:t>
            </w:r>
          </w:p>
        </w:tc>
        <w:tc>
          <w:tcPr>
            <w:tcW w:w="422"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 </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5. miesto</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7. miesto</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5. miesto</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sidRPr="00242E66">
              <w:rPr>
                <w:rFonts w:ascii="Times New Roman" w:eastAsia="Times New Roman" w:hAnsi="Times New Roman" w:cs="Times New Roman"/>
                <w:color w:val="000000"/>
                <w:sz w:val="16"/>
                <w:szCs w:val="16"/>
                <w:lang w:eastAsia="sk-SK"/>
              </w:rPr>
              <w:t>7. miesto</w:t>
            </w:r>
          </w:p>
        </w:tc>
        <w:tc>
          <w:tcPr>
            <w:tcW w:w="387" w:type="pct"/>
            <w:tcBorders>
              <w:top w:val="single" w:sz="4" w:space="0" w:color="auto"/>
              <w:left w:val="nil"/>
              <w:bottom w:val="single" w:sz="4" w:space="0" w:color="auto"/>
              <w:right w:val="nil"/>
            </w:tcBorders>
            <w:shd w:val="clear" w:color="auto" w:fill="auto"/>
            <w:vAlign w:val="center"/>
            <w:hideMark/>
          </w:tcPr>
          <w:p w:rsidR="00AA17E3" w:rsidRPr="00242E66" w:rsidRDefault="00AA17E3" w:rsidP="00AA17E3">
            <w:pPr>
              <w:spacing w:after="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242E66">
              <w:rPr>
                <w:rFonts w:ascii="Times New Roman" w:eastAsia="Times New Roman" w:hAnsi="Times New Roman" w:cs="Times New Roman"/>
                <w:color w:val="000000"/>
                <w:sz w:val="16"/>
                <w:szCs w:val="16"/>
                <w:lang w:eastAsia="sk-SK"/>
              </w:rPr>
              <w:t>. miesto</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c>
          <w:tcPr>
            <w:tcW w:w="540" w:type="pct"/>
            <w:tcBorders>
              <w:top w:val="single" w:sz="4" w:space="0" w:color="auto"/>
              <w:left w:val="nil"/>
              <w:bottom w:val="single" w:sz="2" w:space="0" w:color="auto"/>
              <w:right w:val="nil"/>
            </w:tcBorders>
            <w:shd w:val="clear" w:color="auto" w:fill="auto"/>
            <w:vAlign w:val="center"/>
          </w:tcPr>
          <w:p w:rsidR="00AA17E3" w:rsidRPr="006E3559" w:rsidRDefault="00AA17E3" w:rsidP="00AA17E3">
            <w:pPr>
              <w:spacing w:after="0" w:line="240" w:lineRule="auto"/>
              <w:jc w:val="center"/>
              <w:rPr>
                <w:rFonts w:ascii="Times New Roman" w:eastAsia="Times New Roman" w:hAnsi="Times New Roman" w:cs="Times New Roman"/>
                <w:color w:val="FF0000"/>
                <w:sz w:val="16"/>
                <w:szCs w:val="16"/>
                <w:lang w:eastAsia="sk-SK"/>
              </w:rPr>
            </w:pPr>
            <w:r w:rsidRPr="00950D12">
              <w:rPr>
                <w:rFonts w:ascii="Times New Roman" w:eastAsia="Times New Roman" w:hAnsi="Times New Roman" w:cs="Times New Roman"/>
                <w:bCs/>
                <w:color w:val="000000" w:themeColor="text1"/>
                <w:sz w:val="18"/>
                <w:szCs w:val="18"/>
                <w:lang w:eastAsia="sk-SK"/>
              </w:rPr>
              <w:t>TBD</w:t>
            </w:r>
          </w:p>
        </w:tc>
      </w:tr>
    </w:tbl>
    <w:p w:rsidR="00AA17E3" w:rsidRPr="00086991" w:rsidRDefault="00AA17E3" w:rsidP="00F7633B">
      <w:pPr>
        <w:spacing w:after="0"/>
        <w:jc w:val="right"/>
        <w:rPr>
          <w:rFonts w:ascii="Times New Roman" w:hAnsi="Times New Roman"/>
          <w:i/>
          <w:color w:val="000000"/>
          <w:sz w:val="16"/>
          <w:szCs w:val="16"/>
        </w:rPr>
      </w:pPr>
      <w:r w:rsidRPr="00086991">
        <w:rPr>
          <w:rFonts w:ascii="Times New Roman" w:hAnsi="Times New Roman"/>
          <w:i/>
          <w:color w:val="000000"/>
          <w:sz w:val="16"/>
          <w:szCs w:val="16"/>
        </w:rPr>
        <w:t>Zdroj MF SR</w:t>
      </w:r>
    </w:p>
    <w:p w:rsidR="00F7633B"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086991">
        <w:rPr>
          <w:rFonts w:ascii="Times New Roman" w:hAnsi="Times New Roman"/>
          <w:color w:val="000000"/>
          <w:sz w:val="24"/>
          <w:szCs w:val="24"/>
        </w:rPr>
        <w:t>NATO na Slovensku podporuje menšia časť verejnosti ako v iných členských krajinách, v roku 2021 o 20 p.</w:t>
      </w:r>
      <w:r w:rsidR="00637878">
        <w:rPr>
          <w:rFonts w:ascii="Times New Roman" w:hAnsi="Times New Roman"/>
          <w:color w:val="000000"/>
          <w:sz w:val="24"/>
          <w:szCs w:val="24"/>
        </w:rPr>
        <w:t xml:space="preserve"> </w:t>
      </w:r>
      <w:r w:rsidRPr="00086991">
        <w:rPr>
          <w:rFonts w:ascii="Times New Roman" w:hAnsi="Times New Roman"/>
          <w:color w:val="000000"/>
          <w:sz w:val="24"/>
          <w:szCs w:val="24"/>
        </w:rPr>
        <w:t xml:space="preserve">b. </w:t>
      </w:r>
      <w:r>
        <w:rPr>
          <w:rFonts w:ascii="Times New Roman" w:hAnsi="Times New Roman"/>
          <w:color w:val="000000"/>
          <w:sz w:val="24"/>
          <w:szCs w:val="24"/>
        </w:rPr>
        <w:t>Naopak, č</w:t>
      </w:r>
      <w:r w:rsidRPr="00086991">
        <w:rPr>
          <w:rFonts w:ascii="Times New Roman" w:hAnsi="Times New Roman"/>
          <w:color w:val="000000"/>
          <w:sz w:val="24"/>
          <w:szCs w:val="24"/>
        </w:rPr>
        <w:t>lenstvo v EÚ je v SR dlhodobo vnímané pozitívne</w:t>
      </w:r>
      <w:r>
        <w:rPr>
          <w:rFonts w:ascii="Times New Roman" w:hAnsi="Times New Roman"/>
          <w:color w:val="000000"/>
          <w:sz w:val="24"/>
          <w:szCs w:val="24"/>
        </w:rPr>
        <w:t>.</w:t>
      </w:r>
      <w:r w:rsidRPr="00086991">
        <w:rPr>
          <w:rFonts w:ascii="Times New Roman" w:hAnsi="Times New Roman"/>
          <w:color w:val="000000"/>
          <w:sz w:val="24"/>
          <w:szCs w:val="24"/>
        </w:rPr>
        <w:t xml:space="preserve"> </w:t>
      </w:r>
    </w:p>
    <w:p w:rsidR="00F7633B" w:rsidRPr="00086991" w:rsidRDefault="00F7633B" w:rsidP="00F7633B">
      <w:pPr>
        <w:spacing w:after="0"/>
        <w:jc w:val="both"/>
        <w:rPr>
          <w:rFonts w:ascii="Times New Roman" w:hAnsi="Times New Roman"/>
          <w:color w:val="000000"/>
          <w:sz w:val="24"/>
          <w:szCs w:val="24"/>
        </w:rPr>
      </w:pPr>
    </w:p>
    <w:p w:rsidR="00F7633B" w:rsidRDefault="00AA17E3" w:rsidP="00F7633B">
      <w:pPr>
        <w:spacing w:after="0"/>
        <w:jc w:val="both"/>
        <w:rPr>
          <w:rFonts w:ascii="Times New Roman" w:hAnsi="Times New Roman"/>
          <w:color w:val="000000"/>
          <w:sz w:val="24"/>
          <w:szCs w:val="24"/>
        </w:rPr>
      </w:pPr>
      <w:r w:rsidRPr="00086991">
        <w:rPr>
          <w:rFonts w:ascii="Times New Roman" w:hAnsi="Times New Roman"/>
          <w:color w:val="000000"/>
          <w:sz w:val="24"/>
          <w:szCs w:val="24"/>
        </w:rPr>
        <w:t>Zahraničný obraz Slovenska sa zhoršil, z krajín V4 však dosahuje druhý najlepší výsledok. Výsledok je však horší ako je medián krajín EÚ, ktorý však dlhodobo stagnuje.</w:t>
      </w:r>
    </w:p>
    <w:p w:rsidR="00AA17E3" w:rsidRPr="00086991" w:rsidRDefault="00AA17E3" w:rsidP="00F7633B">
      <w:pPr>
        <w:spacing w:after="0"/>
        <w:jc w:val="both"/>
        <w:rPr>
          <w:rFonts w:ascii="Times New Roman" w:hAnsi="Times New Roman"/>
          <w:color w:val="000000"/>
          <w:sz w:val="24"/>
          <w:szCs w:val="24"/>
        </w:rPr>
      </w:pPr>
      <w:r w:rsidRPr="00086991">
        <w:rPr>
          <w:rFonts w:ascii="Times New Roman" w:hAnsi="Times New Roman"/>
          <w:color w:val="000000"/>
          <w:sz w:val="24"/>
          <w:szCs w:val="24"/>
        </w:rPr>
        <w:t xml:space="preserve"> </w:t>
      </w:r>
    </w:p>
    <w:p w:rsidR="00AA17E3" w:rsidRDefault="00AA17E3" w:rsidP="00F7633B">
      <w:pPr>
        <w:spacing w:after="0"/>
        <w:jc w:val="both"/>
        <w:rPr>
          <w:rFonts w:ascii="Times New Roman" w:hAnsi="Times New Roman"/>
          <w:color w:val="000000"/>
          <w:sz w:val="24"/>
          <w:szCs w:val="24"/>
        </w:rPr>
      </w:pPr>
      <w:r w:rsidRPr="00086991">
        <w:rPr>
          <w:rFonts w:ascii="Times New Roman" w:hAnsi="Times New Roman"/>
          <w:color w:val="000000"/>
          <w:sz w:val="24"/>
          <w:szCs w:val="24"/>
        </w:rPr>
        <w:t>Zahraničné vzťahy sa zameriavajú aj na rozvojovú pomoc prostredníctvom rôznych grantov a podporných schém. Podpora Slovenska je relatívne stabilná, dosahuje viac ako 0,1 % hrubého národného produktu. Cieľom je rozvojovú pomoc každoročne zvyšovať a splniť medzinárodné záväzky.</w:t>
      </w:r>
    </w:p>
    <w:p w:rsidR="00F7633B" w:rsidRPr="00086991"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086991">
        <w:rPr>
          <w:rFonts w:ascii="Times New Roman" w:hAnsi="Times New Roman"/>
          <w:color w:val="000000"/>
          <w:sz w:val="24"/>
          <w:szCs w:val="24"/>
        </w:rPr>
        <w:t xml:space="preserve">Slovenský pas sa v globálnom poradí, ktoré hodnotí počet krajín do ktorých je možné s pasom cestovať bez víz, umiestnil </w:t>
      </w:r>
      <w:r>
        <w:rPr>
          <w:rFonts w:ascii="Times New Roman" w:hAnsi="Times New Roman"/>
          <w:color w:val="000000"/>
          <w:sz w:val="24"/>
          <w:szCs w:val="24"/>
        </w:rPr>
        <w:t xml:space="preserve">v skupine krajín </w:t>
      </w:r>
      <w:r w:rsidRPr="00086991">
        <w:rPr>
          <w:rFonts w:ascii="Times New Roman" w:hAnsi="Times New Roman"/>
          <w:color w:val="000000"/>
          <w:sz w:val="24"/>
          <w:szCs w:val="24"/>
        </w:rPr>
        <w:t>na 6. mieste</w:t>
      </w:r>
      <w:r>
        <w:rPr>
          <w:rStyle w:val="Odkaznapoznmkupodiarou"/>
          <w:rFonts w:ascii="Times New Roman" w:hAnsi="Times New Roman"/>
          <w:color w:val="000000"/>
          <w:sz w:val="24"/>
          <w:szCs w:val="24"/>
        </w:rPr>
        <w:footnoteReference w:id="66"/>
      </w:r>
      <w:r w:rsidRPr="00086991">
        <w:rPr>
          <w:rFonts w:ascii="Times New Roman" w:hAnsi="Times New Roman"/>
          <w:color w:val="000000"/>
          <w:sz w:val="24"/>
          <w:szCs w:val="24"/>
        </w:rPr>
        <w:t xml:space="preserve">. </w:t>
      </w:r>
    </w:p>
    <w:p w:rsidR="00F7633B" w:rsidRPr="00086991"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3B52A1">
        <w:rPr>
          <w:rFonts w:ascii="Times New Roman" w:hAnsi="Times New Roman"/>
          <w:color w:val="000000"/>
          <w:sz w:val="24"/>
          <w:szCs w:val="24"/>
        </w:rPr>
        <w:t>Celkové rozpočtované výdavky na zahraničné vzťahy sú viac ako 154 mil. eur. Najväčšia časť, viac ako 78 % výdavkov, smeruje do zahraničnej politiky. Slovensko svoju pozíciu v medzinárodnej politike zastáva vo viacerých medzinárodných organizáciách a je aktívne aj v rozvojovej pomoci.</w:t>
      </w:r>
    </w:p>
    <w:p w:rsidR="00F7633B" w:rsidRPr="009363BF" w:rsidRDefault="00F7633B" w:rsidP="00F7633B">
      <w:pPr>
        <w:spacing w:after="0"/>
        <w:jc w:val="both"/>
        <w:rPr>
          <w:rFonts w:ascii="Times New Roman" w:hAnsi="Times New Roman"/>
          <w:color w:val="000000"/>
          <w:sz w:val="24"/>
          <w:szCs w:val="24"/>
        </w:rPr>
      </w:pPr>
    </w:p>
    <w:tbl>
      <w:tblPr>
        <w:tblpPr w:leftFromText="141" w:rightFromText="141" w:vertAnchor="text" w:horzAnchor="margin" w:tblpY="256"/>
        <w:tblW w:w="5000" w:type="pct"/>
        <w:tblCellMar>
          <w:left w:w="70" w:type="dxa"/>
          <w:right w:w="70" w:type="dxa"/>
        </w:tblCellMar>
        <w:tblLook w:val="04A0" w:firstRow="1" w:lastRow="0" w:firstColumn="1" w:lastColumn="0" w:noHBand="0" w:noVBand="1"/>
      </w:tblPr>
      <w:tblGrid>
        <w:gridCol w:w="3076"/>
        <w:gridCol w:w="857"/>
        <w:gridCol w:w="857"/>
        <w:gridCol w:w="857"/>
        <w:gridCol w:w="857"/>
        <w:gridCol w:w="856"/>
        <w:gridCol w:w="856"/>
        <w:gridCol w:w="856"/>
      </w:tblGrid>
      <w:tr w:rsidR="00AA17E3" w:rsidRPr="009363BF" w:rsidTr="00AA17E3">
        <w:trPr>
          <w:trHeight w:val="300"/>
        </w:trPr>
        <w:tc>
          <w:tcPr>
            <w:tcW w:w="1695" w:type="pct"/>
            <w:tcBorders>
              <w:top w:val="single" w:sz="4" w:space="0" w:color="auto"/>
              <w:left w:val="nil"/>
              <w:bottom w:val="nil"/>
              <w:right w:val="nil"/>
            </w:tcBorders>
            <w:shd w:val="clear" w:color="auto" w:fill="auto"/>
            <w:noWrap/>
            <w:vAlign w:val="center"/>
            <w:hideMark/>
          </w:tcPr>
          <w:p w:rsidR="00AA17E3" w:rsidRPr="009363BF" w:rsidRDefault="00AA17E3" w:rsidP="00F7633B">
            <w:pPr>
              <w:spacing w:after="0"/>
              <w:rPr>
                <w:rFonts w:ascii="Times New Roman" w:hAnsi="Times New Roman"/>
                <w:b/>
                <w:bCs/>
                <w:color w:val="000000"/>
                <w:sz w:val="16"/>
                <w:szCs w:val="16"/>
                <w:lang w:eastAsia="sk-SK"/>
              </w:rPr>
            </w:pPr>
            <w:r w:rsidRPr="009363BF">
              <w:rPr>
                <w:rFonts w:ascii="Times New Roman" w:hAnsi="Times New Roman"/>
                <w:b/>
                <w:bCs/>
                <w:color w:val="000000"/>
                <w:sz w:val="16"/>
                <w:szCs w:val="16"/>
                <w:lang w:eastAsia="sk-SK"/>
              </w:rPr>
              <w:t> v tis. eur</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2019</w:t>
            </w:r>
            <w:r w:rsidRPr="00A2768A">
              <w:rPr>
                <w:rFonts w:ascii="Times New Roman" w:hAnsi="Times New Roman"/>
                <w:b/>
                <w:bCs/>
                <w:color w:val="000000"/>
                <w:sz w:val="16"/>
                <w:szCs w:val="16"/>
                <w:lang w:eastAsia="sk-SK"/>
              </w:rPr>
              <w:t xml:space="preserve"> 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w:t>
            </w:r>
            <w:r>
              <w:rPr>
                <w:rFonts w:ascii="Times New Roman" w:hAnsi="Times New Roman"/>
                <w:b/>
                <w:bCs/>
                <w:color w:val="000000"/>
                <w:sz w:val="16"/>
                <w:szCs w:val="16"/>
                <w:lang w:eastAsia="sk-SK"/>
              </w:rPr>
              <w:t>20</w:t>
            </w:r>
            <w:r w:rsidRPr="00A2768A">
              <w:rPr>
                <w:rFonts w:ascii="Times New Roman" w:hAnsi="Times New Roman"/>
                <w:b/>
                <w:bCs/>
                <w:color w:val="000000"/>
                <w:sz w:val="16"/>
                <w:szCs w:val="16"/>
                <w:lang w:eastAsia="sk-SK"/>
              </w:rPr>
              <w:t xml:space="preserve"> S</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1</w:t>
            </w:r>
            <w:r w:rsidRPr="00A2768A">
              <w:rPr>
                <w:rFonts w:ascii="Times New Roman" w:hAnsi="Times New Roman"/>
                <w:b/>
                <w:bCs/>
                <w:color w:val="000000"/>
                <w:sz w:val="16"/>
                <w:szCs w:val="16"/>
                <w:lang w:eastAsia="sk-SK"/>
              </w:rPr>
              <w:t xml:space="preserve"> R</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2021</w:t>
            </w:r>
            <w:r w:rsidRPr="00A2768A">
              <w:rPr>
                <w:rFonts w:ascii="Times New Roman" w:hAnsi="Times New Roman"/>
                <w:b/>
                <w:bCs/>
                <w:color w:val="000000"/>
                <w:sz w:val="16"/>
                <w:szCs w:val="16"/>
                <w:lang w:eastAsia="sk-SK"/>
              </w:rPr>
              <w:t xml:space="preserve"> OS</w:t>
            </w:r>
          </w:p>
        </w:tc>
        <w:tc>
          <w:tcPr>
            <w:tcW w:w="472"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2</w:t>
            </w:r>
            <w:r w:rsidRPr="00A2768A">
              <w:rPr>
                <w:rFonts w:ascii="Times New Roman" w:hAnsi="Times New Roman"/>
                <w:b/>
                <w:bCs/>
                <w:color w:val="000000"/>
                <w:sz w:val="16"/>
                <w:szCs w:val="16"/>
                <w:lang w:eastAsia="sk-SK"/>
              </w:rPr>
              <w:t xml:space="preserve"> N</w:t>
            </w:r>
          </w:p>
        </w:tc>
        <w:tc>
          <w:tcPr>
            <w:tcW w:w="472"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3</w:t>
            </w:r>
            <w:r w:rsidRPr="00A2768A">
              <w:rPr>
                <w:rFonts w:ascii="Times New Roman" w:hAnsi="Times New Roman"/>
                <w:b/>
                <w:bCs/>
                <w:color w:val="000000"/>
                <w:sz w:val="16"/>
                <w:szCs w:val="16"/>
                <w:lang w:eastAsia="sk-SK"/>
              </w:rPr>
              <w:t xml:space="preserve"> N</w:t>
            </w:r>
          </w:p>
        </w:tc>
        <w:tc>
          <w:tcPr>
            <w:tcW w:w="472"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F7633B">
            <w:pPr>
              <w:spacing w:after="0"/>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4</w:t>
            </w:r>
            <w:r w:rsidRPr="00A2768A">
              <w:rPr>
                <w:rFonts w:ascii="Times New Roman" w:hAnsi="Times New Roman"/>
                <w:b/>
                <w:bCs/>
                <w:color w:val="000000"/>
                <w:sz w:val="16"/>
                <w:szCs w:val="16"/>
                <w:lang w:eastAsia="sk-SK"/>
              </w:rPr>
              <w:t xml:space="preserve"> N</w:t>
            </w:r>
          </w:p>
        </w:tc>
      </w:tr>
      <w:tr w:rsidR="00AA17E3" w:rsidRPr="009363BF" w:rsidTr="00AA17E3">
        <w:trPr>
          <w:trHeight w:val="300"/>
        </w:trPr>
        <w:tc>
          <w:tcPr>
            <w:tcW w:w="1695" w:type="pct"/>
            <w:tcBorders>
              <w:top w:val="single" w:sz="4" w:space="0" w:color="auto"/>
              <w:left w:val="nil"/>
              <w:bottom w:val="nil"/>
              <w:right w:val="nil"/>
            </w:tcBorders>
            <w:shd w:val="clear" w:color="auto" w:fill="auto"/>
            <w:noWrap/>
            <w:vAlign w:val="center"/>
            <w:hideMark/>
          </w:tcPr>
          <w:p w:rsidR="00AA17E3" w:rsidRPr="009363BF" w:rsidRDefault="00AA17E3" w:rsidP="00F7633B">
            <w:pPr>
              <w:spacing w:after="0"/>
              <w:rPr>
                <w:rFonts w:ascii="Times New Roman" w:hAnsi="Times New Roman"/>
                <w:b/>
                <w:bCs/>
                <w:color w:val="000000"/>
                <w:sz w:val="16"/>
                <w:szCs w:val="16"/>
                <w:lang w:eastAsia="sk-SK"/>
              </w:rPr>
            </w:pPr>
            <w:r w:rsidRPr="009363BF">
              <w:rPr>
                <w:rFonts w:ascii="Times New Roman" w:hAnsi="Times New Roman"/>
                <w:b/>
                <w:bCs/>
                <w:color w:val="000000"/>
                <w:sz w:val="16"/>
                <w:szCs w:val="16"/>
                <w:lang w:eastAsia="sk-SK"/>
              </w:rPr>
              <w:t>Zahraničné vzťahy a zahraničná pomoc</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197 804</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152 259</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154 710</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157 992</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154 381</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155 543</w:t>
            </w:r>
          </w:p>
        </w:tc>
        <w:tc>
          <w:tcPr>
            <w:tcW w:w="472" w:type="pct"/>
            <w:tcBorders>
              <w:top w:val="single" w:sz="4" w:space="0" w:color="auto"/>
              <w:left w:val="nil"/>
              <w:bottom w:val="nil"/>
              <w:right w:val="nil"/>
            </w:tcBorders>
            <w:shd w:val="clear" w:color="auto" w:fill="auto"/>
            <w:noWrap/>
            <w:vAlign w:val="bottom"/>
            <w:hideMark/>
          </w:tcPr>
          <w:p w:rsidR="00AA17E3" w:rsidRPr="00431E5E" w:rsidRDefault="00AA17E3" w:rsidP="00F7633B">
            <w:pPr>
              <w:spacing w:after="0"/>
              <w:jc w:val="right"/>
              <w:rPr>
                <w:rFonts w:ascii="Times New Roman" w:hAnsi="Times New Roman" w:cs="Times New Roman"/>
                <w:b/>
                <w:bCs/>
                <w:color w:val="000000"/>
                <w:sz w:val="16"/>
                <w:szCs w:val="16"/>
              </w:rPr>
            </w:pPr>
            <w:r w:rsidRPr="00431E5E">
              <w:rPr>
                <w:rFonts w:ascii="Times New Roman" w:hAnsi="Times New Roman" w:cs="Times New Roman"/>
                <w:b/>
                <w:bCs/>
                <w:color w:val="000000"/>
                <w:sz w:val="16"/>
                <w:szCs w:val="16"/>
              </w:rPr>
              <w:t>155 427</w:t>
            </w:r>
          </w:p>
        </w:tc>
      </w:tr>
      <w:tr w:rsidR="00AA17E3" w:rsidRPr="009363BF" w:rsidTr="00AA17E3">
        <w:trPr>
          <w:trHeight w:val="300"/>
        </w:trPr>
        <w:tc>
          <w:tcPr>
            <w:tcW w:w="1695" w:type="pct"/>
            <w:tcBorders>
              <w:top w:val="nil"/>
              <w:left w:val="nil"/>
              <w:bottom w:val="nil"/>
              <w:right w:val="nil"/>
            </w:tcBorders>
            <w:shd w:val="clear" w:color="auto" w:fill="auto"/>
            <w:noWrap/>
            <w:vAlign w:val="center"/>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Zahraničná politika</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164 884</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121 161</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120 624</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127 117</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121 705</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122 955</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122 534</w:t>
            </w:r>
          </w:p>
        </w:tc>
      </w:tr>
      <w:tr w:rsidR="00AA17E3" w:rsidRPr="009363BF" w:rsidTr="00AA17E3">
        <w:trPr>
          <w:trHeight w:val="300"/>
        </w:trPr>
        <w:tc>
          <w:tcPr>
            <w:tcW w:w="1695" w:type="pct"/>
            <w:tcBorders>
              <w:top w:val="nil"/>
              <w:left w:val="nil"/>
              <w:bottom w:val="nil"/>
              <w:right w:val="nil"/>
            </w:tcBorders>
            <w:shd w:val="clear" w:color="auto" w:fill="auto"/>
            <w:noWrap/>
            <w:vAlign w:val="center"/>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Pomoc krajanom v zahraničí</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2 142</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2 777</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3 529</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3 529</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3 529</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3 529</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3 529</w:t>
            </w:r>
          </w:p>
        </w:tc>
      </w:tr>
      <w:tr w:rsidR="00AA17E3" w:rsidRPr="009363BF" w:rsidTr="00AA17E3">
        <w:trPr>
          <w:trHeight w:val="300"/>
        </w:trPr>
        <w:tc>
          <w:tcPr>
            <w:tcW w:w="1695" w:type="pct"/>
            <w:tcBorders>
              <w:top w:val="nil"/>
              <w:left w:val="nil"/>
              <w:bottom w:val="nil"/>
              <w:right w:val="nil"/>
            </w:tcBorders>
            <w:shd w:val="clear" w:color="auto" w:fill="auto"/>
            <w:noWrap/>
            <w:vAlign w:val="center"/>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Oficiálna rozvojová pomoc</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7 826</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6 728</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8 913</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6 977</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7 038</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7 038</w:t>
            </w:r>
          </w:p>
        </w:tc>
        <w:tc>
          <w:tcPr>
            <w:tcW w:w="472" w:type="pct"/>
            <w:tcBorders>
              <w:top w:val="nil"/>
              <w:left w:val="nil"/>
              <w:bottom w:val="nil"/>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7 038</w:t>
            </w:r>
          </w:p>
        </w:tc>
      </w:tr>
      <w:tr w:rsidR="00AA17E3" w:rsidRPr="009363BF" w:rsidTr="00AA17E3">
        <w:trPr>
          <w:trHeight w:val="300"/>
        </w:trPr>
        <w:tc>
          <w:tcPr>
            <w:tcW w:w="1695" w:type="pct"/>
            <w:tcBorders>
              <w:top w:val="nil"/>
              <w:left w:val="nil"/>
              <w:bottom w:val="single" w:sz="4" w:space="0" w:color="auto"/>
              <w:right w:val="nil"/>
            </w:tcBorders>
            <w:shd w:val="clear" w:color="auto" w:fill="auto"/>
            <w:noWrap/>
            <w:vAlign w:val="center"/>
            <w:hideMark/>
          </w:tcPr>
          <w:p w:rsidR="00AA17E3" w:rsidRPr="009363BF" w:rsidRDefault="00AA17E3" w:rsidP="00F7633B">
            <w:pPr>
              <w:spacing w:after="0"/>
              <w:rPr>
                <w:rFonts w:ascii="Times New Roman" w:hAnsi="Times New Roman"/>
                <w:color w:val="000000"/>
                <w:sz w:val="16"/>
                <w:szCs w:val="16"/>
                <w:lang w:eastAsia="sk-SK"/>
              </w:rPr>
            </w:pPr>
            <w:r w:rsidRPr="009363BF">
              <w:rPr>
                <w:rFonts w:ascii="Times New Roman" w:hAnsi="Times New Roman"/>
                <w:color w:val="000000"/>
                <w:sz w:val="16"/>
                <w:szCs w:val="16"/>
                <w:lang w:eastAsia="sk-SK"/>
              </w:rPr>
              <w:t>Príspevky SR do medzinárodných organizácií</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22 952</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21 593</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21 644</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20 369</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22 109</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22 021</w:t>
            </w:r>
          </w:p>
        </w:tc>
        <w:tc>
          <w:tcPr>
            <w:tcW w:w="472" w:type="pct"/>
            <w:tcBorders>
              <w:top w:val="nil"/>
              <w:left w:val="nil"/>
              <w:bottom w:val="single" w:sz="4" w:space="0" w:color="auto"/>
              <w:right w:val="nil"/>
            </w:tcBorders>
            <w:shd w:val="clear" w:color="auto" w:fill="auto"/>
            <w:vAlign w:val="bottom"/>
            <w:hideMark/>
          </w:tcPr>
          <w:p w:rsidR="00AA17E3" w:rsidRPr="00431E5E" w:rsidRDefault="00AA17E3" w:rsidP="00F7633B">
            <w:pPr>
              <w:spacing w:after="0"/>
              <w:jc w:val="right"/>
              <w:rPr>
                <w:rFonts w:ascii="Times New Roman" w:hAnsi="Times New Roman" w:cs="Times New Roman"/>
                <w:color w:val="000000"/>
                <w:sz w:val="16"/>
                <w:szCs w:val="16"/>
              </w:rPr>
            </w:pPr>
            <w:r w:rsidRPr="00431E5E">
              <w:rPr>
                <w:rFonts w:ascii="Times New Roman" w:hAnsi="Times New Roman" w:cs="Times New Roman"/>
                <w:color w:val="000000"/>
                <w:sz w:val="16"/>
                <w:szCs w:val="16"/>
              </w:rPr>
              <w:t>22 326</w:t>
            </w:r>
          </w:p>
        </w:tc>
      </w:tr>
    </w:tbl>
    <w:p w:rsidR="00AA17E3" w:rsidRPr="009363BF" w:rsidRDefault="00AA17E3" w:rsidP="00AA17E3">
      <w:pPr>
        <w:keepNext/>
        <w:spacing w:after="200" w:line="240" w:lineRule="auto"/>
        <w:rPr>
          <w:rFonts w:ascii="Times New Roman" w:hAnsi="Times New Roman"/>
          <w:b/>
          <w:iCs/>
          <w:color w:val="5B9BD5" w:themeColor="accent1"/>
          <w:sz w:val="20"/>
          <w:szCs w:val="20"/>
        </w:rPr>
      </w:pPr>
      <w:bookmarkStart w:id="647" w:name="_Toc53054208"/>
      <w:bookmarkStart w:id="648" w:name="_Toc53054869"/>
      <w:bookmarkStart w:id="649" w:name="_Toc53078061"/>
      <w:bookmarkStart w:id="650" w:name="_Toc53086463"/>
      <w:bookmarkStart w:id="651" w:name="_Toc84528495"/>
      <w:bookmarkStart w:id="652" w:name="_Toc84845371"/>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147</w:t>
      </w:r>
      <w:r w:rsidRPr="009363BF">
        <w:rPr>
          <w:rFonts w:ascii="Times New Roman" w:hAnsi="Times New Roman"/>
          <w:b/>
          <w:iCs/>
          <w:color w:val="5B9BD5" w:themeColor="accent1"/>
          <w:sz w:val="20"/>
          <w:szCs w:val="20"/>
        </w:rPr>
        <w:fldChar w:fldCharType="end"/>
      </w:r>
      <w:r w:rsidRPr="009363BF">
        <w:rPr>
          <w:rFonts w:ascii="Times New Roman" w:hAnsi="Times New Roman"/>
          <w:b/>
          <w:iCs/>
          <w:color w:val="5B9BD5" w:themeColor="accent1"/>
          <w:sz w:val="20"/>
          <w:szCs w:val="20"/>
        </w:rPr>
        <w:t xml:space="preserve"> </w:t>
      </w:r>
      <w:r w:rsidR="00780017">
        <w:rPr>
          <w:rFonts w:ascii="Times New Roman" w:hAnsi="Times New Roman"/>
          <w:b/>
          <w:iCs/>
          <w:color w:val="5B9BD5" w:themeColor="accent1"/>
          <w:sz w:val="20"/>
          <w:szCs w:val="20"/>
        </w:rPr>
        <w:t>–</w:t>
      </w:r>
      <w:r w:rsidRPr="009363BF">
        <w:rPr>
          <w:rFonts w:ascii="Times New Roman" w:hAnsi="Times New Roman"/>
          <w:b/>
          <w:iCs/>
          <w:color w:val="5B9BD5" w:themeColor="accent1"/>
          <w:sz w:val="20"/>
          <w:szCs w:val="20"/>
        </w:rPr>
        <w:t xml:space="preserve"> </w:t>
      </w:r>
      <w:r w:rsidR="00780017">
        <w:rPr>
          <w:rFonts w:ascii="Times New Roman" w:hAnsi="Times New Roman"/>
          <w:b/>
          <w:iCs/>
          <w:color w:val="5B9BD5" w:themeColor="accent1"/>
          <w:sz w:val="20"/>
          <w:szCs w:val="20"/>
        </w:rPr>
        <w:t>Výdavky na z</w:t>
      </w:r>
      <w:r w:rsidRPr="009363BF">
        <w:rPr>
          <w:rFonts w:ascii="Times New Roman" w:hAnsi="Times New Roman"/>
          <w:b/>
          <w:iCs/>
          <w:color w:val="5B9BD5" w:themeColor="accent1"/>
          <w:sz w:val="20"/>
          <w:szCs w:val="20"/>
        </w:rPr>
        <w:t>ahraničné vzťahy a zahraničná pomoc</w:t>
      </w:r>
      <w:bookmarkEnd w:id="647"/>
      <w:bookmarkEnd w:id="648"/>
      <w:bookmarkEnd w:id="649"/>
      <w:bookmarkEnd w:id="650"/>
      <w:bookmarkEnd w:id="651"/>
      <w:bookmarkEnd w:id="652"/>
    </w:p>
    <w:p w:rsidR="00AA17E3" w:rsidRPr="009363BF" w:rsidRDefault="00AA17E3" w:rsidP="00F7633B">
      <w:pPr>
        <w:spacing w:after="0"/>
        <w:ind w:left="7788"/>
        <w:jc w:val="both"/>
        <w:rPr>
          <w:rFonts w:ascii="Times New Roman" w:hAnsi="Times New Roman"/>
          <w:i/>
          <w:kern w:val="32"/>
          <w:sz w:val="16"/>
          <w:szCs w:val="16"/>
        </w:rPr>
      </w:pPr>
      <w:r w:rsidRPr="009363BF">
        <w:rPr>
          <w:rFonts w:ascii="Times New Roman" w:hAnsi="Times New Roman"/>
          <w:i/>
          <w:kern w:val="32"/>
          <w:sz w:val="16"/>
          <w:szCs w:val="16"/>
        </w:rPr>
        <w:t xml:space="preserve">       Zdroj: MF SR</w:t>
      </w:r>
    </w:p>
    <w:p w:rsidR="00F7633B"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450CA2">
        <w:rPr>
          <w:rFonts w:ascii="Times New Roman" w:hAnsi="Times New Roman"/>
          <w:color w:val="000000"/>
          <w:sz w:val="24"/>
          <w:szCs w:val="24"/>
        </w:rPr>
        <w:t>V rámci výdavkov na zahraničnú politiku sa rozpočtujú prostriedky predovšetkým na zastupiteľské úrady SR v</w:t>
      </w:r>
      <w:r>
        <w:rPr>
          <w:rFonts w:ascii="Times New Roman" w:hAnsi="Times New Roman"/>
          <w:color w:val="000000"/>
          <w:sz w:val="24"/>
          <w:szCs w:val="24"/>
        </w:rPr>
        <w:t> </w:t>
      </w:r>
      <w:r w:rsidRPr="00450CA2">
        <w:rPr>
          <w:rFonts w:ascii="Times New Roman" w:hAnsi="Times New Roman"/>
          <w:color w:val="000000"/>
          <w:sz w:val="24"/>
          <w:szCs w:val="24"/>
        </w:rPr>
        <w:t>zahraničí</w:t>
      </w:r>
      <w:r>
        <w:rPr>
          <w:rFonts w:ascii="Times New Roman" w:hAnsi="Times New Roman"/>
          <w:color w:val="000000"/>
          <w:sz w:val="24"/>
          <w:szCs w:val="24"/>
        </w:rPr>
        <w:t>, ktoré realizujú zahranično-politické záujmy štátu, ochranu práv a záujmov Slovenskej republiky a jej občanov v zahraničí. Na diplomatickú reprezentáciu SR v zahraničí sú plánované výdavky v objeme 76,2 mil. eur.</w:t>
      </w:r>
      <w:r w:rsidRPr="00450CA2">
        <w:rPr>
          <w:rFonts w:ascii="Times New Roman" w:hAnsi="Times New Roman"/>
          <w:color w:val="000000"/>
          <w:sz w:val="24"/>
          <w:szCs w:val="24"/>
        </w:rPr>
        <w:t xml:space="preserve"> Slovenské inštitúty v zahraničí zabezpečujú najmä činnosti súvisiace s propagáciou SR v zahraničí pri usporiadaní výstav, kultúrnych podujatí a programov. Pre Slovenské inštitúty v zahrani</w:t>
      </w:r>
      <w:r w:rsidRPr="00450CA2">
        <w:rPr>
          <w:rFonts w:ascii="Times New Roman" w:hAnsi="Times New Roman" w:hint="eastAsia"/>
          <w:color w:val="000000"/>
          <w:sz w:val="24"/>
          <w:szCs w:val="24"/>
        </w:rPr>
        <w:t>čí</w:t>
      </w:r>
      <w:r w:rsidRPr="00450CA2">
        <w:rPr>
          <w:rFonts w:ascii="Times New Roman" w:hAnsi="Times New Roman"/>
          <w:color w:val="000000"/>
          <w:sz w:val="24"/>
          <w:szCs w:val="24"/>
        </w:rPr>
        <w:t xml:space="preserve"> sa zabezpe</w:t>
      </w:r>
      <w:r w:rsidRPr="00450CA2">
        <w:rPr>
          <w:rFonts w:ascii="Times New Roman" w:hAnsi="Times New Roman" w:hint="eastAsia"/>
          <w:color w:val="000000"/>
          <w:sz w:val="24"/>
          <w:szCs w:val="24"/>
        </w:rPr>
        <w:t>č</w:t>
      </w:r>
      <w:r w:rsidRPr="00450CA2">
        <w:rPr>
          <w:rFonts w:ascii="Times New Roman" w:hAnsi="Times New Roman"/>
          <w:color w:val="000000"/>
          <w:sz w:val="24"/>
          <w:szCs w:val="24"/>
        </w:rPr>
        <w:t>ujú výdavky v sume 1,51 mil. eur. V rámci oblasti sú plánované výdavky na obnovu informa</w:t>
      </w:r>
      <w:r w:rsidRPr="00450CA2">
        <w:rPr>
          <w:rFonts w:ascii="Times New Roman" w:hAnsi="Times New Roman" w:hint="eastAsia"/>
          <w:color w:val="000000"/>
          <w:sz w:val="24"/>
          <w:szCs w:val="24"/>
        </w:rPr>
        <w:t>č</w:t>
      </w:r>
      <w:r w:rsidRPr="00450CA2">
        <w:rPr>
          <w:rFonts w:ascii="Times New Roman" w:hAnsi="Times New Roman"/>
          <w:color w:val="000000"/>
          <w:sz w:val="24"/>
          <w:szCs w:val="24"/>
        </w:rPr>
        <w:t>no-komunika</w:t>
      </w:r>
      <w:r w:rsidRPr="00450CA2">
        <w:rPr>
          <w:rFonts w:ascii="Times New Roman" w:hAnsi="Times New Roman" w:hint="eastAsia"/>
          <w:color w:val="000000"/>
          <w:sz w:val="24"/>
          <w:szCs w:val="24"/>
        </w:rPr>
        <w:t>č</w:t>
      </w:r>
      <w:r w:rsidRPr="00450CA2">
        <w:rPr>
          <w:rFonts w:ascii="Times New Roman" w:hAnsi="Times New Roman"/>
          <w:color w:val="000000"/>
          <w:sz w:val="24"/>
          <w:szCs w:val="24"/>
        </w:rPr>
        <w:t>nej infraštruktúry v objeme 7,17 mil. eur. Výdavky na vzdelávanie zamestnancov sú rozpo</w:t>
      </w:r>
      <w:r w:rsidRPr="00450CA2">
        <w:rPr>
          <w:rFonts w:ascii="Times New Roman" w:hAnsi="Times New Roman" w:hint="eastAsia"/>
          <w:color w:val="000000"/>
          <w:sz w:val="24"/>
          <w:szCs w:val="24"/>
        </w:rPr>
        <w:t>č</w:t>
      </w:r>
      <w:r w:rsidRPr="00450CA2">
        <w:rPr>
          <w:rFonts w:ascii="Times New Roman" w:hAnsi="Times New Roman"/>
          <w:color w:val="000000"/>
          <w:sz w:val="24"/>
          <w:szCs w:val="24"/>
        </w:rPr>
        <w:t>tované v sume 100 tis. eur, na ekonomickú diplomaciu v sume 200 tis. eur a na dotácie v pôsobnosti Ministerstva zahrani</w:t>
      </w:r>
      <w:r w:rsidRPr="00450CA2">
        <w:rPr>
          <w:rFonts w:ascii="Times New Roman" w:hAnsi="Times New Roman" w:hint="eastAsia"/>
          <w:color w:val="000000"/>
          <w:sz w:val="24"/>
          <w:szCs w:val="24"/>
        </w:rPr>
        <w:t>č</w:t>
      </w:r>
      <w:r w:rsidRPr="00450CA2">
        <w:rPr>
          <w:rFonts w:ascii="Times New Roman" w:hAnsi="Times New Roman"/>
          <w:color w:val="000000"/>
          <w:sz w:val="24"/>
          <w:szCs w:val="24"/>
        </w:rPr>
        <w:t>ných vecí a európskych záležitostí SR v sume 175 tis. eur. Výdavky pre príspevkovú organizáciu Správa ú</w:t>
      </w:r>
      <w:r w:rsidRPr="00450CA2">
        <w:rPr>
          <w:rFonts w:ascii="Times New Roman" w:hAnsi="Times New Roman" w:hint="eastAsia"/>
          <w:color w:val="000000"/>
          <w:sz w:val="24"/>
          <w:szCs w:val="24"/>
        </w:rPr>
        <w:t>č</w:t>
      </w:r>
      <w:r w:rsidRPr="00450CA2">
        <w:rPr>
          <w:rFonts w:ascii="Times New Roman" w:hAnsi="Times New Roman"/>
          <w:color w:val="000000"/>
          <w:sz w:val="24"/>
          <w:szCs w:val="24"/>
        </w:rPr>
        <w:t>elových zariadení sú v roku 202</w:t>
      </w:r>
      <w:r>
        <w:rPr>
          <w:rFonts w:ascii="Times New Roman" w:hAnsi="Times New Roman"/>
          <w:color w:val="000000"/>
          <w:sz w:val="24"/>
          <w:szCs w:val="24"/>
        </w:rPr>
        <w:t>2</w:t>
      </w:r>
      <w:r w:rsidRPr="00450CA2">
        <w:rPr>
          <w:rFonts w:ascii="Times New Roman" w:hAnsi="Times New Roman"/>
          <w:color w:val="000000"/>
          <w:sz w:val="24"/>
          <w:szCs w:val="24"/>
        </w:rPr>
        <w:t xml:space="preserve"> plánované vo výške 1,95 mil. eur.</w:t>
      </w:r>
    </w:p>
    <w:p w:rsidR="00F7633B" w:rsidRPr="00450CA2"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450CA2">
        <w:rPr>
          <w:rFonts w:ascii="Times New Roman" w:hAnsi="Times New Roman"/>
          <w:color w:val="000000"/>
          <w:sz w:val="24"/>
          <w:szCs w:val="24"/>
        </w:rPr>
        <w:t>V rámci výdavkov na pomoc krajanom v zahraničí sa rozpočtujú výdavky pre podriadenú rozpočtovú organizáciu Úrad pre Slovákov žijúcich v zahraničí, ktorá zabezpečuje realizáciu opatrení zameraných na podporu Slovákov žijúcich v zahraničí,</w:t>
      </w:r>
      <w:r w:rsidRPr="00450CA2">
        <w:rPr>
          <w:rFonts w:ascii="Times New Roman" w:hAnsi="Times New Roman"/>
          <w:sz w:val="24"/>
          <w:szCs w:val="24"/>
        </w:rPr>
        <w:t xml:space="preserve"> </w:t>
      </w:r>
      <w:r w:rsidRPr="00450CA2">
        <w:rPr>
          <w:rFonts w:ascii="Times New Roman" w:hAnsi="Times New Roman"/>
          <w:color w:val="000000"/>
          <w:sz w:val="24"/>
          <w:szCs w:val="24"/>
        </w:rPr>
        <w:t xml:space="preserve">rozhoduje v konaní o vydaní osvedčenia Slováka žijúceho v zahraničí, vedie evidenciu týchto osvedčení, rozhoduje o poskytnutí dotácie na účely financovania aktivít zameraných na podporu Slovákov žijúcich v zahraničí v oblastiach vzdelávania, vedy, výskumu, kultúry ako aj na oblasť informačnú a mediálnu. Výdavky na dotácie pre zahraničných Slovákov sú v roku 2022 rozpočtované v sume 2,80 mil. eur. </w:t>
      </w:r>
    </w:p>
    <w:p w:rsidR="00F7633B" w:rsidRPr="00450CA2" w:rsidRDefault="00F7633B" w:rsidP="00F7633B">
      <w:pPr>
        <w:spacing w:after="0"/>
        <w:jc w:val="both"/>
        <w:rPr>
          <w:rFonts w:ascii="Times New Roman" w:hAnsi="Times New Roman"/>
          <w:color w:val="000000"/>
          <w:sz w:val="24"/>
          <w:szCs w:val="24"/>
        </w:rPr>
      </w:pPr>
    </w:p>
    <w:p w:rsidR="00AA17E3" w:rsidRPr="00450CA2" w:rsidRDefault="00AA17E3" w:rsidP="00F7633B">
      <w:pPr>
        <w:spacing w:after="0"/>
        <w:jc w:val="both"/>
        <w:rPr>
          <w:rFonts w:ascii="Times New Roman" w:hAnsi="Times New Roman"/>
          <w:color w:val="000000"/>
          <w:sz w:val="24"/>
          <w:szCs w:val="24"/>
        </w:rPr>
      </w:pPr>
      <w:r w:rsidRPr="00450CA2">
        <w:rPr>
          <w:rFonts w:ascii="Times New Roman" w:hAnsi="Times New Roman"/>
          <w:color w:val="000000"/>
          <w:sz w:val="24"/>
          <w:szCs w:val="24"/>
        </w:rPr>
        <w:t xml:space="preserve">Z prostriedkov rozpočtovaných v rámci oblasti na oficiálnu rozvojovú pomoc sa zabezpečuje pomoc rozvojovým krajinám a krajinám v procese transformácie s tým, že prostriedky sú určené na projekty rozvojového vzdelávania, na budovanie kapacít a na verejnú informovanosť. </w:t>
      </w:r>
    </w:p>
    <w:p w:rsidR="00F7633B"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sidRPr="00450CA2">
        <w:rPr>
          <w:rFonts w:ascii="Times New Roman" w:hAnsi="Times New Roman"/>
          <w:color w:val="000000"/>
          <w:sz w:val="24"/>
          <w:szCs w:val="24"/>
        </w:rPr>
        <w:t>V rámci oblasti sa zohľadnili v kategórii bežných transferov aj výdavky na poplatky a príspevky za členstvo SR v medzinárodných organizáciách, a to pre OSN, OECD, NATO, Medzinárodný vyšehradský fond, Radu Európy a ďalšie. Okrem poplatkov a príspevkov za členstvo SR v medzinárodných organizáciách sa uhrádzajú poplatky a príspevky aj za členstvo jednotlivých kapitol štátneho rozpočtu v medzinárodných organizáciách, ktoré sú plánované priamo vo výdavkoch dotknutých kapitol.</w:t>
      </w:r>
      <w:r w:rsidRPr="009363BF">
        <w:rPr>
          <w:rFonts w:ascii="Times New Roman" w:hAnsi="Times New Roman"/>
          <w:color w:val="000000"/>
          <w:sz w:val="24"/>
          <w:szCs w:val="24"/>
        </w:rPr>
        <w:t xml:space="preserve"> </w:t>
      </w:r>
    </w:p>
    <w:p w:rsidR="00F7633B"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color w:val="000000"/>
          <w:sz w:val="24"/>
          <w:szCs w:val="24"/>
        </w:rPr>
      </w:pPr>
      <w:r>
        <w:rPr>
          <w:rFonts w:ascii="Times New Roman" w:hAnsi="Times New Roman"/>
          <w:color w:val="000000"/>
          <w:sz w:val="24"/>
          <w:szCs w:val="24"/>
        </w:rPr>
        <w:t>V oblasti sú začlenené aj výdavky Plánu obnovy a odolnosti v sume 535 tis. eur, ktoré sú určené na posilnenie vzťahov s diaspórou a podporu</w:t>
      </w:r>
      <w:r w:rsidRPr="00C85A8C">
        <w:rPr>
          <w:rFonts w:ascii="Times New Roman" w:hAnsi="Times New Roman"/>
          <w:color w:val="000000"/>
          <w:sz w:val="24"/>
          <w:szCs w:val="24"/>
        </w:rPr>
        <w:t xml:space="preserve"> občianskych iniciatív</w:t>
      </w:r>
      <w:r>
        <w:rPr>
          <w:rFonts w:ascii="Times New Roman" w:hAnsi="Times New Roman"/>
          <w:color w:val="000000"/>
          <w:sz w:val="24"/>
          <w:szCs w:val="24"/>
        </w:rPr>
        <w:t>.</w:t>
      </w:r>
    </w:p>
    <w:p w:rsidR="00F7633B" w:rsidRDefault="00F7633B" w:rsidP="00F7633B">
      <w:pPr>
        <w:spacing w:after="0"/>
        <w:jc w:val="both"/>
        <w:rPr>
          <w:rFonts w:ascii="Times New Roman" w:hAnsi="Times New Roman"/>
          <w:color w:val="000000"/>
          <w:sz w:val="24"/>
          <w:szCs w:val="24"/>
        </w:rPr>
      </w:pPr>
    </w:p>
    <w:p w:rsidR="00AA17E3" w:rsidRDefault="00AA17E3" w:rsidP="00F7633B">
      <w:pPr>
        <w:spacing w:after="0"/>
        <w:jc w:val="both"/>
        <w:rPr>
          <w:rFonts w:ascii="Times New Roman" w:hAnsi="Times New Roman"/>
          <w:b/>
          <w:color w:val="5B9BD5" w:themeColor="accent1"/>
          <w:sz w:val="24"/>
          <w:szCs w:val="24"/>
        </w:rPr>
      </w:pPr>
      <w:r w:rsidRPr="00086991">
        <w:rPr>
          <w:rFonts w:ascii="Times New Roman" w:hAnsi="Times New Roman"/>
          <w:b/>
          <w:color w:val="5B9BD5" w:themeColor="accent1"/>
          <w:sz w:val="24"/>
          <w:szCs w:val="24"/>
        </w:rPr>
        <w:t>Miestna štátna správa</w:t>
      </w:r>
    </w:p>
    <w:p w:rsidR="00F7633B" w:rsidRDefault="00F7633B" w:rsidP="00F7633B">
      <w:pPr>
        <w:spacing w:after="0"/>
        <w:jc w:val="both"/>
        <w:rPr>
          <w:rFonts w:ascii="Times New Roman" w:hAnsi="Times New Roman"/>
          <w:sz w:val="24"/>
          <w:szCs w:val="24"/>
        </w:rPr>
      </w:pPr>
    </w:p>
    <w:p w:rsidR="00AA17E3" w:rsidRDefault="00AA17E3" w:rsidP="00F7633B">
      <w:pPr>
        <w:spacing w:after="0"/>
        <w:jc w:val="both"/>
        <w:rPr>
          <w:rFonts w:ascii="Times New Roman" w:hAnsi="Times New Roman"/>
          <w:sz w:val="24"/>
          <w:szCs w:val="24"/>
        </w:rPr>
      </w:pPr>
      <w:r w:rsidRPr="0058203D">
        <w:rPr>
          <w:rFonts w:ascii="Times New Roman" w:hAnsi="Times New Roman"/>
          <w:sz w:val="24"/>
          <w:szCs w:val="24"/>
        </w:rPr>
        <w:t>Činnosť štátu prebieha na úrovni ústrednej štátnej správy a miestnej štátnej správy. Ústrednú štátnu správu tvorí vláda, ministerstvá a ústredné orgány. Miestna štátna správa  je upriamená na bezprostrednú realizáciu funkcie štátu v jednotlivých územnosprávnych jednotkách a tvoria ju okresné úrady.</w:t>
      </w:r>
    </w:p>
    <w:p w:rsidR="00F7633B" w:rsidRDefault="00F7633B" w:rsidP="00AA17E3">
      <w:pPr>
        <w:keepNext/>
        <w:spacing w:after="0" w:line="240" w:lineRule="auto"/>
        <w:rPr>
          <w:rFonts w:ascii="Times New Roman" w:hAnsi="Times New Roman"/>
          <w:b/>
          <w:iCs/>
          <w:color w:val="5B9BD5" w:themeColor="accent1"/>
          <w:sz w:val="20"/>
          <w:szCs w:val="20"/>
        </w:rPr>
      </w:pPr>
      <w:bookmarkStart w:id="653" w:name="_Toc53054209"/>
      <w:bookmarkStart w:id="654" w:name="_Toc53054870"/>
      <w:bookmarkStart w:id="655" w:name="_Toc53078062"/>
      <w:bookmarkStart w:id="656" w:name="_Toc53086464"/>
      <w:bookmarkStart w:id="657" w:name="_Toc84528496"/>
    </w:p>
    <w:p w:rsidR="00AA17E3" w:rsidRDefault="00AA17E3" w:rsidP="00AA17E3">
      <w:pPr>
        <w:keepNext/>
        <w:spacing w:after="0" w:line="240" w:lineRule="auto"/>
        <w:rPr>
          <w:rFonts w:ascii="Times New Roman" w:hAnsi="Times New Roman"/>
          <w:b/>
          <w:iCs/>
          <w:color w:val="5B9BD5" w:themeColor="accent1"/>
          <w:sz w:val="20"/>
          <w:szCs w:val="20"/>
        </w:rPr>
      </w:pPr>
      <w:bookmarkStart w:id="658" w:name="_Toc84845372"/>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148</w:t>
      </w:r>
      <w:r w:rsidRPr="009363BF">
        <w:rPr>
          <w:rFonts w:ascii="Times New Roman" w:hAnsi="Times New Roman"/>
          <w:b/>
          <w:iCs/>
          <w:color w:val="5B9BD5" w:themeColor="accent1"/>
          <w:sz w:val="20"/>
          <w:szCs w:val="20"/>
        </w:rPr>
        <w:fldChar w:fldCharType="end"/>
      </w:r>
      <w:r w:rsidRPr="00086991">
        <w:rPr>
          <w:rFonts w:ascii="Times New Roman" w:hAnsi="Times New Roman"/>
          <w:b/>
          <w:iCs/>
          <w:color w:val="5B9BD5" w:themeColor="accent1"/>
          <w:sz w:val="20"/>
          <w:szCs w:val="20"/>
        </w:rPr>
        <w:t xml:space="preserve"> - Kľúčové ukazovatele miestnej štátnej správy a</w:t>
      </w:r>
      <w:r>
        <w:rPr>
          <w:rFonts w:ascii="Times New Roman" w:hAnsi="Times New Roman"/>
          <w:b/>
          <w:iCs/>
          <w:color w:val="5B9BD5" w:themeColor="accent1"/>
          <w:sz w:val="20"/>
          <w:szCs w:val="20"/>
        </w:rPr>
        <w:t> </w:t>
      </w:r>
      <w:r w:rsidRPr="00086991">
        <w:rPr>
          <w:rFonts w:ascii="Times New Roman" w:hAnsi="Times New Roman"/>
          <w:b/>
          <w:iCs/>
          <w:color w:val="5B9BD5" w:themeColor="accent1"/>
          <w:sz w:val="20"/>
          <w:szCs w:val="20"/>
        </w:rPr>
        <w:t>samosprávy</w:t>
      </w:r>
      <w:bookmarkEnd w:id="653"/>
      <w:bookmarkEnd w:id="654"/>
      <w:bookmarkEnd w:id="655"/>
      <w:bookmarkEnd w:id="656"/>
      <w:bookmarkEnd w:id="657"/>
      <w:bookmarkEnd w:id="658"/>
    </w:p>
    <w:tbl>
      <w:tblPr>
        <w:tblpPr w:leftFromText="141" w:rightFromText="141" w:vertAnchor="text" w:horzAnchor="margin" w:tblpY="33"/>
        <w:tblW w:w="5000" w:type="pct"/>
        <w:tblLayout w:type="fixed"/>
        <w:tblCellMar>
          <w:left w:w="70" w:type="dxa"/>
          <w:right w:w="70" w:type="dxa"/>
        </w:tblCellMar>
        <w:tblLook w:val="04A0" w:firstRow="1" w:lastRow="0" w:firstColumn="1" w:lastColumn="0" w:noHBand="0" w:noVBand="1"/>
      </w:tblPr>
      <w:tblGrid>
        <w:gridCol w:w="3503"/>
        <w:gridCol w:w="608"/>
        <w:gridCol w:w="568"/>
        <w:gridCol w:w="708"/>
        <w:gridCol w:w="709"/>
        <w:gridCol w:w="708"/>
        <w:gridCol w:w="851"/>
        <w:gridCol w:w="709"/>
        <w:gridCol w:w="708"/>
      </w:tblGrid>
      <w:tr w:rsidR="00AA17E3" w:rsidRPr="00086991" w:rsidTr="00AA17E3">
        <w:trPr>
          <w:trHeight w:val="284"/>
        </w:trPr>
        <w:tc>
          <w:tcPr>
            <w:tcW w:w="1931" w:type="pct"/>
            <w:tcBorders>
              <w:top w:val="single" w:sz="4" w:space="0" w:color="auto"/>
              <w:bottom w:val="single" w:sz="4" w:space="0" w:color="auto"/>
            </w:tcBorders>
            <w:shd w:val="clear" w:color="auto" w:fill="auto"/>
            <w:vAlign w:val="center"/>
            <w:hideMark/>
          </w:tcPr>
          <w:p w:rsidR="00AA17E3" w:rsidRPr="00086991" w:rsidRDefault="00AA17E3" w:rsidP="00AA17E3">
            <w:pPr>
              <w:spacing w:after="120"/>
              <w:contextualSpacing/>
              <w:jc w:val="both"/>
              <w:rPr>
                <w:rFonts w:ascii="Times New Roman" w:hAnsi="Times New Roman"/>
                <w:b/>
                <w:bCs/>
                <w:sz w:val="16"/>
                <w:szCs w:val="16"/>
              </w:rPr>
            </w:pPr>
            <w:r w:rsidRPr="00086991">
              <w:rPr>
                <w:rFonts w:ascii="Times New Roman" w:hAnsi="Times New Roman"/>
                <w:b/>
                <w:bCs/>
                <w:sz w:val="16"/>
                <w:szCs w:val="16"/>
              </w:rPr>
              <w:t>Indikátor</w:t>
            </w:r>
          </w:p>
        </w:tc>
        <w:tc>
          <w:tcPr>
            <w:tcW w:w="335" w:type="pct"/>
            <w:tcBorders>
              <w:top w:val="single" w:sz="4" w:space="0" w:color="auto"/>
              <w:bottom w:val="single" w:sz="4" w:space="0" w:color="auto"/>
            </w:tcBorders>
            <w:vAlign w:val="center"/>
          </w:tcPr>
          <w:p w:rsidR="00AA17E3" w:rsidRPr="00086991" w:rsidRDefault="00AA17E3" w:rsidP="00AA17E3">
            <w:pPr>
              <w:spacing w:after="120"/>
              <w:contextualSpacing/>
              <w:jc w:val="center"/>
              <w:rPr>
                <w:rFonts w:ascii="Times New Roman" w:hAnsi="Times New Roman"/>
                <w:b/>
                <w:bCs/>
                <w:sz w:val="16"/>
                <w:szCs w:val="16"/>
              </w:rPr>
            </w:pPr>
            <w:r w:rsidRPr="00086991">
              <w:rPr>
                <w:rFonts w:ascii="Times New Roman" w:hAnsi="Times New Roman"/>
                <w:b/>
                <w:bCs/>
                <w:sz w:val="16"/>
                <w:szCs w:val="16"/>
              </w:rPr>
              <w:t>oblasť</w:t>
            </w:r>
          </w:p>
        </w:tc>
        <w:tc>
          <w:tcPr>
            <w:tcW w:w="313" w:type="pct"/>
            <w:tcBorders>
              <w:top w:val="single" w:sz="4" w:space="0" w:color="auto"/>
              <w:bottom w:val="single" w:sz="4" w:space="0" w:color="auto"/>
            </w:tcBorders>
            <w:vAlign w:val="center"/>
          </w:tcPr>
          <w:p w:rsidR="00AA17E3" w:rsidRPr="00086991" w:rsidRDefault="00AA17E3" w:rsidP="00AA17E3">
            <w:pPr>
              <w:spacing w:after="120"/>
              <w:contextualSpacing/>
              <w:jc w:val="center"/>
              <w:rPr>
                <w:rFonts w:ascii="Times New Roman" w:hAnsi="Times New Roman"/>
                <w:b/>
                <w:sz w:val="16"/>
                <w:szCs w:val="16"/>
              </w:rPr>
            </w:pPr>
            <w:r w:rsidRPr="00086991">
              <w:rPr>
                <w:rFonts w:ascii="Times New Roman" w:hAnsi="Times New Roman"/>
                <w:b/>
                <w:sz w:val="16"/>
                <w:szCs w:val="16"/>
              </w:rPr>
              <w:t>2016</w:t>
            </w:r>
          </w:p>
        </w:tc>
        <w:tc>
          <w:tcPr>
            <w:tcW w:w="390" w:type="pct"/>
            <w:tcBorders>
              <w:top w:val="single" w:sz="4" w:space="0" w:color="auto"/>
              <w:bottom w:val="single" w:sz="4" w:space="0" w:color="auto"/>
            </w:tcBorders>
            <w:shd w:val="clear" w:color="auto" w:fill="auto"/>
            <w:noWrap/>
            <w:vAlign w:val="center"/>
          </w:tcPr>
          <w:p w:rsidR="00AA17E3" w:rsidRPr="00086991" w:rsidRDefault="00AA17E3" w:rsidP="00AA17E3">
            <w:pPr>
              <w:spacing w:after="120"/>
              <w:contextualSpacing/>
              <w:jc w:val="center"/>
              <w:rPr>
                <w:rFonts w:ascii="Times New Roman" w:hAnsi="Times New Roman"/>
                <w:b/>
                <w:sz w:val="16"/>
                <w:szCs w:val="16"/>
              </w:rPr>
            </w:pPr>
            <w:r w:rsidRPr="00086991">
              <w:rPr>
                <w:rFonts w:ascii="Times New Roman" w:hAnsi="Times New Roman"/>
                <w:b/>
                <w:sz w:val="16"/>
                <w:szCs w:val="16"/>
              </w:rPr>
              <w:t>2017</w:t>
            </w:r>
          </w:p>
        </w:tc>
        <w:tc>
          <w:tcPr>
            <w:tcW w:w="391" w:type="pct"/>
            <w:tcBorders>
              <w:top w:val="single" w:sz="4" w:space="0" w:color="auto"/>
              <w:bottom w:val="single" w:sz="4" w:space="0" w:color="auto"/>
            </w:tcBorders>
            <w:shd w:val="clear" w:color="auto" w:fill="auto"/>
            <w:noWrap/>
            <w:vAlign w:val="center"/>
          </w:tcPr>
          <w:p w:rsidR="00AA17E3" w:rsidRPr="00086991" w:rsidRDefault="00AA17E3" w:rsidP="00AA17E3">
            <w:pPr>
              <w:spacing w:after="120"/>
              <w:contextualSpacing/>
              <w:jc w:val="center"/>
              <w:rPr>
                <w:rFonts w:ascii="Times New Roman" w:hAnsi="Times New Roman"/>
                <w:b/>
                <w:sz w:val="16"/>
                <w:szCs w:val="16"/>
              </w:rPr>
            </w:pPr>
            <w:r w:rsidRPr="00086991">
              <w:rPr>
                <w:rFonts w:ascii="Times New Roman" w:hAnsi="Times New Roman"/>
                <w:b/>
                <w:sz w:val="16"/>
                <w:szCs w:val="16"/>
              </w:rPr>
              <w:t>2018</w:t>
            </w:r>
          </w:p>
        </w:tc>
        <w:tc>
          <w:tcPr>
            <w:tcW w:w="390" w:type="pct"/>
            <w:tcBorders>
              <w:top w:val="single" w:sz="4" w:space="0" w:color="auto"/>
              <w:bottom w:val="single" w:sz="4" w:space="0" w:color="auto"/>
            </w:tcBorders>
            <w:shd w:val="clear" w:color="auto" w:fill="auto"/>
            <w:noWrap/>
            <w:vAlign w:val="center"/>
          </w:tcPr>
          <w:p w:rsidR="00AA17E3" w:rsidRPr="00086991" w:rsidRDefault="00AA17E3" w:rsidP="00AA17E3">
            <w:pPr>
              <w:spacing w:after="120"/>
              <w:contextualSpacing/>
              <w:jc w:val="center"/>
              <w:rPr>
                <w:rFonts w:ascii="Times New Roman" w:hAnsi="Times New Roman"/>
                <w:b/>
                <w:sz w:val="16"/>
                <w:szCs w:val="16"/>
              </w:rPr>
            </w:pPr>
            <w:r w:rsidRPr="00086991">
              <w:rPr>
                <w:rFonts w:ascii="Times New Roman" w:hAnsi="Times New Roman"/>
                <w:b/>
                <w:sz w:val="16"/>
                <w:szCs w:val="16"/>
              </w:rPr>
              <w:t>2019</w:t>
            </w:r>
          </w:p>
        </w:tc>
        <w:tc>
          <w:tcPr>
            <w:tcW w:w="469" w:type="pct"/>
            <w:tcBorders>
              <w:top w:val="single" w:sz="4" w:space="0" w:color="auto"/>
              <w:bottom w:val="single" w:sz="4" w:space="0" w:color="auto"/>
            </w:tcBorders>
            <w:vAlign w:val="center"/>
          </w:tcPr>
          <w:p w:rsidR="00AA17E3" w:rsidRPr="00086991" w:rsidRDefault="00AA17E3" w:rsidP="00AA17E3">
            <w:pPr>
              <w:spacing w:after="120"/>
              <w:contextualSpacing/>
              <w:jc w:val="center"/>
              <w:rPr>
                <w:rFonts w:ascii="Times New Roman" w:hAnsi="Times New Roman"/>
                <w:b/>
                <w:sz w:val="16"/>
                <w:szCs w:val="16"/>
              </w:rPr>
            </w:pPr>
            <w:r w:rsidRPr="00086991">
              <w:rPr>
                <w:rFonts w:ascii="Times New Roman" w:hAnsi="Times New Roman"/>
                <w:b/>
                <w:sz w:val="16"/>
                <w:szCs w:val="16"/>
              </w:rPr>
              <w:t>2020</w:t>
            </w:r>
          </w:p>
        </w:tc>
        <w:tc>
          <w:tcPr>
            <w:tcW w:w="391" w:type="pct"/>
            <w:tcBorders>
              <w:top w:val="single" w:sz="4" w:space="0" w:color="auto"/>
              <w:bottom w:val="single" w:sz="4" w:space="0" w:color="auto"/>
            </w:tcBorders>
            <w:vAlign w:val="center"/>
          </w:tcPr>
          <w:p w:rsidR="00AA17E3" w:rsidRPr="00141F4D" w:rsidRDefault="00AA17E3" w:rsidP="00AA17E3">
            <w:pPr>
              <w:spacing w:after="120"/>
              <w:contextualSpacing/>
              <w:jc w:val="center"/>
              <w:rPr>
                <w:rFonts w:ascii="Times New Roman" w:hAnsi="Times New Roman"/>
                <w:b/>
                <w:sz w:val="15"/>
                <w:szCs w:val="15"/>
              </w:rPr>
            </w:pPr>
            <w:r w:rsidRPr="00141F4D">
              <w:rPr>
                <w:rFonts w:ascii="Times New Roman" w:hAnsi="Times New Roman"/>
                <w:b/>
                <w:sz w:val="15"/>
                <w:szCs w:val="15"/>
              </w:rPr>
              <w:t>cieľ 2024</w:t>
            </w:r>
          </w:p>
        </w:tc>
        <w:tc>
          <w:tcPr>
            <w:tcW w:w="390" w:type="pct"/>
            <w:tcBorders>
              <w:top w:val="single" w:sz="4" w:space="0" w:color="auto"/>
              <w:bottom w:val="single" w:sz="4" w:space="0" w:color="auto"/>
            </w:tcBorders>
            <w:vAlign w:val="center"/>
          </w:tcPr>
          <w:p w:rsidR="00AA17E3" w:rsidRPr="00141F4D" w:rsidRDefault="00AA17E3" w:rsidP="00AA17E3">
            <w:pPr>
              <w:spacing w:after="120"/>
              <w:contextualSpacing/>
              <w:jc w:val="center"/>
              <w:rPr>
                <w:rFonts w:ascii="Times New Roman" w:hAnsi="Times New Roman"/>
                <w:b/>
                <w:sz w:val="15"/>
                <w:szCs w:val="15"/>
              </w:rPr>
            </w:pPr>
            <w:r w:rsidRPr="00141F4D">
              <w:rPr>
                <w:rFonts w:ascii="Times New Roman" w:hAnsi="Times New Roman"/>
                <w:b/>
                <w:sz w:val="15"/>
                <w:szCs w:val="15"/>
              </w:rPr>
              <w:t>cieľ 2030</w:t>
            </w:r>
          </w:p>
        </w:tc>
      </w:tr>
      <w:tr w:rsidR="00AA17E3" w:rsidRPr="00086991" w:rsidTr="00AA17E3">
        <w:trPr>
          <w:trHeight w:val="284"/>
        </w:trPr>
        <w:tc>
          <w:tcPr>
            <w:tcW w:w="1931" w:type="pct"/>
            <w:tcBorders>
              <w:top w:val="single" w:sz="4" w:space="0" w:color="auto"/>
              <w:bottom w:val="single" w:sz="4" w:space="0" w:color="auto"/>
            </w:tcBorders>
            <w:vAlign w:val="center"/>
          </w:tcPr>
          <w:p w:rsidR="00AA17E3" w:rsidRPr="00086991" w:rsidRDefault="00AA17E3" w:rsidP="00AA17E3">
            <w:pPr>
              <w:spacing w:after="120"/>
              <w:contextualSpacing/>
              <w:jc w:val="both"/>
              <w:rPr>
                <w:rFonts w:ascii="Times New Roman" w:hAnsi="Times New Roman"/>
                <w:sz w:val="16"/>
                <w:szCs w:val="16"/>
                <w:lang w:eastAsia="sk-SK"/>
              </w:rPr>
            </w:pPr>
            <w:r w:rsidRPr="00086991">
              <w:rPr>
                <w:rFonts w:ascii="Times New Roman" w:hAnsi="Times New Roman"/>
                <w:sz w:val="16"/>
                <w:szCs w:val="16"/>
                <w:lang w:eastAsia="sk-SK"/>
              </w:rPr>
              <w:t>Spokojnosť s poskytovanými službami klientskych centier okresných úradov (v %)</w:t>
            </w:r>
          </w:p>
        </w:tc>
        <w:tc>
          <w:tcPr>
            <w:tcW w:w="335" w:type="pct"/>
            <w:tcBorders>
              <w:top w:val="single" w:sz="4" w:space="0" w:color="auto"/>
              <w:bottom w:val="single" w:sz="4" w:space="0" w:color="auto"/>
            </w:tcBorders>
            <w:vAlign w:val="center"/>
          </w:tcPr>
          <w:p w:rsidR="00AA17E3" w:rsidRPr="00086991" w:rsidRDefault="00AA17E3" w:rsidP="00AA17E3">
            <w:pPr>
              <w:spacing w:after="120"/>
              <w:contextualSpacing/>
              <w:jc w:val="both"/>
              <w:rPr>
                <w:rFonts w:ascii="Times New Roman" w:hAnsi="Times New Roman"/>
                <w:bCs/>
                <w:sz w:val="16"/>
                <w:szCs w:val="16"/>
              </w:rPr>
            </w:pPr>
            <w:r w:rsidRPr="00086991">
              <w:rPr>
                <w:rFonts w:ascii="Times New Roman" w:hAnsi="Times New Roman"/>
                <w:bCs/>
                <w:sz w:val="16"/>
                <w:szCs w:val="16"/>
              </w:rPr>
              <w:t>štátna správa</w:t>
            </w:r>
          </w:p>
        </w:tc>
        <w:tc>
          <w:tcPr>
            <w:tcW w:w="313" w:type="pct"/>
            <w:tcBorders>
              <w:top w:val="single" w:sz="4" w:space="0" w:color="auto"/>
              <w:bottom w:val="single" w:sz="4" w:space="0" w:color="auto"/>
            </w:tcBorders>
            <w:vAlign w:val="bottom"/>
          </w:tcPr>
          <w:p w:rsidR="00AA17E3" w:rsidRPr="00086991" w:rsidRDefault="00AA17E3" w:rsidP="00AA17E3">
            <w:pPr>
              <w:spacing w:after="120"/>
              <w:contextualSpacing/>
              <w:jc w:val="right"/>
              <w:rPr>
                <w:rFonts w:ascii="Times New Roman" w:hAnsi="Times New Roman" w:cs="Times New Roman"/>
                <w:sz w:val="16"/>
                <w:szCs w:val="16"/>
              </w:rPr>
            </w:pPr>
          </w:p>
        </w:tc>
        <w:tc>
          <w:tcPr>
            <w:tcW w:w="390" w:type="pct"/>
            <w:tcBorders>
              <w:top w:val="single" w:sz="4" w:space="0" w:color="auto"/>
              <w:bottom w:val="single" w:sz="4" w:space="0" w:color="auto"/>
            </w:tcBorders>
            <w:shd w:val="clear" w:color="auto" w:fill="auto"/>
            <w:noWrap/>
            <w:vAlign w:val="center"/>
          </w:tcPr>
          <w:p w:rsidR="00AA17E3" w:rsidRPr="00086991" w:rsidRDefault="00AA17E3" w:rsidP="00AA17E3">
            <w:pPr>
              <w:spacing w:after="120"/>
              <w:contextualSpacing/>
              <w:jc w:val="center"/>
              <w:rPr>
                <w:rFonts w:ascii="Times New Roman" w:hAnsi="Times New Roman" w:cs="Times New Roman"/>
                <w:sz w:val="16"/>
                <w:szCs w:val="16"/>
              </w:rPr>
            </w:pPr>
            <w:r w:rsidRPr="00086991">
              <w:rPr>
                <w:rFonts w:ascii="Times New Roman" w:hAnsi="Times New Roman" w:cs="Times New Roman"/>
                <w:color w:val="000000"/>
                <w:sz w:val="16"/>
                <w:szCs w:val="20"/>
              </w:rPr>
              <w:t>92</w:t>
            </w:r>
          </w:p>
        </w:tc>
        <w:tc>
          <w:tcPr>
            <w:tcW w:w="391" w:type="pct"/>
            <w:tcBorders>
              <w:top w:val="single" w:sz="4" w:space="0" w:color="auto"/>
              <w:bottom w:val="single" w:sz="4" w:space="0" w:color="auto"/>
            </w:tcBorders>
            <w:shd w:val="clear" w:color="auto" w:fill="auto"/>
            <w:noWrap/>
            <w:vAlign w:val="center"/>
          </w:tcPr>
          <w:p w:rsidR="00AA17E3" w:rsidRPr="00086991" w:rsidRDefault="00AA17E3" w:rsidP="00AA17E3">
            <w:pPr>
              <w:spacing w:after="120"/>
              <w:contextualSpacing/>
              <w:jc w:val="center"/>
              <w:rPr>
                <w:rFonts w:ascii="Times New Roman" w:hAnsi="Times New Roman" w:cs="Times New Roman"/>
                <w:sz w:val="16"/>
                <w:szCs w:val="16"/>
              </w:rPr>
            </w:pPr>
            <w:r w:rsidRPr="00086991">
              <w:rPr>
                <w:rFonts w:ascii="Times New Roman" w:hAnsi="Times New Roman" w:cs="Times New Roman"/>
                <w:color w:val="000000"/>
                <w:sz w:val="16"/>
                <w:szCs w:val="20"/>
              </w:rPr>
              <w:t>90</w:t>
            </w:r>
          </w:p>
        </w:tc>
        <w:tc>
          <w:tcPr>
            <w:tcW w:w="390" w:type="pct"/>
            <w:tcBorders>
              <w:top w:val="single" w:sz="4" w:space="0" w:color="auto"/>
              <w:bottom w:val="single" w:sz="4" w:space="0" w:color="auto"/>
            </w:tcBorders>
            <w:shd w:val="clear" w:color="auto" w:fill="auto"/>
            <w:noWrap/>
            <w:vAlign w:val="center"/>
          </w:tcPr>
          <w:p w:rsidR="00AA17E3" w:rsidRPr="00086991" w:rsidRDefault="00AA17E3" w:rsidP="00AA17E3">
            <w:pPr>
              <w:spacing w:after="120"/>
              <w:contextualSpacing/>
              <w:jc w:val="center"/>
              <w:rPr>
                <w:rFonts w:ascii="Times New Roman" w:hAnsi="Times New Roman" w:cs="Times New Roman"/>
                <w:sz w:val="16"/>
                <w:szCs w:val="16"/>
              </w:rPr>
            </w:pPr>
            <w:r w:rsidRPr="00086991">
              <w:rPr>
                <w:rFonts w:ascii="Times New Roman" w:hAnsi="Times New Roman" w:cs="Times New Roman"/>
                <w:color w:val="000000"/>
                <w:sz w:val="16"/>
                <w:szCs w:val="20"/>
              </w:rPr>
              <w:t>95</w:t>
            </w:r>
          </w:p>
        </w:tc>
        <w:tc>
          <w:tcPr>
            <w:tcW w:w="469" w:type="pct"/>
            <w:tcBorders>
              <w:top w:val="single" w:sz="4" w:space="0" w:color="auto"/>
              <w:bottom w:val="single" w:sz="4" w:space="0" w:color="auto"/>
            </w:tcBorders>
            <w:vAlign w:val="center"/>
          </w:tcPr>
          <w:p w:rsidR="00AA17E3" w:rsidRPr="00086991" w:rsidRDefault="00AA17E3" w:rsidP="00AA17E3">
            <w:pPr>
              <w:spacing w:after="120"/>
              <w:contextualSpacing/>
              <w:jc w:val="center"/>
              <w:rPr>
                <w:rFonts w:ascii="Times New Roman" w:hAnsi="Times New Roman" w:cs="Times New Roman"/>
                <w:sz w:val="16"/>
                <w:szCs w:val="16"/>
              </w:rPr>
            </w:pPr>
            <w:r w:rsidRPr="00086991">
              <w:rPr>
                <w:rFonts w:ascii="Times New Roman" w:hAnsi="Times New Roman" w:cs="Times New Roman"/>
                <w:color w:val="000000"/>
                <w:sz w:val="16"/>
                <w:szCs w:val="20"/>
              </w:rPr>
              <w:t>90</w:t>
            </w:r>
          </w:p>
        </w:tc>
        <w:tc>
          <w:tcPr>
            <w:tcW w:w="391" w:type="pct"/>
            <w:tcBorders>
              <w:top w:val="single" w:sz="4" w:space="0" w:color="auto"/>
              <w:bottom w:val="single" w:sz="4" w:space="0" w:color="auto"/>
            </w:tcBorders>
            <w:shd w:val="clear" w:color="auto" w:fill="FFFFFF" w:themeFill="background1"/>
            <w:vAlign w:val="center"/>
          </w:tcPr>
          <w:p w:rsidR="00AA17E3" w:rsidRPr="00950D12" w:rsidRDefault="00AA17E3" w:rsidP="00AA17E3">
            <w:pPr>
              <w:spacing w:after="120"/>
              <w:contextualSpacing/>
              <w:jc w:val="center"/>
              <w:rPr>
                <w:rFonts w:ascii="Arial Narrow" w:hAnsi="Arial Narrow"/>
                <w:color w:val="000000" w:themeColor="text1"/>
                <w:sz w:val="20"/>
                <w:szCs w:val="20"/>
              </w:rPr>
            </w:pPr>
            <w:r w:rsidRPr="00950D12">
              <w:rPr>
                <w:rFonts w:ascii="Arial Narrow" w:hAnsi="Arial Narrow"/>
                <w:color w:val="000000" w:themeColor="text1"/>
                <w:sz w:val="16"/>
                <w:szCs w:val="16"/>
              </w:rPr>
              <w:t>TBD</w:t>
            </w:r>
          </w:p>
        </w:tc>
        <w:tc>
          <w:tcPr>
            <w:tcW w:w="390" w:type="pct"/>
            <w:tcBorders>
              <w:top w:val="single" w:sz="4" w:space="0" w:color="auto"/>
              <w:bottom w:val="single" w:sz="4" w:space="0" w:color="auto"/>
            </w:tcBorders>
            <w:shd w:val="clear" w:color="auto" w:fill="FFFFFF" w:themeFill="background1"/>
            <w:vAlign w:val="center"/>
          </w:tcPr>
          <w:p w:rsidR="00AA17E3" w:rsidRPr="00950D12" w:rsidRDefault="00AA17E3" w:rsidP="00AA17E3">
            <w:pPr>
              <w:spacing w:after="120"/>
              <w:contextualSpacing/>
              <w:jc w:val="center"/>
              <w:rPr>
                <w:rFonts w:ascii="Arial Narrow" w:hAnsi="Arial Narrow"/>
                <w:color w:val="000000" w:themeColor="text1"/>
                <w:sz w:val="20"/>
                <w:szCs w:val="20"/>
              </w:rPr>
            </w:pPr>
            <w:r w:rsidRPr="00950D12">
              <w:rPr>
                <w:rFonts w:ascii="Arial Narrow" w:hAnsi="Arial Narrow"/>
                <w:color w:val="000000" w:themeColor="text1"/>
                <w:sz w:val="16"/>
                <w:szCs w:val="16"/>
              </w:rPr>
              <w:t>TBD</w:t>
            </w:r>
          </w:p>
        </w:tc>
      </w:tr>
      <w:tr w:rsidR="00AA17E3" w:rsidRPr="00086991" w:rsidTr="00AA17E3">
        <w:trPr>
          <w:trHeight w:val="284"/>
        </w:trPr>
        <w:tc>
          <w:tcPr>
            <w:tcW w:w="1931" w:type="pct"/>
            <w:tcBorders>
              <w:top w:val="single" w:sz="4" w:space="0" w:color="auto"/>
              <w:bottom w:val="single" w:sz="4" w:space="0" w:color="auto"/>
            </w:tcBorders>
            <w:vAlign w:val="center"/>
          </w:tcPr>
          <w:p w:rsidR="00AA17E3" w:rsidRPr="00086991" w:rsidRDefault="00AA17E3" w:rsidP="00AA17E3">
            <w:pPr>
              <w:spacing w:after="120"/>
              <w:contextualSpacing/>
              <w:jc w:val="both"/>
              <w:rPr>
                <w:rFonts w:ascii="Times New Roman" w:hAnsi="Times New Roman"/>
                <w:sz w:val="16"/>
                <w:szCs w:val="16"/>
                <w:lang w:eastAsia="sk-SK"/>
              </w:rPr>
            </w:pPr>
            <w:r w:rsidRPr="00086991">
              <w:rPr>
                <w:rFonts w:ascii="Times New Roman" w:hAnsi="Times New Roman"/>
                <w:sz w:val="16"/>
                <w:szCs w:val="16"/>
                <w:lang w:eastAsia="sk-SK"/>
              </w:rPr>
              <w:t>Transformačný čas, ktorý strávia klienti klientskych centier okresných úradov* (v hh:mm:ss)</w:t>
            </w:r>
          </w:p>
        </w:tc>
        <w:tc>
          <w:tcPr>
            <w:tcW w:w="335" w:type="pct"/>
            <w:tcBorders>
              <w:top w:val="single" w:sz="4" w:space="0" w:color="auto"/>
              <w:bottom w:val="single" w:sz="4" w:space="0" w:color="auto"/>
            </w:tcBorders>
            <w:vAlign w:val="center"/>
          </w:tcPr>
          <w:p w:rsidR="00AA17E3" w:rsidRPr="00086991" w:rsidRDefault="00AA17E3" w:rsidP="00AA17E3">
            <w:pPr>
              <w:spacing w:after="120"/>
              <w:contextualSpacing/>
              <w:jc w:val="both"/>
              <w:rPr>
                <w:rFonts w:ascii="Times New Roman" w:hAnsi="Times New Roman"/>
                <w:bCs/>
                <w:sz w:val="16"/>
                <w:szCs w:val="16"/>
              </w:rPr>
            </w:pPr>
            <w:r w:rsidRPr="00086991">
              <w:rPr>
                <w:rFonts w:ascii="Times New Roman" w:hAnsi="Times New Roman"/>
                <w:bCs/>
                <w:sz w:val="16"/>
                <w:szCs w:val="16"/>
              </w:rPr>
              <w:t>štátna správa</w:t>
            </w:r>
          </w:p>
        </w:tc>
        <w:tc>
          <w:tcPr>
            <w:tcW w:w="313" w:type="pct"/>
            <w:tcBorders>
              <w:top w:val="single" w:sz="4" w:space="0" w:color="auto"/>
              <w:bottom w:val="single" w:sz="4" w:space="0" w:color="auto"/>
            </w:tcBorders>
            <w:vAlign w:val="bottom"/>
          </w:tcPr>
          <w:p w:rsidR="00AA17E3" w:rsidRPr="00086991" w:rsidRDefault="00AA17E3" w:rsidP="00AA17E3">
            <w:pPr>
              <w:spacing w:after="120"/>
              <w:contextualSpacing/>
              <w:jc w:val="right"/>
              <w:rPr>
                <w:rFonts w:ascii="Times New Roman" w:hAnsi="Times New Roman" w:cs="Times New Roman"/>
                <w:sz w:val="16"/>
                <w:szCs w:val="16"/>
              </w:rPr>
            </w:pPr>
            <w:r w:rsidRPr="00086991">
              <w:rPr>
                <w:rFonts w:ascii="Calibri" w:hAnsi="Calibri"/>
                <w:color w:val="000000"/>
                <w:sz w:val="20"/>
                <w:szCs w:val="20"/>
              </w:rPr>
              <w:t> </w:t>
            </w:r>
          </w:p>
        </w:tc>
        <w:tc>
          <w:tcPr>
            <w:tcW w:w="390" w:type="pct"/>
            <w:tcBorders>
              <w:top w:val="single" w:sz="4" w:space="0" w:color="auto"/>
              <w:bottom w:val="single" w:sz="4" w:space="0" w:color="auto"/>
            </w:tcBorders>
            <w:shd w:val="clear" w:color="auto" w:fill="auto"/>
            <w:noWrap/>
            <w:vAlign w:val="center"/>
          </w:tcPr>
          <w:p w:rsidR="00AA17E3" w:rsidRPr="00141F4D" w:rsidRDefault="00AA17E3" w:rsidP="00AA17E3">
            <w:pPr>
              <w:spacing w:after="120"/>
              <w:contextualSpacing/>
              <w:jc w:val="center"/>
              <w:rPr>
                <w:rFonts w:ascii="Times New Roman" w:hAnsi="Times New Roman" w:cs="Times New Roman"/>
                <w:sz w:val="15"/>
                <w:szCs w:val="15"/>
              </w:rPr>
            </w:pPr>
            <w:r w:rsidRPr="00141F4D">
              <w:rPr>
                <w:rFonts w:ascii="Times New Roman" w:hAnsi="Times New Roman" w:cs="Times New Roman"/>
                <w:color w:val="000000"/>
                <w:sz w:val="15"/>
                <w:szCs w:val="15"/>
              </w:rPr>
              <w:t>0:25:59</w:t>
            </w:r>
          </w:p>
        </w:tc>
        <w:tc>
          <w:tcPr>
            <w:tcW w:w="391" w:type="pct"/>
            <w:tcBorders>
              <w:top w:val="single" w:sz="4" w:space="0" w:color="auto"/>
              <w:bottom w:val="single" w:sz="4" w:space="0" w:color="auto"/>
            </w:tcBorders>
            <w:shd w:val="clear" w:color="auto" w:fill="auto"/>
            <w:noWrap/>
            <w:vAlign w:val="center"/>
          </w:tcPr>
          <w:p w:rsidR="00AA17E3" w:rsidRPr="00141F4D" w:rsidRDefault="00AA17E3" w:rsidP="00AA17E3">
            <w:pPr>
              <w:spacing w:after="120"/>
              <w:contextualSpacing/>
              <w:jc w:val="right"/>
              <w:rPr>
                <w:rFonts w:ascii="Times New Roman" w:hAnsi="Times New Roman" w:cs="Times New Roman"/>
                <w:sz w:val="15"/>
                <w:szCs w:val="15"/>
              </w:rPr>
            </w:pPr>
            <w:r w:rsidRPr="00141F4D">
              <w:rPr>
                <w:rFonts w:ascii="Times New Roman" w:hAnsi="Times New Roman" w:cs="Times New Roman"/>
                <w:color w:val="000000"/>
                <w:sz w:val="15"/>
                <w:szCs w:val="15"/>
              </w:rPr>
              <w:t>0:25:15</w:t>
            </w:r>
          </w:p>
        </w:tc>
        <w:tc>
          <w:tcPr>
            <w:tcW w:w="390" w:type="pct"/>
            <w:tcBorders>
              <w:top w:val="single" w:sz="4" w:space="0" w:color="auto"/>
              <w:bottom w:val="single" w:sz="4" w:space="0" w:color="auto"/>
            </w:tcBorders>
            <w:shd w:val="clear" w:color="auto" w:fill="auto"/>
            <w:noWrap/>
            <w:vAlign w:val="center"/>
          </w:tcPr>
          <w:p w:rsidR="00AA17E3" w:rsidRPr="00141F4D" w:rsidRDefault="00AA17E3" w:rsidP="00AA17E3">
            <w:pPr>
              <w:spacing w:after="120"/>
              <w:contextualSpacing/>
              <w:jc w:val="right"/>
              <w:rPr>
                <w:rFonts w:ascii="Times New Roman" w:hAnsi="Times New Roman" w:cs="Times New Roman"/>
                <w:sz w:val="15"/>
                <w:szCs w:val="15"/>
              </w:rPr>
            </w:pPr>
            <w:r w:rsidRPr="00141F4D">
              <w:rPr>
                <w:rFonts w:ascii="Times New Roman" w:hAnsi="Times New Roman" w:cs="Times New Roman"/>
                <w:color w:val="000000"/>
                <w:sz w:val="15"/>
                <w:szCs w:val="15"/>
              </w:rPr>
              <w:t>0:28:07</w:t>
            </w:r>
          </w:p>
        </w:tc>
        <w:tc>
          <w:tcPr>
            <w:tcW w:w="469" w:type="pct"/>
            <w:tcBorders>
              <w:top w:val="single" w:sz="4" w:space="0" w:color="auto"/>
              <w:bottom w:val="single" w:sz="4" w:space="0" w:color="auto"/>
            </w:tcBorders>
            <w:vAlign w:val="center"/>
          </w:tcPr>
          <w:p w:rsidR="00AA17E3" w:rsidRPr="00141F4D" w:rsidRDefault="00AA17E3" w:rsidP="00AA17E3">
            <w:pPr>
              <w:spacing w:after="120"/>
              <w:contextualSpacing/>
              <w:jc w:val="center"/>
              <w:rPr>
                <w:rFonts w:ascii="Times New Roman" w:hAnsi="Times New Roman" w:cs="Times New Roman"/>
                <w:sz w:val="15"/>
                <w:szCs w:val="15"/>
              </w:rPr>
            </w:pPr>
            <w:r w:rsidRPr="00141F4D">
              <w:rPr>
                <w:rFonts w:ascii="Times New Roman" w:hAnsi="Times New Roman" w:cs="Times New Roman"/>
                <w:color w:val="000000"/>
                <w:sz w:val="15"/>
                <w:szCs w:val="15"/>
              </w:rPr>
              <w:t>0:22:31</w:t>
            </w:r>
          </w:p>
        </w:tc>
        <w:tc>
          <w:tcPr>
            <w:tcW w:w="391" w:type="pct"/>
            <w:tcBorders>
              <w:top w:val="single" w:sz="4" w:space="0" w:color="auto"/>
              <w:bottom w:val="single" w:sz="4" w:space="0" w:color="auto"/>
            </w:tcBorders>
            <w:shd w:val="clear" w:color="auto" w:fill="FFFFFF" w:themeFill="background1"/>
            <w:vAlign w:val="center"/>
          </w:tcPr>
          <w:p w:rsidR="00AA17E3" w:rsidRPr="00950D12" w:rsidRDefault="00AA17E3" w:rsidP="00AA17E3">
            <w:pPr>
              <w:spacing w:after="120"/>
              <w:contextualSpacing/>
              <w:jc w:val="center"/>
              <w:rPr>
                <w:rFonts w:ascii="Times New Roman" w:hAnsi="Times New Roman"/>
                <w:color w:val="000000" w:themeColor="text1"/>
                <w:sz w:val="16"/>
                <w:szCs w:val="16"/>
              </w:rPr>
            </w:pPr>
            <w:r w:rsidRPr="00950D12">
              <w:rPr>
                <w:rFonts w:ascii="Arial Narrow" w:hAnsi="Arial Narrow"/>
                <w:color w:val="000000" w:themeColor="text1"/>
                <w:sz w:val="16"/>
                <w:szCs w:val="16"/>
              </w:rPr>
              <w:t>TBD</w:t>
            </w:r>
          </w:p>
        </w:tc>
        <w:tc>
          <w:tcPr>
            <w:tcW w:w="390" w:type="pct"/>
            <w:tcBorders>
              <w:top w:val="single" w:sz="4" w:space="0" w:color="auto"/>
              <w:bottom w:val="single" w:sz="4" w:space="0" w:color="auto"/>
            </w:tcBorders>
            <w:shd w:val="clear" w:color="auto" w:fill="FFFFFF" w:themeFill="background1"/>
            <w:vAlign w:val="center"/>
          </w:tcPr>
          <w:p w:rsidR="00AA17E3" w:rsidRPr="00950D12" w:rsidRDefault="00AA17E3" w:rsidP="00AA17E3">
            <w:pPr>
              <w:spacing w:after="120"/>
              <w:contextualSpacing/>
              <w:jc w:val="center"/>
              <w:rPr>
                <w:rFonts w:ascii="Times New Roman" w:hAnsi="Times New Roman"/>
                <w:color w:val="000000" w:themeColor="text1"/>
                <w:sz w:val="16"/>
                <w:szCs w:val="16"/>
              </w:rPr>
            </w:pPr>
            <w:r w:rsidRPr="00950D12">
              <w:rPr>
                <w:rFonts w:ascii="Arial Narrow" w:hAnsi="Arial Narrow"/>
                <w:color w:val="000000" w:themeColor="text1"/>
                <w:sz w:val="16"/>
                <w:szCs w:val="16"/>
              </w:rPr>
              <w:t>TBD</w:t>
            </w:r>
          </w:p>
        </w:tc>
      </w:tr>
      <w:tr w:rsidR="00AA17E3" w:rsidRPr="00086991" w:rsidTr="00AA17E3">
        <w:trPr>
          <w:trHeight w:val="284"/>
        </w:trPr>
        <w:tc>
          <w:tcPr>
            <w:tcW w:w="3750" w:type="pct"/>
            <w:gridSpan w:val="6"/>
            <w:tcBorders>
              <w:top w:val="single" w:sz="4" w:space="0" w:color="auto"/>
              <w:bottom w:val="single" w:sz="4" w:space="0" w:color="auto"/>
            </w:tcBorders>
          </w:tcPr>
          <w:p w:rsidR="00AA17E3" w:rsidRPr="00086991" w:rsidRDefault="00AA17E3" w:rsidP="00AA17E3">
            <w:pPr>
              <w:spacing w:after="120"/>
              <w:contextualSpacing/>
              <w:rPr>
                <w:rFonts w:ascii="Times New Roman" w:hAnsi="Times New Roman"/>
                <w:i/>
                <w:sz w:val="16"/>
                <w:szCs w:val="16"/>
              </w:rPr>
            </w:pPr>
            <w:r w:rsidRPr="00086991">
              <w:rPr>
                <w:rFonts w:ascii="Times New Roman" w:hAnsi="Times New Roman"/>
                <w:i/>
                <w:sz w:val="16"/>
                <w:szCs w:val="16"/>
              </w:rPr>
              <w:t>*  čas strávený pri poskytovaní služieb klientských centier (súčet doby čakania a vybavenia)</w:t>
            </w:r>
          </w:p>
        </w:tc>
        <w:tc>
          <w:tcPr>
            <w:tcW w:w="469" w:type="pct"/>
            <w:tcBorders>
              <w:top w:val="single" w:sz="4" w:space="0" w:color="auto"/>
              <w:bottom w:val="single" w:sz="4" w:space="0" w:color="auto"/>
            </w:tcBorders>
            <w:vAlign w:val="center"/>
          </w:tcPr>
          <w:p w:rsidR="00AA17E3" w:rsidRPr="00086991" w:rsidRDefault="00AA17E3" w:rsidP="00AA17E3">
            <w:pPr>
              <w:spacing w:after="120"/>
              <w:contextualSpacing/>
              <w:jc w:val="right"/>
              <w:rPr>
                <w:rFonts w:ascii="Times New Roman" w:hAnsi="Times New Roman"/>
                <w:sz w:val="16"/>
              </w:rPr>
            </w:pPr>
          </w:p>
        </w:tc>
        <w:tc>
          <w:tcPr>
            <w:tcW w:w="391" w:type="pct"/>
            <w:tcBorders>
              <w:top w:val="single" w:sz="4" w:space="0" w:color="auto"/>
              <w:bottom w:val="single" w:sz="4" w:space="0" w:color="auto"/>
            </w:tcBorders>
          </w:tcPr>
          <w:p w:rsidR="00AA17E3" w:rsidRPr="00086991" w:rsidRDefault="00AA17E3" w:rsidP="00AA17E3">
            <w:pPr>
              <w:spacing w:after="120"/>
              <w:contextualSpacing/>
              <w:jc w:val="right"/>
              <w:rPr>
                <w:rFonts w:ascii="Times New Roman" w:hAnsi="Times New Roman"/>
                <w:sz w:val="16"/>
              </w:rPr>
            </w:pPr>
          </w:p>
        </w:tc>
        <w:tc>
          <w:tcPr>
            <w:tcW w:w="390" w:type="pct"/>
            <w:tcBorders>
              <w:top w:val="single" w:sz="4" w:space="0" w:color="auto"/>
              <w:bottom w:val="single" w:sz="4" w:space="0" w:color="auto"/>
            </w:tcBorders>
          </w:tcPr>
          <w:p w:rsidR="00AA17E3" w:rsidRPr="00086991" w:rsidRDefault="00AA17E3" w:rsidP="00AA17E3">
            <w:pPr>
              <w:spacing w:after="120"/>
              <w:contextualSpacing/>
              <w:jc w:val="right"/>
              <w:rPr>
                <w:rFonts w:ascii="Times New Roman" w:hAnsi="Times New Roman"/>
                <w:sz w:val="16"/>
              </w:rPr>
            </w:pPr>
          </w:p>
        </w:tc>
      </w:tr>
      <w:tr w:rsidR="00AA17E3" w:rsidRPr="008D0F05" w:rsidTr="00AA17E3">
        <w:trPr>
          <w:trHeight w:val="284"/>
        </w:trPr>
        <w:tc>
          <w:tcPr>
            <w:tcW w:w="5000" w:type="pct"/>
            <w:gridSpan w:val="9"/>
            <w:tcBorders>
              <w:top w:val="single" w:sz="4" w:space="0" w:color="auto"/>
            </w:tcBorders>
          </w:tcPr>
          <w:p w:rsidR="00AA17E3" w:rsidRPr="00086991" w:rsidRDefault="00AA17E3" w:rsidP="00AA17E3">
            <w:pPr>
              <w:spacing w:after="120"/>
              <w:contextualSpacing/>
              <w:jc w:val="right"/>
              <w:rPr>
                <w:rFonts w:ascii="Times New Roman" w:hAnsi="Times New Roman"/>
                <w:i/>
                <w:sz w:val="16"/>
              </w:rPr>
            </w:pPr>
            <w:r w:rsidRPr="00086991">
              <w:rPr>
                <w:rFonts w:ascii="Times New Roman" w:hAnsi="Times New Roman"/>
                <w:i/>
                <w:sz w:val="16"/>
              </w:rPr>
              <w:t>Zdroj MF SR</w:t>
            </w:r>
          </w:p>
        </w:tc>
      </w:tr>
    </w:tbl>
    <w:p w:rsidR="00AA17E3" w:rsidRDefault="00AA17E3" w:rsidP="00AA17E3">
      <w:pPr>
        <w:keepNext/>
        <w:spacing w:after="0" w:line="240" w:lineRule="auto"/>
        <w:rPr>
          <w:rFonts w:ascii="Times New Roman" w:hAnsi="Times New Roman"/>
          <w:b/>
          <w:iCs/>
          <w:color w:val="5B9BD5" w:themeColor="accent1"/>
          <w:sz w:val="20"/>
          <w:szCs w:val="20"/>
        </w:rPr>
      </w:pPr>
    </w:p>
    <w:p w:rsidR="00AA17E3" w:rsidRDefault="00AA17E3" w:rsidP="00AA17E3">
      <w:pPr>
        <w:spacing w:after="0"/>
        <w:jc w:val="both"/>
        <w:rPr>
          <w:rFonts w:ascii="Times New Roman" w:hAnsi="Times New Roman"/>
          <w:sz w:val="24"/>
          <w:szCs w:val="24"/>
        </w:rPr>
      </w:pPr>
      <w:r w:rsidRPr="00A25BF5">
        <w:rPr>
          <w:rFonts w:ascii="Times New Roman" w:hAnsi="Times New Roman"/>
          <w:sz w:val="24"/>
          <w:szCs w:val="24"/>
        </w:rPr>
        <w:t>Pri výkone miestnej štátnej správy je kľúčové sledovať spokojnosť občanov. Okresné úrady spolu s klientskymi centrami tvoria sie</w:t>
      </w:r>
      <w:r w:rsidRPr="00A25BF5">
        <w:rPr>
          <w:rFonts w:ascii="Times New Roman" w:hAnsi="Times New Roman" w:hint="eastAsia"/>
          <w:sz w:val="24"/>
          <w:szCs w:val="24"/>
        </w:rPr>
        <w:t>ť</w:t>
      </w:r>
      <w:r w:rsidRPr="00A25BF5">
        <w:rPr>
          <w:rFonts w:ascii="Times New Roman" w:hAnsi="Times New Roman"/>
          <w:sz w:val="24"/>
          <w:szCs w:val="24"/>
        </w:rPr>
        <w:t xml:space="preserve"> prvého kontaktu ob</w:t>
      </w:r>
      <w:r w:rsidRPr="00A25BF5">
        <w:rPr>
          <w:rFonts w:ascii="Times New Roman" w:hAnsi="Times New Roman" w:hint="eastAsia"/>
          <w:sz w:val="24"/>
          <w:szCs w:val="24"/>
        </w:rPr>
        <w:t>č</w:t>
      </w:r>
      <w:r w:rsidRPr="00A25BF5">
        <w:rPr>
          <w:rFonts w:ascii="Times New Roman" w:hAnsi="Times New Roman"/>
          <w:sz w:val="24"/>
          <w:szCs w:val="24"/>
        </w:rPr>
        <w:t>ana pri ve</w:t>
      </w:r>
      <w:r w:rsidRPr="00A25BF5">
        <w:rPr>
          <w:rFonts w:ascii="Times New Roman" w:hAnsi="Times New Roman" w:hint="eastAsia"/>
          <w:sz w:val="24"/>
          <w:szCs w:val="24"/>
        </w:rPr>
        <w:t>ľ</w:t>
      </w:r>
      <w:r w:rsidRPr="00A25BF5">
        <w:rPr>
          <w:rFonts w:ascii="Times New Roman" w:hAnsi="Times New Roman"/>
          <w:sz w:val="24"/>
          <w:szCs w:val="24"/>
        </w:rPr>
        <w:t xml:space="preserve">kej </w:t>
      </w:r>
      <w:r w:rsidRPr="00A25BF5">
        <w:rPr>
          <w:rFonts w:ascii="Times New Roman" w:hAnsi="Times New Roman" w:hint="eastAsia"/>
          <w:sz w:val="24"/>
          <w:szCs w:val="24"/>
        </w:rPr>
        <w:t>č</w:t>
      </w:r>
      <w:r w:rsidRPr="00A25BF5">
        <w:rPr>
          <w:rFonts w:ascii="Times New Roman" w:hAnsi="Times New Roman"/>
          <w:sz w:val="24"/>
          <w:szCs w:val="24"/>
        </w:rPr>
        <w:t>asti služieb štátu. Na okresných úradoch prichádzajú úradníci do kontaktu s ob</w:t>
      </w:r>
      <w:r w:rsidRPr="00A25BF5">
        <w:rPr>
          <w:rFonts w:ascii="Times New Roman" w:hAnsi="Times New Roman" w:hint="eastAsia"/>
          <w:sz w:val="24"/>
          <w:szCs w:val="24"/>
        </w:rPr>
        <w:t>č</w:t>
      </w:r>
      <w:r w:rsidRPr="00A25BF5">
        <w:rPr>
          <w:rFonts w:ascii="Times New Roman" w:hAnsi="Times New Roman"/>
          <w:sz w:val="24"/>
          <w:szCs w:val="24"/>
        </w:rPr>
        <w:t>anmi a ich podaniami (front office štátu) a prebieha na nich aj vybavenie podania (back office). Spokojnosť sa na úradoch meria priamo prieskumom, jej hodnoty sú dlhodobo stabilne na</w:t>
      </w:r>
      <w:r w:rsidR="00ED2BAA">
        <w:rPr>
          <w:rFonts w:ascii="Times New Roman" w:hAnsi="Times New Roman"/>
          <w:sz w:val="24"/>
          <w:szCs w:val="24"/>
        </w:rPr>
        <w:t>d 90 %. Významný vplyv na ňu má</w:t>
      </w:r>
      <w:r w:rsidRPr="00A25BF5">
        <w:rPr>
          <w:rFonts w:ascii="Times New Roman" w:hAnsi="Times New Roman"/>
          <w:sz w:val="24"/>
          <w:szCs w:val="24"/>
        </w:rPr>
        <w:t xml:space="preserve"> čas, ktorý strávia klienti v úrade, tzv. transformačný čas, ktorý postupne klesá a cieľom je ho znižovať aj naďalej.</w:t>
      </w:r>
      <w:r w:rsidRPr="00086991">
        <w:rPr>
          <w:rFonts w:ascii="Times New Roman" w:hAnsi="Times New Roman"/>
          <w:sz w:val="24"/>
          <w:szCs w:val="24"/>
        </w:rPr>
        <w:t xml:space="preserve"> </w:t>
      </w:r>
    </w:p>
    <w:p w:rsidR="00637878" w:rsidRDefault="00637878" w:rsidP="00AA17E3">
      <w:pPr>
        <w:spacing w:after="0"/>
        <w:jc w:val="both"/>
        <w:rPr>
          <w:rFonts w:ascii="Times New Roman" w:hAnsi="Times New Roman"/>
          <w:sz w:val="24"/>
          <w:szCs w:val="24"/>
        </w:rPr>
      </w:pPr>
    </w:p>
    <w:p w:rsidR="00637878" w:rsidRDefault="00637878" w:rsidP="00AA17E3">
      <w:pPr>
        <w:spacing w:after="0"/>
        <w:jc w:val="both"/>
        <w:rPr>
          <w:rFonts w:ascii="Times New Roman" w:hAnsi="Times New Roman"/>
          <w:sz w:val="24"/>
          <w:szCs w:val="24"/>
        </w:rPr>
      </w:pPr>
    </w:p>
    <w:p w:rsidR="00637878" w:rsidRDefault="00637878" w:rsidP="00AA17E3">
      <w:pPr>
        <w:spacing w:after="0"/>
        <w:jc w:val="both"/>
        <w:rPr>
          <w:rFonts w:ascii="Times New Roman" w:hAnsi="Times New Roman"/>
          <w:sz w:val="24"/>
          <w:szCs w:val="24"/>
        </w:rPr>
      </w:pPr>
    </w:p>
    <w:p w:rsidR="00AA17E3" w:rsidRPr="009363BF" w:rsidRDefault="00AA17E3" w:rsidP="00AA17E3">
      <w:pPr>
        <w:spacing w:after="0"/>
        <w:jc w:val="both"/>
        <w:rPr>
          <w:rFonts w:ascii="Times New Roman" w:hAnsi="Times New Roman"/>
          <w:sz w:val="24"/>
          <w:szCs w:val="24"/>
          <w:highlight w:val="yellow"/>
        </w:rPr>
      </w:pPr>
    </w:p>
    <w:tbl>
      <w:tblPr>
        <w:tblpPr w:leftFromText="141" w:rightFromText="141" w:vertAnchor="text" w:tblpY="263"/>
        <w:tblW w:w="5000" w:type="pct"/>
        <w:tblCellMar>
          <w:left w:w="70" w:type="dxa"/>
          <w:right w:w="70" w:type="dxa"/>
        </w:tblCellMar>
        <w:tblLook w:val="04A0" w:firstRow="1" w:lastRow="0" w:firstColumn="1" w:lastColumn="0" w:noHBand="0" w:noVBand="1"/>
      </w:tblPr>
      <w:tblGrid>
        <w:gridCol w:w="1542"/>
        <w:gridCol w:w="1076"/>
        <w:gridCol w:w="1076"/>
        <w:gridCol w:w="1076"/>
        <w:gridCol w:w="1076"/>
        <w:gridCol w:w="1076"/>
        <w:gridCol w:w="1076"/>
        <w:gridCol w:w="1074"/>
      </w:tblGrid>
      <w:tr w:rsidR="00AA17E3" w:rsidRPr="009363BF" w:rsidTr="00AA17E3">
        <w:trPr>
          <w:trHeight w:val="300"/>
        </w:trPr>
        <w:tc>
          <w:tcPr>
            <w:tcW w:w="850" w:type="pct"/>
            <w:tcBorders>
              <w:top w:val="single" w:sz="4" w:space="0" w:color="auto"/>
              <w:left w:val="nil"/>
              <w:bottom w:val="single" w:sz="4" w:space="0" w:color="auto"/>
              <w:right w:val="nil"/>
            </w:tcBorders>
            <w:shd w:val="clear" w:color="auto" w:fill="auto"/>
            <w:noWrap/>
            <w:vAlign w:val="center"/>
            <w:hideMark/>
          </w:tcPr>
          <w:p w:rsidR="00AA17E3" w:rsidRPr="009363BF" w:rsidRDefault="00AA17E3" w:rsidP="00AA17E3">
            <w:pPr>
              <w:rPr>
                <w:rFonts w:ascii="Times New Roman" w:hAnsi="Times New Roman"/>
                <w:b/>
                <w:bCs/>
                <w:color w:val="000000"/>
                <w:sz w:val="16"/>
                <w:szCs w:val="16"/>
                <w:highlight w:val="yellow"/>
                <w:lang w:eastAsia="sk-SK"/>
              </w:rPr>
            </w:pPr>
            <w:r w:rsidRPr="00427959">
              <w:rPr>
                <w:rFonts w:ascii="Times New Roman" w:hAnsi="Times New Roman"/>
                <w:b/>
                <w:bCs/>
                <w:color w:val="000000"/>
                <w:sz w:val="16"/>
                <w:szCs w:val="16"/>
                <w:lang w:eastAsia="sk-SK"/>
              </w:rPr>
              <w:t>v tis. eur</w:t>
            </w:r>
          </w:p>
        </w:tc>
        <w:tc>
          <w:tcPr>
            <w:tcW w:w="593"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2019</w:t>
            </w:r>
            <w:r w:rsidRPr="00A2768A">
              <w:rPr>
                <w:rFonts w:ascii="Times New Roman" w:hAnsi="Times New Roman"/>
                <w:b/>
                <w:bCs/>
                <w:color w:val="000000"/>
                <w:sz w:val="16"/>
                <w:szCs w:val="16"/>
                <w:lang w:eastAsia="sk-SK"/>
              </w:rPr>
              <w:t xml:space="preserve"> S</w:t>
            </w:r>
          </w:p>
        </w:tc>
        <w:tc>
          <w:tcPr>
            <w:tcW w:w="593"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w:t>
            </w:r>
            <w:r>
              <w:rPr>
                <w:rFonts w:ascii="Times New Roman" w:hAnsi="Times New Roman"/>
                <w:b/>
                <w:bCs/>
                <w:color w:val="000000"/>
                <w:sz w:val="16"/>
                <w:szCs w:val="16"/>
                <w:lang w:eastAsia="sk-SK"/>
              </w:rPr>
              <w:t>20</w:t>
            </w:r>
            <w:r w:rsidRPr="00A2768A">
              <w:rPr>
                <w:rFonts w:ascii="Times New Roman" w:hAnsi="Times New Roman"/>
                <w:b/>
                <w:bCs/>
                <w:color w:val="000000"/>
                <w:sz w:val="16"/>
                <w:szCs w:val="16"/>
                <w:lang w:eastAsia="sk-SK"/>
              </w:rPr>
              <w:t xml:space="preserve"> S</w:t>
            </w:r>
          </w:p>
        </w:tc>
        <w:tc>
          <w:tcPr>
            <w:tcW w:w="593"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1</w:t>
            </w:r>
            <w:r w:rsidRPr="00A2768A">
              <w:rPr>
                <w:rFonts w:ascii="Times New Roman" w:hAnsi="Times New Roman"/>
                <w:b/>
                <w:bCs/>
                <w:color w:val="000000"/>
                <w:sz w:val="16"/>
                <w:szCs w:val="16"/>
                <w:lang w:eastAsia="sk-SK"/>
              </w:rPr>
              <w:t xml:space="preserve"> R</w:t>
            </w:r>
          </w:p>
        </w:tc>
        <w:tc>
          <w:tcPr>
            <w:tcW w:w="593" w:type="pct"/>
            <w:tcBorders>
              <w:top w:val="single" w:sz="4" w:space="0" w:color="auto"/>
              <w:left w:val="nil"/>
              <w:bottom w:val="single" w:sz="4" w:space="0" w:color="auto"/>
              <w:right w:val="nil"/>
            </w:tcBorders>
            <w:shd w:val="clear" w:color="auto" w:fill="auto"/>
            <w:vAlign w:val="center"/>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2021</w:t>
            </w:r>
            <w:r w:rsidRPr="00A2768A">
              <w:rPr>
                <w:rFonts w:ascii="Times New Roman" w:hAnsi="Times New Roman"/>
                <w:b/>
                <w:bCs/>
                <w:color w:val="000000"/>
                <w:sz w:val="16"/>
                <w:szCs w:val="16"/>
                <w:lang w:eastAsia="sk-SK"/>
              </w:rPr>
              <w:t xml:space="preserve"> OS</w:t>
            </w:r>
          </w:p>
        </w:tc>
        <w:tc>
          <w:tcPr>
            <w:tcW w:w="593"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2</w:t>
            </w:r>
            <w:r w:rsidRPr="00A2768A">
              <w:rPr>
                <w:rFonts w:ascii="Times New Roman" w:hAnsi="Times New Roman"/>
                <w:b/>
                <w:bCs/>
                <w:color w:val="000000"/>
                <w:sz w:val="16"/>
                <w:szCs w:val="16"/>
                <w:lang w:eastAsia="sk-SK"/>
              </w:rPr>
              <w:t xml:space="preserve"> N</w:t>
            </w:r>
          </w:p>
        </w:tc>
        <w:tc>
          <w:tcPr>
            <w:tcW w:w="593"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3</w:t>
            </w:r>
            <w:r w:rsidRPr="00A2768A">
              <w:rPr>
                <w:rFonts w:ascii="Times New Roman" w:hAnsi="Times New Roman"/>
                <w:b/>
                <w:bCs/>
                <w:color w:val="000000"/>
                <w:sz w:val="16"/>
                <w:szCs w:val="16"/>
                <w:lang w:eastAsia="sk-SK"/>
              </w:rPr>
              <w:t xml:space="preserve"> N</w:t>
            </w:r>
          </w:p>
        </w:tc>
        <w:tc>
          <w:tcPr>
            <w:tcW w:w="592" w:type="pct"/>
            <w:tcBorders>
              <w:top w:val="single" w:sz="4" w:space="0" w:color="auto"/>
              <w:left w:val="nil"/>
              <w:bottom w:val="single" w:sz="4" w:space="0" w:color="auto"/>
              <w:right w:val="nil"/>
            </w:tcBorders>
            <w:shd w:val="clear" w:color="auto" w:fill="auto"/>
            <w:noWrap/>
            <w:vAlign w:val="center"/>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202</w:t>
            </w:r>
            <w:r>
              <w:rPr>
                <w:rFonts w:ascii="Times New Roman" w:hAnsi="Times New Roman"/>
                <w:b/>
                <w:bCs/>
                <w:color w:val="000000"/>
                <w:sz w:val="16"/>
                <w:szCs w:val="16"/>
                <w:lang w:eastAsia="sk-SK"/>
              </w:rPr>
              <w:t>4</w:t>
            </w:r>
            <w:r w:rsidRPr="00A2768A">
              <w:rPr>
                <w:rFonts w:ascii="Times New Roman" w:hAnsi="Times New Roman"/>
                <w:b/>
                <w:bCs/>
                <w:color w:val="000000"/>
                <w:sz w:val="16"/>
                <w:szCs w:val="16"/>
                <w:lang w:eastAsia="sk-SK"/>
              </w:rPr>
              <w:t xml:space="preserve"> N</w:t>
            </w:r>
          </w:p>
        </w:tc>
      </w:tr>
      <w:tr w:rsidR="00AA17E3" w:rsidRPr="009363BF" w:rsidTr="00AA17E3">
        <w:trPr>
          <w:trHeight w:val="300"/>
        </w:trPr>
        <w:tc>
          <w:tcPr>
            <w:tcW w:w="850" w:type="pct"/>
            <w:tcBorders>
              <w:top w:val="nil"/>
              <w:left w:val="nil"/>
              <w:bottom w:val="nil"/>
              <w:right w:val="nil"/>
            </w:tcBorders>
            <w:shd w:val="clear" w:color="auto" w:fill="auto"/>
            <w:vAlign w:val="center"/>
            <w:hideMark/>
          </w:tcPr>
          <w:p w:rsidR="00AA17E3" w:rsidRPr="00427959" w:rsidRDefault="00AA17E3" w:rsidP="00AA17E3">
            <w:pPr>
              <w:rPr>
                <w:rFonts w:ascii="Times New Roman" w:hAnsi="Times New Roman"/>
                <w:b/>
                <w:bCs/>
                <w:color w:val="000000"/>
                <w:sz w:val="16"/>
                <w:szCs w:val="16"/>
                <w:lang w:eastAsia="sk-SK"/>
              </w:rPr>
            </w:pPr>
            <w:r w:rsidRPr="00427959">
              <w:rPr>
                <w:rFonts w:ascii="Times New Roman" w:hAnsi="Times New Roman"/>
                <w:b/>
                <w:bCs/>
                <w:color w:val="000000"/>
                <w:sz w:val="16"/>
                <w:szCs w:val="16"/>
                <w:lang w:eastAsia="sk-SK"/>
              </w:rPr>
              <w:t>Miestna štátna správa</w:t>
            </w:r>
          </w:p>
        </w:tc>
        <w:tc>
          <w:tcPr>
            <w:tcW w:w="593"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lang w:eastAsia="sk-SK"/>
              </w:rPr>
            </w:pPr>
            <w:r w:rsidRPr="00A2768A">
              <w:rPr>
                <w:rFonts w:ascii="Times New Roman" w:hAnsi="Times New Roman"/>
                <w:b/>
                <w:bCs/>
                <w:color w:val="000000"/>
                <w:sz w:val="16"/>
                <w:szCs w:val="16"/>
                <w:lang w:eastAsia="sk-SK"/>
              </w:rPr>
              <w:t>160 569</w:t>
            </w:r>
          </w:p>
        </w:tc>
        <w:tc>
          <w:tcPr>
            <w:tcW w:w="593"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184 914</w:t>
            </w:r>
          </w:p>
        </w:tc>
        <w:tc>
          <w:tcPr>
            <w:tcW w:w="593"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132 497</w:t>
            </w:r>
          </w:p>
        </w:tc>
        <w:tc>
          <w:tcPr>
            <w:tcW w:w="593"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229 714</w:t>
            </w:r>
          </w:p>
        </w:tc>
        <w:tc>
          <w:tcPr>
            <w:tcW w:w="593"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143 415</w:t>
            </w:r>
          </w:p>
        </w:tc>
        <w:tc>
          <w:tcPr>
            <w:tcW w:w="593"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rPr>
            </w:pPr>
            <w:r>
              <w:rPr>
                <w:rFonts w:ascii="Times New Roman" w:hAnsi="Times New Roman"/>
                <w:b/>
                <w:bCs/>
                <w:color w:val="000000"/>
                <w:sz w:val="16"/>
                <w:szCs w:val="16"/>
              </w:rPr>
              <w:t>128 643</w:t>
            </w:r>
          </w:p>
        </w:tc>
        <w:tc>
          <w:tcPr>
            <w:tcW w:w="592" w:type="pct"/>
            <w:tcBorders>
              <w:top w:val="nil"/>
              <w:left w:val="nil"/>
              <w:bottom w:val="nil"/>
              <w:right w:val="nil"/>
            </w:tcBorders>
            <w:shd w:val="clear" w:color="auto" w:fill="auto"/>
            <w:noWrap/>
            <w:vAlign w:val="bottom"/>
            <w:hideMark/>
          </w:tcPr>
          <w:p w:rsidR="00AA17E3" w:rsidRPr="00A2768A" w:rsidRDefault="00AA17E3" w:rsidP="00AA17E3">
            <w:pPr>
              <w:jc w:val="right"/>
              <w:rPr>
                <w:rFonts w:ascii="Times New Roman" w:hAnsi="Times New Roman"/>
                <w:b/>
                <w:bCs/>
                <w:color w:val="000000"/>
                <w:sz w:val="16"/>
                <w:szCs w:val="16"/>
              </w:rPr>
            </w:pPr>
            <w:r>
              <w:rPr>
                <w:rFonts w:ascii="Times New Roman" w:hAnsi="Times New Roman"/>
                <w:b/>
                <w:bCs/>
                <w:color w:val="000000"/>
                <w:sz w:val="16"/>
                <w:szCs w:val="16"/>
              </w:rPr>
              <w:t>164 667</w:t>
            </w:r>
          </w:p>
        </w:tc>
      </w:tr>
      <w:tr w:rsidR="00AA17E3" w:rsidRPr="009363BF" w:rsidTr="00AA17E3">
        <w:trPr>
          <w:trHeight w:val="300"/>
        </w:trPr>
        <w:tc>
          <w:tcPr>
            <w:tcW w:w="850" w:type="pct"/>
            <w:tcBorders>
              <w:top w:val="nil"/>
              <w:left w:val="nil"/>
              <w:bottom w:val="nil"/>
              <w:right w:val="nil"/>
            </w:tcBorders>
            <w:shd w:val="clear" w:color="000000" w:fill="FFFFFF"/>
            <w:vAlign w:val="center"/>
            <w:hideMark/>
          </w:tcPr>
          <w:p w:rsidR="00AA17E3" w:rsidRPr="00427959" w:rsidRDefault="00AA17E3" w:rsidP="00AA17E3">
            <w:pPr>
              <w:rPr>
                <w:rFonts w:ascii="Times New Roman" w:hAnsi="Times New Roman"/>
                <w:color w:val="000000"/>
                <w:sz w:val="16"/>
                <w:szCs w:val="16"/>
                <w:lang w:eastAsia="sk-SK"/>
              </w:rPr>
            </w:pPr>
            <w:r w:rsidRPr="00427959">
              <w:rPr>
                <w:rFonts w:ascii="Times New Roman" w:hAnsi="Times New Roman"/>
                <w:color w:val="000000"/>
                <w:sz w:val="16"/>
                <w:szCs w:val="16"/>
                <w:lang w:eastAsia="sk-SK"/>
              </w:rPr>
              <w:t>Okresné úrady</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sidRPr="00A2768A">
              <w:rPr>
                <w:rFonts w:ascii="Times New Roman" w:hAnsi="Times New Roman"/>
                <w:color w:val="000000"/>
                <w:sz w:val="16"/>
                <w:szCs w:val="16"/>
                <w:lang w:eastAsia="sk-SK"/>
              </w:rPr>
              <w:t>137 863</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169 285</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125 962</w:t>
            </w:r>
          </w:p>
        </w:tc>
        <w:tc>
          <w:tcPr>
            <w:tcW w:w="593" w:type="pct"/>
            <w:tcBorders>
              <w:top w:val="nil"/>
              <w:left w:val="nil"/>
              <w:bottom w:val="nil"/>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223 316</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highlight w:val="yellow"/>
              </w:rPr>
            </w:pPr>
            <w:r w:rsidRPr="00783B58">
              <w:rPr>
                <w:rFonts w:ascii="Times New Roman" w:hAnsi="Times New Roman"/>
                <w:color w:val="000000"/>
                <w:sz w:val="16"/>
                <w:szCs w:val="16"/>
              </w:rPr>
              <w:t>121 938</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121 642</w:t>
            </w:r>
          </w:p>
        </w:tc>
        <w:tc>
          <w:tcPr>
            <w:tcW w:w="592"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121 642</w:t>
            </w:r>
          </w:p>
        </w:tc>
      </w:tr>
      <w:tr w:rsidR="00AA17E3" w:rsidRPr="009363BF" w:rsidTr="00AA17E3">
        <w:trPr>
          <w:trHeight w:val="300"/>
        </w:trPr>
        <w:tc>
          <w:tcPr>
            <w:tcW w:w="850" w:type="pct"/>
            <w:tcBorders>
              <w:top w:val="nil"/>
              <w:left w:val="nil"/>
              <w:bottom w:val="nil"/>
              <w:right w:val="nil"/>
            </w:tcBorders>
            <w:shd w:val="clear" w:color="000000" w:fill="FFFFFF"/>
            <w:vAlign w:val="center"/>
            <w:hideMark/>
          </w:tcPr>
          <w:p w:rsidR="00AA17E3" w:rsidRPr="00427959" w:rsidRDefault="00AA17E3" w:rsidP="00AA17E3">
            <w:pPr>
              <w:rPr>
                <w:rFonts w:ascii="Times New Roman" w:hAnsi="Times New Roman"/>
                <w:color w:val="000000"/>
                <w:sz w:val="16"/>
                <w:szCs w:val="16"/>
                <w:lang w:eastAsia="sk-SK"/>
              </w:rPr>
            </w:pPr>
            <w:r w:rsidRPr="00427959">
              <w:rPr>
                <w:rFonts w:ascii="Times New Roman" w:hAnsi="Times New Roman"/>
                <w:color w:val="000000"/>
                <w:sz w:val="16"/>
                <w:szCs w:val="16"/>
                <w:lang w:eastAsia="sk-SK"/>
              </w:rPr>
              <w:t>Archívnictvo</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sidRPr="00A2768A">
              <w:rPr>
                <w:rFonts w:ascii="Times New Roman" w:hAnsi="Times New Roman"/>
                <w:color w:val="000000"/>
                <w:sz w:val="16"/>
                <w:szCs w:val="16"/>
                <w:lang w:eastAsia="sk-SK"/>
              </w:rPr>
              <w:t>6 307</w:t>
            </w:r>
          </w:p>
        </w:tc>
        <w:tc>
          <w:tcPr>
            <w:tcW w:w="593" w:type="pct"/>
            <w:tcBorders>
              <w:top w:val="nil"/>
              <w:left w:val="nil"/>
              <w:bottom w:val="nil"/>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6 364</w:t>
            </w:r>
          </w:p>
        </w:tc>
        <w:tc>
          <w:tcPr>
            <w:tcW w:w="593" w:type="pct"/>
            <w:tcBorders>
              <w:top w:val="nil"/>
              <w:left w:val="nil"/>
              <w:bottom w:val="nil"/>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5 963</w:t>
            </w:r>
          </w:p>
        </w:tc>
        <w:tc>
          <w:tcPr>
            <w:tcW w:w="593" w:type="pct"/>
            <w:tcBorders>
              <w:top w:val="nil"/>
              <w:left w:val="nil"/>
              <w:bottom w:val="nil"/>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5 826</w:t>
            </w:r>
          </w:p>
        </w:tc>
        <w:tc>
          <w:tcPr>
            <w:tcW w:w="593" w:type="pct"/>
            <w:tcBorders>
              <w:top w:val="nil"/>
              <w:left w:val="nil"/>
              <w:bottom w:val="nil"/>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6 221</w:t>
            </w:r>
          </w:p>
        </w:tc>
        <w:tc>
          <w:tcPr>
            <w:tcW w:w="593" w:type="pct"/>
            <w:tcBorders>
              <w:top w:val="nil"/>
              <w:left w:val="nil"/>
              <w:bottom w:val="nil"/>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6 221</w:t>
            </w:r>
          </w:p>
        </w:tc>
        <w:tc>
          <w:tcPr>
            <w:tcW w:w="592" w:type="pct"/>
            <w:tcBorders>
              <w:top w:val="nil"/>
              <w:left w:val="nil"/>
              <w:bottom w:val="nil"/>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6 221</w:t>
            </w:r>
          </w:p>
        </w:tc>
      </w:tr>
      <w:tr w:rsidR="00AA17E3" w:rsidRPr="009363BF" w:rsidTr="00AA17E3">
        <w:trPr>
          <w:trHeight w:val="300"/>
        </w:trPr>
        <w:tc>
          <w:tcPr>
            <w:tcW w:w="850" w:type="pct"/>
            <w:tcBorders>
              <w:top w:val="nil"/>
              <w:left w:val="nil"/>
              <w:bottom w:val="single" w:sz="4" w:space="0" w:color="auto"/>
              <w:right w:val="nil"/>
            </w:tcBorders>
            <w:shd w:val="clear" w:color="000000" w:fill="FFFFFF"/>
            <w:vAlign w:val="center"/>
            <w:hideMark/>
          </w:tcPr>
          <w:p w:rsidR="00AA17E3" w:rsidRPr="00427959" w:rsidRDefault="00AA17E3" w:rsidP="00AA17E3">
            <w:pPr>
              <w:rPr>
                <w:rFonts w:ascii="Times New Roman" w:hAnsi="Times New Roman"/>
                <w:color w:val="000000"/>
                <w:sz w:val="16"/>
                <w:szCs w:val="16"/>
                <w:lang w:eastAsia="sk-SK"/>
              </w:rPr>
            </w:pPr>
            <w:r w:rsidRPr="00427959">
              <w:rPr>
                <w:rFonts w:ascii="Times New Roman" w:hAnsi="Times New Roman"/>
                <w:color w:val="000000"/>
                <w:sz w:val="16"/>
                <w:szCs w:val="16"/>
                <w:lang w:eastAsia="sk-SK"/>
              </w:rPr>
              <w:t>Voľby</w:t>
            </w:r>
          </w:p>
        </w:tc>
        <w:tc>
          <w:tcPr>
            <w:tcW w:w="593" w:type="pct"/>
            <w:tcBorders>
              <w:top w:val="nil"/>
              <w:left w:val="nil"/>
              <w:bottom w:val="single" w:sz="4" w:space="0" w:color="auto"/>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sidRPr="00A2768A">
              <w:rPr>
                <w:rFonts w:ascii="Times New Roman" w:hAnsi="Times New Roman"/>
                <w:color w:val="000000"/>
                <w:sz w:val="16"/>
                <w:szCs w:val="16"/>
                <w:lang w:eastAsia="sk-SK"/>
              </w:rPr>
              <w:t>16 399</w:t>
            </w:r>
          </w:p>
        </w:tc>
        <w:tc>
          <w:tcPr>
            <w:tcW w:w="593" w:type="pct"/>
            <w:tcBorders>
              <w:top w:val="nil"/>
              <w:left w:val="nil"/>
              <w:bottom w:val="single" w:sz="4" w:space="0" w:color="auto"/>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9 265</w:t>
            </w:r>
          </w:p>
        </w:tc>
        <w:tc>
          <w:tcPr>
            <w:tcW w:w="593" w:type="pct"/>
            <w:tcBorders>
              <w:top w:val="nil"/>
              <w:left w:val="nil"/>
              <w:bottom w:val="single" w:sz="4" w:space="0" w:color="auto"/>
              <w:right w:val="nil"/>
            </w:tcBorders>
            <w:shd w:val="clear" w:color="000000" w:fill="FFFFFF"/>
            <w:noWrap/>
            <w:vAlign w:val="bottom"/>
            <w:hideMark/>
          </w:tcPr>
          <w:p w:rsidR="00AA17E3" w:rsidRPr="00A2768A" w:rsidRDefault="00AA17E3" w:rsidP="00AA17E3">
            <w:pPr>
              <w:jc w:val="right"/>
              <w:rPr>
                <w:rFonts w:ascii="Times New Roman" w:hAnsi="Times New Roman"/>
                <w:color w:val="000000"/>
                <w:sz w:val="16"/>
                <w:szCs w:val="16"/>
                <w:lang w:eastAsia="sk-SK"/>
              </w:rPr>
            </w:pPr>
            <w:r>
              <w:rPr>
                <w:rFonts w:ascii="Times New Roman" w:hAnsi="Times New Roman"/>
                <w:color w:val="000000"/>
                <w:sz w:val="16"/>
                <w:szCs w:val="16"/>
                <w:lang w:eastAsia="sk-SK"/>
              </w:rPr>
              <w:t>572</w:t>
            </w:r>
          </w:p>
        </w:tc>
        <w:tc>
          <w:tcPr>
            <w:tcW w:w="593" w:type="pct"/>
            <w:tcBorders>
              <w:top w:val="nil"/>
              <w:left w:val="nil"/>
              <w:bottom w:val="single" w:sz="4" w:space="0" w:color="auto"/>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572</w:t>
            </w:r>
          </w:p>
        </w:tc>
        <w:tc>
          <w:tcPr>
            <w:tcW w:w="593" w:type="pct"/>
            <w:tcBorders>
              <w:top w:val="nil"/>
              <w:left w:val="nil"/>
              <w:bottom w:val="single" w:sz="4" w:space="0" w:color="auto"/>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15 256</w:t>
            </w:r>
          </w:p>
        </w:tc>
        <w:tc>
          <w:tcPr>
            <w:tcW w:w="593" w:type="pct"/>
            <w:tcBorders>
              <w:top w:val="nil"/>
              <w:left w:val="nil"/>
              <w:bottom w:val="single" w:sz="4" w:space="0" w:color="auto"/>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780</w:t>
            </w:r>
          </w:p>
        </w:tc>
        <w:tc>
          <w:tcPr>
            <w:tcW w:w="592" w:type="pct"/>
            <w:tcBorders>
              <w:top w:val="nil"/>
              <w:left w:val="nil"/>
              <w:bottom w:val="single" w:sz="4" w:space="0" w:color="auto"/>
              <w:right w:val="nil"/>
            </w:tcBorders>
            <w:shd w:val="clear" w:color="000000" w:fill="FFFFFF"/>
            <w:vAlign w:val="bottom"/>
            <w:hideMark/>
          </w:tcPr>
          <w:p w:rsidR="00AA17E3" w:rsidRPr="00A2768A" w:rsidRDefault="00AA17E3" w:rsidP="00AA17E3">
            <w:pPr>
              <w:jc w:val="right"/>
              <w:rPr>
                <w:rFonts w:ascii="Times New Roman" w:hAnsi="Times New Roman"/>
                <w:color w:val="000000"/>
                <w:sz w:val="16"/>
                <w:szCs w:val="16"/>
              </w:rPr>
            </w:pPr>
            <w:r>
              <w:rPr>
                <w:rFonts w:ascii="Times New Roman" w:hAnsi="Times New Roman"/>
                <w:color w:val="000000"/>
                <w:sz w:val="16"/>
                <w:szCs w:val="16"/>
              </w:rPr>
              <w:t>36 804</w:t>
            </w:r>
          </w:p>
        </w:tc>
      </w:tr>
    </w:tbl>
    <w:p w:rsidR="00AA17E3" w:rsidRPr="00427959" w:rsidRDefault="00AA17E3" w:rsidP="00AA17E3">
      <w:pPr>
        <w:keepNext/>
        <w:spacing w:after="200" w:line="240" w:lineRule="auto"/>
        <w:rPr>
          <w:rFonts w:ascii="Times New Roman" w:hAnsi="Times New Roman"/>
          <w:b/>
          <w:iCs/>
          <w:color w:val="5B9BD5" w:themeColor="accent1"/>
          <w:sz w:val="20"/>
          <w:szCs w:val="20"/>
        </w:rPr>
      </w:pPr>
      <w:bookmarkStart w:id="659" w:name="_Toc53054210"/>
      <w:bookmarkStart w:id="660" w:name="_Toc53054871"/>
      <w:bookmarkStart w:id="661" w:name="_Toc53078063"/>
      <w:bookmarkStart w:id="662" w:name="_Toc53086465"/>
      <w:bookmarkStart w:id="663" w:name="_Toc84528497"/>
      <w:bookmarkStart w:id="664" w:name="_Toc84845373"/>
      <w:r w:rsidRPr="009363BF">
        <w:rPr>
          <w:rFonts w:ascii="Times New Roman" w:hAnsi="Times New Roman"/>
          <w:b/>
          <w:iCs/>
          <w:color w:val="5B9BD5" w:themeColor="accent1"/>
          <w:sz w:val="20"/>
          <w:szCs w:val="20"/>
        </w:rPr>
        <w:t xml:space="preserve">Tabuľka </w:t>
      </w:r>
      <w:r w:rsidRPr="009363BF">
        <w:rPr>
          <w:rFonts w:ascii="Times New Roman" w:hAnsi="Times New Roman"/>
          <w:b/>
          <w:iCs/>
          <w:color w:val="5B9BD5" w:themeColor="accent1"/>
          <w:sz w:val="20"/>
          <w:szCs w:val="20"/>
        </w:rPr>
        <w:fldChar w:fldCharType="begin"/>
      </w:r>
      <w:r w:rsidRPr="009363BF">
        <w:rPr>
          <w:rFonts w:ascii="Times New Roman" w:hAnsi="Times New Roman"/>
          <w:b/>
          <w:iCs/>
          <w:color w:val="5B9BD5" w:themeColor="accent1"/>
          <w:sz w:val="20"/>
          <w:szCs w:val="20"/>
        </w:rPr>
        <w:instrText xml:space="preserve"> SEQ Tabuľka \* ARABIC </w:instrText>
      </w:r>
      <w:r w:rsidRPr="009363BF">
        <w:rPr>
          <w:rFonts w:ascii="Times New Roman" w:hAnsi="Times New Roman"/>
          <w:b/>
          <w:iCs/>
          <w:color w:val="5B9BD5" w:themeColor="accent1"/>
          <w:sz w:val="20"/>
          <w:szCs w:val="20"/>
        </w:rPr>
        <w:fldChar w:fldCharType="separate"/>
      </w:r>
      <w:r w:rsidR="006E67C6">
        <w:rPr>
          <w:rFonts w:ascii="Times New Roman" w:hAnsi="Times New Roman"/>
          <w:b/>
          <w:iCs/>
          <w:noProof/>
          <w:color w:val="5B9BD5" w:themeColor="accent1"/>
          <w:sz w:val="20"/>
          <w:szCs w:val="20"/>
        </w:rPr>
        <w:t>149</w:t>
      </w:r>
      <w:r w:rsidRPr="009363BF">
        <w:rPr>
          <w:rFonts w:ascii="Times New Roman" w:hAnsi="Times New Roman"/>
          <w:b/>
          <w:iCs/>
          <w:color w:val="5B9BD5" w:themeColor="accent1"/>
          <w:sz w:val="20"/>
          <w:szCs w:val="20"/>
        </w:rPr>
        <w:fldChar w:fldCharType="end"/>
      </w:r>
      <w:r w:rsidRPr="00427959">
        <w:rPr>
          <w:rFonts w:ascii="Times New Roman" w:hAnsi="Times New Roman"/>
          <w:b/>
          <w:iCs/>
          <w:color w:val="5B9BD5" w:themeColor="accent1"/>
          <w:sz w:val="20"/>
          <w:szCs w:val="20"/>
        </w:rPr>
        <w:t xml:space="preserve"> </w:t>
      </w:r>
      <w:r w:rsidR="00780017">
        <w:rPr>
          <w:rFonts w:ascii="Times New Roman" w:hAnsi="Times New Roman"/>
          <w:b/>
          <w:iCs/>
          <w:color w:val="5B9BD5" w:themeColor="accent1"/>
          <w:sz w:val="20"/>
          <w:szCs w:val="20"/>
        </w:rPr>
        <w:t>–</w:t>
      </w:r>
      <w:r w:rsidRPr="00427959">
        <w:rPr>
          <w:rFonts w:ascii="Times New Roman" w:hAnsi="Times New Roman"/>
          <w:b/>
          <w:iCs/>
          <w:color w:val="5B9BD5" w:themeColor="accent1"/>
          <w:sz w:val="20"/>
          <w:szCs w:val="20"/>
        </w:rPr>
        <w:t xml:space="preserve"> </w:t>
      </w:r>
      <w:r w:rsidR="00780017">
        <w:rPr>
          <w:rFonts w:ascii="Times New Roman" w:hAnsi="Times New Roman"/>
          <w:b/>
          <w:iCs/>
          <w:color w:val="5B9BD5" w:themeColor="accent1"/>
          <w:sz w:val="20"/>
          <w:szCs w:val="20"/>
        </w:rPr>
        <w:t>Výdavky na miestnu štátnu</w:t>
      </w:r>
      <w:r w:rsidRPr="00427959">
        <w:rPr>
          <w:rFonts w:ascii="Times New Roman" w:hAnsi="Times New Roman"/>
          <w:b/>
          <w:iCs/>
          <w:color w:val="5B9BD5" w:themeColor="accent1"/>
          <w:sz w:val="20"/>
          <w:szCs w:val="20"/>
        </w:rPr>
        <w:t xml:space="preserve"> správ</w:t>
      </w:r>
      <w:bookmarkEnd w:id="659"/>
      <w:bookmarkEnd w:id="660"/>
      <w:bookmarkEnd w:id="661"/>
      <w:bookmarkEnd w:id="662"/>
      <w:bookmarkEnd w:id="663"/>
      <w:r w:rsidR="00780017">
        <w:rPr>
          <w:rFonts w:ascii="Times New Roman" w:hAnsi="Times New Roman"/>
          <w:b/>
          <w:iCs/>
          <w:color w:val="5B9BD5" w:themeColor="accent1"/>
          <w:sz w:val="20"/>
          <w:szCs w:val="20"/>
        </w:rPr>
        <w:t>u</w:t>
      </w:r>
      <w:bookmarkEnd w:id="664"/>
    </w:p>
    <w:p w:rsidR="00AA17E3" w:rsidRPr="00427959" w:rsidRDefault="00AA17E3" w:rsidP="00F7633B">
      <w:pPr>
        <w:spacing w:after="0"/>
        <w:ind w:left="7080" w:firstLine="708"/>
        <w:jc w:val="both"/>
        <w:rPr>
          <w:rFonts w:ascii="Arial Narrow" w:hAnsi="Arial Narrow"/>
          <w:b/>
          <w:i/>
        </w:rPr>
      </w:pPr>
      <w:r w:rsidRPr="00427959">
        <w:rPr>
          <w:rFonts w:ascii="Times New Roman" w:hAnsi="Times New Roman"/>
          <w:i/>
          <w:kern w:val="32"/>
          <w:sz w:val="16"/>
          <w:szCs w:val="16"/>
        </w:rPr>
        <w:t xml:space="preserve">       Zdroj: MF SR</w:t>
      </w:r>
    </w:p>
    <w:p w:rsidR="00F7633B" w:rsidRDefault="00F7633B" w:rsidP="00F7633B">
      <w:pPr>
        <w:spacing w:after="0"/>
        <w:jc w:val="both"/>
        <w:rPr>
          <w:rFonts w:ascii="Times New Roman" w:hAnsi="Times New Roman"/>
          <w:sz w:val="24"/>
          <w:szCs w:val="24"/>
        </w:rPr>
      </w:pPr>
    </w:p>
    <w:p w:rsidR="00AA17E3" w:rsidRPr="00A2768A" w:rsidRDefault="00AA17E3" w:rsidP="00F7633B">
      <w:pPr>
        <w:spacing w:after="0"/>
        <w:jc w:val="both"/>
        <w:rPr>
          <w:rFonts w:ascii="Times New Roman" w:hAnsi="Times New Roman"/>
          <w:sz w:val="24"/>
          <w:szCs w:val="24"/>
        </w:rPr>
      </w:pPr>
      <w:r w:rsidRPr="00A2768A">
        <w:rPr>
          <w:rFonts w:ascii="Times New Roman" w:hAnsi="Times New Roman"/>
          <w:sz w:val="24"/>
          <w:szCs w:val="24"/>
        </w:rPr>
        <w:t xml:space="preserve">Okresné úrady zabezpečujú najmä plnenie úloh v oblasti všeobecnej vnútornej správy a živnostenského podnikania. V rámci všeobecnej vnútornej správy sa plnia úlohy na úseku priestupkov, matrík, na úseku územného a správneho usporiadania, štátnych symbolov, verejných zbierok, na úseku volieb a referenda, na úseku hlásenia pobytu občanov a registra obyvateľov, na úseku registrácie, na úseku vydávania osobitných označení vozidiel a preukazov osobitných označení vozidiel a na úseku štátneho občianstva. Ďalej </w:t>
      </w:r>
      <w:r w:rsidR="00422E8F">
        <w:rPr>
          <w:rFonts w:ascii="Times New Roman" w:hAnsi="Times New Roman"/>
          <w:sz w:val="24"/>
          <w:szCs w:val="24"/>
        </w:rPr>
        <w:t>sem</w:t>
      </w:r>
      <w:r w:rsidRPr="00A2768A">
        <w:rPr>
          <w:rFonts w:ascii="Times New Roman" w:hAnsi="Times New Roman"/>
          <w:sz w:val="24"/>
          <w:szCs w:val="24"/>
        </w:rPr>
        <w:t xml:space="preserve"> patria oblasti katastra, výstavba a bytová politika, územná vojenská správa, pozemkové úpravy a cestná doprava.</w:t>
      </w:r>
      <w:r>
        <w:rPr>
          <w:rFonts w:ascii="Times New Roman" w:hAnsi="Times New Roman"/>
          <w:sz w:val="24"/>
          <w:szCs w:val="24"/>
        </w:rPr>
        <w:t xml:space="preserve"> Na prenesený výkon štátnej správy na matriky boli zvýšené výdavky každoročne o sumu </w:t>
      </w:r>
      <w:r w:rsidR="00422E8F">
        <w:rPr>
          <w:rFonts w:ascii="Times New Roman" w:hAnsi="Times New Roman"/>
          <w:sz w:val="24"/>
          <w:szCs w:val="24"/>
        </w:rPr>
        <w:br/>
      </w:r>
      <w:r>
        <w:rPr>
          <w:rFonts w:ascii="Times New Roman" w:hAnsi="Times New Roman"/>
          <w:sz w:val="24"/>
          <w:szCs w:val="24"/>
        </w:rPr>
        <w:t>1,6 mil. eur.</w:t>
      </w:r>
    </w:p>
    <w:p w:rsidR="00AA17E3" w:rsidRPr="00A2768A" w:rsidRDefault="00AA17E3" w:rsidP="00AA17E3">
      <w:pPr>
        <w:spacing w:after="0"/>
        <w:jc w:val="both"/>
        <w:rPr>
          <w:rFonts w:ascii="Times New Roman" w:hAnsi="Times New Roman"/>
          <w:sz w:val="24"/>
          <w:szCs w:val="24"/>
        </w:rPr>
      </w:pPr>
    </w:p>
    <w:p w:rsidR="00AA17E3" w:rsidRPr="00A2768A" w:rsidRDefault="00AA17E3" w:rsidP="00AA17E3">
      <w:pPr>
        <w:spacing w:after="0"/>
        <w:jc w:val="both"/>
        <w:rPr>
          <w:rFonts w:ascii="Times New Roman" w:hAnsi="Times New Roman"/>
          <w:sz w:val="24"/>
          <w:szCs w:val="24"/>
        </w:rPr>
      </w:pPr>
      <w:r w:rsidRPr="00A2768A">
        <w:rPr>
          <w:rFonts w:ascii="Times New Roman" w:hAnsi="Times New Roman"/>
          <w:sz w:val="24"/>
          <w:szCs w:val="24"/>
        </w:rPr>
        <w:t xml:space="preserve">Na plnenie úloh štátnej správy na úseku archívov a registratúr sú v pôsobnosti rezortu vnútra zriadené 2 štátne ústredné archívy a 8 štátnych archívov s územnou regionálnou pôsobnosťou, ktoré zabezpečujú starostlivosť o archívne dokumenty, ich odborné a vedecké spracovanie a sprístupnenie, ako aj využívanie na vedecké a iné účely. </w:t>
      </w:r>
    </w:p>
    <w:p w:rsidR="00AA17E3" w:rsidRDefault="00AA17E3" w:rsidP="00AA17E3">
      <w:pPr>
        <w:spacing w:after="0"/>
        <w:jc w:val="both"/>
        <w:rPr>
          <w:rFonts w:ascii="Times New Roman" w:hAnsi="Times New Roman"/>
          <w:sz w:val="24"/>
          <w:szCs w:val="24"/>
        </w:rPr>
      </w:pPr>
    </w:p>
    <w:p w:rsidR="00AA17E3" w:rsidRPr="00A2768A" w:rsidRDefault="00AA17E3" w:rsidP="00AA17E3">
      <w:pPr>
        <w:spacing w:after="0"/>
        <w:jc w:val="both"/>
        <w:rPr>
          <w:rFonts w:ascii="Times New Roman" w:hAnsi="Times New Roman"/>
          <w:sz w:val="24"/>
          <w:szCs w:val="24"/>
        </w:rPr>
      </w:pPr>
      <w:r>
        <w:rPr>
          <w:rFonts w:ascii="Times New Roman" w:hAnsi="Times New Roman"/>
          <w:sz w:val="24"/>
          <w:szCs w:val="24"/>
        </w:rPr>
        <w:t>Na zabezpečenie volieb sa v roku 2022 rozpočtujú prostriedky na voľby do orgánov samosprávy obcí a orgánov vyšších územných celkov v sume 14,7 mil. eur, ktoré sa v roku 2022 budú prvýkrát konať spoločne a nové voľby v sume 548 tis. eur.</w:t>
      </w:r>
    </w:p>
    <w:p w:rsidR="00AA17E3" w:rsidRDefault="00AA17E3" w:rsidP="00F0616E">
      <w:pPr>
        <w:spacing w:after="0"/>
        <w:jc w:val="both"/>
        <w:rPr>
          <w:rFonts w:ascii="Times New Roman" w:hAnsi="Times New Roman" w:cs="Times New Roman"/>
          <w:sz w:val="24"/>
          <w:szCs w:val="24"/>
        </w:rPr>
      </w:pPr>
    </w:p>
    <w:bookmarkEnd w:id="137"/>
    <w:bookmarkEnd w:id="138"/>
    <w:bookmarkEnd w:id="139"/>
    <w:p w:rsidR="007C46C2" w:rsidRDefault="007C46C2" w:rsidP="008B0867">
      <w:pPr>
        <w:spacing w:after="0"/>
        <w:jc w:val="both"/>
        <w:rPr>
          <w:rFonts w:ascii="Times New Roman" w:hAnsi="Times New Roman" w:cs="Times New Roman"/>
          <w:sz w:val="24"/>
          <w:szCs w:val="24"/>
        </w:rPr>
      </w:pPr>
    </w:p>
    <w:sectPr w:rsidR="007C46C2" w:rsidSect="002F16B8">
      <w:headerReference w:type="default" r:id="rId90"/>
      <w:footerReference w:type="default" r:id="rId9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63E" w:rsidRDefault="0049163E" w:rsidP="00052B0A">
      <w:pPr>
        <w:spacing w:after="0" w:line="240" w:lineRule="auto"/>
      </w:pPr>
      <w:r>
        <w:separator/>
      </w:r>
    </w:p>
  </w:endnote>
  <w:endnote w:type="continuationSeparator" w:id="0">
    <w:p w:rsidR="0049163E" w:rsidRDefault="0049163E" w:rsidP="0005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NeueHaasGroteskText W02">
    <w:charset w:val="EE"/>
    <w:family w:val="swiss"/>
    <w:pitch w:val="variable"/>
    <w:sig w:usb0="800000AF" w:usb1="4000204A" w:usb2="00000000" w:usb3="00000000" w:csb0="00000093" w:csb1="00000000"/>
  </w:font>
  <w:font w:name="Segoe UI Symbol">
    <w:panose1 w:val="020B0502040204020203"/>
    <w:charset w:val="00"/>
    <w:family w:val="swiss"/>
    <w:pitch w:val="variable"/>
    <w:sig w:usb0="8000006F" w:usb1="1200FBEF" w:usb2="0064C000" w:usb3="00000000" w:csb0="00000001" w:csb1="00000000"/>
  </w:font>
  <w:font w:name="Franklin Gothic Book">
    <w:panose1 w:val="020B05030201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739277"/>
      <w:docPartObj>
        <w:docPartGallery w:val="Page Numbers (Bottom of Page)"/>
        <w:docPartUnique/>
      </w:docPartObj>
    </w:sdtPr>
    <w:sdtEndPr>
      <w:rPr>
        <w:rFonts w:ascii="Times New Roman" w:hAnsi="Times New Roman" w:cs="Times New Roman"/>
        <w:sz w:val="24"/>
      </w:rPr>
    </w:sdtEndPr>
    <w:sdtContent>
      <w:p w:rsidR="00212487" w:rsidRPr="002F16B8" w:rsidRDefault="00212487">
        <w:pPr>
          <w:pStyle w:val="Pta"/>
          <w:jc w:val="right"/>
          <w:rPr>
            <w:rFonts w:ascii="Times New Roman" w:hAnsi="Times New Roman" w:cs="Times New Roman"/>
            <w:sz w:val="24"/>
          </w:rPr>
        </w:pPr>
        <w:r w:rsidRPr="00094104">
          <w:rPr>
            <w:noProof/>
            <w:sz w:val="28"/>
            <w:lang w:eastAsia="sk-SK"/>
          </w:rPr>
          <mc:AlternateContent>
            <mc:Choice Requires="wps">
              <w:drawing>
                <wp:anchor distT="0" distB="0" distL="114300" distR="114300" simplePos="0" relativeHeight="251663360" behindDoc="0" locked="0" layoutInCell="0" allowOverlap="1" wp14:anchorId="37AC8C8B" wp14:editId="719877C0">
                  <wp:simplePos x="0" y="0"/>
                  <wp:positionH relativeFrom="page">
                    <wp:posOffset>6372859</wp:posOffset>
                  </wp:positionH>
                  <wp:positionV relativeFrom="page">
                    <wp:posOffset>9896475</wp:posOffset>
                  </wp:positionV>
                  <wp:extent cx="45719" cy="189865"/>
                  <wp:effectExtent l="0" t="0" r="0" b="635"/>
                  <wp:wrapNone/>
                  <wp:docPr id="2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5719" cy="189865"/>
                          </a:xfrm>
                          <a:prstGeom prst="rect">
                            <a:avLst/>
                          </a:prstGeom>
                          <a:solidFill>
                            <a:srgbClr val="37A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C3B94" id="Rectangle 14" o:spid="_x0000_s1026" style="position:absolute;margin-left:501.8pt;margin-top:779.25pt;width:3.6pt;height:14.95pt;rotation:180;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" o:allowincell="f" fillcolor="#37abe1" stroked="f">
                  <v:path arrowok="t"/>
                  <w10:wrap anchorx="page" anchory="page"/>
                </v:rect>
              </w:pict>
            </mc:Fallback>
          </mc:AlternateContent>
        </w:r>
        <w:r>
          <w:rPr>
            <w:noProof/>
            <w:lang w:eastAsia="sk-SK"/>
          </w:rPr>
          <mc:AlternateContent>
            <mc:Choice Requires="wps">
              <w:drawing>
                <wp:anchor distT="45720" distB="45720" distL="114300" distR="114300" simplePos="0" relativeHeight="251661312" behindDoc="0" locked="0" layoutInCell="1" allowOverlap="1" wp14:anchorId="5BE3940A" wp14:editId="44B3208B">
                  <wp:simplePos x="0" y="0"/>
                  <wp:positionH relativeFrom="column">
                    <wp:posOffset>3546282</wp:posOffset>
                  </wp:positionH>
                  <wp:positionV relativeFrom="paragraph">
                    <wp:posOffset>-81169</wp:posOffset>
                  </wp:positionV>
                  <wp:extent cx="1894081" cy="522514"/>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081" cy="522514"/>
                          </a:xfrm>
                          <a:prstGeom prst="rect">
                            <a:avLst/>
                          </a:prstGeom>
                          <a:solidFill>
                            <a:srgbClr val="FFFFFF"/>
                          </a:solidFill>
                          <a:ln w="9525">
                            <a:noFill/>
                            <a:miter lim="800000"/>
                            <a:headEnd/>
                            <a:tailEnd/>
                          </a:ln>
                        </wps:spPr>
                        <wps:txbx>
                          <w:txbxContent>
                            <w:p w:rsidR="00212487" w:rsidRPr="00534786" w:rsidRDefault="00212487" w:rsidP="002F16B8">
                              <w:pPr>
                                <w:jc w:val="right"/>
                                <w:rPr>
                                  <w:color w:val="595959" w:themeColor="text1" w:themeTint="A6"/>
                                </w:rPr>
                              </w:pPr>
                              <w:r w:rsidRPr="00534786">
                                <w:rPr>
                                  <w:rFonts w:ascii="Times New Roman" w:hAnsi="Times New Roman" w:cs="Times New Roman"/>
                                  <w:color w:val="595959" w:themeColor="text1" w:themeTint="A6"/>
                                  <w:sz w:val="20"/>
                                </w:rPr>
                                <w:t>Návrh rozpoč</w:t>
                              </w:r>
                              <w:r>
                                <w:rPr>
                                  <w:rFonts w:ascii="Times New Roman" w:hAnsi="Times New Roman" w:cs="Times New Roman"/>
                                  <w:color w:val="595959" w:themeColor="text1" w:themeTint="A6"/>
                                  <w:sz w:val="20"/>
                                </w:rPr>
                                <w:t xml:space="preserve">tu verejnej správy </w:t>
                              </w:r>
                              <w:r>
                                <w:rPr>
                                  <w:rFonts w:ascii="Times New Roman" w:hAnsi="Times New Roman" w:cs="Times New Roman"/>
                                  <w:color w:val="595959" w:themeColor="text1" w:themeTint="A6"/>
                                  <w:sz w:val="20"/>
                                </w:rPr>
                                <w:br/>
                                <w:t>na roky 2022 až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3940A" id="_x0000_t202" coordsize="21600,21600" o:spt="202" path="m,l,21600r21600,l21600,xe">
                  <v:stroke joinstyle="miter"/>
                  <v:path gradientshapeok="t" o:connecttype="rect"/>
                </v:shapetype>
                <v:shape id="Textové pole 2" o:spid="_x0000_s1026" type="#_x0000_t202" style="position:absolute;left:0;text-align:left;margin-left:279.25pt;margin-top:-6.4pt;width:149.15pt;height:41.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" stroked="f">
                  <v:textbox>
                    <w:txbxContent>
                      <w:p w:rsidR="00212487" w:rsidRPr="00534786" w:rsidRDefault="00212487" w:rsidP="002F16B8">
                        <w:pPr>
                          <w:jc w:val="right"/>
                          <w:rPr>
                            <w:color w:val="595959" w:themeColor="text1" w:themeTint="A6"/>
                          </w:rPr>
                        </w:pPr>
                        <w:r w:rsidRPr="00534786">
                          <w:rPr>
                            <w:rFonts w:ascii="Times New Roman" w:hAnsi="Times New Roman" w:cs="Times New Roman"/>
                            <w:color w:val="595959" w:themeColor="text1" w:themeTint="A6"/>
                            <w:sz w:val="20"/>
                          </w:rPr>
                          <w:t>Návrh rozpoč</w:t>
                        </w:r>
                        <w:r>
                          <w:rPr>
                            <w:rFonts w:ascii="Times New Roman" w:hAnsi="Times New Roman" w:cs="Times New Roman"/>
                            <w:color w:val="595959" w:themeColor="text1" w:themeTint="A6"/>
                            <w:sz w:val="20"/>
                          </w:rPr>
                          <w:t xml:space="preserve">tu verejnej správy </w:t>
                        </w:r>
                        <w:r>
                          <w:rPr>
                            <w:rFonts w:ascii="Times New Roman" w:hAnsi="Times New Roman" w:cs="Times New Roman"/>
                            <w:color w:val="595959" w:themeColor="text1" w:themeTint="A6"/>
                            <w:sz w:val="20"/>
                          </w:rPr>
                          <w:br/>
                          <w:t>na roky 2022 až 2024</w:t>
                        </w:r>
                      </w:p>
                    </w:txbxContent>
                  </v:textbox>
                </v:shape>
              </w:pict>
            </mc:Fallback>
          </mc:AlternateContent>
        </w:r>
        <w:r w:rsidRPr="002F16B8">
          <w:rPr>
            <w:rFonts w:ascii="Times New Roman" w:hAnsi="Times New Roman" w:cs="Times New Roman"/>
            <w:sz w:val="24"/>
          </w:rPr>
          <w:fldChar w:fldCharType="begin"/>
        </w:r>
        <w:r w:rsidRPr="002F16B8">
          <w:rPr>
            <w:rFonts w:ascii="Times New Roman" w:hAnsi="Times New Roman" w:cs="Times New Roman"/>
            <w:sz w:val="24"/>
          </w:rPr>
          <w:instrText>PAGE   \* MERGEFORMAT</w:instrText>
        </w:r>
        <w:r w:rsidRPr="002F16B8">
          <w:rPr>
            <w:rFonts w:ascii="Times New Roman" w:hAnsi="Times New Roman" w:cs="Times New Roman"/>
            <w:sz w:val="24"/>
          </w:rPr>
          <w:fldChar w:fldCharType="separate"/>
        </w:r>
        <w:r w:rsidR="006E67C6">
          <w:rPr>
            <w:rFonts w:ascii="Times New Roman" w:hAnsi="Times New Roman" w:cs="Times New Roman"/>
            <w:noProof/>
            <w:sz w:val="24"/>
          </w:rPr>
          <w:t>3</w:t>
        </w:r>
        <w:r w:rsidRPr="002F16B8">
          <w:rPr>
            <w:rFonts w:ascii="Times New Roman" w:hAnsi="Times New Roman" w:cs="Times New Roman"/>
            <w:sz w:val="24"/>
          </w:rPr>
          <w:fldChar w:fldCharType="end"/>
        </w:r>
      </w:p>
    </w:sdtContent>
  </w:sdt>
  <w:p w:rsidR="00212487" w:rsidRDefault="0021248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63E" w:rsidRDefault="0049163E" w:rsidP="00052B0A">
      <w:pPr>
        <w:spacing w:after="0" w:line="240" w:lineRule="auto"/>
      </w:pPr>
      <w:r>
        <w:separator/>
      </w:r>
    </w:p>
  </w:footnote>
  <w:footnote w:type="continuationSeparator" w:id="0">
    <w:p w:rsidR="0049163E" w:rsidRDefault="0049163E" w:rsidP="00052B0A">
      <w:pPr>
        <w:spacing w:after="0" w:line="240" w:lineRule="auto"/>
      </w:pPr>
      <w:r>
        <w:continuationSeparator/>
      </w:r>
    </w:p>
  </w:footnote>
  <w:footnote w:id="1">
    <w:p w:rsidR="00212487" w:rsidRPr="00BB5E23" w:rsidRDefault="00212487">
      <w:pPr>
        <w:pStyle w:val="Textpoznmkypodiarou"/>
        <w:rPr>
          <w:rFonts w:ascii="Times New Roman" w:hAnsi="Times New Roman"/>
          <w:sz w:val="16"/>
          <w:szCs w:val="16"/>
        </w:rPr>
      </w:pPr>
      <w:r w:rsidRPr="00BB5E23">
        <w:rPr>
          <w:rStyle w:val="Odkaznapoznmkupodiarou"/>
          <w:rFonts w:ascii="Times New Roman" w:hAnsi="Times New Roman"/>
          <w:sz w:val="16"/>
          <w:szCs w:val="16"/>
        </w:rPr>
        <w:footnoteRef/>
      </w:r>
      <w:r w:rsidRPr="00BB5E23">
        <w:rPr>
          <w:rFonts w:ascii="Times New Roman" w:hAnsi="Times New Roman"/>
          <w:sz w:val="16"/>
          <w:szCs w:val="16"/>
        </w:rPr>
        <w:t xml:space="preserve"> </w:t>
      </w:r>
      <w:r w:rsidRPr="00BB5E23">
        <w:rPr>
          <w:rFonts w:ascii="Times New Roman" w:eastAsia="Calibri" w:hAnsi="Times New Roman"/>
          <w:sz w:val="16"/>
          <w:szCs w:val="16"/>
        </w:rPr>
        <w:t>Časť z týchto príjmov v podobe DPH vo výške okolo 200 až 230 mil. eur ročne nezlepší bilanciu rozpočtu verejnej správy. Dôvodom je, že DPH pri projektoch z Plánu obnovy a odolnosti bude financovaná zo štátneho rozpočtu, navýši teda príjmy aj výdavky.</w:t>
      </w:r>
    </w:p>
  </w:footnote>
  <w:footnote w:id="2">
    <w:p w:rsidR="00212487" w:rsidRPr="008D2AF5" w:rsidRDefault="00212487" w:rsidP="00E34105">
      <w:pPr>
        <w:pStyle w:val="Textpoznmkypodiarou"/>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Novelou zákona o štátnom rozpočte sa zmenili schválené limity štátneho rozpočtu na rok 2021, avšak pre lepšiu porovnateľnosť sa v celom dokumente hodnoty porovnávajú k schválenému rozpočtu verejnej správy na roky 2021 až 2023 pokiaľ nie je uvedené inak.</w:t>
      </w:r>
    </w:p>
  </w:footnote>
  <w:footnote w:id="3">
    <w:p w:rsidR="00212487" w:rsidRPr="0024278B" w:rsidRDefault="00212487" w:rsidP="00E1032E">
      <w:pPr>
        <w:pStyle w:val="Textpoznmkypodiarou"/>
        <w:jc w:val="both"/>
        <w:rPr>
          <w:rFonts w:ascii="Times New Roman" w:hAnsi="Times New Roman"/>
          <w:sz w:val="16"/>
          <w:szCs w:val="16"/>
        </w:rPr>
      </w:pPr>
      <w:r w:rsidRPr="0024278B">
        <w:rPr>
          <w:rStyle w:val="Odkaznapoznmkupodiarou"/>
          <w:rFonts w:ascii="Times New Roman" w:hAnsi="Times New Roman"/>
          <w:sz w:val="16"/>
          <w:szCs w:val="16"/>
        </w:rPr>
        <w:footnoteRef/>
      </w:r>
      <w:r w:rsidRPr="0024278B">
        <w:rPr>
          <w:rFonts w:ascii="Times New Roman" w:hAnsi="Times New Roman"/>
          <w:sz w:val="16"/>
          <w:szCs w:val="16"/>
        </w:rPr>
        <w:t xml:space="preserve"> Predpokladá sa, že na boj s</w:t>
      </w:r>
      <w:r>
        <w:rPr>
          <w:rFonts w:ascii="Times New Roman" w:hAnsi="Times New Roman"/>
          <w:sz w:val="16"/>
          <w:szCs w:val="16"/>
        </w:rPr>
        <w:t> </w:t>
      </w:r>
      <w:r w:rsidRPr="0024278B">
        <w:rPr>
          <w:rFonts w:ascii="Times New Roman" w:hAnsi="Times New Roman"/>
          <w:sz w:val="16"/>
          <w:szCs w:val="16"/>
        </w:rPr>
        <w:t>pandémiou</w:t>
      </w:r>
      <w:r>
        <w:rPr>
          <w:rFonts w:ascii="Times New Roman" w:hAnsi="Times New Roman"/>
          <w:sz w:val="16"/>
          <w:szCs w:val="16"/>
        </w:rPr>
        <w:t xml:space="preserve"> ohorenia</w:t>
      </w:r>
      <w:r w:rsidRPr="0024278B">
        <w:rPr>
          <w:rFonts w:ascii="Times New Roman" w:hAnsi="Times New Roman"/>
          <w:sz w:val="16"/>
          <w:szCs w:val="16"/>
        </w:rPr>
        <w:t xml:space="preserve"> COVID-19 budú použité celkové výdavky </w:t>
      </w:r>
      <w:r>
        <w:rPr>
          <w:rFonts w:ascii="Times New Roman" w:hAnsi="Times New Roman"/>
          <w:sz w:val="16"/>
          <w:szCs w:val="16"/>
        </w:rPr>
        <w:t xml:space="preserve">rozpočtu verejnej správy </w:t>
      </w:r>
      <w:r w:rsidRPr="0024278B">
        <w:rPr>
          <w:rFonts w:ascii="Times New Roman" w:hAnsi="Times New Roman"/>
          <w:sz w:val="16"/>
          <w:szCs w:val="16"/>
        </w:rPr>
        <w:t xml:space="preserve">na úrovni </w:t>
      </w:r>
      <w:r>
        <w:rPr>
          <w:rFonts w:ascii="Times New Roman" w:hAnsi="Times New Roman"/>
          <w:sz w:val="16"/>
          <w:szCs w:val="16"/>
        </w:rPr>
        <w:t xml:space="preserve"> 3,12 % HDP</w:t>
      </w:r>
      <w:r w:rsidRPr="0024278B">
        <w:rPr>
          <w:rFonts w:ascii="Times New Roman" w:hAnsi="Times New Roman"/>
          <w:sz w:val="16"/>
          <w:szCs w:val="16"/>
        </w:rPr>
        <w:t>, nakoľko pôvodne schválený rozpočet na rok 2021 u</w:t>
      </w:r>
      <w:r>
        <w:rPr>
          <w:rFonts w:ascii="Times New Roman" w:hAnsi="Times New Roman"/>
          <w:sz w:val="16"/>
          <w:szCs w:val="16"/>
        </w:rPr>
        <w:t>ž obsahoval R</w:t>
      </w:r>
      <w:r w:rsidRPr="0024278B">
        <w:rPr>
          <w:rFonts w:ascii="Times New Roman" w:hAnsi="Times New Roman"/>
          <w:sz w:val="16"/>
          <w:szCs w:val="16"/>
        </w:rPr>
        <w:t>ezervu na negatívne vplyvy pandémie ochorenia COVID-19</w:t>
      </w:r>
      <w:r>
        <w:rPr>
          <w:rFonts w:ascii="Times New Roman" w:hAnsi="Times New Roman"/>
          <w:sz w:val="16"/>
          <w:szCs w:val="16"/>
        </w:rPr>
        <w:t>.</w:t>
      </w:r>
    </w:p>
  </w:footnote>
  <w:footnote w:id="4">
    <w:p w:rsidR="00212487" w:rsidRPr="00F2313A" w:rsidRDefault="00212487" w:rsidP="00E34105">
      <w:pPr>
        <w:pStyle w:val="Textpoznmkypodiarou"/>
        <w:jc w:val="both"/>
        <w:rPr>
          <w:rFonts w:ascii="Times New Roman" w:hAnsi="Times New Roman"/>
          <w:sz w:val="16"/>
        </w:rPr>
      </w:pPr>
      <w:r w:rsidRPr="00F2313A">
        <w:rPr>
          <w:rStyle w:val="Odkaznapoznmkupodiarou"/>
          <w:rFonts w:ascii="Times New Roman" w:hAnsi="Times New Roman"/>
          <w:sz w:val="16"/>
        </w:rPr>
        <w:footnoteRef/>
      </w:r>
      <w:r w:rsidRPr="00F2313A">
        <w:rPr>
          <w:rFonts w:ascii="Times New Roman" w:hAnsi="Times New Roman"/>
          <w:sz w:val="16"/>
        </w:rPr>
        <w:t xml:space="preserve"> Programové vyhlásenie vlády SR na roky 2020 až 2024 (str. 60): „Časť príjmov a výdavkov verejnej správy sa v súčasnosti nerozpočtuje, ich podiel znížime.“</w:t>
      </w:r>
    </w:p>
  </w:footnote>
  <w:footnote w:id="5">
    <w:p w:rsidR="00212487" w:rsidRPr="009A796A" w:rsidRDefault="00212487" w:rsidP="00EA1CFD">
      <w:pPr>
        <w:pStyle w:val="Textpoznmkypodiarou"/>
        <w:ind w:left="142" w:hanging="142"/>
        <w:jc w:val="both"/>
        <w:rPr>
          <w:rStyle w:val="Odkaznapoznmkupodiarou"/>
          <w:rFonts w:ascii="Times New Roman" w:hAnsi="Times New Roman"/>
          <w:sz w:val="16"/>
          <w:szCs w:val="16"/>
          <w:vertAlign w:val="baseline"/>
        </w:rPr>
      </w:pPr>
      <w:r w:rsidRPr="009A796A">
        <w:rPr>
          <w:rStyle w:val="Odkaznapoznmkupodiarou"/>
          <w:rFonts w:ascii="Times New Roman" w:hAnsi="Times New Roman"/>
          <w:sz w:val="16"/>
          <w:szCs w:val="16"/>
          <w:vertAlign w:val="baseline"/>
        </w:rPr>
        <w:footnoteRef/>
      </w:r>
      <w:r w:rsidRPr="009A796A">
        <w:rPr>
          <w:rStyle w:val="Odkaznapoznmkupodiarou"/>
          <w:rFonts w:ascii="Times New Roman" w:hAnsi="Times New Roman"/>
          <w:szCs w:val="16"/>
          <w:vertAlign w:val="baseline"/>
        </w:rPr>
        <w:t xml:space="preserve"> </w:t>
      </w:r>
      <w:r w:rsidRPr="009A796A">
        <w:rPr>
          <w:rStyle w:val="Odkaznapoznmkupodiarou"/>
          <w:rFonts w:ascii="Times New Roman" w:hAnsi="Times New Roman"/>
          <w:sz w:val="16"/>
          <w:szCs w:val="16"/>
          <w:vertAlign w:val="baseline"/>
        </w:rPr>
        <w:t>Nemocenské dávky sa do miezd nezarátavajú, no ich poberatelia sú stále vedení ako zamestnaní. Tento fakt potom znižuje vykazovanú priemernú mzdu zamestnancov.</w:t>
      </w:r>
    </w:p>
  </w:footnote>
  <w:footnote w:id="6">
    <w:p w:rsidR="00212487" w:rsidRPr="00825F3E" w:rsidRDefault="00212487" w:rsidP="00F219E1">
      <w:pPr>
        <w:pStyle w:val="Textpoznmkypodiarou"/>
        <w:jc w:val="both"/>
        <w:rPr>
          <w:rFonts w:ascii="Times New Roman" w:hAnsi="Times New Roman"/>
          <w:sz w:val="16"/>
          <w:szCs w:val="16"/>
        </w:rPr>
      </w:pPr>
      <w:r w:rsidRPr="00825F3E">
        <w:rPr>
          <w:rStyle w:val="Odkaznapoznmkupodiarou"/>
          <w:rFonts w:ascii="Times New Roman" w:hAnsi="Times New Roman"/>
          <w:sz w:val="16"/>
          <w:szCs w:val="16"/>
        </w:rPr>
        <w:footnoteRef/>
      </w:r>
      <w:r w:rsidRPr="00825F3E">
        <w:rPr>
          <w:rStyle w:val="Odkaznapoznmkupodiarou"/>
          <w:rFonts w:ascii="Times New Roman" w:hAnsi="Times New Roman"/>
          <w:sz w:val="16"/>
          <w:szCs w:val="16"/>
        </w:rPr>
        <w:t xml:space="preserve"> </w:t>
      </w:r>
      <w:r w:rsidRPr="00825F3E">
        <w:rPr>
          <w:rFonts w:ascii="Times New Roman" w:hAnsi="Times New Roman"/>
          <w:sz w:val="16"/>
          <w:szCs w:val="16"/>
        </w:rPr>
        <w:t xml:space="preserve"> Porovnanie prognózy MF SR s prognózou EK vychádza z požiadavky smernice Rady 2011/85/EÚ z 8. </w:t>
      </w:r>
      <w:r>
        <w:rPr>
          <w:rFonts w:ascii="Times New Roman" w:hAnsi="Times New Roman"/>
          <w:sz w:val="16"/>
          <w:szCs w:val="16"/>
        </w:rPr>
        <w:t xml:space="preserve">novembra 2011 o požiadavkách na </w:t>
      </w:r>
      <w:r w:rsidRPr="00825F3E">
        <w:rPr>
          <w:rFonts w:ascii="Times New Roman" w:hAnsi="Times New Roman"/>
          <w:sz w:val="16"/>
          <w:szCs w:val="16"/>
        </w:rPr>
        <w:t>rozpočtové rámce členských štátov.</w:t>
      </w:r>
    </w:p>
  </w:footnote>
  <w:footnote w:id="7">
    <w:p w:rsidR="00212487" w:rsidRPr="007479C0" w:rsidRDefault="00212487" w:rsidP="00F009A7">
      <w:pPr>
        <w:spacing w:after="0" w:line="240" w:lineRule="auto"/>
        <w:jc w:val="both"/>
        <w:rPr>
          <w:rFonts w:ascii="Times New Roman" w:hAnsi="Times New Roman" w:cs="Times New Roman"/>
          <w:sz w:val="16"/>
          <w:szCs w:val="16"/>
        </w:rPr>
      </w:pPr>
      <w:r w:rsidRPr="007479C0">
        <w:rPr>
          <w:rStyle w:val="Odkaznapoznmkupodiarou"/>
          <w:rFonts w:ascii="Times New Roman" w:hAnsi="Times New Roman"/>
          <w:sz w:val="16"/>
          <w:szCs w:val="16"/>
        </w:rPr>
        <w:footnoteRef/>
      </w:r>
      <w:r w:rsidRPr="007479C0">
        <w:rPr>
          <w:rFonts w:ascii="Times New Roman" w:hAnsi="Times New Roman" w:cs="Times New Roman"/>
          <w:sz w:val="16"/>
          <w:szCs w:val="16"/>
        </w:rPr>
        <w:t xml:space="preserve"> Metodika ESA 2010 zabezpečuje jednotný pohľad na zaznamenanie transakcií rozpočtu verejnej správy, ktorý spočíva najmä v tom, že akrualizuje príjmy a výdavky podľa času vzniku, nie podľa času realizácie uvedenej transakcie. Na úpravu hotovostných príjmov a výdavkov slúžia tzv. modifikujúce faktory. Zároveň pri vyčíslovaní v metodike ESA 2010 sa vzájomne vylučujú transakcie medzi jednotlivými subjektami verejnej správy, teda dochádza k tzv. konsolidácii.</w:t>
      </w:r>
    </w:p>
  </w:footnote>
  <w:footnote w:id="8">
    <w:p w:rsidR="00212487" w:rsidRPr="005C5012" w:rsidRDefault="00212487" w:rsidP="00176825">
      <w:pPr>
        <w:pStyle w:val="Textpoznmkypodiarou"/>
        <w:jc w:val="both"/>
        <w:rPr>
          <w:rFonts w:ascii="Times New Roman" w:eastAsiaTheme="minorHAnsi" w:hAnsi="Times New Roman"/>
          <w:sz w:val="16"/>
          <w:szCs w:val="18"/>
          <w:lang w:eastAsia="en-US"/>
        </w:rPr>
      </w:pPr>
      <w:r w:rsidRPr="007479C0">
        <w:rPr>
          <w:rStyle w:val="Odkaznapoznmkupodiarou"/>
          <w:rFonts w:ascii="Times New Roman" w:hAnsi="Times New Roman"/>
          <w:sz w:val="16"/>
          <w:szCs w:val="16"/>
        </w:rPr>
        <w:footnoteRef/>
      </w:r>
      <w:r w:rsidRPr="007479C0">
        <w:rPr>
          <w:rFonts w:ascii="Times New Roman" w:hAnsi="Times New Roman"/>
          <w:sz w:val="16"/>
          <w:szCs w:val="16"/>
        </w:rPr>
        <w:t xml:space="preserve"> </w:t>
      </w:r>
      <w:r w:rsidRPr="007479C0">
        <w:rPr>
          <w:rFonts w:ascii="Times New Roman" w:eastAsiaTheme="minorHAnsi" w:hAnsi="Times New Roman"/>
          <w:sz w:val="16"/>
          <w:szCs w:val="16"/>
          <w:lang w:eastAsia="en-US"/>
        </w:rPr>
        <w:t>Aktuálny odhad vývoja verejných financií v roku 2021 vychádza z aktuálnej makroekonomickej a daňovej prognózy zo septembra 2021 a je spracovaný na základe aktuálneho vývoja ostatných príjmových a výdavkových položiek rozpočtu verejnej správy.</w:t>
      </w:r>
    </w:p>
  </w:footnote>
  <w:footnote w:id="9">
    <w:p w:rsidR="00212487" w:rsidRPr="0005210E" w:rsidRDefault="00212487" w:rsidP="00176825">
      <w:pPr>
        <w:pStyle w:val="Textpoznmkypodiarou"/>
        <w:jc w:val="both"/>
        <w:rPr>
          <w:rFonts w:ascii="Times New Roman" w:hAnsi="Times New Roman"/>
          <w:sz w:val="16"/>
          <w:szCs w:val="16"/>
        </w:rPr>
      </w:pPr>
      <w:r w:rsidRPr="0005210E">
        <w:rPr>
          <w:rStyle w:val="Odkaznapoznmkupodiarou"/>
          <w:sz w:val="16"/>
          <w:szCs w:val="16"/>
        </w:rPr>
        <w:footnoteRef/>
      </w:r>
      <w:r w:rsidRPr="0005210E">
        <w:rPr>
          <w:rFonts w:ascii="Times New Roman" w:hAnsi="Times New Roman"/>
          <w:sz w:val="16"/>
          <w:szCs w:val="16"/>
        </w:rPr>
        <w:t xml:space="preserve"> V zmysle národnej metodiky sú uvádzané ako nedaňové príjmy.</w:t>
      </w:r>
    </w:p>
  </w:footnote>
  <w:footnote w:id="10">
    <w:p w:rsidR="00212487" w:rsidRPr="008D2AF5" w:rsidRDefault="00212487" w:rsidP="00176825">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Z dôvodu vyrovnania príjmov bežného roka, zlepšením situácie na trhu práce dochádza k zvýšeniu príjmom z odvodov, s predpokladanými výdavkami verejného zdravotného poistenia.</w:t>
      </w:r>
    </w:p>
  </w:footnote>
  <w:footnote w:id="11">
    <w:p w:rsidR="00212487" w:rsidRPr="008D2AF5" w:rsidRDefault="00212487" w:rsidP="00176825">
      <w:pPr>
        <w:pStyle w:val="Textpoznmkypodiarou"/>
        <w:jc w:val="both"/>
        <w:rPr>
          <w:rFonts w:ascii="Times New Roman" w:hAnsi="Times New Roman"/>
        </w:rPr>
      </w:pPr>
      <w:r w:rsidRPr="008D2AF5">
        <w:rPr>
          <w:rStyle w:val="Odkaznapoznmkupodiarou"/>
          <w:rFonts w:ascii="Times New Roman" w:hAnsi="Times New Roman"/>
          <w:sz w:val="16"/>
          <w:szCs w:val="16"/>
        </w:rPr>
        <w:footnoteRef/>
      </w:r>
      <w:r w:rsidRPr="008D2AF5">
        <w:rPr>
          <w:rStyle w:val="Odkaznapoznmkupodiarou"/>
          <w:rFonts w:ascii="Times New Roman" w:hAnsi="Times New Roman"/>
          <w:sz w:val="16"/>
          <w:szCs w:val="16"/>
        </w:rPr>
        <w:t xml:space="preserve"> </w:t>
      </w:r>
      <w:r w:rsidRPr="008D2AF5">
        <w:rPr>
          <w:rFonts w:ascii="Times New Roman" w:hAnsi="Times New Roman"/>
          <w:sz w:val="16"/>
          <w:szCs w:val="16"/>
        </w:rPr>
        <w:t xml:space="preserve"> Ide o niektoré nedaňové príjmy v zmysle národnej metodiky, ktoré sú podľa metodiky ESA 2010 daňovými príjmami.</w:t>
      </w:r>
    </w:p>
  </w:footnote>
  <w:footnote w:id="12">
    <w:p w:rsidR="00212487" w:rsidRPr="008D2AF5" w:rsidRDefault="00212487" w:rsidP="00176825">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rPr>
        <w:t xml:space="preserve"> </w:t>
      </w:r>
      <w:r w:rsidRPr="008D2AF5">
        <w:rPr>
          <w:rFonts w:ascii="Times New Roman" w:hAnsi="Times New Roman"/>
          <w:sz w:val="16"/>
          <w:szCs w:val="16"/>
        </w:rPr>
        <w:t xml:space="preserve">Ide najmä o výpadok príjmov z hazardných hier vo výške 42,5 mil. eur, ktoré ovplyvnilo zavretie herní a zmena legislatívy. Pozitívny vplyv má vyšší odhad hodnoty inkasovanej TPS (Tarifa za prevádzku systému), ktorá je v zmysle metodiky ESA 2010 presmerovaná cez sektor verejnej správy v objeme 31,8 mil. eur. V rámci Environmentálneho fondu sa očakáva zvýšený príjem z predaja emisných kvót EAU na úrovni 2,00 mil. eur. Vplyv daňových príjmov nepatriacich podľa ESA 2010 do daní predstavuje 15,5 mil. eur. Ide o daň za komunálne odpady 12,3 mil. eur a dane štátneho rozpočtu z medzinárodného obchodu a transakcií na úrovni 3,25 mil. eur. </w:t>
      </w:r>
    </w:p>
  </w:footnote>
  <w:footnote w:id="13">
    <w:p w:rsidR="00212487" w:rsidRPr="008D2AF5" w:rsidRDefault="00212487" w:rsidP="00B872B2">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rPr>
        <w:t xml:space="preserve"> </w:t>
      </w:r>
      <w:r w:rsidRPr="008D2AF5">
        <w:rPr>
          <w:rFonts w:ascii="Times New Roman" w:hAnsi="Times New Roman"/>
          <w:sz w:val="16"/>
          <w:szCs w:val="16"/>
        </w:rPr>
        <w:t>Patria sem</w:t>
      </w:r>
      <w:r w:rsidRPr="008D2AF5">
        <w:rPr>
          <w:rFonts w:ascii="Times New Roman" w:hAnsi="Times New Roman"/>
        </w:rPr>
        <w:t xml:space="preserve"> </w:t>
      </w:r>
      <w:r w:rsidRPr="008D2AF5">
        <w:rPr>
          <w:rFonts w:ascii="Times New Roman" w:hAnsi="Times New Roman"/>
          <w:sz w:val="16"/>
          <w:szCs w:val="16"/>
        </w:rPr>
        <w:t>granty (napr. prostriedky z Nástroja na prepájanie Európy – CEF) a tie transfery, ktoré nepodliehajú konsolidácii (napr. preklasifikované finančné operácie na kapitálové transfery) a niektoré nedaňové príjmy v zmysle národnej metodiky.</w:t>
      </w:r>
    </w:p>
  </w:footnote>
  <w:footnote w:id="14">
    <w:p w:rsidR="00212487" w:rsidRPr="008D2AF5" w:rsidRDefault="00212487" w:rsidP="003B3897">
      <w:pPr>
        <w:pStyle w:val="Textpoznmkypodiarou"/>
        <w:rPr>
          <w:rFonts w:ascii="Times New Roman" w:hAnsi="Times New Roman"/>
          <w:sz w:val="16"/>
        </w:rPr>
      </w:pPr>
      <w:r w:rsidRPr="008D2AF5">
        <w:rPr>
          <w:rStyle w:val="Odkaznapoznmkupodiarou"/>
          <w:rFonts w:ascii="Times New Roman" w:hAnsi="Times New Roman"/>
          <w:sz w:val="16"/>
        </w:rPr>
        <w:footnoteRef/>
      </w:r>
      <w:r w:rsidRPr="008D2AF5">
        <w:rPr>
          <w:rFonts w:ascii="Times New Roman" w:hAnsi="Times New Roman"/>
          <w:sz w:val="16"/>
        </w:rPr>
        <w:t xml:space="preserve"> Tieto sú v metodike ESA 2010 predmetom konsolidácie vzájomných vzťahov štátneho rozpočtu a príslušného OSVS.</w:t>
      </w:r>
    </w:p>
  </w:footnote>
  <w:footnote w:id="15">
    <w:p w:rsidR="00212487" w:rsidRPr="008D2AF5" w:rsidRDefault="00212487" w:rsidP="003B3897">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w:t>
      </w:r>
      <w:r w:rsidRPr="008D2AF5">
        <w:rPr>
          <w:rFonts w:ascii="Times New Roman" w:hAnsi="Times New Roman"/>
          <w:color w:val="000000" w:themeColor="text1"/>
          <w:sz w:val="16"/>
          <w:szCs w:val="16"/>
        </w:rPr>
        <w:t>v zmysle bodu B.2. uznesenia vlády SR číslo 103/2021</w:t>
      </w:r>
    </w:p>
  </w:footnote>
  <w:footnote w:id="16">
    <w:p w:rsidR="00212487" w:rsidRPr="008D2AF5" w:rsidRDefault="00212487" w:rsidP="003B3897">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w:t>
      </w:r>
      <w:r w:rsidRPr="008D2AF5">
        <w:rPr>
          <w:rFonts w:ascii="Times New Roman" w:hAnsi="Times New Roman"/>
          <w:color w:val="000000" w:themeColor="text1"/>
          <w:sz w:val="16"/>
          <w:szCs w:val="16"/>
        </w:rPr>
        <w:t>schválený uznesením vlády SR číslo 625/2019</w:t>
      </w:r>
    </w:p>
  </w:footnote>
  <w:footnote w:id="17">
    <w:p w:rsidR="00212487" w:rsidRPr="00214A4A" w:rsidRDefault="00212487" w:rsidP="00EE76B1">
      <w:pPr>
        <w:pStyle w:val="Textpoznmkypodiarou"/>
        <w:jc w:val="both"/>
        <w:rPr>
          <w:rFonts w:ascii="Times New Roman" w:hAnsi="Times New Roman"/>
        </w:rPr>
      </w:pPr>
      <w:r w:rsidRPr="00214A4A">
        <w:rPr>
          <w:rStyle w:val="Odkaznapoznmkupodiarou"/>
          <w:rFonts w:ascii="Times New Roman" w:eastAsiaTheme="minorHAnsi" w:hAnsi="Times New Roman"/>
          <w:sz w:val="16"/>
          <w:szCs w:val="16"/>
          <w:lang w:eastAsia="en-US"/>
        </w:rPr>
        <w:footnoteRef/>
      </w:r>
      <w:r w:rsidRPr="00214A4A">
        <w:rPr>
          <w:rFonts w:ascii="Times New Roman" w:hAnsi="Times New Roman"/>
          <w:sz w:val="16"/>
          <w:szCs w:val="16"/>
        </w:rPr>
        <w:t xml:space="preserve"> Hodnota vychádza z predbežných údajov zaslaných do jesennej notifikácie Eurostatu. Časov</w:t>
      </w:r>
      <w:r>
        <w:rPr>
          <w:rFonts w:ascii="Times New Roman" w:hAnsi="Times New Roman"/>
          <w:sz w:val="16"/>
          <w:szCs w:val="16"/>
        </w:rPr>
        <w:t>ý rad očakávaných úrovní HDP na</w:t>
      </w:r>
      <w:r w:rsidRPr="00214A4A">
        <w:rPr>
          <w:rFonts w:ascii="Times New Roman" w:hAnsi="Times New Roman"/>
          <w:sz w:val="16"/>
          <w:szCs w:val="16"/>
        </w:rPr>
        <w:t xml:space="preserve"> roky 2021 až 2024 bol prepočítaný pomocou reťazení nominálnych medziročných rastov z poslednej prognózy Výboru pre makroekonomické prognózy. Tieto predpoklady sú použité aj pri iných ukazovateľoch.</w:t>
      </w:r>
    </w:p>
  </w:footnote>
  <w:footnote w:id="18">
    <w:p w:rsidR="00212487" w:rsidRPr="00214A4A" w:rsidRDefault="00212487" w:rsidP="00EE76B1">
      <w:pPr>
        <w:pStyle w:val="Textpoznmkypodiarou"/>
        <w:rPr>
          <w:rFonts w:ascii="Times New Roman" w:hAnsi="Times New Roman"/>
        </w:rPr>
      </w:pPr>
      <w:r w:rsidRPr="00214A4A">
        <w:rPr>
          <w:rStyle w:val="Odkaznapoznmkupodiarou"/>
          <w:rFonts w:ascii="Times New Roman" w:eastAsiaTheme="minorHAnsi" w:hAnsi="Times New Roman"/>
          <w:sz w:val="16"/>
          <w:szCs w:val="16"/>
          <w:lang w:eastAsia="en-US"/>
        </w:rPr>
        <w:footnoteRef/>
      </w:r>
      <w:r w:rsidRPr="00214A4A">
        <w:rPr>
          <w:rFonts w:ascii="Times New Roman" w:hAnsi="Times New Roman"/>
          <w:sz w:val="16"/>
          <w:szCs w:val="16"/>
        </w:rPr>
        <w:t xml:space="preserve"> Podľa platného ústavného zákona o rozpočtovej zodpovednosti 493/2011 bolo pre rok 2020 najvyššie 5. sankčné pásmo stanovené na 57 % HDP.</w:t>
      </w:r>
    </w:p>
  </w:footnote>
  <w:footnote w:id="19">
    <w:p w:rsidR="00212487" w:rsidRDefault="00212487" w:rsidP="00EB7370">
      <w:pPr>
        <w:pStyle w:val="Textpoznmkypodiarou"/>
        <w:jc w:val="both"/>
      </w:pPr>
      <w:r>
        <w:rPr>
          <w:rStyle w:val="Odkaznapoznmkupodiarou"/>
        </w:rPr>
        <w:footnoteRef/>
      </w:r>
      <w:r>
        <w:t xml:space="preserve"> </w:t>
      </w:r>
      <w:r w:rsidRPr="00A02C79">
        <w:rPr>
          <w:rFonts w:ascii="Times New Roman" w:hAnsi="Times New Roman"/>
          <w:sz w:val="16"/>
        </w:rPr>
        <w:t>Spoločnosť SIH zaradil ŠÚ SR v rámci jarnej notifikácie v roku 2021 do skutočnosti za rok 2020. Preto použité údaje za spoločnosť vychádzajú z poslednej známej skutočnosti z podkladov ŠÚ SR. SIH je akciová spoločnosť v 100 % vlastníctve Slovenskej záručnej a rozvojovej banky. Hlavným cieľom spoločnosti je podpora verejných a súkromných investícií v strategických sektoroch na Slovensku.</w:t>
      </w:r>
    </w:p>
  </w:footnote>
  <w:footnote w:id="20">
    <w:p w:rsidR="00212487" w:rsidRPr="008D2AF5" w:rsidRDefault="00212487" w:rsidP="00EB7370">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Zelená energia predstavuje systém podpory obnoviteľných zdrojov energie a vysoko účinnej kombinovanej výroby energie, ktorý je v zmysle metodiky ESA 2010 presmerovaný cez sektor verejnej správy. Objem inkasovanej TPS - tarifa za prevádzku systému predstavuje daňové príjmy rozpočtu verejnej správy a náklady na poskytnutie podpory predstavujú subvencie.</w:t>
      </w:r>
    </w:p>
  </w:footnote>
  <w:footnote w:id="21">
    <w:p w:rsidR="00212487" w:rsidRPr="00264E57" w:rsidRDefault="00212487" w:rsidP="00EB7370">
      <w:pPr>
        <w:pStyle w:val="Textpoznmkypodiarou"/>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Verejné príjmy a výdavky súkromných zdravotných poisťovní Dôvera a Union sú súčasťou verejných financií.</w:t>
      </w:r>
    </w:p>
  </w:footnote>
  <w:footnote w:id="22">
    <w:p w:rsidR="00212487" w:rsidRPr="00447660" w:rsidRDefault="00212487" w:rsidP="00EE76B1">
      <w:pPr>
        <w:pStyle w:val="Textpoznmkypodiarou"/>
        <w:rPr>
          <w:rFonts w:ascii="Times New Roman" w:hAnsi="Times New Roman"/>
          <w:sz w:val="16"/>
          <w:szCs w:val="16"/>
        </w:rPr>
      </w:pPr>
      <w:r w:rsidRPr="00447660">
        <w:rPr>
          <w:rStyle w:val="Odkaznapoznmkupodiarou"/>
          <w:rFonts w:ascii="Times New Roman" w:hAnsi="Times New Roman"/>
          <w:sz w:val="16"/>
          <w:szCs w:val="16"/>
        </w:rPr>
        <w:footnoteRef/>
      </w:r>
      <w:r w:rsidRPr="00447660">
        <w:rPr>
          <w:rFonts w:ascii="Times New Roman" w:hAnsi="Times New Roman"/>
          <w:sz w:val="16"/>
          <w:szCs w:val="16"/>
        </w:rPr>
        <w:t xml:space="preserve"> </w:t>
      </w:r>
      <w:r w:rsidRPr="00447660">
        <w:rPr>
          <w:rStyle w:val="Hypertextovprepojenie"/>
          <w:rFonts w:ascii="Times New Roman" w:hAnsi="Times New Roman"/>
          <w:sz w:val="16"/>
          <w:szCs w:val="16"/>
        </w:rPr>
        <w:t>https://ec.europa.eu/info/sites/info/files/ip045_en_0.pdf</w:t>
      </w:r>
    </w:p>
  </w:footnote>
  <w:footnote w:id="23">
    <w:p w:rsidR="00212487" w:rsidRPr="008D2AF5" w:rsidRDefault="00212487" w:rsidP="00BA211E">
      <w:pPr>
        <w:pStyle w:val="Textpoznmkypodiarou"/>
        <w:ind w:left="142" w:hanging="142"/>
        <w:jc w:val="both"/>
        <w:rPr>
          <w:rFonts w:ascii="Times New Roman" w:hAnsi="Times New Roman"/>
          <w:sz w:val="18"/>
        </w:rPr>
      </w:pPr>
      <w:r w:rsidRPr="008D2AF5">
        <w:rPr>
          <w:rStyle w:val="Odkaznapoznmkupodiarou"/>
          <w:rFonts w:ascii="Times New Roman" w:hAnsi="Times New Roman"/>
          <w:sz w:val="16"/>
          <w:szCs w:val="18"/>
        </w:rPr>
        <w:footnoteRef/>
      </w:r>
      <w:r w:rsidRPr="008D2AF5">
        <w:rPr>
          <w:rFonts w:ascii="Times New Roman" w:hAnsi="Times New Roman"/>
          <w:sz w:val="18"/>
        </w:rPr>
        <w:t xml:space="preserve"> </w:t>
      </w:r>
      <w:r w:rsidRPr="008D2AF5">
        <w:rPr>
          <w:rFonts w:ascii="Times New Roman" w:hAnsi="Times New Roman"/>
          <w:sz w:val="16"/>
          <w:szCs w:val="18"/>
        </w:rPr>
        <w:t>Ak je priemerná odchýlka prognózy člena (vyjadrená v %) od prognózy MF SR v intervale &lt;-1; 1&gt;, prognóza MF SR je realistická, ak je väčšia ako 1, tak prognóza MF SR je podhodnotená a ak je menšia ako -1, vtedy je nadhodnotená. Jednotlivé odchýlky v rokoch majú rozdielne váhy pri výpočte celkovej odchýlky od prognózy MF SR v závislosti od dôležitosti na najbližší rozpočtový rok.</w:t>
      </w:r>
    </w:p>
  </w:footnote>
  <w:footnote w:id="24">
    <w:p w:rsidR="00212487" w:rsidRPr="008D2AF5" w:rsidRDefault="00212487" w:rsidP="00BA211E">
      <w:pPr>
        <w:pStyle w:val="Textpoznmkypodiarou"/>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Táto dodatočná úprava tak naopak zvyšuje príjmy v roku 2020 a 2021 o odložené poistné a znižuje príjmy v rokoch 2021 - 2023 o splatené poistné. Vzhľadom na očakávané čiastočné nesplatenie odkladov má legislatívna zmena v súčte negatívny vplyv.</w:t>
      </w:r>
    </w:p>
  </w:footnote>
  <w:footnote w:id="25">
    <w:p w:rsidR="00212487" w:rsidRPr="008D2AF5" w:rsidRDefault="00212487" w:rsidP="00BA211E">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w:t>
      </w:r>
      <w:hyperlink r:id="rId1" w:history="1">
        <w:r w:rsidRPr="008D2AF5">
          <w:rPr>
            <w:rStyle w:val="Hypertextovprepojenie"/>
            <w:rFonts w:ascii="Times New Roman" w:hAnsi="Times New Roman"/>
            <w:sz w:val="16"/>
            <w:szCs w:val="16"/>
          </w:rPr>
          <w:t>https://www.mfsr.sk/sk/financie/institut-financnej-politiky/ekonomicke-prognozy/danove-prognozy/danove-prognozy.html</w:t>
        </w:r>
      </w:hyperlink>
      <w:r w:rsidRPr="008D2AF5">
        <w:rPr>
          <w:rFonts w:ascii="Times New Roman" w:hAnsi="Times New Roman"/>
          <w:sz w:val="16"/>
          <w:szCs w:val="16"/>
        </w:rPr>
        <w:t xml:space="preserve"> </w:t>
      </w:r>
    </w:p>
  </w:footnote>
  <w:footnote w:id="26">
    <w:p w:rsidR="00212487" w:rsidRPr="008D2AF5" w:rsidRDefault="00212487" w:rsidP="00BA211E">
      <w:pPr>
        <w:pStyle w:val="Textpoznmkypodiarou"/>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Akruálny výnos DPPO (podľa Výboru pre daňové prognózy v decembri 2020) je v rokoch 2019 a 2020 ovplyvnený metodickou zmenou na základe notifikácie daní (z októbra 2020). Legislatívny vplyv jednorazového odpisu strát pri podaní daňového priznania v roku 2020 za rok 2019 je metodicky presunutý do roku 2020. Očakávaná skutočnosť za rok 2020 prezentovaná v kapitole 2.1. túto zmenu nezahŕňa.</w:t>
      </w:r>
    </w:p>
  </w:footnote>
  <w:footnote w:id="27">
    <w:p w:rsidR="00212487" w:rsidRPr="008D2AF5" w:rsidRDefault="00212487" w:rsidP="007C2BDC">
      <w:pPr>
        <w:pStyle w:val="Textpoznmkypodiarou"/>
        <w:jc w:val="both"/>
        <w:rPr>
          <w:rFonts w:ascii="Times New Roman" w:hAnsi="Times New Roman"/>
          <w:sz w:val="16"/>
          <w:szCs w:val="16"/>
        </w:rPr>
      </w:pPr>
      <w:r w:rsidRPr="008D2AF5">
        <w:rPr>
          <w:rStyle w:val="Odkaznapoznmkupodiarou"/>
          <w:rFonts w:ascii="Times New Roman" w:hAnsi="Times New Roman"/>
          <w:sz w:val="16"/>
          <w:szCs w:val="16"/>
        </w:rPr>
        <w:footnoteRef/>
      </w:r>
      <w:r w:rsidRPr="008D2AF5">
        <w:rPr>
          <w:rFonts w:ascii="Times New Roman" w:hAnsi="Times New Roman"/>
          <w:sz w:val="16"/>
          <w:szCs w:val="16"/>
        </w:rPr>
        <w:t xml:space="preserve"> </w:t>
      </w:r>
      <w:r w:rsidRPr="008D2AF5">
        <w:rPr>
          <w:rStyle w:val="Odkaznapoznmkupodiarou"/>
          <w:rFonts w:ascii="Times New Roman" w:hAnsi="Times New Roman"/>
          <w:sz w:val="16"/>
          <w:szCs w:val="16"/>
          <w:vertAlign w:val="baseline"/>
        </w:rPr>
        <w:t>Systém obchodovania s emisnými povolenkami obsahuje možnosť stiahnuť určitý objem emisných kvót do tzv. tržnej rezervy (market stability reserve). Ide o nástroj pre dosiahnutie cien emisných povoleniek, zvyšujúcich motivácie firiem k znižovaniu emisií v súlade s emisnými cieľmi Európskej komisie.</w:t>
      </w:r>
    </w:p>
  </w:footnote>
  <w:footnote w:id="28">
    <w:p w:rsidR="00212487" w:rsidRPr="00181EC9" w:rsidRDefault="00212487" w:rsidP="00192C79">
      <w:pPr>
        <w:pStyle w:val="Textpoznmkypodiarou"/>
        <w:rPr>
          <w:rFonts w:ascii="Times New Roman" w:hAnsi="Times New Roman"/>
          <w:sz w:val="16"/>
        </w:rPr>
      </w:pPr>
      <w:r w:rsidRPr="00181EC9">
        <w:rPr>
          <w:rStyle w:val="Odkaznapoznmkupodiarou"/>
          <w:rFonts w:ascii="Times New Roman" w:hAnsi="Times New Roman"/>
          <w:sz w:val="16"/>
        </w:rPr>
        <w:footnoteRef/>
      </w:r>
      <w:r w:rsidRPr="00181EC9">
        <w:rPr>
          <w:rFonts w:ascii="Times New Roman" w:hAnsi="Times New Roman"/>
          <w:sz w:val="16"/>
        </w:rPr>
        <w:t xml:space="preserve"> Železnice SR, Železničná spoločnosť Slovensko, a. s. a Národná diaľničná spoločnosť, a. s.</w:t>
      </w:r>
    </w:p>
  </w:footnote>
  <w:footnote w:id="29">
    <w:p w:rsidR="00212487" w:rsidRPr="009810DC" w:rsidRDefault="00212487" w:rsidP="000E5938">
      <w:pPr>
        <w:pStyle w:val="Textpoznmkypodiarou"/>
        <w:ind w:left="113" w:hanging="113"/>
        <w:rPr>
          <w:rFonts w:ascii="Times New Roman" w:hAnsi="Times New Roman"/>
          <w:sz w:val="16"/>
          <w:szCs w:val="16"/>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Manuál zverejňovania daňových výdavkov </w:t>
      </w:r>
      <w:r w:rsidRPr="009810DC">
        <w:rPr>
          <w:rStyle w:val="Hypertextovprepojenie"/>
          <w:rFonts w:ascii="Times New Roman" w:hAnsi="Times New Roman"/>
          <w:sz w:val="16"/>
          <w:szCs w:val="16"/>
        </w:rPr>
        <w:t>https://finance.gov.sk/sk/financie/institut-financnej-politiky/publikacie-ifp/manualy/zverejnovanie-danovych-vydavkov.html</w:t>
      </w:r>
      <w:r w:rsidRPr="009810DC">
        <w:rPr>
          <w:rFonts w:ascii="Times New Roman" w:hAnsi="Times New Roman"/>
          <w:sz w:val="16"/>
          <w:szCs w:val="16"/>
        </w:rPr>
        <w:t>.  Spôsob zverejňovania údajov o daňových výdavkov reflektuje aj odporúčania EK (viac v manuáli).</w:t>
      </w:r>
    </w:p>
  </w:footnote>
  <w:footnote w:id="30">
    <w:p w:rsidR="00212487" w:rsidRPr="009810DC" w:rsidRDefault="00212487" w:rsidP="005D2297">
      <w:pPr>
        <w:pStyle w:val="Textpoznmkypodiarou"/>
        <w:jc w:val="both"/>
        <w:rPr>
          <w:rFonts w:ascii="Times New Roman" w:hAnsi="Times New Roman"/>
          <w:sz w:val="16"/>
          <w:szCs w:val="16"/>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Príkladom daňového benchmarku v podobe štrukturálneho daňového výdavku je napríklad plnenie medzinárodných zmlúv v oblasti daní (zmluvy o zamedzení dvojitého zdanenia) alebo povinné oslobodenia od dane vyplývajúce z legislatívy v EÚ (najmä v nepriamych daniach).</w:t>
      </w:r>
    </w:p>
  </w:footnote>
  <w:footnote w:id="31">
    <w:p w:rsidR="00212487" w:rsidRPr="009810DC" w:rsidRDefault="00212487" w:rsidP="005D2297">
      <w:pPr>
        <w:pStyle w:val="Textpoznmkypodiarou"/>
        <w:jc w:val="both"/>
        <w:rPr>
          <w:rFonts w:ascii="Times New Roman" w:hAnsi="Times New Roman"/>
          <w:sz w:val="16"/>
          <w:szCs w:val="16"/>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Nevyhnutnou podmienkou na identifikovanie daňového výdavku je splnenie prvých troch kritérií. Pre ilustráciu uvádzame príklad daňového výdavku, u ktorého nedochádza k selektívnosti. Ide o aplikáciu daňových odpisov. Rozdielna doba/sadzba daňových odpisov oproti účtovným odpisom sa považuje za štrukturálny daňový výdavok, je súčasťou benchmarku. Umožnenie zrýchleného odpisovania ešte nad rámec daňových odpisov v daňovom zákone sa však už považuje za daňový výdavok. Ide však o neselektívne zvýhodnenie odpisovania pre všetkých nad rámec základnej línie odpisovania majetku v zákone, za účelom podpory investícií do hmotného majetku.   </w:t>
      </w:r>
    </w:p>
  </w:footnote>
  <w:footnote w:id="32">
    <w:p w:rsidR="00212487" w:rsidRPr="009810DC" w:rsidRDefault="00212487" w:rsidP="005D2297">
      <w:pPr>
        <w:pStyle w:val="Textpoznmkypodiarou"/>
        <w:jc w:val="both"/>
        <w:rPr>
          <w:rFonts w:ascii="Times New Roman" w:hAnsi="Times New Roman"/>
          <w:color w:val="FF0000"/>
          <w:sz w:val="16"/>
          <w:szCs w:val="16"/>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Subjekty verejnej správy sú povinné zostavovať svoj rozpočet najmenej na tri rozpočtové roky. Súčasťou návrhu rozpočtu je aj schválený rozpočet na bežný rozpočtový rok, údaje o očakávanej skutočnosti bežného rozpočtového roka a údaje o skutočnom plnení rozpočtu za predchádzajúce dva rozpočtové roky.</w:t>
      </w:r>
    </w:p>
  </w:footnote>
  <w:footnote w:id="33">
    <w:p w:rsidR="00212487" w:rsidRPr="009810DC" w:rsidRDefault="00212487" w:rsidP="00F0616E">
      <w:pPr>
        <w:pStyle w:val="Textpoznmkypodiarou"/>
        <w:rPr>
          <w:rFonts w:ascii="Times New Roman" w:hAnsi="Times New Roman"/>
          <w:sz w:val="16"/>
          <w:szCs w:val="16"/>
          <w:lang w:val="en-US"/>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Úradník je pre účel porovnania definovaný ako zamestnanec v odvetví verejnej správy, obrany a povinného sociálneho zabezpečenia (NACE O), ktorý pracuje</w:t>
      </w:r>
      <w:r w:rsidRPr="009810DC">
        <w:rPr>
          <w:rFonts w:ascii="Times New Roman" w:hAnsi="Times New Roman"/>
          <w:sz w:val="16"/>
          <w:szCs w:val="16"/>
          <w:vertAlign w:val="superscript"/>
        </w:rPr>
        <w:footnoteRef/>
      </w:r>
      <w:r w:rsidRPr="009810DC">
        <w:rPr>
          <w:rFonts w:ascii="Times New Roman" w:hAnsi="Times New Roman"/>
          <w:sz w:val="16"/>
          <w:szCs w:val="16"/>
        </w:rPr>
        <w:t xml:space="preserve"> ako riadiaci pracovník, špecialista, technický, odborný, či administratívny pracovník (ISCO 1-4). </w:t>
      </w:r>
    </w:p>
  </w:footnote>
  <w:footnote w:id="34">
    <w:p w:rsidR="00212487" w:rsidRPr="009810DC" w:rsidRDefault="00212487" w:rsidP="00AA17E3">
      <w:pPr>
        <w:pStyle w:val="Textpoznmkypodiarou"/>
        <w:jc w:val="both"/>
        <w:rPr>
          <w:rFonts w:ascii="Times New Roman" w:hAnsi="Times New Roman"/>
          <w:sz w:val="16"/>
          <w:szCs w:val="16"/>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Na základe § 19a zákona o rozpočtových pravidlách je investor povinný zverejniť štúdiu pre projekty nad 10 mil. eur v informatizácii a 40 mil. eur v ostatných sektoroch a MF SR následne do 30 dní zverejňuje ekonomické hodnotenie. Štúdie zverejňuje investor na svojom webovom sídle. </w:t>
      </w:r>
    </w:p>
  </w:footnote>
  <w:footnote w:id="35">
    <w:p w:rsidR="00212487" w:rsidRPr="009810DC" w:rsidRDefault="00212487" w:rsidP="001505F4">
      <w:pPr>
        <w:pStyle w:val="Textpoznmkypodiarou"/>
        <w:jc w:val="both"/>
        <w:rPr>
          <w:rFonts w:ascii="Times New Roman" w:hAnsi="Times New Roman"/>
          <w:sz w:val="16"/>
          <w:szCs w:val="16"/>
        </w:rPr>
      </w:pPr>
      <w:r w:rsidRPr="009810DC">
        <w:rPr>
          <w:rStyle w:val="Odkaznapoznmkupodiarou"/>
          <w:rFonts w:ascii="Times New Roman" w:hAnsi="Times New Roman"/>
          <w:sz w:val="16"/>
          <w:szCs w:val="16"/>
        </w:rPr>
        <w:footnoteRef/>
      </w:r>
      <w:r w:rsidRPr="009810DC">
        <w:rPr>
          <w:rFonts w:ascii="Times New Roman" w:hAnsi="Times New Roman"/>
          <w:sz w:val="16"/>
          <w:szCs w:val="16"/>
        </w:rPr>
        <w:t xml:space="preserve"> Metodika COFOG zahŕňa medzi výdavky na vzdelávanie aj výdavky mimo oficiálneho vzdelávacieho systému (napr. školenia zamestnancov). Líši sa tým od metodiky UOE ktorú používa OECD a ktorá berie pri vzdelávaní do úvahy iba výdavky v rámci formálneho vzdelávania, avšak zaraďuje medzi napríklad aj výdavky na stravu či dopravu v rámci oficiálneho školského systému. Časť týchto výdavkov môže byť v metodike COFOG zaradená medzi výdavky na sociálne zabezpečenie.</w:t>
      </w:r>
    </w:p>
  </w:footnote>
  <w:footnote w:id="36">
    <w:p w:rsidR="00212487" w:rsidRPr="000C3F47" w:rsidRDefault="00212487" w:rsidP="00AA17E3">
      <w:pPr>
        <w:pStyle w:val="Textpoznmkypodiarou"/>
        <w:rPr>
          <w:rFonts w:ascii="Times New Roman" w:hAnsi="Times New Roman"/>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w:t>
      </w:r>
      <w:r w:rsidRPr="000C3F47">
        <w:rPr>
          <w:rFonts w:ascii="Times New Roman" w:hAnsi="Times New Roman"/>
          <w:sz w:val="16"/>
          <w:szCs w:val="18"/>
        </w:rPr>
        <w:t>Ide o skupinu ľudí vo veku 18-24 rokov s najviac ZŠ vzdelaním, ktorí už ďalej nepokračujú vo vzdelávaní alebo odbornej príprave na povolanie vrátane neformálneho vzdelávania (napr. kurzy), prípadne u zamestnávateľa (školenia a pod.).</w:t>
      </w:r>
    </w:p>
  </w:footnote>
  <w:footnote w:id="37">
    <w:p w:rsidR="00212487" w:rsidRPr="000C3F47" w:rsidRDefault="00212487" w:rsidP="00AA17E3">
      <w:pPr>
        <w:pStyle w:val="Textpoznmkypodiarou"/>
        <w:jc w:val="both"/>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Ako u ukazovateľov dostupnosti vzdelávania sa používa podiel populácie dosahujúcej minimálne stredoškolské vzdelanie (ISCED 3 a viac). Slovensko má jeden z najvyšších podielov ľudí s minimálne stredoškolským vzdelaním bez maturity vo vekovej skupine 25-64 rokov. Hodnota v roku 2020 pre Slovensko je 92,7 %, priemer EÚ 27 je 79 %  (Eurostat, </w:t>
      </w:r>
      <w:r w:rsidRPr="000C3F47">
        <w:rPr>
          <w:rFonts w:ascii="Times New Roman" w:hAnsi="Times New Roman"/>
          <w:bCs/>
          <w:color w:val="333333"/>
          <w:sz w:val="16"/>
          <w:szCs w:val="16"/>
        </w:rPr>
        <w:t>EDAT_LFSE_03</w:t>
      </w:r>
      <w:r w:rsidRPr="000C3F47">
        <w:rPr>
          <w:rFonts w:ascii="Times New Roman" w:hAnsi="Times New Roman"/>
          <w:color w:val="333333"/>
          <w:sz w:val="16"/>
          <w:szCs w:val="16"/>
        </w:rPr>
        <w:t>)</w:t>
      </w:r>
      <w:r w:rsidRPr="000C3F47">
        <w:rPr>
          <w:rFonts w:ascii="Times New Roman" w:hAnsi="Times New Roman"/>
          <w:sz w:val="16"/>
          <w:szCs w:val="16"/>
        </w:rPr>
        <w:t>.</w:t>
      </w:r>
    </w:p>
  </w:footnote>
  <w:footnote w:id="38">
    <w:p w:rsidR="00212487" w:rsidRPr="000C3F47" w:rsidRDefault="00212487" w:rsidP="00AA17E3">
      <w:pPr>
        <w:pStyle w:val="Textpoznmkypodiarou"/>
        <w:jc w:val="both"/>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w:t>
      </w:r>
      <w:hyperlink r:id="rId2" w:history="1">
        <w:r w:rsidRPr="000C3F47">
          <w:rPr>
            <w:rStyle w:val="Hypertextovprepojenie"/>
            <w:rFonts w:ascii="Times New Roman" w:hAnsi="Times New Roman"/>
            <w:sz w:val="16"/>
            <w:szCs w:val="16"/>
          </w:rPr>
          <w:t>Revízia výdavkov pre ohrozené skupiny</w:t>
        </w:r>
      </w:hyperlink>
      <w:r w:rsidRPr="000C3F47">
        <w:rPr>
          <w:rFonts w:ascii="Times New Roman" w:hAnsi="Times New Roman"/>
          <w:sz w:val="16"/>
          <w:szCs w:val="16"/>
        </w:rPr>
        <w:t xml:space="preserve">. </w:t>
      </w:r>
    </w:p>
  </w:footnote>
  <w:footnote w:id="39">
    <w:p w:rsidR="00212487" w:rsidRPr="000C3F47" w:rsidRDefault="00212487" w:rsidP="00AA17E3">
      <w:pPr>
        <w:pStyle w:val="Textpoznmkypodiarou"/>
        <w:jc w:val="both"/>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w:t>
      </w:r>
      <w:r w:rsidRPr="000C3F47">
        <w:rPr>
          <w:rFonts w:ascii="Times New Roman" w:hAnsi="Times New Roman"/>
          <w:bCs/>
          <w:sz w:val="16"/>
          <w:szCs w:val="16"/>
        </w:rPr>
        <w:t>Odborový nesúlad sa spája hlavne s neefektívnymi investíciami do ľudského kapitálu. a</w:t>
      </w:r>
      <w:r w:rsidRPr="000C3F47">
        <w:rPr>
          <w:rFonts w:ascii="Times New Roman" w:hAnsi="Times New Roman"/>
          <w:sz w:val="16"/>
          <w:szCs w:val="16"/>
        </w:rPr>
        <w:t xml:space="preserve"> </w:t>
      </w:r>
      <w:r w:rsidRPr="000C3F47">
        <w:rPr>
          <w:rFonts w:ascii="Times New Roman" w:hAnsi="Times New Roman"/>
          <w:bCs/>
          <w:sz w:val="16"/>
          <w:szCs w:val="16"/>
        </w:rPr>
        <w:t>môže viesť k nízkej produktivite a mzdám zamestnancov. Takisto sa prejavuje v nedostatku niektorých zručností na trhu práce. Slovensko má najvyšší odborový nesúlad pre stredoškolsky a vysokoškolsky zamestnaných vo veku 15-34 (</w:t>
      </w:r>
      <w:hyperlink r:id="rId3" w:history="1">
        <w:r w:rsidRPr="000C3F47">
          <w:rPr>
            <w:rStyle w:val="Hypertextovprepojenie"/>
            <w:rFonts w:ascii="Times New Roman" w:hAnsi="Times New Roman"/>
            <w:sz w:val="16"/>
            <w:szCs w:val="16"/>
          </w:rPr>
          <w:t>Eurostat, Skill mismatches</w:t>
        </w:r>
      </w:hyperlink>
      <w:r w:rsidRPr="000C3F47">
        <w:rPr>
          <w:rFonts w:ascii="Times New Roman" w:hAnsi="Times New Roman"/>
          <w:bCs/>
          <w:sz w:val="16"/>
          <w:szCs w:val="16"/>
        </w:rPr>
        <w:t>).</w:t>
      </w:r>
    </w:p>
  </w:footnote>
  <w:footnote w:id="40">
    <w:p w:rsidR="00212487" w:rsidRPr="000C3F47" w:rsidRDefault="00212487" w:rsidP="00AA17E3">
      <w:pPr>
        <w:pStyle w:val="Textpoznmkypodiarou"/>
        <w:jc w:val="both"/>
        <w:rPr>
          <w:rFonts w:ascii="Times New Roman" w:hAnsi="Times New Roman"/>
          <w:sz w:val="16"/>
          <w:szCs w:val="16"/>
          <w:lang w:val="en-US"/>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V roku 2010 bol podiel ľudí vo veku 30-34 s VŠ vzdelaním na úrovni 20,1 percenta, v roku 2020 39,7 %, priemer EÚ 27 41  (Eurostat, </w:t>
      </w:r>
      <w:r w:rsidRPr="000C3F47">
        <w:rPr>
          <w:rFonts w:ascii="Times New Roman" w:hAnsi="Times New Roman"/>
          <w:bCs/>
          <w:color w:val="333333"/>
          <w:sz w:val="16"/>
          <w:szCs w:val="16"/>
        </w:rPr>
        <w:t>EDAT_LFSE_03</w:t>
      </w:r>
      <w:r w:rsidRPr="000C3F47">
        <w:rPr>
          <w:rFonts w:ascii="Times New Roman" w:hAnsi="Times New Roman"/>
          <w:color w:val="333333"/>
          <w:sz w:val="16"/>
          <w:szCs w:val="16"/>
        </w:rPr>
        <w:t>).</w:t>
      </w:r>
    </w:p>
  </w:footnote>
  <w:footnote w:id="41">
    <w:p w:rsidR="00212487" w:rsidRPr="000C3F47" w:rsidRDefault="00212487" w:rsidP="00AA17E3">
      <w:pPr>
        <w:pStyle w:val="Textpoznmkypodiarou"/>
        <w:jc w:val="both"/>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Podiel VŠ vzdelaných druhého stupňa ku všetkým VŠ vzdelaným vrátane bakalárov a doktorandov na úrovni 84 % z roku 2018 je na Slovensku najvyšší spomedzi 22 európskych krajín v OECD s priemerom 46 % (OECD databáza). Takisto na Slovensku absentujú krátke profesijne orientované vysokoškolské programy (medzinárodne na úrovni ISCED 5), ktoré sú relatívne rozšírené v iných krajinách.</w:t>
      </w:r>
    </w:p>
  </w:footnote>
  <w:footnote w:id="42">
    <w:p w:rsidR="00212487" w:rsidRPr="000C3F47" w:rsidRDefault="00212487" w:rsidP="00AA17E3">
      <w:pPr>
        <w:pStyle w:val="Textpoznmkypodiarou"/>
        <w:jc w:val="both"/>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Posledný dostupný údaj o podiele slovenských študentov študujúcich v zahraničí je 19 %. To predstavuje viac ako dvojnásobok druhej najvyššej hodnoty (Estónsko) okrem Luxemburska.</w:t>
      </w:r>
    </w:p>
  </w:footnote>
  <w:footnote w:id="43">
    <w:p w:rsidR="00212487" w:rsidRPr="000C3F47" w:rsidRDefault="00212487" w:rsidP="00AA17E3">
      <w:pPr>
        <w:pStyle w:val="Textpoznmkypodiarou"/>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w:t>
      </w:r>
      <w:r w:rsidRPr="000C3F47">
        <w:rPr>
          <w:rFonts w:ascii="Times New Roman" w:hAnsi="Times New Roman"/>
          <w:sz w:val="16"/>
          <w:szCs w:val="16"/>
          <w:lang w:val="en-US"/>
        </w:rPr>
        <w:t>Podiel dospelých vo veku 25-64 rokov, ktorí nemajú záujem o vzdelávanie je 80 % (vrátane tých, čo už nejaké vzdelávacie aktivity absolvovali), pričom priemer EÚ27 je 71 % (Eurostat, [trng_aes_175]).</w:t>
      </w:r>
    </w:p>
  </w:footnote>
  <w:footnote w:id="44">
    <w:p w:rsidR="00212487" w:rsidRPr="000C3F47" w:rsidRDefault="00212487" w:rsidP="00AA17E3">
      <w:pPr>
        <w:pStyle w:val="Textpoznmkypodiarou"/>
        <w:jc w:val="both"/>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Eurostat: Distribution of population by tenure status, type of household and income group - EU-SILC survey: </w:t>
      </w:r>
      <w:r w:rsidRPr="000C3F47">
        <w:rPr>
          <w:rFonts w:ascii="Times New Roman" w:hAnsi="Times New Roman"/>
          <w:i/>
          <w:sz w:val="16"/>
          <w:szCs w:val="16"/>
        </w:rPr>
        <w:t>Tenant, rent at reduced price or free</w:t>
      </w:r>
    </w:p>
  </w:footnote>
  <w:footnote w:id="45">
    <w:p w:rsidR="00212487" w:rsidRPr="000C3F47" w:rsidRDefault="00212487" w:rsidP="00AA17E3">
      <w:pPr>
        <w:pStyle w:val="Textpoznmkypodiarou"/>
        <w:jc w:val="both"/>
        <w:rPr>
          <w:rFonts w:ascii="Times New Roman" w:hAnsi="Times New Roman"/>
          <w:i/>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Eurostat: Final consumption expenditure of households by consumption purpose (COICOP 3 digit) [nama_10_co3_p3]: </w:t>
      </w:r>
      <w:r w:rsidRPr="000C3F47">
        <w:rPr>
          <w:rFonts w:ascii="Times New Roman" w:hAnsi="Times New Roman"/>
          <w:i/>
          <w:sz w:val="16"/>
          <w:szCs w:val="16"/>
        </w:rPr>
        <w:t>Housing, water, electricity, gas and other fuels (% of total)</w:t>
      </w:r>
    </w:p>
  </w:footnote>
  <w:footnote w:id="46">
    <w:p w:rsidR="00212487" w:rsidRPr="00ED32A4" w:rsidRDefault="00212487" w:rsidP="00AA17E3">
      <w:pPr>
        <w:pStyle w:val="Textpoznmkypodiarou"/>
        <w:rPr>
          <w:rFonts w:ascii="Times New Roman" w:hAnsi="Times New Roman"/>
          <w:sz w:val="16"/>
          <w:szCs w:val="16"/>
        </w:rPr>
      </w:pPr>
      <w:r w:rsidRPr="00ED32A4">
        <w:rPr>
          <w:rStyle w:val="Odkaznapoznmkupodiarou"/>
          <w:rFonts w:ascii="Times New Roman" w:hAnsi="Times New Roman"/>
          <w:sz w:val="16"/>
          <w:szCs w:val="16"/>
        </w:rPr>
        <w:footnoteRef/>
      </w:r>
      <w:r w:rsidRPr="00ED32A4">
        <w:rPr>
          <w:rFonts w:ascii="Times New Roman" w:hAnsi="Times New Roman"/>
          <w:sz w:val="16"/>
          <w:szCs w:val="16"/>
        </w:rPr>
        <w:t xml:space="preserve"> Dostupné online: </w:t>
      </w:r>
      <w:hyperlink r:id="rId4" w:history="1">
        <w:r w:rsidRPr="00562131">
          <w:rPr>
            <w:rStyle w:val="Hypertextovprepojenie"/>
            <w:rFonts w:ascii="Times New Roman" w:hAnsi="Times New Roman"/>
            <w:sz w:val="16"/>
            <w:szCs w:val="16"/>
          </w:rPr>
          <w:t>https://www.crz.gov.sk/data/att/3941462_dokument.pdf</w:t>
        </w:r>
      </w:hyperlink>
      <w:r>
        <w:rPr>
          <w:rFonts w:ascii="Times New Roman" w:hAnsi="Times New Roman"/>
          <w:sz w:val="16"/>
          <w:szCs w:val="16"/>
        </w:rPr>
        <w:t xml:space="preserve"> </w:t>
      </w:r>
    </w:p>
  </w:footnote>
  <w:footnote w:id="47">
    <w:p w:rsidR="00212487" w:rsidRPr="00CB562B" w:rsidRDefault="00212487" w:rsidP="00AA17E3">
      <w:pPr>
        <w:pStyle w:val="Textpoznmkypodiarou"/>
        <w:rPr>
          <w:rFonts w:asciiTheme="majorBidi" w:hAnsiTheme="majorBidi" w:cstheme="majorBidi"/>
          <w:sz w:val="16"/>
        </w:rPr>
      </w:pPr>
      <w:r w:rsidRPr="00CB562B">
        <w:rPr>
          <w:rStyle w:val="Odkaznapoznmkupodiarou"/>
          <w:rFonts w:asciiTheme="majorBidi" w:hAnsiTheme="majorBidi" w:cstheme="majorBidi"/>
          <w:sz w:val="16"/>
        </w:rPr>
        <w:footnoteRef/>
      </w:r>
      <w:r w:rsidRPr="00CB562B">
        <w:rPr>
          <w:rFonts w:asciiTheme="majorBidi" w:hAnsiTheme="majorBidi" w:cstheme="majorBidi"/>
          <w:sz w:val="16"/>
        </w:rPr>
        <w:t xml:space="preserve"> Stav trate, resp. siete vyjadrený absolútnym číslom kvality (ACK). Na základe predpisových ustanovení</w:t>
      </w:r>
      <w:r>
        <w:rPr>
          <w:rFonts w:asciiTheme="majorBidi" w:hAnsiTheme="majorBidi" w:cstheme="majorBidi"/>
          <w:sz w:val="16"/>
        </w:rPr>
        <w:t>.</w:t>
      </w:r>
      <w:r w:rsidRPr="00CB562B">
        <w:rPr>
          <w:rFonts w:asciiTheme="majorBidi" w:hAnsiTheme="majorBidi" w:cstheme="majorBidi"/>
          <w:sz w:val="16"/>
        </w:rPr>
        <w:t xml:space="preserve">  </w:t>
      </w:r>
    </w:p>
  </w:footnote>
  <w:footnote w:id="48">
    <w:p w:rsidR="00212487" w:rsidRPr="000C3F47" w:rsidRDefault="00212487" w:rsidP="000C3F47">
      <w:pPr>
        <w:pStyle w:val="Textpoznmkypodiarou"/>
        <w:jc w:val="both"/>
        <w:rPr>
          <w:rFonts w:ascii="Times New Roman" w:hAnsi="Times New Roman"/>
          <w:sz w:val="16"/>
          <w:szCs w:val="18"/>
        </w:rPr>
      </w:pPr>
      <w:r w:rsidRPr="000C3F47">
        <w:rPr>
          <w:rStyle w:val="Odkaznapoznmkupodiarou"/>
          <w:rFonts w:ascii="Times New Roman" w:hAnsi="Times New Roman"/>
          <w:sz w:val="16"/>
          <w:szCs w:val="18"/>
        </w:rPr>
        <w:footnoteRef/>
      </w:r>
      <w:r w:rsidRPr="000C3F47">
        <w:rPr>
          <w:rFonts w:ascii="Times New Roman" w:hAnsi="Times New Roman"/>
          <w:sz w:val="16"/>
          <w:szCs w:val="18"/>
        </w:rPr>
        <w:t xml:space="preserve"> Závislosť prideľovania financií od stupňov odkázanosti vytvára konflikt záujmov u poskytovateľov služieb. V dôsledku toho je na Slovensku viac ako 50 % prijímateľov dlhodobej starostlivosti zaradených do najvyššieho stupňa odkázanosti, zatiaľ čo v Českej republike je to len vyše 10 %.</w:t>
      </w:r>
    </w:p>
  </w:footnote>
  <w:footnote w:id="49">
    <w:p w:rsidR="00212487" w:rsidRPr="000C3F47" w:rsidRDefault="00212487" w:rsidP="00AA17E3">
      <w:pPr>
        <w:pStyle w:val="Textpoznmkypodiarou"/>
        <w:rPr>
          <w:sz w:val="18"/>
        </w:rPr>
      </w:pPr>
      <w:r w:rsidRPr="000C3F47">
        <w:rPr>
          <w:rStyle w:val="Odkaznapoznmkupodiarou"/>
          <w:rFonts w:ascii="Times New Roman" w:hAnsi="Times New Roman"/>
          <w:sz w:val="16"/>
          <w:szCs w:val="18"/>
        </w:rPr>
        <w:footnoteRef/>
      </w:r>
      <w:r w:rsidRPr="000C3F47">
        <w:rPr>
          <w:rFonts w:ascii="Times New Roman" w:hAnsi="Times New Roman"/>
          <w:sz w:val="16"/>
          <w:szCs w:val="18"/>
        </w:rPr>
        <w:t xml:space="preserve"> </w:t>
      </w:r>
      <w:hyperlink r:id="rId5" w:history="1">
        <w:r w:rsidRPr="000C3F47">
          <w:rPr>
            <w:rStyle w:val="Hypertextovprepojenie"/>
            <w:rFonts w:ascii="Times New Roman" w:hAnsi="Times New Roman"/>
            <w:sz w:val="16"/>
            <w:szCs w:val="18"/>
          </w:rPr>
          <w:t>https://www.mfsr.sk/sk/financie/institut-financnej-politiky/publikacie-ifp/manualy/25-projekcia-verejnych-vydavkov-dlhodobu-starostlivost-maj-2021.html</w:t>
        </w:r>
      </w:hyperlink>
      <w:r w:rsidRPr="000C3F47">
        <w:rPr>
          <w:rFonts w:ascii="Times New Roman" w:hAnsi="Times New Roman"/>
          <w:sz w:val="16"/>
          <w:szCs w:val="18"/>
        </w:rPr>
        <w:t xml:space="preserve"> </w:t>
      </w:r>
    </w:p>
  </w:footnote>
  <w:footnote w:id="50">
    <w:p w:rsidR="00212487" w:rsidRPr="000C3F47" w:rsidRDefault="00212487" w:rsidP="00AA17E3">
      <w:pPr>
        <w:pStyle w:val="Textpoznmkypodiarou"/>
        <w:rPr>
          <w:rFonts w:ascii="Times New Roman" w:hAnsi="Times New Roman"/>
          <w:sz w:val="16"/>
          <w:szCs w:val="16"/>
          <w:highlight w:val="yellow"/>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Priemer za krajiny V3 a EÚ14 z najnovších dostupných údajov v databáze OECD.</w:t>
      </w:r>
    </w:p>
  </w:footnote>
  <w:footnote w:id="51">
    <w:p w:rsidR="00212487" w:rsidRPr="000C3F47" w:rsidRDefault="00212487" w:rsidP="00AA17E3">
      <w:pPr>
        <w:pStyle w:val="Textpoznmkypodiarou"/>
        <w:rPr>
          <w:rFonts w:ascii="Times New Roman" w:hAnsi="Times New Roman"/>
          <w:sz w:val="16"/>
          <w:szCs w:val="16"/>
        </w:rPr>
      </w:pPr>
      <w:r w:rsidRPr="000C3F47">
        <w:rPr>
          <w:rStyle w:val="Odkaznapoznmkupodiarou"/>
          <w:rFonts w:ascii="Times New Roman" w:hAnsi="Times New Roman"/>
          <w:sz w:val="16"/>
          <w:szCs w:val="16"/>
        </w:rPr>
        <w:footnoteRef/>
      </w:r>
      <w:r w:rsidRPr="000C3F47">
        <w:rPr>
          <w:rFonts w:ascii="Times New Roman" w:hAnsi="Times New Roman"/>
          <w:sz w:val="16"/>
          <w:szCs w:val="16"/>
        </w:rPr>
        <w:t xml:space="preserve"> Prognóza makroekonomického vývoja (57. zasadnutie Výboru pre makroekonomické prognózy, 16.9.2021).</w:t>
      </w:r>
    </w:p>
  </w:footnote>
  <w:footnote w:id="52">
    <w:p w:rsidR="00212487" w:rsidRPr="00DD538B" w:rsidRDefault="00212487" w:rsidP="000C3F47">
      <w:pPr>
        <w:pStyle w:val="Textpoznmkypodiarou"/>
        <w:jc w:val="both"/>
        <w:rPr>
          <w:rFonts w:ascii="Times New Roman" w:hAnsi="Times New Roman"/>
          <w:sz w:val="16"/>
          <w:szCs w:val="16"/>
        </w:rPr>
      </w:pPr>
      <w:r w:rsidRPr="00DD538B">
        <w:rPr>
          <w:rStyle w:val="Odkaznapoznmkupodiarou"/>
          <w:rFonts w:ascii="Times New Roman" w:hAnsi="Times New Roman"/>
          <w:sz w:val="16"/>
          <w:szCs w:val="16"/>
        </w:rPr>
        <w:footnoteRef/>
      </w:r>
      <w:r w:rsidRPr="00DD538B">
        <w:rPr>
          <w:rFonts w:ascii="Times New Roman" w:hAnsi="Times New Roman"/>
          <w:sz w:val="16"/>
          <w:szCs w:val="16"/>
        </w:rPr>
        <w:t xml:space="preserve"> Výška potenciálnych úspor v Revízii výdavkov je 542 mil. eur ročne oproti roku 20</w:t>
      </w:r>
      <w:r>
        <w:rPr>
          <w:rFonts w:ascii="Times New Roman" w:hAnsi="Times New Roman"/>
          <w:sz w:val="16"/>
          <w:szCs w:val="16"/>
        </w:rPr>
        <w:t>19, časť opatrení bola splnená,</w:t>
      </w:r>
      <w:r w:rsidRPr="00DD538B">
        <w:rPr>
          <w:rFonts w:ascii="Times New Roman" w:hAnsi="Times New Roman"/>
          <w:sz w:val="16"/>
          <w:szCs w:val="16"/>
        </w:rPr>
        <w:t xml:space="preserve"> časť opatrení bola prehodnotená, niektoré opatrenia boli doplnené alebo už nie sú relevantné</w:t>
      </w:r>
      <w:r>
        <w:rPr>
          <w:rFonts w:ascii="Times New Roman" w:hAnsi="Times New Roman"/>
          <w:sz w:val="16"/>
          <w:szCs w:val="16"/>
        </w:rPr>
        <w:t>.</w:t>
      </w:r>
    </w:p>
  </w:footnote>
  <w:footnote w:id="53">
    <w:p w:rsidR="00212487" w:rsidRPr="00D00DFA" w:rsidRDefault="00212487" w:rsidP="00D00DFA">
      <w:pPr>
        <w:pStyle w:val="Textpoznmkypodiarou"/>
        <w:jc w:val="both"/>
        <w:rPr>
          <w:rFonts w:ascii="Times New Roman" w:hAnsi="Times New Roman"/>
          <w:sz w:val="16"/>
        </w:rPr>
      </w:pPr>
      <w:r w:rsidRPr="00D00DFA">
        <w:rPr>
          <w:rStyle w:val="Odkaznapoznmkupodiarou"/>
          <w:rFonts w:ascii="Times New Roman" w:hAnsi="Times New Roman"/>
          <w:sz w:val="16"/>
        </w:rPr>
        <w:footnoteRef/>
      </w:r>
      <w:r w:rsidRPr="00D00DFA">
        <w:rPr>
          <w:rFonts w:ascii="Times New Roman" w:hAnsi="Times New Roman"/>
          <w:sz w:val="16"/>
        </w:rPr>
        <w:t xml:space="preserve"> Výška potenciálnych investícií do priorít v Revízii výdavkov je 792 mil. eur ročne oproti roku 2019, časť opatrení bola splnená, prehodnotená, niektoré opatrenia boli doplnené alebo už nie sú relevantné.</w:t>
      </w:r>
    </w:p>
  </w:footnote>
  <w:footnote w:id="54">
    <w:p w:rsidR="00212487" w:rsidRPr="00A15186" w:rsidRDefault="00212487" w:rsidP="00AA17E3">
      <w:pPr>
        <w:pStyle w:val="Textpoznmkypodiarou"/>
        <w:jc w:val="both"/>
        <w:rPr>
          <w:rFonts w:ascii="Times New Roman" w:hAnsi="Times New Roman"/>
          <w:sz w:val="16"/>
          <w:szCs w:val="16"/>
        </w:rPr>
      </w:pPr>
      <w:r w:rsidRPr="00A15186">
        <w:rPr>
          <w:rStyle w:val="Odkaznapoznmkupodiarou"/>
          <w:rFonts w:ascii="Times New Roman" w:hAnsi="Times New Roman"/>
          <w:sz w:val="16"/>
          <w:szCs w:val="16"/>
        </w:rPr>
        <w:footnoteRef/>
      </w:r>
      <w:r w:rsidRPr="00A15186">
        <w:rPr>
          <w:rFonts w:ascii="Times New Roman" w:hAnsi="Times New Roman"/>
          <w:sz w:val="16"/>
          <w:szCs w:val="16"/>
        </w:rPr>
        <w:t xml:space="preserve"> MF SR (2017). Metodika zostavovania scenára nezmenených politík. Dostupné na </w:t>
      </w:r>
      <w:hyperlink r:id="rId6" w:history="1">
        <w:r w:rsidRPr="004E0EC2">
          <w:rPr>
            <w:rStyle w:val="Hypertextovprepojenie"/>
            <w:rFonts w:ascii="Times New Roman" w:hAnsi="Times New Roman"/>
            <w:sz w:val="16"/>
            <w:szCs w:val="16"/>
          </w:rPr>
          <w:t>http://www.finance.gov.sk/Default.aspx?CatID=9301</w:t>
        </w:r>
      </w:hyperlink>
      <w:r>
        <w:rPr>
          <w:rFonts w:ascii="Times New Roman" w:hAnsi="Times New Roman"/>
          <w:sz w:val="16"/>
          <w:szCs w:val="16"/>
        </w:rPr>
        <w:t xml:space="preserve"> </w:t>
      </w:r>
      <w:r w:rsidRPr="00A15186">
        <w:rPr>
          <w:rFonts w:ascii="Times New Roman" w:hAnsi="Times New Roman"/>
          <w:sz w:val="16"/>
          <w:szCs w:val="16"/>
        </w:rPr>
        <w:t>.</w:t>
      </w:r>
    </w:p>
  </w:footnote>
  <w:footnote w:id="55">
    <w:p w:rsidR="00212487" w:rsidRPr="006B70C7" w:rsidRDefault="00212487" w:rsidP="00AA17E3">
      <w:pPr>
        <w:pStyle w:val="Textpoznmkypodiarou"/>
        <w:rPr>
          <w:rFonts w:ascii="Times New Roman" w:hAnsi="Times New Roman"/>
          <w:sz w:val="16"/>
          <w:szCs w:val="16"/>
        </w:rPr>
      </w:pPr>
      <w:r w:rsidRPr="006B70C7">
        <w:rPr>
          <w:rStyle w:val="Odkaznapoznmkupodiarou"/>
          <w:rFonts w:ascii="Times New Roman" w:hAnsi="Times New Roman"/>
          <w:sz w:val="16"/>
          <w:szCs w:val="16"/>
        </w:rPr>
        <w:footnoteRef/>
      </w:r>
      <w:r w:rsidRPr="006B70C7">
        <w:rPr>
          <w:rFonts w:ascii="Times New Roman" w:hAnsi="Times New Roman"/>
          <w:sz w:val="16"/>
          <w:szCs w:val="16"/>
        </w:rPr>
        <w:t xml:space="preserve"> </w:t>
      </w:r>
      <w:hyperlink r:id="rId7" w:history="1">
        <w:r w:rsidRPr="006B70C7">
          <w:rPr>
            <w:rStyle w:val="Hypertextovprepojenie"/>
            <w:rFonts w:ascii="Times New Roman" w:hAnsi="Times New Roman"/>
            <w:sz w:val="16"/>
            <w:szCs w:val="16"/>
          </w:rPr>
          <w:t>https://www.health.gov.sk/Zdroje?/Sources/tlacove_spravy/covid-19/Strategia-ockovania-COVID-19.pdf</w:t>
        </w:r>
      </w:hyperlink>
      <w:r w:rsidRPr="006B70C7">
        <w:rPr>
          <w:rFonts w:ascii="Times New Roman" w:hAnsi="Times New Roman"/>
          <w:sz w:val="16"/>
          <w:szCs w:val="16"/>
        </w:rPr>
        <w:t xml:space="preserve"> </w:t>
      </w:r>
    </w:p>
  </w:footnote>
  <w:footnote w:id="56">
    <w:p w:rsidR="00212487" w:rsidRPr="006B70C7" w:rsidRDefault="00212487" w:rsidP="00AA17E3">
      <w:pPr>
        <w:pStyle w:val="Textpoznmkypodiarou"/>
        <w:rPr>
          <w:rFonts w:ascii="Times New Roman" w:hAnsi="Times New Roman"/>
          <w:sz w:val="16"/>
          <w:szCs w:val="16"/>
        </w:rPr>
      </w:pPr>
      <w:r w:rsidRPr="006B70C7">
        <w:rPr>
          <w:rStyle w:val="Odkaznapoznmkupodiarou"/>
          <w:rFonts w:ascii="Times New Roman" w:hAnsi="Times New Roman"/>
          <w:sz w:val="16"/>
          <w:szCs w:val="16"/>
        </w:rPr>
        <w:footnoteRef/>
      </w:r>
      <w:r w:rsidRPr="006B70C7">
        <w:rPr>
          <w:rFonts w:ascii="Times New Roman" w:eastAsiaTheme="minorHAnsi" w:hAnsi="Times New Roman"/>
          <w:noProof/>
          <w:sz w:val="16"/>
          <w:szCs w:val="16"/>
        </w:rPr>
        <w:t xml:space="preserve">Revízia výdavkov na zdravotníctvo II (2019) identifikovala potenciál úsporných opatrení na 542 mil. eur ročne oproti roku 2019, po splnení a prehodnotení opatrení bol potecniál aktualizovaný. </w:t>
      </w:r>
    </w:p>
  </w:footnote>
  <w:footnote w:id="57">
    <w:p w:rsidR="00212487" w:rsidRPr="006748AF" w:rsidRDefault="00212487" w:rsidP="00AA17E3">
      <w:pPr>
        <w:autoSpaceDE w:val="0"/>
        <w:autoSpaceDN w:val="0"/>
        <w:adjustRightInd w:val="0"/>
        <w:jc w:val="both"/>
        <w:rPr>
          <w:rFonts w:ascii="Times New Roman" w:hAnsi="Times New Roman" w:cs="Times New Roman"/>
          <w:color w:val="000000"/>
          <w:sz w:val="16"/>
          <w:szCs w:val="16"/>
          <w:lang w:eastAsia="sk-SK"/>
        </w:rPr>
      </w:pPr>
      <w:r w:rsidRPr="006748AF">
        <w:rPr>
          <w:rFonts w:ascii="Times New Roman" w:hAnsi="Times New Roman" w:cs="Times New Roman"/>
          <w:color w:val="000000"/>
          <w:sz w:val="16"/>
          <w:szCs w:val="16"/>
          <w:vertAlign w:val="superscript"/>
          <w:lang w:eastAsia="sk-SK"/>
        </w:rPr>
        <w:footnoteRef/>
      </w:r>
      <w:r w:rsidRPr="006748AF">
        <w:rPr>
          <w:rFonts w:ascii="Times New Roman" w:hAnsi="Times New Roman" w:cs="Times New Roman"/>
          <w:color w:val="000000"/>
          <w:sz w:val="16"/>
          <w:szCs w:val="16"/>
          <w:lang w:eastAsia="sk-SK"/>
        </w:rPr>
        <w:t xml:space="preserve"> Ide o zdravotnícke zariadenia, ktoré Štatistický úrad SR v súlade s európskou metodikou  ESA 2010 ustanovenou  Nariadením EP a Rady (EÚ) č. 549/2013 z 21. mája 2013 o európskom systéme národných a regionálnych účtov v Európskej únii zaradil medzi subjekty verejnej správy.</w:t>
      </w:r>
    </w:p>
    <w:p w:rsidR="00212487" w:rsidRPr="00113C38" w:rsidRDefault="00212487" w:rsidP="00AA17E3">
      <w:pPr>
        <w:pStyle w:val="Textpoznmkypodiarou"/>
        <w:rPr>
          <w:rFonts w:ascii="Times New Roman" w:hAnsi="Times New Roman"/>
          <w:color w:val="000000"/>
        </w:rPr>
      </w:pPr>
    </w:p>
  </w:footnote>
  <w:footnote w:id="58">
    <w:p w:rsidR="00212487" w:rsidRPr="00F37ADA" w:rsidRDefault="00212487" w:rsidP="006A36A0">
      <w:pPr>
        <w:pStyle w:val="Textpoznmkypodiarou"/>
        <w:jc w:val="both"/>
        <w:rPr>
          <w:rFonts w:ascii="Times New Roman" w:hAnsi="Times New Roman"/>
          <w:sz w:val="16"/>
          <w:szCs w:val="16"/>
        </w:rPr>
      </w:pPr>
      <w:r w:rsidRPr="00F37ADA">
        <w:rPr>
          <w:rStyle w:val="Odkaznapoznmkupodiarou"/>
          <w:rFonts w:ascii="Times New Roman" w:hAnsi="Times New Roman"/>
          <w:sz w:val="16"/>
          <w:szCs w:val="16"/>
        </w:rPr>
        <w:footnoteRef/>
      </w:r>
      <w:r w:rsidRPr="00F37ADA">
        <w:rPr>
          <w:rFonts w:ascii="Times New Roman" w:hAnsi="Times New Roman"/>
          <w:sz w:val="16"/>
          <w:szCs w:val="16"/>
        </w:rPr>
        <w:t xml:space="preserve"> Cielenejšie porovnanie umožňujú podľa Revízie výdavkov na obranu (2020) referenčné krajiny – krajiny strednej a východnej Európy s podobnou štartovacou pozíciou (Česká republika, Maďarsko, Litva: C3) a skupina vybraných spojencov, ktoré môžu byť pre ambície a ciele v obrane Slovensku vzorom (Dánsko, Belgicko, Holandsko: F3). </w:t>
      </w:r>
    </w:p>
  </w:footnote>
  <w:footnote w:id="59">
    <w:p w:rsidR="00212487" w:rsidRDefault="00212487" w:rsidP="00EB0720">
      <w:pPr>
        <w:pStyle w:val="Textpoznmkypodiarou"/>
        <w:jc w:val="both"/>
      </w:pPr>
      <w:r w:rsidRPr="0092587B">
        <w:rPr>
          <w:rStyle w:val="Odkaznapoznmkupodiarou"/>
          <w:rFonts w:ascii="Times New Roman" w:eastAsiaTheme="minorHAnsi" w:hAnsi="Times New Roman"/>
          <w:sz w:val="16"/>
          <w:szCs w:val="16"/>
          <w:lang w:eastAsia="en-US"/>
        </w:rPr>
        <w:footnoteRef/>
      </w:r>
      <w:r w:rsidRPr="0092587B">
        <w:rPr>
          <w:rFonts w:ascii="Times New Roman" w:hAnsi="Times New Roman"/>
          <w:sz w:val="16"/>
          <w:szCs w:val="16"/>
        </w:rPr>
        <w:t xml:space="preserve"> Hodnota</w:t>
      </w:r>
      <w:r w:rsidRPr="00756EC8">
        <w:rPr>
          <w:rFonts w:ascii="Times New Roman" w:hAnsi="Times New Roman"/>
          <w:sz w:val="16"/>
          <w:szCs w:val="16"/>
        </w:rPr>
        <w:t xml:space="preserve"> vychádza z predbežných údajov zaslaných do jesennej notifikácie Eurostatu. Časový rad očakávaných úrovní HDP pre roky 2021 až 2024 bol prepočítaný pomocou reťazení nominálnych medziročných rastov z poslednej prognózy Výboru pre makroekonomické prognózy. Tieto predpoklady sú použité aj pri iných ukazovateľoch.</w:t>
      </w:r>
    </w:p>
  </w:footnote>
  <w:footnote w:id="60">
    <w:p w:rsidR="00212487" w:rsidRPr="006748AF" w:rsidRDefault="00212487" w:rsidP="00AA17E3">
      <w:pPr>
        <w:pStyle w:val="Textpoznmkypodiarou"/>
        <w:jc w:val="both"/>
        <w:rPr>
          <w:rFonts w:ascii="Times New Roman" w:hAnsi="Times New Roman"/>
          <w:sz w:val="16"/>
        </w:rPr>
      </w:pPr>
      <w:r w:rsidRPr="006748AF">
        <w:rPr>
          <w:rStyle w:val="Odkaznapoznmkupodiarou"/>
          <w:rFonts w:ascii="Times New Roman" w:hAnsi="Times New Roman"/>
          <w:sz w:val="16"/>
        </w:rPr>
        <w:footnoteRef/>
      </w:r>
      <w:r w:rsidRPr="006748AF">
        <w:rPr>
          <w:rFonts w:ascii="Times New Roman" w:hAnsi="Times New Roman"/>
          <w:sz w:val="16"/>
        </w:rPr>
        <w:t xml:space="preserve"> Ciele budú aktualizované v zmysle schválenej priorizácie investícií a štátneho programu sanácie environmentálnych záťaží.</w:t>
      </w:r>
    </w:p>
  </w:footnote>
  <w:footnote w:id="61">
    <w:p w:rsidR="00212487" w:rsidRPr="006748AF" w:rsidRDefault="00212487" w:rsidP="00AA17E3">
      <w:pPr>
        <w:pStyle w:val="Textpoznmkypodiarou"/>
        <w:jc w:val="both"/>
        <w:rPr>
          <w:rFonts w:ascii="Times New Roman" w:hAnsi="Times New Roman"/>
          <w:sz w:val="18"/>
        </w:rPr>
      </w:pPr>
      <w:r w:rsidRPr="006748AF">
        <w:rPr>
          <w:rStyle w:val="Odkaznapoznmkupodiarou"/>
          <w:rFonts w:ascii="Times New Roman" w:hAnsi="Times New Roman"/>
          <w:sz w:val="16"/>
        </w:rPr>
        <w:footnoteRef/>
      </w:r>
      <w:r w:rsidRPr="006748AF">
        <w:rPr>
          <w:rFonts w:ascii="Times New Roman" w:hAnsi="Times New Roman"/>
          <w:sz w:val="16"/>
        </w:rPr>
        <w:t xml:space="preserve"> Hodnota cieľa 2030 bola určená rovnako ako pre EÚ27. Následne bude prehodnotená podľa metodiky EK.</w:t>
      </w:r>
    </w:p>
  </w:footnote>
  <w:footnote w:id="62">
    <w:p w:rsidR="00212487" w:rsidRPr="000E2AFC" w:rsidRDefault="00212487" w:rsidP="00AA17E3">
      <w:pPr>
        <w:pStyle w:val="Textpoznmkypodiarou"/>
        <w:rPr>
          <w:rFonts w:ascii="Times New Roman" w:hAnsi="Times New Roman"/>
        </w:rPr>
      </w:pPr>
      <w:r w:rsidRPr="000E2AFC">
        <w:rPr>
          <w:rStyle w:val="Odkaznapoznmkupodiarou"/>
          <w:rFonts w:ascii="Times New Roman" w:hAnsi="Times New Roman"/>
        </w:rPr>
        <w:footnoteRef/>
      </w:r>
      <w:r w:rsidRPr="000E2AFC">
        <w:rPr>
          <w:rFonts w:ascii="Times New Roman" w:hAnsi="Times New Roman"/>
        </w:rPr>
        <w:t xml:space="preserve"> </w:t>
      </w:r>
      <w:r w:rsidRPr="00441800">
        <w:rPr>
          <w:rFonts w:ascii="Times New Roman" w:hAnsi="Times New Roman"/>
          <w:sz w:val="16"/>
          <w:szCs w:val="16"/>
        </w:rPr>
        <w:t xml:space="preserve">DESI 2020 </w:t>
      </w:r>
      <w:hyperlink r:id="rId8" w:history="1">
        <w:r w:rsidRPr="005C0141">
          <w:rPr>
            <w:rStyle w:val="Hypertextovprepojenie"/>
            <w:rFonts w:ascii="Times New Roman" w:hAnsi="Times New Roman"/>
            <w:sz w:val="16"/>
            <w:szCs w:val="16"/>
          </w:rPr>
          <w:t>https://ec.europa.eu/newsroom/dae/document.cfm?doc_id=66957</w:t>
        </w:r>
      </w:hyperlink>
      <w:r>
        <w:rPr>
          <w:rFonts w:ascii="Times New Roman" w:hAnsi="Times New Roman"/>
          <w:sz w:val="16"/>
          <w:szCs w:val="16"/>
        </w:rPr>
        <w:t xml:space="preserve"> </w:t>
      </w:r>
    </w:p>
  </w:footnote>
  <w:footnote w:id="63">
    <w:p w:rsidR="00212487" w:rsidRPr="000A7E91" w:rsidRDefault="00212487" w:rsidP="00AA17E3">
      <w:pPr>
        <w:pStyle w:val="Textpoznmkypodiarou"/>
        <w:rPr>
          <w:rFonts w:ascii="Times New Roman" w:hAnsi="Times New Roman"/>
        </w:rPr>
      </w:pPr>
      <w:r w:rsidRPr="000A7E91">
        <w:rPr>
          <w:rStyle w:val="Odkaznapoznmkupodiarou"/>
          <w:rFonts w:ascii="Times New Roman" w:hAnsi="Times New Roman"/>
        </w:rPr>
        <w:footnoteRef/>
      </w:r>
      <w:r w:rsidRPr="000A7E91">
        <w:rPr>
          <w:rFonts w:ascii="Times New Roman" w:hAnsi="Times New Roman"/>
        </w:rPr>
        <w:t xml:space="preserve"> </w:t>
      </w:r>
      <w:hyperlink r:id="rId9" w:history="1">
        <w:r w:rsidRPr="005C0141">
          <w:rPr>
            <w:rStyle w:val="Hypertextovprepojenie"/>
            <w:rFonts w:ascii="Times New Roman" w:hAnsi="Times New Roman"/>
            <w:sz w:val="16"/>
            <w:szCs w:val="16"/>
          </w:rPr>
          <w:t>https://slovenskoit.sk/cenotvorba-a-cennik/</w:t>
        </w:r>
      </w:hyperlink>
      <w:r>
        <w:rPr>
          <w:rFonts w:ascii="Times New Roman" w:hAnsi="Times New Roman"/>
          <w:sz w:val="16"/>
          <w:szCs w:val="16"/>
        </w:rPr>
        <w:t xml:space="preserve"> </w:t>
      </w:r>
    </w:p>
  </w:footnote>
  <w:footnote w:id="64">
    <w:p w:rsidR="00212487" w:rsidRPr="00441800" w:rsidRDefault="00212487" w:rsidP="00AA17E3">
      <w:pPr>
        <w:pStyle w:val="Textpoznmkypodiarou"/>
        <w:rPr>
          <w:rFonts w:ascii="Times New Roman" w:hAnsi="Times New Roman"/>
          <w:sz w:val="16"/>
          <w:szCs w:val="16"/>
        </w:rPr>
      </w:pPr>
      <w:r w:rsidRPr="00441800">
        <w:rPr>
          <w:rStyle w:val="Odkaznapoznmkupodiarou"/>
          <w:rFonts w:ascii="Times New Roman" w:hAnsi="Times New Roman"/>
          <w:sz w:val="16"/>
          <w:szCs w:val="16"/>
        </w:rPr>
        <w:footnoteRef/>
      </w:r>
      <w:r w:rsidRPr="00441800">
        <w:rPr>
          <w:rFonts w:ascii="Times New Roman" w:hAnsi="Times New Roman"/>
          <w:sz w:val="16"/>
          <w:szCs w:val="16"/>
        </w:rPr>
        <w:t xml:space="preserve"> Podľa revízie výdavkov na kultúru, kde boli ako kultúrne výdavky definované výdavky oddielu 8 funkčnej klasifikácie (Rekreácia, kultúra a náboženstvo), okrem skupiny 8.1 Rekreačné a športové služby.</w:t>
      </w:r>
    </w:p>
  </w:footnote>
  <w:footnote w:id="65">
    <w:p w:rsidR="00212487" w:rsidRPr="006748AF" w:rsidRDefault="00212487" w:rsidP="00AA17E3">
      <w:pPr>
        <w:pStyle w:val="Textpoznmkypodiarou"/>
        <w:rPr>
          <w:rFonts w:ascii="Times New Roman" w:hAnsi="Times New Roman"/>
          <w:sz w:val="16"/>
          <w:szCs w:val="16"/>
        </w:rPr>
      </w:pPr>
      <w:r w:rsidRPr="006748AF">
        <w:rPr>
          <w:rStyle w:val="Odkaznapoznmkupodiarou"/>
          <w:rFonts w:ascii="Times New Roman" w:hAnsi="Times New Roman"/>
          <w:sz w:val="16"/>
          <w:szCs w:val="16"/>
        </w:rPr>
        <w:footnoteRef/>
      </w:r>
      <w:r w:rsidRPr="006748AF">
        <w:rPr>
          <w:rFonts w:ascii="Times New Roman" w:hAnsi="Times New Roman"/>
          <w:sz w:val="16"/>
          <w:szCs w:val="16"/>
        </w:rPr>
        <w:t xml:space="preserve"> Oblasť kultúry (na rozdiel od kultúrnych výdavkov definovaných v grafe) zahŕňa všetky výdavky organizácií ústrednej štátnej správy bez ohľadu na ich funkciu.</w:t>
      </w:r>
    </w:p>
  </w:footnote>
  <w:footnote w:id="66">
    <w:p w:rsidR="00212487" w:rsidRDefault="00212487" w:rsidP="00AA17E3">
      <w:pPr>
        <w:pStyle w:val="Textpoznmkypodiarou"/>
      </w:pPr>
      <w:r w:rsidRPr="000E1014">
        <w:rPr>
          <w:rStyle w:val="Odkaznapoznmkupodiarou"/>
          <w:rFonts w:ascii="Times New Roman" w:eastAsiaTheme="majorEastAsia" w:hAnsi="Times New Roman"/>
          <w:sz w:val="16"/>
          <w:szCs w:val="16"/>
        </w:rPr>
        <w:footnoteRef/>
      </w:r>
      <w:r>
        <w:t xml:space="preserve"> </w:t>
      </w:r>
      <w:r w:rsidRPr="00441800">
        <w:rPr>
          <w:rFonts w:ascii="Times New Roman" w:hAnsi="Times New Roman"/>
          <w:sz w:val="16"/>
          <w:szCs w:val="16"/>
        </w:rPr>
        <w:t xml:space="preserve">Rebríček </w:t>
      </w:r>
      <w:hyperlink r:id="rId10" w:history="1">
        <w:r w:rsidRPr="00441800">
          <w:rPr>
            <w:rStyle w:val="Hypertextovprepojenie"/>
            <w:rFonts w:ascii="Times New Roman" w:hAnsi="Times New Roman"/>
            <w:sz w:val="16"/>
            <w:szCs w:val="16"/>
          </w:rPr>
          <w:t>https://www.passportindex.org/byRank.php</w:t>
        </w:r>
      </w:hyperlink>
      <w:r w:rsidRPr="00441800">
        <w:rPr>
          <w:rFonts w:ascii="Times New Roman" w:hAnsi="Times New Roman"/>
          <w:sz w:val="16"/>
          <w:szCs w:val="16"/>
        </w:rPr>
        <w:t xml:space="preserve"> umiestňuje na jednu priečku viacero krajín.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87" w:rsidRPr="00094104" w:rsidRDefault="00212487" w:rsidP="002F16B8">
    <w:pPr>
      <w:pStyle w:val="Hlavika"/>
      <w:jc w:val="right"/>
      <w:rPr>
        <w:b/>
      </w:rPr>
    </w:pPr>
    <w:r>
      <w:rPr>
        <w:noProof/>
        <w:lang w:eastAsia="sk-SK"/>
      </w:rPr>
      <w:drawing>
        <wp:anchor distT="0" distB="0" distL="114300" distR="114300" simplePos="0" relativeHeight="251659264" behindDoc="0" locked="0" layoutInCell="1" allowOverlap="1" wp14:anchorId="4D952D9A" wp14:editId="6F03559E">
          <wp:simplePos x="0" y="0"/>
          <wp:positionH relativeFrom="margin">
            <wp:posOffset>-75565</wp:posOffset>
          </wp:positionH>
          <wp:positionV relativeFrom="paragraph">
            <wp:posOffset>-212024</wp:posOffset>
          </wp:positionV>
          <wp:extent cx="1575435" cy="533400"/>
          <wp:effectExtent l="0" t="0" r="1905"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54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094104">
      <w:rPr>
        <w:rFonts w:ascii="Times New Roman" w:hAnsi="Times New Roman"/>
        <w:b/>
        <w:color w:val="595959" w:themeColor="text1" w:themeTint="A6"/>
        <w:sz w:val="20"/>
      </w:rPr>
      <w:t xml:space="preserve">Návrh rozpočtu verejnej správy </w:t>
    </w:r>
    <w:r w:rsidRPr="00094104">
      <w:rPr>
        <w:rFonts w:ascii="Times New Roman" w:hAnsi="Times New Roman"/>
        <w:b/>
        <w:color w:val="808080" w:themeColor="background1" w:themeShade="80"/>
        <w:sz w:val="20"/>
      </w:rPr>
      <w:br/>
    </w:r>
  </w:p>
  <w:p w:rsidR="00212487" w:rsidRDefault="00212487">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E06BF"/>
    <w:multiLevelType w:val="hybridMultilevel"/>
    <w:tmpl w:val="F7841298"/>
    <w:lvl w:ilvl="0" w:tplc="60B6C40E">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63E08D8"/>
    <w:multiLevelType w:val="hybridMultilevel"/>
    <w:tmpl w:val="C1B8569A"/>
    <w:lvl w:ilvl="0" w:tplc="1794F5AE">
      <w:start w:val="2023"/>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88439A9"/>
    <w:multiLevelType w:val="hybridMultilevel"/>
    <w:tmpl w:val="BEDA2A64"/>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9660807"/>
    <w:multiLevelType w:val="hybridMultilevel"/>
    <w:tmpl w:val="7F44DD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FC019A"/>
    <w:multiLevelType w:val="multilevel"/>
    <w:tmpl w:val="401AA996"/>
    <w:styleLink w:val="List17"/>
    <w:lvl w:ilvl="0">
      <w:numFmt w:val="bullet"/>
      <w:lvlText w:val="•"/>
      <w:lvlJc w:val="left"/>
      <w:rPr>
        <w:rFonts w:ascii="Arial Narrow" w:eastAsia="Arial Narrow" w:hAnsi="Arial Narrow" w:cs="Arial Narrow"/>
        <w:b/>
        <w:bCs/>
        <w:position w:val="0"/>
        <w:shd w:val="clear" w:color="auto" w:fill="FFFFFF"/>
      </w:rPr>
    </w:lvl>
    <w:lvl w:ilvl="1">
      <w:start w:val="1"/>
      <w:numFmt w:val="bullet"/>
      <w:lvlText w:val="o"/>
      <w:lvlJc w:val="left"/>
      <w:rPr>
        <w:rFonts w:ascii="Arial Narrow" w:eastAsia="Arial Narrow" w:hAnsi="Arial Narrow" w:cs="Arial Narrow"/>
        <w:b/>
        <w:bCs/>
        <w:position w:val="0"/>
        <w:shd w:val="clear" w:color="auto" w:fill="FFFFFF"/>
      </w:rPr>
    </w:lvl>
    <w:lvl w:ilvl="2">
      <w:start w:val="1"/>
      <w:numFmt w:val="bullet"/>
      <w:lvlText w:val="▪"/>
      <w:lvlJc w:val="left"/>
      <w:rPr>
        <w:rFonts w:ascii="Arial Narrow" w:eastAsia="Arial Narrow" w:hAnsi="Arial Narrow" w:cs="Arial Narrow"/>
        <w:b/>
        <w:bCs/>
        <w:position w:val="0"/>
        <w:shd w:val="clear" w:color="auto" w:fill="FFFFFF"/>
      </w:rPr>
    </w:lvl>
    <w:lvl w:ilvl="3">
      <w:start w:val="1"/>
      <w:numFmt w:val="bullet"/>
      <w:lvlText w:val="•"/>
      <w:lvlJc w:val="left"/>
      <w:rPr>
        <w:rFonts w:ascii="Arial Narrow" w:eastAsia="Arial Narrow" w:hAnsi="Arial Narrow" w:cs="Arial Narrow"/>
        <w:b/>
        <w:bCs/>
        <w:position w:val="0"/>
        <w:shd w:val="clear" w:color="auto" w:fill="FFFFFF"/>
      </w:rPr>
    </w:lvl>
    <w:lvl w:ilvl="4">
      <w:start w:val="1"/>
      <w:numFmt w:val="bullet"/>
      <w:lvlText w:val="o"/>
      <w:lvlJc w:val="left"/>
      <w:rPr>
        <w:rFonts w:ascii="Arial Narrow" w:eastAsia="Arial Narrow" w:hAnsi="Arial Narrow" w:cs="Arial Narrow"/>
        <w:b/>
        <w:bCs/>
        <w:position w:val="0"/>
        <w:shd w:val="clear" w:color="auto" w:fill="FFFFFF"/>
      </w:rPr>
    </w:lvl>
    <w:lvl w:ilvl="5">
      <w:start w:val="1"/>
      <w:numFmt w:val="bullet"/>
      <w:lvlText w:val="▪"/>
      <w:lvlJc w:val="left"/>
      <w:rPr>
        <w:rFonts w:ascii="Arial Narrow" w:eastAsia="Arial Narrow" w:hAnsi="Arial Narrow" w:cs="Arial Narrow"/>
        <w:b/>
        <w:bCs/>
        <w:position w:val="0"/>
        <w:shd w:val="clear" w:color="auto" w:fill="FFFFFF"/>
      </w:rPr>
    </w:lvl>
    <w:lvl w:ilvl="6">
      <w:start w:val="1"/>
      <w:numFmt w:val="bullet"/>
      <w:lvlText w:val="•"/>
      <w:lvlJc w:val="left"/>
      <w:rPr>
        <w:rFonts w:ascii="Arial Narrow" w:eastAsia="Arial Narrow" w:hAnsi="Arial Narrow" w:cs="Arial Narrow"/>
        <w:b/>
        <w:bCs/>
        <w:position w:val="0"/>
        <w:shd w:val="clear" w:color="auto" w:fill="FFFFFF"/>
      </w:rPr>
    </w:lvl>
    <w:lvl w:ilvl="7">
      <w:start w:val="1"/>
      <w:numFmt w:val="bullet"/>
      <w:lvlText w:val="o"/>
      <w:lvlJc w:val="left"/>
      <w:rPr>
        <w:rFonts w:ascii="Arial Narrow" w:eastAsia="Arial Narrow" w:hAnsi="Arial Narrow" w:cs="Arial Narrow"/>
        <w:b/>
        <w:bCs/>
        <w:position w:val="0"/>
        <w:shd w:val="clear" w:color="auto" w:fill="FFFFFF"/>
      </w:rPr>
    </w:lvl>
    <w:lvl w:ilvl="8">
      <w:start w:val="1"/>
      <w:numFmt w:val="bullet"/>
      <w:lvlText w:val="▪"/>
      <w:lvlJc w:val="left"/>
      <w:rPr>
        <w:rFonts w:ascii="Arial Narrow" w:eastAsia="Arial Narrow" w:hAnsi="Arial Narrow" w:cs="Arial Narrow"/>
        <w:b/>
        <w:bCs/>
        <w:position w:val="0"/>
        <w:shd w:val="clear" w:color="auto" w:fill="FFFFFF"/>
      </w:rPr>
    </w:lvl>
  </w:abstractNum>
  <w:abstractNum w:abstractNumId="5" w15:restartNumberingAfterBreak="0">
    <w:nsid w:val="1AF27210"/>
    <w:multiLevelType w:val="hybridMultilevel"/>
    <w:tmpl w:val="2DA441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0713DD5"/>
    <w:multiLevelType w:val="hybridMultilevel"/>
    <w:tmpl w:val="AAC4CBC6"/>
    <w:lvl w:ilvl="0" w:tplc="9078F048">
      <w:numFmt w:val="bullet"/>
      <w:lvlText w:val="-"/>
      <w:lvlJc w:val="left"/>
      <w:pPr>
        <w:ind w:left="720" w:hanging="360"/>
      </w:pPr>
      <w:rPr>
        <w:rFonts w:ascii="Times New Roman" w:eastAsia="Calibri" w:hAnsi="Times New Roman" w:cs="Times New Roman"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1FE509D"/>
    <w:multiLevelType w:val="multilevel"/>
    <w:tmpl w:val="6B0405C6"/>
    <w:lvl w:ilvl="0">
      <w:start w:val="1"/>
      <w:numFmt w:val="decimal"/>
      <w:lvlText w:val="%1."/>
      <w:lvlJc w:val="left"/>
      <w:pPr>
        <w:ind w:left="720" w:hanging="360"/>
      </w:pPr>
      <w:rPr>
        <w:rFonts w:hint="default"/>
        <w:i w:val="0"/>
        <w:color w:val="5B9BD5" w:themeColor="accent1"/>
      </w:rPr>
    </w:lvl>
    <w:lvl w:ilvl="1">
      <w:start w:val="1"/>
      <w:numFmt w:val="decimal"/>
      <w:isLgl/>
      <w:lvlText w:val="%1.%2."/>
      <w:lvlJc w:val="left"/>
      <w:pPr>
        <w:ind w:left="720" w:hanging="360"/>
      </w:pPr>
      <w:rPr>
        <w:rFonts w:hint="default"/>
        <w:color w:val="5B9BD5" w:themeColor="accent1"/>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8C7AF7"/>
    <w:multiLevelType w:val="hybridMultilevel"/>
    <w:tmpl w:val="2C4A9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81B5869"/>
    <w:multiLevelType w:val="hybridMultilevel"/>
    <w:tmpl w:val="D82EF4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8267318"/>
    <w:multiLevelType w:val="multilevel"/>
    <w:tmpl w:val="86F29456"/>
    <w:styleLink w:val="List18"/>
    <w:lvl w:ilvl="0">
      <w:start w:val="1"/>
      <w:numFmt w:val="decimal"/>
      <w:lvlText w:val="%1."/>
      <w:lvlJc w:val="left"/>
      <w:rPr>
        <w:color w:val="000000"/>
        <w:position w:val="0"/>
        <w:u w:color="000000"/>
        <w:rtl w:val="0"/>
      </w:rPr>
    </w:lvl>
    <w:lvl w:ilvl="1">
      <w:numFmt w:val="bullet"/>
      <w:lvlText w:val="•"/>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11" w15:restartNumberingAfterBreak="0">
    <w:nsid w:val="32C02ECD"/>
    <w:multiLevelType w:val="hybridMultilevel"/>
    <w:tmpl w:val="652485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9CD1D48"/>
    <w:multiLevelType w:val="hybridMultilevel"/>
    <w:tmpl w:val="48D21C9C"/>
    <w:lvl w:ilvl="0" w:tplc="041B0001">
      <w:start w:val="1"/>
      <w:numFmt w:val="bullet"/>
      <w:lvlText w:val=""/>
      <w:lvlJc w:val="left"/>
      <w:pPr>
        <w:ind w:left="783" w:hanging="360"/>
      </w:pPr>
      <w:rPr>
        <w:rFonts w:ascii="Symbol" w:hAnsi="Symbol"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13" w15:restartNumberingAfterBreak="0">
    <w:nsid w:val="3AFD3342"/>
    <w:multiLevelType w:val="hybridMultilevel"/>
    <w:tmpl w:val="4D52B1D2"/>
    <w:lvl w:ilvl="0" w:tplc="A60E154C">
      <w:start w:val="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F845916"/>
    <w:multiLevelType w:val="hybridMultilevel"/>
    <w:tmpl w:val="C4A2FF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9184EDD"/>
    <w:multiLevelType w:val="multilevel"/>
    <w:tmpl w:val="94C4D012"/>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pStyle w:val="NRP2uroven"/>
      <w:lvlText w:val="%1.%2."/>
      <w:lvlJc w:val="left"/>
      <w:pPr>
        <w:tabs>
          <w:tab w:val="num" w:pos="2552"/>
        </w:tabs>
        <w:ind w:left="3289" w:hanging="1304"/>
      </w:pPr>
      <w:rPr>
        <w:rFonts w:ascii="Arial Narrow" w:hAnsi="Arial Narrow" w:cs="Arial Narrow" w:hint="default"/>
        <w:b/>
        <w:bCs/>
        <w:i w:val="0"/>
        <w:iCs w:val="0"/>
        <w:sz w:val="24"/>
        <w:szCs w:val="24"/>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4D2F4BA5"/>
    <w:multiLevelType w:val="multilevel"/>
    <w:tmpl w:val="605C03A4"/>
    <w:styleLink w:val="List7"/>
    <w:lvl w:ilvl="0">
      <w:start w:val="1"/>
      <w:numFmt w:val="decimal"/>
      <w:lvlText w:val="%1."/>
      <w:lvlJc w:val="left"/>
      <w:rPr>
        <w:rFonts w:ascii="Arial Narrow" w:eastAsia="Arial Narrow" w:hAnsi="Arial Narrow" w:cs="Arial Narrow"/>
        <w:b/>
        <w:bCs/>
        <w:position w:val="0"/>
      </w:rPr>
    </w:lvl>
    <w:lvl w:ilvl="1">
      <w:start w:val="1"/>
      <w:numFmt w:val="bullet"/>
      <w:lvlText w:val="•"/>
      <w:lvlJc w:val="left"/>
      <w:rPr>
        <w:rFonts w:ascii="Arial Narrow" w:eastAsia="Arial Narrow" w:hAnsi="Arial Narrow" w:cs="Arial Narrow"/>
        <w:b/>
        <w:bCs/>
        <w:position w:val="0"/>
      </w:rPr>
    </w:lvl>
    <w:lvl w:ilvl="2">
      <w:start w:val="1"/>
      <w:numFmt w:val="lowerRoman"/>
      <w:lvlText w:val="%3."/>
      <w:lvlJc w:val="left"/>
      <w:rPr>
        <w:rFonts w:ascii="Arial Narrow" w:eastAsia="Arial Narrow" w:hAnsi="Arial Narrow" w:cs="Arial Narrow"/>
        <w:b/>
        <w:bCs/>
        <w:position w:val="0"/>
      </w:rPr>
    </w:lvl>
    <w:lvl w:ilvl="3">
      <w:start w:val="1"/>
      <w:numFmt w:val="decimal"/>
      <w:lvlText w:val="%4."/>
      <w:lvlJc w:val="left"/>
      <w:rPr>
        <w:rFonts w:ascii="Arial Narrow" w:eastAsia="Arial Narrow" w:hAnsi="Arial Narrow" w:cs="Arial Narrow"/>
        <w:b/>
        <w:bCs/>
        <w:position w:val="0"/>
      </w:rPr>
    </w:lvl>
    <w:lvl w:ilvl="4">
      <w:start w:val="1"/>
      <w:numFmt w:val="lowerLetter"/>
      <w:lvlText w:val="%5."/>
      <w:lvlJc w:val="left"/>
      <w:rPr>
        <w:rFonts w:ascii="Arial Narrow" w:eastAsia="Arial Narrow" w:hAnsi="Arial Narrow" w:cs="Arial Narrow"/>
        <w:b/>
        <w:bCs/>
        <w:position w:val="0"/>
      </w:rPr>
    </w:lvl>
    <w:lvl w:ilvl="5">
      <w:start w:val="1"/>
      <w:numFmt w:val="lowerRoman"/>
      <w:lvlText w:val="%6."/>
      <w:lvlJc w:val="left"/>
      <w:rPr>
        <w:rFonts w:ascii="Arial Narrow" w:eastAsia="Arial Narrow" w:hAnsi="Arial Narrow" w:cs="Arial Narrow"/>
        <w:b/>
        <w:bCs/>
        <w:position w:val="0"/>
      </w:rPr>
    </w:lvl>
    <w:lvl w:ilvl="6">
      <w:start w:val="1"/>
      <w:numFmt w:val="decimal"/>
      <w:lvlText w:val="%7."/>
      <w:lvlJc w:val="left"/>
      <w:rPr>
        <w:rFonts w:ascii="Arial Narrow" w:eastAsia="Arial Narrow" w:hAnsi="Arial Narrow" w:cs="Arial Narrow"/>
        <w:b/>
        <w:bCs/>
        <w:position w:val="0"/>
      </w:rPr>
    </w:lvl>
    <w:lvl w:ilvl="7">
      <w:start w:val="1"/>
      <w:numFmt w:val="lowerLetter"/>
      <w:lvlText w:val="%8."/>
      <w:lvlJc w:val="left"/>
      <w:rPr>
        <w:rFonts w:ascii="Arial Narrow" w:eastAsia="Arial Narrow" w:hAnsi="Arial Narrow" w:cs="Arial Narrow"/>
        <w:b/>
        <w:bCs/>
        <w:position w:val="0"/>
      </w:rPr>
    </w:lvl>
    <w:lvl w:ilvl="8">
      <w:start w:val="1"/>
      <w:numFmt w:val="lowerRoman"/>
      <w:lvlText w:val="%9."/>
      <w:lvlJc w:val="left"/>
      <w:rPr>
        <w:rFonts w:ascii="Arial Narrow" w:eastAsia="Arial Narrow" w:hAnsi="Arial Narrow" w:cs="Arial Narrow"/>
        <w:b/>
        <w:bCs/>
        <w:position w:val="0"/>
      </w:rPr>
    </w:lvl>
  </w:abstractNum>
  <w:abstractNum w:abstractNumId="17" w15:restartNumberingAfterBreak="0">
    <w:nsid w:val="4F1654C2"/>
    <w:multiLevelType w:val="hybridMultilevel"/>
    <w:tmpl w:val="BFB2C9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03662C1"/>
    <w:multiLevelType w:val="hybridMultilevel"/>
    <w:tmpl w:val="31086148"/>
    <w:lvl w:ilvl="0" w:tplc="9AAE7C60">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0DB36D5"/>
    <w:multiLevelType w:val="hybridMultilevel"/>
    <w:tmpl w:val="5B203A72"/>
    <w:lvl w:ilvl="0" w:tplc="529A365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24904AE"/>
    <w:multiLevelType w:val="hybridMultilevel"/>
    <w:tmpl w:val="2FA65E52"/>
    <w:lvl w:ilvl="0" w:tplc="813E9368">
      <w:start w:val="1"/>
      <w:numFmt w:val="decimal"/>
      <w:pStyle w:val="List0"/>
      <w:lvlText w:val="%1."/>
      <w:lvlJc w:val="left"/>
      <w:pPr>
        <w:ind w:left="720" w:hanging="360"/>
      </w:pPr>
      <w:rPr>
        <w:rFonts w:cs="Times New Roman" w:hint="default"/>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21" w15:restartNumberingAfterBreak="0">
    <w:nsid w:val="5B760174"/>
    <w:multiLevelType w:val="hybridMultilevel"/>
    <w:tmpl w:val="25FEF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B7C66C6"/>
    <w:multiLevelType w:val="hybridMultilevel"/>
    <w:tmpl w:val="BFFE0FD2"/>
    <w:lvl w:ilvl="0" w:tplc="4C26A1C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D3A4068"/>
    <w:multiLevelType w:val="multilevel"/>
    <w:tmpl w:val="4C2458B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53D3"/>
    <w:multiLevelType w:val="hybridMultilevel"/>
    <w:tmpl w:val="1D1E8F66"/>
    <w:lvl w:ilvl="0" w:tplc="A9D006B2">
      <w:start w:val="1"/>
      <w:numFmt w:val="decimal"/>
      <w:lvlText w:val="%1)"/>
      <w:lvlJc w:val="left"/>
      <w:pPr>
        <w:ind w:left="720" w:hanging="360"/>
      </w:pPr>
      <w:rPr>
        <w:rFonts w:hint="default"/>
        <w:b w:val="0"/>
        <w:i w:val="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12DB9"/>
    <w:multiLevelType w:val="hybridMultilevel"/>
    <w:tmpl w:val="BCAA7C74"/>
    <w:lvl w:ilvl="0" w:tplc="9AAE7C60">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ECD0E47"/>
    <w:multiLevelType w:val="hybridMultilevel"/>
    <w:tmpl w:val="D4AEC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1D13363"/>
    <w:multiLevelType w:val="hybridMultilevel"/>
    <w:tmpl w:val="36026A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2190116"/>
    <w:multiLevelType w:val="hybridMultilevel"/>
    <w:tmpl w:val="D2768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2DE0DBC"/>
    <w:multiLevelType w:val="hybridMultilevel"/>
    <w:tmpl w:val="348E8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AC37D3"/>
    <w:multiLevelType w:val="hybridMultilevel"/>
    <w:tmpl w:val="C1EE4B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DCE1AEC"/>
    <w:multiLevelType w:val="hybridMultilevel"/>
    <w:tmpl w:val="F9B063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F385CDB"/>
    <w:multiLevelType w:val="hybridMultilevel"/>
    <w:tmpl w:val="0F0A3C6C"/>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5"/>
  </w:num>
  <w:num w:numId="4">
    <w:abstractNumId w:val="15"/>
  </w:num>
  <w:num w:numId="5">
    <w:abstractNumId w:val="16"/>
  </w:num>
  <w:num w:numId="6">
    <w:abstractNumId w:val="4"/>
  </w:num>
  <w:num w:numId="7">
    <w:abstractNumId w:val="10"/>
  </w:num>
  <w:num w:numId="8">
    <w:abstractNumId w:val="6"/>
  </w:num>
  <w:num w:numId="9">
    <w:abstractNumId w:val="30"/>
  </w:num>
  <w:num w:numId="10">
    <w:abstractNumId w:val="0"/>
  </w:num>
  <w:num w:numId="11">
    <w:abstractNumId w:val="13"/>
  </w:num>
  <w:num w:numId="12">
    <w:abstractNumId w:val="24"/>
  </w:num>
  <w:num w:numId="13">
    <w:abstractNumId w:val="29"/>
  </w:num>
  <w:num w:numId="14">
    <w:abstractNumId w:val="2"/>
  </w:num>
  <w:num w:numId="15">
    <w:abstractNumId w:val="33"/>
  </w:num>
  <w:num w:numId="16">
    <w:abstractNumId w:val="12"/>
  </w:num>
  <w:num w:numId="17">
    <w:abstractNumId w:val="27"/>
  </w:num>
  <w:num w:numId="18">
    <w:abstractNumId w:val="19"/>
  </w:num>
  <w:num w:numId="19">
    <w:abstractNumId w:val="8"/>
  </w:num>
  <w:num w:numId="20">
    <w:abstractNumId w:val="17"/>
  </w:num>
  <w:num w:numId="21">
    <w:abstractNumId w:val="5"/>
  </w:num>
  <w:num w:numId="22">
    <w:abstractNumId w:val="14"/>
  </w:num>
  <w:num w:numId="23">
    <w:abstractNumId w:val="28"/>
  </w:num>
  <w:num w:numId="24">
    <w:abstractNumId w:val="32"/>
  </w:num>
  <w:num w:numId="25">
    <w:abstractNumId w:val="22"/>
  </w:num>
  <w:num w:numId="26">
    <w:abstractNumId w:val="18"/>
  </w:num>
  <w:num w:numId="27">
    <w:abstractNumId w:val="26"/>
  </w:num>
  <w:num w:numId="28">
    <w:abstractNumId w:val="21"/>
  </w:num>
  <w:num w:numId="29">
    <w:abstractNumId w:val="3"/>
  </w:num>
  <w:num w:numId="30">
    <w:abstractNumId w:val="1"/>
  </w:num>
  <w:num w:numId="31">
    <w:abstractNumId w:val="23"/>
  </w:num>
  <w:num w:numId="32">
    <w:abstractNumId w:val="11"/>
  </w:num>
  <w:num w:numId="33">
    <w:abstractNumId w:val="9"/>
  </w:num>
  <w:num w:numId="34">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0A"/>
    <w:rsid w:val="000047FD"/>
    <w:rsid w:val="00005BC2"/>
    <w:rsid w:val="000110B8"/>
    <w:rsid w:val="00011315"/>
    <w:rsid w:val="00011D48"/>
    <w:rsid w:val="00011D7D"/>
    <w:rsid w:val="00012EF5"/>
    <w:rsid w:val="00013416"/>
    <w:rsid w:val="000149A9"/>
    <w:rsid w:val="00015EA0"/>
    <w:rsid w:val="00020167"/>
    <w:rsid w:val="000206CB"/>
    <w:rsid w:val="00022D46"/>
    <w:rsid w:val="000240CE"/>
    <w:rsid w:val="00024772"/>
    <w:rsid w:val="00026A06"/>
    <w:rsid w:val="00026C6A"/>
    <w:rsid w:val="00030793"/>
    <w:rsid w:val="00031ED4"/>
    <w:rsid w:val="00032D76"/>
    <w:rsid w:val="00041DDE"/>
    <w:rsid w:val="00043E7B"/>
    <w:rsid w:val="00047029"/>
    <w:rsid w:val="00051360"/>
    <w:rsid w:val="00052B0A"/>
    <w:rsid w:val="00054E87"/>
    <w:rsid w:val="000630E8"/>
    <w:rsid w:val="00063A91"/>
    <w:rsid w:val="000663AF"/>
    <w:rsid w:val="00070053"/>
    <w:rsid w:val="00070F58"/>
    <w:rsid w:val="00072D7E"/>
    <w:rsid w:val="0008360C"/>
    <w:rsid w:val="00084ECE"/>
    <w:rsid w:val="0008599D"/>
    <w:rsid w:val="00091E21"/>
    <w:rsid w:val="000928B0"/>
    <w:rsid w:val="0009637C"/>
    <w:rsid w:val="00097555"/>
    <w:rsid w:val="000A1FCF"/>
    <w:rsid w:val="000A4239"/>
    <w:rsid w:val="000A75BB"/>
    <w:rsid w:val="000B0143"/>
    <w:rsid w:val="000B17E3"/>
    <w:rsid w:val="000B406D"/>
    <w:rsid w:val="000B4F38"/>
    <w:rsid w:val="000C265D"/>
    <w:rsid w:val="000C2CEE"/>
    <w:rsid w:val="000C2FEA"/>
    <w:rsid w:val="000C3F47"/>
    <w:rsid w:val="000C41B0"/>
    <w:rsid w:val="000C433C"/>
    <w:rsid w:val="000C6953"/>
    <w:rsid w:val="000D32E1"/>
    <w:rsid w:val="000E1014"/>
    <w:rsid w:val="000E13CA"/>
    <w:rsid w:val="000E1CA2"/>
    <w:rsid w:val="000E25E1"/>
    <w:rsid w:val="000E286E"/>
    <w:rsid w:val="000E33B3"/>
    <w:rsid w:val="000E5938"/>
    <w:rsid w:val="000F2A74"/>
    <w:rsid w:val="000F323F"/>
    <w:rsid w:val="000F4291"/>
    <w:rsid w:val="000F72E0"/>
    <w:rsid w:val="001033D3"/>
    <w:rsid w:val="001052C1"/>
    <w:rsid w:val="0010618B"/>
    <w:rsid w:val="001076A7"/>
    <w:rsid w:val="00110579"/>
    <w:rsid w:val="0011062A"/>
    <w:rsid w:val="001126CB"/>
    <w:rsid w:val="001135CC"/>
    <w:rsid w:val="00114266"/>
    <w:rsid w:val="00115C20"/>
    <w:rsid w:val="00117ADE"/>
    <w:rsid w:val="0012249D"/>
    <w:rsid w:val="00124F6B"/>
    <w:rsid w:val="001319BF"/>
    <w:rsid w:val="00132650"/>
    <w:rsid w:val="0013355F"/>
    <w:rsid w:val="001335BD"/>
    <w:rsid w:val="001351F8"/>
    <w:rsid w:val="00137C90"/>
    <w:rsid w:val="001455C3"/>
    <w:rsid w:val="001505F4"/>
    <w:rsid w:val="00151BC1"/>
    <w:rsid w:val="00151FF1"/>
    <w:rsid w:val="00152346"/>
    <w:rsid w:val="001565C6"/>
    <w:rsid w:val="00157502"/>
    <w:rsid w:val="00160077"/>
    <w:rsid w:val="00160526"/>
    <w:rsid w:val="00161065"/>
    <w:rsid w:val="00164A62"/>
    <w:rsid w:val="00165392"/>
    <w:rsid w:val="00171685"/>
    <w:rsid w:val="001740AB"/>
    <w:rsid w:val="00174222"/>
    <w:rsid w:val="00176825"/>
    <w:rsid w:val="00180F23"/>
    <w:rsid w:val="00181EC9"/>
    <w:rsid w:val="0018209A"/>
    <w:rsid w:val="00192C79"/>
    <w:rsid w:val="00193813"/>
    <w:rsid w:val="001A0C62"/>
    <w:rsid w:val="001A44D2"/>
    <w:rsid w:val="001B132F"/>
    <w:rsid w:val="001B220E"/>
    <w:rsid w:val="001C7795"/>
    <w:rsid w:val="001D387C"/>
    <w:rsid w:val="001D4F34"/>
    <w:rsid w:val="001D566F"/>
    <w:rsid w:val="001D68BE"/>
    <w:rsid w:val="001D6A9B"/>
    <w:rsid w:val="001D6BD4"/>
    <w:rsid w:val="001E1863"/>
    <w:rsid w:val="001E2730"/>
    <w:rsid w:val="001E3456"/>
    <w:rsid w:val="001E3699"/>
    <w:rsid w:val="001E50EB"/>
    <w:rsid w:val="001E62A0"/>
    <w:rsid w:val="001E6B9B"/>
    <w:rsid w:val="001E6EB5"/>
    <w:rsid w:val="001F58E6"/>
    <w:rsid w:val="00200155"/>
    <w:rsid w:val="002008BD"/>
    <w:rsid w:val="00200C87"/>
    <w:rsid w:val="00202D3B"/>
    <w:rsid w:val="00202F66"/>
    <w:rsid w:val="00205D4A"/>
    <w:rsid w:val="00206C41"/>
    <w:rsid w:val="0020726A"/>
    <w:rsid w:val="00212487"/>
    <w:rsid w:val="00213694"/>
    <w:rsid w:val="00214A4A"/>
    <w:rsid w:val="00214BF0"/>
    <w:rsid w:val="002167F6"/>
    <w:rsid w:val="00216910"/>
    <w:rsid w:val="0022093A"/>
    <w:rsid w:val="00222095"/>
    <w:rsid w:val="0022221C"/>
    <w:rsid w:val="00224A8D"/>
    <w:rsid w:val="0022562D"/>
    <w:rsid w:val="00225E27"/>
    <w:rsid w:val="0023254A"/>
    <w:rsid w:val="002361C1"/>
    <w:rsid w:val="00237634"/>
    <w:rsid w:val="0024278B"/>
    <w:rsid w:val="00245F51"/>
    <w:rsid w:val="0024724D"/>
    <w:rsid w:val="00251C17"/>
    <w:rsid w:val="002529CD"/>
    <w:rsid w:val="0025482A"/>
    <w:rsid w:val="00254883"/>
    <w:rsid w:val="00255916"/>
    <w:rsid w:val="00263500"/>
    <w:rsid w:val="00263927"/>
    <w:rsid w:val="00264E57"/>
    <w:rsid w:val="002671E2"/>
    <w:rsid w:val="00267F18"/>
    <w:rsid w:val="0027234F"/>
    <w:rsid w:val="002723F3"/>
    <w:rsid w:val="002731F5"/>
    <w:rsid w:val="002734EA"/>
    <w:rsid w:val="002759EB"/>
    <w:rsid w:val="00277478"/>
    <w:rsid w:val="00277944"/>
    <w:rsid w:val="00281F1C"/>
    <w:rsid w:val="00285225"/>
    <w:rsid w:val="00285F6A"/>
    <w:rsid w:val="002905E6"/>
    <w:rsid w:val="00294C4D"/>
    <w:rsid w:val="002A21B1"/>
    <w:rsid w:val="002A40A9"/>
    <w:rsid w:val="002A5E76"/>
    <w:rsid w:val="002B45BA"/>
    <w:rsid w:val="002C54ED"/>
    <w:rsid w:val="002C5D02"/>
    <w:rsid w:val="002C6924"/>
    <w:rsid w:val="002C6AD7"/>
    <w:rsid w:val="002D0E3A"/>
    <w:rsid w:val="002D0F9F"/>
    <w:rsid w:val="002D2AB8"/>
    <w:rsid w:val="002D5918"/>
    <w:rsid w:val="002D6685"/>
    <w:rsid w:val="002D78E2"/>
    <w:rsid w:val="002E351D"/>
    <w:rsid w:val="002E4A62"/>
    <w:rsid w:val="002F16B8"/>
    <w:rsid w:val="002F387B"/>
    <w:rsid w:val="002F3ABA"/>
    <w:rsid w:val="00301CF4"/>
    <w:rsid w:val="003025A0"/>
    <w:rsid w:val="003026E0"/>
    <w:rsid w:val="0030436D"/>
    <w:rsid w:val="00312F15"/>
    <w:rsid w:val="003135AF"/>
    <w:rsid w:val="00314ED8"/>
    <w:rsid w:val="00321BED"/>
    <w:rsid w:val="003257DA"/>
    <w:rsid w:val="00333696"/>
    <w:rsid w:val="003360AD"/>
    <w:rsid w:val="0033660F"/>
    <w:rsid w:val="00337EFE"/>
    <w:rsid w:val="00345284"/>
    <w:rsid w:val="00346C69"/>
    <w:rsid w:val="003474BB"/>
    <w:rsid w:val="003501DF"/>
    <w:rsid w:val="00350557"/>
    <w:rsid w:val="00352781"/>
    <w:rsid w:val="003576CF"/>
    <w:rsid w:val="00357FEB"/>
    <w:rsid w:val="00362824"/>
    <w:rsid w:val="00363D18"/>
    <w:rsid w:val="00364FAE"/>
    <w:rsid w:val="00371DAE"/>
    <w:rsid w:val="00372AD6"/>
    <w:rsid w:val="003734B1"/>
    <w:rsid w:val="003747E0"/>
    <w:rsid w:val="00374A38"/>
    <w:rsid w:val="00383AA4"/>
    <w:rsid w:val="00386819"/>
    <w:rsid w:val="00386D37"/>
    <w:rsid w:val="0038718C"/>
    <w:rsid w:val="003877F8"/>
    <w:rsid w:val="00390E43"/>
    <w:rsid w:val="003911FD"/>
    <w:rsid w:val="00392919"/>
    <w:rsid w:val="003941F9"/>
    <w:rsid w:val="00396F5E"/>
    <w:rsid w:val="003A0BB6"/>
    <w:rsid w:val="003A1409"/>
    <w:rsid w:val="003A52D0"/>
    <w:rsid w:val="003A5E58"/>
    <w:rsid w:val="003B0081"/>
    <w:rsid w:val="003B16BA"/>
    <w:rsid w:val="003B2260"/>
    <w:rsid w:val="003B264C"/>
    <w:rsid w:val="003B2A3F"/>
    <w:rsid w:val="003B3897"/>
    <w:rsid w:val="003B4C08"/>
    <w:rsid w:val="003B5140"/>
    <w:rsid w:val="003B60EE"/>
    <w:rsid w:val="003C013B"/>
    <w:rsid w:val="003C2E68"/>
    <w:rsid w:val="003C305E"/>
    <w:rsid w:val="003C3DFF"/>
    <w:rsid w:val="003C4359"/>
    <w:rsid w:val="003C6A95"/>
    <w:rsid w:val="003D09EB"/>
    <w:rsid w:val="003D2EA0"/>
    <w:rsid w:val="003D5980"/>
    <w:rsid w:val="003D7D86"/>
    <w:rsid w:val="003E2D1F"/>
    <w:rsid w:val="003E65A6"/>
    <w:rsid w:val="003F331A"/>
    <w:rsid w:val="003F3696"/>
    <w:rsid w:val="004004BC"/>
    <w:rsid w:val="00403BB6"/>
    <w:rsid w:val="00403F40"/>
    <w:rsid w:val="0040403D"/>
    <w:rsid w:val="004045B1"/>
    <w:rsid w:val="00406644"/>
    <w:rsid w:val="0040692A"/>
    <w:rsid w:val="0040790F"/>
    <w:rsid w:val="00414428"/>
    <w:rsid w:val="00416FAF"/>
    <w:rsid w:val="00422E8F"/>
    <w:rsid w:val="00426766"/>
    <w:rsid w:val="00432887"/>
    <w:rsid w:val="00435E51"/>
    <w:rsid w:val="00440268"/>
    <w:rsid w:val="00440D2F"/>
    <w:rsid w:val="00441800"/>
    <w:rsid w:val="0044453F"/>
    <w:rsid w:val="00446DDA"/>
    <w:rsid w:val="00447660"/>
    <w:rsid w:val="00451061"/>
    <w:rsid w:val="00451C03"/>
    <w:rsid w:val="00451C0B"/>
    <w:rsid w:val="00452F7C"/>
    <w:rsid w:val="00454322"/>
    <w:rsid w:val="004560F5"/>
    <w:rsid w:val="00457B1E"/>
    <w:rsid w:val="00462AF0"/>
    <w:rsid w:val="00463362"/>
    <w:rsid w:val="00466A51"/>
    <w:rsid w:val="004705E0"/>
    <w:rsid w:val="00471E0C"/>
    <w:rsid w:val="0047401F"/>
    <w:rsid w:val="004742ED"/>
    <w:rsid w:val="004800D0"/>
    <w:rsid w:val="00483A85"/>
    <w:rsid w:val="00485DFB"/>
    <w:rsid w:val="00486C44"/>
    <w:rsid w:val="00486E59"/>
    <w:rsid w:val="0049143F"/>
    <w:rsid w:val="0049163E"/>
    <w:rsid w:val="0049203F"/>
    <w:rsid w:val="004947DE"/>
    <w:rsid w:val="004A1C37"/>
    <w:rsid w:val="004A1F6B"/>
    <w:rsid w:val="004B108F"/>
    <w:rsid w:val="004B6730"/>
    <w:rsid w:val="004B6EE6"/>
    <w:rsid w:val="004C008B"/>
    <w:rsid w:val="004D1763"/>
    <w:rsid w:val="004D1916"/>
    <w:rsid w:val="004D284D"/>
    <w:rsid w:val="004D33A7"/>
    <w:rsid w:val="004D573A"/>
    <w:rsid w:val="004D5AD1"/>
    <w:rsid w:val="004E09C4"/>
    <w:rsid w:val="004E46D3"/>
    <w:rsid w:val="004E6D75"/>
    <w:rsid w:val="004F0544"/>
    <w:rsid w:val="004F0A0C"/>
    <w:rsid w:val="004F2E6A"/>
    <w:rsid w:val="004F3C71"/>
    <w:rsid w:val="004F568C"/>
    <w:rsid w:val="004F5F74"/>
    <w:rsid w:val="004F7612"/>
    <w:rsid w:val="00503179"/>
    <w:rsid w:val="00503FEF"/>
    <w:rsid w:val="0050611D"/>
    <w:rsid w:val="00510EA7"/>
    <w:rsid w:val="00513AB1"/>
    <w:rsid w:val="00516F7F"/>
    <w:rsid w:val="00517772"/>
    <w:rsid w:val="005202C6"/>
    <w:rsid w:val="0052441A"/>
    <w:rsid w:val="00525B46"/>
    <w:rsid w:val="00527164"/>
    <w:rsid w:val="00531304"/>
    <w:rsid w:val="00531830"/>
    <w:rsid w:val="005328DE"/>
    <w:rsid w:val="00534786"/>
    <w:rsid w:val="00536720"/>
    <w:rsid w:val="00536DF0"/>
    <w:rsid w:val="00542491"/>
    <w:rsid w:val="00544156"/>
    <w:rsid w:val="00544F70"/>
    <w:rsid w:val="00547A27"/>
    <w:rsid w:val="005522C6"/>
    <w:rsid w:val="00553E48"/>
    <w:rsid w:val="00554E5F"/>
    <w:rsid w:val="0055677C"/>
    <w:rsid w:val="00563AE1"/>
    <w:rsid w:val="0056699B"/>
    <w:rsid w:val="0056772C"/>
    <w:rsid w:val="005711B8"/>
    <w:rsid w:val="00573EC5"/>
    <w:rsid w:val="005748DC"/>
    <w:rsid w:val="005751FD"/>
    <w:rsid w:val="00577D3F"/>
    <w:rsid w:val="00581EF4"/>
    <w:rsid w:val="00583CD2"/>
    <w:rsid w:val="00587C08"/>
    <w:rsid w:val="00590254"/>
    <w:rsid w:val="00590631"/>
    <w:rsid w:val="00594F30"/>
    <w:rsid w:val="00596980"/>
    <w:rsid w:val="00597B63"/>
    <w:rsid w:val="005A0EEA"/>
    <w:rsid w:val="005A14D7"/>
    <w:rsid w:val="005A28C1"/>
    <w:rsid w:val="005A2C09"/>
    <w:rsid w:val="005A4C57"/>
    <w:rsid w:val="005A5D00"/>
    <w:rsid w:val="005A60EC"/>
    <w:rsid w:val="005B23B8"/>
    <w:rsid w:val="005B2D22"/>
    <w:rsid w:val="005C0421"/>
    <w:rsid w:val="005C2A60"/>
    <w:rsid w:val="005C4C01"/>
    <w:rsid w:val="005C5884"/>
    <w:rsid w:val="005C5A0D"/>
    <w:rsid w:val="005D0203"/>
    <w:rsid w:val="005D2297"/>
    <w:rsid w:val="005D3543"/>
    <w:rsid w:val="005D4DD3"/>
    <w:rsid w:val="005D5804"/>
    <w:rsid w:val="005D60CF"/>
    <w:rsid w:val="005D7E07"/>
    <w:rsid w:val="005E166B"/>
    <w:rsid w:val="005E6719"/>
    <w:rsid w:val="005F019B"/>
    <w:rsid w:val="005F1B7A"/>
    <w:rsid w:val="005F663F"/>
    <w:rsid w:val="00600480"/>
    <w:rsid w:val="00600F7C"/>
    <w:rsid w:val="00604CC2"/>
    <w:rsid w:val="006053E0"/>
    <w:rsid w:val="00605CB2"/>
    <w:rsid w:val="00606DD0"/>
    <w:rsid w:val="006114C9"/>
    <w:rsid w:val="00611FE7"/>
    <w:rsid w:val="00612474"/>
    <w:rsid w:val="00616220"/>
    <w:rsid w:val="00622D7F"/>
    <w:rsid w:val="00624483"/>
    <w:rsid w:val="00624C74"/>
    <w:rsid w:val="00626122"/>
    <w:rsid w:val="00627657"/>
    <w:rsid w:val="0063035E"/>
    <w:rsid w:val="0063318D"/>
    <w:rsid w:val="00637395"/>
    <w:rsid w:val="00637878"/>
    <w:rsid w:val="00637A8F"/>
    <w:rsid w:val="0064597C"/>
    <w:rsid w:val="00647A25"/>
    <w:rsid w:val="00654E01"/>
    <w:rsid w:val="00656BCD"/>
    <w:rsid w:val="0065737E"/>
    <w:rsid w:val="006600CB"/>
    <w:rsid w:val="0066156F"/>
    <w:rsid w:val="006748AF"/>
    <w:rsid w:val="00683CD2"/>
    <w:rsid w:val="00693BAC"/>
    <w:rsid w:val="00694747"/>
    <w:rsid w:val="006A1574"/>
    <w:rsid w:val="006A1B8F"/>
    <w:rsid w:val="006A36A0"/>
    <w:rsid w:val="006A3C7F"/>
    <w:rsid w:val="006A55CA"/>
    <w:rsid w:val="006B07C6"/>
    <w:rsid w:val="006B422C"/>
    <w:rsid w:val="006B70C7"/>
    <w:rsid w:val="006B7971"/>
    <w:rsid w:val="006C243F"/>
    <w:rsid w:val="006C3FE9"/>
    <w:rsid w:val="006C4B9B"/>
    <w:rsid w:val="006D0919"/>
    <w:rsid w:val="006D0B06"/>
    <w:rsid w:val="006D3DB1"/>
    <w:rsid w:val="006D40CA"/>
    <w:rsid w:val="006D5008"/>
    <w:rsid w:val="006D5A45"/>
    <w:rsid w:val="006E1AF6"/>
    <w:rsid w:val="006E2656"/>
    <w:rsid w:val="006E28C1"/>
    <w:rsid w:val="006E3E69"/>
    <w:rsid w:val="006E67C6"/>
    <w:rsid w:val="006F3128"/>
    <w:rsid w:val="006F37C3"/>
    <w:rsid w:val="006F5072"/>
    <w:rsid w:val="006F5DB7"/>
    <w:rsid w:val="006F6B6A"/>
    <w:rsid w:val="007008C4"/>
    <w:rsid w:val="00701033"/>
    <w:rsid w:val="007020FE"/>
    <w:rsid w:val="007039F0"/>
    <w:rsid w:val="00705EC2"/>
    <w:rsid w:val="00710876"/>
    <w:rsid w:val="0071320C"/>
    <w:rsid w:val="00716683"/>
    <w:rsid w:val="007218A4"/>
    <w:rsid w:val="00721CBC"/>
    <w:rsid w:val="00722BC5"/>
    <w:rsid w:val="007317D3"/>
    <w:rsid w:val="00731DA4"/>
    <w:rsid w:val="007325DE"/>
    <w:rsid w:val="00733A4D"/>
    <w:rsid w:val="007348E2"/>
    <w:rsid w:val="007437C3"/>
    <w:rsid w:val="00745737"/>
    <w:rsid w:val="00746302"/>
    <w:rsid w:val="007479C0"/>
    <w:rsid w:val="00754BD1"/>
    <w:rsid w:val="0075682D"/>
    <w:rsid w:val="00756EC8"/>
    <w:rsid w:val="0076063B"/>
    <w:rsid w:val="007606B0"/>
    <w:rsid w:val="00762B65"/>
    <w:rsid w:val="0076304F"/>
    <w:rsid w:val="00763864"/>
    <w:rsid w:val="007660A9"/>
    <w:rsid w:val="00770C4E"/>
    <w:rsid w:val="00772873"/>
    <w:rsid w:val="007771EE"/>
    <w:rsid w:val="00777768"/>
    <w:rsid w:val="00780017"/>
    <w:rsid w:val="00780DD4"/>
    <w:rsid w:val="00782B1E"/>
    <w:rsid w:val="00784378"/>
    <w:rsid w:val="00787AB0"/>
    <w:rsid w:val="00792001"/>
    <w:rsid w:val="00794DE2"/>
    <w:rsid w:val="007A73F1"/>
    <w:rsid w:val="007B1B70"/>
    <w:rsid w:val="007B1BD5"/>
    <w:rsid w:val="007B45D1"/>
    <w:rsid w:val="007B4FDF"/>
    <w:rsid w:val="007B5094"/>
    <w:rsid w:val="007C2BDC"/>
    <w:rsid w:val="007C46C2"/>
    <w:rsid w:val="007D17A7"/>
    <w:rsid w:val="007D3D2F"/>
    <w:rsid w:val="007D67CD"/>
    <w:rsid w:val="007E4418"/>
    <w:rsid w:val="007E5133"/>
    <w:rsid w:val="007E6C6B"/>
    <w:rsid w:val="007E79C2"/>
    <w:rsid w:val="007F0E24"/>
    <w:rsid w:val="007F202B"/>
    <w:rsid w:val="007F7CAB"/>
    <w:rsid w:val="0080040F"/>
    <w:rsid w:val="00800C8E"/>
    <w:rsid w:val="008013CD"/>
    <w:rsid w:val="00804025"/>
    <w:rsid w:val="00804037"/>
    <w:rsid w:val="0080459C"/>
    <w:rsid w:val="00804C9F"/>
    <w:rsid w:val="008058F2"/>
    <w:rsid w:val="0081360C"/>
    <w:rsid w:val="00813666"/>
    <w:rsid w:val="0081474F"/>
    <w:rsid w:val="00814D23"/>
    <w:rsid w:val="00814E96"/>
    <w:rsid w:val="00816416"/>
    <w:rsid w:val="008204A3"/>
    <w:rsid w:val="00821C71"/>
    <w:rsid w:val="00822A3C"/>
    <w:rsid w:val="00825CEC"/>
    <w:rsid w:val="00827666"/>
    <w:rsid w:val="008301BA"/>
    <w:rsid w:val="00832298"/>
    <w:rsid w:val="00834877"/>
    <w:rsid w:val="00835E4E"/>
    <w:rsid w:val="00841BA5"/>
    <w:rsid w:val="00841FE8"/>
    <w:rsid w:val="00845EE2"/>
    <w:rsid w:val="00851FEA"/>
    <w:rsid w:val="00855C91"/>
    <w:rsid w:val="008575FA"/>
    <w:rsid w:val="00861A1A"/>
    <w:rsid w:val="0086216A"/>
    <w:rsid w:val="00862B2A"/>
    <w:rsid w:val="00862FB5"/>
    <w:rsid w:val="0086666E"/>
    <w:rsid w:val="00871079"/>
    <w:rsid w:val="00873219"/>
    <w:rsid w:val="00877233"/>
    <w:rsid w:val="00880329"/>
    <w:rsid w:val="00881CB6"/>
    <w:rsid w:val="00883492"/>
    <w:rsid w:val="00884068"/>
    <w:rsid w:val="0088407E"/>
    <w:rsid w:val="008847E4"/>
    <w:rsid w:val="00887ECD"/>
    <w:rsid w:val="00890FF0"/>
    <w:rsid w:val="00893F1B"/>
    <w:rsid w:val="00893F59"/>
    <w:rsid w:val="0089783D"/>
    <w:rsid w:val="008A24BF"/>
    <w:rsid w:val="008A37AF"/>
    <w:rsid w:val="008A45D6"/>
    <w:rsid w:val="008A56FD"/>
    <w:rsid w:val="008A7FC3"/>
    <w:rsid w:val="008B0867"/>
    <w:rsid w:val="008B3366"/>
    <w:rsid w:val="008B3950"/>
    <w:rsid w:val="008B65DE"/>
    <w:rsid w:val="008B7E32"/>
    <w:rsid w:val="008C00A9"/>
    <w:rsid w:val="008C196B"/>
    <w:rsid w:val="008C1C85"/>
    <w:rsid w:val="008C1DA9"/>
    <w:rsid w:val="008D2AF5"/>
    <w:rsid w:val="008D6515"/>
    <w:rsid w:val="008E2CCF"/>
    <w:rsid w:val="008E56EE"/>
    <w:rsid w:val="008F09CD"/>
    <w:rsid w:val="008F1355"/>
    <w:rsid w:val="008F1E44"/>
    <w:rsid w:val="00901C9E"/>
    <w:rsid w:val="009121EB"/>
    <w:rsid w:val="009122CF"/>
    <w:rsid w:val="009141A5"/>
    <w:rsid w:val="0091624C"/>
    <w:rsid w:val="009224A5"/>
    <w:rsid w:val="00923907"/>
    <w:rsid w:val="0092587B"/>
    <w:rsid w:val="00926F3C"/>
    <w:rsid w:val="00934961"/>
    <w:rsid w:val="00935574"/>
    <w:rsid w:val="00936D04"/>
    <w:rsid w:val="009406D3"/>
    <w:rsid w:val="00942A58"/>
    <w:rsid w:val="009438DF"/>
    <w:rsid w:val="009501AF"/>
    <w:rsid w:val="009506B5"/>
    <w:rsid w:val="00950E0A"/>
    <w:rsid w:val="00955E1D"/>
    <w:rsid w:val="00961A3A"/>
    <w:rsid w:val="00961C75"/>
    <w:rsid w:val="009625C0"/>
    <w:rsid w:val="00967C58"/>
    <w:rsid w:val="00967D6B"/>
    <w:rsid w:val="00971E27"/>
    <w:rsid w:val="00973027"/>
    <w:rsid w:val="00973A24"/>
    <w:rsid w:val="0097500B"/>
    <w:rsid w:val="00977F71"/>
    <w:rsid w:val="00980467"/>
    <w:rsid w:val="009810DC"/>
    <w:rsid w:val="00981EDA"/>
    <w:rsid w:val="00985376"/>
    <w:rsid w:val="00990FC1"/>
    <w:rsid w:val="00994B5E"/>
    <w:rsid w:val="0099665B"/>
    <w:rsid w:val="00997A01"/>
    <w:rsid w:val="009A224B"/>
    <w:rsid w:val="009A3DA3"/>
    <w:rsid w:val="009A67CE"/>
    <w:rsid w:val="009A796A"/>
    <w:rsid w:val="009B358E"/>
    <w:rsid w:val="009B3E5A"/>
    <w:rsid w:val="009B4B73"/>
    <w:rsid w:val="009C61D5"/>
    <w:rsid w:val="009C79B2"/>
    <w:rsid w:val="009D0322"/>
    <w:rsid w:val="009D65C9"/>
    <w:rsid w:val="009E42C5"/>
    <w:rsid w:val="009E57BC"/>
    <w:rsid w:val="009F0C7E"/>
    <w:rsid w:val="009F3174"/>
    <w:rsid w:val="009F44B4"/>
    <w:rsid w:val="009F5321"/>
    <w:rsid w:val="009F6EB7"/>
    <w:rsid w:val="009F7203"/>
    <w:rsid w:val="009F740A"/>
    <w:rsid w:val="00A01418"/>
    <w:rsid w:val="00A024B4"/>
    <w:rsid w:val="00A02C7D"/>
    <w:rsid w:val="00A02EA3"/>
    <w:rsid w:val="00A045F5"/>
    <w:rsid w:val="00A11C5B"/>
    <w:rsid w:val="00A15186"/>
    <w:rsid w:val="00A162CF"/>
    <w:rsid w:val="00A169AE"/>
    <w:rsid w:val="00A16F72"/>
    <w:rsid w:val="00A22A26"/>
    <w:rsid w:val="00A2381A"/>
    <w:rsid w:val="00A246C0"/>
    <w:rsid w:val="00A25CA6"/>
    <w:rsid w:val="00A269D4"/>
    <w:rsid w:val="00A273CE"/>
    <w:rsid w:val="00A3222C"/>
    <w:rsid w:val="00A34210"/>
    <w:rsid w:val="00A34219"/>
    <w:rsid w:val="00A4378C"/>
    <w:rsid w:val="00A44B10"/>
    <w:rsid w:val="00A44F64"/>
    <w:rsid w:val="00A5558D"/>
    <w:rsid w:val="00A574E4"/>
    <w:rsid w:val="00A64D35"/>
    <w:rsid w:val="00A64EE7"/>
    <w:rsid w:val="00A7163D"/>
    <w:rsid w:val="00A74226"/>
    <w:rsid w:val="00A742DB"/>
    <w:rsid w:val="00A743E1"/>
    <w:rsid w:val="00A76E58"/>
    <w:rsid w:val="00A80078"/>
    <w:rsid w:val="00A809E7"/>
    <w:rsid w:val="00A81FC2"/>
    <w:rsid w:val="00A822AB"/>
    <w:rsid w:val="00A8586E"/>
    <w:rsid w:val="00A909CA"/>
    <w:rsid w:val="00A92198"/>
    <w:rsid w:val="00A93875"/>
    <w:rsid w:val="00A94BEB"/>
    <w:rsid w:val="00A95CAA"/>
    <w:rsid w:val="00AA17E3"/>
    <w:rsid w:val="00AA3416"/>
    <w:rsid w:val="00AB093D"/>
    <w:rsid w:val="00AB0C84"/>
    <w:rsid w:val="00AB1731"/>
    <w:rsid w:val="00AB2E2F"/>
    <w:rsid w:val="00AB58F8"/>
    <w:rsid w:val="00AC031F"/>
    <w:rsid w:val="00AC0B5F"/>
    <w:rsid w:val="00AC183F"/>
    <w:rsid w:val="00AC2229"/>
    <w:rsid w:val="00AC291B"/>
    <w:rsid w:val="00AC2B52"/>
    <w:rsid w:val="00AC6EB6"/>
    <w:rsid w:val="00AC6FC3"/>
    <w:rsid w:val="00AD0718"/>
    <w:rsid w:val="00AD4007"/>
    <w:rsid w:val="00AD5932"/>
    <w:rsid w:val="00AD6420"/>
    <w:rsid w:val="00AE763D"/>
    <w:rsid w:val="00AF2066"/>
    <w:rsid w:val="00AF27A7"/>
    <w:rsid w:val="00AF6D19"/>
    <w:rsid w:val="00AF751E"/>
    <w:rsid w:val="00B05C35"/>
    <w:rsid w:val="00B07740"/>
    <w:rsid w:val="00B14311"/>
    <w:rsid w:val="00B1564A"/>
    <w:rsid w:val="00B17481"/>
    <w:rsid w:val="00B21BBC"/>
    <w:rsid w:val="00B2265D"/>
    <w:rsid w:val="00B234C1"/>
    <w:rsid w:val="00B271BE"/>
    <w:rsid w:val="00B302BE"/>
    <w:rsid w:val="00B331BA"/>
    <w:rsid w:val="00B34D81"/>
    <w:rsid w:val="00B373B3"/>
    <w:rsid w:val="00B46D8C"/>
    <w:rsid w:val="00B501E1"/>
    <w:rsid w:val="00B50A63"/>
    <w:rsid w:val="00B51BBF"/>
    <w:rsid w:val="00B54137"/>
    <w:rsid w:val="00B61516"/>
    <w:rsid w:val="00B62CD7"/>
    <w:rsid w:val="00B62D11"/>
    <w:rsid w:val="00B63946"/>
    <w:rsid w:val="00B65909"/>
    <w:rsid w:val="00B66991"/>
    <w:rsid w:val="00B677A0"/>
    <w:rsid w:val="00B7108B"/>
    <w:rsid w:val="00B72C30"/>
    <w:rsid w:val="00B741A8"/>
    <w:rsid w:val="00B74430"/>
    <w:rsid w:val="00B7728B"/>
    <w:rsid w:val="00B77F1C"/>
    <w:rsid w:val="00B82A7C"/>
    <w:rsid w:val="00B8424D"/>
    <w:rsid w:val="00B8458A"/>
    <w:rsid w:val="00B85B7E"/>
    <w:rsid w:val="00B86798"/>
    <w:rsid w:val="00B872B2"/>
    <w:rsid w:val="00B87A2B"/>
    <w:rsid w:val="00B90499"/>
    <w:rsid w:val="00B91CF7"/>
    <w:rsid w:val="00B9291D"/>
    <w:rsid w:val="00B92A5A"/>
    <w:rsid w:val="00B932F5"/>
    <w:rsid w:val="00B949EE"/>
    <w:rsid w:val="00B96272"/>
    <w:rsid w:val="00B96E0E"/>
    <w:rsid w:val="00BA211E"/>
    <w:rsid w:val="00BA3EDA"/>
    <w:rsid w:val="00BA43AC"/>
    <w:rsid w:val="00BA4F7D"/>
    <w:rsid w:val="00BA5299"/>
    <w:rsid w:val="00BA5579"/>
    <w:rsid w:val="00BB06EC"/>
    <w:rsid w:val="00BB4664"/>
    <w:rsid w:val="00BB5A0E"/>
    <w:rsid w:val="00BB5E23"/>
    <w:rsid w:val="00BB67DE"/>
    <w:rsid w:val="00BB7C44"/>
    <w:rsid w:val="00BC3938"/>
    <w:rsid w:val="00BC6211"/>
    <w:rsid w:val="00BD1137"/>
    <w:rsid w:val="00BD6A07"/>
    <w:rsid w:val="00BD773F"/>
    <w:rsid w:val="00BE281E"/>
    <w:rsid w:val="00BE30A1"/>
    <w:rsid w:val="00BE350D"/>
    <w:rsid w:val="00BE5059"/>
    <w:rsid w:val="00BE67A4"/>
    <w:rsid w:val="00BF11CC"/>
    <w:rsid w:val="00BF1C14"/>
    <w:rsid w:val="00BF2C12"/>
    <w:rsid w:val="00C07ED1"/>
    <w:rsid w:val="00C10BB8"/>
    <w:rsid w:val="00C12DA1"/>
    <w:rsid w:val="00C166DE"/>
    <w:rsid w:val="00C16F66"/>
    <w:rsid w:val="00C1749B"/>
    <w:rsid w:val="00C23660"/>
    <w:rsid w:val="00C23EDD"/>
    <w:rsid w:val="00C2778B"/>
    <w:rsid w:val="00C36E5D"/>
    <w:rsid w:val="00C36FDE"/>
    <w:rsid w:val="00C37B40"/>
    <w:rsid w:val="00C40F9C"/>
    <w:rsid w:val="00C422FB"/>
    <w:rsid w:val="00C42F2D"/>
    <w:rsid w:val="00C45BEF"/>
    <w:rsid w:val="00C4680B"/>
    <w:rsid w:val="00C51DAE"/>
    <w:rsid w:val="00C54A0B"/>
    <w:rsid w:val="00C617E4"/>
    <w:rsid w:val="00C65B24"/>
    <w:rsid w:val="00C721AB"/>
    <w:rsid w:val="00C7238C"/>
    <w:rsid w:val="00C751A3"/>
    <w:rsid w:val="00C8348C"/>
    <w:rsid w:val="00C90EAA"/>
    <w:rsid w:val="00C9336E"/>
    <w:rsid w:val="00CA039C"/>
    <w:rsid w:val="00CA09A7"/>
    <w:rsid w:val="00CA2858"/>
    <w:rsid w:val="00CA6DF0"/>
    <w:rsid w:val="00CA7269"/>
    <w:rsid w:val="00CA7942"/>
    <w:rsid w:val="00CB455D"/>
    <w:rsid w:val="00CB562B"/>
    <w:rsid w:val="00CB7A80"/>
    <w:rsid w:val="00CC1911"/>
    <w:rsid w:val="00CC1E94"/>
    <w:rsid w:val="00CC349F"/>
    <w:rsid w:val="00CC6F9A"/>
    <w:rsid w:val="00CD1679"/>
    <w:rsid w:val="00CD437E"/>
    <w:rsid w:val="00CD460B"/>
    <w:rsid w:val="00CD5FF8"/>
    <w:rsid w:val="00CD63FD"/>
    <w:rsid w:val="00CD79A5"/>
    <w:rsid w:val="00CE077C"/>
    <w:rsid w:val="00CE1EF5"/>
    <w:rsid w:val="00CE26D8"/>
    <w:rsid w:val="00CE2A9F"/>
    <w:rsid w:val="00CE39CF"/>
    <w:rsid w:val="00CE655A"/>
    <w:rsid w:val="00CF3220"/>
    <w:rsid w:val="00CF349E"/>
    <w:rsid w:val="00CF40A9"/>
    <w:rsid w:val="00CF487B"/>
    <w:rsid w:val="00CF5E5E"/>
    <w:rsid w:val="00D00DFA"/>
    <w:rsid w:val="00D0149A"/>
    <w:rsid w:val="00D022F2"/>
    <w:rsid w:val="00D02899"/>
    <w:rsid w:val="00D03D2E"/>
    <w:rsid w:val="00D04305"/>
    <w:rsid w:val="00D059B4"/>
    <w:rsid w:val="00D1033F"/>
    <w:rsid w:val="00D10BF5"/>
    <w:rsid w:val="00D10C0E"/>
    <w:rsid w:val="00D112D2"/>
    <w:rsid w:val="00D13495"/>
    <w:rsid w:val="00D14E17"/>
    <w:rsid w:val="00D1764B"/>
    <w:rsid w:val="00D236EE"/>
    <w:rsid w:val="00D23D04"/>
    <w:rsid w:val="00D25E8C"/>
    <w:rsid w:val="00D25F31"/>
    <w:rsid w:val="00D261E5"/>
    <w:rsid w:val="00D27BBC"/>
    <w:rsid w:val="00D3061D"/>
    <w:rsid w:val="00D31A29"/>
    <w:rsid w:val="00D470E0"/>
    <w:rsid w:val="00D51B88"/>
    <w:rsid w:val="00D52093"/>
    <w:rsid w:val="00D52D28"/>
    <w:rsid w:val="00D55229"/>
    <w:rsid w:val="00D5789B"/>
    <w:rsid w:val="00D57C80"/>
    <w:rsid w:val="00D6177D"/>
    <w:rsid w:val="00D636DE"/>
    <w:rsid w:val="00D67CDA"/>
    <w:rsid w:val="00D71AC9"/>
    <w:rsid w:val="00D72568"/>
    <w:rsid w:val="00D8131E"/>
    <w:rsid w:val="00D82F72"/>
    <w:rsid w:val="00D856A4"/>
    <w:rsid w:val="00D86AF7"/>
    <w:rsid w:val="00D94169"/>
    <w:rsid w:val="00D9588E"/>
    <w:rsid w:val="00DA4DA0"/>
    <w:rsid w:val="00DA7B65"/>
    <w:rsid w:val="00DB2DC9"/>
    <w:rsid w:val="00DB5297"/>
    <w:rsid w:val="00DB5A00"/>
    <w:rsid w:val="00DB5C32"/>
    <w:rsid w:val="00DC2A06"/>
    <w:rsid w:val="00DC338D"/>
    <w:rsid w:val="00DC3C69"/>
    <w:rsid w:val="00DC3CF4"/>
    <w:rsid w:val="00DC64B7"/>
    <w:rsid w:val="00DC66DE"/>
    <w:rsid w:val="00DC718E"/>
    <w:rsid w:val="00DD199C"/>
    <w:rsid w:val="00DD58A4"/>
    <w:rsid w:val="00DD6820"/>
    <w:rsid w:val="00DD6AD9"/>
    <w:rsid w:val="00DD72BC"/>
    <w:rsid w:val="00DE3601"/>
    <w:rsid w:val="00DE42FF"/>
    <w:rsid w:val="00DE7DD0"/>
    <w:rsid w:val="00DF01E0"/>
    <w:rsid w:val="00DF0F0B"/>
    <w:rsid w:val="00DF3845"/>
    <w:rsid w:val="00DF6E23"/>
    <w:rsid w:val="00E00225"/>
    <w:rsid w:val="00E06D49"/>
    <w:rsid w:val="00E1032E"/>
    <w:rsid w:val="00E1786F"/>
    <w:rsid w:val="00E20884"/>
    <w:rsid w:val="00E20D97"/>
    <w:rsid w:val="00E260E6"/>
    <w:rsid w:val="00E327F8"/>
    <w:rsid w:val="00E32A3D"/>
    <w:rsid w:val="00E34105"/>
    <w:rsid w:val="00E34159"/>
    <w:rsid w:val="00E35831"/>
    <w:rsid w:val="00E41628"/>
    <w:rsid w:val="00E43A73"/>
    <w:rsid w:val="00E4417F"/>
    <w:rsid w:val="00E44DF3"/>
    <w:rsid w:val="00E46FC2"/>
    <w:rsid w:val="00E50BA2"/>
    <w:rsid w:val="00E515AA"/>
    <w:rsid w:val="00E52C48"/>
    <w:rsid w:val="00E541B0"/>
    <w:rsid w:val="00E54309"/>
    <w:rsid w:val="00E54AC7"/>
    <w:rsid w:val="00E6375F"/>
    <w:rsid w:val="00E63CE7"/>
    <w:rsid w:val="00E65C4A"/>
    <w:rsid w:val="00E67159"/>
    <w:rsid w:val="00E6748C"/>
    <w:rsid w:val="00E72F60"/>
    <w:rsid w:val="00E73811"/>
    <w:rsid w:val="00E73BCA"/>
    <w:rsid w:val="00E73DDD"/>
    <w:rsid w:val="00E80549"/>
    <w:rsid w:val="00E80666"/>
    <w:rsid w:val="00E97A44"/>
    <w:rsid w:val="00EA1988"/>
    <w:rsid w:val="00EA1CFD"/>
    <w:rsid w:val="00EA37AF"/>
    <w:rsid w:val="00EA5F79"/>
    <w:rsid w:val="00EB046B"/>
    <w:rsid w:val="00EB0720"/>
    <w:rsid w:val="00EB0FB4"/>
    <w:rsid w:val="00EB7370"/>
    <w:rsid w:val="00EB7F40"/>
    <w:rsid w:val="00EC0C4F"/>
    <w:rsid w:val="00EC31CB"/>
    <w:rsid w:val="00EC3EB0"/>
    <w:rsid w:val="00EC517A"/>
    <w:rsid w:val="00ED133E"/>
    <w:rsid w:val="00ED2BAA"/>
    <w:rsid w:val="00ED5CFE"/>
    <w:rsid w:val="00ED7A7B"/>
    <w:rsid w:val="00ED7FF2"/>
    <w:rsid w:val="00EE0116"/>
    <w:rsid w:val="00EE056F"/>
    <w:rsid w:val="00EE0F22"/>
    <w:rsid w:val="00EE11DA"/>
    <w:rsid w:val="00EE2731"/>
    <w:rsid w:val="00EE27CE"/>
    <w:rsid w:val="00EE2D07"/>
    <w:rsid w:val="00EE3DEA"/>
    <w:rsid w:val="00EE53DA"/>
    <w:rsid w:val="00EE76B1"/>
    <w:rsid w:val="00EF1FFB"/>
    <w:rsid w:val="00EF65AE"/>
    <w:rsid w:val="00EF7B15"/>
    <w:rsid w:val="00F009A7"/>
    <w:rsid w:val="00F023C2"/>
    <w:rsid w:val="00F05DBC"/>
    <w:rsid w:val="00F0616E"/>
    <w:rsid w:val="00F12EB6"/>
    <w:rsid w:val="00F1490D"/>
    <w:rsid w:val="00F1495A"/>
    <w:rsid w:val="00F14C6A"/>
    <w:rsid w:val="00F14DDB"/>
    <w:rsid w:val="00F14F8E"/>
    <w:rsid w:val="00F15AC6"/>
    <w:rsid w:val="00F16D9D"/>
    <w:rsid w:val="00F219E1"/>
    <w:rsid w:val="00F2304D"/>
    <w:rsid w:val="00F2313A"/>
    <w:rsid w:val="00F23BFD"/>
    <w:rsid w:val="00F25472"/>
    <w:rsid w:val="00F30222"/>
    <w:rsid w:val="00F347BC"/>
    <w:rsid w:val="00F37ADA"/>
    <w:rsid w:val="00F4296B"/>
    <w:rsid w:val="00F45023"/>
    <w:rsid w:val="00F46D1A"/>
    <w:rsid w:val="00F52B6E"/>
    <w:rsid w:val="00F54D87"/>
    <w:rsid w:val="00F56FF3"/>
    <w:rsid w:val="00F57842"/>
    <w:rsid w:val="00F65642"/>
    <w:rsid w:val="00F70BE2"/>
    <w:rsid w:val="00F711A7"/>
    <w:rsid w:val="00F73ED6"/>
    <w:rsid w:val="00F7633B"/>
    <w:rsid w:val="00F7722F"/>
    <w:rsid w:val="00F77B00"/>
    <w:rsid w:val="00F81735"/>
    <w:rsid w:val="00F82094"/>
    <w:rsid w:val="00F82203"/>
    <w:rsid w:val="00F8348D"/>
    <w:rsid w:val="00F84C3C"/>
    <w:rsid w:val="00F8551E"/>
    <w:rsid w:val="00F86F82"/>
    <w:rsid w:val="00F873E8"/>
    <w:rsid w:val="00FA05F3"/>
    <w:rsid w:val="00FA2EDC"/>
    <w:rsid w:val="00FA355A"/>
    <w:rsid w:val="00FA6DF5"/>
    <w:rsid w:val="00FA7122"/>
    <w:rsid w:val="00FA7DE1"/>
    <w:rsid w:val="00FB06FB"/>
    <w:rsid w:val="00FB2654"/>
    <w:rsid w:val="00FC00BB"/>
    <w:rsid w:val="00FC062E"/>
    <w:rsid w:val="00FC3EA0"/>
    <w:rsid w:val="00FC43DD"/>
    <w:rsid w:val="00FC4AE9"/>
    <w:rsid w:val="00FC7CEE"/>
    <w:rsid w:val="00FD03EA"/>
    <w:rsid w:val="00FD1B83"/>
    <w:rsid w:val="00FD61F0"/>
    <w:rsid w:val="00FE0B71"/>
    <w:rsid w:val="00FE2855"/>
    <w:rsid w:val="00FE417E"/>
    <w:rsid w:val="00FE6D77"/>
    <w:rsid w:val="00FE72FA"/>
    <w:rsid w:val="00FF052D"/>
    <w:rsid w:val="00FF7454"/>
    <w:rsid w:val="00FF7E8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1E302E-13AA-425C-8A8B-B1941A6C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52B0A"/>
  </w:style>
  <w:style w:type="paragraph" w:styleId="Nadpis1">
    <w:name w:val="heading 1"/>
    <w:aliases w:val="Char5 Char,Nadpis 1 Char Char,Heading 1 Char Char Char Char Char,Heading 1 Char Char Char Char,Heading 1 Char Char Char,Čo robí (časť)"/>
    <w:basedOn w:val="Normlny"/>
    <w:next w:val="Normlny"/>
    <w:link w:val="Nadpis1Char"/>
    <w:uiPriority w:val="9"/>
    <w:qFormat/>
    <w:rsid w:val="00052B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Nadpis 2 Char Char Char,Nadpis 2 Char Char Char Char,Nadpis 2 Char Char,Úloha,Char24 Char Char,Char24 Char Char Char"/>
    <w:basedOn w:val="Normlny"/>
    <w:next w:val="Normlny"/>
    <w:link w:val="Nadpis2Char"/>
    <w:uiPriority w:val="9"/>
    <w:qFormat/>
    <w:rsid w:val="00052B0A"/>
    <w:pPr>
      <w:keepNext/>
      <w:spacing w:before="240" w:after="60" w:line="240" w:lineRule="auto"/>
      <w:outlineLvl w:val="1"/>
    </w:pPr>
    <w:rPr>
      <w:rFonts w:ascii="Arial" w:eastAsia="Times New Roman" w:hAnsi="Arial" w:cs="Times New Roman"/>
      <w:b/>
      <w:bCs/>
      <w:i/>
      <w:iCs/>
      <w:sz w:val="28"/>
      <w:szCs w:val="28"/>
      <w:lang w:eastAsia="cs-CZ"/>
    </w:rPr>
  </w:style>
  <w:style w:type="paragraph" w:styleId="Nadpis3">
    <w:name w:val="heading 3"/>
    <w:aliases w:val="Char4 Char,Nadpis 3 Char Char,Heading 3 Char Char Char,Podúloha"/>
    <w:basedOn w:val="Normlny"/>
    <w:next w:val="Normlny"/>
    <w:link w:val="Nadpis3Char"/>
    <w:uiPriority w:val="9"/>
    <w:qFormat/>
    <w:rsid w:val="00A809E7"/>
    <w:pPr>
      <w:keepNext/>
      <w:spacing w:before="240" w:after="60" w:line="240" w:lineRule="auto"/>
      <w:outlineLvl w:val="2"/>
    </w:pPr>
    <w:rPr>
      <w:rFonts w:ascii="Arial" w:eastAsia="Times New Roman" w:hAnsi="Arial" w:cs="Times New Roman"/>
      <w:b/>
      <w:bCs/>
      <w:sz w:val="26"/>
      <w:szCs w:val="26"/>
      <w:lang w:eastAsia="cs-CZ"/>
    </w:rPr>
  </w:style>
  <w:style w:type="paragraph" w:styleId="Nadpis4">
    <w:name w:val="heading 4"/>
    <w:aliases w:val="Char Char,Nadpis 4 Char Char,Heading 4 Char Char Char,Termín"/>
    <w:basedOn w:val="Normlny"/>
    <w:next w:val="Normlny"/>
    <w:link w:val="Nadpis4Char"/>
    <w:uiPriority w:val="9"/>
    <w:qFormat/>
    <w:rsid w:val="00A809E7"/>
    <w:pPr>
      <w:keepNext/>
      <w:spacing w:after="0" w:line="240" w:lineRule="auto"/>
      <w:jc w:val="both"/>
      <w:outlineLvl w:val="3"/>
    </w:pPr>
    <w:rPr>
      <w:rFonts w:ascii="Arial" w:eastAsia="Times New Roman" w:hAnsi="Arial" w:cs="Times New Roman"/>
      <w:b/>
      <w:bCs/>
      <w:sz w:val="20"/>
      <w:szCs w:val="20"/>
      <w:lang w:eastAsia="cs-CZ"/>
    </w:rPr>
  </w:style>
  <w:style w:type="paragraph" w:styleId="Nadpis5">
    <w:name w:val="heading 5"/>
    <w:basedOn w:val="Normlny"/>
    <w:next w:val="Normlny"/>
    <w:link w:val="Nadpis5Char"/>
    <w:qFormat/>
    <w:rsid w:val="00A809E7"/>
    <w:pPr>
      <w:tabs>
        <w:tab w:val="num" w:pos="3240"/>
      </w:tabs>
      <w:spacing w:before="240" w:after="60" w:line="240" w:lineRule="auto"/>
      <w:ind w:left="2880"/>
      <w:outlineLvl w:val="4"/>
    </w:pPr>
    <w:rPr>
      <w:rFonts w:ascii="Times New Roman" w:eastAsia="Times New Roman" w:hAnsi="Times New Roman" w:cs="Times New Roman"/>
      <w:b/>
      <w:bCs/>
      <w:i/>
      <w:iCs/>
      <w:sz w:val="26"/>
      <w:szCs w:val="26"/>
      <w:lang w:eastAsia="cs-CZ"/>
    </w:rPr>
  </w:style>
  <w:style w:type="paragraph" w:styleId="Nadpis6">
    <w:name w:val="heading 6"/>
    <w:basedOn w:val="Normlny"/>
    <w:next w:val="Normlny"/>
    <w:link w:val="Nadpis6Char"/>
    <w:qFormat/>
    <w:rsid w:val="00A809E7"/>
    <w:pPr>
      <w:tabs>
        <w:tab w:val="num" w:pos="3960"/>
      </w:tabs>
      <w:spacing w:before="240" w:after="60" w:line="240" w:lineRule="auto"/>
      <w:ind w:left="3600"/>
      <w:outlineLvl w:val="5"/>
    </w:pPr>
    <w:rPr>
      <w:rFonts w:ascii="Times New Roman" w:eastAsia="Times New Roman" w:hAnsi="Times New Roman" w:cs="Times New Roman"/>
      <w:b/>
      <w:bCs/>
      <w:lang w:eastAsia="cs-CZ"/>
    </w:rPr>
  </w:style>
  <w:style w:type="paragraph" w:styleId="Nadpis7">
    <w:name w:val="heading 7"/>
    <w:basedOn w:val="Normlny"/>
    <w:next w:val="Normlny"/>
    <w:link w:val="Nadpis7Char"/>
    <w:uiPriority w:val="99"/>
    <w:qFormat/>
    <w:rsid w:val="00A809E7"/>
    <w:pPr>
      <w:tabs>
        <w:tab w:val="num" w:pos="4680"/>
      </w:tabs>
      <w:spacing w:before="240" w:after="60" w:line="240" w:lineRule="auto"/>
      <w:ind w:left="4320"/>
      <w:outlineLvl w:val="6"/>
    </w:pPr>
    <w:rPr>
      <w:rFonts w:ascii="Times New Roman" w:eastAsia="Times New Roman" w:hAnsi="Times New Roman" w:cs="Times New Roman"/>
      <w:sz w:val="24"/>
      <w:szCs w:val="24"/>
      <w:lang w:eastAsia="cs-CZ"/>
    </w:rPr>
  </w:style>
  <w:style w:type="paragraph" w:styleId="Nadpis8">
    <w:name w:val="heading 8"/>
    <w:basedOn w:val="Normlny"/>
    <w:next w:val="Normlny"/>
    <w:link w:val="Nadpis8Char"/>
    <w:uiPriority w:val="99"/>
    <w:qFormat/>
    <w:rsid w:val="00A809E7"/>
    <w:pPr>
      <w:tabs>
        <w:tab w:val="num" w:pos="5400"/>
      </w:tabs>
      <w:spacing w:before="240" w:after="60" w:line="240" w:lineRule="auto"/>
      <w:ind w:left="5040"/>
      <w:outlineLvl w:val="7"/>
    </w:pPr>
    <w:rPr>
      <w:rFonts w:ascii="Times New Roman" w:eastAsia="Times New Roman" w:hAnsi="Times New Roman" w:cs="Times New Roman"/>
      <w:i/>
      <w:iCs/>
      <w:sz w:val="24"/>
      <w:szCs w:val="24"/>
      <w:lang w:eastAsia="cs-CZ"/>
    </w:rPr>
  </w:style>
  <w:style w:type="paragraph" w:styleId="Nadpis9">
    <w:name w:val="heading 9"/>
    <w:basedOn w:val="Normlny"/>
    <w:next w:val="Normlny"/>
    <w:link w:val="Nadpis9Char"/>
    <w:uiPriority w:val="99"/>
    <w:qFormat/>
    <w:rsid w:val="00A809E7"/>
    <w:pPr>
      <w:tabs>
        <w:tab w:val="num" w:pos="6120"/>
      </w:tabs>
      <w:spacing w:before="240" w:after="60" w:line="240" w:lineRule="auto"/>
      <w:ind w:left="5760"/>
      <w:outlineLvl w:val="8"/>
    </w:pPr>
    <w:rPr>
      <w:rFonts w:ascii="Arial" w:eastAsia="Times New Roman" w:hAnsi="Arial" w:cs="Times New Roman"/>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aliases w:val="Nadpis 2 Char Char Char Char1,Nadpis 2 Char Char Char Char Char,Nadpis 2 Char Char Char1,Úloha Char,Char24 Char Char Char1,Char24 Char Char Char Char"/>
    <w:basedOn w:val="Predvolenpsmoodseku"/>
    <w:link w:val="Nadpis2"/>
    <w:uiPriority w:val="9"/>
    <w:rsid w:val="00052B0A"/>
    <w:rPr>
      <w:rFonts w:ascii="Arial" w:eastAsia="Times New Roman" w:hAnsi="Arial" w:cs="Times New Roman"/>
      <w:b/>
      <w:bCs/>
      <w:i/>
      <w:iCs/>
      <w:sz w:val="28"/>
      <w:szCs w:val="28"/>
      <w:lang w:eastAsia="cs-CZ"/>
    </w:rPr>
  </w:style>
  <w:style w:type="paragraph" w:customStyle="1" w:styleId="NormalList">
    <w:name w:val="NormalList"/>
    <w:basedOn w:val="Normlny"/>
    <w:qFormat/>
    <w:rsid w:val="00052B0A"/>
    <w:pPr>
      <w:spacing w:after="0" w:line="240" w:lineRule="auto"/>
      <w:jc w:val="both"/>
    </w:pPr>
    <w:rPr>
      <w:rFonts w:ascii="Arial Narrow" w:eastAsia="Times New Roman" w:hAnsi="Arial Narrow" w:cs="Book Antiqua"/>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 Char Char Char Char Char,f,Plonk"/>
    <w:basedOn w:val="Normlny"/>
    <w:link w:val="TextpoznmkypodiarouChar"/>
    <w:uiPriority w:val="99"/>
    <w:qFormat/>
    <w:rsid w:val="00052B0A"/>
    <w:pPr>
      <w:spacing w:after="0" w:line="240" w:lineRule="auto"/>
    </w:pPr>
    <w:rPr>
      <w:rFonts w:ascii="Book Antiqua" w:eastAsia="Times New Roman" w:hAnsi="Book Antiqua" w:cs="Times New Roman"/>
      <w:sz w:val="20"/>
      <w:szCs w:val="20"/>
      <w:lang w:eastAsia="sk-SK"/>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 Char,Plonk Char"/>
    <w:basedOn w:val="Predvolenpsmoodseku"/>
    <w:link w:val="Textpoznmkypodiarou"/>
    <w:uiPriority w:val="99"/>
    <w:rsid w:val="00052B0A"/>
    <w:rPr>
      <w:rFonts w:ascii="Book Antiqua" w:eastAsia="Times New Roman" w:hAnsi="Book Antiqua" w:cs="Times New Roman"/>
      <w:sz w:val="20"/>
      <w:szCs w:val="20"/>
      <w:lang w:eastAsia="sk-SK"/>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qFormat/>
    <w:rsid w:val="00052B0A"/>
    <w:rPr>
      <w:rFonts w:cs="Times New Roman"/>
      <w:vertAlign w:val="superscript"/>
    </w:rPr>
  </w:style>
  <w:style w:type="paragraph" w:customStyle="1" w:styleId="Char2">
    <w:name w:val="Char2"/>
    <w:basedOn w:val="Normlny"/>
    <w:link w:val="Odkaznapoznmkupodiarou"/>
    <w:uiPriority w:val="99"/>
    <w:rsid w:val="00052B0A"/>
    <w:pPr>
      <w:spacing w:after="0" w:line="240" w:lineRule="exact"/>
    </w:pPr>
    <w:rPr>
      <w:rFonts w:cs="Times New Roman"/>
      <w:vertAlign w:val="superscript"/>
    </w:rPr>
  </w:style>
  <w:style w:type="paragraph" w:styleId="Popis">
    <w:name w:val="caption"/>
    <w:basedOn w:val="Normlny"/>
    <w:next w:val="Normlny"/>
    <w:uiPriority w:val="35"/>
    <w:unhideWhenUsed/>
    <w:qFormat/>
    <w:rsid w:val="00052B0A"/>
    <w:pPr>
      <w:spacing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052B0A"/>
    <w:pPr>
      <w:spacing w:after="0"/>
    </w:pPr>
  </w:style>
  <w:style w:type="character" w:styleId="Hypertextovprepojenie">
    <w:name w:val="Hyperlink"/>
    <w:basedOn w:val="Predvolenpsmoodseku"/>
    <w:uiPriority w:val="99"/>
    <w:unhideWhenUsed/>
    <w:rsid w:val="00052B0A"/>
    <w:rPr>
      <w:color w:val="0563C1" w:themeColor="hyperlink"/>
      <w:u w:val="single"/>
    </w:rPr>
  </w:style>
  <w:style w:type="character" w:customStyle="1" w:styleId="Nadpis1Char">
    <w:name w:val="Nadpis 1 Char"/>
    <w:aliases w:val="Char5 Char Char,Nadpis 1 Char Char Char,Heading 1 Char Char Char Char Char Char,Heading 1 Char Char Char Char Char1,Heading 1 Char Char Char Char1,Čo robí (časť) Char"/>
    <w:basedOn w:val="Predvolenpsmoodseku"/>
    <w:link w:val="Nadpis1"/>
    <w:uiPriority w:val="9"/>
    <w:rsid w:val="00052B0A"/>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052B0A"/>
    <w:pPr>
      <w:outlineLvl w:val="9"/>
    </w:pPr>
    <w:rPr>
      <w:lang w:eastAsia="sk-SK"/>
    </w:rPr>
  </w:style>
  <w:style w:type="paragraph" w:styleId="Obsah1">
    <w:name w:val="toc 1"/>
    <w:basedOn w:val="Normlny"/>
    <w:next w:val="Normlny"/>
    <w:autoRedefine/>
    <w:uiPriority w:val="39"/>
    <w:unhideWhenUsed/>
    <w:rsid w:val="00052B0A"/>
    <w:pPr>
      <w:spacing w:after="100"/>
    </w:pPr>
  </w:style>
  <w:style w:type="paragraph" w:styleId="Hlavika">
    <w:name w:val="header"/>
    <w:aliases w:val="Hlavička Char Char Char"/>
    <w:basedOn w:val="Normlny"/>
    <w:link w:val="HlavikaChar"/>
    <w:uiPriority w:val="99"/>
    <w:unhideWhenUsed/>
    <w:qFormat/>
    <w:rsid w:val="002F16B8"/>
    <w:pPr>
      <w:tabs>
        <w:tab w:val="center" w:pos="4536"/>
        <w:tab w:val="right" w:pos="9072"/>
      </w:tabs>
      <w:spacing w:after="0" w:line="240" w:lineRule="auto"/>
    </w:pPr>
  </w:style>
  <w:style w:type="character" w:customStyle="1" w:styleId="HlavikaChar">
    <w:name w:val="Hlavička Char"/>
    <w:aliases w:val="Hlavička Char Char Char Char"/>
    <w:basedOn w:val="Predvolenpsmoodseku"/>
    <w:link w:val="Hlavika"/>
    <w:uiPriority w:val="99"/>
    <w:rsid w:val="002F16B8"/>
  </w:style>
  <w:style w:type="paragraph" w:styleId="Pta">
    <w:name w:val="footer"/>
    <w:aliases w:val="Char11 Char,Päta Char Char,Footer Char Char Char"/>
    <w:basedOn w:val="Normlny"/>
    <w:link w:val="PtaChar"/>
    <w:uiPriority w:val="99"/>
    <w:unhideWhenUsed/>
    <w:qFormat/>
    <w:rsid w:val="002F16B8"/>
    <w:pPr>
      <w:tabs>
        <w:tab w:val="center" w:pos="4536"/>
        <w:tab w:val="right" w:pos="9072"/>
      </w:tabs>
      <w:spacing w:after="0" w:line="240" w:lineRule="auto"/>
    </w:pPr>
  </w:style>
  <w:style w:type="character" w:customStyle="1" w:styleId="PtaChar">
    <w:name w:val="Päta Char"/>
    <w:aliases w:val="Char11 Char Char,Päta Char Char Char,Footer Char Char Char Char"/>
    <w:basedOn w:val="Predvolenpsmoodseku"/>
    <w:link w:val="Pta"/>
    <w:uiPriority w:val="99"/>
    <w:rsid w:val="002F16B8"/>
  </w:style>
  <w:style w:type="character" w:customStyle="1" w:styleId="Nadpis3Char">
    <w:name w:val="Nadpis 3 Char"/>
    <w:aliases w:val="Char4 Char Char,Nadpis 3 Char Char Char,Heading 3 Char Char Char Char,Podúloha Char"/>
    <w:basedOn w:val="Predvolenpsmoodseku"/>
    <w:link w:val="Nadpis3"/>
    <w:uiPriority w:val="9"/>
    <w:rsid w:val="00A809E7"/>
    <w:rPr>
      <w:rFonts w:ascii="Arial" w:eastAsia="Times New Roman" w:hAnsi="Arial" w:cs="Times New Roman"/>
      <w:b/>
      <w:bCs/>
      <w:sz w:val="26"/>
      <w:szCs w:val="26"/>
      <w:lang w:eastAsia="cs-CZ"/>
    </w:rPr>
  </w:style>
  <w:style w:type="character" w:customStyle="1" w:styleId="Nadpis4Char">
    <w:name w:val="Nadpis 4 Char"/>
    <w:aliases w:val="Char Char Char,Nadpis 4 Char Char Char,Heading 4 Char Char Char Char,Termín Char"/>
    <w:basedOn w:val="Predvolenpsmoodseku"/>
    <w:link w:val="Nadpis4"/>
    <w:uiPriority w:val="9"/>
    <w:rsid w:val="00A809E7"/>
    <w:rPr>
      <w:rFonts w:ascii="Arial" w:eastAsia="Times New Roman" w:hAnsi="Arial" w:cs="Times New Roman"/>
      <w:b/>
      <w:bCs/>
      <w:sz w:val="20"/>
      <w:szCs w:val="20"/>
      <w:lang w:eastAsia="cs-CZ"/>
    </w:rPr>
  </w:style>
  <w:style w:type="character" w:customStyle="1" w:styleId="Nadpis5Char">
    <w:name w:val="Nadpis 5 Char"/>
    <w:basedOn w:val="Predvolenpsmoodseku"/>
    <w:link w:val="Nadpis5"/>
    <w:rsid w:val="00A809E7"/>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rsid w:val="00A809E7"/>
    <w:rPr>
      <w:rFonts w:ascii="Times New Roman" w:eastAsia="Times New Roman" w:hAnsi="Times New Roman" w:cs="Times New Roman"/>
      <w:b/>
      <w:bCs/>
      <w:lang w:eastAsia="cs-CZ"/>
    </w:rPr>
  </w:style>
  <w:style w:type="character" w:customStyle="1" w:styleId="Nadpis7Char">
    <w:name w:val="Nadpis 7 Char"/>
    <w:basedOn w:val="Predvolenpsmoodseku"/>
    <w:link w:val="Nadpis7"/>
    <w:uiPriority w:val="99"/>
    <w:rsid w:val="00A809E7"/>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uiPriority w:val="99"/>
    <w:rsid w:val="00A809E7"/>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uiPriority w:val="99"/>
    <w:rsid w:val="00A809E7"/>
    <w:rPr>
      <w:rFonts w:ascii="Arial" w:eastAsia="Times New Roman" w:hAnsi="Arial" w:cs="Times New Roman"/>
      <w:lang w:eastAsia="cs-CZ"/>
    </w:rPr>
  </w:style>
  <w:style w:type="paragraph" w:styleId="Zkladntext">
    <w:name w:val="Body Text"/>
    <w:aliases w:val="Char14 Char Char,Základný text Char Char,Body Text Char Char Char Char Char,Body Text Char Char Char Char,Char14 Char,Body Text Char Char Char"/>
    <w:basedOn w:val="Normlny"/>
    <w:link w:val="ZkladntextChar"/>
    <w:uiPriority w:val="99"/>
    <w:qFormat/>
    <w:rsid w:val="00A809E7"/>
    <w:pPr>
      <w:spacing w:after="0" w:line="240" w:lineRule="auto"/>
      <w:jc w:val="both"/>
    </w:pPr>
    <w:rPr>
      <w:rFonts w:ascii="Courier" w:eastAsia="Times New Roman" w:hAnsi="Courier" w:cs="Courier"/>
      <w:sz w:val="24"/>
      <w:szCs w:val="24"/>
      <w:lang w:eastAsia="cs-CZ"/>
    </w:rPr>
  </w:style>
  <w:style w:type="character" w:customStyle="1" w:styleId="ZkladntextChar">
    <w:name w:val="Základný text Char"/>
    <w:aliases w:val="Char14 Char Char Char,Základný text Char Char Char,Body Text Char Char Char Char Char Char,Body Text Char Char Char Char Char1,Char14 Char Char1,Body Text Char Char Char Char1"/>
    <w:basedOn w:val="Predvolenpsmoodseku"/>
    <w:link w:val="Zkladntext"/>
    <w:uiPriority w:val="99"/>
    <w:rsid w:val="00A809E7"/>
    <w:rPr>
      <w:rFonts w:ascii="Courier" w:eastAsia="Times New Roman" w:hAnsi="Courier" w:cs="Courier"/>
      <w:sz w:val="24"/>
      <w:szCs w:val="24"/>
      <w:lang w:eastAsia="cs-CZ"/>
    </w:rPr>
  </w:style>
  <w:style w:type="paragraph" w:styleId="Zarkazkladnhotextu">
    <w:name w:val="Body Text Indent"/>
    <w:aliases w:val="Char8 Char"/>
    <w:basedOn w:val="Normlny"/>
    <w:link w:val="ZarkazkladnhotextuChar"/>
    <w:uiPriority w:val="99"/>
    <w:qFormat/>
    <w:rsid w:val="00A809E7"/>
    <w:pPr>
      <w:spacing w:after="120" w:line="480" w:lineRule="auto"/>
    </w:pPr>
    <w:rPr>
      <w:rFonts w:ascii="Courier" w:eastAsia="Times New Roman" w:hAnsi="Courier" w:cs="Courier"/>
      <w:sz w:val="24"/>
      <w:szCs w:val="24"/>
      <w:lang w:eastAsia="cs-CZ"/>
    </w:rPr>
  </w:style>
  <w:style w:type="character" w:customStyle="1" w:styleId="ZarkazkladnhotextuChar">
    <w:name w:val="Zarážka základného textu Char"/>
    <w:aliases w:val="Char8 Char Char"/>
    <w:basedOn w:val="Predvolenpsmoodseku"/>
    <w:link w:val="Zarkazkladnhotextu"/>
    <w:uiPriority w:val="99"/>
    <w:rsid w:val="00A809E7"/>
    <w:rPr>
      <w:rFonts w:ascii="Courier" w:eastAsia="Times New Roman" w:hAnsi="Courier" w:cs="Courier"/>
      <w:sz w:val="24"/>
      <w:szCs w:val="24"/>
      <w:lang w:eastAsia="cs-CZ"/>
    </w:rPr>
  </w:style>
  <w:style w:type="paragraph" w:customStyle="1" w:styleId="Zakladnystyl">
    <w:name w:val="Zakladny styl"/>
    <w:qFormat/>
    <w:rsid w:val="00A809E7"/>
    <w:pPr>
      <w:spacing w:after="0" w:line="240" w:lineRule="auto"/>
    </w:pPr>
    <w:rPr>
      <w:rFonts w:ascii="Times New Roman" w:eastAsia="Times New Roman" w:hAnsi="Times New Roman" w:cs="Times New Roman"/>
      <w:sz w:val="24"/>
      <w:szCs w:val="24"/>
      <w:lang w:eastAsia="sk-SK"/>
    </w:rPr>
  </w:style>
  <w:style w:type="paragraph" w:customStyle="1" w:styleId="CharCharCharCharChar1">
    <w:name w:val="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Zarkazkladnhotextu1">
    <w:name w:val="Zarážka základného textu1"/>
    <w:basedOn w:val="Normlny"/>
    <w:link w:val="BodyTextIndentChar"/>
    <w:qFormat/>
    <w:rsid w:val="00A809E7"/>
    <w:pPr>
      <w:spacing w:after="120" w:line="240" w:lineRule="auto"/>
      <w:ind w:left="283"/>
    </w:pPr>
    <w:rPr>
      <w:rFonts w:ascii="Courier" w:eastAsia="Times New Roman" w:hAnsi="Courier" w:cs="Courier"/>
      <w:sz w:val="24"/>
      <w:szCs w:val="24"/>
      <w:lang w:eastAsia="cs-CZ"/>
    </w:rPr>
  </w:style>
  <w:style w:type="character" w:customStyle="1" w:styleId="BodyTextIndentChar">
    <w:name w:val="Body Text Indent Char"/>
    <w:link w:val="Zarkazkladnhotextu1"/>
    <w:locked/>
    <w:rsid w:val="00A809E7"/>
    <w:rPr>
      <w:rFonts w:ascii="Courier" w:eastAsia="Times New Roman" w:hAnsi="Courier" w:cs="Courier"/>
      <w:sz w:val="24"/>
      <w:szCs w:val="24"/>
      <w:lang w:eastAsia="cs-CZ"/>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lny"/>
    <w:uiPriority w:val="99"/>
    <w:qFormat/>
    <w:rsid w:val="00A809E7"/>
    <w:pPr>
      <w:spacing w:line="240" w:lineRule="exact"/>
    </w:pPr>
    <w:rPr>
      <w:rFonts w:ascii="Tahoma" w:eastAsia="Times New Roman" w:hAnsi="Tahoma" w:cs="Times New Roman"/>
      <w:sz w:val="20"/>
      <w:szCs w:val="20"/>
      <w:lang w:val="en-US"/>
    </w:rPr>
  </w:style>
  <w:style w:type="paragraph" w:customStyle="1" w:styleId="Zarkazkladnhotextu2">
    <w:name w:val="Zarážka základného textu2"/>
    <w:basedOn w:val="Normlny"/>
    <w:uiPriority w:val="99"/>
    <w:qFormat/>
    <w:rsid w:val="00A809E7"/>
    <w:pPr>
      <w:spacing w:after="120" w:line="240" w:lineRule="auto"/>
      <w:ind w:left="283"/>
    </w:pPr>
    <w:rPr>
      <w:rFonts w:ascii="Courier" w:eastAsia="Times New Roman" w:hAnsi="Courier" w:cs="Courier"/>
      <w:sz w:val="24"/>
      <w:szCs w:val="24"/>
      <w:lang w:eastAsia="cs-CZ"/>
    </w:rPr>
  </w:style>
  <w:style w:type="paragraph" w:styleId="Textbubliny">
    <w:name w:val="Balloon Text"/>
    <w:aliases w:val="Char13 Char,Text bubliny Char Char,Balloon Text Char Char"/>
    <w:basedOn w:val="Normlny"/>
    <w:link w:val="TextbublinyChar"/>
    <w:uiPriority w:val="99"/>
    <w:semiHidden/>
    <w:unhideWhenUsed/>
    <w:qFormat/>
    <w:rsid w:val="00A809E7"/>
    <w:pPr>
      <w:spacing w:after="0" w:line="240" w:lineRule="auto"/>
    </w:pPr>
    <w:rPr>
      <w:rFonts w:ascii="Tahoma" w:eastAsia="Times New Roman" w:hAnsi="Tahoma" w:cs="Times New Roman"/>
      <w:sz w:val="16"/>
      <w:szCs w:val="16"/>
      <w:lang w:eastAsia="cs-CZ"/>
    </w:rPr>
  </w:style>
  <w:style w:type="character" w:customStyle="1" w:styleId="TextbublinyChar">
    <w:name w:val="Text bubliny Char"/>
    <w:aliases w:val="Char13 Char Char,Text bubliny Char Char Char,Balloon Text Char Char Char"/>
    <w:basedOn w:val="Predvolenpsmoodseku"/>
    <w:link w:val="Textbubliny"/>
    <w:uiPriority w:val="99"/>
    <w:semiHidden/>
    <w:rsid w:val="00A809E7"/>
    <w:rPr>
      <w:rFonts w:ascii="Tahoma" w:eastAsia="Times New Roman" w:hAnsi="Tahoma" w:cs="Times New Roman"/>
      <w:sz w:val="16"/>
      <w:szCs w:val="16"/>
      <w:lang w:eastAsia="cs-CZ"/>
    </w:rPr>
  </w:style>
  <w:style w:type="paragraph" w:styleId="Odsekzoznamu">
    <w:name w:val="List Paragraph"/>
    <w:aliases w:val="body,Odsek zoznamu2,Dot pt,No Spacing1,List Paragraph Char Char Char,Indicator Text,Numbered Para 1,List Paragraph à moi,LISTA,Listaszerű bekezdés2,Listaszerű bekezdés3,Listaszerű bekezdés1,Odsek zoznamu4,F5 List Paragraph,Recommendation,3"/>
    <w:basedOn w:val="Normlny"/>
    <w:link w:val="OdsekzoznamuChar"/>
    <w:uiPriority w:val="34"/>
    <w:qFormat/>
    <w:rsid w:val="00A809E7"/>
    <w:pPr>
      <w:spacing w:after="0" w:line="240" w:lineRule="auto"/>
      <w:ind w:left="720"/>
      <w:contextualSpacing/>
    </w:pPr>
    <w:rPr>
      <w:rFonts w:ascii="Courier" w:eastAsia="Times New Roman" w:hAnsi="Courier" w:cs="Courier"/>
      <w:sz w:val="24"/>
      <w:szCs w:val="24"/>
      <w:lang w:eastAsia="cs-CZ"/>
    </w:rPr>
  </w:style>
  <w:style w:type="paragraph" w:customStyle="1" w:styleId="Zkladntext0">
    <w:name w:val="Základní text"/>
    <w:qFormat/>
    <w:rsid w:val="00A809E7"/>
    <w:pPr>
      <w:snapToGrid w:val="0"/>
      <w:spacing w:after="0" w:line="240" w:lineRule="auto"/>
    </w:pPr>
    <w:rPr>
      <w:rFonts w:ascii="Times New Roman" w:eastAsia="Times New Roman" w:hAnsi="Times New Roman" w:cs="Times New Roman"/>
      <w:color w:val="000000"/>
      <w:sz w:val="24"/>
      <w:szCs w:val="20"/>
      <w:lang w:eastAsia="sk-SK"/>
    </w:rPr>
  </w:style>
  <w:style w:type="paragraph" w:customStyle="1" w:styleId="Default">
    <w:name w:val="Default"/>
    <w:qFormat/>
    <w:rsid w:val="00A809E7"/>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CharChar2">
    <w:name w:val="Char Char2"/>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1CharCharCharCharCharCharCharCharCharCharCharCharCharCharCharChar">
    <w:name w:val="Char Char Char Char Char Char Char Char Char Char Char Char1 Char Char Char Char Char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styleId="Zkladntext2">
    <w:name w:val="Body Text 2"/>
    <w:aliases w:val="Základný text 2 Char Char,Body Text 2 Char Char Char"/>
    <w:basedOn w:val="Normlny"/>
    <w:link w:val="Zkladntext2Char"/>
    <w:uiPriority w:val="99"/>
    <w:qFormat/>
    <w:rsid w:val="00A809E7"/>
    <w:pPr>
      <w:spacing w:after="120" w:line="480" w:lineRule="auto"/>
    </w:pPr>
    <w:rPr>
      <w:rFonts w:ascii="Courier" w:eastAsia="Times New Roman" w:hAnsi="Courier" w:cs="Times New Roman"/>
      <w:sz w:val="24"/>
      <w:szCs w:val="24"/>
      <w:lang w:eastAsia="cs-CZ"/>
    </w:rPr>
  </w:style>
  <w:style w:type="character" w:customStyle="1" w:styleId="Zkladntext2Char">
    <w:name w:val="Základný text 2 Char"/>
    <w:aliases w:val="Základný text 2 Char Char Char,Body Text 2 Char Char Char Char"/>
    <w:basedOn w:val="Predvolenpsmoodseku"/>
    <w:link w:val="Zkladntext2"/>
    <w:uiPriority w:val="99"/>
    <w:rsid w:val="00A809E7"/>
    <w:rPr>
      <w:rFonts w:ascii="Courier" w:eastAsia="Times New Roman" w:hAnsi="Courier" w:cs="Times New Roman"/>
      <w:sz w:val="24"/>
      <w:szCs w:val="24"/>
      <w:lang w:eastAsia="cs-CZ"/>
    </w:rPr>
  </w:style>
  <w:style w:type="paragraph" w:customStyle="1" w:styleId="INGBodyText">
    <w:name w:val="ING Body Text"/>
    <w:basedOn w:val="Normlny"/>
    <w:uiPriority w:val="99"/>
    <w:qFormat/>
    <w:rsid w:val="00A809E7"/>
    <w:pPr>
      <w:spacing w:line="280" w:lineRule="exact"/>
      <w:jc w:val="both"/>
    </w:pPr>
    <w:rPr>
      <w:rFonts w:ascii="Arial" w:eastAsia="Times New Roman" w:hAnsi="Arial" w:cs="Arial"/>
      <w:color w:val="000000"/>
      <w:sz w:val="19"/>
      <w:szCs w:val="19"/>
      <w:lang w:val="en-GB"/>
    </w:rPr>
  </w:style>
  <w:style w:type="character" w:styleId="slostrany">
    <w:name w:val="page number"/>
    <w:basedOn w:val="Predvolenpsmoodseku"/>
    <w:uiPriority w:val="99"/>
    <w:rsid w:val="00A809E7"/>
    <w:rPr>
      <w:rFonts w:cs="Times New Roman"/>
    </w:rPr>
  </w:style>
  <w:style w:type="paragraph" w:styleId="Zarkazkladnhotextu20">
    <w:name w:val="Body Text Indent 2"/>
    <w:aliases w:val="Char10 Char,Zarážka základného textu 2 Char Char,Body Text Indent 2 Char Char Char"/>
    <w:basedOn w:val="Normlny"/>
    <w:link w:val="Zarkazkladnhotextu2Char"/>
    <w:uiPriority w:val="99"/>
    <w:qFormat/>
    <w:rsid w:val="00A809E7"/>
    <w:pPr>
      <w:spacing w:after="120" w:line="480" w:lineRule="auto"/>
      <w:ind w:left="283"/>
    </w:pPr>
    <w:rPr>
      <w:rFonts w:ascii="Courier" w:eastAsia="Times New Roman" w:hAnsi="Courier" w:cs="Times New Roman"/>
      <w:sz w:val="24"/>
      <w:szCs w:val="24"/>
      <w:lang w:eastAsia="cs-CZ"/>
    </w:rPr>
  </w:style>
  <w:style w:type="character" w:customStyle="1" w:styleId="Zarkazkladnhotextu2Char">
    <w:name w:val="Zarážka základného textu 2 Char"/>
    <w:aliases w:val="Char10 Char Char,Zarážka základného textu 2 Char Char Char,Body Text Indent 2 Char Char Char Char"/>
    <w:basedOn w:val="Predvolenpsmoodseku"/>
    <w:link w:val="Zarkazkladnhotextu20"/>
    <w:uiPriority w:val="99"/>
    <w:rsid w:val="00A809E7"/>
    <w:rPr>
      <w:rFonts w:ascii="Courier" w:eastAsia="Times New Roman" w:hAnsi="Courier" w:cs="Times New Roman"/>
      <w:sz w:val="24"/>
      <w:szCs w:val="24"/>
      <w:lang w:eastAsia="cs-CZ"/>
    </w:rPr>
  </w:style>
  <w:style w:type="character" w:customStyle="1" w:styleId="truktradokumentuChar">
    <w:name w:val="Štruktúra dokumentu Char"/>
    <w:aliases w:val="Char9 Char Char,Štruktúra dokumentu Char Char Char,Document Map Char Char Char"/>
    <w:link w:val="truktradokumentu"/>
    <w:uiPriority w:val="99"/>
    <w:semiHidden/>
    <w:locked/>
    <w:rsid w:val="00A809E7"/>
    <w:rPr>
      <w:rFonts w:ascii="Tahoma" w:hAnsi="Tahoma"/>
      <w:sz w:val="24"/>
      <w:shd w:val="clear" w:color="auto" w:fill="000080"/>
    </w:rPr>
  </w:style>
  <w:style w:type="paragraph" w:styleId="truktradokumentu">
    <w:name w:val="Document Map"/>
    <w:aliases w:val="Char9 Char,Štruktúra dokumentu Char Char,Document Map Char Char"/>
    <w:basedOn w:val="Normlny"/>
    <w:link w:val="truktradokumentuChar"/>
    <w:uiPriority w:val="99"/>
    <w:semiHidden/>
    <w:qFormat/>
    <w:rsid w:val="00A809E7"/>
    <w:pPr>
      <w:shd w:val="clear" w:color="auto" w:fill="000080"/>
      <w:spacing w:after="0" w:line="240" w:lineRule="auto"/>
    </w:pPr>
    <w:rPr>
      <w:rFonts w:ascii="Tahoma" w:hAnsi="Tahoma"/>
      <w:sz w:val="24"/>
    </w:rPr>
  </w:style>
  <w:style w:type="character" w:customStyle="1" w:styleId="truktradokumentuChar1">
    <w:name w:val="Štruktúra dokumentu Char1"/>
    <w:aliases w:val="Char9 Char Char1,Štruktúra dokumentu Char Char Char1,Document Map Char Char Char1"/>
    <w:basedOn w:val="Predvolenpsmoodseku"/>
    <w:uiPriority w:val="99"/>
    <w:semiHidden/>
    <w:rsid w:val="00A809E7"/>
    <w:rPr>
      <w:rFonts w:ascii="Segoe UI" w:hAnsi="Segoe UI" w:cs="Segoe UI"/>
      <w:sz w:val="16"/>
      <w:szCs w:val="16"/>
    </w:rPr>
  </w:style>
  <w:style w:type="character" w:customStyle="1" w:styleId="truktradokumentuChar1621">
    <w:name w:val="Štruktúra dokumentu Char1621"/>
    <w:aliases w:val="Char9 Char Char1622,Štruktúra dokumentu Char Char Char1622,Document Map Char Char Char1622"/>
    <w:basedOn w:val="Predvolenpsmoodseku"/>
    <w:uiPriority w:val="99"/>
    <w:semiHidden/>
    <w:rsid w:val="00A809E7"/>
    <w:rPr>
      <w:rFonts w:ascii="Tahoma" w:hAnsi="Tahoma" w:cs="Tahoma"/>
      <w:sz w:val="16"/>
      <w:szCs w:val="16"/>
      <w:lang w:val="x-none" w:eastAsia="cs-CZ"/>
    </w:rPr>
  </w:style>
  <w:style w:type="character" w:customStyle="1" w:styleId="truktradokumentuChar1620">
    <w:name w:val="Štruktúra dokumentu Char1620"/>
    <w:aliases w:val="Char9 Char Char1621,Štruktúra dokumentu Char Char Char1621,Document Map Char Char Char1621"/>
    <w:basedOn w:val="Predvolenpsmoodseku"/>
    <w:uiPriority w:val="99"/>
    <w:semiHidden/>
    <w:rsid w:val="00A809E7"/>
    <w:rPr>
      <w:rFonts w:ascii="Tahoma" w:hAnsi="Tahoma" w:cs="Tahoma"/>
      <w:sz w:val="16"/>
      <w:szCs w:val="16"/>
      <w:lang w:val="x-none" w:eastAsia="cs-CZ"/>
    </w:rPr>
  </w:style>
  <w:style w:type="character" w:customStyle="1" w:styleId="truktradokumentuChar1614">
    <w:name w:val="Štruktúra dokumentu Char1614"/>
    <w:aliases w:val="Char9 Char Char1615,Štruktúra dokumentu Char Char Char1615,Document Map Char Char Char1615"/>
    <w:basedOn w:val="Predvolenpsmoodseku"/>
    <w:uiPriority w:val="99"/>
    <w:semiHidden/>
    <w:rsid w:val="00A809E7"/>
    <w:rPr>
      <w:rFonts w:ascii="Tahoma" w:hAnsi="Tahoma" w:cs="Tahoma"/>
      <w:sz w:val="16"/>
      <w:szCs w:val="16"/>
      <w:lang w:val="x-none" w:eastAsia="cs-CZ"/>
    </w:rPr>
  </w:style>
  <w:style w:type="character" w:customStyle="1" w:styleId="truktradokumentuChar1613">
    <w:name w:val="Štruktúra dokumentu Char1613"/>
    <w:aliases w:val="Char9 Char Char1614,Štruktúra dokumentu Char Char Char1614,Document Map Char Char Char1614"/>
    <w:basedOn w:val="Predvolenpsmoodseku"/>
    <w:uiPriority w:val="99"/>
    <w:semiHidden/>
    <w:rsid w:val="00A809E7"/>
    <w:rPr>
      <w:rFonts w:ascii="Tahoma" w:hAnsi="Tahoma" w:cs="Tahoma"/>
      <w:sz w:val="16"/>
      <w:szCs w:val="16"/>
      <w:lang w:val="x-none" w:eastAsia="cs-CZ"/>
    </w:rPr>
  </w:style>
  <w:style w:type="character" w:customStyle="1" w:styleId="truktradokumentuChar1612">
    <w:name w:val="Štruktúra dokumentu Char1612"/>
    <w:aliases w:val="Char9 Char Char1613,Štruktúra dokumentu Char Char Char1613,Document Map Char Char Char1613"/>
    <w:basedOn w:val="Predvolenpsmoodseku"/>
    <w:uiPriority w:val="99"/>
    <w:semiHidden/>
    <w:rsid w:val="00A809E7"/>
    <w:rPr>
      <w:rFonts w:ascii="Tahoma" w:hAnsi="Tahoma" w:cs="Tahoma"/>
      <w:sz w:val="16"/>
      <w:szCs w:val="16"/>
      <w:lang w:val="x-none" w:eastAsia="cs-CZ"/>
    </w:rPr>
  </w:style>
  <w:style w:type="character" w:customStyle="1" w:styleId="truktradokumentuChar1611">
    <w:name w:val="Štruktúra dokumentu Char1611"/>
    <w:aliases w:val="Char9 Char Char1612,Štruktúra dokumentu Char Char Char1612,Document Map Char Char Char1612"/>
    <w:basedOn w:val="Predvolenpsmoodseku"/>
    <w:uiPriority w:val="99"/>
    <w:semiHidden/>
    <w:rsid w:val="00A809E7"/>
    <w:rPr>
      <w:rFonts w:ascii="Tahoma" w:hAnsi="Tahoma" w:cs="Tahoma"/>
      <w:sz w:val="16"/>
      <w:szCs w:val="16"/>
      <w:lang w:val="x-none" w:eastAsia="cs-CZ"/>
    </w:rPr>
  </w:style>
  <w:style w:type="character" w:customStyle="1" w:styleId="truktradokumentuChar1610">
    <w:name w:val="Štruktúra dokumentu Char1610"/>
    <w:aliases w:val="Char9 Char Char1611,Štruktúra dokumentu Char Char Char1611,Document Map Char Char Char1611"/>
    <w:basedOn w:val="Predvolenpsmoodseku"/>
    <w:uiPriority w:val="99"/>
    <w:semiHidden/>
    <w:rsid w:val="00A809E7"/>
    <w:rPr>
      <w:rFonts w:ascii="Tahoma" w:hAnsi="Tahoma" w:cs="Tahoma"/>
      <w:sz w:val="16"/>
      <w:szCs w:val="16"/>
      <w:lang w:val="x-none" w:eastAsia="cs-CZ"/>
    </w:rPr>
  </w:style>
  <w:style w:type="character" w:customStyle="1" w:styleId="truktradokumentuChar1609">
    <w:name w:val="Štruktúra dokumentu Char1609"/>
    <w:aliases w:val="Char9 Char Char1610,Štruktúra dokumentu Char Char Char1610,Document Map Char Char Char1610"/>
    <w:basedOn w:val="Predvolenpsmoodseku"/>
    <w:uiPriority w:val="99"/>
    <w:semiHidden/>
    <w:rsid w:val="00A809E7"/>
    <w:rPr>
      <w:rFonts w:ascii="Tahoma" w:hAnsi="Tahoma" w:cs="Tahoma"/>
      <w:sz w:val="16"/>
      <w:szCs w:val="16"/>
      <w:lang w:val="x-none" w:eastAsia="cs-CZ"/>
    </w:rPr>
  </w:style>
  <w:style w:type="character" w:customStyle="1" w:styleId="truktradokumentuChar1608">
    <w:name w:val="Štruktúra dokumentu Char1608"/>
    <w:aliases w:val="Char9 Char Char1609,Štruktúra dokumentu Char Char Char1609,Document Map Char Char Char1609"/>
    <w:basedOn w:val="Predvolenpsmoodseku"/>
    <w:uiPriority w:val="99"/>
    <w:semiHidden/>
    <w:rsid w:val="00A809E7"/>
    <w:rPr>
      <w:rFonts w:ascii="Tahoma" w:hAnsi="Tahoma" w:cs="Tahoma"/>
      <w:sz w:val="16"/>
      <w:szCs w:val="16"/>
      <w:lang w:val="x-none" w:eastAsia="cs-CZ"/>
    </w:rPr>
  </w:style>
  <w:style w:type="character" w:customStyle="1" w:styleId="truktradokumentuChar1607">
    <w:name w:val="Štruktúra dokumentu Char1607"/>
    <w:aliases w:val="Char9 Char Char1608,Štruktúra dokumentu Char Char Char1608,Document Map Char Char Char1608"/>
    <w:basedOn w:val="Predvolenpsmoodseku"/>
    <w:uiPriority w:val="99"/>
    <w:semiHidden/>
    <w:rsid w:val="00A809E7"/>
    <w:rPr>
      <w:rFonts w:ascii="Tahoma" w:hAnsi="Tahoma" w:cs="Tahoma"/>
      <w:sz w:val="16"/>
      <w:szCs w:val="16"/>
      <w:lang w:val="x-none" w:eastAsia="cs-CZ"/>
    </w:rPr>
  </w:style>
  <w:style w:type="character" w:customStyle="1" w:styleId="truktradokumentuChar1606">
    <w:name w:val="Štruktúra dokumentu Char1606"/>
    <w:aliases w:val="Char9 Char Char1607,Štruktúra dokumentu Char Char Char1607,Document Map Char Char Char1607"/>
    <w:basedOn w:val="Predvolenpsmoodseku"/>
    <w:uiPriority w:val="99"/>
    <w:semiHidden/>
    <w:rsid w:val="00A809E7"/>
    <w:rPr>
      <w:rFonts w:ascii="Tahoma" w:hAnsi="Tahoma" w:cs="Tahoma"/>
      <w:sz w:val="16"/>
      <w:szCs w:val="16"/>
      <w:lang w:val="x-none" w:eastAsia="cs-CZ"/>
    </w:rPr>
  </w:style>
  <w:style w:type="character" w:customStyle="1" w:styleId="truktradokumentuChar1605">
    <w:name w:val="Štruktúra dokumentu Char1605"/>
    <w:aliases w:val="Char9 Char Char1606,Štruktúra dokumentu Char Char Char1606,Document Map Char Char Char1606"/>
    <w:basedOn w:val="Predvolenpsmoodseku"/>
    <w:uiPriority w:val="99"/>
    <w:semiHidden/>
    <w:rsid w:val="00A809E7"/>
    <w:rPr>
      <w:rFonts w:ascii="Tahoma" w:hAnsi="Tahoma" w:cs="Tahoma"/>
      <w:sz w:val="16"/>
      <w:szCs w:val="16"/>
      <w:lang w:val="x-none" w:eastAsia="cs-CZ"/>
    </w:rPr>
  </w:style>
  <w:style w:type="character" w:customStyle="1" w:styleId="truktradokumentuChar1604">
    <w:name w:val="Štruktúra dokumentu Char1604"/>
    <w:aliases w:val="Char9 Char Char1605,Štruktúra dokumentu Char Char Char1605,Document Map Char Char Char1605"/>
    <w:basedOn w:val="Predvolenpsmoodseku"/>
    <w:uiPriority w:val="99"/>
    <w:semiHidden/>
    <w:rsid w:val="00A809E7"/>
    <w:rPr>
      <w:rFonts w:ascii="Tahoma" w:hAnsi="Tahoma" w:cs="Tahoma"/>
      <w:sz w:val="16"/>
      <w:szCs w:val="16"/>
      <w:lang w:val="x-none" w:eastAsia="cs-CZ"/>
    </w:rPr>
  </w:style>
  <w:style w:type="character" w:customStyle="1" w:styleId="truktradokumentuChar1603">
    <w:name w:val="Štruktúra dokumentu Char1603"/>
    <w:aliases w:val="Char9 Char Char1604,Štruktúra dokumentu Char Char Char1604,Document Map Char Char Char1604"/>
    <w:basedOn w:val="Predvolenpsmoodseku"/>
    <w:uiPriority w:val="99"/>
    <w:semiHidden/>
    <w:rsid w:val="00A809E7"/>
    <w:rPr>
      <w:rFonts w:ascii="Tahoma" w:hAnsi="Tahoma" w:cs="Tahoma"/>
      <w:sz w:val="16"/>
      <w:szCs w:val="16"/>
      <w:lang w:val="x-none" w:eastAsia="cs-CZ"/>
    </w:rPr>
  </w:style>
  <w:style w:type="character" w:customStyle="1" w:styleId="truktradokumentuChar1602">
    <w:name w:val="Štruktúra dokumentu Char1602"/>
    <w:aliases w:val="Char9 Char Char1603,Štruktúra dokumentu Char Char Char1603,Document Map Char Char Char1603"/>
    <w:basedOn w:val="Predvolenpsmoodseku"/>
    <w:uiPriority w:val="99"/>
    <w:semiHidden/>
    <w:rsid w:val="00A809E7"/>
    <w:rPr>
      <w:rFonts w:ascii="Tahoma" w:hAnsi="Tahoma" w:cs="Tahoma"/>
      <w:sz w:val="16"/>
      <w:szCs w:val="16"/>
      <w:lang w:val="x-none" w:eastAsia="cs-CZ"/>
    </w:rPr>
  </w:style>
  <w:style w:type="character" w:customStyle="1" w:styleId="truktradokumentuChar1601">
    <w:name w:val="Štruktúra dokumentu Char1601"/>
    <w:aliases w:val="Char9 Char Char1602,Štruktúra dokumentu Char Char Char1602,Document Map Char Char Char1602"/>
    <w:basedOn w:val="Predvolenpsmoodseku"/>
    <w:uiPriority w:val="99"/>
    <w:semiHidden/>
    <w:rsid w:val="00A809E7"/>
    <w:rPr>
      <w:rFonts w:ascii="Tahoma" w:hAnsi="Tahoma" w:cs="Tahoma"/>
      <w:sz w:val="16"/>
      <w:szCs w:val="16"/>
      <w:lang w:val="x-none" w:eastAsia="cs-CZ"/>
    </w:rPr>
  </w:style>
  <w:style w:type="character" w:customStyle="1" w:styleId="truktradokumentuChar1600">
    <w:name w:val="Štruktúra dokumentu Char1600"/>
    <w:aliases w:val="Char9 Char Char1601,Štruktúra dokumentu Char Char Char1601,Document Map Char Char Char1601"/>
    <w:basedOn w:val="Predvolenpsmoodseku"/>
    <w:uiPriority w:val="99"/>
    <w:semiHidden/>
    <w:rsid w:val="00A809E7"/>
    <w:rPr>
      <w:rFonts w:ascii="Tahoma" w:hAnsi="Tahoma" w:cs="Tahoma"/>
      <w:sz w:val="16"/>
      <w:szCs w:val="16"/>
      <w:lang w:val="x-none" w:eastAsia="cs-CZ"/>
    </w:rPr>
  </w:style>
  <w:style w:type="character" w:customStyle="1" w:styleId="truktradokumentuChar1599">
    <w:name w:val="Štruktúra dokumentu Char1599"/>
    <w:aliases w:val="Char9 Char Char1600,Štruktúra dokumentu Char Char Char1600,Document Map Char Char Char1600"/>
    <w:basedOn w:val="Predvolenpsmoodseku"/>
    <w:uiPriority w:val="99"/>
    <w:semiHidden/>
    <w:rsid w:val="00A809E7"/>
    <w:rPr>
      <w:rFonts w:ascii="Tahoma" w:hAnsi="Tahoma" w:cs="Tahoma"/>
      <w:sz w:val="16"/>
      <w:szCs w:val="16"/>
      <w:lang w:val="x-none" w:eastAsia="cs-CZ"/>
    </w:rPr>
  </w:style>
  <w:style w:type="character" w:customStyle="1" w:styleId="truktradokumentuChar1598">
    <w:name w:val="Štruktúra dokumentu Char1598"/>
    <w:aliases w:val="Char9 Char Char1599,Štruktúra dokumentu Char Char Char1599,Document Map Char Char Char1599"/>
    <w:basedOn w:val="Predvolenpsmoodseku"/>
    <w:uiPriority w:val="99"/>
    <w:semiHidden/>
    <w:rsid w:val="00A809E7"/>
    <w:rPr>
      <w:rFonts w:ascii="Tahoma" w:hAnsi="Tahoma" w:cs="Tahoma"/>
      <w:sz w:val="16"/>
      <w:szCs w:val="16"/>
      <w:lang w:val="x-none" w:eastAsia="cs-CZ"/>
    </w:rPr>
  </w:style>
  <w:style w:type="character" w:customStyle="1" w:styleId="truktradokumentuChar1597">
    <w:name w:val="Štruktúra dokumentu Char1597"/>
    <w:aliases w:val="Char9 Char Char1598,Štruktúra dokumentu Char Char Char1598,Document Map Char Char Char1598"/>
    <w:basedOn w:val="Predvolenpsmoodseku"/>
    <w:uiPriority w:val="99"/>
    <w:semiHidden/>
    <w:rsid w:val="00A809E7"/>
    <w:rPr>
      <w:rFonts w:ascii="Tahoma" w:hAnsi="Tahoma" w:cs="Tahoma"/>
      <w:sz w:val="16"/>
      <w:szCs w:val="16"/>
      <w:lang w:val="x-none" w:eastAsia="cs-CZ"/>
    </w:rPr>
  </w:style>
  <w:style w:type="character" w:customStyle="1" w:styleId="truktradokumentuChar1596">
    <w:name w:val="Štruktúra dokumentu Char1596"/>
    <w:aliases w:val="Char9 Char Char1597,Štruktúra dokumentu Char Char Char1597,Document Map Char Char Char1597"/>
    <w:basedOn w:val="Predvolenpsmoodseku"/>
    <w:uiPriority w:val="99"/>
    <w:semiHidden/>
    <w:rsid w:val="00A809E7"/>
    <w:rPr>
      <w:rFonts w:ascii="Tahoma" w:hAnsi="Tahoma" w:cs="Tahoma"/>
      <w:sz w:val="16"/>
      <w:szCs w:val="16"/>
      <w:lang w:val="x-none" w:eastAsia="cs-CZ"/>
    </w:rPr>
  </w:style>
  <w:style w:type="character" w:customStyle="1" w:styleId="truktradokumentuChar1595">
    <w:name w:val="Štruktúra dokumentu Char1595"/>
    <w:aliases w:val="Char9 Char Char1596,Štruktúra dokumentu Char Char Char1596,Document Map Char Char Char1596"/>
    <w:basedOn w:val="Predvolenpsmoodseku"/>
    <w:uiPriority w:val="99"/>
    <w:semiHidden/>
    <w:rsid w:val="00A809E7"/>
    <w:rPr>
      <w:rFonts w:ascii="Tahoma" w:hAnsi="Tahoma" w:cs="Tahoma"/>
      <w:sz w:val="16"/>
      <w:szCs w:val="16"/>
      <w:lang w:val="x-none" w:eastAsia="cs-CZ"/>
    </w:rPr>
  </w:style>
  <w:style w:type="character" w:customStyle="1" w:styleId="truktradokumentuChar1594">
    <w:name w:val="Štruktúra dokumentu Char1594"/>
    <w:aliases w:val="Char9 Char Char1595,Štruktúra dokumentu Char Char Char1595,Document Map Char Char Char1595"/>
    <w:basedOn w:val="Predvolenpsmoodseku"/>
    <w:uiPriority w:val="99"/>
    <w:semiHidden/>
    <w:rsid w:val="00A809E7"/>
    <w:rPr>
      <w:rFonts w:ascii="Tahoma" w:hAnsi="Tahoma" w:cs="Tahoma"/>
      <w:sz w:val="16"/>
      <w:szCs w:val="16"/>
      <w:lang w:val="x-none" w:eastAsia="cs-CZ"/>
    </w:rPr>
  </w:style>
  <w:style w:type="character" w:customStyle="1" w:styleId="truktradokumentuChar1593">
    <w:name w:val="Štruktúra dokumentu Char1593"/>
    <w:aliases w:val="Char9 Char Char1594,Štruktúra dokumentu Char Char Char1594,Document Map Char Char Char1594"/>
    <w:basedOn w:val="Predvolenpsmoodseku"/>
    <w:uiPriority w:val="99"/>
    <w:semiHidden/>
    <w:rsid w:val="00A809E7"/>
    <w:rPr>
      <w:rFonts w:ascii="Tahoma" w:hAnsi="Tahoma" w:cs="Tahoma"/>
      <w:sz w:val="16"/>
      <w:szCs w:val="16"/>
      <w:lang w:val="x-none" w:eastAsia="cs-CZ"/>
    </w:rPr>
  </w:style>
  <w:style w:type="character" w:customStyle="1" w:styleId="truktradokumentuChar1592">
    <w:name w:val="Štruktúra dokumentu Char1592"/>
    <w:aliases w:val="Char9 Char Char1593,Štruktúra dokumentu Char Char Char1593,Document Map Char Char Char1593"/>
    <w:basedOn w:val="Predvolenpsmoodseku"/>
    <w:uiPriority w:val="99"/>
    <w:semiHidden/>
    <w:rsid w:val="00A809E7"/>
    <w:rPr>
      <w:rFonts w:ascii="Tahoma" w:hAnsi="Tahoma" w:cs="Tahoma"/>
      <w:sz w:val="16"/>
      <w:szCs w:val="16"/>
      <w:lang w:val="x-none" w:eastAsia="cs-CZ"/>
    </w:rPr>
  </w:style>
  <w:style w:type="character" w:customStyle="1" w:styleId="truktradokumentuChar1591">
    <w:name w:val="Štruktúra dokumentu Char1591"/>
    <w:aliases w:val="Char9 Char Char1592,Štruktúra dokumentu Char Char Char1592,Document Map Char Char Char1592"/>
    <w:basedOn w:val="Predvolenpsmoodseku"/>
    <w:uiPriority w:val="99"/>
    <w:semiHidden/>
    <w:rsid w:val="00A809E7"/>
    <w:rPr>
      <w:rFonts w:ascii="Tahoma" w:hAnsi="Tahoma" w:cs="Tahoma"/>
      <w:sz w:val="16"/>
      <w:szCs w:val="16"/>
      <w:lang w:val="x-none" w:eastAsia="cs-CZ"/>
    </w:rPr>
  </w:style>
  <w:style w:type="character" w:customStyle="1" w:styleId="truktradokumentuChar1590">
    <w:name w:val="Štruktúra dokumentu Char1590"/>
    <w:aliases w:val="Char9 Char Char1591,Štruktúra dokumentu Char Char Char1591,Document Map Char Char Char1591"/>
    <w:basedOn w:val="Predvolenpsmoodseku"/>
    <w:uiPriority w:val="99"/>
    <w:semiHidden/>
    <w:rsid w:val="00A809E7"/>
    <w:rPr>
      <w:rFonts w:ascii="Tahoma" w:hAnsi="Tahoma" w:cs="Tahoma"/>
      <w:sz w:val="16"/>
      <w:szCs w:val="16"/>
      <w:lang w:val="x-none" w:eastAsia="cs-CZ"/>
    </w:rPr>
  </w:style>
  <w:style w:type="character" w:customStyle="1" w:styleId="truktradokumentuChar1589">
    <w:name w:val="Štruktúra dokumentu Char1589"/>
    <w:aliases w:val="Char9 Char Char1590,Štruktúra dokumentu Char Char Char1590,Document Map Char Char Char1590"/>
    <w:basedOn w:val="Predvolenpsmoodseku"/>
    <w:uiPriority w:val="99"/>
    <w:semiHidden/>
    <w:rsid w:val="00A809E7"/>
    <w:rPr>
      <w:rFonts w:ascii="Tahoma" w:hAnsi="Tahoma" w:cs="Tahoma"/>
      <w:sz w:val="16"/>
      <w:szCs w:val="16"/>
      <w:lang w:val="x-none" w:eastAsia="cs-CZ"/>
    </w:rPr>
  </w:style>
  <w:style w:type="character" w:customStyle="1" w:styleId="truktradokumentuChar1588">
    <w:name w:val="Štruktúra dokumentu Char1588"/>
    <w:aliases w:val="Char9 Char Char1589,Štruktúra dokumentu Char Char Char1589,Document Map Char Char Char1589"/>
    <w:basedOn w:val="Predvolenpsmoodseku"/>
    <w:uiPriority w:val="99"/>
    <w:semiHidden/>
    <w:rsid w:val="00A809E7"/>
    <w:rPr>
      <w:rFonts w:ascii="Tahoma" w:hAnsi="Tahoma" w:cs="Tahoma"/>
      <w:sz w:val="16"/>
      <w:szCs w:val="16"/>
      <w:lang w:val="x-none" w:eastAsia="cs-CZ"/>
    </w:rPr>
  </w:style>
  <w:style w:type="character" w:customStyle="1" w:styleId="truktradokumentuChar1587">
    <w:name w:val="Štruktúra dokumentu Char1587"/>
    <w:aliases w:val="Char9 Char Char1588,Štruktúra dokumentu Char Char Char1588,Document Map Char Char Char1588"/>
    <w:basedOn w:val="Predvolenpsmoodseku"/>
    <w:uiPriority w:val="99"/>
    <w:semiHidden/>
    <w:rsid w:val="00A809E7"/>
    <w:rPr>
      <w:rFonts w:ascii="Tahoma" w:hAnsi="Tahoma" w:cs="Tahoma"/>
      <w:sz w:val="16"/>
      <w:szCs w:val="16"/>
      <w:lang w:val="x-none" w:eastAsia="cs-CZ"/>
    </w:rPr>
  </w:style>
  <w:style w:type="character" w:customStyle="1" w:styleId="truktradokumentuChar1586">
    <w:name w:val="Štruktúra dokumentu Char1586"/>
    <w:aliases w:val="Char9 Char Char1587,Štruktúra dokumentu Char Char Char1587,Document Map Char Char Char1587"/>
    <w:basedOn w:val="Predvolenpsmoodseku"/>
    <w:uiPriority w:val="99"/>
    <w:semiHidden/>
    <w:rsid w:val="00A809E7"/>
    <w:rPr>
      <w:rFonts w:ascii="Tahoma" w:hAnsi="Tahoma" w:cs="Tahoma"/>
      <w:sz w:val="16"/>
      <w:szCs w:val="16"/>
      <w:lang w:val="x-none" w:eastAsia="cs-CZ"/>
    </w:rPr>
  </w:style>
  <w:style w:type="character" w:customStyle="1" w:styleId="truktradokumentuChar1585">
    <w:name w:val="Štruktúra dokumentu Char1585"/>
    <w:aliases w:val="Char9 Char Char1586,Štruktúra dokumentu Char Char Char1586,Document Map Char Char Char1586"/>
    <w:basedOn w:val="Predvolenpsmoodseku"/>
    <w:uiPriority w:val="99"/>
    <w:semiHidden/>
    <w:rsid w:val="00A809E7"/>
    <w:rPr>
      <w:rFonts w:ascii="Tahoma" w:hAnsi="Tahoma" w:cs="Tahoma"/>
      <w:sz w:val="16"/>
      <w:szCs w:val="16"/>
      <w:lang w:val="x-none" w:eastAsia="cs-CZ"/>
    </w:rPr>
  </w:style>
  <w:style w:type="character" w:customStyle="1" w:styleId="truktradokumentuChar1584">
    <w:name w:val="Štruktúra dokumentu Char1584"/>
    <w:aliases w:val="Char9 Char Char1585,Štruktúra dokumentu Char Char Char1585,Document Map Char Char Char1585"/>
    <w:basedOn w:val="Predvolenpsmoodseku"/>
    <w:uiPriority w:val="99"/>
    <w:semiHidden/>
    <w:rsid w:val="00A809E7"/>
    <w:rPr>
      <w:rFonts w:ascii="Tahoma" w:hAnsi="Tahoma" w:cs="Tahoma"/>
      <w:sz w:val="16"/>
      <w:szCs w:val="16"/>
      <w:lang w:val="x-none" w:eastAsia="cs-CZ"/>
    </w:rPr>
  </w:style>
  <w:style w:type="character" w:customStyle="1" w:styleId="truktradokumentuChar1583">
    <w:name w:val="Štruktúra dokumentu Char1583"/>
    <w:aliases w:val="Char9 Char Char1584,Štruktúra dokumentu Char Char Char1584,Document Map Char Char Char1584"/>
    <w:basedOn w:val="Predvolenpsmoodseku"/>
    <w:uiPriority w:val="99"/>
    <w:semiHidden/>
    <w:rsid w:val="00A809E7"/>
    <w:rPr>
      <w:rFonts w:ascii="Tahoma" w:hAnsi="Tahoma" w:cs="Tahoma"/>
      <w:sz w:val="16"/>
      <w:szCs w:val="16"/>
      <w:lang w:val="x-none" w:eastAsia="cs-CZ"/>
    </w:rPr>
  </w:style>
  <w:style w:type="character" w:customStyle="1" w:styleId="truktradokumentuChar1582">
    <w:name w:val="Štruktúra dokumentu Char1582"/>
    <w:aliases w:val="Char9 Char Char1583,Štruktúra dokumentu Char Char Char1583,Document Map Char Char Char1583"/>
    <w:basedOn w:val="Predvolenpsmoodseku"/>
    <w:uiPriority w:val="99"/>
    <w:semiHidden/>
    <w:rsid w:val="00A809E7"/>
    <w:rPr>
      <w:rFonts w:ascii="Tahoma" w:hAnsi="Tahoma" w:cs="Tahoma"/>
      <w:sz w:val="16"/>
      <w:szCs w:val="16"/>
      <w:lang w:val="x-none" w:eastAsia="cs-CZ"/>
    </w:rPr>
  </w:style>
  <w:style w:type="character" w:customStyle="1" w:styleId="truktradokumentuChar1581">
    <w:name w:val="Štruktúra dokumentu Char1581"/>
    <w:aliases w:val="Char9 Char Char1582,Štruktúra dokumentu Char Char Char1582,Document Map Char Char Char1582"/>
    <w:basedOn w:val="Predvolenpsmoodseku"/>
    <w:uiPriority w:val="99"/>
    <w:semiHidden/>
    <w:rsid w:val="00A809E7"/>
    <w:rPr>
      <w:rFonts w:ascii="Tahoma" w:hAnsi="Tahoma" w:cs="Tahoma"/>
      <w:sz w:val="16"/>
      <w:szCs w:val="16"/>
      <w:lang w:val="x-none" w:eastAsia="cs-CZ"/>
    </w:rPr>
  </w:style>
  <w:style w:type="character" w:customStyle="1" w:styleId="truktradokumentuChar1580">
    <w:name w:val="Štruktúra dokumentu Char1580"/>
    <w:aliases w:val="Char9 Char Char1581,Štruktúra dokumentu Char Char Char1581,Document Map Char Char Char1581"/>
    <w:basedOn w:val="Predvolenpsmoodseku"/>
    <w:uiPriority w:val="99"/>
    <w:semiHidden/>
    <w:rsid w:val="00A809E7"/>
    <w:rPr>
      <w:rFonts w:ascii="Tahoma" w:hAnsi="Tahoma" w:cs="Tahoma"/>
      <w:sz w:val="16"/>
      <w:szCs w:val="16"/>
      <w:lang w:val="x-none" w:eastAsia="cs-CZ"/>
    </w:rPr>
  </w:style>
  <w:style w:type="character" w:customStyle="1" w:styleId="truktradokumentuChar1579">
    <w:name w:val="Štruktúra dokumentu Char1579"/>
    <w:aliases w:val="Char9 Char Char1580,Štruktúra dokumentu Char Char Char1580,Document Map Char Char Char1580"/>
    <w:basedOn w:val="Predvolenpsmoodseku"/>
    <w:uiPriority w:val="99"/>
    <w:semiHidden/>
    <w:rsid w:val="00A809E7"/>
    <w:rPr>
      <w:rFonts w:ascii="Tahoma" w:hAnsi="Tahoma" w:cs="Tahoma"/>
      <w:sz w:val="16"/>
      <w:szCs w:val="16"/>
      <w:lang w:val="x-none" w:eastAsia="cs-CZ"/>
    </w:rPr>
  </w:style>
  <w:style w:type="character" w:customStyle="1" w:styleId="truktradokumentuChar1578">
    <w:name w:val="Štruktúra dokumentu Char1578"/>
    <w:aliases w:val="Char9 Char Char1579,Štruktúra dokumentu Char Char Char1579,Document Map Char Char Char1579"/>
    <w:basedOn w:val="Predvolenpsmoodseku"/>
    <w:uiPriority w:val="99"/>
    <w:semiHidden/>
    <w:rsid w:val="00A809E7"/>
    <w:rPr>
      <w:rFonts w:ascii="Tahoma" w:hAnsi="Tahoma" w:cs="Tahoma"/>
      <w:sz w:val="16"/>
      <w:szCs w:val="16"/>
      <w:lang w:val="x-none" w:eastAsia="cs-CZ"/>
    </w:rPr>
  </w:style>
  <w:style w:type="character" w:customStyle="1" w:styleId="truktradokumentuChar1577">
    <w:name w:val="Štruktúra dokumentu Char1577"/>
    <w:aliases w:val="Char9 Char Char1578,Štruktúra dokumentu Char Char Char1578,Document Map Char Char Char1578"/>
    <w:basedOn w:val="Predvolenpsmoodseku"/>
    <w:uiPriority w:val="99"/>
    <w:semiHidden/>
    <w:rsid w:val="00A809E7"/>
    <w:rPr>
      <w:rFonts w:ascii="Tahoma" w:hAnsi="Tahoma" w:cs="Tahoma"/>
      <w:sz w:val="16"/>
      <w:szCs w:val="16"/>
      <w:lang w:val="x-none" w:eastAsia="cs-CZ"/>
    </w:rPr>
  </w:style>
  <w:style w:type="character" w:customStyle="1" w:styleId="truktradokumentuChar1576">
    <w:name w:val="Štruktúra dokumentu Char1576"/>
    <w:aliases w:val="Char9 Char Char1577,Štruktúra dokumentu Char Char Char1577,Document Map Char Char Char1577"/>
    <w:basedOn w:val="Predvolenpsmoodseku"/>
    <w:uiPriority w:val="99"/>
    <w:semiHidden/>
    <w:rsid w:val="00A809E7"/>
    <w:rPr>
      <w:rFonts w:ascii="Tahoma" w:hAnsi="Tahoma" w:cs="Tahoma"/>
      <w:sz w:val="16"/>
      <w:szCs w:val="16"/>
      <w:lang w:val="x-none" w:eastAsia="cs-CZ"/>
    </w:rPr>
  </w:style>
  <w:style w:type="character" w:customStyle="1" w:styleId="truktradokumentuChar1575">
    <w:name w:val="Štruktúra dokumentu Char1575"/>
    <w:aliases w:val="Char9 Char Char1576,Štruktúra dokumentu Char Char Char1576,Document Map Char Char Char1576"/>
    <w:basedOn w:val="Predvolenpsmoodseku"/>
    <w:uiPriority w:val="99"/>
    <w:semiHidden/>
    <w:rsid w:val="00A809E7"/>
    <w:rPr>
      <w:rFonts w:ascii="Tahoma" w:hAnsi="Tahoma" w:cs="Tahoma"/>
      <w:sz w:val="16"/>
      <w:szCs w:val="16"/>
      <w:lang w:val="x-none" w:eastAsia="cs-CZ"/>
    </w:rPr>
  </w:style>
  <w:style w:type="character" w:customStyle="1" w:styleId="truktradokumentuChar1574">
    <w:name w:val="Štruktúra dokumentu Char1574"/>
    <w:aliases w:val="Char9 Char Char1575,Štruktúra dokumentu Char Char Char1575,Document Map Char Char Char1575"/>
    <w:basedOn w:val="Predvolenpsmoodseku"/>
    <w:uiPriority w:val="99"/>
    <w:semiHidden/>
    <w:rsid w:val="00A809E7"/>
    <w:rPr>
      <w:rFonts w:ascii="Tahoma" w:hAnsi="Tahoma" w:cs="Tahoma"/>
      <w:sz w:val="16"/>
      <w:szCs w:val="16"/>
      <w:lang w:val="x-none" w:eastAsia="cs-CZ"/>
    </w:rPr>
  </w:style>
  <w:style w:type="character" w:customStyle="1" w:styleId="truktradokumentuChar1573">
    <w:name w:val="Štruktúra dokumentu Char1573"/>
    <w:aliases w:val="Char9 Char Char1574,Štruktúra dokumentu Char Char Char1574,Document Map Char Char Char1574"/>
    <w:basedOn w:val="Predvolenpsmoodseku"/>
    <w:uiPriority w:val="99"/>
    <w:semiHidden/>
    <w:rsid w:val="00A809E7"/>
    <w:rPr>
      <w:rFonts w:ascii="Tahoma" w:hAnsi="Tahoma" w:cs="Tahoma"/>
      <w:sz w:val="16"/>
      <w:szCs w:val="16"/>
      <w:lang w:val="x-none" w:eastAsia="cs-CZ"/>
    </w:rPr>
  </w:style>
  <w:style w:type="character" w:customStyle="1" w:styleId="truktradokumentuChar1572">
    <w:name w:val="Štruktúra dokumentu Char1572"/>
    <w:aliases w:val="Char9 Char Char1573,Štruktúra dokumentu Char Char Char1573,Document Map Char Char Char1573"/>
    <w:basedOn w:val="Predvolenpsmoodseku"/>
    <w:uiPriority w:val="99"/>
    <w:semiHidden/>
    <w:rsid w:val="00A809E7"/>
    <w:rPr>
      <w:rFonts w:ascii="Tahoma" w:hAnsi="Tahoma" w:cs="Tahoma"/>
      <w:sz w:val="16"/>
      <w:szCs w:val="16"/>
      <w:lang w:val="x-none" w:eastAsia="cs-CZ"/>
    </w:rPr>
  </w:style>
  <w:style w:type="character" w:customStyle="1" w:styleId="truktradokumentuChar1571">
    <w:name w:val="Štruktúra dokumentu Char1571"/>
    <w:aliases w:val="Char9 Char Char1572,Štruktúra dokumentu Char Char Char1572,Document Map Char Char Char1572"/>
    <w:basedOn w:val="Predvolenpsmoodseku"/>
    <w:uiPriority w:val="99"/>
    <w:semiHidden/>
    <w:rsid w:val="00A809E7"/>
    <w:rPr>
      <w:rFonts w:ascii="Tahoma" w:hAnsi="Tahoma" w:cs="Tahoma"/>
      <w:sz w:val="16"/>
      <w:szCs w:val="16"/>
      <w:lang w:val="x-none" w:eastAsia="cs-CZ"/>
    </w:rPr>
  </w:style>
  <w:style w:type="character" w:customStyle="1" w:styleId="truktradokumentuChar1570">
    <w:name w:val="Štruktúra dokumentu Char1570"/>
    <w:aliases w:val="Char9 Char Char1571,Štruktúra dokumentu Char Char Char1571,Document Map Char Char Char1571"/>
    <w:basedOn w:val="Predvolenpsmoodseku"/>
    <w:uiPriority w:val="99"/>
    <w:semiHidden/>
    <w:rsid w:val="00A809E7"/>
    <w:rPr>
      <w:rFonts w:ascii="Tahoma" w:hAnsi="Tahoma" w:cs="Tahoma"/>
      <w:sz w:val="16"/>
      <w:szCs w:val="16"/>
      <w:lang w:val="x-none" w:eastAsia="cs-CZ"/>
    </w:rPr>
  </w:style>
  <w:style w:type="character" w:customStyle="1" w:styleId="truktradokumentuChar1569">
    <w:name w:val="Štruktúra dokumentu Char1569"/>
    <w:aliases w:val="Char9 Char Char1570,Štruktúra dokumentu Char Char Char1570,Document Map Char Char Char1570"/>
    <w:basedOn w:val="Predvolenpsmoodseku"/>
    <w:uiPriority w:val="99"/>
    <w:semiHidden/>
    <w:rsid w:val="00A809E7"/>
    <w:rPr>
      <w:rFonts w:ascii="Tahoma" w:hAnsi="Tahoma" w:cs="Tahoma"/>
      <w:sz w:val="16"/>
      <w:szCs w:val="16"/>
      <w:lang w:val="x-none" w:eastAsia="cs-CZ"/>
    </w:rPr>
  </w:style>
  <w:style w:type="character" w:customStyle="1" w:styleId="truktradokumentuChar1568">
    <w:name w:val="Štruktúra dokumentu Char1568"/>
    <w:aliases w:val="Char9 Char Char1569,Štruktúra dokumentu Char Char Char1569,Document Map Char Char Char1569"/>
    <w:basedOn w:val="Predvolenpsmoodseku"/>
    <w:uiPriority w:val="99"/>
    <w:semiHidden/>
    <w:rsid w:val="00A809E7"/>
    <w:rPr>
      <w:rFonts w:ascii="Tahoma" w:hAnsi="Tahoma" w:cs="Tahoma"/>
      <w:sz w:val="16"/>
      <w:szCs w:val="16"/>
      <w:lang w:val="x-none" w:eastAsia="cs-CZ"/>
    </w:rPr>
  </w:style>
  <w:style w:type="character" w:customStyle="1" w:styleId="truktradokumentuChar1567">
    <w:name w:val="Štruktúra dokumentu Char1567"/>
    <w:aliases w:val="Char9 Char Char1568,Štruktúra dokumentu Char Char Char1568,Document Map Char Char Char1568"/>
    <w:basedOn w:val="Predvolenpsmoodseku"/>
    <w:uiPriority w:val="99"/>
    <w:semiHidden/>
    <w:rsid w:val="00A809E7"/>
    <w:rPr>
      <w:rFonts w:ascii="Tahoma" w:hAnsi="Tahoma" w:cs="Tahoma"/>
      <w:sz w:val="16"/>
      <w:szCs w:val="16"/>
      <w:lang w:val="x-none" w:eastAsia="cs-CZ"/>
    </w:rPr>
  </w:style>
  <w:style w:type="character" w:customStyle="1" w:styleId="truktradokumentuChar1566">
    <w:name w:val="Štruktúra dokumentu Char1566"/>
    <w:aliases w:val="Char9 Char Char1567,Štruktúra dokumentu Char Char Char1567,Document Map Char Char Char1567"/>
    <w:basedOn w:val="Predvolenpsmoodseku"/>
    <w:uiPriority w:val="99"/>
    <w:semiHidden/>
    <w:rsid w:val="00A809E7"/>
    <w:rPr>
      <w:rFonts w:ascii="Tahoma" w:hAnsi="Tahoma" w:cs="Tahoma"/>
      <w:sz w:val="16"/>
      <w:szCs w:val="16"/>
      <w:lang w:val="x-none" w:eastAsia="cs-CZ"/>
    </w:rPr>
  </w:style>
  <w:style w:type="character" w:customStyle="1" w:styleId="truktradokumentuChar1565">
    <w:name w:val="Štruktúra dokumentu Char1565"/>
    <w:aliases w:val="Char9 Char Char1566,Štruktúra dokumentu Char Char Char1566,Document Map Char Char Char1566"/>
    <w:basedOn w:val="Predvolenpsmoodseku"/>
    <w:uiPriority w:val="99"/>
    <w:semiHidden/>
    <w:rsid w:val="00A809E7"/>
    <w:rPr>
      <w:rFonts w:ascii="Tahoma" w:hAnsi="Tahoma" w:cs="Tahoma"/>
      <w:sz w:val="16"/>
      <w:szCs w:val="16"/>
      <w:lang w:val="x-none" w:eastAsia="cs-CZ"/>
    </w:rPr>
  </w:style>
  <w:style w:type="character" w:customStyle="1" w:styleId="truktradokumentuChar1564">
    <w:name w:val="Štruktúra dokumentu Char1564"/>
    <w:aliases w:val="Char9 Char Char1565,Štruktúra dokumentu Char Char Char1565,Document Map Char Char Char1565"/>
    <w:basedOn w:val="Predvolenpsmoodseku"/>
    <w:uiPriority w:val="99"/>
    <w:semiHidden/>
    <w:rsid w:val="00A809E7"/>
    <w:rPr>
      <w:rFonts w:ascii="Tahoma" w:hAnsi="Tahoma" w:cs="Tahoma"/>
      <w:sz w:val="16"/>
      <w:szCs w:val="16"/>
      <w:lang w:val="x-none" w:eastAsia="cs-CZ"/>
    </w:rPr>
  </w:style>
  <w:style w:type="character" w:customStyle="1" w:styleId="truktradokumentuChar1563">
    <w:name w:val="Štruktúra dokumentu Char1563"/>
    <w:aliases w:val="Char9 Char Char1564,Štruktúra dokumentu Char Char Char1564,Document Map Char Char Char1564"/>
    <w:basedOn w:val="Predvolenpsmoodseku"/>
    <w:uiPriority w:val="99"/>
    <w:semiHidden/>
    <w:rsid w:val="00A809E7"/>
    <w:rPr>
      <w:rFonts w:ascii="Tahoma" w:hAnsi="Tahoma" w:cs="Tahoma"/>
      <w:sz w:val="16"/>
      <w:szCs w:val="16"/>
      <w:lang w:val="x-none" w:eastAsia="cs-CZ"/>
    </w:rPr>
  </w:style>
  <w:style w:type="character" w:customStyle="1" w:styleId="truktradokumentuChar1562">
    <w:name w:val="Štruktúra dokumentu Char1562"/>
    <w:aliases w:val="Char9 Char Char1563,Štruktúra dokumentu Char Char Char1563,Document Map Char Char Char1563"/>
    <w:basedOn w:val="Predvolenpsmoodseku"/>
    <w:uiPriority w:val="99"/>
    <w:semiHidden/>
    <w:rsid w:val="00A809E7"/>
    <w:rPr>
      <w:rFonts w:ascii="Tahoma" w:hAnsi="Tahoma" w:cs="Tahoma"/>
      <w:sz w:val="16"/>
      <w:szCs w:val="16"/>
      <w:lang w:val="x-none" w:eastAsia="cs-CZ"/>
    </w:rPr>
  </w:style>
  <w:style w:type="character" w:customStyle="1" w:styleId="truktradokumentuChar1561">
    <w:name w:val="Štruktúra dokumentu Char1561"/>
    <w:aliases w:val="Char9 Char Char1562,Štruktúra dokumentu Char Char Char1562,Document Map Char Char Char1562"/>
    <w:basedOn w:val="Predvolenpsmoodseku"/>
    <w:uiPriority w:val="99"/>
    <w:semiHidden/>
    <w:rsid w:val="00A809E7"/>
    <w:rPr>
      <w:rFonts w:ascii="Tahoma" w:hAnsi="Tahoma" w:cs="Tahoma"/>
      <w:sz w:val="16"/>
      <w:szCs w:val="16"/>
      <w:lang w:val="x-none" w:eastAsia="cs-CZ"/>
    </w:rPr>
  </w:style>
  <w:style w:type="character" w:customStyle="1" w:styleId="truktradokumentuChar1560">
    <w:name w:val="Štruktúra dokumentu Char1560"/>
    <w:aliases w:val="Char9 Char Char1561,Štruktúra dokumentu Char Char Char1561,Document Map Char Char Char1561"/>
    <w:basedOn w:val="Predvolenpsmoodseku"/>
    <w:uiPriority w:val="99"/>
    <w:semiHidden/>
    <w:rsid w:val="00A809E7"/>
    <w:rPr>
      <w:rFonts w:ascii="Tahoma" w:hAnsi="Tahoma" w:cs="Tahoma"/>
      <w:sz w:val="16"/>
      <w:szCs w:val="16"/>
      <w:lang w:val="x-none" w:eastAsia="cs-CZ"/>
    </w:rPr>
  </w:style>
  <w:style w:type="character" w:customStyle="1" w:styleId="truktradokumentuChar1559">
    <w:name w:val="Štruktúra dokumentu Char1559"/>
    <w:aliases w:val="Char9 Char Char1560,Štruktúra dokumentu Char Char Char1560,Document Map Char Char Char1560"/>
    <w:basedOn w:val="Predvolenpsmoodseku"/>
    <w:uiPriority w:val="99"/>
    <w:semiHidden/>
    <w:rsid w:val="00A809E7"/>
    <w:rPr>
      <w:rFonts w:ascii="Tahoma" w:hAnsi="Tahoma" w:cs="Tahoma"/>
      <w:sz w:val="16"/>
      <w:szCs w:val="16"/>
      <w:lang w:val="x-none" w:eastAsia="cs-CZ"/>
    </w:rPr>
  </w:style>
  <w:style w:type="character" w:customStyle="1" w:styleId="truktradokumentuChar1558">
    <w:name w:val="Štruktúra dokumentu Char1558"/>
    <w:aliases w:val="Char9 Char Char1559,Štruktúra dokumentu Char Char Char1559,Document Map Char Char Char1559"/>
    <w:basedOn w:val="Predvolenpsmoodseku"/>
    <w:uiPriority w:val="99"/>
    <w:semiHidden/>
    <w:rsid w:val="00A809E7"/>
    <w:rPr>
      <w:rFonts w:ascii="Tahoma" w:hAnsi="Tahoma" w:cs="Tahoma"/>
      <w:sz w:val="16"/>
      <w:szCs w:val="16"/>
      <w:lang w:val="x-none" w:eastAsia="cs-CZ"/>
    </w:rPr>
  </w:style>
  <w:style w:type="character" w:customStyle="1" w:styleId="truktradokumentuChar1557">
    <w:name w:val="Štruktúra dokumentu Char1557"/>
    <w:aliases w:val="Char9 Char Char1558,Štruktúra dokumentu Char Char Char1558,Document Map Char Char Char1558"/>
    <w:basedOn w:val="Predvolenpsmoodseku"/>
    <w:uiPriority w:val="99"/>
    <w:semiHidden/>
    <w:rsid w:val="00A809E7"/>
    <w:rPr>
      <w:rFonts w:ascii="Tahoma" w:hAnsi="Tahoma" w:cs="Tahoma"/>
      <w:sz w:val="16"/>
      <w:szCs w:val="16"/>
      <w:lang w:val="x-none" w:eastAsia="cs-CZ"/>
    </w:rPr>
  </w:style>
  <w:style w:type="character" w:customStyle="1" w:styleId="truktradokumentuChar1556">
    <w:name w:val="Štruktúra dokumentu Char1556"/>
    <w:aliases w:val="Char9 Char Char1557,Štruktúra dokumentu Char Char Char1557,Document Map Char Char Char1557"/>
    <w:basedOn w:val="Predvolenpsmoodseku"/>
    <w:uiPriority w:val="99"/>
    <w:semiHidden/>
    <w:rsid w:val="00A809E7"/>
    <w:rPr>
      <w:rFonts w:ascii="Tahoma" w:hAnsi="Tahoma" w:cs="Tahoma"/>
      <w:sz w:val="16"/>
      <w:szCs w:val="16"/>
      <w:lang w:val="x-none" w:eastAsia="cs-CZ"/>
    </w:rPr>
  </w:style>
  <w:style w:type="character" w:customStyle="1" w:styleId="truktradokumentuChar1555">
    <w:name w:val="Štruktúra dokumentu Char1555"/>
    <w:aliases w:val="Char9 Char Char1556,Štruktúra dokumentu Char Char Char1556,Document Map Char Char Char1556"/>
    <w:basedOn w:val="Predvolenpsmoodseku"/>
    <w:uiPriority w:val="99"/>
    <w:semiHidden/>
    <w:rsid w:val="00A809E7"/>
    <w:rPr>
      <w:rFonts w:ascii="Tahoma" w:hAnsi="Tahoma" w:cs="Tahoma"/>
      <w:sz w:val="16"/>
      <w:szCs w:val="16"/>
      <w:lang w:val="x-none" w:eastAsia="cs-CZ"/>
    </w:rPr>
  </w:style>
  <w:style w:type="character" w:customStyle="1" w:styleId="truktradokumentuChar1554">
    <w:name w:val="Štruktúra dokumentu Char1554"/>
    <w:aliases w:val="Char9 Char Char1555,Štruktúra dokumentu Char Char Char1555,Document Map Char Char Char1555"/>
    <w:basedOn w:val="Predvolenpsmoodseku"/>
    <w:uiPriority w:val="99"/>
    <w:semiHidden/>
    <w:rsid w:val="00A809E7"/>
    <w:rPr>
      <w:rFonts w:ascii="Tahoma" w:hAnsi="Tahoma" w:cs="Tahoma"/>
      <w:sz w:val="16"/>
      <w:szCs w:val="16"/>
      <w:lang w:val="x-none" w:eastAsia="cs-CZ"/>
    </w:rPr>
  </w:style>
  <w:style w:type="character" w:customStyle="1" w:styleId="truktradokumentuChar1553">
    <w:name w:val="Štruktúra dokumentu Char1553"/>
    <w:aliases w:val="Char9 Char Char1554,Štruktúra dokumentu Char Char Char1554,Document Map Char Char Char1554"/>
    <w:basedOn w:val="Predvolenpsmoodseku"/>
    <w:uiPriority w:val="99"/>
    <w:semiHidden/>
    <w:rsid w:val="00A809E7"/>
    <w:rPr>
      <w:rFonts w:ascii="Tahoma" w:hAnsi="Tahoma" w:cs="Tahoma"/>
      <w:sz w:val="16"/>
      <w:szCs w:val="16"/>
      <w:lang w:val="x-none" w:eastAsia="cs-CZ"/>
    </w:rPr>
  </w:style>
  <w:style w:type="character" w:customStyle="1" w:styleId="truktradokumentuChar1552">
    <w:name w:val="Štruktúra dokumentu Char1552"/>
    <w:aliases w:val="Char9 Char Char1553,Štruktúra dokumentu Char Char Char1553,Document Map Char Char Char1553"/>
    <w:basedOn w:val="Predvolenpsmoodseku"/>
    <w:uiPriority w:val="99"/>
    <w:semiHidden/>
    <w:rsid w:val="00A809E7"/>
    <w:rPr>
      <w:rFonts w:ascii="Tahoma" w:hAnsi="Tahoma" w:cs="Tahoma"/>
      <w:sz w:val="16"/>
      <w:szCs w:val="16"/>
      <w:lang w:val="x-none" w:eastAsia="cs-CZ"/>
    </w:rPr>
  </w:style>
  <w:style w:type="character" w:customStyle="1" w:styleId="truktradokumentuChar1551">
    <w:name w:val="Štruktúra dokumentu Char1551"/>
    <w:aliases w:val="Char9 Char Char1552,Štruktúra dokumentu Char Char Char1552,Document Map Char Char Char1552"/>
    <w:basedOn w:val="Predvolenpsmoodseku"/>
    <w:uiPriority w:val="99"/>
    <w:semiHidden/>
    <w:rsid w:val="00A809E7"/>
    <w:rPr>
      <w:rFonts w:ascii="Tahoma" w:hAnsi="Tahoma" w:cs="Tahoma"/>
      <w:sz w:val="16"/>
      <w:szCs w:val="16"/>
      <w:lang w:val="x-none" w:eastAsia="cs-CZ"/>
    </w:rPr>
  </w:style>
  <w:style w:type="character" w:customStyle="1" w:styleId="truktradokumentuChar1550">
    <w:name w:val="Štruktúra dokumentu Char1550"/>
    <w:aliases w:val="Char9 Char Char1551,Štruktúra dokumentu Char Char Char1551,Document Map Char Char Char1551"/>
    <w:basedOn w:val="Predvolenpsmoodseku"/>
    <w:uiPriority w:val="99"/>
    <w:semiHidden/>
    <w:rsid w:val="00A809E7"/>
    <w:rPr>
      <w:rFonts w:ascii="Tahoma" w:hAnsi="Tahoma" w:cs="Tahoma"/>
      <w:sz w:val="16"/>
      <w:szCs w:val="16"/>
      <w:lang w:val="x-none" w:eastAsia="cs-CZ"/>
    </w:rPr>
  </w:style>
  <w:style w:type="character" w:customStyle="1" w:styleId="truktradokumentuChar1549">
    <w:name w:val="Štruktúra dokumentu Char1549"/>
    <w:aliases w:val="Char9 Char Char1550,Štruktúra dokumentu Char Char Char1550,Document Map Char Char Char1550"/>
    <w:basedOn w:val="Predvolenpsmoodseku"/>
    <w:uiPriority w:val="99"/>
    <w:semiHidden/>
    <w:rsid w:val="00A809E7"/>
    <w:rPr>
      <w:rFonts w:ascii="Tahoma" w:hAnsi="Tahoma" w:cs="Tahoma"/>
      <w:sz w:val="16"/>
      <w:szCs w:val="16"/>
      <w:lang w:val="x-none" w:eastAsia="cs-CZ"/>
    </w:rPr>
  </w:style>
  <w:style w:type="character" w:customStyle="1" w:styleId="truktradokumentuChar1548">
    <w:name w:val="Štruktúra dokumentu Char1548"/>
    <w:aliases w:val="Char9 Char Char1549,Štruktúra dokumentu Char Char Char1549,Document Map Char Char Char1549"/>
    <w:basedOn w:val="Predvolenpsmoodseku"/>
    <w:uiPriority w:val="99"/>
    <w:semiHidden/>
    <w:rsid w:val="00A809E7"/>
    <w:rPr>
      <w:rFonts w:ascii="Tahoma" w:hAnsi="Tahoma" w:cs="Tahoma"/>
      <w:sz w:val="16"/>
      <w:szCs w:val="16"/>
      <w:lang w:val="x-none" w:eastAsia="cs-CZ"/>
    </w:rPr>
  </w:style>
  <w:style w:type="character" w:customStyle="1" w:styleId="truktradokumentuChar1547">
    <w:name w:val="Štruktúra dokumentu Char1547"/>
    <w:aliases w:val="Char9 Char Char1548,Štruktúra dokumentu Char Char Char1548,Document Map Char Char Char1548"/>
    <w:basedOn w:val="Predvolenpsmoodseku"/>
    <w:uiPriority w:val="99"/>
    <w:semiHidden/>
    <w:rsid w:val="00A809E7"/>
    <w:rPr>
      <w:rFonts w:ascii="Tahoma" w:hAnsi="Tahoma" w:cs="Tahoma"/>
      <w:sz w:val="16"/>
      <w:szCs w:val="16"/>
      <w:lang w:val="x-none" w:eastAsia="cs-CZ"/>
    </w:rPr>
  </w:style>
  <w:style w:type="character" w:customStyle="1" w:styleId="truktradokumentuChar1546">
    <w:name w:val="Štruktúra dokumentu Char1546"/>
    <w:aliases w:val="Char9 Char Char1547,Štruktúra dokumentu Char Char Char1547,Document Map Char Char Char1547"/>
    <w:basedOn w:val="Predvolenpsmoodseku"/>
    <w:uiPriority w:val="99"/>
    <w:semiHidden/>
    <w:rsid w:val="00A809E7"/>
    <w:rPr>
      <w:rFonts w:ascii="Tahoma" w:hAnsi="Tahoma" w:cs="Tahoma"/>
      <w:sz w:val="16"/>
      <w:szCs w:val="16"/>
      <w:lang w:val="x-none" w:eastAsia="cs-CZ"/>
    </w:rPr>
  </w:style>
  <w:style w:type="character" w:customStyle="1" w:styleId="truktradokumentuChar1545">
    <w:name w:val="Štruktúra dokumentu Char1545"/>
    <w:aliases w:val="Char9 Char Char1546,Štruktúra dokumentu Char Char Char1546,Document Map Char Char Char1546"/>
    <w:basedOn w:val="Predvolenpsmoodseku"/>
    <w:uiPriority w:val="99"/>
    <w:semiHidden/>
    <w:rsid w:val="00A809E7"/>
    <w:rPr>
      <w:rFonts w:ascii="Tahoma" w:hAnsi="Tahoma" w:cs="Tahoma"/>
      <w:sz w:val="16"/>
      <w:szCs w:val="16"/>
      <w:lang w:val="x-none" w:eastAsia="cs-CZ"/>
    </w:rPr>
  </w:style>
  <w:style w:type="character" w:customStyle="1" w:styleId="truktradokumentuChar1544">
    <w:name w:val="Štruktúra dokumentu Char1544"/>
    <w:aliases w:val="Char9 Char Char1545,Štruktúra dokumentu Char Char Char1545,Document Map Char Char Char1545"/>
    <w:basedOn w:val="Predvolenpsmoodseku"/>
    <w:uiPriority w:val="99"/>
    <w:semiHidden/>
    <w:rsid w:val="00A809E7"/>
    <w:rPr>
      <w:rFonts w:ascii="Tahoma" w:hAnsi="Tahoma" w:cs="Tahoma"/>
      <w:sz w:val="16"/>
      <w:szCs w:val="16"/>
      <w:lang w:val="x-none" w:eastAsia="cs-CZ"/>
    </w:rPr>
  </w:style>
  <w:style w:type="character" w:customStyle="1" w:styleId="truktradokumentuChar1543">
    <w:name w:val="Štruktúra dokumentu Char1543"/>
    <w:aliases w:val="Char9 Char Char1544,Štruktúra dokumentu Char Char Char1544,Document Map Char Char Char1544"/>
    <w:basedOn w:val="Predvolenpsmoodseku"/>
    <w:uiPriority w:val="99"/>
    <w:semiHidden/>
    <w:rsid w:val="00A809E7"/>
    <w:rPr>
      <w:rFonts w:ascii="Tahoma" w:hAnsi="Tahoma" w:cs="Tahoma"/>
      <w:sz w:val="16"/>
      <w:szCs w:val="16"/>
      <w:lang w:val="x-none" w:eastAsia="cs-CZ"/>
    </w:rPr>
  </w:style>
  <w:style w:type="character" w:customStyle="1" w:styleId="truktradokumentuChar1542">
    <w:name w:val="Štruktúra dokumentu Char1542"/>
    <w:aliases w:val="Char9 Char Char1543,Štruktúra dokumentu Char Char Char1543,Document Map Char Char Char1543"/>
    <w:basedOn w:val="Predvolenpsmoodseku"/>
    <w:uiPriority w:val="99"/>
    <w:semiHidden/>
    <w:rsid w:val="00A809E7"/>
    <w:rPr>
      <w:rFonts w:ascii="Tahoma" w:hAnsi="Tahoma" w:cs="Tahoma"/>
      <w:sz w:val="16"/>
      <w:szCs w:val="16"/>
      <w:lang w:val="x-none" w:eastAsia="cs-CZ"/>
    </w:rPr>
  </w:style>
  <w:style w:type="character" w:customStyle="1" w:styleId="truktradokumentuChar1541">
    <w:name w:val="Štruktúra dokumentu Char1541"/>
    <w:aliases w:val="Char9 Char Char1542,Štruktúra dokumentu Char Char Char1542,Document Map Char Char Char1542"/>
    <w:basedOn w:val="Predvolenpsmoodseku"/>
    <w:uiPriority w:val="99"/>
    <w:semiHidden/>
    <w:rsid w:val="00A809E7"/>
    <w:rPr>
      <w:rFonts w:ascii="Tahoma" w:hAnsi="Tahoma" w:cs="Tahoma"/>
      <w:sz w:val="16"/>
      <w:szCs w:val="16"/>
      <w:lang w:val="x-none" w:eastAsia="cs-CZ"/>
    </w:rPr>
  </w:style>
  <w:style w:type="character" w:customStyle="1" w:styleId="truktradokumentuChar1540">
    <w:name w:val="Štruktúra dokumentu Char1540"/>
    <w:aliases w:val="Char9 Char Char1541,Štruktúra dokumentu Char Char Char1541,Document Map Char Char Char1541"/>
    <w:basedOn w:val="Predvolenpsmoodseku"/>
    <w:uiPriority w:val="99"/>
    <w:semiHidden/>
    <w:rsid w:val="00A809E7"/>
    <w:rPr>
      <w:rFonts w:ascii="Tahoma" w:hAnsi="Tahoma" w:cs="Tahoma"/>
      <w:sz w:val="16"/>
      <w:szCs w:val="16"/>
      <w:lang w:val="x-none" w:eastAsia="cs-CZ"/>
    </w:rPr>
  </w:style>
  <w:style w:type="character" w:customStyle="1" w:styleId="truktradokumentuChar1539">
    <w:name w:val="Štruktúra dokumentu Char1539"/>
    <w:aliases w:val="Char9 Char Char1540,Štruktúra dokumentu Char Char Char1540,Document Map Char Char Char1540"/>
    <w:basedOn w:val="Predvolenpsmoodseku"/>
    <w:uiPriority w:val="99"/>
    <w:semiHidden/>
    <w:rsid w:val="00A809E7"/>
    <w:rPr>
      <w:rFonts w:ascii="Tahoma" w:hAnsi="Tahoma" w:cs="Tahoma"/>
      <w:sz w:val="16"/>
      <w:szCs w:val="16"/>
      <w:lang w:val="x-none" w:eastAsia="cs-CZ"/>
    </w:rPr>
  </w:style>
  <w:style w:type="character" w:customStyle="1" w:styleId="truktradokumentuChar1538">
    <w:name w:val="Štruktúra dokumentu Char1538"/>
    <w:aliases w:val="Char9 Char Char1539,Štruktúra dokumentu Char Char Char1539,Document Map Char Char Char1539"/>
    <w:basedOn w:val="Predvolenpsmoodseku"/>
    <w:uiPriority w:val="99"/>
    <w:semiHidden/>
    <w:rsid w:val="00A809E7"/>
    <w:rPr>
      <w:rFonts w:ascii="Tahoma" w:hAnsi="Tahoma" w:cs="Tahoma"/>
      <w:sz w:val="16"/>
      <w:szCs w:val="16"/>
      <w:lang w:val="x-none" w:eastAsia="cs-CZ"/>
    </w:rPr>
  </w:style>
  <w:style w:type="character" w:customStyle="1" w:styleId="truktradokumentuChar1537">
    <w:name w:val="Štruktúra dokumentu Char1537"/>
    <w:aliases w:val="Char9 Char Char1538,Štruktúra dokumentu Char Char Char1538,Document Map Char Char Char1538"/>
    <w:basedOn w:val="Predvolenpsmoodseku"/>
    <w:uiPriority w:val="99"/>
    <w:semiHidden/>
    <w:rsid w:val="00A809E7"/>
    <w:rPr>
      <w:rFonts w:ascii="Tahoma" w:hAnsi="Tahoma" w:cs="Tahoma"/>
      <w:sz w:val="16"/>
      <w:szCs w:val="16"/>
      <w:lang w:val="x-none" w:eastAsia="cs-CZ"/>
    </w:rPr>
  </w:style>
  <w:style w:type="character" w:customStyle="1" w:styleId="truktradokumentuChar1536">
    <w:name w:val="Štruktúra dokumentu Char1536"/>
    <w:aliases w:val="Char9 Char Char1537,Štruktúra dokumentu Char Char Char1537,Document Map Char Char Char1537"/>
    <w:basedOn w:val="Predvolenpsmoodseku"/>
    <w:uiPriority w:val="99"/>
    <w:semiHidden/>
    <w:rsid w:val="00A809E7"/>
    <w:rPr>
      <w:rFonts w:ascii="Tahoma" w:hAnsi="Tahoma" w:cs="Tahoma"/>
      <w:sz w:val="16"/>
      <w:szCs w:val="16"/>
      <w:lang w:val="x-none" w:eastAsia="cs-CZ"/>
    </w:rPr>
  </w:style>
  <w:style w:type="character" w:customStyle="1" w:styleId="truktradokumentuChar1535">
    <w:name w:val="Štruktúra dokumentu Char1535"/>
    <w:aliases w:val="Char9 Char Char1536,Štruktúra dokumentu Char Char Char1536,Document Map Char Char Char1536"/>
    <w:basedOn w:val="Predvolenpsmoodseku"/>
    <w:uiPriority w:val="99"/>
    <w:semiHidden/>
    <w:rsid w:val="00A809E7"/>
    <w:rPr>
      <w:rFonts w:ascii="Tahoma" w:hAnsi="Tahoma" w:cs="Tahoma"/>
      <w:sz w:val="16"/>
      <w:szCs w:val="16"/>
      <w:lang w:val="x-none" w:eastAsia="cs-CZ"/>
    </w:rPr>
  </w:style>
  <w:style w:type="character" w:customStyle="1" w:styleId="truktradokumentuChar1534">
    <w:name w:val="Štruktúra dokumentu Char1534"/>
    <w:aliases w:val="Char9 Char Char1535,Štruktúra dokumentu Char Char Char1535,Document Map Char Char Char1535"/>
    <w:basedOn w:val="Predvolenpsmoodseku"/>
    <w:uiPriority w:val="99"/>
    <w:semiHidden/>
    <w:rsid w:val="00A809E7"/>
    <w:rPr>
      <w:rFonts w:ascii="Tahoma" w:hAnsi="Tahoma" w:cs="Tahoma"/>
      <w:sz w:val="16"/>
      <w:szCs w:val="16"/>
      <w:lang w:val="x-none" w:eastAsia="cs-CZ"/>
    </w:rPr>
  </w:style>
  <w:style w:type="character" w:customStyle="1" w:styleId="truktradokumentuChar1533">
    <w:name w:val="Štruktúra dokumentu Char1533"/>
    <w:aliases w:val="Char9 Char Char1534,Štruktúra dokumentu Char Char Char1534,Document Map Char Char Char1534"/>
    <w:basedOn w:val="Predvolenpsmoodseku"/>
    <w:uiPriority w:val="99"/>
    <w:semiHidden/>
    <w:rsid w:val="00A809E7"/>
    <w:rPr>
      <w:rFonts w:ascii="Tahoma" w:hAnsi="Tahoma" w:cs="Tahoma"/>
      <w:sz w:val="16"/>
      <w:szCs w:val="16"/>
      <w:lang w:val="x-none" w:eastAsia="cs-CZ"/>
    </w:rPr>
  </w:style>
  <w:style w:type="character" w:customStyle="1" w:styleId="truktradokumentuChar1532">
    <w:name w:val="Štruktúra dokumentu Char1532"/>
    <w:aliases w:val="Char9 Char Char1533,Štruktúra dokumentu Char Char Char1533,Document Map Char Char Char1533"/>
    <w:basedOn w:val="Predvolenpsmoodseku"/>
    <w:uiPriority w:val="99"/>
    <w:semiHidden/>
    <w:rsid w:val="00A809E7"/>
    <w:rPr>
      <w:rFonts w:ascii="Tahoma" w:hAnsi="Tahoma" w:cs="Tahoma"/>
      <w:sz w:val="16"/>
      <w:szCs w:val="16"/>
      <w:lang w:val="x-none" w:eastAsia="cs-CZ"/>
    </w:rPr>
  </w:style>
  <w:style w:type="character" w:customStyle="1" w:styleId="truktradokumentuChar1531">
    <w:name w:val="Štruktúra dokumentu Char1531"/>
    <w:aliases w:val="Char9 Char Char1532,Štruktúra dokumentu Char Char Char1532,Document Map Char Char Char1532"/>
    <w:basedOn w:val="Predvolenpsmoodseku"/>
    <w:uiPriority w:val="99"/>
    <w:semiHidden/>
    <w:rsid w:val="00A809E7"/>
    <w:rPr>
      <w:rFonts w:ascii="Tahoma" w:hAnsi="Tahoma" w:cs="Tahoma"/>
      <w:sz w:val="16"/>
      <w:szCs w:val="16"/>
      <w:lang w:val="x-none" w:eastAsia="cs-CZ"/>
    </w:rPr>
  </w:style>
  <w:style w:type="character" w:customStyle="1" w:styleId="truktradokumentuChar1530">
    <w:name w:val="Štruktúra dokumentu Char1530"/>
    <w:aliases w:val="Char9 Char Char1531,Štruktúra dokumentu Char Char Char1531,Document Map Char Char Char1531"/>
    <w:basedOn w:val="Predvolenpsmoodseku"/>
    <w:uiPriority w:val="99"/>
    <w:semiHidden/>
    <w:rsid w:val="00A809E7"/>
    <w:rPr>
      <w:rFonts w:ascii="Tahoma" w:hAnsi="Tahoma" w:cs="Tahoma"/>
      <w:sz w:val="16"/>
      <w:szCs w:val="16"/>
      <w:lang w:val="x-none" w:eastAsia="cs-CZ"/>
    </w:rPr>
  </w:style>
  <w:style w:type="character" w:customStyle="1" w:styleId="truktradokumentuChar1529">
    <w:name w:val="Štruktúra dokumentu Char1529"/>
    <w:aliases w:val="Char9 Char Char1530,Štruktúra dokumentu Char Char Char1530,Document Map Char Char Char1530"/>
    <w:basedOn w:val="Predvolenpsmoodseku"/>
    <w:uiPriority w:val="99"/>
    <w:semiHidden/>
    <w:rsid w:val="00A809E7"/>
    <w:rPr>
      <w:rFonts w:ascii="Tahoma" w:hAnsi="Tahoma" w:cs="Tahoma"/>
      <w:sz w:val="16"/>
      <w:szCs w:val="16"/>
      <w:lang w:val="x-none" w:eastAsia="cs-CZ"/>
    </w:rPr>
  </w:style>
  <w:style w:type="character" w:customStyle="1" w:styleId="truktradokumentuChar1528">
    <w:name w:val="Štruktúra dokumentu Char1528"/>
    <w:aliases w:val="Char9 Char Char1529,Štruktúra dokumentu Char Char Char1529,Document Map Char Char Char1529"/>
    <w:basedOn w:val="Predvolenpsmoodseku"/>
    <w:uiPriority w:val="99"/>
    <w:semiHidden/>
    <w:rsid w:val="00A809E7"/>
    <w:rPr>
      <w:rFonts w:ascii="Tahoma" w:hAnsi="Tahoma" w:cs="Tahoma"/>
      <w:sz w:val="16"/>
      <w:szCs w:val="16"/>
      <w:lang w:val="x-none" w:eastAsia="cs-CZ"/>
    </w:rPr>
  </w:style>
  <w:style w:type="character" w:customStyle="1" w:styleId="truktradokumentuChar1527">
    <w:name w:val="Štruktúra dokumentu Char1527"/>
    <w:aliases w:val="Char9 Char Char1528,Štruktúra dokumentu Char Char Char1528,Document Map Char Char Char1528"/>
    <w:basedOn w:val="Predvolenpsmoodseku"/>
    <w:uiPriority w:val="99"/>
    <w:semiHidden/>
    <w:rsid w:val="00A809E7"/>
    <w:rPr>
      <w:rFonts w:ascii="Tahoma" w:hAnsi="Tahoma" w:cs="Tahoma"/>
      <w:sz w:val="16"/>
      <w:szCs w:val="16"/>
      <w:lang w:val="x-none" w:eastAsia="cs-CZ"/>
    </w:rPr>
  </w:style>
  <w:style w:type="character" w:customStyle="1" w:styleId="truktradokumentuChar1526">
    <w:name w:val="Štruktúra dokumentu Char1526"/>
    <w:aliases w:val="Char9 Char Char1527,Štruktúra dokumentu Char Char Char1527,Document Map Char Char Char1527"/>
    <w:basedOn w:val="Predvolenpsmoodseku"/>
    <w:uiPriority w:val="99"/>
    <w:semiHidden/>
    <w:rsid w:val="00A809E7"/>
    <w:rPr>
      <w:rFonts w:ascii="Tahoma" w:hAnsi="Tahoma" w:cs="Tahoma"/>
      <w:sz w:val="16"/>
      <w:szCs w:val="16"/>
      <w:lang w:val="x-none" w:eastAsia="cs-CZ"/>
    </w:rPr>
  </w:style>
  <w:style w:type="character" w:customStyle="1" w:styleId="truktradokumentuChar1525">
    <w:name w:val="Štruktúra dokumentu Char1525"/>
    <w:aliases w:val="Char9 Char Char1526,Štruktúra dokumentu Char Char Char1526,Document Map Char Char Char1526"/>
    <w:basedOn w:val="Predvolenpsmoodseku"/>
    <w:uiPriority w:val="99"/>
    <w:semiHidden/>
    <w:rsid w:val="00A809E7"/>
    <w:rPr>
      <w:rFonts w:ascii="Tahoma" w:hAnsi="Tahoma" w:cs="Tahoma"/>
      <w:sz w:val="16"/>
      <w:szCs w:val="16"/>
      <w:lang w:val="x-none" w:eastAsia="cs-CZ"/>
    </w:rPr>
  </w:style>
  <w:style w:type="character" w:customStyle="1" w:styleId="truktradokumentuChar1524">
    <w:name w:val="Štruktúra dokumentu Char1524"/>
    <w:aliases w:val="Char9 Char Char1525,Štruktúra dokumentu Char Char Char1525,Document Map Char Char Char1525"/>
    <w:basedOn w:val="Predvolenpsmoodseku"/>
    <w:uiPriority w:val="99"/>
    <w:semiHidden/>
    <w:rsid w:val="00A809E7"/>
    <w:rPr>
      <w:rFonts w:ascii="Tahoma" w:hAnsi="Tahoma" w:cs="Tahoma"/>
      <w:sz w:val="16"/>
      <w:szCs w:val="16"/>
      <w:lang w:val="x-none" w:eastAsia="cs-CZ"/>
    </w:rPr>
  </w:style>
  <w:style w:type="character" w:customStyle="1" w:styleId="truktradokumentuChar1523">
    <w:name w:val="Štruktúra dokumentu Char1523"/>
    <w:aliases w:val="Char9 Char Char1524,Štruktúra dokumentu Char Char Char1524,Document Map Char Char Char1524"/>
    <w:basedOn w:val="Predvolenpsmoodseku"/>
    <w:uiPriority w:val="99"/>
    <w:semiHidden/>
    <w:rsid w:val="00A809E7"/>
    <w:rPr>
      <w:rFonts w:ascii="Tahoma" w:hAnsi="Tahoma" w:cs="Tahoma"/>
      <w:sz w:val="16"/>
      <w:szCs w:val="16"/>
      <w:lang w:val="x-none" w:eastAsia="cs-CZ"/>
    </w:rPr>
  </w:style>
  <w:style w:type="character" w:customStyle="1" w:styleId="truktradokumentuChar1522">
    <w:name w:val="Štruktúra dokumentu Char1522"/>
    <w:aliases w:val="Char9 Char Char1523,Štruktúra dokumentu Char Char Char1523,Document Map Char Char Char1523"/>
    <w:basedOn w:val="Predvolenpsmoodseku"/>
    <w:uiPriority w:val="99"/>
    <w:semiHidden/>
    <w:rsid w:val="00A809E7"/>
    <w:rPr>
      <w:rFonts w:ascii="Tahoma" w:hAnsi="Tahoma" w:cs="Tahoma"/>
      <w:sz w:val="16"/>
      <w:szCs w:val="16"/>
      <w:lang w:val="x-none" w:eastAsia="cs-CZ"/>
    </w:rPr>
  </w:style>
  <w:style w:type="character" w:customStyle="1" w:styleId="truktradokumentuChar1521">
    <w:name w:val="Štruktúra dokumentu Char1521"/>
    <w:aliases w:val="Char9 Char Char1522,Štruktúra dokumentu Char Char Char1522,Document Map Char Char Char1522"/>
    <w:basedOn w:val="Predvolenpsmoodseku"/>
    <w:uiPriority w:val="99"/>
    <w:semiHidden/>
    <w:rsid w:val="00A809E7"/>
    <w:rPr>
      <w:rFonts w:ascii="Tahoma" w:hAnsi="Tahoma" w:cs="Tahoma"/>
      <w:sz w:val="16"/>
      <w:szCs w:val="16"/>
      <w:lang w:val="x-none" w:eastAsia="cs-CZ"/>
    </w:rPr>
  </w:style>
  <w:style w:type="character" w:customStyle="1" w:styleId="truktradokumentuChar1520">
    <w:name w:val="Štruktúra dokumentu Char1520"/>
    <w:aliases w:val="Char9 Char Char1521,Štruktúra dokumentu Char Char Char1521,Document Map Char Char Char1521"/>
    <w:basedOn w:val="Predvolenpsmoodseku"/>
    <w:uiPriority w:val="99"/>
    <w:semiHidden/>
    <w:rsid w:val="00A809E7"/>
    <w:rPr>
      <w:rFonts w:ascii="Tahoma" w:hAnsi="Tahoma" w:cs="Tahoma"/>
      <w:sz w:val="16"/>
      <w:szCs w:val="16"/>
      <w:lang w:val="x-none" w:eastAsia="cs-CZ"/>
    </w:rPr>
  </w:style>
  <w:style w:type="character" w:customStyle="1" w:styleId="truktradokumentuChar1519">
    <w:name w:val="Štruktúra dokumentu Char1519"/>
    <w:aliases w:val="Char9 Char Char1520,Štruktúra dokumentu Char Char Char1520,Document Map Char Char Char1520"/>
    <w:basedOn w:val="Predvolenpsmoodseku"/>
    <w:uiPriority w:val="99"/>
    <w:semiHidden/>
    <w:rsid w:val="00A809E7"/>
    <w:rPr>
      <w:rFonts w:ascii="Tahoma" w:hAnsi="Tahoma" w:cs="Tahoma"/>
      <w:sz w:val="16"/>
      <w:szCs w:val="16"/>
      <w:lang w:val="x-none" w:eastAsia="cs-CZ"/>
    </w:rPr>
  </w:style>
  <w:style w:type="character" w:customStyle="1" w:styleId="truktradokumentuChar1518">
    <w:name w:val="Štruktúra dokumentu Char1518"/>
    <w:aliases w:val="Char9 Char Char1519,Štruktúra dokumentu Char Char Char1519,Document Map Char Char Char1519"/>
    <w:basedOn w:val="Predvolenpsmoodseku"/>
    <w:uiPriority w:val="99"/>
    <w:semiHidden/>
    <w:rsid w:val="00A809E7"/>
    <w:rPr>
      <w:rFonts w:ascii="Tahoma" w:hAnsi="Tahoma" w:cs="Tahoma"/>
      <w:sz w:val="16"/>
      <w:szCs w:val="16"/>
      <w:lang w:val="x-none" w:eastAsia="cs-CZ"/>
    </w:rPr>
  </w:style>
  <w:style w:type="character" w:customStyle="1" w:styleId="truktradokumentuChar1517">
    <w:name w:val="Štruktúra dokumentu Char1517"/>
    <w:aliases w:val="Char9 Char Char1518,Štruktúra dokumentu Char Char Char1518,Document Map Char Char Char1518"/>
    <w:basedOn w:val="Predvolenpsmoodseku"/>
    <w:uiPriority w:val="99"/>
    <w:semiHidden/>
    <w:rsid w:val="00A809E7"/>
    <w:rPr>
      <w:rFonts w:ascii="Tahoma" w:hAnsi="Tahoma" w:cs="Tahoma"/>
      <w:sz w:val="16"/>
      <w:szCs w:val="16"/>
      <w:lang w:val="x-none" w:eastAsia="cs-CZ"/>
    </w:rPr>
  </w:style>
  <w:style w:type="character" w:customStyle="1" w:styleId="truktradokumentuChar1516">
    <w:name w:val="Štruktúra dokumentu Char1516"/>
    <w:aliases w:val="Char9 Char Char1517,Štruktúra dokumentu Char Char Char1517,Document Map Char Char Char1517"/>
    <w:basedOn w:val="Predvolenpsmoodseku"/>
    <w:uiPriority w:val="99"/>
    <w:semiHidden/>
    <w:rsid w:val="00A809E7"/>
    <w:rPr>
      <w:rFonts w:ascii="Tahoma" w:hAnsi="Tahoma" w:cs="Tahoma"/>
      <w:sz w:val="16"/>
      <w:szCs w:val="16"/>
      <w:lang w:val="x-none" w:eastAsia="cs-CZ"/>
    </w:rPr>
  </w:style>
  <w:style w:type="character" w:customStyle="1" w:styleId="truktradokumentuChar1515">
    <w:name w:val="Štruktúra dokumentu Char1515"/>
    <w:aliases w:val="Char9 Char Char1516,Štruktúra dokumentu Char Char Char1516,Document Map Char Char Char1516"/>
    <w:basedOn w:val="Predvolenpsmoodseku"/>
    <w:uiPriority w:val="99"/>
    <w:semiHidden/>
    <w:rsid w:val="00A809E7"/>
    <w:rPr>
      <w:rFonts w:ascii="Tahoma" w:hAnsi="Tahoma" w:cs="Tahoma"/>
      <w:sz w:val="16"/>
      <w:szCs w:val="16"/>
      <w:lang w:val="x-none" w:eastAsia="cs-CZ"/>
    </w:rPr>
  </w:style>
  <w:style w:type="character" w:customStyle="1" w:styleId="truktradokumentuChar1514">
    <w:name w:val="Štruktúra dokumentu Char1514"/>
    <w:aliases w:val="Char9 Char Char1515,Štruktúra dokumentu Char Char Char1515,Document Map Char Char Char1515"/>
    <w:basedOn w:val="Predvolenpsmoodseku"/>
    <w:uiPriority w:val="99"/>
    <w:semiHidden/>
    <w:rsid w:val="00A809E7"/>
    <w:rPr>
      <w:rFonts w:ascii="Tahoma" w:hAnsi="Tahoma" w:cs="Tahoma"/>
      <w:sz w:val="16"/>
      <w:szCs w:val="16"/>
      <w:lang w:val="x-none" w:eastAsia="cs-CZ"/>
    </w:rPr>
  </w:style>
  <w:style w:type="character" w:customStyle="1" w:styleId="truktradokumentuChar1513">
    <w:name w:val="Štruktúra dokumentu Char1513"/>
    <w:aliases w:val="Char9 Char Char1514,Štruktúra dokumentu Char Char Char1514,Document Map Char Char Char1514"/>
    <w:uiPriority w:val="99"/>
    <w:semiHidden/>
    <w:rsid w:val="00A809E7"/>
    <w:rPr>
      <w:rFonts w:ascii="Tahoma" w:hAnsi="Tahoma"/>
      <w:sz w:val="16"/>
      <w:lang w:val="x-none" w:eastAsia="cs-CZ"/>
    </w:rPr>
  </w:style>
  <w:style w:type="character" w:customStyle="1" w:styleId="truktradokumentuChar1512">
    <w:name w:val="Štruktúra dokumentu Char1512"/>
    <w:aliases w:val="Char9 Char Char1513,Štruktúra dokumentu Char Char Char1513,Document Map Char Char Char1513"/>
    <w:uiPriority w:val="99"/>
    <w:semiHidden/>
    <w:rsid w:val="00A809E7"/>
    <w:rPr>
      <w:rFonts w:ascii="Tahoma" w:hAnsi="Tahoma"/>
      <w:sz w:val="16"/>
      <w:lang w:val="x-none" w:eastAsia="cs-CZ"/>
    </w:rPr>
  </w:style>
  <w:style w:type="character" w:customStyle="1" w:styleId="truktradokumentuChar1511">
    <w:name w:val="Štruktúra dokumentu Char1511"/>
    <w:aliases w:val="Char9 Char Char1512,Štruktúra dokumentu Char Char Char1512,Document Map Char Char Char1512"/>
    <w:uiPriority w:val="99"/>
    <w:semiHidden/>
    <w:rsid w:val="00A809E7"/>
    <w:rPr>
      <w:rFonts w:ascii="Tahoma" w:hAnsi="Tahoma"/>
      <w:sz w:val="16"/>
      <w:lang w:val="x-none" w:eastAsia="cs-CZ"/>
    </w:rPr>
  </w:style>
  <w:style w:type="character" w:customStyle="1" w:styleId="truktradokumentuChar1510">
    <w:name w:val="Štruktúra dokumentu Char1510"/>
    <w:aliases w:val="Char9 Char Char1511,Štruktúra dokumentu Char Char Char1511,Document Map Char Char Char1511"/>
    <w:uiPriority w:val="99"/>
    <w:semiHidden/>
    <w:rsid w:val="00A809E7"/>
    <w:rPr>
      <w:rFonts w:ascii="Tahoma" w:hAnsi="Tahoma"/>
      <w:sz w:val="16"/>
      <w:lang w:val="x-none" w:eastAsia="cs-CZ"/>
    </w:rPr>
  </w:style>
  <w:style w:type="character" w:customStyle="1" w:styleId="truktradokumentuChar1509">
    <w:name w:val="Štruktúra dokumentu Char1509"/>
    <w:aliases w:val="Char9 Char Char1510,Štruktúra dokumentu Char Char Char1510,Document Map Char Char Char1510"/>
    <w:uiPriority w:val="99"/>
    <w:semiHidden/>
    <w:rsid w:val="00A809E7"/>
    <w:rPr>
      <w:rFonts w:ascii="Tahoma" w:hAnsi="Tahoma"/>
      <w:sz w:val="16"/>
      <w:lang w:val="x-none" w:eastAsia="cs-CZ"/>
    </w:rPr>
  </w:style>
  <w:style w:type="character" w:customStyle="1" w:styleId="truktradokumentuChar1508">
    <w:name w:val="Štruktúra dokumentu Char1508"/>
    <w:aliases w:val="Char9 Char Char1509,Štruktúra dokumentu Char Char Char1509,Document Map Char Char Char1509"/>
    <w:uiPriority w:val="99"/>
    <w:semiHidden/>
    <w:rsid w:val="00A809E7"/>
    <w:rPr>
      <w:rFonts w:ascii="Tahoma" w:hAnsi="Tahoma"/>
      <w:sz w:val="16"/>
      <w:lang w:val="x-none" w:eastAsia="cs-CZ"/>
    </w:rPr>
  </w:style>
  <w:style w:type="character" w:customStyle="1" w:styleId="truktradokumentuChar1507">
    <w:name w:val="Štruktúra dokumentu Char1507"/>
    <w:aliases w:val="Char9 Char Char1508,Štruktúra dokumentu Char Char Char1508,Document Map Char Char Char1508"/>
    <w:uiPriority w:val="99"/>
    <w:semiHidden/>
    <w:rsid w:val="00A809E7"/>
    <w:rPr>
      <w:rFonts w:ascii="Tahoma" w:hAnsi="Tahoma"/>
      <w:sz w:val="16"/>
      <w:lang w:val="x-none" w:eastAsia="cs-CZ"/>
    </w:rPr>
  </w:style>
  <w:style w:type="character" w:customStyle="1" w:styleId="truktradokumentuChar1506">
    <w:name w:val="Štruktúra dokumentu Char1506"/>
    <w:aliases w:val="Char9 Char Char1507,Štruktúra dokumentu Char Char Char1507,Document Map Char Char Char1507"/>
    <w:uiPriority w:val="99"/>
    <w:semiHidden/>
    <w:rsid w:val="00A809E7"/>
    <w:rPr>
      <w:rFonts w:ascii="Tahoma" w:hAnsi="Tahoma"/>
      <w:sz w:val="16"/>
      <w:lang w:val="x-none" w:eastAsia="cs-CZ"/>
    </w:rPr>
  </w:style>
  <w:style w:type="character" w:customStyle="1" w:styleId="truktradokumentuChar1505">
    <w:name w:val="Štruktúra dokumentu Char1505"/>
    <w:aliases w:val="Char9 Char Char1506,Štruktúra dokumentu Char Char Char1506,Document Map Char Char Char1506"/>
    <w:uiPriority w:val="99"/>
    <w:semiHidden/>
    <w:rsid w:val="00A809E7"/>
    <w:rPr>
      <w:rFonts w:ascii="Tahoma" w:hAnsi="Tahoma"/>
      <w:sz w:val="16"/>
      <w:lang w:val="x-none" w:eastAsia="cs-CZ"/>
    </w:rPr>
  </w:style>
  <w:style w:type="character" w:customStyle="1" w:styleId="truktradokumentuChar1504">
    <w:name w:val="Štruktúra dokumentu Char1504"/>
    <w:aliases w:val="Char9 Char Char1505,Štruktúra dokumentu Char Char Char1505,Document Map Char Char Char1505"/>
    <w:uiPriority w:val="99"/>
    <w:semiHidden/>
    <w:rsid w:val="00A809E7"/>
    <w:rPr>
      <w:rFonts w:ascii="Tahoma" w:hAnsi="Tahoma"/>
      <w:sz w:val="16"/>
      <w:lang w:val="x-none" w:eastAsia="cs-CZ"/>
    </w:rPr>
  </w:style>
  <w:style w:type="character" w:customStyle="1" w:styleId="truktradokumentuChar1503">
    <w:name w:val="Štruktúra dokumentu Char1503"/>
    <w:aliases w:val="Char9 Char Char1504,Štruktúra dokumentu Char Char Char1504,Document Map Char Char Char1504"/>
    <w:uiPriority w:val="99"/>
    <w:semiHidden/>
    <w:rsid w:val="00A809E7"/>
    <w:rPr>
      <w:rFonts w:ascii="Tahoma" w:hAnsi="Tahoma"/>
      <w:sz w:val="16"/>
      <w:lang w:val="x-none" w:eastAsia="cs-CZ"/>
    </w:rPr>
  </w:style>
  <w:style w:type="character" w:customStyle="1" w:styleId="truktradokumentuChar1502">
    <w:name w:val="Štruktúra dokumentu Char1502"/>
    <w:aliases w:val="Char9 Char Char1503,Štruktúra dokumentu Char Char Char1503,Document Map Char Char Char1503"/>
    <w:uiPriority w:val="99"/>
    <w:semiHidden/>
    <w:rsid w:val="00A809E7"/>
    <w:rPr>
      <w:rFonts w:ascii="Tahoma" w:hAnsi="Tahoma"/>
      <w:sz w:val="16"/>
      <w:lang w:val="x-none" w:eastAsia="cs-CZ"/>
    </w:rPr>
  </w:style>
  <w:style w:type="character" w:customStyle="1" w:styleId="truktradokumentuChar1501">
    <w:name w:val="Štruktúra dokumentu Char1501"/>
    <w:aliases w:val="Char9 Char Char1502,Štruktúra dokumentu Char Char Char1502,Document Map Char Char Char1502"/>
    <w:uiPriority w:val="99"/>
    <w:semiHidden/>
    <w:rsid w:val="00A809E7"/>
    <w:rPr>
      <w:rFonts w:ascii="Tahoma" w:hAnsi="Tahoma"/>
      <w:sz w:val="16"/>
      <w:lang w:val="x-none" w:eastAsia="cs-CZ"/>
    </w:rPr>
  </w:style>
  <w:style w:type="character" w:customStyle="1" w:styleId="truktradokumentuChar1500">
    <w:name w:val="Štruktúra dokumentu Char1500"/>
    <w:aliases w:val="Char9 Char Char1501,Štruktúra dokumentu Char Char Char1501,Document Map Char Char Char1501"/>
    <w:uiPriority w:val="99"/>
    <w:semiHidden/>
    <w:rsid w:val="00A809E7"/>
    <w:rPr>
      <w:rFonts w:ascii="Tahoma" w:hAnsi="Tahoma"/>
      <w:sz w:val="16"/>
      <w:lang w:val="x-none" w:eastAsia="cs-CZ"/>
    </w:rPr>
  </w:style>
  <w:style w:type="character" w:customStyle="1" w:styleId="truktradokumentuChar1499">
    <w:name w:val="Štruktúra dokumentu Char1499"/>
    <w:aliases w:val="Char9 Char Char1500,Štruktúra dokumentu Char Char Char1500,Document Map Char Char Char1500"/>
    <w:uiPriority w:val="99"/>
    <w:semiHidden/>
    <w:rsid w:val="00A809E7"/>
    <w:rPr>
      <w:rFonts w:ascii="Tahoma" w:hAnsi="Tahoma"/>
      <w:sz w:val="16"/>
      <w:lang w:val="x-none" w:eastAsia="cs-CZ"/>
    </w:rPr>
  </w:style>
  <w:style w:type="character" w:customStyle="1" w:styleId="truktradokumentuChar1498">
    <w:name w:val="Štruktúra dokumentu Char1498"/>
    <w:aliases w:val="Char9 Char Char1499,Štruktúra dokumentu Char Char Char1499,Document Map Char Char Char1499"/>
    <w:uiPriority w:val="99"/>
    <w:semiHidden/>
    <w:rsid w:val="00A809E7"/>
    <w:rPr>
      <w:rFonts w:ascii="Tahoma" w:hAnsi="Tahoma"/>
      <w:sz w:val="16"/>
      <w:lang w:val="x-none" w:eastAsia="cs-CZ"/>
    </w:rPr>
  </w:style>
  <w:style w:type="character" w:customStyle="1" w:styleId="truktradokumentuChar1497">
    <w:name w:val="Štruktúra dokumentu Char1497"/>
    <w:aliases w:val="Char9 Char Char1498,Štruktúra dokumentu Char Char Char1498,Document Map Char Char Char1498"/>
    <w:uiPriority w:val="99"/>
    <w:semiHidden/>
    <w:rsid w:val="00A809E7"/>
    <w:rPr>
      <w:rFonts w:ascii="Tahoma" w:hAnsi="Tahoma"/>
      <w:sz w:val="16"/>
      <w:lang w:val="x-none" w:eastAsia="cs-CZ"/>
    </w:rPr>
  </w:style>
  <w:style w:type="character" w:customStyle="1" w:styleId="truktradokumentuChar1496">
    <w:name w:val="Štruktúra dokumentu Char1496"/>
    <w:aliases w:val="Char9 Char Char1497,Štruktúra dokumentu Char Char Char1497,Document Map Char Char Char1497"/>
    <w:uiPriority w:val="99"/>
    <w:semiHidden/>
    <w:rsid w:val="00A809E7"/>
    <w:rPr>
      <w:rFonts w:ascii="Tahoma" w:hAnsi="Tahoma"/>
      <w:sz w:val="16"/>
      <w:lang w:val="x-none" w:eastAsia="cs-CZ"/>
    </w:rPr>
  </w:style>
  <w:style w:type="character" w:customStyle="1" w:styleId="truktradokumentuChar1495">
    <w:name w:val="Štruktúra dokumentu Char1495"/>
    <w:aliases w:val="Char9 Char Char1496,Štruktúra dokumentu Char Char Char1496,Document Map Char Char Char1496"/>
    <w:uiPriority w:val="99"/>
    <w:semiHidden/>
    <w:rsid w:val="00A809E7"/>
    <w:rPr>
      <w:rFonts w:ascii="Tahoma" w:hAnsi="Tahoma"/>
      <w:sz w:val="16"/>
      <w:lang w:val="x-none" w:eastAsia="cs-CZ"/>
    </w:rPr>
  </w:style>
  <w:style w:type="character" w:customStyle="1" w:styleId="truktradokumentuChar1494">
    <w:name w:val="Štruktúra dokumentu Char1494"/>
    <w:aliases w:val="Char9 Char Char1495,Štruktúra dokumentu Char Char Char1495,Document Map Char Char Char1495"/>
    <w:uiPriority w:val="99"/>
    <w:semiHidden/>
    <w:rsid w:val="00A809E7"/>
    <w:rPr>
      <w:rFonts w:ascii="Tahoma" w:hAnsi="Tahoma"/>
      <w:sz w:val="16"/>
      <w:lang w:val="x-none" w:eastAsia="cs-CZ"/>
    </w:rPr>
  </w:style>
  <w:style w:type="character" w:customStyle="1" w:styleId="truktradokumentuChar1493">
    <w:name w:val="Štruktúra dokumentu Char1493"/>
    <w:aliases w:val="Char9 Char Char1494,Štruktúra dokumentu Char Char Char1494,Document Map Char Char Char1494"/>
    <w:uiPriority w:val="99"/>
    <w:semiHidden/>
    <w:rsid w:val="00A809E7"/>
    <w:rPr>
      <w:rFonts w:ascii="Tahoma" w:hAnsi="Tahoma"/>
      <w:sz w:val="16"/>
      <w:lang w:val="x-none" w:eastAsia="cs-CZ"/>
    </w:rPr>
  </w:style>
  <w:style w:type="character" w:customStyle="1" w:styleId="truktradokumentuChar1492">
    <w:name w:val="Štruktúra dokumentu Char1492"/>
    <w:aliases w:val="Char9 Char Char1493,Štruktúra dokumentu Char Char Char1493,Document Map Char Char Char1493"/>
    <w:uiPriority w:val="99"/>
    <w:semiHidden/>
    <w:rsid w:val="00A809E7"/>
    <w:rPr>
      <w:rFonts w:ascii="Tahoma" w:hAnsi="Tahoma"/>
      <w:sz w:val="16"/>
      <w:lang w:val="x-none" w:eastAsia="cs-CZ"/>
    </w:rPr>
  </w:style>
  <w:style w:type="character" w:customStyle="1" w:styleId="truktradokumentuChar1491">
    <w:name w:val="Štruktúra dokumentu Char1491"/>
    <w:aliases w:val="Char9 Char Char1492,Štruktúra dokumentu Char Char Char1492,Document Map Char Char Char1492"/>
    <w:uiPriority w:val="99"/>
    <w:semiHidden/>
    <w:rsid w:val="00A809E7"/>
    <w:rPr>
      <w:rFonts w:ascii="Tahoma" w:hAnsi="Tahoma"/>
      <w:sz w:val="16"/>
      <w:lang w:val="x-none" w:eastAsia="cs-CZ"/>
    </w:rPr>
  </w:style>
  <w:style w:type="character" w:customStyle="1" w:styleId="truktradokumentuChar1490">
    <w:name w:val="Štruktúra dokumentu Char1490"/>
    <w:aliases w:val="Char9 Char Char1491,Štruktúra dokumentu Char Char Char1491,Document Map Char Char Char1491"/>
    <w:uiPriority w:val="99"/>
    <w:semiHidden/>
    <w:rsid w:val="00A809E7"/>
    <w:rPr>
      <w:rFonts w:ascii="Tahoma" w:hAnsi="Tahoma"/>
      <w:sz w:val="16"/>
      <w:lang w:val="x-none" w:eastAsia="cs-CZ"/>
    </w:rPr>
  </w:style>
  <w:style w:type="character" w:customStyle="1" w:styleId="truktradokumentuChar1489">
    <w:name w:val="Štruktúra dokumentu Char1489"/>
    <w:aliases w:val="Char9 Char Char1490,Štruktúra dokumentu Char Char Char1490,Document Map Char Char Char1490"/>
    <w:uiPriority w:val="99"/>
    <w:semiHidden/>
    <w:rsid w:val="00A809E7"/>
    <w:rPr>
      <w:rFonts w:ascii="Tahoma" w:hAnsi="Tahoma"/>
      <w:sz w:val="16"/>
      <w:lang w:val="x-none" w:eastAsia="cs-CZ"/>
    </w:rPr>
  </w:style>
  <w:style w:type="character" w:customStyle="1" w:styleId="truktradokumentuChar1488">
    <w:name w:val="Štruktúra dokumentu Char1488"/>
    <w:aliases w:val="Char9 Char Char1489,Štruktúra dokumentu Char Char Char1489,Document Map Char Char Char1489"/>
    <w:uiPriority w:val="99"/>
    <w:semiHidden/>
    <w:rsid w:val="00A809E7"/>
    <w:rPr>
      <w:rFonts w:ascii="Tahoma" w:hAnsi="Tahoma"/>
      <w:sz w:val="16"/>
      <w:lang w:val="x-none" w:eastAsia="cs-CZ"/>
    </w:rPr>
  </w:style>
  <w:style w:type="character" w:customStyle="1" w:styleId="truktradokumentuChar1487">
    <w:name w:val="Štruktúra dokumentu Char1487"/>
    <w:aliases w:val="Char9 Char Char1488,Štruktúra dokumentu Char Char Char1488,Document Map Char Char Char1488"/>
    <w:uiPriority w:val="99"/>
    <w:semiHidden/>
    <w:rsid w:val="00A809E7"/>
    <w:rPr>
      <w:rFonts w:ascii="Tahoma" w:hAnsi="Tahoma"/>
      <w:sz w:val="16"/>
      <w:lang w:val="x-none" w:eastAsia="cs-CZ"/>
    </w:rPr>
  </w:style>
  <w:style w:type="character" w:customStyle="1" w:styleId="truktradokumentuChar1486">
    <w:name w:val="Štruktúra dokumentu Char1486"/>
    <w:aliases w:val="Char9 Char Char1487,Štruktúra dokumentu Char Char Char1487,Document Map Char Char Char1487"/>
    <w:uiPriority w:val="99"/>
    <w:semiHidden/>
    <w:rsid w:val="00A809E7"/>
    <w:rPr>
      <w:rFonts w:ascii="Tahoma" w:hAnsi="Tahoma"/>
      <w:sz w:val="16"/>
      <w:lang w:val="x-none" w:eastAsia="cs-CZ"/>
    </w:rPr>
  </w:style>
  <w:style w:type="character" w:customStyle="1" w:styleId="truktradokumentuChar1485">
    <w:name w:val="Štruktúra dokumentu Char1485"/>
    <w:aliases w:val="Char9 Char Char1486,Štruktúra dokumentu Char Char Char1486,Document Map Char Char Char1486"/>
    <w:uiPriority w:val="99"/>
    <w:semiHidden/>
    <w:rsid w:val="00A809E7"/>
    <w:rPr>
      <w:rFonts w:ascii="Tahoma" w:hAnsi="Tahoma"/>
      <w:sz w:val="16"/>
      <w:lang w:val="x-none" w:eastAsia="cs-CZ"/>
    </w:rPr>
  </w:style>
  <w:style w:type="character" w:customStyle="1" w:styleId="truktradokumentuChar1484">
    <w:name w:val="Štruktúra dokumentu Char1484"/>
    <w:aliases w:val="Char9 Char Char1485,Štruktúra dokumentu Char Char Char1485,Document Map Char Char Char1485"/>
    <w:uiPriority w:val="99"/>
    <w:semiHidden/>
    <w:rsid w:val="00A809E7"/>
    <w:rPr>
      <w:rFonts w:ascii="Tahoma" w:hAnsi="Tahoma"/>
      <w:sz w:val="16"/>
      <w:lang w:val="x-none" w:eastAsia="cs-CZ"/>
    </w:rPr>
  </w:style>
  <w:style w:type="character" w:customStyle="1" w:styleId="truktradokumentuChar1483">
    <w:name w:val="Štruktúra dokumentu Char1483"/>
    <w:aliases w:val="Char9 Char Char1484,Štruktúra dokumentu Char Char Char1484,Document Map Char Char Char1484"/>
    <w:uiPriority w:val="99"/>
    <w:semiHidden/>
    <w:rsid w:val="00A809E7"/>
    <w:rPr>
      <w:rFonts w:ascii="Tahoma" w:hAnsi="Tahoma"/>
      <w:sz w:val="16"/>
      <w:lang w:val="x-none" w:eastAsia="cs-CZ"/>
    </w:rPr>
  </w:style>
  <w:style w:type="character" w:customStyle="1" w:styleId="truktradokumentuChar1482">
    <w:name w:val="Štruktúra dokumentu Char1482"/>
    <w:aliases w:val="Char9 Char Char1483,Štruktúra dokumentu Char Char Char1483,Document Map Char Char Char1483"/>
    <w:uiPriority w:val="99"/>
    <w:semiHidden/>
    <w:rsid w:val="00A809E7"/>
    <w:rPr>
      <w:rFonts w:ascii="Tahoma" w:hAnsi="Tahoma"/>
      <w:sz w:val="16"/>
      <w:lang w:val="x-none" w:eastAsia="cs-CZ"/>
    </w:rPr>
  </w:style>
  <w:style w:type="character" w:customStyle="1" w:styleId="truktradokumentuChar1481">
    <w:name w:val="Štruktúra dokumentu Char1481"/>
    <w:aliases w:val="Char9 Char Char1482,Štruktúra dokumentu Char Char Char1482,Document Map Char Char Char1482"/>
    <w:uiPriority w:val="99"/>
    <w:semiHidden/>
    <w:rsid w:val="00A809E7"/>
    <w:rPr>
      <w:rFonts w:ascii="Tahoma" w:hAnsi="Tahoma"/>
      <w:sz w:val="16"/>
      <w:lang w:val="x-none" w:eastAsia="cs-CZ"/>
    </w:rPr>
  </w:style>
  <w:style w:type="character" w:customStyle="1" w:styleId="truktradokumentuChar1480">
    <w:name w:val="Štruktúra dokumentu Char1480"/>
    <w:aliases w:val="Char9 Char Char1481,Štruktúra dokumentu Char Char Char1481,Document Map Char Char Char1481"/>
    <w:uiPriority w:val="99"/>
    <w:semiHidden/>
    <w:rsid w:val="00A809E7"/>
    <w:rPr>
      <w:rFonts w:ascii="Tahoma" w:hAnsi="Tahoma"/>
      <w:sz w:val="16"/>
      <w:lang w:val="x-none" w:eastAsia="cs-CZ"/>
    </w:rPr>
  </w:style>
  <w:style w:type="character" w:customStyle="1" w:styleId="truktradokumentuChar1479">
    <w:name w:val="Štruktúra dokumentu Char1479"/>
    <w:aliases w:val="Char9 Char Char1480,Štruktúra dokumentu Char Char Char1480,Document Map Char Char Char1480"/>
    <w:uiPriority w:val="99"/>
    <w:semiHidden/>
    <w:rsid w:val="00A809E7"/>
    <w:rPr>
      <w:rFonts w:ascii="Tahoma" w:hAnsi="Tahoma"/>
      <w:sz w:val="16"/>
      <w:lang w:val="x-none" w:eastAsia="cs-CZ"/>
    </w:rPr>
  </w:style>
  <w:style w:type="character" w:customStyle="1" w:styleId="truktradokumentuChar1478">
    <w:name w:val="Štruktúra dokumentu Char1478"/>
    <w:aliases w:val="Char9 Char Char1479,Štruktúra dokumentu Char Char Char1479,Document Map Char Char Char1479"/>
    <w:uiPriority w:val="99"/>
    <w:semiHidden/>
    <w:rsid w:val="00A809E7"/>
    <w:rPr>
      <w:rFonts w:ascii="Tahoma" w:hAnsi="Tahoma"/>
      <w:sz w:val="16"/>
      <w:lang w:val="x-none" w:eastAsia="cs-CZ"/>
    </w:rPr>
  </w:style>
  <w:style w:type="character" w:customStyle="1" w:styleId="truktradokumentuChar1477">
    <w:name w:val="Štruktúra dokumentu Char1477"/>
    <w:aliases w:val="Char9 Char Char1478,Štruktúra dokumentu Char Char Char1478,Document Map Char Char Char1478"/>
    <w:uiPriority w:val="99"/>
    <w:semiHidden/>
    <w:rsid w:val="00A809E7"/>
    <w:rPr>
      <w:rFonts w:ascii="Tahoma" w:hAnsi="Tahoma"/>
      <w:sz w:val="16"/>
      <w:lang w:val="x-none" w:eastAsia="cs-CZ"/>
    </w:rPr>
  </w:style>
  <w:style w:type="character" w:customStyle="1" w:styleId="truktradokumentuChar1476">
    <w:name w:val="Štruktúra dokumentu Char1476"/>
    <w:aliases w:val="Char9 Char Char1477,Štruktúra dokumentu Char Char Char1477,Document Map Char Char Char1477"/>
    <w:uiPriority w:val="99"/>
    <w:semiHidden/>
    <w:rsid w:val="00A809E7"/>
    <w:rPr>
      <w:rFonts w:ascii="Tahoma" w:hAnsi="Tahoma"/>
      <w:sz w:val="16"/>
      <w:lang w:val="x-none" w:eastAsia="cs-CZ"/>
    </w:rPr>
  </w:style>
  <w:style w:type="character" w:customStyle="1" w:styleId="truktradokumentuChar1475">
    <w:name w:val="Štruktúra dokumentu Char1475"/>
    <w:aliases w:val="Char9 Char Char1476,Štruktúra dokumentu Char Char Char1476,Document Map Char Char Char1476"/>
    <w:uiPriority w:val="99"/>
    <w:semiHidden/>
    <w:rsid w:val="00A809E7"/>
    <w:rPr>
      <w:rFonts w:ascii="Tahoma" w:hAnsi="Tahoma"/>
      <w:sz w:val="16"/>
      <w:lang w:val="x-none" w:eastAsia="cs-CZ"/>
    </w:rPr>
  </w:style>
  <w:style w:type="character" w:customStyle="1" w:styleId="truktradokumentuChar1474">
    <w:name w:val="Štruktúra dokumentu Char1474"/>
    <w:aliases w:val="Char9 Char Char1475,Štruktúra dokumentu Char Char Char1475,Document Map Char Char Char1475"/>
    <w:uiPriority w:val="99"/>
    <w:semiHidden/>
    <w:rsid w:val="00A809E7"/>
    <w:rPr>
      <w:rFonts w:ascii="Tahoma" w:hAnsi="Tahoma"/>
      <w:sz w:val="16"/>
      <w:lang w:val="x-none" w:eastAsia="cs-CZ"/>
    </w:rPr>
  </w:style>
  <w:style w:type="character" w:customStyle="1" w:styleId="truktradokumentuChar1473">
    <w:name w:val="Štruktúra dokumentu Char1473"/>
    <w:aliases w:val="Char9 Char Char1474,Štruktúra dokumentu Char Char Char1474,Document Map Char Char Char1474"/>
    <w:uiPriority w:val="99"/>
    <w:semiHidden/>
    <w:rsid w:val="00A809E7"/>
    <w:rPr>
      <w:rFonts w:ascii="Tahoma" w:hAnsi="Tahoma"/>
      <w:sz w:val="16"/>
      <w:lang w:val="x-none" w:eastAsia="cs-CZ"/>
    </w:rPr>
  </w:style>
  <w:style w:type="character" w:customStyle="1" w:styleId="truktradokumentuChar1472">
    <w:name w:val="Štruktúra dokumentu Char1472"/>
    <w:aliases w:val="Char9 Char Char1473,Štruktúra dokumentu Char Char Char1473,Document Map Char Char Char1473"/>
    <w:uiPriority w:val="99"/>
    <w:semiHidden/>
    <w:rsid w:val="00A809E7"/>
    <w:rPr>
      <w:rFonts w:ascii="Tahoma" w:hAnsi="Tahoma"/>
      <w:sz w:val="16"/>
      <w:lang w:val="x-none" w:eastAsia="cs-CZ"/>
    </w:rPr>
  </w:style>
  <w:style w:type="character" w:customStyle="1" w:styleId="truktradokumentuChar1471">
    <w:name w:val="Štruktúra dokumentu Char1471"/>
    <w:aliases w:val="Char9 Char Char1472,Štruktúra dokumentu Char Char Char1472,Document Map Char Char Char1472"/>
    <w:uiPriority w:val="99"/>
    <w:semiHidden/>
    <w:rsid w:val="00A809E7"/>
    <w:rPr>
      <w:rFonts w:ascii="Tahoma" w:hAnsi="Tahoma"/>
      <w:sz w:val="16"/>
      <w:lang w:val="x-none" w:eastAsia="cs-CZ"/>
    </w:rPr>
  </w:style>
  <w:style w:type="character" w:customStyle="1" w:styleId="truktradokumentuChar1470">
    <w:name w:val="Štruktúra dokumentu Char1470"/>
    <w:aliases w:val="Char9 Char Char1471,Štruktúra dokumentu Char Char Char1471,Document Map Char Char Char1471"/>
    <w:uiPriority w:val="99"/>
    <w:semiHidden/>
    <w:rsid w:val="00A809E7"/>
    <w:rPr>
      <w:rFonts w:ascii="Tahoma" w:hAnsi="Tahoma"/>
      <w:sz w:val="16"/>
      <w:lang w:val="x-none" w:eastAsia="cs-CZ"/>
    </w:rPr>
  </w:style>
  <w:style w:type="character" w:customStyle="1" w:styleId="truktradokumentuChar1469">
    <w:name w:val="Štruktúra dokumentu Char1469"/>
    <w:aliases w:val="Char9 Char Char1470,Štruktúra dokumentu Char Char Char1470,Document Map Char Char Char1470"/>
    <w:uiPriority w:val="99"/>
    <w:semiHidden/>
    <w:rsid w:val="00A809E7"/>
    <w:rPr>
      <w:rFonts w:ascii="Tahoma" w:hAnsi="Tahoma"/>
      <w:sz w:val="16"/>
      <w:lang w:val="x-none" w:eastAsia="cs-CZ"/>
    </w:rPr>
  </w:style>
  <w:style w:type="character" w:customStyle="1" w:styleId="truktradokumentuChar1468">
    <w:name w:val="Štruktúra dokumentu Char1468"/>
    <w:aliases w:val="Char9 Char Char1469,Štruktúra dokumentu Char Char Char1469,Document Map Char Char Char1469"/>
    <w:uiPriority w:val="99"/>
    <w:semiHidden/>
    <w:rsid w:val="00A809E7"/>
    <w:rPr>
      <w:rFonts w:ascii="Tahoma" w:hAnsi="Tahoma"/>
      <w:sz w:val="16"/>
      <w:lang w:val="x-none" w:eastAsia="cs-CZ"/>
    </w:rPr>
  </w:style>
  <w:style w:type="character" w:customStyle="1" w:styleId="truktradokumentuChar1467">
    <w:name w:val="Štruktúra dokumentu Char1467"/>
    <w:aliases w:val="Char9 Char Char1468,Štruktúra dokumentu Char Char Char1468,Document Map Char Char Char1468"/>
    <w:uiPriority w:val="99"/>
    <w:semiHidden/>
    <w:rsid w:val="00A809E7"/>
    <w:rPr>
      <w:rFonts w:ascii="Tahoma" w:hAnsi="Tahoma"/>
      <w:sz w:val="16"/>
      <w:lang w:val="x-none" w:eastAsia="cs-CZ"/>
    </w:rPr>
  </w:style>
  <w:style w:type="character" w:customStyle="1" w:styleId="truktradokumentuChar1466">
    <w:name w:val="Štruktúra dokumentu Char1466"/>
    <w:aliases w:val="Char9 Char Char1467,Štruktúra dokumentu Char Char Char1467,Document Map Char Char Char1467"/>
    <w:uiPriority w:val="99"/>
    <w:semiHidden/>
    <w:rsid w:val="00A809E7"/>
    <w:rPr>
      <w:rFonts w:ascii="Tahoma" w:hAnsi="Tahoma"/>
      <w:sz w:val="16"/>
      <w:lang w:val="x-none" w:eastAsia="cs-CZ"/>
    </w:rPr>
  </w:style>
  <w:style w:type="character" w:customStyle="1" w:styleId="truktradokumentuChar1465">
    <w:name w:val="Štruktúra dokumentu Char1465"/>
    <w:aliases w:val="Char9 Char Char1466,Štruktúra dokumentu Char Char Char1466,Document Map Char Char Char1466"/>
    <w:uiPriority w:val="99"/>
    <w:semiHidden/>
    <w:rsid w:val="00A809E7"/>
    <w:rPr>
      <w:rFonts w:ascii="Tahoma" w:hAnsi="Tahoma"/>
      <w:sz w:val="16"/>
      <w:lang w:val="x-none" w:eastAsia="cs-CZ"/>
    </w:rPr>
  </w:style>
  <w:style w:type="character" w:customStyle="1" w:styleId="truktradokumentuChar1464">
    <w:name w:val="Štruktúra dokumentu Char1464"/>
    <w:aliases w:val="Char9 Char Char1465,Štruktúra dokumentu Char Char Char1465,Document Map Char Char Char1465"/>
    <w:uiPriority w:val="99"/>
    <w:semiHidden/>
    <w:rsid w:val="00A809E7"/>
    <w:rPr>
      <w:rFonts w:ascii="Tahoma" w:hAnsi="Tahoma"/>
      <w:sz w:val="16"/>
      <w:lang w:val="x-none" w:eastAsia="cs-CZ"/>
    </w:rPr>
  </w:style>
  <w:style w:type="character" w:customStyle="1" w:styleId="truktradokumentuChar1463">
    <w:name w:val="Štruktúra dokumentu Char1463"/>
    <w:aliases w:val="Char9 Char Char1464,Štruktúra dokumentu Char Char Char1464,Document Map Char Char Char1464"/>
    <w:uiPriority w:val="99"/>
    <w:semiHidden/>
    <w:rsid w:val="00A809E7"/>
    <w:rPr>
      <w:rFonts w:ascii="Tahoma" w:hAnsi="Tahoma"/>
      <w:sz w:val="16"/>
      <w:lang w:val="x-none" w:eastAsia="cs-CZ"/>
    </w:rPr>
  </w:style>
  <w:style w:type="character" w:customStyle="1" w:styleId="truktradokumentuChar1462">
    <w:name w:val="Štruktúra dokumentu Char1462"/>
    <w:aliases w:val="Char9 Char Char1463,Štruktúra dokumentu Char Char Char1463,Document Map Char Char Char1463"/>
    <w:uiPriority w:val="99"/>
    <w:semiHidden/>
    <w:rsid w:val="00A809E7"/>
    <w:rPr>
      <w:rFonts w:ascii="Tahoma" w:hAnsi="Tahoma"/>
      <w:sz w:val="16"/>
      <w:lang w:val="x-none" w:eastAsia="cs-CZ"/>
    </w:rPr>
  </w:style>
  <w:style w:type="character" w:customStyle="1" w:styleId="truktradokumentuChar1461">
    <w:name w:val="Štruktúra dokumentu Char1461"/>
    <w:aliases w:val="Char9 Char Char1462,Štruktúra dokumentu Char Char Char1462,Document Map Char Char Char1462"/>
    <w:uiPriority w:val="99"/>
    <w:semiHidden/>
    <w:rsid w:val="00A809E7"/>
    <w:rPr>
      <w:rFonts w:ascii="Tahoma" w:hAnsi="Tahoma"/>
      <w:sz w:val="16"/>
      <w:lang w:val="x-none" w:eastAsia="cs-CZ"/>
    </w:rPr>
  </w:style>
  <w:style w:type="character" w:customStyle="1" w:styleId="truktradokumentuChar1460">
    <w:name w:val="Štruktúra dokumentu Char1460"/>
    <w:aliases w:val="Char9 Char Char1461,Štruktúra dokumentu Char Char Char1461,Document Map Char Char Char1461"/>
    <w:uiPriority w:val="99"/>
    <w:semiHidden/>
    <w:rsid w:val="00A809E7"/>
    <w:rPr>
      <w:rFonts w:ascii="Tahoma" w:hAnsi="Tahoma"/>
      <w:sz w:val="16"/>
      <w:lang w:val="x-none" w:eastAsia="cs-CZ"/>
    </w:rPr>
  </w:style>
  <w:style w:type="character" w:customStyle="1" w:styleId="truktradokumentuChar1459">
    <w:name w:val="Štruktúra dokumentu Char1459"/>
    <w:aliases w:val="Char9 Char Char1460,Štruktúra dokumentu Char Char Char1460,Document Map Char Char Char1460"/>
    <w:uiPriority w:val="99"/>
    <w:semiHidden/>
    <w:rsid w:val="00A809E7"/>
    <w:rPr>
      <w:rFonts w:ascii="Tahoma" w:hAnsi="Tahoma"/>
      <w:sz w:val="16"/>
      <w:lang w:val="x-none" w:eastAsia="cs-CZ"/>
    </w:rPr>
  </w:style>
  <w:style w:type="character" w:customStyle="1" w:styleId="truktradokumentuChar1458">
    <w:name w:val="Štruktúra dokumentu Char1458"/>
    <w:aliases w:val="Char9 Char Char1459,Štruktúra dokumentu Char Char Char1459,Document Map Char Char Char1459"/>
    <w:uiPriority w:val="99"/>
    <w:semiHidden/>
    <w:rsid w:val="00A809E7"/>
    <w:rPr>
      <w:rFonts w:ascii="Tahoma" w:hAnsi="Tahoma"/>
      <w:sz w:val="16"/>
      <w:lang w:val="x-none" w:eastAsia="cs-CZ"/>
    </w:rPr>
  </w:style>
  <w:style w:type="character" w:customStyle="1" w:styleId="truktradokumentuChar1457">
    <w:name w:val="Štruktúra dokumentu Char1457"/>
    <w:aliases w:val="Char9 Char Char1458,Štruktúra dokumentu Char Char Char1458,Document Map Char Char Char1458"/>
    <w:uiPriority w:val="99"/>
    <w:semiHidden/>
    <w:rsid w:val="00A809E7"/>
    <w:rPr>
      <w:rFonts w:ascii="Tahoma" w:hAnsi="Tahoma"/>
      <w:sz w:val="16"/>
      <w:lang w:val="x-none" w:eastAsia="cs-CZ"/>
    </w:rPr>
  </w:style>
  <w:style w:type="character" w:customStyle="1" w:styleId="truktradokumentuChar1456">
    <w:name w:val="Štruktúra dokumentu Char1456"/>
    <w:aliases w:val="Char9 Char Char1457,Štruktúra dokumentu Char Char Char1457,Document Map Char Char Char1457"/>
    <w:uiPriority w:val="99"/>
    <w:semiHidden/>
    <w:rsid w:val="00A809E7"/>
    <w:rPr>
      <w:rFonts w:ascii="Tahoma" w:hAnsi="Tahoma"/>
      <w:sz w:val="16"/>
      <w:lang w:val="x-none" w:eastAsia="cs-CZ"/>
    </w:rPr>
  </w:style>
  <w:style w:type="character" w:customStyle="1" w:styleId="truktradokumentuChar1455">
    <w:name w:val="Štruktúra dokumentu Char1455"/>
    <w:aliases w:val="Char9 Char Char1456,Štruktúra dokumentu Char Char Char1456,Document Map Char Char Char1456"/>
    <w:uiPriority w:val="99"/>
    <w:semiHidden/>
    <w:rsid w:val="00A809E7"/>
    <w:rPr>
      <w:rFonts w:ascii="Tahoma" w:hAnsi="Tahoma"/>
      <w:sz w:val="16"/>
      <w:lang w:val="x-none" w:eastAsia="cs-CZ"/>
    </w:rPr>
  </w:style>
  <w:style w:type="character" w:customStyle="1" w:styleId="truktradokumentuChar1454">
    <w:name w:val="Štruktúra dokumentu Char1454"/>
    <w:aliases w:val="Char9 Char Char1455,Štruktúra dokumentu Char Char Char1455,Document Map Char Char Char1455"/>
    <w:uiPriority w:val="99"/>
    <w:semiHidden/>
    <w:rsid w:val="00A809E7"/>
    <w:rPr>
      <w:rFonts w:ascii="Tahoma" w:hAnsi="Tahoma"/>
      <w:sz w:val="16"/>
      <w:lang w:val="x-none" w:eastAsia="cs-CZ"/>
    </w:rPr>
  </w:style>
  <w:style w:type="character" w:customStyle="1" w:styleId="truktradokumentuChar1453">
    <w:name w:val="Štruktúra dokumentu Char1453"/>
    <w:aliases w:val="Char9 Char Char1454,Štruktúra dokumentu Char Char Char1454,Document Map Char Char Char1454"/>
    <w:uiPriority w:val="99"/>
    <w:semiHidden/>
    <w:rsid w:val="00A809E7"/>
    <w:rPr>
      <w:rFonts w:ascii="Tahoma" w:hAnsi="Tahoma"/>
      <w:sz w:val="16"/>
      <w:lang w:val="x-none" w:eastAsia="cs-CZ"/>
    </w:rPr>
  </w:style>
  <w:style w:type="character" w:customStyle="1" w:styleId="truktradokumentuChar1452">
    <w:name w:val="Štruktúra dokumentu Char1452"/>
    <w:aliases w:val="Char9 Char Char1453,Štruktúra dokumentu Char Char Char1453,Document Map Char Char Char1453"/>
    <w:uiPriority w:val="99"/>
    <w:semiHidden/>
    <w:rsid w:val="00A809E7"/>
    <w:rPr>
      <w:rFonts w:ascii="Tahoma" w:hAnsi="Tahoma"/>
      <w:sz w:val="16"/>
      <w:lang w:val="x-none" w:eastAsia="cs-CZ"/>
    </w:rPr>
  </w:style>
  <w:style w:type="character" w:customStyle="1" w:styleId="truktradokumentuChar1451">
    <w:name w:val="Štruktúra dokumentu Char1451"/>
    <w:aliases w:val="Char9 Char Char1452,Štruktúra dokumentu Char Char Char1452,Document Map Char Char Char1452"/>
    <w:uiPriority w:val="99"/>
    <w:semiHidden/>
    <w:rsid w:val="00A809E7"/>
    <w:rPr>
      <w:rFonts w:ascii="Tahoma" w:hAnsi="Tahoma"/>
      <w:sz w:val="16"/>
      <w:lang w:val="x-none" w:eastAsia="cs-CZ"/>
    </w:rPr>
  </w:style>
  <w:style w:type="character" w:customStyle="1" w:styleId="truktradokumentuChar1450">
    <w:name w:val="Štruktúra dokumentu Char1450"/>
    <w:aliases w:val="Char9 Char Char1451,Štruktúra dokumentu Char Char Char1451,Document Map Char Char Char1451"/>
    <w:uiPriority w:val="99"/>
    <w:semiHidden/>
    <w:rsid w:val="00A809E7"/>
    <w:rPr>
      <w:rFonts w:ascii="Tahoma" w:hAnsi="Tahoma"/>
      <w:sz w:val="16"/>
      <w:lang w:val="x-none" w:eastAsia="cs-CZ"/>
    </w:rPr>
  </w:style>
  <w:style w:type="character" w:customStyle="1" w:styleId="truktradokumentuChar1449">
    <w:name w:val="Štruktúra dokumentu Char1449"/>
    <w:aliases w:val="Char9 Char Char1450,Štruktúra dokumentu Char Char Char1450,Document Map Char Char Char1450"/>
    <w:uiPriority w:val="99"/>
    <w:semiHidden/>
    <w:rsid w:val="00A809E7"/>
    <w:rPr>
      <w:rFonts w:ascii="Tahoma" w:hAnsi="Tahoma"/>
      <w:sz w:val="16"/>
      <w:lang w:val="x-none" w:eastAsia="cs-CZ"/>
    </w:rPr>
  </w:style>
  <w:style w:type="character" w:customStyle="1" w:styleId="truktradokumentuChar1448">
    <w:name w:val="Štruktúra dokumentu Char1448"/>
    <w:aliases w:val="Char9 Char Char1449,Štruktúra dokumentu Char Char Char1449,Document Map Char Char Char1449"/>
    <w:uiPriority w:val="99"/>
    <w:semiHidden/>
    <w:rsid w:val="00A809E7"/>
    <w:rPr>
      <w:rFonts w:ascii="Tahoma" w:hAnsi="Tahoma"/>
      <w:sz w:val="16"/>
      <w:lang w:val="x-none" w:eastAsia="cs-CZ"/>
    </w:rPr>
  </w:style>
  <w:style w:type="character" w:customStyle="1" w:styleId="truktradokumentuChar1447">
    <w:name w:val="Štruktúra dokumentu Char1447"/>
    <w:aliases w:val="Char9 Char Char1448,Štruktúra dokumentu Char Char Char1448,Document Map Char Char Char1448"/>
    <w:uiPriority w:val="99"/>
    <w:semiHidden/>
    <w:rsid w:val="00A809E7"/>
    <w:rPr>
      <w:rFonts w:ascii="Tahoma" w:hAnsi="Tahoma"/>
      <w:sz w:val="16"/>
      <w:lang w:val="x-none" w:eastAsia="cs-CZ"/>
    </w:rPr>
  </w:style>
  <w:style w:type="character" w:customStyle="1" w:styleId="truktradokumentuChar1446">
    <w:name w:val="Štruktúra dokumentu Char1446"/>
    <w:aliases w:val="Char9 Char Char1447,Štruktúra dokumentu Char Char Char1447,Document Map Char Char Char1447"/>
    <w:uiPriority w:val="99"/>
    <w:semiHidden/>
    <w:rsid w:val="00A809E7"/>
    <w:rPr>
      <w:rFonts w:ascii="Tahoma" w:hAnsi="Tahoma"/>
      <w:sz w:val="16"/>
      <w:lang w:val="x-none" w:eastAsia="cs-CZ"/>
    </w:rPr>
  </w:style>
  <w:style w:type="character" w:customStyle="1" w:styleId="truktradokumentuChar1445">
    <w:name w:val="Štruktúra dokumentu Char1445"/>
    <w:aliases w:val="Char9 Char Char1446,Štruktúra dokumentu Char Char Char1446,Document Map Char Char Char1446"/>
    <w:uiPriority w:val="99"/>
    <w:semiHidden/>
    <w:rsid w:val="00A809E7"/>
    <w:rPr>
      <w:rFonts w:ascii="Tahoma" w:hAnsi="Tahoma"/>
      <w:sz w:val="16"/>
      <w:lang w:val="x-none" w:eastAsia="cs-CZ"/>
    </w:rPr>
  </w:style>
  <w:style w:type="character" w:customStyle="1" w:styleId="truktradokumentuChar1444">
    <w:name w:val="Štruktúra dokumentu Char1444"/>
    <w:aliases w:val="Char9 Char Char1445,Štruktúra dokumentu Char Char Char1445,Document Map Char Char Char1445"/>
    <w:uiPriority w:val="99"/>
    <w:semiHidden/>
    <w:rsid w:val="00A809E7"/>
    <w:rPr>
      <w:rFonts w:ascii="Tahoma" w:hAnsi="Tahoma"/>
      <w:sz w:val="16"/>
      <w:lang w:val="x-none" w:eastAsia="cs-CZ"/>
    </w:rPr>
  </w:style>
  <w:style w:type="character" w:customStyle="1" w:styleId="truktradokumentuChar1443">
    <w:name w:val="Štruktúra dokumentu Char1443"/>
    <w:aliases w:val="Char9 Char Char1444,Štruktúra dokumentu Char Char Char1444,Document Map Char Char Char1444"/>
    <w:uiPriority w:val="99"/>
    <w:semiHidden/>
    <w:rsid w:val="00A809E7"/>
    <w:rPr>
      <w:rFonts w:ascii="Tahoma" w:hAnsi="Tahoma"/>
      <w:sz w:val="16"/>
      <w:lang w:val="x-none" w:eastAsia="cs-CZ"/>
    </w:rPr>
  </w:style>
  <w:style w:type="character" w:customStyle="1" w:styleId="truktradokumentuChar1442">
    <w:name w:val="Štruktúra dokumentu Char1442"/>
    <w:aliases w:val="Char9 Char Char1443,Štruktúra dokumentu Char Char Char1443,Document Map Char Char Char1443"/>
    <w:uiPriority w:val="99"/>
    <w:semiHidden/>
    <w:rsid w:val="00A809E7"/>
    <w:rPr>
      <w:rFonts w:ascii="Tahoma" w:hAnsi="Tahoma"/>
      <w:sz w:val="16"/>
      <w:lang w:val="x-none" w:eastAsia="cs-CZ"/>
    </w:rPr>
  </w:style>
  <w:style w:type="character" w:customStyle="1" w:styleId="truktradokumentuChar1441">
    <w:name w:val="Štruktúra dokumentu Char1441"/>
    <w:aliases w:val="Char9 Char Char1442,Štruktúra dokumentu Char Char Char1442,Document Map Char Char Char1442"/>
    <w:uiPriority w:val="99"/>
    <w:semiHidden/>
    <w:rsid w:val="00A809E7"/>
    <w:rPr>
      <w:rFonts w:ascii="Tahoma" w:hAnsi="Tahoma"/>
      <w:sz w:val="16"/>
      <w:lang w:val="x-none" w:eastAsia="cs-CZ"/>
    </w:rPr>
  </w:style>
  <w:style w:type="character" w:customStyle="1" w:styleId="truktradokumentuChar1440">
    <w:name w:val="Štruktúra dokumentu Char1440"/>
    <w:aliases w:val="Char9 Char Char1441,Štruktúra dokumentu Char Char Char1441,Document Map Char Char Char1441"/>
    <w:uiPriority w:val="99"/>
    <w:semiHidden/>
    <w:rsid w:val="00A809E7"/>
    <w:rPr>
      <w:rFonts w:ascii="Tahoma" w:hAnsi="Tahoma"/>
      <w:sz w:val="16"/>
      <w:lang w:val="x-none" w:eastAsia="cs-CZ"/>
    </w:rPr>
  </w:style>
  <w:style w:type="character" w:customStyle="1" w:styleId="truktradokumentuChar1439">
    <w:name w:val="Štruktúra dokumentu Char1439"/>
    <w:aliases w:val="Char9 Char Char1440,Štruktúra dokumentu Char Char Char1440,Document Map Char Char Char1440"/>
    <w:uiPriority w:val="99"/>
    <w:semiHidden/>
    <w:rsid w:val="00A809E7"/>
    <w:rPr>
      <w:rFonts w:ascii="Tahoma" w:hAnsi="Tahoma"/>
      <w:sz w:val="16"/>
      <w:lang w:val="x-none" w:eastAsia="cs-CZ"/>
    </w:rPr>
  </w:style>
  <w:style w:type="character" w:customStyle="1" w:styleId="truktradokumentuChar1438">
    <w:name w:val="Štruktúra dokumentu Char1438"/>
    <w:aliases w:val="Char9 Char Char1439,Štruktúra dokumentu Char Char Char1439,Document Map Char Char Char1439"/>
    <w:uiPriority w:val="99"/>
    <w:semiHidden/>
    <w:rsid w:val="00A809E7"/>
    <w:rPr>
      <w:rFonts w:ascii="Tahoma" w:hAnsi="Tahoma"/>
      <w:sz w:val="16"/>
      <w:lang w:val="x-none" w:eastAsia="cs-CZ"/>
    </w:rPr>
  </w:style>
  <w:style w:type="character" w:customStyle="1" w:styleId="truktradokumentuChar1437">
    <w:name w:val="Štruktúra dokumentu Char1437"/>
    <w:aliases w:val="Char9 Char Char1438,Štruktúra dokumentu Char Char Char1438,Document Map Char Char Char1438"/>
    <w:uiPriority w:val="99"/>
    <w:semiHidden/>
    <w:rsid w:val="00A809E7"/>
    <w:rPr>
      <w:rFonts w:ascii="Tahoma" w:hAnsi="Tahoma"/>
      <w:sz w:val="16"/>
      <w:lang w:val="x-none" w:eastAsia="cs-CZ"/>
    </w:rPr>
  </w:style>
  <w:style w:type="character" w:customStyle="1" w:styleId="truktradokumentuChar1436">
    <w:name w:val="Štruktúra dokumentu Char1436"/>
    <w:aliases w:val="Char9 Char Char1437,Štruktúra dokumentu Char Char Char1437,Document Map Char Char Char1437"/>
    <w:uiPriority w:val="99"/>
    <w:semiHidden/>
    <w:rsid w:val="00A809E7"/>
    <w:rPr>
      <w:rFonts w:ascii="Tahoma" w:hAnsi="Tahoma"/>
      <w:sz w:val="16"/>
      <w:lang w:val="x-none" w:eastAsia="cs-CZ"/>
    </w:rPr>
  </w:style>
  <w:style w:type="character" w:customStyle="1" w:styleId="truktradokumentuChar1435">
    <w:name w:val="Štruktúra dokumentu Char1435"/>
    <w:aliases w:val="Char9 Char Char1436,Štruktúra dokumentu Char Char Char1436,Document Map Char Char Char1436"/>
    <w:uiPriority w:val="99"/>
    <w:semiHidden/>
    <w:rsid w:val="00A809E7"/>
    <w:rPr>
      <w:rFonts w:ascii="Tahoma" w:hAnsi="Tahoma"/>
      <w:sz w:val="16"/>
      <w:lang w:val="x-none" w:eastAsia="cs-CZ"/>
    </w:rPr>
  </w:style>
  <w:style w:type="character" w:customStyle="1" w:styleId="truktradokumentuChar1434">
    <w:name w:val="Štruktúra dokumentu Char1434"/>
    <w:aliases w:val="Char9 Char Char1435,Štruktúra dokumentu Char Char Char1435,Document Map Char Char Char1435"/>
    <w:uiPriority w:val="99"/>
    <w:semiHidden/>
    <w:rsid w:val="00A809E7"/>
    <w:rPr>
      <w:rFonts w:ascii="Tahoma" w:hAnsi="Tahoma"/>
      <w:sz w:val="16"/>
      <w:lang w:val="x-none" w:eastAsia="cs-CZ"/>
    </w:rPr>
  </w:style>
  <w:style w:type="character" w:customStyle="1" w:styleId="truktradokumentuChar1433">
    <w:name w:val="Štruktúra dokumentu Char1433"/>
    <w:aliases w:val="Char9 Char Char1434,Štruktúra dokumentu Char Char Char1434,Document Map Char Char Char1434"/>
    <w:uiPriority w:val="99"/>
    <w:semiHidden/>
    <w:rsid w:val="00A809E7"/>
    <w:rPr>
      <w:rFonts w:ascii="Tahoma" w:hAnsi="Tahoma"/>
      <w:sz w:val="16"/>
      <w:lang w:val="x-none" w:eastAsia="cs-CZ"/>
    </w:rPr>
  </w:style>
  <w:style w:type="character" w:customStyle="1" w:styleId="truktradokumentuChar1432">
    <w:name w:val="Štruktúra dokumentu Char1432"/>
    <w:aliases w:val="Char9 Char Char1433,Štruktúra dokumentu Char Char Char1433,Document Map Char Char Char1433"/>
    <w:uiPriority w:val="99"/>
    <w:semiHidden/>
    <w:rsid w:val="00A809E7"/>
    <w:rPr>
      <w:rFonts w:ascii="Tahoma" w:hAnsi="Tahoma"/>
      <w:sz w:val="16"/>
      <w:lang w:val="x-none" w:eastAsia="cs-CZ"/>
    </w:rPr>
  </w:style>
  <w:style w:type="character" w:customStyle="1" w:styleId="truktradokumentuChar1431">
    <w:name w:val="Štruktúra dokumentu Char1431"/>
    <w:aliases w:val="Char9 Char Char1432,Štruktúra dokumentu Char Char Char1432,Document Map Char Char Char1432"/>
    <w:uiPriority w:val="99"/>
    <w:semiHidden/>
    <w:rsid w:val="00A809E7"/>
    <w:rPr>
      <w:rFonts w:ascii="Tahoma" w:hAnsi="Tahoma"/>
      <w:sz w:val="16"/>
      <w:lang w:val="x-none" w:eastAsia="cs-CZ"/>
    </w:rPr>
  </w:style>
  <w:style w:type="character" w:customStyle="1" w:styleId="truktradokumentuChar1430">
    <w:name w:val="Štruktúra dokumentu Char1430"/>
    <w:aliases w:val="Char9 Char Char1431,Štruktúra dokumentu Char Char Char1431,Document Map Char Char Char1431"/>
    <w:uiPriority w:val="99"/>
    <w:semiHidden/>
    <w:rsid w:val="00A809E7"/>
    <w:rPr>
      <w:rFonts w:ascii="Tahoma" w:hAnsi="Tahoma"/>
      <w:sz w:val="16"/>
      <w:lang w:val="x-none" w:eastAsia="cs-CZ"/>
    </w:rPr>
  </w:style>
  <w:style w:type="character" w:customStyle="1" w:styleId="truktradokumentuChar1429">
    <w:name w:val="Štruktúra dokumentu Char1429"/>
    <w:aliases w:val="Char9 Char Char1430,Štruktúra dokumentu Char Char Char1430,Document Map Char Char Char1430"/>
    <w:uiPriority w:val="99"/>
    <w:semiHidden/>
    <w:rsid w:val="00A809E7"/>
    <w:rPr>
      <w:rFonts w:ascii="Tahoma" w:hAnsi="Tahoma"/>
      <w:sz w:val="16"/>
      <w:lang w:val="x-none" w:eastAsia="cs-CZ"/>
    </w:rPr>
  </w:style>
  <w:style w:type="character" w:customStyle="1" w:styleId="truktradokumentuChar1428">
    <w:name w:val="Štruktúra dokumentu Char1428"/>
    <w:aliases w:val="Char9 Char Char1429,Štruktúra dokumentu Char Char Char1429,Document Map Char Char Char1429"/>
    <w:uiPriority w:val="99"/>
    <w:semiHidden/>
    <w:rsid w:val="00A809E7"/>
    <w:rPr>
      <w:rFonts w:ascii="Tahoma" w:hAnsi="Tahoma"/>
      <w:sz w:val="16"/>
      <w:lang w:val="x-none" w:eastAsia="cs-CZ"/>
    </w:rPr>
  </w:style>
  <w:style w:type="character" w:customStyle="1" w:styleId="truktradokumentuChar1427">
    <w:name w:val="Štruktúra dokumentu Char1427"/>
    <w:aliases w:val="Char9 Char Char1428,Štruktúra dokumentu Char Char Char1428,Document Map Char Char Char1428"/>
    <w:uiPriority w:val="99"/>
    <w:semiHidden/>
    <w:rsid w:val="00A809E7"/>
    <w:rPr>
      <w:rFonts w:ascii="Tahoma" w:hAnsi="Tahoma"/>
      <w:sz w:val="16"/>
      <w:lang w:val="x-none" w:eastAsia="cs-CZ"/>
    </w:rPr>
  </w:style>
  <w:style w:type="character" w:customStyle="1" w:styleId="truktradokumentuChar1426">
    <w:name w:val="Štruktúra dokumentu Char1426"/>
    <w:aliases w:val="Char9 Char Char1427,Štruktúra dokumentu Char Char Char1427,Document Map Char Char Char1427"/>
    <w:uiPriority w:val="99"/>
    <w:semiHidden/>
    <w:rsid w:val="00A809E7"/>
    <w:rPr>
      <w:rFonts w:ascii="Tahoma" w:hAnsi="Tahoma"/>
      <w:sz w:val="16"/>
      <w:lang w:val="x-none" w:eastAsia="cs-CZ"/>
    </w:rPr>
  </w:style>
  <w:style w:type="character" w:customStyle="1" w:styleId="truktradokumentuChar1425">
    <w:name w:val="Štruktúra dokumentu Char1425"/>
    <w:aliases w:val="Char9 Char Char1426,Štruktúra dokumentu Char Char Char1426,Document Map Char Char Char1426"/>
    <w:uiPriority w:val="99"/>
    <w:semiHidden/>
    <w:rsid w:val="00A809E7"/>
    <w:rPr>
      <w:rFonts w:ascii="Tahoma" w:hAnsi="Tahoma"/>
      <w:sz w:val="16"/>
      <w:lang w:val="x-none" w:eastAsia="cs-CZ"/>
    </w:rPr>
  </w:style>
  <w:style w:type="character" w:customStyle="1" w:styleId="truktradokumentuChar1424">
    <w:name w:val="Štruktúra dokumentu Char1424"/>
    <w:aliases w:val="Char9 Char Char1425,Štruktúra dokumentu Char Char Char1425,Document Map Char Char Char1425"/>
    <w:uiPriority w:val="99"/>
    <w:semiHidden/>
    <w:rsid w:val="00A809E7"/>
    <w:rPr>
      <w:rFonts w:ascii="Tahoma" w:hAnsi="Tahoma"/>
      <w:sz w:val="16"/>
      <w:lang w:val="x-none" w:eastAsia="cs-CZ"/>
    </w:rPr>
  </w:style>
  <w:style w:type="character" w:customStyle="1" w:styleId="truktradokumentuChar1423">
    <w:name w:val="Štruktúra dokumentu Char1423"/>
    <w:aliases w:val="Char9 Char Char1424,Štruktúra dokumentu Char Char Char1424,Document Map Char Char Char1424"/>
    <w:uiPriority w:val="99"/>
    <w:semiHidden/>
    <w:rsid w:val="00A809E7"/>
    <w:rPr>
      <w:rFonts w:ascii="Tahoma" w:hAnsi="Tahoma"/>
      <w:sz w:val="16"/>
      <w:lang w:val="x-none" w:eastAsia="cs-CZ"/>
    </w:rPr>
  </w:style>
  <w:style w:type="character" w:customStyle="1" w:styleId="truktradokumentuChar1422">
    <w:name w:val="Štruktúra dokumentu Char1422"/>
    <w:aliases w:val="Char9 Char Char1423,Štruktúra dokumentu Char Char Char1423,Document Map Char Char Char1423"/>
    <w:uiPriority w:val="99"/>
    <w:semiHidden/>
    <w:rsid w:val="00A809E7"/>
    <w:rPr>
      <w:rFonts w:ascii="Tahoma" w:hAnsi="Tahoma"/>
      <w:sz w:val="16"/>
      <w:lang w:val="x-none" w:eastAsia="cs-CZ"/>
    </w:rPr>
  </w:style>
  <w:style w:type="character" w:customStyle="1" w:styleId="truktradokumentuChar1421">
    <w:name w:val="Štruktúra dokumentu Char1421"/>
    <w:aliases w:val="Char9 Char Char1422,Štruktúra dokumentu Char Char Char1422,Document Map Char Char Char1422"/>
    <w:uiPriority w:val="99"/>
    <w:semiHidden/>
    <w:rsid w:val="00A809E7"/>
    <w:rPr>
      <w:rFonts w:ascii="Tahoma" w:hAnsi="Tahoma"/>
      <w:sz w:val="16"/>
      <w:lang w:val="x-none" w:eastAsia="cs-CZ"/>
    </w:rPr>
  </w:style>
  <w:style w:type="character" w:customStyle="1" w:styleId="truktradokumentuChar1420">
    <w:name w:val="Štruktúra dokumentu Char1420"/>
    <w:aliases w:val="Char9 Char Char1421,Štruktúra dokumentu Char Char Char1421,Document Map Char Char Char1421"/>
    <w:uiPriority w:val="99"/>
    <w:semiHidden/>
    <w:rsid w:val="00A809E7"/>
    <w:rPr>
      <w:rFonts w:ascii="Tahoma" w:hAnsi="Tahoma"/>
      <w:sz w:val="16"/>
      <w:lang w:val="x-none" w:eastAsia="cs-CZ"/>
    </w:rPr>
  </w:style>
  <w:style w:type="character" w:customStyle="1" w:styleId="truktradokumentuChar1419">
    <w:name w:val="Štruktúra dokumentu Char1419"/>
    <w:aliases w:val="Char9 Char Char1420,Štruktúra dokumentu Char Char Char1420,Document Map Char Char Char1420"/>
    <w:uiPriority w:val="99"/>
    <w:semiHidden/>
    <w:rsid w:val="00A809E7"/>
    <w:rPr>
      <w:rFonts w:ascii="Tahoma" w:hAnsi="Tahoma"/>
      <w:sz w:val="16"/>
      <w:lang w:val="x-none" w:eastAsia="cs-CZ"/>
    </w:rPr>
  </w:style>
  <w:style w:type="character" w:customStyle="1" w:styleId="truktradokumentuChar1418">
    <w:name w:val="Štruktúra dokumentu Char1418"/>
    <w:aliases w:val="Char9 Char Char1419,Štruktúra dokumentu Char Char Char1419,Document Map Char Char Char1419"/>
    <w:uiPriority w:val="99"/>
    <w:semiHidden/>
    <w:rsid w:val="00A809E7"/>
    <w:rPr>
      <w:rFonts w:ascii="Tahoma" w:hAnsi="Tahoma"/>
      <w:sz w:val="16"/>
      <w:lang w:val="x-none" w:eastAsia="cs-CZ"/>
    </w:rPr>
  </w:style>
  <w:style w:type="character" w:customStyle="1" w:styleId="truktradokumentuChar1417">
    <w:name w:val="Štruktúra dokumentu Char1417"/>
    <w:aliases w:val="Char9 Char Char1418,Štruktúra dokumentu Char Char Char1418,Document Map Char Char Char1418"/>
    <w:uiPriority w:val="99"/>
    <w:semiHidden/>
    <w:rsid w:val="00A809E7"/>
    <w:rPr>
      <w:rFonts w:ascii="Tahoma" w:hAnsi="Tahoma"/>
      <w:sz w:val="16"/>
      <w:lang w:val="x-none" w:eastAsia="cs-CZ"/>
    </w:rPr>
  </w:style>
  <w:style w:type="character" w:customStyle="1" w:styleId="truktradokumentuChar1416">
    <w:name w:val="Štruktúra dokumentu Char1416"/>
    <w:aliases w:val="Char9 Char Char1417,Štruktúra dokumentu Char Char Char1417,Document Map Char Char Char1417"/>
    <w:uiPriority w:val="99"/>
    <w:semiHidden/>
    <w:rsid w:val="00A809E7"/>
    <w:rPr>
      <w:rFonts w:ascii="Tahoma" w:hAnsi="Tahoma"/>
      <w:sz w:val="16"/>
      <w:lang w:val="x-none" w:eastAsia="cs-CZ"/>
    </w:rPr>
  </w:style>
  <w:style w:type="character" w:customStyle="1" w:styleId="truktradokumentuChar1415">
    <w:name w:val="Štruktúra dokumentu Char1415"/>
    <w:aliases w:val="Char9 Char Char1416,Štruktúra dokumentu Char Char Char1416,Document Map Char Char Char1416"/>
    <w:uiPriority w:val="99"/>
    <w:semiHidden/>
    <w:rsid w:val="00A809E7"/>
    <w:rPr>
      <w:rFonts w:ascii="Tahoma" w:hAnsi="Tahoma"/>
      <w:sz w:val="16"/>
      <w:lang w:val="x-none" w:eastAsia="cs-CZ"/>
    </w:rPr>
  </w:style>
  <w:style w:type="character" w:customStyle="1" w:styleId="truktradokumentuChar1414">
    <w:name w:val="Štruktúra dokumentu Char1414"/>
    <w:aliases w:val="Char9 Char Char1415,Štruktúra dokumentu Char Char Char1415,Document Map Char Char Char1415"/>
    <w:uiPriority w:val="99"/>
    <w:semiHidden/>
    <w:rsid w:val="00A809E7"/>
    <w:rPr>
      <w:rFonts w:ascii="Tahoma" w:hAnsi="Tahoma"/>
      <w:sz w:val="16"/>
      <w:lang w:val="x-none" w:eastAsia="cs-CZ"/>
    </w:rPr>
  </w:style>
  <w:style w:type="character" w:customStyle="1" w:styleId="truktradokumentuChar1413">
    <w:name w:val="Štruktúra dokumentu Char1413"/>
    <w:aliases w:val="Char9 Char Char1414,Štruktúra dokumentu Char Char Char1414,Document Map Char Char Char1414"/>
    <w:uiPriority w:val="99"/>
    <w:semiHidden/>
    <w:rsid w:val="00A809E7"/>
    <w:rPr>
      <w:rFonts w:ascii="Tahoma" w:hAnsi="Tahoma"/>
      <w:sz w:val="16"/>
      <w:lang w:val="x-none" w:eastAsia="cs-CZ"/>
    </w:rPr>
  </w:style>
  <w:style w:type="character" w:customStyle="1" w:styleId="truktradokumentuChar1412">
    <w:name w:val="Štruktúra dokumentu Char1412"/>
    <w:aliases w:val="Char9 Char Char1413,Štruktúra dokumentu Char Char Char1413,Document Map Char Char Char1413"/>
    <w:uiPriority w:val="99"/>
    <w:semiHidden/>
    <w:rsid w:val="00A809E7"/>
    <w:rPr>
      <w:rFonts w:ascii="Tahoma" w:hAnsi="Tahoma"/>
      <w:sz w:val="16"/>
      <w:lang w:val="x-none" w:eastAsia="cs-CZ"/>
    </w:rPr>
  </w:style>
  <w:style w:type="character" w:customStyle="1" w:styleId="truktradokumentuChar1411">
    <w:name w:val="Štruktúra dokumentu Char1411"/>
    <w:aliases w:val="Char9 Char Char1412,Štruktúra dokumentu Char Char Char1412,Document Map Char Char Char1412"/>
    <w:uiPriority w:val="99"/>
    <w:semiHidden/>
    <w:rsid w:val="00A809E7"/>
    <w:rPr>
      <w:rFonts w:ascii="Tahoma" w:hAnsi="Tahoma"/>
      <w:sz w:val="16"/>
      <w:lang w:val="x-none" w:eastAsia="cs-CZ"/>
    </w:rPr>
  </w:style>
  <w:style w:type="character" w:customStyle="1" w:styleId="truktradokumentuChar1410">
    <w:name w:val="Štruktúra dokumentu Char1410"/>
    <w:aliases w:val="Char9 Char Char1411,Štruktúra dokumentu Char Char Char1411,Document Map Char Char Char1411"/>
    <w:uiPriority w:val="99"/>
    <w:semiHidden/>
    <w:rsid w:val="00A809E7"/>
    <w:rPr>
      <w:rFonts w:ascii="Tahoma" w:hAnsi="Tahoma"/>
      <w:sz w:val="16"/>
      <w:lang w:val="x-none" w:eastAsia="cs-CZ"/>
    </w:rPr>
  </w:style>
  <w:style w:type="character" w:customStyle="1" w:styleId="truktradokumentuChar1409">
    <w:name w:val="Štruktúra dokumentu Char1409"/>
    <w:aliases w:val="Char9 Char Char1410,Štruktúra dokumentu Char Char Char1410,Document Map Char Char Char1410"/>
    <w:uiPriority w:val="99"/>
    <w:semiHidden/>
    <w:rsid w:val="00A809E7"/>
    <w:rPr>
      <w:rFonts w:ascii="Tahoma" w:hAnsi="Tahoma"/>
      <w:sz w:val="16"/>
      <w:lang w:val="x-none" w:eastAsia="cs-CZ"/>
    </w:rPr>
  </w:style>
  <w:style w:type="character" w:customStyle="1" w:styleId="truktradokumentuChar1408">
    <w:name w:val="Štruktúra dokumentu Char1408"/>
    <w:aliases w:val="Char9 Char Char1409,Štruktúra dokumentu Char Char Char1409,Document Map Char Char Char1409"/>
    <w:uiPriority w:val="99"/>
    <w:semiHidden/>
    <w:rsid w:val="00A809E7"/>
    <w:rPr>
      <w:rFonts w:ascii="Tahoma" w:hAnsi="Tahoma"/>
      <w:sz w:val="16"/>
      <w:lang w:val="x-none" w:eastAsia="cs-CZ"/>
    </w:rPr>
  </w:style>
  <w:style w:type="character" w:customStyle="1" w:styleId="truktradokumentuChar1407">
    <w:name w:val="Štruktúra dokumentu Char1407"/>
    <w:aliases w:val="Char9 Char Char1408,Štruktúra dokumentu Char Char Char1408,Document Map Char Char Char1408"/>
    <w:uiPriority w:val="99"/>
    <w:semiHidden/>
    <w:rsid w:val="00A809E7"/>
    <w:rPr>
      <w:rFonts w:ascii="Tahoma" w:hAnsi="Tahoma"/>
      <w:sz w:val="16"/>
      <w:lang w:val="x-none" w:eastAsia="cs-CZ"/>
    </w:rPr>
  </w:style>
  <w:style w:type="character" w:customStyle="1" w:styleId="truktradokumentuChar1406">
    <w:name w:val="Štruktúra dokumentu Char1406"/>
    <w:aliases w:val="Char9 Char Char1407,Štruktúra dokumentu Char Char Char1407,Document Map Char Char Char1407"/>
    <w:uiPriority w:val="99"/>
    <w:semiHidden/>
    <w:rsid w:val="00A809E7"/>
    <w:rPr>
      <w:rFonts w:ascii="Tahoma" w:hAnsi="Tahoma"/>
      <w:sz w:val="16"/>
      <w:lang w:val="x-none" w:eastAsia="cs-CZ"/>
    </w:rPr>
  </w:style>
  <w:style w:type="character" w:customStyle="1" w:styleId="truktradokumentuChar1405">
    <w:name w:val="Štruktúra dokumentu Char1405"/>
    <w:aliases w:val="Char9 Char Char1406,Štruktúra dokumentu Char Char Char1406,Document Map Char Char Char1406"/>
    <w:uiPriority w:val="99"/>
    <w:semiHidden/>
    <w:rsid w:val="00A809E7"/>
    <w:rPr>
      <w:rFonts w:ascii="Tahoma" w:hAnsi="Tahoma"/>
      <w:sz w:val="16"/>
      <w:lang w:val="x-none" w:eastAsia="cs-CZ"/>
    </w:rPr>
  </w:style>
  <w:style w:type="character" w:customStyle="1" w:styleId="truktradokumentuChar1404">
    <w:name w:val="Štruktúra dokumentu Char1404"/>
    <w:aliases w:val="Char9 Char Char1405,Štruktúra dokumentu Char Char Char1405,Document Map Char Char Char1405"/>
    <w:uiPriority w:val="99"/>
    <w:semiHidden/>
    <w:rsid w:val="00A809E7"/>
    <w:rPr>
      <w:rFonts w:ascii="Tahoma" w:hAnsi="Tahoma"/>
      <w:sz w:val="16"/>
      <w:lang w:val="x-none" w:eastAsia="cs-CZ"/>
    </w:rPr>
  </w:style>
  <w:style w:type="character" w:customStyle="1" w:styleId="truktradokumentuChar1403">
    <w:name w:val="Štruktúra dokumentu Char1403"/>
    <w:aliases w:val="Char9 Char Char1404,Štruktúra dokumentu Char Char Char1404,Document Map Char Char Char1404"/>
    <w:uiPriority w:val="99"/>
    <w:semiHidden/>
    <w:rsid w:val="00A809E7"/>
    <w:rPr>
      <w:rFonts w:ascii="Tahoma" w:hAnsi="Tahoma"/>
      <w:sz w:val="16"/>
      <w:lang w:val="x-none" w:eastAsia="cs-CZ"/>
    </w:rPr>
  </w:style>
  <w:style w:type="character" w:customStyle="1" w:styleId="truktradokumentuChar1402">
    <w:name w:val="Štruktúra dokumentu Char1402"/>
    <w:aliases w:val="Char9 Char Char1403,Štruktúra dokumentu Char Char Char1403,Document Map Char Char Char1403"/>
    <w:uiPriority w:val="99"/>
    <w:semiHidden/>
    <w:rsid w:val="00A809E7"/>
    <w:rPr>
      <w:rFonts w:ascii="Tahoma" w:hAnsi="Tahoma"/>
      <w:sz w:val="16"/>
      <w:lang w:val="x-none" w:eastAsia="cs-CZ"/>
    </w:rPr>
  </w:style>
  <w:style w:type="character" w:customStyle="1" w:styleId="truktradokumentuChar1401">
    <w:name w:val="Štruktúra dokumentu Char1401"/>
    <w:aliases w:val="Char9 Char Char1402,Štruktúra dokumentu Char Char Char1402,Document Map Char Char Char1402"/>
    <w:uiPriority w:val="99"/>
    <w:semiHidden/>
    <w:rsid w:val="00A809E7"/>
    <w:rPr>
      <w:rFonts w:ascii="Tahoma" w:hAnsi="Tahoma"/>
      <w:sz w:val="16"/>
      <w:lang w:val="x-none" w:eastAsia="cs-CZ"/>
    </w:rPr>
  </w:style>
  <w:style w:type="character" w:customStyle="1" w:styleId="truktradokumentuChar1400">
    <w:name w:val="Štruktúra dokumentu Char1400"/>
    <w:aliases w:val="Char9 Char Char1401,Štruktúra dokumentu Char Char Char1401,Document Map Char Char Char1401"/>
    <w:uiPriority w:val="99"/>
    <w:semiHidden/>
    <w:rsid w:val="00A809E7"/>
    <w:rPr>
      <w:rFonts w:ascii="Tahoma" w:hAnsi="Tahoma"/>
      <w:sz w:val="16"/>
      <w:lang w:val="x-none" w:eastAsia="cs-CZ"/>
    </w:rPr>
  </w:style>
  <w:style w:type="character" w:customStyle="1" w:styleId="truktradokumentuChar1399">
    <w:name w:val="Štruktúra dokumentu Char1399"/>
    <w:aliases w:val="Char9 Char Char1400,Štruktúra dokumentu Char Char Char1400,Document Map Char Char Char1400"/>
    <w:uiPriority w:val="99"/>
    <w:semiHidden/>
    <w:rsid w:val="00A809E7"/>
    <w:rPr>
      <w:rFonts w:ascii="Tahoma" w:hAnsi="Tahoma"/>
      <w:sz w:val="16"/>
      <w:lang w:val="x-none" w:eastAsia="cs-CZ"/>
    </w:rPr>
  </w:style>
  <w:style w:type="character" w:customStyle="1" w:styleId="truktradokumentuChar1398">
    <w:name w:val="Štruktúra dokumentu Char1398"/>
    <w:aliases w:val="Char9 Char Char1399,Štruktúra dokumentu Char Char Char1399,Document Map Char Char Char1399"/>
    <w:uiPriority w:val="99"/>
    <w:semiHidden/>
    <w:rsid w:val="00A809E7"/>
    <w:rPr>
      <w:rFonts w:ascii="Tahoma" w:hAnsi="Tahoma"/>
      <w:sz w:val="16"/>
      <w:lang w:val="x-none" w:eastAsia="cs-CZ"/>
    </w:rPr>
  </w:style>
  <w:style w:type="character" w:customStyle="1" w:styleId="truktradokumentuChar1397">
    <w:name w:val="Štruktúra dokumentu Char1397"/>
    <w:aliases w:val="Char9 Char Char1398,Štruktúra dokumentu Char Char Char1398,Document Map Char Char Char1398"/>
    <w:uiPriority w:val="99"/>
    <w:semiHidden/>
    <w:rsid w:val="00A809E7"/>
    <w:rPr>
      <w:rFonts w:ascii="Tahoma" w:hAnsi="Tahoma"/>
      <w:sz w:val="16"/>
      <w:lang w:val="x-none" w:eastAsia="cs-CZ"/>
    </w:rPr>
  </w:style>
  <w:style w:type="character" w:customStyle="1" w:styleId="truktradokumentuChar1396">
    <w:name w:val="Štruktúra dokumentu Char1396"/>
    <w:aliases w:val="Char9 Char Char1397,Štruktúra dokumentu Char Char Char1397,Document Map Char Char Char1397"/>
    <w:uiPriority w:val="99"/>
    <w:semiHidden/>
    <w:rsid w:val="00A809E7"/>
    <w:rPr>
      <w:rFonts w:ascii="Tahoma" w:hAnsi="Tahoma"/>
      <w:sz w:val="16"/>
      <w:lang w:val="x-none" w:eastAsia="cs-CZ"/>
    </w:rPr>
  </w:style>
  <w:style w:type="character" w:customStyle="1" w:styleId="truktradokumentuChar1395">
    <w:name w:val="Štruktúra dokumentu Char1395"/>
    <w:aliases w:val="Char9 Char Char1396,Štruktúra dokumentu Char Char Char1396,Document Map Char Char Char1396"/>
    <w:uiPriority w:val="99"/>
    <w:semiHidden/>
    <w:rsid w:val="00A809E7"/>
    <w:rPr>
      <w:rFonts w:ascii="Tahoma" w:hAnsi="Tahoma"/>
      <w:sz w:val="16"/>
      <w:lang w:val="x-none" w:eastAsia="cs-CZ"/>
    </w:rPr>
  </w:style>
  <w:style w:type="character" w:customStyle="1" w:styleId="truktradokumentuChar1394">
    <w:name w:val="Štruktúra dokumentu Char1394"/>
    <w:aliases w:val="Char9 Char Char1395,Štruktúra dokumentu Char Char Char1395,Document Map Char Char Char1395"/>
    <w:uiPriority w:val="99"/>
    <w:semiHidden/>
    <w:rsid w:val="00A809E7"/>
    <w:rPr>
      <w:rFonts w:ascii="Tahoma" w:hAnsi="Tahoma"/>
      <w:sz w:val="16"/>
      <w:lang w:val="x-none" w:eastAsia="cs-CZ"/>
    </w:rPr>
  </w:style>
  <w:style w:type="character" w:customStyle="1" w:styleId="truktradokumentuChar1393">
    <w:name w:val="Štruktúra dokumentu Char1393"/>
    <w:aliases w:val="Char9 Char Char1394,Štruktúra dokumentu Char Char Char1394,Document Map Char Char Char1394"/>
    <w:uiPriority w:val="99"/>
    <w:semiHidden/>
    <w:rsid w:val="00A809E7"/>
    <w:rPr>
      <w:rFonts w:ascii="Tahoma" w:hAnsi="Tahoma"/>
      <w:sz w:val="16"/>
      <w:lang w:val="x-none" w:eastAsia="cs-CZ"/>
    </w:rPr>
  </w:style>
  <w:style w:type="character" w:customStyle="1" w:styleId="truktradokumentuChar1392">
    <w:name w:val="Štruktúra dokumentu Char1392"/>
    <w:aliases w:val="Char9 Char Char1393,Štruktúra dokumentu Char Char Char1393,Document Map Char Char Char1393"/>
    <w:uiPriority w:val="99"/>
    <w:semiHidden/>
    <w:rsid w:val="00A809E7"/>
    <w:rPr>
      <w:rFonts w:ascii="Tahoma" w:hAnsi="Tahoma"/>
      <w:sz w:val="16"/>
      <w:lang w:val="x-none" w:eastAsia="cs-CZ"/>
    </w:rPr>
  </w:style>
  <w:style w:type="character" w:customStyle="1" w:styleId="truktradokumentuChar1391">
    <w:name w:val="Štruktúra dokumentu Char1391"/>
    <w:aliases w:val="Char9 Char Char1392,Štruktúra dokumentu Char Char Char1392,Document Map Char Char Char1392"/>
    <w:uiPriority w:val="99"/>
    <w:semiHidden/>
    <w:rsid w:val="00A809E7"/>
    <w:rPr>
      <w:rFonts w:ascii="Tahoma" w:hAnsi="Tahoma"/>
      <w:sz w:val="16"/>
      <w:lang w:val="x-none" w:eastAsia="cs-CZ"/>
    </w:rPr>
  </w:style>
  <w:style w:type="character" w:customStyle="1" w:styleId="truktradokumentuChar1390">
    <w:name w:val="Štruktúra dokumentu Char1390"/>
    <w:aliases w:val="Char9 Char Char1391,Štruktúra dokumentu Char Char Char1391,Document Map Char Char Char1391"/>
    <w:uiPriority w:val="99"/>
    <w:semiHidden/>
    <w:rsid w:val="00A809E7"/>
    <w:rPr>
      <w:rFonts w:ascii="Tahoma" w:hAnsi="Tahoma"/>
      <w:sz w:val="16"/>
      <w:lang w:val="x-none" w:eastAsia="cs-CZ"/>
    </w:rPr>
  </w:style>
  <w:style w:type="character" w:customStyle="1" w:styleId="truktradokumentuChar1389">
    <w:name w:val="Štruktúra dokumentu Char1389"/>
    <w:aliases w:val="Char9 Char Char1390,Štruktúra dokumentu Char Char Char1390,Document Map Char Char Char1390"/>
    <w:uiPriority w:val="99"/>
    <w:semiHidden/>
    <w:rsid w:val="00A809E7"/>
    <w:rPr>
      <w:rFonts w:ascii="Tahoma" w:hAnsi="Tahoma"/>
      <w:sz w:val="16"/>
      <w:lang w:val="x-none" w:eastAsia="cs-CZ"/>
    </w:rPr>
  </w:style>
  <w:style w:type="character" w:customStyle="1" w:styleId="truktradokumentuChar1388">
    <w:name w:val="Štruktúra dokumentu Char1388"/>
    <w:aliases w:val="Char9 Char Char1389,Štruktúra dokumentu Char Char Char1389,Document Map Char Char Char1389"/>
    <w:uiPriority w:val="99"/>
    <w:semiHidden/>
    <w:rsid w:val="00A809E7"/>
    <w:rPr>
      <w:rFonts w:ascii="Tahoma" w:hAnsi="Tahoma"/>
      <w:sz w:val="16"/>
      <w:lang w:val="x-none" w:eastAsia="cs-CZ"/>
    </w:rPr>
  </w:style>
  <w:style w:type="character" w:customStyle="1" w:styleId="truktradokumentuChar1387">
    <w:name w:val="Štruktúra dokumentu Char1387"/>
    <w:aliases w:val="Char9 Char Char1388,Štruktúra dokumentu Char Char Char1388,Document Map Char Char Char1388"/>
    <w:uiPriority w:val="99"/>
    <w:semiHidden/>
    <w:rsid w:val="00A809E7"/>
    <w:rPr>
      <w:rFonts w:ascii="Tahoma" w:hAnsi="Tahoma"/>
      <w:sz w:val="16"/>
      <w:lang w:val="x-none" w:eastAsia="cs-CZ"/>
    </w:rPr>
  </w:style>
  <w:style w:type="character" w:customStyle="1" w:styleId="truktradokumentuChar1386">
    <w:name w:val="Štruktúra dokumentu Char1386"/>
    <w:aliases w:val="Char9 Char Char1387,Štruktúra dokumentu Char Char Char1387,Document Map Char Char Char1387"/>
    <w:uiPriority w:val="99"/>
    <w:semiHidden/>
    <w:rsid w:val="00A809E7"/>
    <w:rPr>
      <w:rFonts w:ascii="Tahoma" w:hAnsi="Tahoma"/>
      <w:sz w:val="16"/>
      <w:lang w:val="x-none" w:eastAsia="cs-CZ"/>
    </w:rPr>
  </w:style>
  <w:style w:type="character" w:customStyle="1" w:styleId="truktradokumentuChar1385">
    <w:name w:val="Štruktúra dokumentu Char1385"/>
    <w:aliases w:val="Char9 Char Char1386,Štruktúra dokumentu Char Char Char1386,Document Map Char Char Char1386"/>
    <w:uiPriority w:val="99"/>
    <w:semiHidden/>
    <w:rsid w:val="00A809E7"/>
    <w:rPr>
      <w:rFonts w:ascii="Tahoma" w:hAnsi="Tahoma"/>
      <w:sz w:val="16"/>
      <w:lang w:val="x-none" w:eastAsia="cs-CZ"/>
    </w:rPr>
  </w:style>
  <w:style w:type="character" w:customStyle="1" w:styleId="truktradokumentuChar1384">
    <w:name w:val="Štruktúra dokumentu Char1384"/>
    <w:aliases w:val="Char9 Char Char1385,Štruktúra dokumentu Char Char Char1385,Document Map Char Char Char1385"/>
    <w:uiPriority w:val="99"/>
    <w:semiHidden/>
    <w:rsid w:val="00A809E7"/>
    <w:rPr>
      <w:rFonts w:ascii="Tahoma" w:hAnsi="Tahoma"/>
      <w:sz w:val="16"/>
      <w:lang w:val="x-none" w:eastAsia="cs-CZ"/>
    </w:rPr>
  </w:style>
  <w:style w:type="character" w:customStyle="1" w:styleId="truktradokumentuChar1383">
    <w:name w:val="Štruktúra dokumentu Char1383"/>
    <w:aliases w:val="Char9 Char Char1384,Štruktúra dokumentu Char Char Char1384,Document Map Char Char Char1384"/>
    <w:uiPriority w:val="99"/>
    <w:semiHidden/>
    <w:rsid w:val="00A809E7"/>
    <w:rPr>
      <w:rFonts w:ascii="Tahoma" w:hAnsi="Tahoma"/>
      <w:sz w:val="16"/>
      <w:lang w:val="x-none" w:eastAsia="cs-CZ"/>
    </w:rPr>
  </w:style>
  <w:style w:type="character" w:customStyle="1" w:styleId="truktradokumentuChar1382">
    <w:name w:val="Štruktúra dokumentu Char1382"/>
    <w:aliases w:val="Char9 Char Char1383,Štruktúra dokumentu Char Char Char1383,Document Map Char Char Char1383"/>
    <w:uiPriority w:val="99"/>
    <w:semiHidden/>
    <w:rsid w:val="00A809E7"/>
    <w:rPr>
      <w:rFonts w:ascii="Tahoma" w:hAnsi="Tahoma"/>
      <w:sz w:val="16"/>
      <w:lang w:val="x-none" w:eastAsia="cs-CZ"/>
    </w:rPr>
  </w:style>
  <w:style w:type="character" w:customStyle="1" w:styleId="truktradokumentuChar1381">
    <w:name w:val="Štruktúra dokumentu Char1381"/>
    <w:aliases w:val="Char9 Char Char1382,Štruktúra dokumentu Char Char Char1382,Document Map Char Char Char1382"/>
    <w:uiPriority w:val="99"/>
    <w:semiHidden/>
    <w:rsid w:val="00A809E7"/>
    <w:rPr>
      <w:rFonts w:ascii="Tahoma" w:hAnsi="Tahoma"/>
      <w:sz w:val="16"/>
      <w:lang w:val="x-none" w:eastAsia="cs-CZ"/>
    </w:rPr>
  </w:style>
  <w:style w:type="character" w:customStyle="1" w:styleId="truktradokumentuChar1380">
    <w:name w:val="Štruktúra dokumentu Char1380"/>
    <w:aliases w:val="Char9 Char Char1381,Štruktúra dokumentu Char Char Char1381,Document Map Char Char Char1381"/>
    <w:uiPriority w:val="99"/>
    <w:semiHidden/>
    <w:rsid w:val="00A809E7"/>
    <w:rPr>
      <w:rFonts w:ascii="Tahoma" w:hAnsi="Tahoma"/>
      <w:sz w:val="16"/>
      <w:lang w:val="x-none" w:eastAsia="cs-CZ"/>
    </w:rPr>
  </w:style>
  <w:style w:type="character" w:customStyle="1" w:styleId="truktradokumentuChar1379">
    <w:name w:val="Štruktúra dokumentu Char1379"/>
    <w:aliases w:val="Char9 Char Char1380,Štruktúra dokumentu Char Char Char1380,Document Map Char Char Char1380"/>
    <w:uiPriority w:val="99"/>
    <w:semiHidden/>
    <w:rsid w:val="00A809E7"/>
    <w:rPr>
      <w:rFonts w:ascii="Tahoma" w:hAnsi="Tahoma"/>
      <w:sz w:val="16"/>
      <w:lang w:val="x-none" w:eastAsia="cs-CZ"/>
    </w:rPr>
  </w:style>
  <w:style w:type="character" w:customStyle="1" w:styleId="truktradokumentuChar1378">
    <w:name w:val="Štruktúra dokumentu Char1378"/>
    <w:aliases w:val="Char9 Char Char1379,Štruktúra dokumentu Char Char Char1379,Document Map Char Char Char1379"/>
    <w:uiPriority w:val="99"/>
    <w:semiHidden/>
    <w:rsid w:val="00A809E7"/>
    <w:rPr>
      <w:rFonts w:ascii="Tahoma" w:hAnsi="Tahoma"/>
      <w:sz w:val="16"/>
      <w:lang w:val="x-none" w:eastAsia="cs-CZ"/>
    </w:rPr>
  </w:style>
  <w:style w:type="character" w:customStyle="1" w:styleId="truktradokumentuChar1377">
    <w:name w:val="Štruktúra dokumentu Char1377"/>
    <w:aliases w:val="Char9 Char Char1378,Štruktúra dokumentu Char Char Char1378,Document Map Char Char Char1378"/>
    <w:uiPriority w:val="99"/>
    <w:semiHidden/>
    <w:rsid w:val="00A809E7"/>
    <w:rPr>
      <w:rFonts w:ascii="Tahoma" w:hAnsi="Tahoma"/>
      <w:sz w:val="16"/>
      <w:lang w:val="x-none" w:eastAsia="cs-CZ"/>
    </w:rPr>
  </w:style>
  <w:style w:type="character" w:customStyle="1" w:styleId="truktradokumentuChar1376">
    <w:name w:val="Štruktúra dokumentu Char1376"/>
    <w:aliases w:val="Char9 Char Char1377,Štruktúra dokumentu Char Char Char1377,Document Map Char Char Char1377"/>
    <w:uiPriority w:val="99"/>
    <w:semiHidden/>
    <w:rsid w:val="00A809E7"/>
    <w:rPr>
      <w:rFonts w:ascii="Tahoma" w:hAnsi="Tahoma"/>
      <w:sz w:val="16"/>
      <w:lang w:val="x-none" w:eastAsia="cs-CZ"/>
    </w:rPr>
  </w:style>
  <w:style w:type="character" w:customStyle="1" w:styleId="truktradokumentuChar1375">
    <w:name w:val="Štruktúra dokumentu Char1375"/>
    <w:aliases w:val="Char9 Char Char1376,Štruktúra dokumentu Char Char Char1376,Document Map Char Char Char1376"/>
    <w:uiPriority w:val="99"/>
    <w:semiHidden/>
    <w:rsid w:val="00A809E7"/>
    <w:rPr>
      <w:rFonts w:ascii="Tahoma" w:hAnsi="Tahoma"/>
      <w:sz w:val="16"/>
      <w:lang w:val="x-none" w:eastAsia="cs-CZ"/>
    </w:rPr>
  </w:style>
  <w:style w:type="character" w:customStyle="1" w:styleId="truktradokumentuChar1374">
    <w:name w:val="Štruktúra dokumentu Char1374"/>
    <w:aliases w:val="Char9 Char Char1375,Štruktúra dokumentu Char Char Char1375,Document Map Char Char Char1375"/>
    <w:uiPriority w:val="99"/>
    <w:semiHidden/>
    <w:rsid w:val="00A809E7"/>
    <w:rPr>
      <w:rFonts w:ascii="Tahoma" w:hAnsi="Tahoma"/>
      <w:sz w:val="16"/>
      <w:lang w:val="x-none" w:eastAsia="cs-CZ"/>
    </w:rPr>
  </w:style>
  <w:style w:type="character" w:customStyle="1" w:styleId="truktradokumentuChar1373">
    <w:name w:val="Štruktúra dokumentu Char1373"/>
    <w:aliases w:val="Char9 Char Char1374,Štruktúra dokumentu Char Char Char1374,Document Map Char Char Char1374"/>
    <w:uiPriority w:val="99"/>
    <w:semiHidden/>
    <w:rsid w:val="00A809E7"/>
    <w:rPr>
      <w:rFonts w:ascii="Tahoma" w:hAnsi="Tahoma"/>
      <w:sz w:val="16"/>
      <w:lang w:val="x-none" w:eastAsia="cs-CZ"/>
    </w:rPr>
  </w:style>
  <w:style w:type="character" w:customStyle="1" w:styleId="truktradokumentuChar1372">
    <w:name w:val="Štruktúra dokumentu Char1372"/>
    <w:aliases w:val="Char9 Char Char1373,Štruktúra dokumentu Char Char Char1373,Document Map Char Char Char1373"/>
    <w:uiPriority w:val="99"/>
    <w:semiHidden/>
    <w:rsid w:val="00A809E7"/>
    <w:rPr>
      <w:rFonts w:ascii="Tahoma" w:hAnsi="Tahoma"/>
      <w:sz w:val="16"/>
      <w:lang w:val="x-none" w:eastAsia="cs-CZ"/>
    </w:rPr>
  </w:style>
  <w:style w:type="character" w:customStyle="1" w:styleId="truktradokumentuChar1371">
    <w:name w:val="Štruktúra dokumentu Char1371"/>
    <w:aliases w:val="Char9 Char Char1372,Štruktúra dokumentu Char Char Char1372,Document Map Char Char Char1372"/>
    <w:uiPriority w:val="99"/>
    <w:semiHidden/>
    <w:rsid w:val="00A809E7"/>
    <w:rPr>
      <w:rFonts w:ascii="Tahoma" w:hAnsi="Tahoma"/>
      <w:sz w:val="16"/>
      <w:lang w:val="x-none" w:eastAsia="cs-CZ"/>
    </w:rPr>
  </w:style>
  <w:style w:type="character" w:customStyle="1" w:styleId="truktradokumentuChar1370">
    <w:name w:val="Štruktúra dokumentu Char1370"/>
    <w:aliases w:val="Char9 Char Char1371,Štruktúra dokumentu Char Char Char1371,Document Map Char Char Char1371"/>
    <w:uiPriority w:val="99"/>
    <w:semiHidden/>
    <w:rsid w:val="00A809E7"/>
    <w:rPr>
      <w:rFonts w:ascii="Tahoma" w:hAnsi="Tahoma"/>
      <w:sz w:val="16"/>
      <w:lang w:val="x-none" w:eastAsia="cs-CZ"/>
    </w:rPr>
  </w:style>
  <w:style w:type="character" w:customStyle="1" w:styleId="truktradokumentuChar1369">
    <w:name w:val="Štruktúra dokumentu Char1369"/>
    <w:aliases w:val="Char9 Char Char1370,Štruktúra dokumentu Char Char Char1370,Document Map Char Char Char1370"/>
    <w:uiPriority w:val="99"/>
    <w:semiHidden/>
    <w:rsid w:val="00A809E7"/>
    <w:rPr>
      <w:rFonts w:ascii="Tahoma" w:hAnsi="Tahoma"/>
      <w:sz w:val="16"/>
      <w:lang w:val="x-none" w:eastAsia="cs-CZ"/>
    </w:rPr>
  </w:style>
  <w:style w:type="character" w:customStyle="1" w:styleId="truktradokumentuChar1368">
    <w:name w:val="Štruktúra dokumentu Char1368"/>
    <w:aliases w:val="Char9 Char Char1369,Štruktúra dokumentu Char Char Char1369,Document Map Char Char Char1369"/>
    <w:uiPriority w:val="99"/>
    <w:semiHidden/>
    <w:rsid w:val="00A809E7"/>
    <w:rPr>
      <w:rFonts w:ascii="Tahoma" w:hAnsi="Tahoma"/>
      <w:sz w:val="16"/>
      <w:lang w:val="x-none" w:eastAsia="cs-CZ"/>
    </w:rPr>
  </w:style>
  <w:style w:type="character" w:customStyle="1" w:styleId="truktradokumentuChar1367">
    <w:name w:val="Štruktúra dokumentu Char1367"/>
    <w:aliases w:val="Char9 Char Char1368,Štruktúra dokumentu Char Char Char1368,Document Map Char Char Char1368"/>
    <w:uiPriority w:val="99"/>
    <w:semiHidden/>
    <w:rsid w:val="00A809E7"/>
    <w:rPr>
      <w:rFonts w:ascii="Tahoma" w:hAnsi="Tahoma"/>
      <w:sz w:val="16"/>
      <w:lang w:val="x-none" w:eastAsia="cs-CZ"/>
    </w:rPr>
  </w:style>
  <w:style w:type="character" w:customStyle="1" w:styleId="truktradokumentuChar1366">
    <w:name w:val="Štruktúra dokumentu Char1366"/>
    <w:aliases w:val="Char9 Char Char1367,Štruktúra dokumentu Char Char Char1367,Document Map Char Char Char1367"/>
    <w:uiPriority w:val="99"/>
    <w:semiHidden/>
    <w:rsid w:val="00A809E7"/>
    <w:rPr>
      <w:rFonts w:ascii="Tahoma" w:hAnsi="Tahoma"/>
      <w:sz w:val="16"/>
      <w:lang w:val="x-none" w:eastAsia="cs-CZ"/>
    </w:rPr>
  </w:style>
  <w:style w:type="character" w:customStyle="1" w:styleId="truktradokumentuChar1365">
    <w:name w:val="Štruktúra dokumentu Char1365"/>
    <w:aliases w:val="Char9 Char Char1366,Štruktúra dokumentu Char Char Char1366,Document Map Char Char Char1366"/>
    <w:uiPriority w:val="99"/>
    <w:semiHidden/>
    <w:rsid w:val="00A809E7"/>
    <w:rPr>
      <w:rFonts w:ascii="Tahoma" w:hAnsi="Tahoma"/>
      <w:sz w:val="16"/>
      <w:lang w:val="x-none" w:eastAsia="cs-CZ"/>
    </w:rPr>
  </w:style>
  <w:style w:type="character" w:customStyle="1" w:styleId="truktradokumentuChar1364">
    <w:name w:val="Štruktúra dokumentu Char1364"/>
    <w:aliases w:val="Char9 Char Char1365,Štruktúra dokumentu Char Char Char1365,Document Map Char Char Char1365"/>
    <w:uiPriority w:val="99"/>
    <w:semiHidden/>
    <w:rsid w:val="00A809E7"/>
    <w:rPr>
      <w:rFonts w:ascii="Tahoma" w:hAnsi="Tahoma"/>
      <w:sz w:val="16"/>
      <w:lang w:val="x-none" w:eastAsia="cs-CZ"/>
    </w:rPr>
  </w:style>
  <w:style w:type="character" w:customStyle="1" w:styleId="truktradokumentuChar1363">
    <w:name w:val="Štruktúra dokumentu Char1363"/>
    <w:aliases w:val="Char9 Char Char1364,Štruktúra dokumentu Char Char Char1364,Document Map Char Char Char1364"/>
    <w:uiPriority w:val="99"/>
    <w:semiHidden/>
    <w:rsid w:val="00A809E7"/>
    <w:rPr>
      <w:rFonts w:ascii="Tahoma" w:hAnsi="Tahoma"/>
      <w:sz w:val="16"/>
      <w:lang w:val="x-none" w:eastAsia="cs-CZ"/>
    </w:rPr>
  </w:style>
  <w:style w:type="character" w:customStyle="1" w:styleId="truktradokumentuChar1362">
    <w:name w:val="Štruktúra dokumentu Char1362"/>
    <w:aliases w:val="Char9 Char Char1363,Štruktúra dokumentu Char Char Char1363,Document Map Char Char Char1363"/>
    <w:uiPriority w:val="99"/>
    <w:semiHidden/>
    <w:rsid w:val="00A809E7"/>
    <w:rPr>
      <w:rFonts w:ascii="Tahoma" w:hAnsi="Tahoma"/>
      <w:sz w:val="16"/>
      <w:lang w:val="x-none" w:eastAsia="cs-CZ"/>
    </w:rPr>
  </w:style>
  <w:style w:type="character" w:customStyle="1" w:styleId="truktradokumentuChar1361">
    <w:name w:val="Štruktúra dokumentu Char1361"/>
    <w:aliases w:val="Char9 Char Char1362,Štruktúra dokumentu Char Char Char1362,Document Map Char Char Char1362"/>
    <w:uiPriority w:val="99"/>
    <w:semiHidden/>
    <w:rsid w:val="00A809E7"/>
    <w:rPr>
      <w:rFonts w:ascii="Tahoma" w:hAnsi="Tahoma"/>
      <w:sz w:val="16"/>
      <w:lang w:val="x-none" w:eastAsia="cs-CZ"/>
    </w:rPr>
  </w:style>
  <w:style w:type="character" w:customStyle="1" w:styleId="truktradokumentuChar1360">
    <w:name w:val="Štruktúra dokumentu Char1360"/>
    <w:aliases w:val="Char9 Char Char1361,Štruktúra dokumentu Char Char Char1361,Document Map Char Char Char1361"/>
    <w:uiPriority w:val="99"/>
    <w:semiHidden/>
    <w:rsid w:val="00A809E7"/>
    <w:rPr>
      <w:rFonts w:ascii="Tahoma" w:hAnsi="Tahoma"/>
      <w:sz w:val="16"/>
      <w:lang w:val="x-none" w:eastAsia="cs-CZ"/>
    </w:rPr>
  </w:style>
  <w:style w:type="character" w:customStyle="1" w:styleId="truktradokumentuChar1359">
    <w:name w:val="Štruktúra dokumentu Char1359"/>
    <w:aliases w:val="Char9 Char Char1360,Štruktúra dokumentu Char Char Char1360,Document Map Char Char Char1360"/>
    <w:uiPriority w:val="99"/>
    <w:semiHidden/>
    <w:rsid w:val="00A809E7"/>
    <w:rPr>
      <w:rFonts w:ascii="Tahoma" w:hAnsi="Tahoma"/>
      <w:sz w:val="16"/>
      <w:lang w:val="x-none" w:eastAsia="cs-CZ"/>
    </w:rPr>
  </w:style>
  <w:style w:type="character" w:customStyle="1" w:styleId="truktradokumentuChar1358">
    <w:name w:val="Štruktúra dokumentu Char1358"/>
    <w:aliases w:val="Char9 Char Char1359,Štruktúra dokumentu Char Char Char1359,Document Map Char Char Char1359"/>
    <w:uiPriority w:val="99"/>
    <w:semiHidden/>
    <w:rsid w:val="00A809E7"/>
    <w:rPr>
      <w:rFonts w:ascii="Tahoma" w:hAnsi="Tahoma"/>
      <w:sz w:val="16"/>
      <w:lang w:val="x-none" w:eastAsia="cs-CZ"/>
    </w:rPr>
  </w:style>
  <w:style w:type="character" w:customStyle="1" w:styleId="truktradokumentuChar1357">
    <w:name w:val="Štruktúra dokumentu Char1357"/>
    <w:aliases w:val="Char9 Char Char1358,Štruktúra dokumentu Char Char Char1358,Document Map Char Char Char1358"/>
    <w:uiPriority w:val="99"/>
    <w:semiHidden/>
    <w:rsid w:val="00A809E7"/>
    <w:rPr>
      <w:rFonts w:ascii="Tahoma" w:hAnsi="Tahoma"/>
      <w:sz w:val="16"/>
      <w:lang w:val="x-none" w:eastAsia="cs-CZ"/>
    </w:rPr>
  </w:style>
  <w:style w:type="character" w:customStyle="1" w:styleId="truktradokumentuChar1356">
    <w:name w:val="Štruktúra dokumentu Char1356"/>
    <w:aliases w:val="Char9 Char Char1357,Štruktúra dokumentu Char Char Char1357,Document Map Char Char Char1357"/>
    <w:uiPriority w:val="99"/>
    <w:semiHidden/>
    <w:rsid w:val="00A809E7"/>
    <w:rPr>
      <w:rFonts w:ascii="Tahoma" w:hAnsi="Tahoma"/>
      <w:sz w:val="16"/>
      <w:lang w:val="x-none" w:eastAsia="cs-CZ"/>
    </w:rPr>
  </w:style>
  <w:style w:type="character" w:customStyle="1" w:styleId="truktradokumentuChar1355">
    <w:name w:val="Štruktúra dokumentu Char1355"/>
    <w:aliases w:val="Char9 Char Char1356,Štruktúra dokumentu Char Char Char1356,Document Map Char Char Char1356"/>
    <w:uiPriority w:val="99"/>
    <w:semiHidden/>
    <w:rsid w:val="00A809E7"/>
    <w:rPr>
      <w:rFonts w:ascii="Tahoma" w:hAnsi="Tahoma"/>
      <w:sz w:val="16"/>
      <w:lang w:val="x-none" w:eastAsia="cs-CZ"/>
    </w:rPr>
  </w:style>
  <w:style w:type="character" w:customStyle="1" w:styleId="truktradokumentuChar1354">
    <w:name w:val="Štruktúra dokumentu Char1354"/>
    <w:aliases w:val="Char9 Char Char1355,Štruktúra dokumentu Char Char Char1355,Document Map Char Char Char1355"/>
    <w:uiPriority w:val="99"/>
    <w:semiHidden/>
    <w:rsid w:val="00A809E7"/>
    <w:rPr>
      <w:rFonts w:ascii="Tahoma" w:hAnsi="Tahoma"/>
      <w:sz w:val="16"/>
      <w:lang w:val="x-none" w:eastAsia="cs-CZ"/>
    </w:rPr>
  </w:style>
  <w:style w:type="character" w:customStyle="1" w:styleId="truktradokumentuChar1353">
    <w:name w:val="Štruktúra dokumentu Char1353"/>
    <w:aliases w:val="Char9 Char Char1354,Štruktúra dokumentu Char Char Char1354,Document Map Char Char Char1354"/>
    <w:uiPriority w:val="99"/>
    <w:semiHidden/>
    <w:rsid w:val="00A809E7"/>
    <w:rPr>
      <w:rFonts w:ascii="Tahoma" w:hAnsi="Tahoma"/>
      <w:sz w:val="16"/>
      <w:lang w:val="x-none" w:eastAsia="cs-CZ"/>
    </w:rPr>
  </w:style>
  <w:style w:type="character" w:customStyle="1" w:styleId="truktradokumentuChar1352">
    <w:name w:val="Štruktúra dokumentu Char1352"/>
    <w:aliases w:val="Char9 Char Char1353,Štruktúra dokumentu Char Char Char1353,Document Map Char Char Char1353"/>
    <w:uiPriority w:val="99"/>
    <w:semiHidden/>
    <w:rsid w:val="00A809E7"/>
    <w:rPr>
      <w:rFonts w:ascii="Tahoma" w:hAnsi="Tahoma"/>
      <w:sz w:val="16"/>
      <w:lang w:val="x-none" w:eastAsia="cs-CZ"/>
    </w:rPr>
  </w:style>
  <w:style w:type="character" w:customStyle="1" w:styleId="truktradokumentuChar1351">
    <w:name w:val="Štruktúra dokumentu Char1351"/>
    <w:aliases w:val="Char9 Char Char1352,Štruktúra dokumentu Char Char Char1352,Document Map Char Char Char1352"/>
    <w:uiPriority w:val="99"/>
    <w:semiHidden/>
    <w:rsid w:val="00A809E7"/>
    <w:rPr>
      <w:rFonts w:ascii="Tahoma" w:hAnsi="Tahoma"/>
      <w:sz w:val="16"/>
      <w:lang w:val="x-none" w:eastAsia="cs-CZ"/>
    </w:rPr>
  </w:style>
  <w:style w:type="character" w:customStyle="1" w:styleId="truktradokumentuChar1350">
    <w:name w:val="Štruktúra dokumentu Char1350"/>
    <w:aliases w:val="Char9 Char Char1351,Štruktúra dokumentu Char Char Char1351,Document Map Char Char Char1351"/>
    <w:uiPriority w:val="99"/>
    <w:semiHidden/>
    <w:rsid w:val="00A809E7"/>
    <w:rPr>
      <w:rFonts w:ascii="Tahoma" w:hAnsi="Tahoma"/>
      <w:sz w:val="16"/>
      <w:lang w:val="x-none" w:eastAsia="cs-CZ"/>
    </w:rPr>
  </w:style>
  <w:style w:type="character" w:customStyle="1" w:styleId="truktradokumentuChar1349">
    <w:name w:val="Štruktúra dokumentu Char1349"/>
    <w:aliases w:val="Char9 Char Char1350,Štruktúra dokumentu Char Char Char1350,Document Map Char Char Char1350"/>
    <w:uiPriority w:val="99"/>
    <w:semiHidden/>
    <w:rsid w:val="00A809E7"/>
    <w:rPr>
      <w:rFonts w:ascii="Tahoma" w:hAnsi="Tahoma"/>
      <w:sz w:val="16"/>
      <w:lang w:val="x-none" w:eastAsia="cs-CZ"/>
    </w:rPr>
  </w:style>
  <w:style w:type="character" w:customStyle="1" w:styleId="truktradokumentuChar1348">
    <w:name w:val="Štruktúra dokumentu Char1348"/>
    <w:aliases w:val="Char9 Char Char1349,Štruktúra dokumentu Char Char Char1349,Document Map Char Char Char1349"/>
    <w:uiPriority w:val="99"/>
    <w:semiHidden/>
    <w:rsid w:val="00A809E7"/>
    <w:rPr>
      <w:rFonts w:ascii="Tahoma" w:hAnsi="Tahoma"/>
      <w:sz w:val="16"/>
      <w:lang w:val="x-none" w:eastAsia="cs-CZ"/>
    </w:rPr>
  </w:style>
  <w:style w:type="character" w:customStyle="1" w:styleId="truktradokumentuChar1347">
    <w:name w:val="Štruktúra dokumentu Char1347"/>
    <w:aliases w:val="Char9 Char Char1348,Štruktúra dokumentu Char Char Char1348,Document Map Char Char Char1348"/>
    <w:uiPriority w:val="99"/>
    <w:semiHidden/>
    <w:rsid w:val="00A809E7"/>
    <w:rPr>
      <w:rFonts w:ascii="Tahoma" w:hAnsi="Tahoma"/>
      <w:sz w:val="16"/>
      <w:lang w:val="x-none" w:eastAsia="cs-CZ"/>
    </w:rPr>
  </w:style>
  <w:style w:type="character" w:customStyle="1" w:styleId="truktradokumentuChar1346">
    <w:name w:val="Štruktúra dokumentu Char1346"/>
    <w:aliases w:val="Char9 Char Char1347,Štruktúra dokumentu Char Char Char1347,Document Map Char Char Char1347"/>
    <w:uiPriority w:val="99"/>
    <w:semiHidden/>
    <w:rsid w:val="00A809E7"/>
    <w:rPr>
      <w:rFonts w:ascii="Tahoma" w:hAnsi="Tahoma"/>
      <w:sz w:val="16"/>
      <w:lang w:val="x-none" w:eastAsia="cs-CZ"/>
    </w:rPr>
  </w:style>
  <w:style w:type="character" w:customStyle="1" w:styleId="truktradokumentuChar1345">
    <w:name w:val="Štruktúra dokumentu Char1345"/>
    <w:aliases w:val="Char9 Char Char1346,Štruktúra dokumentu Char Char Char1346,Document Map Char Char Char1346"/>
    <w:uiPriority w:val="99"/>
    <w:semiHidden/>
    <w:rsid w:val="00A809E7"/>
    <w:rPr>
      <w:rFonts w:ascii="Tahoma" w:hAnsi="Tahoma"/>
      <w:sz w:val="16"/>
      <w:lang w:val="x-none" w:eastAsia="cs-CZ"/>
    </w:rPr>
  </w:style>
  <w:style w:type="character" w:customStyle="1" w:styleId="truktradokumentuChar1344">
    <w:name w:val="Štruktúra dokumentu Char1344"/>
    <w:aliases w:val="Char9 Char Char1345,Štruktúra dokumentu Char Char Char1345,Document Map Char Char Char1345"/>
    <w:uiPriority w:val="99"/>
    <w:semiHidden/>
    <w:rsid w:val="00A809E7"/>
    <w:rPr>
      <w:rFonts w:ascii="Tahoma" w:hAnsi="Tahoma"/>
      <w:sz w:val="16"/>
      <w:lang w:val="x-none" w:eastAsia="cs-CZ"/>
    </w:rPr>
  </w:style>
  <w:style w:type="character" w:customStyle="1" w:styleId="truktradokumentuChar1343">
    <w:name w:val="Štruktúra dokumentu Char1343"/>
    <w:aliases w:val="Char9 Char Char1344,Štruktúra dokumentu Char Char Char1344,Document Map Char Char Char1344"/>
    <w:uiPriority w:val="99"/>
    <w:semiHidden/>
    <w:rsid w:val="00A809E7"/>
    <w:rPr>
      <w:rFonts w:ascii="Tahoma" w:hAnsi="Tahoma"/>
      <w:sz w:val="16"/>
      <w:lang w:val="x-none" w:eastAsia="cs-CZ"/>
    </w:rPr>
  </w:style>
  <w:style w:type="character" w:customStyle="1" w:styleId="truktradokumentuChar1342">
    <w:name w:val="Štruktúra dokumentu Char1342"/>
    <w:aliases w:val="Char9 Char Char1343,Štruktúra dokumentu Char Char Char1343,Document Map Char Char Char1343"/>
    <w:uiPriority w:val="99"/>
    <w:semiHidden/>
    <w:rsid w:val="00A809E7"/>
    <w:rPr>
      <w:rFonts w:ascii="Tahoma" w:hAnsi="Tahoma"/>
      <w:sz w:val="16"/>
      <w:lang w:val="x-none" w:eastAsia="cs-CZ"/>
    </w:rPr>
  </w:style>
  <w:style w:type="character" w:customStyle="1" w:styleId="truktradokumentuChar1341">
    <w:name w:val="Štruktúra dokumentu Char1341"/>
    <w:aliases w:val="Char9 Char Char1342,Štruktúra dokumentu Char Char Char1342,Document Map Char Char Char1342"/>
    <w:uiPriority w:val="99"/>
    <w:semiHidden/>
    <w:rsid w:val="00A809E7"/>
    <w:rPr>
      <w:rFonts w:ascii="Tahoma" w:hAnsi="Tahoma"/>
      <w:sz w:val="16"/>
      <w:lang w:val="x-none" w:eastAsia="cs-CZ"/>
    </w:rPr>
  </w:style>
  <w:style w:type="character" w:customStyle="1" w:styleId="truktradokumentuChar1340">
    <w:name w:val="Štruktúra dokumentu Char1340"/>
    <w:aliases w:val="Char9 Char Char1341,Štruktúra dokumentu Char Char Char1341,Document Map Char Char Char1341"/>
    <w:uiPriority w:val="99"/>
    <w:semiHidden/>
    <w:rsid w:val="00A809E7"/>
    <w:rPr>
      <w:rFonts w:ascii="Tahoma" w:hAnsi="Tahoma"/>
      <w:sz w:val="16"/>
      <w:lang w:val="x-none" w:eastAsia="cs-CZ"/>
    </w:rPr>
  </w:style>
  <w:style w:type="character" w:customStyle="1" w:styleId="truktradokumentuChar1339">
    <w:name w:val="Štruktúra dokumentu Char1339"/>
    <w:aliases w:val="Char9 Char Char1340,Štruktúra dokumentu Char Char Char1340,Document Map Char Char Char1340"/>
    <w:uiPriority w:val="99"/>
    <w:semiHidden/>
    <w:rsid w:val="00A809E7"/>
    <w:rPr>
      <w:rFonts w:ascii="Tahoma" w:hAnsi="Tahoma"/>
      <w:sz w:val="16"/>
      <w:lang w:val="x-none" w:eastAsia="cs-CZ"/>
    </w:rPr>
  </w:style>
  <w:style w:type="character" w:customStyle="1" w:styleId="truktradokumentuChar1338">
    <w:name w:val="Štruktúra dokumentu Char1338"/>
    <w:aliases w:val="Char9 Char Char1339,Štruktúra dokumentu Char Char Char1339,Document Map Char Char Char1339"/>
    <w:uiPriority w:val="99"/>
    <w:semiHidden/>
    <w:rsid w:val="00A809E7"/>
    <w:rPr>
      <w:rFonts w:ascii="Tahoma" w:hAnsi="Tahoma"/>
      <w:sz w:val="16"/>
      <w:lang w:val="x-none" w:eastAsia="cs-CZ"/>
    </w:rPr>
  </w:style>
  <w:style w:type="character" w:customStyle="1" w:styleId="truktradokumentuChar1337">
    <w:name w:val="Štruktúra dokumentu Char1337"/>
    <w:aliases w:val="Char9 Char Char1338,Štruktúra dokumentu Char Char Char1338,Document Map Char Char Char1338"/>
    <w:uiPriority w:val="99"/>
    <w:semiHidden/>
    <w:rsid w:val="00A809E7"/>
    <w:rPr>
      <w:rFonts w:ascii="Tahoma" w:hAnsi="Tahoma"/>
      <w:sz w:val="16"/>
      <w:lang w:val="x-none" w:eastAsia="cs-CZ"/>
    </w:rPr>
  </w:style>
  <w:style w:type="character" w:customStyle="1" w:styleId="truktradokumentuChar1336">
    <w:name w:val="Štruktúra dokumentu Char1336"/>
    <w:aliases w:val="Char9 Char Char1337,Štruktúra dokumentu Char Char Char1337,Document Map Char Char Char1337"/>
    <w:uiPriority w:val="99"/>
    <w:semiHidden/>
    <w:rsid w:val="00A809E7"/>
    <w:rPr>
      <w:rFonts w:ascii="Tahoma" w:hAnsi="Tahoma"/>
      <w:sz w:val="16"/>
      <w:lang w:val="x-none" w:eastAsia="cs-CZ"/>
    </w:rPr>
  </w:style>
  <w:style w:type="character" w:customStyle="1" w:styleId="truktradokumentuChar1335">
    <w:name w:val="Štruktúra dokumentu Char1335"/>
    <w:aliases w:val="Char9 Char Char1336,Štruktúra dokumentu Char Char Char1336,Document Map Char Char Char1336"/>
    <w:uiPriority w:val="99"/>
    <w:semiHidden/>
    <w:rsid w:val="00A809E7"/>
    <w:rPr>
      <w:rFonts w:ascii="Tahoma" w:hAnsi="Tahoma"/>
      <w:sz w:val="16"/>
      <w:lang w:val="x-none" w:eastAsia="cs-CZ"/>
    </w:rPr>
  </w:style>
  <w:style w:type="character" w:customStyle="1" w:styleId="truktradokumentuChar1334">
    <w:name w:val="Štruktúra dokumentu Char1334"/>
    <w:aliases w:val="Char9 Char Char1335,Štruktúra dokumentu Char Char Char1335,Document Map Char Char Char1335"/>
    <w:uiPriority w:val="99"/>
    <w:semiHidden/>
    <w:rsid w:val="00A809E7"/>
    <w:rPr>
      <w:rFonts w:ascii="Tahoma" w:hAnsi="Tahoma"/>
      <w:sz w:val="16"/>
      <w:lang w:val="x-none" w:eastAsia="cs-CZ"/>
    </w:rPr>
  </w:style>
  <w:style w:type="character" w:customStyle="1" w:styleId="truktradokumentuChar1333">
    <w:name w:val="Štruktúra dokumentu Char1333"/>
    <w:aliases w:val="Char9 Char Char1334,Štruktúra dokumentu Char Char Char1334,Document Map Char Char Char1334"/>
    <w:uiPriority w:val="99"/>
    <w:semiHidden/>
    <w:rsid w:val="00A809E7"/>
    <w:rPr>
      <w:rFonts w:ascii="Tahoma" w:hAnsi="Tahoma"/>
      <w:sz w:val="16"/>
      <w:lang w:val="x-none" w:eastAsia="cs-CZ"/>
    </w:rPr>
  </w:style>
  <w:style w:type="character" w:customStyle="1" w:styleId="truktradokumentuChar1332">
    <w:name w:val="Štruktúra dokumentu Char1332"/>
    <w:aliases w:val="Char9 Char Char1333,Štruktúra dokumentu Char Char Char1333,Document Map Char Char Char1333"/>
    <w:uiPriority w:val="99"/>
    <w:semiHidden/>
    <w:rsid w:val="00A809E7"/>
    <w:rPr>
      <w:rFonts w:ascii="Tahoma" w:hAnsi="Tahoma"/>
      <w:sz w:val="16"/>
      <w:lang w:val="x-none" w:eastAsia="cs-CZ"/>
    </w:rPr>
  </w:style>
  <w:style w:type="character" w:customStyle="1" w:styleId="truktradokumentuChar1331">
    <w:name w:val="Štruktúra dokumentu Char1331"/>
    <w:aliases w:val="Char9 Char Char1332,Štruktúra dokumentu Char Char Char1332,Document Map Char Char Char1332"/>
    <w:uiPriority w:val="99"/>
    <w:semiHidden/>
    <w:rsid w:val="00A809E7"/>
    <w:rPr>
      <w:rFonts w:ascii="Tahoma" w:hAnsi="Tahoma"/>
      <w:sz w:val="16"/>
      <w:lang w:val="x-none" w:eastAsia="cs-CZ"/>
    </w:rPr>
  </w:style>
  <w:style w:type="character" w:customStyle="1" w:styleId="truktradokumentuChar1330">
    <w:name w:val="Štruktúra dokumentu Char1330"/>
    <w:aliases w:val="Char9 Char Char1331,Štruktúra dokumentu Char Char Char1331,Document Map Char Char Char1331"/>
    <w:uiPriority w:val="99"/>
    <w:semiHidden/>
    <w:rsid w:val="00A809E7"/>
    <w:rPr>
      <w:rFonts w:ascii="Tahoma" w:hAnsi="Tahoma"/>
      <w:sz w:val="16"/>
      <w:lang w:val="x-none" w:eastAsia="cs-CZ"/>
    </w:rPr>
  </w:style>
  <w:style w:type="character" w:customStyle="1" w:styleId="truktradokumentuChar1329">
    <w:name w:val="Štruktúra dokumentu Char1329"/>
    <w:aliases w:val="Char9 Char Char1330,Štruktúra dokumentu Char Char Char1330,Document Map Char Char Char1330"/>
    <w:uiPriority w:val="99"/>
    <w:semiHidden/>
    <w:rsid w:val="00A809E7"/>
    <w:rPr>
      <w:rFonts w:ascii="Tahoma" w:hAnsi="Tahoma"/>
      <w:sz w:val="16"/>
      <w:lang w:val="x-none" w:eastAsia="cs-CZ"/>
    </w:rPr>
  </w:style>
  <w:style w:type="character" w:customStyle="1" w:styleId="truktradokumentuChar1328">
    <w:name w:val="Štruktúra dokumentu Char1328"/>
    <w:aliases w:val="Char9 Char Char1329,Štruktúra dokumentu Char Char Char1329,Document Map Char Char Char1329"/>
    <w:uiPriority w:val="99"/>
    <w:semiHidden/>
    <w:rsid w:val="00A809E7"/>
    <w:rPr>
      <w:rFonts w:ascii="Tahoma" w:hAnsi="Tahoma"/>
      <w:sz w:val="16"/>
      <w:lang w:val="x-none" w:eastAsia="cs-CZ"/>
    </w:rPr>
  </w:style>
  <w:style w:type="character" w:customStyle="1" w:styleId="truktradokumentuChar1327">
    <w:name w:val="Štruktúra dokumentu Char1327"/>
    <w:aliases w:val="Char9 Char Char1328,Štruktúra dokumentu Char Char Char1328,Document Map Char Char Char1328"/>
    <w:uiPriority w:val="99"/>
    <w:semiHidden/>
    <w:rsid w:val="00A809E7"/>
    <w:rPr>
      <w:rFonts w:ascii="Tahoma" w:hAnsi="Tahoma"/>
      <w:sz w:val="16"/>
      <w:lang w:val="x-none" w:eastAsia="cs-CZ"/>
    </w:rPr>
  </w:style>
  <w:style w:type="character" w:customStyle="1" w:styleId="truktradokumentuChar1326">
    <w:name w:val="Štruktúra dokumentu Char1326"/>
    <w:aliases w:val="Char9 Char Char1327,Štruktúra dokumentu Char Char Char1327,Document Map Char Char Char1327"/>
    <w:uiPriority w:val="99"/>
    <w:semiHidden/>
    <w:rsid w:val="00A809E7"/>
    <w:rPr>
      <w:rFonts w:ascii="Tahoma" w:hAnsi="Tahoma"/>
      <w:sz w:val="16"/>
      <w:lang w:val="x-none" w:eastAsia="cs-CZ"/>
    </w:rPr>
  </w:style>
  <w:style w:type="character" w:customStyle="1" w:styleId="truktradokumentuChar1325">
    <w:name w:val="Štruktúra dokumentu Char1325"/>
    <w:aliases w:val="Char9 Char Char1326,Štruktúra dokumentu Char Char Char1326,Document Map Char Char Char1326"/>
    <w:uiPriority w:val="99"/>
    <w:semiHidden/>
    <w:rsid w:val="00A809E7"/>
    <w:rPr>
      <w:rFonts w:ascii="Tahoma" w:hAnsi="Tahoma"/>
      <w:sz w:val="16"/>
      <w:lang w:val="x-none" w:eastAsia="cs-CZ"/>
    </w:rPr>
  </w:style>
  <w:style w:type="character" w:customStyle="1" w:styleId="truktradokumentuChar1324">
    <w:name w:val="Štruktúra dokumentu Char1324"/>
    <w:aliases w:val="Char9 Char Char1325,Štruktúra dokumentu Char Char Char1325,Document Map Char Char Char1325"/>
    <w:uiPriority w:val="99"/>
    <w:semiHidden/>
    <w:rsid w:val="00A809E7"/>
    <w:rPr>
      <w:rFonts w:ascii="Tahoma" w:hAnsi="Tahoma"/>
      <w:sz w:val="16"/>
      <w:lang w:val="x-none" w:eastAsia="cs-CZ"/>
    </w:rPr>
  </w:style>
  <w:style w:type="character" w:customStyle="1" w:styleId="truktradokumentuChar1323">
    <w:name w:val="Štruktúra dokumentu Char1323"/>
    <w:aliases w:val="Char9 Char Char1324,Štruktúra dokumentu Char Char Char1324,Document Map Char Char Char1324"/>
    <w:uiPriority w:val="99"/>
    <w:semiHidden/>
    <w:rsid w:val="00A809E7"/>
    <w:rPr>
      <w:rFonts w:ascii="Tahoma" w:hAnsi="Tahoma"/>
      <w:sz w:val="16"/>
      <w:lang w:val="x-none" w:eastAsia="cs-CZ"/>
    </w:rPr>
  </w:style>
  <w:style w:type="character" w:customStyle="1" w:styleId="truktradokumentuChar1322">
    <w:name w:val="Štruktúra dokumentu Char1322"/>
    <w:aliases w:val="Char9 Char Char1323,Štruktúra dokumentu Char Char Char1323,Document Map Char Char Char1323"/>
    <w:uiPriority w:val="99"/>
    <w:semiHidden/>
    <w:rsid w:val="00A809E7"/>
    <w:rPr>
      <w:rFonts w:ascii="Tahoma" w:hAnsi="Tahoma"/>
      <w:sz w:val="16"/>
      <w:lang w:val="x-none" w:eastAsia="cs-CZ"/>
    </w:rPr>
  </w:style>
  <w:style w:type="character" w:customStyle="1" w:styleId="truktradokumentuChar1321">
    <w:name w:val="Štruktúra dokumentu Char1321"/>
    <w:aliases w:val="Char9 Char Char1322,Štruktúra dokumentu Char Char Char1322,Document Map Char Char Char1322"/>
    <w:uiPriority w:val="99"/>
    <w:semiHidden/>
    <w:rsid w:val="00A809E7"/>
    <w:rPr>
      <w:rFonts w:ascii="Tahoma" w:hAnsi="Tahoma"/>
      <w:sz w:val="16"/>
      <w:lang w:val="x-none" w:eastAsia="cs-CZ"/>
    </w:rPr>
  </w:style>
  <w:style w:type="character" w:customStyle="1" w:styleId="truktradokumentuChar1320">
    <w:name w:val="Štruktúra dokumentu Char1320"/>
    <w:aliases w:val="Char9 Char Char1321,Štruktúra dokumentu Char Char Char1321,Document Map Char Char Char1321"/>
    <w:uiPriority w:val="99"/>
    <w:semiHidden/>
    <w:rsid w:val="00A809E7"/>
    <w:rPr>
      <w:rFonts w:ascii="Tahoma" w:hAnsi="Tahoma"/>
      <w:sz w:val="16"/>
      <w:lang w:val="x-none" w:eastAsia="cs-CZ"/>
    </w:rPr>
  </w:style>
  <w:style w:type="character" w:customStyle="1" w:styleId="truktradokumentuChar1319">
    <w:name w:val="Štruktúra dokumentu Char1319"/>
    <w:aliases w:val="Char9 Char Char1320,Štruktúra dokumentu Char Char Char1320,Document Map Char Char Char1320"/>
    <w:uiPriority w:val="99"/>
    <w:semiHidden/>
    <w:rsid w:val="00A809E7"/>
    <w:rPr>
      <w:rFonts w:ascii="Tahoma" w:hAnsi="Tahoma"/>
      <w:sz w:val="16"/>
      <w:lang w:val="x-none" w:eastAsia="cs-CZ"/>
    </w:rPr>
  </w:style>
  <w:style w:type="character" w:customStyle="1" w:styleId="truktradokumentuChar1318">
    <w:name w:val="Štruktúra dokumentu Char1318"/>
    <w:aliases w:val="Char9 Char Char1319,Štruktúra dokumentu Char Char Char1319,Document Map Char Char Char1319"/>
    <w:uiPriority w:val="99"/>
    <w:semiHidden/>
    <w:rsid w:val="00A809E7"/>
    <w:rPr>
      <w:rFonts w:ascii="Tahoma" w:hAnsi="Tahoma"/>
      <w:sz w:val="16"/>
      <w:lang w:val="x-none" w:eastAsia="cs-CZ"/>
    </w:rPr>
  </w:style>
  <w:style w:type="character" w:customStyle="1" w:styleId="truktradokumentuChar1317">
    <w:name w:val="Štruktúra dokumentu Char1317"/>
    <w:aliases w:val="Char9 Char Char1318,Štruktúra dokumentu Char Char Char1318,Document Map Char Char Char1318"/>
    <w:uiPriority w:val="99"/>
    <w:semiHidden/>
    <w:rsid w:val="00A809E7"/>
    <w:rPr>
      <w:rFonts w:ascii="Tahoma" w:hAnsi="Tahoma"/>
      <w:sz w:val="16"/>
      <w:lang w:val="x-none" w:eastAsia="cs-CZ"/>
    </w:rPr>
  </w:style>
  <w:style w:type="character" w:customStyle="1" w:styleId="truktradokumentuChar1316">
    <w:name w:val="Štruktúra dokumentu Char1316"/>
    <w:aliases w:val="Char9 Char Char1317,Štruktúra dokumentu Char Char Char1317,Document Map Char Char Char1317"/>
    <w:uiPriority w:val="99"/>
    <w:semiHidden/>
    <w:rsid w:val="00A809E7"/>
    <w:rPr>
      <w:rFonts w:ascii="Tahoma" w:hAnsi="Tahoma"/>
      <w:sz w:val="16"/>
      <w:lang w:val="x-none" w:eastAsia="cs-CZ"/>
    </w:rPr>
  </w:style>
  <w:style w:type="character" w:customStyle="1" w:styleId="truktradokumentuChar1315">
    <w:name w:val="Štruktúra dokumentu Char1315"/>
    <w:aliases w:val="Char9 Char Char1316,Štruktúra dokumentu Char Char Char1316,Document Map Char Char Char1316"/>
    <w:uiPriority w:val="99"/>
    <w:semiHidden/>
    <w:rsid w:val="00A809E7"/>
    <w:rPr>
      <w:rFonts w:ascii="Tahoma" w:hAnsi="Tahoma"/>
      <w:sz w:val="16"/>
      <w:lang w:val="x-none" w:eastAsia="cs-CZ"/>
    </w:rPr>
  </w:style>
  <w:style w:type="character" w:customStyle="1" w:styleId="truktradokumentuChar1314">
    <w:name w:val="Štruktúra dokumentu Char1314"/>
    <w:aliases w:val="Char9 Char Char1315,Štruktúra dokumentu Char Char Char1315,Document Map Char Char Char1315"/>
    <w:uiPriority w:val="99"/>
    <w:semiHidden/>
    <w:rsid w:val="00A809E7"/>
    <w:rPr>
      <w:rFonts w:ascii="Tahoma" w:hAnsi="Tahoma"/>
      <w:sz w:val="16"/>
      <w:lang w:val="x-none" w:eastAsia="cs-CZ"/>
    </w:rPr>
  </w:style>
  <w:style w:type="character" w:customStyle="1" w:styleId="truktradokumentuChar1313">
    <w:name w:val="Štruktúra dokumentu Char1313"/>
    <w:aliases w:val="Char9 Char Char1314,Štruktúra dokumentu Char Char Char1314,Document Map Char Char Char1314"/>
    <w:uiPriority w:val="99"/>
    <w:semiHidden/>
    <w:rsid w:val="00A809E7"/>
    <w:rPr>
      <w:rFonts w:ascii="Tahoma" w:hAnsi="Tahoma"/>
      <w:sz w:val="16"/>
      <w:lang w:val="x-none" w:eastAsia="cs-CZ"/>
    </w:rPr>
  </w:style>
  <w:style w:type="character" w:customStyle="1" w:styleId="truktradokumentuChar1312">
    <w:name w:val="Štruktúra dokumentu Char1312"/>
    <w:aliases w:val="Char9 Char Char1313,Štruktúra dokumentu Char Char Char1313,Document Map Char Char Char1313"/>
    <w:uiPriority w:val="99"/>
    <w:semiHidden/>
    <w:rsid w:val="00A809E7"/>
    <w:rPr>
      <w:rFonts w:ascii="Tahoma" w:hAnsi="Tahoma"/>
      <w:sz w:val="16"/>
      <w:lang w:val="x-none" w:eastAsia="cs-CZ"/>
    </w:rPr>
  </w:style>
  <w:style w:type="character" w:customStyle="1" w:styleId="truktradokumentuChar1311">
    <w:name w:val="Štruktúra dokumentu Char1311"/>
    <w:aliases w:val="Char9 Char Char1312,Štruktúra dokumentu Char Char Char1312,Document Map Char Char Char1312"/>
    <w:uiPriority w:val="99"/>
    <w:semiHidden/>
    <w:rsid w:val="00A809E7"/>
    <w:rPr>
      <w:rFonts w:ascii="Tahoma" w:hAnsi="Tahoma"/>
      <w:sz w:val="16"/>
      <w:lang w:val="x-none" w:eastAsia="cs-CZ"/>
    </w:rPr>
  </w:style>
  <w:style w:type="character" w:customStyle="1" w:styleId="truktradokumentuChar1310">
    <w:name w:val="Štruktúra dokumentu Char1310"/>
    <w:aliases w:val="Char9 Char Char1311,Štruktúra dokumentu Char Char Char1311,Document Map Char Char Char1311"/>
    <w:uiPriority w:val="99"/>
    <w:semiHidden/>
    <w:rsid w:val="00A809E7"/>
    <w:rPr>
      <w:rFonts w:ascii="Tahoma" w:hAnsi="Tahoma"/>
      <w:sz w:val="16"/>
      <w:lang w:val="x-none" w:eastAsia="cs-CZ"/>
    </w:rPr>
  </w:style>
  <w:style w:type="character" w:customStyle="1" w:styleId="truktradokumentuChar1309">
    <w:name w:val="Štruktúra dokumentu Char1309"/>
    <w:aliases w:val="Char9 Char Char1310,Štruktúra dokumentu Char Char Char1310,Document Map Char Char Char1310"/>
    <w:uiPriority w:val="99"/>
    <w:semiHidden/>
    <w:rsid w:val="00A809E7"/>
    <w:rPr>
      <w:rFonts w:ascii="Tahoma" w:hAnsi="Tahoma"/>
      <w:sz w:val="16"/>
      <w:lang w:val="x-none" w:eastAsia="cs-CZ"/>
    </w:rPr>
  </w:style>
  <w:style w:type="character" w:customStyle="1" w:styleId="truktradokumentuChar1308">
    <w:name w:val="Štruktúra dokumentu Char1308"/>
    <w:aliases w:val="Char9 Char Char1309,Štruktúra dokumentu Char Char Char1309,Document Map Char Char Char1309"/>
    <w:uiPriority w:val="99"/>
    <w:semiHidden/>
    <w:rsid w:val="00A809E7"/>
    <w:rPr>
      <w:rFonts w:ascii="Tahoma" w:hAnsi="Tahoma"/>
      <w:sz w:val="16"/>
      <w:lang w:val="x-none" w:eastAsia="cs-CZ"/>
    </w:rPr>
  </w:style>
  <w:style w:type="character" w:customStyle="1" w:styleId="truktradokumentuChar1307">
    <w:name w:val="Štruktúra dokumentu Char1307"/>
    <w:aliases w:val="Char9 Char Char1308,Štruktúra dokumentu Char Char Char1308,Document Map Char Char Char1308"/>
    <w:uiPriority w:val="99"/>
    <w:semiHidden/>
    <w:rsid w:val="00A809E7"/>
    <w:rPr>
      <w:rFonts w:ascii="Tahoma" w:hAnsi="Tahoma"/>
      <w:sz w:val="16"/>
      <w:lang w:val="x-none" w:eastAsia="cs-CZ"/>
    </w:rPr>
  </w:style>
  <w:style w:type="character" w:customStyle="1" w:styleId="truktradokumentuChar1306">
    <w:name w:val="Štruktúra dokumentu Char1306"/>
    <w:aliases w:val="Char9 Char Char1307,Štruktúra dokumentu Char Char Char1307,Document Map Char Char Char1307"/>
    <w:uiPriority w:val="99"/>
    <w:semiHidden/>
    <w:rsid w:val="00A809E7"/>
    <w:rPr>
      <w:rFonts w:ascii="Tahoma" w:hAnsi="Tahoma"/>
      <w:sz w:val="16"/>
      <w:lang w:val="x-none" w:eastAsia="cs-CZ"/>
    </w:rPr>
  </w:style>
  <w:style w:type="character" w:customStyle="1" w:styleId="truktradokumentuChar1305">
    <w:name w:val="Štruktúra dokumentu Char1305"/>
    <w:aliases w:val="Char9 Char Char1306,Štruktúra dokumentu Char Char Char1306,Document Map Char Char Char1306"/>
    <w:uiPriority w:val="99"/>
    <w:semiHidden/>
    <w:rsid w:val="00A809E7"/>
    <w:rPr>
      <w:rFonts w:ascii="Tahoma" w:hAnsi="Tahoma"/>
      <w:sz w:val="16"/>
      <w:lang w:val="x-none" w:eastAsia="cs-CZ"/>
    </w:rPr>
  </w:style>
  <w:style w:type="character" w:customStyle="1" w:styleId="truktradokumentuChar1304">
    <w:name w:val="Štruktúra dokumentu Char1304"/>
    <w:aliases w:val="Char9 Char Char1305,Štruktúra dokumentu Char Char Char1305,Document Map Char Char Char1305"/>
    <w:uiPriority w:val="99"/>
    <w:semiHidden/>
    <w:rsid w:val="00A809E7"/>
    <w:rPr>
      <w:rFonts w:ascii="Tahoma" w:hAnsi="Tahoma"/>
      <w:sz w:val="16"/>
      <w:lang w:val="x-none" w:eastAsia="cs-CZ"/>
    </w:rPr>
  </w:style>
  <w:style w:type="character" w:customStyle="1" w:styleId="truktradokumentuChar1303">
    <w:name w:val="Štruktúra dokumentu Char1303"/>
    <w:aliases w:val="Char9 Char Char1304,Štruktúra dokumentu Char Char Char1304,Document Map Char Char Char1304"/>
    <w:uiPriority w:val="99"/>
    <w:semiHidden/>
    <w:rsid w:val="00A809E7"/>
    <w:rPr>
      <w:rFonts w:ascii="Tahoma" w:hAnsi="Tahoma"/>
      <w:sz w:val="16"/>
      <w:lang w:val="x-none" w:eastAsia="cs-CZ"/>
    </w:rPr>
  </w:style>
  <w:style w:type="character" w:customStyle="1" w:styleId="truktradokumentuChar1302">
    <w:name w:val="Štruktúra dokumentu Char1302"/>
    <w:aliases w:val="Char9 Char Char1303,Štruktúra dokumentu Char Char Char1303,Document Map Char Char Char1303"/>
    <w:uiPriority w:val="99"/>
    <w:semiHidden/>
    <w:rsid w:val="00A809E7"/>
    <w:rPr>
      <w:rFonts w:ascii="Tahoma" w:hAnsi="Tahoma"/>
      <w:sz w:val="16"/>
      <w:lang w:val="x-none" w:eastAsia="cs-CZ"/>
    </w:rPr>
  </w:style>
  <w:style w:type="character" w:customStyle="1" w:styleId="truktradokumentuChar1301">
    <w:name w:val="Štruktúra dokumentu Char1301"/>
    <w:aliases w:val="Char9 Char Char1302,Štruktúra dokumentu Char Char Char1302,Document Map Char Char Char1302"/>
    <w:uiPriority w:val="99"/>
    <w:semiHidden/>
    <w:rsid w:val="00A809E7"/>
    <w:rPr>
      <w:rFonts w:ascii="Tahoma" w:hAnsi="Tahoma"/>
      <w:sz w:val="16"/>
      <w:lang w:val="x-none" w:eastAsia="cs-CZ"/>
    </w:rPr>
  </w:style>
  <w:style w:type="character" w:customStyle="1" w:styleId="truktradokumentuChar1300">
    <w:name w:val="Štruktúra dokumentu Char1300"/>
    <w:aliases w:val="Char9 Char Char1301,Štruktúra dokumentu Char Char Char1301,Document Map Char Char Char1301"/>
    <w:uiPriority w:val="99"/>
    <w:semiHidden/>
    <w:rsid w:val="00A809E7"/>
    <w:rPr>
      <w:rFonts w:ascii="Tahoma" w:hAnsi="Tahoma"/>
      <w:sz w:val="16"/>
      <w:lang w:val="x-none" w:eastAsia="cs-CZ"/>
    </w:rPr>
  </w:style>
  <w:style w:type="character" w:customStyle="1" w:styleId="truktradokumentuChar1299">
    <w:name w:val="Štruktúra dokumentu Char1299"/>
    <w:aliases w:val="Char9 Char Char1300,Štruktúra dokumentu Char Char Char1300,Document Map Char Char Char1300"/>
    <w:uiPriority w:val="99"/>
    <w:semiHidden/>
    <w:rsid w:val="00A809E7"/>
    <w:rPr>
      <w:rFonts w:ascii="Tahoma" w:hAnsi="Tahoma"/>
      <w:sz w:val="16"/>
      <w:lang w:val="x-none" w:eastAsia="cs-CZ"/>
    </w:rPr>
  </w:style>
  <w:style w:type="character" w:customStyle="1" w:styleId="truktradokumentuChar1298">
    <w:name w:val="Štruktúra dokumentu Char1298"/>
    <w:aliases w:val="Char9 Char Char1299,Štruktúra dokumentu Char Char Char1299,Document Map Char Char Char1299"/>
    <w:uiPriority w:val="99"/>
    <w:semiHidden/>
    <w:rsid w:val="00A809E7"/>
    <w:rPr>
      <w:rFonts w:ascii="Tahoma" w:hAnsi="Tahoma"/>
      <w:sz w:val="16"/>
      <w:lang w:val="x-none" w:eastAsia="cs-CZ"/>
    </w:rPr>
  </w:style>
  <w:style w:type="character" w:customStyle="1" w:styleId="truktradokumentuChar1297">
    <w:name w:val="Štruktúra dokumentu Char1297"/>
    <w:aliases w:val="Char9 Char Char1298,Štruktúra dokumentu Char Char Char1298,Document Map Char Char Char1298"/>
    <w:uiPriority w:val="99"/>
    <w:semiHidden/>
    <w:rsid w:val="00A809E7"/>
    <w:rPr>
      <w:rFonts w:ascii="Tahoma" w:hAnsi="Tahoma"/>
      <w:sz w:val="16"/>
      <w:lang w:val="x-none" w:eastAsia="cs-CZ"/>
    </w:rPr>
  </w:style>
  <w:style w:type="character" w:customStyle="1" w:styleId="truktradokumentuChar1296">
    <w:name w:val="Štruktúra dokumentu Char1296"/>
    <w:aliases w:val="Char9 Char Char1297,Štruktúra dokumentu Char Char Char1297,Document Map Char Char Char1297"/>
    <w:uiPriority w:val="99"/>
    <w:semiHidden/>
    <w:rsid w:val="00A809E7"/>
    <w:rPr>
      <w:rFonts w:ascii="Tahoma" w:hAnsi="Tahoma"/>
      <w:sz w:val="16"/>
      <w:lang w:val="x-none" w:eastAsia="cs-CZ"/>
    </w:rPr>
  </w:style>
  <w:style w:type="character" w:customStyle="1" w:styleId="truktradokumentuChar1295">
    <w:name w:val="Štruktúra dokumentu Char1295"/>
    <w:aliases w:val="Char9 Char Char1296,Štruktúra dokumentu Char Char Char1296,Document Map Char Char Char1296"/>
    <w:uiPriority w:val="99"/>
    <w:semiHidden/>
    <w:rsid w:val="00A809E7"/>
    <w:rPr>
      <w:rFonts w:ascii="Tahoma" w:hAnsi="Tahoma"/>
      <w:sz w:val="16"/>
      <w:lang w:val="x-none" w:eastAsia="cs-CZ"/>
    </w:rPr>
  </w:style>
  <w:style w:type="character" w:customStyle="1" w:styleId="truktradokumentuChar1294">
    <w:name w:val="Štruktúra dokumentu Char1294"/>
    <w:aliases w:val="Char9 Char Char1295,Štruktúra dokumentu Char Char Char1295,Document Map Char Char Char1295"/>
    <w:uiPriority w:val="99"/>
    <w:semiHidden/>
    <w:rsid w:val="00A809E7"/>
    <w:rPr>
      <w:rFonts w:ascii="Tahoma" w:hAnsi="Tahoma"/>
      <w:sz w:val="16"/>
      <w:lang w:val="x-none" w:eastAsia="cs-CZ"/>
    </w:rPr>
  </w:style>
  <w:style w:type="character" w:customStyle="1" w:styleId="truktradokumentuChar1293">
    <w:name w:val="Štruktúra dokumentu Char1293"/>
    <w:aliases w:val="Char9 Char Char1294,Štruktúra dokumentu Char Char Char1294,Document Map Char Char Char1294"/>
    <w:uiPriority w:val="99"/>
    <w:semiHidden/>
    <w:rsid w:val="00A809E7"/>
    <w:rPr>
      <w:rFonts w:ascii="Tahoma" w:hAnsi="Tahoma"/>
      <w:sz w:val="16"/>
      <w:lang w:val="x-none" w:eastAsia="cs-CZ"/>
    </w:rPr>
  </w:style>
  <w:style w:type="character" w:customStyle="1" w:styleId="truktradokumentuChar1292">
    <w:name w:val="Štruktúra dokumentu Char1292"/>
    <w:aliases w:val="Char9 Char Char1293,Štruktúra dokumentu Char Char Char1293,Document Map Char Char Char1293"/>
    <w:uiPriority w:val="99"/>
    <w:semiHidden/>
    <w:rsid w:val="00A809E7"/>
    <w:rPr>
      <w:rFonts w:ascii="Tahoma" w:hAnsi="Tahoma"/>
      <w:sz w:val="16"/>
      <w:lang w:val="x-none" w:eastAsia="cs-CZ"/>
    </w:rPr>
  </w:style>
  <w:style w:type="character" w:customStyle="1" w:styleId="truktradokumentuChar1291">
    <w:name w:val="Štruktúra dokumentu Char1291"/>
    <w:aliases w:val="Char9 Char Char1292,Štruktúra dokumentu Char Char Char1292,Document Map Char Char Char1292"/>
    <w:uiPriority w:val="99"/>
    <w:semiHidden/>
    <w:rsid w:val="00A809E7"/>
    <w:rPr>
      <w:rFonts w:ascii="Tahoma" w:hAnsi="Tahoma"/>
      <w:sz w:val="16"/>
      <w:lang w:val="x-none" w:eastAsia="cs-CZ"/>
    </w:rPr>
  </w:style>
  <w:style w:type="character" w:customStyle="1" w:styleId="truktradokumentuChar1290">
    <w:name w:val="Štruktúra dokumentu Char1290"/>
    <w:aliases w:val="Char9 Char Char1291,Štruktúra dokumentu Char Char Char1291,Document Map Char Char Char1291"/>
    <w:uiPriority w:val="99"/>
    <w:semiHidden/>
    <w:rsid w:val="00A809E7"/>
    <w:rPr>
      <w:rFonts w:ascii="Tahoma" w:hAnsi="Tahoma"/>
      <w:sz w:val="16"/>
      <w:lang w:val="x-none" w:eastAsia="cs-CZ"/>
    </w:rPr>
  </w:style>
  <w:style w:type="character" w:customStyle="1" w:styleId="truktradokumentuChar1289">
    <w:name w:val="Štruktúra dokumentu Char1289"/>
    <w:aliases w:val="Char9 Char Char1290,Štruktúra dokumentu Char Char Char1290,Document Map Char Char Char1290"/>
    <w:uiPriority w:val="99"/>
    <w:semiHidden/>
    <w:rsid w:val="00A809E7"/>
    <w:rPr>
      <w:rFonts w:ascii="Tahoma" w:hAnsi="Tahoma"/>
      <w:sz w:val="16"/>
      <w:lang w:val="x-none" w:eastAsia="cs-CZ"/>
    </w:rPr>
  </w:style>
  <w:style w:type="character" w:customStyle="1" w:styleId="truktradokumentuChar1288">
    <w:name w:val="Štruktúra dokumentu Char1288"/>
    <w:aliases w:val="Char9 Char Char1289,Štruktúra dokumentu Char Char Char1289,Document Map Char Char Char1289"/>
    <w:uiPriority w:val="99"/>
    <w:semiHidden/>
    <w:rsid w:val="00A809E7"/>
    <w:rPr>
      <w:rFonts w:ascii="Tahoma" w:hAnsi="Tahoma"/>
      <w:sz w:val="16"/>
      <w:lang w:val="x-none" w:eastAsia="cs-CZ"/>
    </w:rPr>
  </w:style>
  <w:style w:type="character" w:customStyle="1" w:styleId="truktradokumentuChar1287">
    <w:name w:val="Štruktúra dokumentu Char1287"/>
    <w:aliases w:val="Char9 Char Char1288,Štruktúra dokumentu Char Char Char1288,Document Map Char Char Char1288"/>
    <w:uiPriority w:val="99"/>
    <w:semiHidden/>
    <w:rsid w:val="00A809E7"/>
    <w:rPr>
      <w:rFonts w:ascii="Tahoma" w:hAnsi="Tahoma"/>
      <w:sz w:val="16"/>
      <w:lang w:val="x-none" w:eastAsia="cs-CZ"/>
    </w:rPr>
  </w:style>
  <w:style w:type="character" w:customStyle="1" w:styleId="truktradokumentuChar1286">
    <w:name w:val="Štruktúra dokumentu Char1286"/>
    <w:aliases w:val="Char9 Char Char1287,Štruktúra dokumentu Char Char Char1287,Document Map Char Char Char1287"/>
    <w:uiPriority w:val="99"/>
    <w:semiHidden/>
    <w:rsid w:val="00A809E7"/>
    <w:rPr>
      <w:rFonts w:ascii="Tahoma" w:hAnsi="Tahoma"/>
      <w:sz w:val="16"/>
      <w:lang w:val="x-none" w:eastAsia="cs-CZ"/>
    </w:rPr>
  </w:style>
  <w:style w:type="character" w:customStyle="1" w:styleId="truktradokumentuChar1285">
    <w:name w:val="Štruktúra dokumentu Char1285"/>
    <w:aliases w:val="Char9 Char Char1286,Štruktúra dokumentu Char Char Char1286,Document Map Char Char Char1286"/>
    <w:uiPriority w:val="99"/>
    <w:semiHidden/>
    <w:rsid w:val="00A809E7"/>
    <w:rPr>
      <w:rFonts w:ascii="Tahoma" w:hAnsi="Tahoma"/>
      <w:sz w:val="16"/>
      <w:lang w:val="x-none" w:eastAsia="cs-CZ"/>
    </w:rPr>
  </w:style>
  <w:style w:type="character" w:customStyle="1" w:styleId="truktradokumentuChar1284">
    <w:name w:val="Štruktúra dokumentu Char1284"/>
    <w:aliases w:val="Char9 Char Char1285,Štruktúra dokumentu Char Char Char1285,Document Map Char Char Char1285"/>
    <w:uiPriority w:val="99"/>
    <w:semiHidden/>
    <w:rsid w:val="00A809E7"/>
    <w:rPr>
      <w:rFonts w:ascii="Tahoma" w:hAnsi="Tahoma"/>
      <w:sz w:val="16"/>
      <w:lang w:val="x-none" w:eastAsia="cs-CZ"/>
    </w:rPr>
  </w:style>
  <w:style w:type="character" w:customStyle="1" w:styleId="truktradokumentuChar1283">
    <w:name w:val="Štruktúra dokumentu Char1283"/>
    <w:aliases w:val="Char9 Char Char1284,Štruktúra dokumentu Char Char Char1284,Document Map Char Char Char1284"/>
    <w:uiPriority w:val="99"/>
    <w:semiHidden/>
    <w:rsid w:val="00A809E7"/>
    <w:rPr>
      <w:rFonts w:ascii="Tahoma" w:hAnsi="Tahoma"/>
      <w:sz w:val="16"/>
      <w:lang w:val="x-none" w:eastAsia="cs-CZ"/>
    </w:rPr>
  </w:style>
  <w:style w:type="character" w:customStyle="1" w:styleId="truktradokumentuChar1282">
    <w:name w:val="Štruktúra dokumentu Char1282"/>
    <w:aliases w:val="Char9 Char Char1283,Štruktúra dokumentu Char Char Char1283,Document Map Char Char Char1283"/>
    <w:uiPriority w:val="99"/>
    <w:semiHidden/>
    <w:rsid w:val="00A809E7"/>
    <w:rPr>
      <w:rFonts w:ascii="Tahoma" w:hAnsi="Tahoma"/>
      <w:sz w:val="16"/>
      <w:lang w:val="x-none" w:eastAsia="cs-CZ"/>
    </w:rPr>
  </w:style>
  <w:style w:type="character" w:customStyle="1" w:styleId="truktradokumentuChar1281">
    <w:name w:val="Štruktúra dokumentu Char1281"/>
    <w:aliases w:val="Char9 Char Char1282,Štruktúra dokumentu Char Char Char1282,Document Map Char Char Char1282"/>
    <w:uiPriority w:val="99"/>
    <w:semiHidden/>
    <w:rsid w:val="00A809E7"/>
    <w:rPr>
      <w:rFonts w:ascii="Tahoma" w:hAnsi="Tahoma"/>
      <w:sz w:val="16"/>
      <w:lang w:val="x-none" w:eastAsia="cs-CZ"/>
    </w:rPr>
  </w:style>
  <w:style w:type="character" w:customStyle="1" w:styleId="truktradokumentuChar1280">
    <w:name w:val="Štruktúra dokumentu Char1280"/>
    <w:aliases w:val="Char9 Char Char1281,Štruktúra dokumentu Char Char Char1281,Document Map Char Char Char1281"/>
    <w:uiPriority w:val="99"/>
    <w:semiHidden/>
    <w:rsid w:val="00A809E7"/>
    <w:rPr>
      <w:rFonts w:ascii="Tahoma" w:hAnsi="Tahoma"/>
      <w:sz w:val="16"/>
      <w:lang w:val="x-none" w:eastAsia="cs-CZ"/>
    </w:rPr>
  </w:style>
  <w:style w:type="character" w:customStyle="1" w:styleId="truktradokumentuChar1279">
    <w:name w:val="Štruktúra dokumentu Char1279"/>
    <w:aliases w:val="Char9 Char Char1280,Štruktúra dokumentu Char Char Char1280,Document Map Char Char Char1280"/>
    <w:uiPriority w:val="99"/>
    <w:semiHidden/>
    <w:rsid w:val="00A809E7"/>
    <w:rPr>
      <w:rFonts w:ascii="Tahoma" w:hAnsi="Tahoma"/>
      <w:sz w:val="16"/>
      <w:lang w:val="x-none" w:eastAsia="cs-CZ"/>
    </w:rPr>
  </w:style>
  <w:style w:type="character" w:customStyle="1" w:styleId="truktradokumentuChar1278">
    <w:name w:val="Štruktúra dokumentu Char1278"/>
    <w:aliases w:val="Char9 Char Char1279,Štruktúra dokumentu Char Char Char1279,Document Map Char Char Char1279"/>
    <w:uiPriority w:val="99"/>
    <w:semiHidden/>
    <w:rsid w:val="00A809E7"/>
    <w:rPr>
      <w:rFonts w:ascii="Tahoma" w:hAnsi="Tahoma"/>
      <w:sz w:val="16"/>
      <w:lang w:val="x-none" w:eastAsia="cs-CZ"/>
    </w:rPr>
  </w:style>
  <w:style w:type="character" w:customStyle="1" w:styleId="truktradokumentuChar1277">
    <w:name w:val="Štruktúra dokumentu Char1277"/>
    <w:aliases w:val="Char9 Char Char1278,Štruktúra dokumentu Char Char Char1278,Document Map Char Char Char1278"/>
    <w:uiPriority w:val="99"/>
    <w:semiHidden/>
    <w:rsid w:val="00A809E7"/>
    <w:rPr>
      <w:rFonts w:ascii="Tahoma" w:hAnsi="Tahoma"/>
      <w:sz w:val="16"/>
      <w:lang w:val="x-none" w:eastAsia="cs-CZ"/>
    </w:rPr>
  </w:style>
  <w:style w:type="character" w:customStyle="1" w:styleId="truktradokumentuChar1276">
    <w:name w:val="Štruktúra dokumentu Char1276"/>
    <w:aliases w:val="Char9 Char Char1277,Štruktúra dokumentu Char Char Char1277,Document Map Char Char Char1277"/>
    <w:uiPriority w:val="99"/>
    <w:semiHidden/>
    <w:rsid w:val="00A809E7"/>
    <w:rPr>
      <w:rFonts w:ascii="Tahoma" w:hAnsi="Tahoma"/>
      <w:sz w:val="16"/>
      <w:lang w:val="x-none" w:eastAsia="cs-CZ"/>
    </w:rPr>
  </w:style>
  <w:style w:type="character" w:customStyle="1" w:styleId="truktradokumentuChar1275">
    <w:name w:val="Štruktúra dokumentu Char1275"/>
    <w:aliases w:val="Char9 Char Char1276,Štruktúra dokumentu Char Char Char1276,Document Map Char Char Char1276"/>
    <w:uiPriority w:val="99"/>
    <w:semiHidden/>
    <w:rsid w:val="00A809E7"/>
    <w:rPr>
      <w:rFonts w:ascii="Tahoma" w:hAnsi="Tahoma"/>
      <w:sz w:val="16"/>
      <w:lang w:val="x-none" w:eastAsia="cs-CZ"/>
    </w:rPr>
  </w:style>
  <w:style w:type="character" w:customStyle="1" w:styleId="truktradokumentuChar1274">
    <w:name w:val="Štruktúra dokumentu Char1274"/>
    <w:aliases w:val="Char9 Char Char1275,Štruktúra dokumentu Char Char Char1275,Document Map Char Char Char1275"/>
    <w:uiPriority w:val="99"/>
    <w:semiHidden/>
    <w:rsid w:val="00A809E7"/>
    <w:rPr>
      <w:rFonts w:ascii="Tahoma" w:hAnsi="Tahoma"/>
      <w:sz w:val="16"/>
      <w:lang w:val="x-none" w:eastAsia="cs-CZ"/>
    </w:rPr>
  </w:style>
  <w:style w:type="character" w:customStyle="1" w:styleId="truktradokumentuChar1273">
    <w:name w:val="Štruktúra dokumentu Char1273"/>
    <w:aliases w:val="Char9 Char Char1274,Štruktúra dokumentu Char Char Char1274,Document Map Char Char Char1274"/>
    <w:uiPriority w:val="99"/>
    <w:semiHidden/>
    <w:rsid w:val="00A809E7"/>
    <w:rPr>
      <w:rFonts w:ascii="Tahoma" w:hAnsi="Tahoma"/>
      <w:sz w:val="16"/>
      <w:lang w:val="x-none" w:eastAsia="cs-CZ"/>
    </w:rPr>
  </w:style>
  <w:style w:type="character" w:customStyle="1" w:styleId="truktradokumentuChar1272">
    <w:name w:val="Štruktúra dokumentu Char1272"/>
    <w:aliases w:val="Char9 Char Char1273,Štruktúra dokumentu Char Char Char1273,Document Map Char Char Char1273"/>
    <w:uiPriority w:val="99"/>
    <w:semiHidden/>
    <w:rsid w:val="00A809E7"/>
    <w:rPr>
      <w:rFonts w:ascii="Tahoma" w:hAnsi="Tahoma"/>
      <w:sz w:val="16"/>
      <w:lang w:val="x-none" w:eastAsia="cs-CZ"/>
    </w:rPr>
  </w:style>
  <w:style w:type="character" w:customStyle="1" w:styleId="truktradokumentuChar1271">
    <w:name w:val="Štruktúra dokumentu Char1271"/>
    <w:aliases w:val="Char9 Char Char1272,Štruktúra dokumentu Char Char Char1272,Document Map Char Char Char1272"/>
    <w:uiPriority w:val="99"/>
    <w:semiHidden/>
    <w:rsid w:val="00A809E7"/>
    <w:rPr>
      <w:rFonts w:ascii="Tahoma" w:hAnsi="Tahoma"/>
      <w:sz w:val="16"/>
      <w:lang w:val="x-none" w:eastAsia="cs-CZ"/>
    </w:rPr>
  </w:style>
  <w:style w:type="character" w:customStyle="1" w:styleId="truktradokumentuChar1270">
    <w:name w:val="Štruktúra dokumentu Char1270"/>
    <w:aliases w:val="Char9 Char Char1271,Štruktúra dokumentu Char Char Char1271,Document Map Char Char Char1271"/>
    <w:uiPriority w:val="99"/>
    <w:semiHidden/>
    <w:rsid w:val="00A809E7"/>
    <w:rPr>
      <w:rFonts w:ascii="Tahoma" w:hAnsi="Tahoma"/>
      <w:sz w:val="16"/>
      <w:lang w:val="x-none" w:eastAsia="cs-CZ"/>
    </w:rPr>
  </w:style>
  <w:style w:type="character" w:customStyle="1" w:styleId="truktradokumentuChar1269">
    <w:name w:val="Štruktúra dokumentu Char1269"/>
    <w:aliases w:val="Char9 Char Char1270,Štruktúra dokumentu Char Char Char1270,Document Map Char Char Char1270"/>
    <w:uiPriority w:val="99"/>
    <w:semiHidden/>
    <w:rsid w:val="00A809E7"/>
    <w:rPr>
      <w:rFonts w:ascii="Tahoma" w:hAnsi="Tahoma"/>
      <w:sz w:val="16"/>
      <w:lang w:val="x-none" w:eastAsia="cs-CZ"/>
    </w:rPr>
  </w:style>
  <w:style w:type="character" w:customStyle="1" w:styleId="truktradokumentuChar1268">
    <w:name w:val="Štruktúra dokumentu Char1268"/>
    <w:aliases w:val="Char9 Char Char1269,Štruktúra dokumentu Char Char Char1269,Document Map Char Char Char1269"/>
    <w:uiPriority w:val="99"/>
    <w:semiHidden/>
    <w:rsid w:val="00A809E7"/>
    <w:rPr>
      <w:rFonts w:ascii="Tahoma" w:hAnsi="Tahoma"/>
      <w:sz w:val="16"/>
      <w:lang w:val="x-none" w:eastAsia="cs-CZ"/>
    </w:rPr>
  </w:style>
  <w:style w:type="character" w:customStyle="1" w:styleId="truktradokumentuChar1267">
    <w:name w:val="Štruktúra dokumentu Char1267"/>
    <w:aliases w:val="Char9 Char Char1268,Štruktúra dokumentu Char Char Char1268,Document Map Char Char Char1268"/>
    <w:uiPriority w:val="99"/>
    <w:semiHidden/>
    <w:rsid w:val="00A809E7"/>
    <w:rPr>
      <w:rFonts w:ascii="Tahoma" w:hAnsi="Tahoma"/>
      <w:sz w:val="16"/>
      <w:lang w:val="x-none" w:eastAsia="cs-CZ"/>
    </w:rPr>
  </w:style>
  <w:style w:type="character" w:customStyle="1" w:styleId="truktradokumentuChar1266">
    <w:name w:val="Štruktúra dokumentu Char1266"/>
    <w:aliases w:val="Char9 Char Char1267,Štruktúra dokumentu Char Char Char1267,Document Map Char Char Char1267"/>
    <w:uiPriority w:val="99"/>
    <w:semiHidden/>
    <w:rsid w:val="00A809E7"/>
    <w:rPr>
      <w:rFonts w:ascii="Tahoma" w:hAnsi="Tahoma"/>
      <w:sz w:val="16"/>
      <w:lang w:val="x-none" w:eastAsia="cs-CZ"/>
    </w:rPr>
  </w:style>
  <w:style w:type="character" w:customStyle="1" w:styleId="truktradokumentuChar1265">
    <w:name w:val="Štruktúra dokumentu Char1265"/>
    <w:aliases w:val="Char9 Char Char1266,Štruktúra dokumentu Char Char Char1266,Document Map Char Char Char1266"/>
    <w:uiPriority w:val="99"/>
    <w:semiHidden/>
    <w:rsid w:val="00A809E7"/>
    <w:rPr>
      <w:rFonts w:ascii="Tahoma" w:hAnsi="Tahoma"/>
      <w:sz w:val="16"/>
      <w:lang w:val="x-none" w:eastAsia="cs-CZ"/>
    </w:rPr>
  </w:style>
  <w:style w:type="character" w:customStyle="1" w:styleId="truktradokumentuChar1264">
    <w:name w:val="Štruktúra dokumentu Char1264"/>
    <w:aliases w:val="Char9 Char Char1265,Štruktúra dokumentu Char Char Char1265,Document Map Char Char Char1265"/>
    <w:uiPriority w:val="99"/>
    <w:semiHidden/>
    <w:rsid w:val="00A809E7"/>
    <w:rPr>
      <w:rFonts w:ascii="Tahoma" w:hAnsi="Tahoma"/>
      <w:sz w:val="16"/>
      <w:lang w:val="x-none" w:eastAsia="cs-CZ"/>
    </w:rPr>
  </w:style>
  <w:style w:type="character" w:customStyle="1" w:styleId="truktradokumentuChar1263">
    <w:name w:val="Štruktúra dokumentu Char1263"/>
    <w:aliases w:val="Char9 Char Char1264,Štruktúra dokumentu Char Char Char1264,Document Map Char Char Char1264"/>
    <w:uiPriority w:val="99"/>
    <w:semiHidden/>
    <w:rsid w:val="00A809E7"/>
    <w:rPr>
      <w:rFonts w:ascii="Tahoma" w:hAnsi="Tahoma"/>
      <w:sz w:val="16"/>
      <w:lang w:val="x-none" w:eastAsia="cs-CZ"/>
    </w:rPr>
  </w:style>
  <w:style w:type="character" w:customStyle="1" w:styleId="truktradokumentuChar1262">
    <w:name w:val="Štruktúra dokumentu Char1262"/>
    <w:aliases w:val="Char9 Char Char1263,Štruktúra dokumentu Char Char Char1263,Document Map Char Char Char1263"/>
    <w:uiPriority w:val="99"/>
    <w:semiHidden/>
    <w:rsid w:val="00A809E7"/>
    <w:rPr>
      <w:rFonts w:ascii="Tahoma" w:hAnsi="Tahoma"/>
      <w:sz w:val="16"/>
      <w:lang w:val="x-none" w:eastAsia="cs-CZ"/>
    </w:rPr>
  </w:style>
  <w:style w:type="character" w:customStyle="1" w:styleId="truktradokumentuChar1261">
    <w:name w:val="Štruktúra dokumentu Char1261"/>
    <w:aliases w:val="Char9 Char Char1262,Štruktúra dokumentu Char Char Char1262,Document Map Char Char Char1262"/>
    <w:uiPriority w:val="99"/>
    <w:semiHidden/>
    <w:rsid w:val="00A809E7"/>
    <w:rPr>
      <w:rFonts w:ascii="Tahoma" w:hAnsi="Tahoma"/>
      <w:sz w:val="16"/>
      <w:lang w:val="x-none" w:eastAsia="cs-CZ"/>
    </w:rPr>
  </w:style>
  <w:style w:type="character" w:customStyle="1" w:styleId="truktradokumentuChar1260">
    <w:name w:val="Štruktúra dokumentu Char1260"/>
    <w:aliases w:val="Char9 Char Char1261,Štruktúra dokumentu Char Char Char1261,Document Map Char Char Char1261"/>
    <w:uiPriority w:val="99"/>
    <w:semiHidden/>
    <w:rsid w:val="00A809E7"/>
    <w:rPr>
      <w:rFonts w:ascii="Tahoma" w:hAnsi="Tahoma"/>
      <w:sz w:val="16"/>
      <w:lang w:val="x-none" w:eastAsia="cs-CZ"/>
    </w:rPr>
  </w:style>
  <w:style w:type="character" w:customStyle="1" w:styleId="truktradokumentuChar1259">
    <w:name w:val="Štruktúra dokumentu Char1259"/>
    <w:aliases w:val="Char9 Char Char1260,Štruktúra dokumentu Char Char Char1260,Document Map Char Char Char1260"/>
    <w:uiPriority w:val="99"/>
    <w:semiHidden/>
    <w:rsid w:val="00A809E7"/>
    <w:rPr>
      <w:rFonts w:ascii="Tahoma" w:hAnsi="Tahoma"/>
      <w:sz w:val="16"/>
      <w:lang w:val="x-none" w:eastAsia="cs-CZ"/>
    </w:rPr>
  </w:style>
  <w:style w:type="character" w:customStyle="1" w:styleId="truktradokumentuChar1258">
    <w:name w:val="Štruktúra dokumentu Char1258"/>
    <w:aliases w:val="Char9 Char Char1259,Štruktúra dokumentu Char Char Char1259,Document Map Char Char Char1259"/>
    <w:uiPriority w:val="99"/>
    <w:semiHidden/>
    <w:rsid w:val="00A809E7"/>
    <w:rPr>
      <w:rFonts w:ascii="Tahoma" w:hAnsi="Tahoma"/>
      <w:sz w:val="16"/>
      <w:lang w:val="x-none" w:eastAsia="cs-CZ"/>
    </w:rPr>
  </w:style>
  <w:style w:type="character" w:customStyle="1" w:styleId="truktradokumentuChar1257">
    <w:name w:val="Štruktúra dokumentu Char1257"/>
    <w:aliases w:val="Char9 Char Char1258,Štruktúra dokumentu Char Char Char1258,Document Map Char Char Char1258"/>
    <w:uiPriority w:val="99"/>
    <w:semiHidden/>
    <w:rsid w:val="00A809E7"/>
    <w:rPr>
      <w:rFonts w:ascii="Tahoma" w:hAnsi="Tahoma"/>
      <w:sz w:val="16"/>
      <w:lang w:val="x-none" w:eastAsia="cs-CZ"/>
    </w:rPr>
  </w:style>
  <w:style w:type="character" w:customStyle="1" w:styleId="truktradokumentuChar1256">
    <w:name w:val="Štruktúra dokumentu Char1256"/>
    <w:aliases w:val="Char9 Char Char1257,Štruktúra dokumentu Char Char Char1257,Document Map Char Char Char1257"/>
    <w:uiPriority w:val="99"/>
    <w:semiHidden/>
    <w:rsid w:val="00A809E7"/>
    <w:rPr>
      <w:rFonts w:ascii="Tahoma" w:hAnsi="Tahoma"/>
      <w:sz w:val="16"/>
      <w:lang w:val="x-none" w:eastAsia="cs-CZ"/>
    </w:rPr>
  </w:style>
  <w:style w:type="character" w:customStyle="1" w:styleId="truktradokumentuChar1255">
    <w:name w:val="Štruktúra dokumentu Char1255"/>
    <w:aliases w:val="Char9 Char Char1256,Štruktúra dokumentu Char Char Char1256,Document Map Char Char Char1256"/>
    <w:uiPriority w:val="99"/>
    <w:semiHidden/>
    <w:rsid w:val="00A809E7"/>
    <w:rPr>
      <w:rFonts w:ascii="Tahoma" w:hAnsi="Tahoma"/>
      <w:sz w:val="16"/>
      <w:lang w:val="x-none" w:eastAsia="cs-CZ"/>
    </w:rPr>
  </w:style>
  <w:style w:type="character" w:customStyle="1" w:styleId="truktradokumentuChar1254">
    <w:name w:val="Štruktúra dokumentu Char1254"/>
    <w:aliases w:val="Char9 Char Char1255,Štruktúra dokumentu Char Char Char1255,Document Map Char Char Char1255"/>
    <w:uiPriority w:val="99"/>
    <w:semiHidden/>
    <w:rsid w:val="00A809E7"/>
    <w:rPr>
      <w:rFonts w:ascii="Tahoma" w:hAnsi="Tahoma"/>
      <w:sz w:val="16"/>
      <w:lang w:val="x-none" w:eastAsia="cs-CZ"/>
    </w:rPr>
  </w:style>
  <w:style w:type="character" w:customStyle="1" w:styleId="truktradokumentuChar1253">
    <w:name w:val="Štruktúra dokumentu Char1253"/>
    <w:aliases w:val="Char9 Char Char1254,Štruktúra dokumentu Char Char Char1254,Document Map Char Char Char1254"/>
    <w:uiPriority w:val="99"/>
    <w:semiHidden/>
    <w:rsid w:val="00A809E7"/>
    <w:rPr>
      <w:rFonts w:ascii="Tahoma" w:hAnsi="Tahoma"/>
      <w:sz w:val="16"/>
      <w:lang w:val="x-none" w:eastAsia="cs-CZ"/>
    </w:rPr>
  </w:style>
  <w:style w:type="character" w:customStyle="1" w:styleId="truktradokumentuChar1252">
    <w:name w:val="Štruktúra dokumentu Char1252"/>
    <w:aliases w:val="Char9 Char Char1253,Štruktúra dokumentu Char Char Char1253,Document Map Char Char Char1253"/>
    <w:uiPriority w:val="99"/>
    <w:semiHidden/>
    <w:rsid w:val="00A809E7"/>
    <w:rPr>
      <w:rFonts w:ascii="Tahoma" w:hAnsi="Tahoma"/>
      <w:sz w:val="16"/>
      <w:lang w:val="x-none" w:eastAsia="cs-CZ"/>
    </w:rPr>
  </w:style>
  <w:style w:type="character" w:customStyle="1" w:styleId="truktradokumentuChar1251">
    <w:name w:val="Štruktúra dokumentu Char1251"/>
    <w:aliases w:val="Char9 Char Char1252,Štruktúra dokumentu Char Char Char1252,Document Map Char Char Char1252"/>
    <w:uiPriority w:val="99"/>
    <w:semiHidden/>
    <w:rsid w:val="00A809E7"/>
    <w:rPr>
      <w:rFonts w:ascii="Tahoma" w:hAnsi="Tahoma"/>
      <w:sz w:val="16"/>
      <w:lang w:val="x-none" w:eastAsia="cs-CZ"/>
    </w:rPr>
  </w:style>
  <w:style w:type="character" w:customStyle="1" w:styleId="truktradokumentuChar1250">
    <w:name w:val="Štruktúra dokumentu Char1250"/>
    <w:aliases w:val="Char9 Char Char1251,Štruktúra dokumentu Char Char Char1251,Document Map Char Char Char1251"/>
    <w:uiPriority w:val="99"/>
    <w:semiHidden/>
    <w:rsid w:val="00A809E7"/>
    <w:rPr>
      <w:rFonts w:ascii="Tahoma" w:hAnsi="Tahoma"/>
      <w:sz w:val="16"/>
      <w:lang w:val="x-none" w:eastAsia="cs-CZ"/>
    </w:rPr>
  </w:style>
  <w:style w:type="character" w:customStyle="1" w:styleId="truktradokumentuChar1249">
    <w:name w:val="Štruktúra dokumentu Char1249"/>
    <w:aliases w:val="Char9 Char Char1250,Štruktúra dokumentu Char Char Char1250,Document Map Char Char Char1250"/>
    <w:uiPriority w:val="99"/>
    <w:semiHidden/>
    <w:rsid w:val="00A809E7"/>
    <w:rPr>
      <w:rFonts w:ascii="Tahoma" w:hAnsi="Tahoma"/>
      <w:sz w:val="16"/>
      <w:lang w:val="x-none" w:eastAsia="cs-CZ"/>
    </w:rPr>
  </w:style>
  <w:style w:type="character" w:customStyle="1" w:styleId="truktradokumentuChar1248">
    <w:name w:val="Štruktúra dokumentu Char1248"/>
    <w:aliases w:val="Char9 Char Char1249,Štruktúra dokumentu Char Char Char1249,Document Map Char Char Char1249"/>
    <w:uiPriority w:val="99"/>
    <w:semiHidden/>
    <w:rsid w:val="00A809E7"/>
    <w:rPr>
      <w:rFonts w:ascii="Tahoma" w:hAnsi="Tahoma"/>
      <w:sz w:val="16"/>
      <w:lang w:val="x-none" w:eastAsia="cs-CZ"/>
    </w:rPr>
  </w:style>
  <w:style w:type="character" w:customStyle="1" w:styleId="truktradokumentuChar1247">
    <w:name w:val="Štruktúra dokumentu Char1247"/>
    <w:aliases w:val="Char9 Char Char1248,Štruktúra dokumentu Char Char Char1248,Document Map Char Char Char1248"/>
    <w:uiPriority w:val="99"/>
    <w:semiHidden/>
    <w:rsid w:val="00A809E7"/>
    <w:rPr>
      <w:rFonts w:ascii="Tahoma" w:hAnsi="Tahoma"/>
      <w:sz w:val="16"/>
      <w:lang w:val="x-none" w:eastAsia="cs-CZ"/>
    </w:rPr>
  </w:style>
  <w:style w:type="character" w:customStyle="1" w:styleId="truktradokumentuChar1246">
    <w:name w:val="Štruktúra dokumentu Char1246"/>
    <w:aliases w:val="Char9 Char Char1247,Štruktúra dokumentu Char Char Char1247,Document Map Char Char Char1247"/>
    <w:uiPriority w:val="99"/>
    <w:semiHidden/>
    <w:rsid w:val="00A809E7"/>
    <w:rPr>
      <w:rFonts w:ascii="Tahoma" w:hAnsi="Tahoma"/>
      <w:sz w:val="16"/>
      <w:lang w:val="x-none" w:eastAsia="cs-CZ"/>
    </w:rPr>
  </w:style>
  <w:style w:type="character" w:customStyle="1" w:styleId="truktradokumentuChar1245">
    <w:name w:val="Štruktúra dokumentu Char1245"/>
    <w:aliases w:val="Char9 Char Char1246,Štruktúra dokumentu Char Char Char1246,Document Map Char Char Char1246"/>
    <w:uiPriority w:val="99"/>
    <w:semiHidden/>
    <w:rsid w:val="00A809E7"/>
    <w:rPr>
      <w:rFonts w:ascii="Tahoma" w:hAnsi="Tahoma"/>
      <w:sz w:val="16"/>
      <w:lang w:val="x-none" w:eastAsia="cs-CZ"/>
    </w:rPr>
  </w:style>
  <w:style w:type="character" w:customStyle="1" w:styleId="truktradokumentuChar1244">
    <w:name w:val="Štruktúra dokumentu Char1244"/>
    <w:aliases w:val="Char9 Char Char1245,Štruktúra dokumentu Char Char Char1245,Document Map Char Char Char1245"/>
    <w:uiPriority w:val="99"/>
    <w:semiHidden/>
    <w:rsid w:val="00A809E7"/>
    <w:rPr>
      <w:rFonts w:ascii="Tahoma" w:hAnsi="Tahoma"/>
      <w:sz w:val="16"/>
      <w:lang w:val="x-none" w:eastAsia="cs-CZ"/>
    </w:rPr>
  </w:style>
  <w:style w:type="character" w:customStyle="1" w:styleId="truktradokumentuChar1243">
    <w:name w:val="Štruktúra dokumentu Char1243"/>
    <w:aliases w:val="Char9 Char Char1244,Štruktúra dokumentu Char Char Char1244,Document Map Char Char Char1244"/>
    <w:uiPriority w:val="99"/>
    <w:semiHidden/>
    <w:rsid w:val="00A809E7"/>
    <w:rPr>
      <w:rFonts w:ascii="Tahoma" w:hAnsi="Tahoma"/>
      <w:sz w:val="16"/>
      <w:lang w:val="x-none" w:eastAsia="cs-CZ"/>
    </w:rPr>
  </w:style>
  <w:style w:type="character" w:customStyle="1" w:styleId="truktradokumentuChar1242">
    <w:name w:val="Štruktúra dokumentu Char1242"/>
    <w:aliases w:val="Char9 Char Char1243,Štruktúra dokumentu Char Char Char1243,Document Map Char Char Char1243"/>
    <w:uiPriority w:val="99"/>
    <w:semiHidden/>
    <w:rsid w:val="00A809E7"/>
    <w:rPr>
      <w:rFonts w:ascii="Tahoma" w:hAnsi="Tahoma"/>
      <w:sz w:val="16"/>
      <w:lang w:val="x-none" w:eastAsia="cs-CZ"/>
    </w:rPr>
  </w:style>
  <w:style w:type="character" w:customStyle="1" w:styleId="truktradokumentuChar1241">
    <w:name w:val="Štruktúra dokumentu Char1241"/>
    <w:aliases w:val="Char9 Char Char1242,Štruktúra dokumentu Char Char Char1242,Document Map Char Char Char1242"/>
    <w:uiPriority w:val="99"/>
    <w:semiHidden/>
    <w:rsid w:val="00A809E7"/>
    <w:rPr>
      <w:rFonts w:ascii="Tahoma" w:hAnsi="Tahoma"/>
      <w:sz w:val="16"/>
      <w:lang w:val="x-none" w:eastAsia="cs-CZ"/>
    </w:rPr>
  </w:style>
  <w:style w:type="character" w:customStyle="1" w:styleId="truktradokumentuChar1240">
    <w:name w:val="Štruktúra dokumentu Char1240"/>
    <w:aliases w:val="Char9 Char Char1241,Štruktúra dokumentu Char Char Char1241,Document Map Char Char Char1241"/>
    <w:uiPriority w:val="99"/>
    <w:semiHidden/>
    <w:rsid w:val="00A809E7"/>
    <w:rPr>
      <w:rFonts w:ascii="Tahoma" w:hAnsi="Tahoma"/>
      <w:sz w:val="16"/>
      <w:lang w:val="x-none" w:eastAsia="cs-CZ"/>
    </w:rPr>
  </w:style>
  <w:style w:type="character" w:customStyle="1" w:styleId="truktradokumentuChar1239">
    <w:name w:val="Štruktúra dokumentu Char1239"/>
    <w:aliases w:val="Char9 Char Char1240,Štruktúra dokumentu Char Char Char1240,Document Map Char Char Char1240"/>
    <w:uiPriority w:val="99"/>
    <w:semiHidden/>
    <w:rsid w:val="00A809E7"/>
    <w:rPr>
      <w:rFonts w:ascii="Tahoma" w:hAnsi="Tahoma"/>
      <w:sz w:val="16"/>
      <w:lang w:val="x-none" w:eastAsia="cs-CZ"/>
    </w:rPr>
  </w:style>
  <w:style w:type="character" w:customStyle="1" w:styleId="truktradokumentuChar1238">
    <w:name w:val="Štruktúra dokumentu Char1238"/>
    <w:aliases w:val="Char9 Char Char1239,Štruktúra dokumentu Char Char Char1239,Document Map Char Char Char1239"/>
    <w:uiPriority w:val="99"/>
    <w:semiHidden/>
    <w:rsid w:val="00A809E7"/>
    <w:rPr>
      <w:rFonts w:ascii="Tahoma" w:hAnsi="Tahoma"/>
      <w:sz w:val="16"/>
      <w:lang w:val="x-none" w:eastAsia="cs-CZ"/>
    </w:rPr>
  </w:style>
  <w:style w:type="character" w:customStyle="1" w:styleId="truktradokumentuChar1237">
    <w:name w:val="Štruktúra dokumentu Char1237"/>
    <w:aliases w:val="Char9 Char Char1238,Štruktúra dokumentu Char Char Char1238,Document Map Char Char Char1238"/>
    <w:uiPriority w:val="99"/>
    <w:semiHidden/>
    <w:rsid w:val="00A809E7"/>
    <w:rPr>
      <w:rFonts w:ascii="Tahoma" w:hAnsi="Tahoma"/>
      <w:sz w:val="16"/>
      <w:lang w:val="x-none" w:eastAsia="cs-CZ"/>
    </w:rPr>
  </w:style>
  <w:style w:type="character" w:customStyle="1" w:styleId="truktradokumentuChar1236">
    <w:name w:val="Štruktúra dokumentu Char1236"/>
    <w:aliases w:val="Char9 Char Char1237,Štruktúra dokumentu Char Char Char1237,Document Map Char Char Char1237"/>
    <w:uiPriority w:val="99"/>
    <w:semiHidden/>
    <w:rsid w:val="00A809E7"/>
    <w:rPr>
      <w:rFonts w:ascii="Tahoma" w:hAnsi="Tahoma"/>
      <w:sz w:val="16"/>
      <w:lang w:val="x-none" w:eastAsia="cs-CZ"/>
    </w:rPr>
  </w:style>
  <w:style w:type="character" w:customStyle="1" w:styleId="truktradokumentuChar1235">
    <w:name w:val="Štruktúra dokumentu Char1235"/>
    <w:aliases w:val="Char9 Char Char1236,Štruktúra dokumentu Char Char Char1236,Document Map Char Char Char1236"/>
    <w:uiPriority w:val="99"/>
    <w:semiHidden/>
    <w:rsid w:val="00A809E7"/>
    <w:rPr>
      <w:rFonts w:ascii="Tahoma" w:hAnsi="Tahoma"/>
      <w:sz w:val="16"/>
      <w:lang w:val="x-none" w:eastAsia="cs-CZ"/>
    </w:rPr>
  </w:style>
  <w:style w:type="character" w:customStyle="1" w:styleId="truktradokumentuChar1234">
    <w:name w:val="Štruktúra dokumentu Char1234"/>
    <w:aliases w:val="Char9 Char Char1235,Štruktúra dokumentu Char Char Char1235,Document Map Char Char Char1235"/>
    <w:uiPriority w:val="99"/>
    <w:semiHidden/>
    <w:rsid w:val="00A809E7"/>
    <w:rPr>
      <w:rFonts w:ascii="Tahoma" w:hAnsi="Tahoma"/>
      <w:sz w:val="16"/>
      <w:lang w:val="x-none" w:eastAsia="cs-CZ"/>
    </w:rPr>
  </w:style>
  <w:style w:type="character" w:customStyle="1" w:styleId="truktradokumentuChar1233">
    <w:name w:val="Štruktúra dokumentu Char1233"/>
    <w:aliases w:val="Char9 Char Char1234,Štruktúra dokumentu Char Char Char1234,Document Map Char Char Char1234"/>
    <w:uiPriority w:val="99"/>
    <w:semiHidden/>
    <w:rsid w:val="00A809E7"/>
    <w:rPr>
      <w:rFonts w:ascii="Tahoma" w:hAnsi="Tahoma"/>
      <w:sz w:val="16"/>
      <w:lang w:val="x-none" w:eastAsia="cs-CZ"/>
    </w:rPr>
  </w:style>
  <w:style w:type="character" w:customStyle="1" w:styleId="truktradokumentuChar1232">
    <w:name w:val="Štruktúra dokumentu Char1232"/>
    <w:aliases w:val="Char9 Char Char1233,Štruktúra dokumentu Char Char Char1233,Document Map Char Char Char1233"/>
    <w:uiPriority w:val="99"/>
    <w:semiHidden/>
    <w:rsid w:val="00A809E7"/>
    <w:rPr>
      <w:rFonts w:ascii="Tahoma" w:hAnsi="Tahoma"/>
      <w:sz w:val="16"/>
      <w:lang w:val="x-none" w:eastAsia="cs-CZ"/>
    </w:rPr>
  </w:style>
  <w:style w:type="character" w:customStyle="1" w:styleId="truktradokumentuChar1231">
    <w:name w:val="Štruktúra dokumentu Char1231"/>
    <w:aliases w:val="Char9 Char Char1232,Štruktúra dokumentu Char Char Char1232,Document Map Char Char Char1232"/>
    <w:uiPriority w:val="99"/>
    <w:semiHidden/>
    <w:rsid w:val="00A809E7"/>
    <w:rPr>
      <w:rFonts w:ascii="Tahoma" w:hAnsi="Tahoma"/>
      <w:sz w:val="16"/>
      <w:lang w:val="x-none" w:eastAsia="cs-CZ"/>
    </w:rPr>
  </w:style>
  <w:style w:type="character" w:customStyle="1" w:styleId="truktradokumentuChar1230">
    <w:name w:val="Štruktúra dokumentu Char1230"/>
    <w:aliases w:val="Char9 Char Char1231,Štruktúra dokumentu Char Char Char1231,Document Map Char Char Char1231"/>
    <w:uiPriority w:val="99"/>
    <w:semiHidden/>
    <w:rsid w:val="00A809E7"/>
    <w:rPr>
      <w:rFonts w:ascii="Tahoma" w:hAnsi="Tahoma"/>
      <w:sz w:val="16"/>
      <w:lang w:val="x-none" w:eastAsia="cs-CZ"/>
    </w:rPr>
  </w:style>
  <w:style w:type="character" w:customStyle="1" w:styleId="truktradokumentuChar1229">
    <w:name w:val="Štruktúra dokumentu Char1229"/>
    <w:aliases w:val="Char9 Char Char1230,Štruktúra dokumentu Char Char Char1230,Document Map Char Char Char1230"/>
    <w:uiPriority w:val="99"/>
    <w:semiHidden/>
    <w:rsid w:val="00A809E7"/>
    <w:rPr>
      <w:rFonts w:ascii="Tahoma" w:hAnsi="Tahoma"/>
      <w:sz w:val="16"/>
      <w:lang w:val="x-none" w:eastAsia="cs-CZ"/>
    </w:rPr>
  </w:style>
  <w:style w:type="character" w:customStyle="1" w:styleId="truktradokumentuChar1228">
    <w:name w:val="Štruktúra dokumentu Char1228"/>
    <w:aliases w:val="Char9 Char Char1229,Štruktúra dokumentu Char Char Char1229,Document Map Char Char Char1229"/>
    <w:uiPriority w:val="99"/>
    <w:semiHidden/>
    <w:rsid w:val="00A809E7"/>
    <w:rPr>
      <w:rFonts w:ascii="Tahoma" w:hAnsi="Tahoma"/>
      <w:sz w:val="16"/>
      <w:lang w:val="x-none" w:eastAsia="cs-CZ"/>
    </w:rPr>
  </w:style>
  <w:style w:type="character" w:customStyle="1" w:styleId="truktradokumentuChar1227">
    <w:name w:val="Štruktúra dokumentu Char1227"/>
    <w:aliases w:val="Char9 Char Char1228,Štruktúra dokumentu Char Char Char1228,Document Map Char Char Char1228"/>
    <w:uiPriority w:val="99"/>
    <w:semiHidden/>
    <w:rsid w:val="00A809E7"/>
    <w:rPr>
      <w:rFonts w:ascii="Tahoma" w:hAnsi="Tahoma"/>
      <w:sz w:val="16"/>
      <w:lang w:val="x-none" w:eastAsia="cs-CZ"/>
    </w:rPr>
  </w:style>
  <w:style w:type="character" w:customStyle="1" w:styleId="truktradokumentuChar1226">
    <w:name w:val="Štruktúra dokumentu Char1226"/>
    <w:aliases w:val="Char9 Char Char1227,Štruktúra dokumentu Char Char Char1227,Document Map Char Char Char1227"/>
    <w:uiPriority w:val="99"/>
    <w:semiHidden/>
    <w:rsid w:val="00A809E7"/>
    <w:rPr>
      <w:rFonts w:ascii="Tahoma" w:hAnsi="Tahoma"/>
      <w:sz w:val="16"/>
      <w:lang w:val="x-none" w:eastAsia="cs-CZ"/>
    </w:rPr>
  </w:style>
  <w:style w:type="character" w:customStyle="1" w:styleId="truktradokumentuChar1225">
    <w:name w:val="Štruktúra dokumentu Char1225"/>
    <w:aliases w:val="Char9 Char Char1226,Štruktúra dokumentu Char Char Char1226,Document Map Char Char Char1226"/>
    <w:uiPriority w:val="99"/>
    <w:semiHidden/>
    <w:rsid w:val="00A809E7"/>
    <w:rPr>
      <w:rFonts w:ascii="Tahoma" w:hAnsi="Tahoma"/>
      <w:sz w:val="16"/>
      <w:lang w:val="x-none" w:eastAsia="cs-CZ"/>
    </w:rPr>
  </w:style>
  <w:style w:type="character" w:customStyle="1" w:styleId="truktradokumentuChar1224">
    <w:name w:val="Štruktúra dokumentu Char1224"/>
    <w:aliases w:val="Char9 Char Char1225,Štruktúra dokumentu Char Char Char1225,Document Map Char Char Char1225"/>
    <w:uiPriority w:val="99"/>
    <w:semiHidden/>
    <w:rsid w:val="00A809E7"/>
    <w:rPr>
      <w:rFonts w:ascii="Tahoma" w:hAnsi="Tahoma"/>
      <w:sz w:val="16"/>
      <w:lang w:val="x-none" w:eastAsia="cs-CZ"/>
    </w:rPr>
  </w:style>
  <w:style w:type="character" w:customStyle="1" w:styleId="truktradokumentuChar1223">
    <w:name w:val="Štruktúra dokumentu Char1223"/>
    <w:aliases w:val="Char9 Char Char1224,Štruktúra dokumentu Char Char Char1224,Document Map Char Char Char1224"/>
    <w:uiPriority w:val="99"/>
    <w:semiHidden/>
    <w:rsid w:val="00A809E7"/>
    <w:rPr>
      <w:rFonts w:ascii="Tahoma" w:hAnsi="Tahoma"/>
      <w:sz w:val="16"/>
      <w:lang w:val="x-none" w:eastAsia="cs-CZ"/>
    </w:rPr>
  </w:style>
  <w:style w:type="character" w:customStyle="1" w:styleId="truktradokumentuChar1222">
    <w:name w:val="Štruktúra dokumentu Char1222"/>
    <w:aliases w:val="Char9 Char Char1223,Štruktúra dokumentu Char Char Char1223,Document Map Char Char Char1223"/>
    <w:uiPriority w:val="99"/>
    <w:semiHidden/>
    <w:rsid w:val="00A809E7"/>
    <w:rPr>
      <w:rFonts w:ascii="Tahoma" w:hAnsi="Tahoma"/>
      <w:sz w:val="16"/>
      <w:lang w:val="x-none" w:eastAsia="cs-CZ"/>
    </w:rPr>
  </w:style>
  <w:style w:type="character" w:customStyle="1" w:styleId="truktradokumentuChar1221">
    <w:name w:val="Štruktúra dokumentu Char1221"/>
    <w:aliases w:val="Char9 Char Char1222,Štruktúra dokumentu Char Char Char1222,Document Map Char Char Char1222"/>
    <w:uiPriority w:val="99"/>
    <w:semiHidden/>
    <w:rsid w:val="00A809E7"/>
    <w:rPr>
      <w:rFonts w:ascii="Tahoma" w:hAnsi="Tahoma"/>
      <w:sz w:val="16"/>
      <w:lang w:val="x-none" w:eastAsia="cs-CZ"/>
    </w:rPr>
  </w:style>
  <w:style w:type="character" w:customStyle="1" w:styleId="truktradokumentuChar1220">
    <w:name w:val="Štruktúra dokumentu Char1220"/>
    <w:aliases w:val="Char9 Char Char1221,Štruktúra dokumentu Char Char Char1221,Document Map Char Char Char1221"/>
    <w:uiPriority w:val="99"/>
    <w:semiHidden/>
    <w:rsid w:val="00A809E7"/>
    <w:rPr>
      <w:rFonts w:ascii="Tahoma" w:hAnsi="Tahoma"/>
      <w:sz w:val="16"/>
      <w:lang w:val="x-none" w:eastAsia="cs-CZ"/>
    </w:rPr>
  </w:style>
  <w:style w:type="character" w:customStyle="1" w:styleId="truktradokumentuChar1219">
    <w:name w:val="Štruktúra dokumentu Char1219"/>
    <w:aliases w:val="Char9 Char Char1220,Štruktúra dokumentu Char Char Char1220,Document Map Char Char Char1220"/>
    <w:uiPriority w:val="99"/>
    <w:semiHidden/>
    <w:rsid w:val="00A809E7"/>
    <w:rPr>
      <w:rFonts w:ascii="Tahoma" w:hAnsi="Tahoma"/>
      <w:sz w:val="16"/>
      <w:lang w:val="x-none" w:eastAsia="cs-CZ"/>
    </w:rPr>
  </w:style>
  <w:style w:type="character" w:customStyle="1" w:styleId="truktradokumentuChar1218">
    <w:name w:val="Štruktúra dokumentu Char1218"/>
    <w:aliases w:val="Char9 Char Char1219,Štruktúra dokumentu Char Char Char1219,Document Map Char Char Char1219"/>
    <w:uiPriority w:val="99"/>
    <w:semiHidden/>
    <w:rsid w:val="00A809E7"/>
    <w:rPr>
      <w:rFonts w:ascii="Tahoma" w:hAnsi="Tahoma"/>
      <w:sz w:val="16"/>
      <w:lang w:val="x-none" w:eastAsia="cs-CZ"/>
    </w:rPr>
  </w:style>
  <w:style w:type="character" w:customStyle="1" w:styleId="truktradokumentuChar1217">
    <w:name w:val="Štruktúra dokumentu Char1217"/>
    <w:aliases w:val="Char9 Char Char1218,Štruktúra dokumentu Char Char Char1218,Document Map Char Char Char1218"/>
    <w:uiPriority w:val="99"/>
    <w:semiHidden/>
    <w:rsid w:val="00A809E7"/>
    <w:rPr>
      <w:rFonts w:ascii="Tahoma" w:hAnsi="Tahoma"/>
      <w:sz w:val="16"/>
      <w:lang w:val="x-none" w:eastAsia="cs-CZ"/>
    </w:rPr>
  </w:style>
  <w:style w:type="character" w:customStyle="1" w:styleId="truktradokumentuChar1216">
    <w:name w:val="Štruktúra dokumentu Char1216"/>
    <w:aliases w:val="Char9 Char Char1217,Štruktúra dokumentu Char Char Char1217,Document Map Char Char Char1217"/>
    <w:uiPriority w:val="99"/>
    <w:semiHidden/>
    <w:rsid w:val="00A809E7"/>
    <w:rPr>
      <w:rFonts w:ascii="Tahoma" w:hAnsi="Tahoma"/>
      <w:sz w:val="16"/>
      <w:lang w:val="x-none" w:eastAsia="cs-CZ"/>
    </w:rPr>
  </w:style>
  <w:style w:type="character" w:customStyle="1" w:styleId="truktradokumentuChar1215">
    <w:name w:val="Štruktúra dokumentu Char1215"/>
    <w:aliases w:val="Char9 Char Char1216,Štruktúra dokumentu Char Char Char1216,Document Map Char Char Char1216"/>
    <w:uiPriority w:val="99"/>
    <w:semiHidden/>
    <w:rsid w:val="00A809E7"/>
    <w:rPr>
      <w:rFonts w:ascii="Tahoma" w:hAnsi="Tahoma"/>
      <w:sz w:val="16"/>
      <w:lang w:val="x-none" w:eastAsia="cs-CZ"/>
    </w:rPr>
  </w:style>
  <w:style w:type="character" w:customStyle="1" w:styleId="truktradokumentuChar1214">
    <w:name w:val="Štruktúra dokumentu Char1214"/>
    <w:aliases w:val="Char9 Char Char1215,Štruktúra dokumentu Char Char Char1215,Document Map Char Char Char1215"/>
    <w:uiPriority w:val="99"/>
    <w:semiHidden/>
    <w:rsid w:val="00A809E7"/>
    <w:rPr>
      <w:rFonts w:ascii="Tahoma" w:hAnsi="Tahoma"/>
      <w:sz w:val="16"/>
      <w:lang w:val="x-none" w:eastAsia="cs-CZ"/>
    </w:rPr>
  </w:style>
  <w:style w:type="character" w:customStyle="1" w:styleId="truktradokumentuChar1213">
    <w:name w:val="Štruktúra dokumentu Char1213"/>
    <w:aliases w:val="Char9 Char Char1214,Štruktúra dokumentu Char Char Char1214,Document Map Char Char Char1214"/>
    <w:uiPriority w:val="99"/>
    <w:semiHidden/>
    <w:rsid w:val="00A809E7"/>
    <w:rPr>
      <w:rFonts w:ascii="Tahoma" w:hAnsi="Tahoma"/>
      <w:sz w:val="16"/>
      <w:lang w:val="x-none" w:eastAsia="cs-CZ"/>
    </w:rPr>
  </w:style>
  <w:style w:type="character" w:customStyle="1" w:styleId="truktradokumentuChar1212">
    <w:name w:val="Štruktúra dokumentu Char1212"/>
    <w:aliases w:val="Char9 Char Char1213,Štruktúra dokumentu Char Char Char1213,Document Map Char Char Char1213"/>
    <w:uiPriority w:val="99"/>
    <w:semiHidden/>
    <w:rsid w:val="00A809E7"/>
    <w:rPr>
      <w:rFonts w:ascii="Tahoma" w:hAnsi="Tahoma"/>
      <w:sz w:val="16"/>
      <w:lang w:val="x-none" w:eastAsia="cs-CZ"/>
    </w:rPr>
  </w:style>
  <w:style w:type="character" w:customStyle="1" w:styleId="truktradokumentuChar1211">
    <w:name w:val="Štruktúra dokumentu Char1211"/>
    <w:aliases w:val="Char9 Char Char1212,Štruktúra dokumentu Char Char Char1212,Document Map Char Char Char1212"/>
    <w:uiPriority w:val="99"/>
    <w:semiHidden/>
    <w:rsid w:val="00A809E7"/>
    <w:rPr>
      <w:rFonts w:ascii="Tahoma" w:hAnsi="Tahoma"/>
      <w:sz w:val="16"/>
      <w:lang w:val="x-none" w:eastAsia="cs-CZ"/>
    </w:rPr>
  </w:style>
  <w:style w:type="character" w:customStyle="1" w:styleId="truktradokumentuChar1210">
    <w:name w:val="Štruktúra dokumentu Char1210"/>
    <w:aliases w:val="Char9 Char Char1211,Štruktúra dokumentu Char Char Char1211,Document Map Char Char Char1211"/>
    <w:uiPriority w:val="99"/>
    <w:semiHidden/>
    <w:rsid w:val="00A809E7"/>
    <w:rPr>
      <w:rFonts w:ascii="Tahoma" w:hAnsi="Tahoma"/>
      <w:sz w:val="16"/>
      <w:lang w:val="x-none" w:eastAsia="cs-CZ"/>
    </w:rPr>
  </w:style>
  <w:style w:type="character" w:customStyle="1" w:styleId="truktradokumentuChar1209">
    <w:name w:val="Štruktúra dokumentu Char1209"/>
    <w:aliases w:val="Char9 Char Char1210,Štruktúra dokumentu Char Char Char1210,Document Map Char Char Char1210"/>
    <w:uiPriority w:val="99"/>
    <w:semiHidden/>
    <w:rsid w:val="00A809E7"/>
    <w:rPr>
      <w:rFonts w:ascii="Tahoma" w:hAnsi="Tahoma"/>
      <w:sz w:val="16"/>
      <w:lang w:val="x-none" w:eastAsia="cs-CZ"/>
    </w:rPr>
  </w:style>
  <w:style w:type="character" w:customStyle="1" w:styleId="truktradokumentuChar1208">
    <w:name w:val="Štruktúra dokumentu Char1208"/>
    <w:aliases w:val="Char9 Char Char1209,Štruktúra dokumentu Char Char Char1209,Document Map Char Char Char1209"/>
    <w:uiPriority w:val="99"/>
    <w:semiHidden/>
    <w:rsid w:val="00A809E7"/>
    <w:rPr>
      <w:rFonts w:ascii="Tahoma" w:hAnsi="Tahoma"/>
      <w:sz w:val="16"/>
      <w:lang w:val="x-none" w:eastAsia="cs-CZ"/>
    </w:rPr>
  </w:style>
  <w:style w:type="character" w:customStyle="1" w:styleId="truktradokumentuChar1207">
    <w:name w:val="Štruktúra dokumentu Char1207"/>
    <w:aliases w:val="Char9 Char Char1208,Štruktúra dokumentu Char Char Char1208,Document Map Char Char Char1208"/>
    <w:uiPriority w:val="99"/>
    <w:semiHidden/>
    <w:rsid w:val="00A809E7"/>
    <w:rPr>
      <w:rFonts w:ascii="Tahoma" w:hAnsi="Tahoma"/>
      <w:sz w:val="16"/>
      <w:lang w:val="x-none" w:eastAsia="cs-CZ"/>
    </w:rPr>
  </w:style>
  <w:style w:type="character" w:customStyle="1" w:styleId="truktradokumentuChar1206">
    <w:name w:val="Štruktúra dokumentu Char1206"/>
    <w:aliases w:val="Char9 Char Char1207,Štruktúra dokumentu Char Char Char1207,Document Map Char Char Char1207"/>
    <w:uiPriority w:val="99"/>
    <w:semiHidden/>
    <w:rsid w:val="00A809E7"/>
    <w:rPr>
      <w:rFonts w:ascii="Tahoma" w:hAnsi="Tahoma"/>
      <w:sz w:val="16"/>
      <w:lang w:val="x-none" w:eastAsia="cs-CZ"/>
    </w:rPr>
  </w:style>
  <w:style w:type="character" w:customStyle="1" w:styleId="truktradokumentuChar1205">
    <w:name w:val="Štruktúra dokumentu Char1205"/>
    <w:aliases w:val="Char9 Char Char1206,Štruktúra dokumentu Char Char Char1206,Document Map Char Char Char1206"/>
    <w:uiPriority w:val="99"/>
    <w:semiHidden/>
    <w:rsid w:val="00A809E7"/>
    <w:rPr>
      <w:rFonts w:ascii="Tahoma" w:hAnsi="Tahoma"/>
      <w:sz w:val="16"/>
      <w:lang w:val="x-none" w:eastAsia="cs-CZ"/>
    </w:rPr>
  </w:style>
  <w:style w:type="character" w:customStyle="1" w:styleId="truktradokumentuChar1204">
    <w:name w:val="Štruktúra dokumentu Char1204"/>
    <w:aliases w:val="Char9 Char Char1205,Štruktúra dokumentu Char Char Char1205,Document Map Char Char Char1205"/>
    <w:uiPriority w:val="99"/>
    <w:semiHidden/>
    <w:rsid w:val="00A809E7"/>
    <w:rPr>
      <w:rFonts w:ascii="Tahoma" w:hAnsi="Tahoma"/>
      <w:sz w:val="16"/>
      <w:lang w:val="x-none" w:eastAsia="cs-CZ"/>
    </w:rPr>
  </w:style>
  <w:style w:type="character" w:customStyle="1" w:styleId="truktradokumentuChar1203">
    <w:name w:val="Štruktúra dokumentu Char1203"/>
    <w:aliases w:val="Char9 Char Char1204,Štruktúra dokumentu Char Char Char1204,Document Map Char Char Char1204"/>
    <w:uiPriority w:val="99"/>
    <w:semiHidden/>
    <w:rsid w:val="00A809E7"/>
    <w:rPr>
      <w:rFonts w:ascii="Tahoma" w:hAnsi="Tahoma"/>
      <w:sz w:val="16"/>
      <w:lang w:val="x-none" w:eastAsia="cs-CZ"/>
    </w:rPr>
  </w:style>
  <w:style w:type="character" w:customStyle="1" w:styleId="truktradokumentuChar1202">
    <w:name w:val="Štruktúra dokumentu Char1202"/>
    <w:aliases w:val="Char9 Char Char1203,Štruktúra dokumentu Char Char Char1203,Document Map Char Char Char1203"/>
    <w:uiPriority w:val="99"/>
    <w:semiHidden/>
    <w:rsid w:val="00A809E7"/>
    <w:rPr>
      <w:rFonts w:ascii="Tahoma" w:hAnsi="Tahoma"/>
      <w:sz w:val="16"/>
      <w:lang w:val="x-none" w:eastAsia="cs-CZ"/>
    </w:rPr>
  </w:style>
  <w:style w:type="character" w:customStyle="1" w:styleId="truktradokumentuChar1201">
    <w:name w:val="Štruktúra dokumentu Char1201"/>
    <w:aliases w:val="Char9 Char Char1202,Štruktúra dokumentu Char Char Char1202,Document Map Char Char Char1202"/>
    <w:uiPriority w:val="99"/>
    <w:semiHidden/>
    <w:rsid w:val="00A809E7"/>
    <w:rPr>
      <w:rFonts w:ascii="Tahoma" w:hAnsi="Tahoma"/>
      <w:sz w:val="16"/>
      <w:lang w:val="x-none" w:eastAsia="cs-CZ"/>
    </w:rPr>
  </w:style>
  <w:style w:type="character" w:customStyle="1" w:styleId="truktradokumentuChar1200">
    <w:name w:val="Štruktúra dokumentu Char1200"/>
    <w:aliases w:val="Char9 Char Char1201,Štruktúra dokumentu Char Char Char1201,Document Map Char Char Char1201"/>
    <w:uiPriority w:val="99"/>
    <w:semiHidden/>
    <w:rsid w:val="00A809E7"/>
    <w:rPr>
      <w:rFonts w:ascii="Tahoma" w:hAnsi="Tahoma"/>
      <w:sz w:val="16"/>
      <w:lang w:val="x-none" w:eastAsia="cs-CZ"/>
    </w:rPr>
  </w:style>
  <w:style w:type="character" w:customStyle="1" w:styleId="truktradokumentuChar1199">
    <w:name w:val="Štruktúra dokumentu Char1199"/>
    <w:aliases w:val="Char9 Char Char1200,Štruktúra dokumentu Char Char Char1200,Document Map Char Char Char1200"/>
    <w:uiPriority w:val="99"/>
    <w:semiHidden/>
    <w:rsid w:val="00A809E7"/>
    <w:rPr>
      <w:rFonts w:ascii="Tahoma" w:hAnsi="Tahoma"/>
      <w:sz w:val="16"/>
      <w:lang w:val="x-none" w:eastAsia="cs-CZ"/>
    </w:rPr>
  </w:style>
  <w:style w:type="character" w:customStyle="1" w:styleId="truktradokumentuChar1198">
    <w:name w:val="Štruktúra dokumentu Char1198"/>
    <w:aliases w:val="Char9 Char Char1199,Štruktúra dokumentu Char Char Char1199,Document Map Char Char Char1199"/>
    <w:uiPriority w:val="99"/>
    <w:semiHidden/>
    <w:rsid w:val="00A809E7"/>
    <w:rPr>
      <w:rFonts w:ascii="Tahoma" w:hAnsi="Tahoma"/>
      <w:sz w:val="16"/>
      <w:lang w:val="x-none" w:eastAsia="cs-CZ"/>
    </w:rPr>
  </w:style>
  <w:style w:type="character" w:customStyle="1" w:styleId="truktradokumentuChar1197">
    <w:name w:val="Štruktúra dokumentu Char1197"/>
    <w:aliases w:val="Char9 Char Char1198,Štruktúra dokumentu Char Char Char1198,Document Map Char Char Char1198"/>
    <w:uiPriority w:val="99"/>
    <w:semiHidden/>
    <w:rsid w:val="00A809E7"/>
    <w:rPr>
      <w:rFonts w:ascii="Tahoma" w:hAnsi="Tahoma"/>
      <w:sz w:val="16"/>
      <w:lang w:val="x-none" w:eastAsia="cs-CZ"/>
    </w:rPr>
  </w:style>
  <w:style w:type="character" w:customStyle="1" w:styleId="truktradokumentuChar1196">
    <w:name w:val="Štruktúra dokumentu Char1196"/>
    <w:aliases w:val="Char9 Char Char1197,Štruktúra dokumentu Char Char Char1197,Document Map Char Char Char1197"/>
    <w:uiPriority w:val="99"/>
    <w:semiHidden/>
    <w:rsid w:val="00A809E7"/>
    <w:rPr>
      <w:rFonts w:ascii="Tahoma" w:hAnsi="Tahoma"/>
      <w:sz w:val="16"/>
      <w:lang w:val="x-none" w:eastAsia="cs-CZ"/>
    </w:rPr>
  </w:style>
  <w:style w:type="character" w:customStyle="1" w:styleId="truktradokumentuChar1195">
    <w:name w:val="Štruktúra dokumentu Char1195"/>
    <w:aliases w:val="Char9 Char Char1196,Štruktúra dokumentu Char Char Char1196,Document Map Char Char Char1196"/>
    <w:uiPriority w:val="99"/>
    <w:semiHidden/>
    <w:rsid w:val="00A809E7"/>
    <w:rPr>
      <w:rFonts w:ascii="Tahoma" w:hAnsi="Tahoma"/>
      <w:sz w:val="16"/>
      <w:lang w:val="x-none" w:eastAsia="cs-CZ"/>
    </w:rPr>
  </w:style>
  <w:style w:type="character" w:customStyle="1" w:styleId="truktradokumentuChar1194">
    <w:name w:val="Štruktúra dokumentu Char1194"/>
    <w:aliases w:val="Char9 Char Char1195,Štruktúra dokumentu Char Char Char1195,Document Map Char Char Char1195"/>
    <w:uiPriority w:val="99"/>
    <w:semiHidden/>
    <w:rsid w:val="00A809E7"/>
    <w:rPr>
      <w:rFonts w:ascii="Tahoma" w:hAnsi="Tahoma"/>
      <w:sz w:val="16"/>
      <w:lang w:val="x-none" w:eastAsia="cs-CZ"/>
    </w:rPr>
  </w:style>
  <w:style w:type="character" w:customStyle="1" w:styleId="truktradokumentuChar1193">
    <w:name w:val="Štruktúra dokumentu Char1193"/>
    <w:aliases w:val="Char9 Char Char1194,Štruktúra dokumentu Char Char Char1194,Document Map Char Char Char1194"/>
    <w:uiPriority w:val="99"/>
    <w:semiHidden/>
    <w:rsid w:val="00A809E7"/>
    <w:rPr>
      <w:rFonts w:ascii="Tahoma" w:hAnsi="Tahoma"/>
      <w:sz w:val="16"/>
      <w:lang w:val="x-none" w:eastAsia="cs-CZ"/>
    </w:rPr>
  </w:style>
  <w:style w:type="character" w:customStyle="1" w:styleId="truktradokumentuChar1192">
    <w:name w:val="Štruktúra dokumentu Char1192"/>
    <w:aliases w:val="Char9 Char Char1193,Štruktúra dokumentu Char Char Char1193,Document Map Char Char Char1193"/>
    <w:uiPriority w:val="99"/>
    <w:semiHidden/>
    <w:rsid w:val="00A809E7"/>
    <w:rPr>
      <w:rFonts w:ascii="Tahoma" w:hAnsi="Tahoma"/>
      <w:sz w:val="16"/>
      <w:lang w:val="x-none" w:eastAsia="cs-CZ"/>
    </w:rPr>
  </w:style>
  <w:style w:type="character" w:customStyle="1" w:styleId="truktradokumentuChar1191">
    <w:name w:val="Štruktúra dokumentu Char1191"/>
    <w:aliases w:val="Char9 Char Char1192,Štruktúra dokumentu Char Char Char1192,Document Map Char Char Char1192"/>
    <w:uiPriority w:val="99"/>
    <w:semiHidden/>
    <w:rsid w:val="00A809E7"/>
    <w:rPr>
      <w:rFonts w:ascii="Tahoma" w:hAnsi="Tahoma"/>
      <w:sz w:val="16"/>
      <w:lang w:val="x-none" w:eastAsia="cs-CZ"/>
    </w:rPr>
  </w:style>
  <w:style w:type="character" w:customStyle="1" w:styleId="truktradokumentuChar1190">
    <w:name w:val="Štruktúra dokumentu Char1190"/>
    <w:aliases w:val="Char9 Char Char1191,Štruktúra dokumentu Char Char Char1191,Document Map Char Char Char1191"/>
    <w:uiPriority w:val="99"/>
    <w:semiHidden/>
    <w:rsid w:val="00A809E7"/>
    <w:rPr>
      <w:rFonts w:ascii="Tahoma" w:hAnsi="Tahoma"/>
      <w:sz w:val="16"/>
      <w:lang w:val="x-none" w:eastAsia="cs-CZ"/>
    </w:rPr>
  </w:style>
  <w:style w:type="character" w:customStyle="1" w:styleId="truktradokumentuChar1189">
    <w:name w:val="Štruktúra dokumentu Char1189"/>
    <w:aliases w:val="Char9 Char Char1190,Štruktúra dokumentu Char Char Char1190,Document Map Char Char Char1190"/>
    <w:uiPriority w:val="99"/>
    <w:semiHidden/>
    <w:rsid w:val="00A809E7"/>
    <w:rPr>
      <w:rFonts w:ascii="Tahoma" w:hAnsi="Tahoma"/>
      <w:sz w:val="16"/>
      <w:lang w:val="x-none" w:eastAsia="cs-CZ"/>
    </w:rPr>
  </w:style>
  <w:style w:type="character" w:customStyle="1" w:styleId="truktradokumentuChar1188">
    <w:name w:val="Štruktúra dokumentu Char1188"/>
    <w:aliases w:val="Char9 Char Char1189,Štruktúra dokumentu Char Char Char1189,Document Map Char Char Char1189"/>
    <w:uiPriority w:val="99"/>
    <w:semiHidden/>
    <w:rsid w:val="00A809E7"/>
    <w:rPr>
      <w:rFonts w:ascii="Tahoma" w:hAnsi="Tahoma"/>
      <w:sz w:val="16"/>
      <w:lang w:val="x-none" w:eastAsia="cs-CZ"/>
    </w:rPr>
  </w:style>
  <w:style w:type="character" w:customStyle="1" w:styleId="truktradokumentuChar1187">
    <w:name w:val="Štruktúra dokumentu Char1187"/>
    <w:aliases w:val="Char9 Char Char1188,Štruktúra dokumentu Char Char Char1188,Document Map Char Char Char1188"/>
    <w:uiPriority w:val="99"/>
    <w:semiHidden/>
    <w:rsid w:val="00A809E7"/>
    <w:rPr>
      <w:rFonts w:ascii="Tahoma" w:hAnsi="Tahoma"/>
      <w:sz w:val="16"/>
      <w:lang w:val="x-none" w:eastAsia="cs-CZ"/>
    </w:rPr>
  </w:style>
  <w:style w:type="character" w:customStyle="1" w:styleId="truktradokumentuChar1186">
    <w:name w:val="Štruktúra dokumentu Char1186"/>
    <w:aliases w:val="Char9 Char Char1187,Štruktúra dokumentu Char Char Char1187,Document Map Char Char Char1187"/>
    <w:uiPriority w:val="99"/>
    <w:semiHidden/>
    <w:rsid w:val="00A809E7"/>
    <w:rPr>
      <w:rFonts w:ascii="Tahoma" w:hAnsi="Tahoma"/>
      <w:sz w:val="16"/>
      <w:lang w:val="x-none" w:eastAsia="cs-CZ"/>
    </w:rPr>
  </w:style>
  <w:style w:type="character" w:customStyle="1" w:styleId="truktradokumentuChar1185">
    <w:name w:val="Štruktúra dokumentu Char1185"/>
    <w:aliases w:val="Char9 Char Char1186,Štruktúra dokumentu Char Char Char1186,Document Map Char Char Char1186"/>
    <w:uiPriority w:val="99"/>
    <w:semiHidden/>
    <w:rsid w:val="00A809E7"/>
    <w:rPr>
      <w:rFonts w:ascii="Tahoma" w:hAnsi="Tahoma"/>
      <w:sz w:val="16"/>
      <w:lang w:val="x-none" w:eastAsia="cs-CZ"/>
    </w:rPr>
  </w:style>
  <w:style w:type="character" w:customStyle="1" w:styleId="truktradokumentuChar1184">
    <w:name w:val="Štruktúra dokumentu Char1184"/>
    <w:aliases w:val="Char9 Char Char1185,Štruktúra dokumentu Char Char Char1185,Document Map Char Char Char1185"/>
    <w:uiPriority w:val="99"/>
    <w:semiHidden/>
    <w:rsid w:val="00A809E7"/>
    <w:rPr>
      <w:rFonts w:ascii="Tahoma" w:hAnsi="Tahoma"/>
      <w:sz w:val="16"/>
      <w:lang w:val="x-none" w:eastAsia="cs-CZ"/>
    </w:rPr>
  </w:style>
  <w:style w:type="character" w:customStyle="1" w:styleId="truktradokumentuChar1183">
    <w:name w:val="Štruktúra dokumentu Char1183"/>
    <w:aliases w:val="Char9 Char Char1184,Štruktúra dokumentu Char Char Char1184,Document Map Char Char Char1184"/>
    <w:uiPriority w:val="99"/>
    <w:semiHidden/>
    <w:rsid w:val="00A809E7"/>
    <w:rPr>
      <w:rFonts w:ascii="Tahoma" w:hAnsi="Tahoma"/>
      <w:sz w:val="16"/>
      <w:lang w:val="x-none" w:eastAsia="cs-CZ"/>
    </w:rPr>
  </w:style>
  <w:style w:type="character" w:customStyle="1" w:styleId="truktradokumentuChar1182">
    <w:name w:val="Štruktúra dokumentu Char1182"/>
    <w:aliases w:val="Char9 Char Char1183,Štruktúra dokumentu Char Char Char1183,Document Map Char Char Char1183"/>
    <w:uiPriority w:val="99"/>
    <w:semiHidden/>
    <w:rsid w:val="00A809E7"/>
    <w:rPr>
      <w:rFonts w:ascii="Tahoma" w:hAnsi="Tahoma"/>
      <w:sz w:val="16"/>
      <w:lang w:val="x-none" w:eastAsia="cs-CZ"/>
    </w:rPr>
  </w:style>
  <w:style w:type="character" w:customStyle="1" w:styleId="truktradokumentuChar1181">
    <w:name w:val="Štruktúra dokumentu Char1181"/>
    <w:aliases w:val="Char9 Char Char1182,Štruktúra dokumentu Char Char Char1182,Document Map Char Char Char1182"/>
    <w:uiPriority w:val="99"/>
    <w:semiHidden/>
    <w:rsid w:val="00A809E7"/>
    <w:rPr>
      <w:rFonts w:ascii="Tahoma" w:hAnsi="Tahoma"/>
      <w:sz w:val="16"/>
      <w:lang w:val="x-none" w:eastAsia="cs-CZ"/>
    </w:rPr>
  </w:style>
  <w:style w:type="character" w:customStyle="1" w:styleId="truktradokumentuChar1180">
    <w:name w:val="Štruktúra dokumentu Char1180"/>
    <w:aliases w:val="Char9 Char Char1181,Štruktúra dokumentu Char Char Char1181,Document Map Char Char Char1181"/>
    <w:uiPriority w:val="99"/>
    <w:semiHidden/>
    <w:rsid w:val="00A809E7"/>
    <w:rPr>
      <w:rFonts w:ascii="Tahoma" w:hAnsi="Tahoma"/>
      <w:sz w:val="16"/>
      <w:lang w:val="x-none" w:eastAsia="cs-CZ"/>
    </w:rPr>
  </w:style>
  <w:style w:type="character" w:customStyle="1" w:styleId="truktradokumentuChar1179">
    <w:name w:val="Štruktúra dokumentu Char1179"/>
    <w:aliases w:val="Char9 Char Char1180,Štruktúra dokumentu Char Char Char1180,Document Map Char Char Char1180"/>
    <w:uiPriority w:val="99"/>
    <w:semiHidden/>
    <w:rsid w:val="00A809E7"/>
    <w:rPr>
      <w:rFonts w:ascii="Tahoma" w:hAnsi="Tahoma"/>
      <w:sz w:val="16"/>
      <w:lang w:val="x-none" w:eastAsia="cs-CZ"/>
    </w:rPr>
  </w:style>
  <w:style w:type="character" w:customStyle="1" w:styleId="truktradokumentuChar1178">
    <w:name w:val="Štruktúra dokumentu Char1178"/>
    <w:aliases w:val="Char9 Char Char1179,Štruktúra dokumentu Char Char Char1179,Document Map Char Char Char1179"/>
    <w:uiPriority w:val="99"/>
    <w:semiHidden/>
    <w:rsid w:val="00A809E7"/>
    <w:rPr>
      <w:rFonts w:ascii="Tahoma" w:hAnsi="Tahoma"/>
      <w:sz w:val="16"/>
      <w:lang w:val="x-none" w:eastAsia="cs-CZ"/>
    </w:rPr>
  </w:style>
  <w:style w:type="character" w:customStyle="1" w:styleId="truktradokumentuChar1177">
    <w:name w:val="Štruktúra dokumentu Char1177"/>
    <w:aliases w:val="Char9 Char Char1178,Štruktúra dokumentu Char Char Char1178,Document Map Char Char Char1178"/>
    <w:uiPriority w:val="99"/>
    <w:semiHidden/>
    <w:rsid w:val="00A809E7"/>
    <w:rPr>
      <w:rFonts w:ascii="Tahoma" w:hAnsi="Tahoma"/>
      <w:sz w:val="16"/>
      <w:lang w:val="x-none" w:eastAsia="cs-CZ"/>
    </w:rPr>
  </w:style>
  <w:style w:type="character" w:customStyle="1" w:styleId="truktradokumentuChar1176">
    <w:name w:val="Štruktúra dokumentu Char1176"/>
    <w:aliases w:val="Char9 Char Char1177,Štruktúra dokumentu Char Char Char1177,Document Map Char Char Char1177"/>
    <w:uiPriority w:val="99"/>
    <w:semiHidden/>
    <w:rsid w:val="00A809E7"/>
    <w:rPr>
      <w:rFonts w:ascii="Tahoma" w:hAnsi="Tahoma"/>
      <w:sz w:val="16"/>
      <w:lang w:val="x-none" w:eastAsia="cs-CZ"/>
    </w:rPr>
  </w:style>
  <w:style w:type="character" w:customStyle="1" w:styleId="truktradokumentuChar1175">
    <w:name w:val="Štruktúra dokumentu Char1175"/>
    <w:aliases w:val="Char9 Char Char1176,Štruktúra dokumentu Char Char Char1176,Document Map Char Char Char1176"/>
    <w:uiPriority w:val="99"/>
    <w:semiHidden/>
    <w:rsid w:val="00A809E7"/>
    <w:rPr>
      <w:rFonts w:ascii="Tahoma" w:hAnsi="Tahoma"/>
      <w:sz w:val="16"/>
      <w:lang w:val="x-none" w:eastAsia="cs-CZ"/>
    </w:rPr>
  </w:style>
  <w:style w:type="character" w:customStyle="1" w:styleId="truktradokumentuChar1174">
    <w:name w:val="Štruktúra dokumentu Char1174"/>
    <w:aliases w:val="Char9 Char Char1175,Štruktúra dokumentu Char Char Char1175,Document Map Char Char Char1175"/>
    <w:uiPriority w:val="99"/>
    <w:semiHidden/>
    <w:rsid w:val="00A809E7"/>
    <w:rPr>
      <w:rFonts w:ascii="Tahoma" w:hAnsi="Tahoma"/>
      <w:sz w:val="16"/>
      <w:lang w:val="x-none" w:eastAsia="cs-CZ"/>
    </w:rPr>
  </w:style>
  <w:style w:type="character" w:customStyle="1" w:styleId="truktradokumentuChar1173">
    <w:name w:val="Štruktúra dokumentu Char1173"/>
    <w:aliases w:val="Char9 Char Char1174,Štruktúra dokumentu Char Char Char1174,Document Map Char Char Char1174"/>
    <w:uiPriority w:val="99"/>
    <w:semiHidden/>
    <w:rsid w:val="00A809E7"/>
    <w:rPr>
      <w:rFonts w:ascii="Tahoma" w:hAnsi="Tahoma"/>
      <w:sz w:val="16"/>
      <w:lang w:val="x-none" w:eastAsia="cs-CZ"/>
    </w:rPr>
  </w:style>
  <w:style w:type="character" w:customStyle="1" w:styleId="truktradokumentuChar1172">
    <w:name w:val="Štruktúra dokumentu Char1172"/>
    <w:aliases w:val="Char9 Char Char1173,Štruktúra dokumentu Char Char Char1173,Document Map Char Char Char1173"/>
    <w:uiPriority w:val="99"/>
    <w:semiHidden/>
    <w:rsid w:val="00A809E7"/>
    <w:rPr>
      <w:rFonts w:ascii="Tahoma" w:hAnsi="Tahoma"/>
      <w:sz w:val="16"/>
      <w:lang w:val="x-none" w:eastAsia="cs-CZ"/>
    </w:rPr>
  </w:style>
  <w:style w:type="character" w:customStyle="1" w:styleId="truktradokumentuChar1171">
    <w:name w:val="Štruktúra dokumentu Char1171"/>
    <w:aliases w:val="Char9 Char Char1172,Štruktúra dokumentu Char Char Char1172,Document Map Char Char Char1172"/>
    <w:uiPriority w:val="99"/>
    <w:semiHidden/>
    <w:rsid w:val="00A809E7"/>
    <w:rPr>
      <w:rFonts w:ascii="Tahoma" w:hAnsi="Tahoma"/>
      <w:sz w:val="16"/>
      <w:lang w:val="x-none" w:eastAsia="cs-CZ"/>
    </w:rPr>
  </w:style>
  <w:style w:type="character" w:customStyle="1" w:styleId="truktradokumentuChar1165">
    <w:name w:val="Štruktúra dokumentu Char1165"/>
    <w:aliases w:val="Char9 Char Char1166,Štruktúra dokumentu Char Char Char1166,Document Map Char Char Char1166"/>
    <w:uiPriority w:val="99"/>
    <w:semiHidden/>
    <w:rsid w:val="00A809E7"/>
    <w:rPr>
      <w:rFonts w:ascii="Tahoma" w:hAnsi="Tahoma"/>
      <w:sz w:val="16"/>
      <w:lang w:val="x-none" w:eastAsia="cs-CZ"/>
    </w:rPr>
  </w:style>
  <w:style w:type="character" w:customStyle="1" w:styleId="truktradokumentuChar1164">
    <w:name w:val="Štruktúra dokumentu Char1164"/>
    <w:aliases w:val="Char9 Char Char1165,Štruktúra dokumentu Char Char Char1165,Document Map Char Char Char1165"/>
    <w:uiPriority w:val="99"/>
    <w:semiHidden/>
    <w:rsid w:val="00A809E7"/>
    <w:rPr>
      <w:rFonts w:ascii="Tahoma" w:hAnsi="Tahoma"/>
      <w:sz w:val="16"/>
      <w:lang w:val="x-none" w:eastAsia="cs-CZ"/>
    </w:rPr>
  </w:style>
  <w:style w:type="character" w:customStyle="1" w:styleId="truktradokumentuChar1163">
    <w:name w:val="Štruktúra dokumentu Char1163"/>
    <w:aliases w:val="Char9 Char Char1164,Štruktúra dokumentu Char Char Char1164,Document Map Char Char Char1164"/>
    <w:uiPriority w:val="99"/>
    <w:semiHidden/>
    <w:rsid w:val="00A809E7"/>
    <w:rPr>
      <w:rFonts w:ascii="Tahoma" w:hAnsi="Tahoma"/>
      <w:sz w:val="16"/>
      <w:lang w:val="x-none" w:eastAsia="cs-CZ"/>
    </w:rPr>
  </w:style>
  <w:style w:type="character" w:customStyle="1" w:styleId="truktradokumentuChar1162">
    <w:name w:val="Štruktúra dokumentu Char1162"/>
    <w:aliases w:val="Char9 Char Char1163,Štruktúra dokumentu Char Char Char1163,Document Map Char Char Char1163"/>
    <w:uiPriority w:val="99"/>
    <w:semiHidden/>
    <w:rsid w:val="00A809E7"/>
    <w:rPr>
      <w:rFonts w:ascii="Tahoma" w:hAnsi="Tahoma"/>
      <w:sz w:val="16"/>
      <w:lang w:val="x-none" w:eastAsia="cs-CZ"/>
    </w:rPr>
  </w:style>
  <w:style w:type="character" w:customStyle="1" w:styleId="truktradokumentuChar1161">
    <w:name w:val="Štruktúra dokumentu Char1161"/>
    <w:aliases w:val="Char9 Char Char1162,Štruktúra dokumentu Char Char Char1162,Document Map Char Char Char1162"/>
    <w:uiPriority w:val="99"/>
    <w:semiHidden/>
    <w:rsid w:val="00A809E7"/>
    <w:rPr>
      <w:rFonts w:ascii="Tahoma" w:hAnsi="Tahoma"/>
      <w:sz w:val="16"/>
      <w:lang w:val="x-none" w:eastAsia="cs-CZ"/>
    </w:rPr>
  </w:style>
  <w:style w:type="character" w:customStyle="1" w:styleId="truktradokumentuChar1160">
    <w:name w:val="Štruktúra dokumentu Char1160"/>
    <w:aliases w:val="Char9 Char Char1161,Štruktúra dokumentu Char Char Char1161,Document Map Char Char Char1161"/>
    <w:uiPriority w:val="99"/>
    <w:semiHidden/>
    <w:rsid w:val="00A809E7"/>
    <w:rPr>
      <w:rFonts w:ascii="Tahoma" w:hAnsi="Tahoma"/>
      <w:sz w:val="16"/>
      <w:lang w:val="x-none" w:eastAsia="cs-CZ"/>
    </w:rPr>
  </w:style>
  <w:style w:type="character" w:customStyle="1" w:styleId="truktradokumentuChar1159">
    <w:name w:val="Štruktúra dokumentu Char1159"/>
    <w:aliases w:val="Char9 Char Char1160,Štruktúra dokumentu Char Char Char1160,Document Map Char Char Char1160"/>
    <w:uiPriority w:val="99"/>
    <w:semiHidden/>
    <w:rsid w:val="00A809E7"/>
    <w:rPr>
      <w:rFonts w:ascii="Tahoma" w:hAnsi="Tahoma"/>
      <w:sz w:val="16"/>
      <w:lang w:val="x-none" w:eastAsia="cs-CZ"/>
    </w:rPr>
  </w:style>
  <w:style w:type="character" w:customStyle="1" w:styleId="truktradokumentuChar1158">
    <w:name w:val="Štruktúra dokumentu Char1158"/>
    <w:aliases w:val="Char9 Char Char1159,Štruktúra dokumentu Char Char Char1159,Document Map Char Char Char1159"/>
    <w:uiPriority w:val="99"/>
    <w:semiHidden/>
    <w:rsid w:val="00A809E7"/>
    <w:rPr>
      <w:rFonts w:ascii="Tahoma" w:hAnsi="Tahoma"/>
      <w:sz w:val="16"/>
      <w:lang w:val="x-none" w:eastAsia="cs-CZ"/>
    </w:rPr>
  </w:style>
  <w:style w:type="character" w:customStyle="1" w:styleId="truktradokumentuChar1157">
    <w:name w:val="Štruktúra dokumentu Char1157"/>
    <w:aliases w:val="Char9 Char Char1158,Štruktúra dokumentu Char Char Char1158,Document Map Char Char Char1158"/>
    <w:uiPriority w:val="99"/>
    <w:semiHidden/>
    <w:rsid w:val="00A809E7"/>
    <w:rPr>
      <w:rFonts w:ascii="Tahoma" w:hAnsi="Tahoma"/>
      <w:sz w:val="16"/>
      <w:lang w:val="x-none" w:eastAsia="cs-CZ"/>
    </w:rPr>
  </w:style>
  <w:style w:type="character" w:customStyle="1" w:styleId="truktradokumentuChar1156">
    <w:name w:val="Štruktúra dokumentu Char1156"/>
    <w:aliases w:val="Char9 Char Char1157,Štruktúra dokumentu Char Char Char1157,Document Map Char Char Char1157"/>
    <w:uiPriority w:val="99"/>
    <w:semiHidden/>
    <w:rsid w:val="00A809E7"/>
    <w:rPr>
      <w:rFonts w:ascii="Tahoma" w:hAnsi="Tahoma"/>
      <w:sz w:val="16"/>
      <w:lang w:val="x-none" w:eastAsia="cs-CZ"/>
    </w:rPr>
  </w:style>
  <w:style w:type="character" w:customStyle="1" w:styleId="truktradokumentuChar1155">
    <w:name w:val="Štruktúra dokumentu Char1155"/>
    <w:aliases w:val="Char9 Char Char1156,Štruktúra dokumentu Char Char Char1156,Document Map Char Char Char1156"/>
    <w:uiPriority w:val="99"/>
    <w:semiHidden/>
    <w:rsid w:val="00A809E7"/>
    <w:rPr>
      <w:rFonts w:ascii="Tahoma" w:hAnsi="Tahoma"/>
      <w:sz w:val="16"/>
      <w:lang w:val="x-none" w:eastAsia="cs-CZ"/>
    </w:rPr>
  </w:style>
  <w:style w:type="character" w:customStyle="1" w:styleId="truktradokumentuChar1154">
    <w:name w:val="Štruktúra dokumentu Char1154"/>
    <w:aliases w:val="Char9 Char Char1155,Štruktúra dokumentu Char Char Char1155,Document Map Char Char Char1155"/>
    <w:uiPriority w:val="99"/>
    <w:semiHidden/>
    <w:rsid w:val="00A809E7"/>
    <w:rPr>
      <w:rFonts w:ascii="Tahoma" w:hAnsi="Tahoma"/>
      <w:sz w:val="16"/>
      <w:lang w:val="x-none" w:eastAsia="cs-CZ"/>
    </w:rPr>
  </w:style>
  <w:style w:type="character" w:customStyle="1" w:styleId="truktradokumentuChar1153">
    <w:name w:val="Štruktúra dokumentu Char1153"/>
    <w:aliases w:val="Char9 Char Char1154,Štruktúra dokumentu Char Char Char1154,Document Map Char Char Char1154"/>
    <w:uiPriority w:val="99"/>
    <w:semiHidden/>
    <w:rsid w:val="00A809E7"/>
    <w:rPr>
      <w:rFonts w:ascii="Tahoma" w:hAnsi="Tahoma"/>
      <w:sz w:val="16"/>
      <w:lang w:val="x-none" w:eastAsia="cs-CZ"/>
    </w:rPr>
  </w:style>
  <w:style w:type="character" w:customStyle="1" w:styleId="truktradokumentuChar1152">
    <w:name w:val="Štruktúra dokumentu Char1152"/>
    <w:aliases w:val="Char9 Char Char1153,Štruktúra dokumentu Char Char Char1153,Document Map Char Char Char1153"/>
    <w:uiPriority w:val="99"/>
    <w:semiHidden/>
    <w:rsid w:val="00A809E7"/>
    <w:rPr>
      <w:rFonts w:ascii="Tahoma" w:hAnsi="Tahoma"/>
      <w:sz w:val="16"/>
      <w:lang w:val="x-none" w:eastAsia="cs-CZ"/>
    </w:rPr>
  </w:style>
  <w:style w:type="character" w:customStyle="1" w:styleId="truktradokumentuChar1151">
    <w:name w:val="Štruktúra dokumentu Char1151"/>
    <w:aliases w:val="Char9 Char Char1152,Štruktúra dokumentu Char Char Char1152,Document Map Char Char Char1152"/>
    <w:uiPriority w:val="99"/>
    <w:semiHidden/>
    <w:rsid w:val="00A809E7"/>
    <w:rPr>
      <w:rFonts w:ascii="Tahoma" w:hAnsi="Tahoma"/>
      <w:sz w:val="16"/>
      <w:lang w:val="x-none" w:eastAsia="cs-CZ"/>
    </w:rPr>
  </w:style>
  <w:style w:type="character" w:customStyle="1" w:styleId="truktradokumentuChar1150">
    <w:name w:val="Štruktúra dokumentu Char1150"/>
    <w:aliases w:val="Char9 Char Char1151,Štruktúra dokumentu Char Char Char1151,Document Map Char Char Char1151"/>
    <w:uiPriority w:val="99"/>
    <w:semiHidden/>
    <w:rsid w:val="00A809E7"/>
    <w:rPr>
      <w:rFonts w:ascii="Tahoma" w:hAnsi="Tahoma"/>
      <w:sz w:val="16"/>
      <w:lang w:val="x-none" w:eastAsia="cs-CZ"/>
    </w:rPr>
  </w:style>
  <w:style w:type="character" w:customStyle="1" w:styleId="truktradokumentuChar1149">
    <w:name w:val="Štruktúra dokumentu Char1149"/>
    <w:aliases w:val="Char9 Char Char1150,Štruktúra dokumentu Char Char Char1150,Document Map Char Char Char1150"/>
    <w:uiPriority w:val="99"/>
    <w:semiHidden/>
    <w:rsid w:val="00A809E7"/>
    <w:rPr>
      <w:rFonts w:ascii="Tahoma" w:hAnsi="Tahoma"/>
      <w:sz w:val="16"/>
      <w:lang w:val="x-none" w:eastAsia="cs-CZ"/>
    </w:rPr>
  </w:style>
  <w:style w:type="character" w:customStyle="1" w:styleId="truktradokumentuChar1148">
    <w:name w:val="Štruktúra dokumentu Char1148"/>
    <w:aliases w:val="Char9 Char Char1149,Štruktúra dokumentu Char Char Char1149,Document Map Char Char Char1149"/>
    <w:uiPriority w:val="99"/>
    <w:semiHidden/>
    <w:rsid w:val="00A809E7"/>
    <w:rPr>
      <w:rFonts w:ascii="Tahoma" w:hAnsi="Tahoma"/>
      <w:sz w:val="16"/>
      <w:lang w:val="x-none" w:eastAsia="cs-CZ"/>
    </w:rPr>
  </w:style>
  <w:style w:type="character" w:customStyle="1" w:styleId="truktradokumentuChar1147">
    <w:name w:val="Štruktúra dokumentu Char1147"/>
    <w:aliases w:val="Char9 Char Char1148,Štruktúra dokumentu Char Char Char1148,Document Map Char Char Char1148"/>
    <w:uiPriority w:val="99"/>
    <w:semiHidden/>
    <w:rsid w:val="00A809E7"/>
    <w:rPr>
      <w:rFonts w:ascii="Tahoma" w:hAnsi="Tahoma"/>
      <w:sz w:val="16"/>
      <w:lang w:val="x-none" w:eastAsia="cs-CZ"/>
    </w:rPr>
  </w:style>
  <w:style w:type="character" w:customStyle="1" w:styleId="truktradokumentuChar1146">
    <w:name w:val="Štruktúra dokumentu Char1146"/>
    <w:aliases w:val="Char9 Char Char1147,Štruktúra dokumentu Char Char Char1147,Document Map Char Char Char1147"/>
    <w:uiPriority w:val="99"/>
    <w:semiHidden/>
    <w:rsid w:val="00A809E7"/>
    <w:rPr>
      <w:rFonts w:ascii="Tahoma" w:hAnsi="Tahoma"/>
      <w:sz w:val="16"/>
      <w:lang w:val="x-none" w:eastAsia="cs-CZ"/>
    </w:rPr>
  </w:style>
  <w:style w:type="character" w:customStyle="1" w:styleId="truktradokumentuChar1145">
    <w:name w:val="Štruktúra dokumentu Char1145"/>
    <w:aliases w:val="Char9 Char Char1146,Štruktúra dokumentu Char Char Char1146,Document Map Char Char Char1146"/>
    <w:uiPriority w:val="99"/>
    <w:semiHidden/>
    <w:rsid w:val="00A809E7"/>
    <w:rPr>
      <w:rFonts w:ascii="Tahoma" w:hAnsi="Tahoma"/>
      <w:sz w:val="16"/>
      <w:lang w:val="x-none" w:eastAsia="cs-CZ"/>
    </w:rPr>
  </w:style>
  <w:style w:type="character" w:customStyle="1" w:styleId="truktradokumentuChar1144">
    <w:name w:val="Štruktúra dokumentu Char1144"/>
    <w:aliases w:val="Char9 Char Char1145,Štruktúra dokumentu Char Char Char1145,Document Map Char Char Char1145"/>
    <w:uiPriority w:val="99"/>
    <w:semiHidden/>
    <w:rsid w:val="00A809E7"/>
    <w:rPr>
      <w:rFonts w:ascii="Tahoma" w:hAnsi="Tahoma"/>
      <w:sz w:val="16"/>
      <w:lang w:val="x-none" w:eastAsia="cs-CZ"/>
    </w:rPr>
  </w:style>
  <w:style w:type="character" w:customStyle="1" w:styleId="truktradokumentuChar1143">
    <w:name w:val="Štruktúra dokumentu Char1143"/>
    <w:aliases w:val="Char9 Char Char1144,Štruktúra dokumentu Char Char Char1144,Document Map Char Char Char1144"/>
    <w:uiPriority w:val="99"/>
    <w:semiHidden/>
    <w:rsid w:val="00A809E7"/>
    <w:rPr>
      <w:rFonts w:ascii="Tahoma" w:hAnsi="Tahoma"/>
      <w:sz w:val="16"/>
      <w:lang w:val="x-none" w:eastAsia="cs-CZ"/>
    </w:rPr>
  </w:style>
  <w:style w:type="character" w:customStyle="1" w:styleId="truktradokumentuChar1142">
    <w:name w:val="Štruktúra dokumentu Char1142"/>
    <w:aliases w:val="Char9 Char Char1143,Štruktúra dokumentu Char Char Char1143,Document Map Char Char Char1143"/>
    <w:uiPriority w:val="99"/>
    <w:semiHidden/>
    <w:rsid w:val="00A809E7"/>
    <w:rPr>
      <w:rFonts w:ascii="Tahoma" w:hAnsi="Tahoma"/>
      <w:sz w:val="16"/>
      <w:lang w:val="x-none" w:eastAsia="cs-CZ"/>
    </w:rPr>
  </w:style>
  <w:style w:type="character" w:customStyle="1" w:styleId="truktradokumentuChar1141">
    <w:name w:val="Štruktúra dokumentu Char1141"/>
    <w:aliases w:val="Char9 Char Char1142,Štruktúra dokumentu Char Char Char1142,Document Map Char Char Char1142"/>
    <w:uiPriority w:val="99"/>
    <w:semiHidden/>
    <w:rsid w:val="00A809E7"/>
    <w:rPr>
      <w:rFonts w:ascii="Tahoma" w:hAnsi="Tahoma"/>
      <w:sz w:val="16"/>
      <w:lang w:val="x-none" w:eastAsia="cs-CZ"/>
    </w:rPr>
  </w:style>
  <w:style w:type="character" w:customStyle="1" w:styleId="truktradokumentuChar1140">
    <w:name w:val="Štruktúra dokumentu Char1140"/>
    <w:aliases w:val="Char9 Char Char1141,Štruktúra dokumentu Char Char Char1141,Document Map Char Char Char1141"/>
    <w:uiPriority w:val="99"/>
    <w:semiHidden/>
    <w:rsid w:val="00A809E7"/>
    <w:rPr>
      <w:rFonts w:ascii="Tahoma" w:hAnsi="Tahoma"/>
      <w:sz w:val="16"/>
      <w:lang w:val="x-none" w:eastAsia="cs-CZ"/>
    </w:rPr>
  </w:style>
  <w:style w:type="character" w:customStyle="1" w:styleId="truktradokumentuChar1139">
    <w:name w:val="Štruktúra dokumentu Char1139"/>
    <w:aliases w:val="Char9 Char Char1140,Štruktúra dokumentu Char Char Char1140,Document Map Char Char Char1140"/>
    <w:uiPriority w:val="99"/>
    <w:semiHidden/>
    <w:rsid w:val="00A809E7"/>
    <w:rPr>
      <w:rFonts w:ascii="Tahoma" w:hAnsi="Tahoma"/>
      <w:sz w:val="16"/>
      <w:lang w:val="x-none" w:eastAsia="cs-CZ"/>
    </w:rPr>
  </w:style>
  <w:style w:type="character" w:customStyle="1" w:styleId="truktradokumentuChar1138">
    <w:name w:val="Štruktúra dokumentu Char1138"/>
    <w:aliases w:val="Char9 Char Char1139,Štruktúra dokumentu Char Char Char1139,Document Map Char Char Char1139"/>
    <w:uiPriority w:val="99"/>
    <w:semiHidden/>
    <w:rsid w:val="00A809E7"/>
    <w:rPr>
      <w:rFonts w:ascii="Tahoma" w:hAnsi="Tahoma"/>
      <w:sz w:val="16"/>
      <w:lang w:val="x-none" w:eastAsia="cs-CZ"/>
    </w:rPr>
  </w:style>
  <w:style w:type="character" w:customStyle="1" w:styleId="truktradokumentuChar1137">
    <w:name w:val="Štruktúra dokumentu Char1137"/>
    <w:aliases w:val="Char9 Char Char1138,Štruktúra dokumentu Char Char Char1138,Document Map Char Char Char1138"/>
    <w:uiPriority w:val="99"/>
    <w:semiHidden/>
    <w:rsid w:val="00A809E7"/>
    <w:rPr>
      <w:rFonts w:ascii="Tahoma" w:hAnsi="Tahoma"/>
      <w:sz w:val="16"/>
      <w:lang w:val="x-none" w:eastAsia="cs-CZ"/>
    </w:rPr>
  </w:style>
  <w:style w:type="character" w:customStyle="1" w:styleId="truktradokumentuChar1136">
    <w:name w:val="Štruktúra dokumentu Char1136"/>
    <w:aliases w:val="Char9 Char Char1137,Štruktúra dokumentu Char Char Char1137,Document Map Char Char Char1137"/>
    <w:uiPriority w:val="99"/>
    <w:semiHidden/>
    <w:rsid w:val="00A809E7"/>
    <w:rPr>
      <w:rFonts w:ascii="Tahoma" w:hAnsi="Tahoma"/>
      <w:sz w:val="16"/>
      <w:lang w:val="x-none" w:eastAsia="cs-CZ"/>
    </w:rPr>
  </w:style>
  <w:style w:type="character" w:customStyle="1" w:styleId="truktradokumentuChar1135">
    <w:name w:val="Štruktúra dokumentu Char1135"/>
    <w:aliases w:val="Char9 Char Char1136,Štruktúra dokumentu Char Char Char1136,Document Map Char Char Char1136"/>
    <w:uiPriority w:val="99"/>
    <w:semiHidden/>
    <w:rsid w:val="00A809E7"/>
    <w:rPr>
      <w:rFonts w:ascii="Tahoma" w:hAnsi="Tahoma"/>
      <w:sz w:val="16"/>
      <w:lang w:val="x-none" w:eastAsia="cs-CZ"/>
    </w:rPr>
  </w:style>
  <w:style w:type="character" w:customStyle="1" w:styleId="truktradokumentuChar1134">
    <w:name w:val="Štruktúra dokumentu Char1134"/>
    <w:aliases w:val="Char9 Char Char1135,Štruktúra dokumentu Char Char Char1135,Document Map Char Char Char1135"/>
    <w:uiPriority w:val="99"/>
    <w:semiHidden/>
    <w:rsid w:val="00A809E7"/>
    <w:rPr>
      <w:rFonts w:ascii="Tahoma" w:hAnsi="Tahoma"/>
      <w:sz w:val="16"/>
      <w:lang w:val="x-none" w:eastAsia="cs-CZ"/>
    </w:rPr>
  </w:style>
  <w:style w:type="character" w:customStyle="1" w:styleId="truktradokumentuChar1133">
    <w:name w:val="Štruktúra dokumentu Char1133"/>
    <w:aliases w:val="Char9 Char Char1134,Štruktúra dokumentu Char Char Char1134,Document Map Char Char Char1134"/>
    <w:uiPriority w:val="99"/>
    <w:semiHidden/>
    <w:rsid w:val="00A809E7"/>
    <w:rPr>
      <w:rFonts w:ascii="Tahoma" w:hAnsi="Tahoma"/>
      <w:sz w:val="16"/>
      <w:lang w:val="x-none" w:eastAsia="cs-CZ"/>
    </w:rPr>
  </w:style>
  <w:style w:type="character" w:customStyle="1" w:styleId="truktradokumentuChar1132">
    <w:name w:val="Štruktúra dokumentu Char1132"/>
    <w:aliases w:val="Char9 Char Char1133,Štruktúra dokumentu Char Char Char1133,Document Map Char Char Char1133"/>
    <w:uiPriority w:val="99"/>
    <w:semiHidden/>
    <w:rsid w:val="00A809E7"/>
    <w:rPr>
      <w:rFonts w:ascii="Tahoma" w:hAnsi="Tahoma"/>
      <w:sz w:val="16"/>
      <w:lang w:val="x-none" w:eastAsia="cs-CZ"/>
    </w:rPr>
  </w:style>
  <w:style w:type="character" w:customStyle="1" w:styleId="truktradokumentuChar1131">
    <w:name w:val="Štruktúra dokumentu Char1131"/>
    <w:aliases w:val="Char9 Char Char1132,Štruktúra dokumentu Char Char Char1132,Document Map Char Char Char1132"/>
    <w:uiPriority w:val="99"/>
    <w:semiHidden/>
    <w:rsid w:val="00A809E7"/>
    <w:rPr>
      <w:rFonts w:ascii="Tahoma" w:hAnsi="Tahoma"/>
      <w:sz w:val="16"/>
      <w:lang w:val="x-none" w:eastAsia="cs-CZ"/>
    </w:rPr>
  </w:style>
  <w:style w:type="character" w:customStyle="1" w:styleId="truktradokumentuChar1130">
    <w:name w:val="Štruktúra dokumentu Char1130"/>
    <w:aliases w:val="Char9 Char Char1131,Štruktúra dokumentu Char Char Char1131,Document Map Char Char Char1131"/>
    <w:uiPriority w:val="99"/>
    <w:semiHidden/>
    <w:rsid w:val="00A809E7"/>
    <w:rPr>
      <w:rFonts w:ascii="Tahoma" w:hAnsi="Tahoma"/>
      <w:sz w:val="16"/>
      <w:lang w:val="x-none" w:eastAsia="cs-CZ"/>
    </w:rPr>
  </w:style>
  <w:style w:type="character" w:customStyle="1" w:styleId="truktradokumentuChar1129">
    <w:name w:val="Štruktúra dokumentu Char1129"/>
    <w:aliases w:val="Char9 Char Char1130,Štruktúra dokumentu Char Char Char1130,Document Map Char Char Char1130"/>
    <w:uiPriority w:val="99"/>
    <w:semiHidden/>
    <w:rsid w:val="00A809E7"/>
    <w:rPr>
      <w:rFonts w:ascii="Tahoma" w:hAnsi="Tahoma"/>
      <w:sz w:val="16"/>
      <w:lang w:val="x-none" w:eastAsia="cs-CZ"/>
    </w:rPr>
  </w:style>
  <w:style w:type="character" w:customStyle="1" w:styleId="truktradokumentuChar1128">
    <w:name w:val="Štruktúra dokumentu Char1128"/>
    <w:aliases w:val="Char9 Char Char1129,Štruktúra dokumentu Char Char Char1129,Document Map Char Char Char1129"/>
    <w:uiPriority w:val="99"/>
    <w:semiHidden/>
    <w:rsid w:val="00A809E7"/>
    <w:rPr>
      <w:rFonts w:ascii="Tahoma" w:hAnsi="Tahoma"/>
      <w:sz w:val="16"/>
      <w:lang w:val="x-none" w:eastAsia="cs-CZ"/>
    </w:rPr>
  </w:style>
  <w:style w:type="character" w:customStyle="1" w:styleId="truktradokumentuChar1127">
    <w:name w:val="Štruktúra dokumentu Char1127"/>
    <w:aliases w:val="Char9 Char Char1128,Štruktúra dokumentu Char Char Char1128,Document Map Char Char Char1128"/>
    <w:uiPriority w:val="99"/>
    <w:semiHidden/>
    <w:rsid w:val="00A809E7"/>
    <w:rPr>
      <w:rFonts w:ascii="Tahoma" w:hAnsi="Tahoma"/>
      <w:sz w:val="16"/>
      <w:lang w:val="x-none" w:eastAsia="cs-CZ"/>
    </w:rPr>
  </w:style>
  <w:style w:type="character" w:customStyle="1" w:styleId="truktradokumentuChar1126">
    <w:name w:val="Štruktúra dokumentu Char1126"/>
    <w:aliases w:val="Char9 Char Char1127,Štruktúra dokumentu Char Char Char1127,Document Map Char Char Char1127"/>
    <w:uiPriority w:val="99"/>
    <w:semiHidden/>
    <w:rsid w:val="00A809E7"/>
    <w:rPr>
      <w:rFonts w:ascii="Tahoma" w:hAnsi="Tahoma"/>
      <w:sz w:val="16"/>
      <w:lang w:val="x-none" w:eastAsia="cs-CZ"/>
    </w:rPr>
  </w:style>
  <w:style w:type="character" w:customStyle="1" w:styleId="truktradokumentuChar1125">
    <w:name w:val="Štruktúra dokumentu Char1125"/>
    <w:aliases w:val="Char9 Char Char1126,Štruktúra dokumentu Char Char Char1126,Document Map Char Char Char1126"/>
    <w:uiPriority w:val="99"/>
    <w:semiHidden/>
    <w:rsid w:val="00A809E7"/>
    <w:rPr>
      <w:rFonts w:ascii="Tahoma" w:hAnsi="Tahoma"/>
      <w:sz w:val="16"/>
      <w:lang w:val="x-none" w:eastAsia="cs-CZ"/>
    </w:rPr>
  </w:style>
  <w:style w:type="character" w:customStyle="1" w:styleId="truktradokumentuChar1124">
    <w:name w:val="Štruktúra dokumentu Char1124"/>
    <w:aliases w:val="Char9 Char Char1125,Štruktúra dokumentu Char Char Char1125,Document Map Char Char Char1125"/>
    <w:uiPriority w:val="99"/>
    <w:semiHidden/>
    <w:rsid w:val="00A809E7"/>
    <w:rPr>
      <w:rFonts w:ascii="Tahoma" w:hAnsi="Tahoma"/>
      <w:sz w:val="16"/>
      <w:lang w:val="x-none" w:eastAsia="cs-CZ"/>
    </w:rPr>
  </w:style>
  <w:style w:type="character" w:customStyle="1" w:styleId="truktradokumentuChar1123">
    <w:name w:val="Štruktúra dokumentu Char1123"/>
    <w:aliases w:val="Char9 Char Char1124,Štruktúra dokumentu Char Char Char1124,Document Map Char Char Char1124"/>
    <w:uiPriority w:val="99"/>
    <w:semiHidden/>
    <w:rsid w:val="00A809E7"/>
    <w:rPr>
      <w:rFonts w:ascii="Tahoma" w:hAnsi="Tahoma"/>
      <w:sz w:val="16"/>
      <w:lang w:val="x-none" w:eastAsia="cs-CZ"/>
    </w:rPr>
  </w:style>
  <w:style w:type="character" w:customStyle="1" w:styleId="truktradokumentuChar1122">
    <w:name w:val="Štruktúra dokumentu Char1122"/>
    <w:aliases w:val="Char9 Char Char1123,Štruktúra dokumentu Char Char Char1123,Document Map Char Char Char1123"/>
    <w:uiPriority w:val="99"/>
    <w:semiHidden/>
    <w:rsid w:val="00A809E7"/>
    <w:rPr>
      <w:rFonts w:ascii="Tahoma" w:hAnsi="Tahoma"/>
      <w:sz w:val="16"/>
      <w:lang w:val="x-none" w:eastAsia="cs-CZ"/>
    </w:rPr>
  </w:style>
  <w:style w:type="character" w:customStyle="1" w:styleId="truktradokumentuChar1121">
    <w:name w:val="Štruktúra dokumentu Char1121"/>
    <w:aliases w:val="Char9 Char Char1122,Štruktúra dokumentu Char Char Char1122,Document Map Char Char Char1122"/>
    <w:uiPriority w:val="99"/>
    <w:semiHidden/>
    <w:rsid w:val="00A809E7"/>
    <w:rPr>
      <w:rFonts w:ascii="Tahoma" w:hAnsi="Tahoma"/>
      <w:sz w:val="16"/>
      <w:lang w:val="x-none" w:eastAsia="cs-CZ"/>
    </w:rPr>
  </w:style>
  <w:style w:type="character" w:customStyle="1" w:styleId="truktradokumentuChar1120">
    <w:name w:val="Štruktúra dokumentu Char1120"/>
    <w:aliases w:val="Char9 Char Char1121,Štruktúra dokumentu Char Char Char1121,Document Map Char Char Char1121"/>
    <w:uiPriority w:val="99"/>
    <w:semiHidden/>
    <w:rsid w:val="00A809E7"/>
    <w:rPr>
      <w:rFonts w:ascii="Tahoma" w:hAnsi="Tahoma"/>
      <w:sz w:val="16"/>
      <w:lang w:val="x-none" w:eastAsia="cs-CZ"/>
    </w:rPr>
  </w:style>
  <w:style w:type="character" w:customStyle="1" w:styleId="truktradokumentuChar1119">
    <w:name w:val="Štruktúra dokumentu Char1119"/>
    <w:aliases w:val="Char9 Char Char1120,Štruktúra dokumentu Char Char Char1120,Document Map Char Char Char1120"/>
    <w:uiPriority w:val="99"/>
    <w:semiHidden/>
    <w:rsid w:val="00A809E7"/>
    <w:rPr>
      <w:rFonts w:ascii="Tahoma" w:hAnsi="Tahoma"/>
      <w:sz w:val="16"/>
      <w:lang w:val="x-none" w:eastAsia="cs-CZ"/>
    </w:rPr>
  </w:style>
  <w:style w:type="character" w:customStyle="1" w:styleId="truktradokumentuChar1118">
    <w:name w:val="Štruktúra dokumentu Char1118"/>
    <w:aliases w:val="Char9 Char Char1119,Štruktúra dokumentu Char Char Char1119,Document Map Char Char Char1119"/>
    <w:uiPriority w:val="99"/>
    <w:semiHidden/>
    <w:rsid w:val="00A809E7"/>
    <w:rPr>
      <w:rFonts w:ascii="Tahoma" w:hAnsi="Tahoma"/>
      <w:sz w:val="16"/>
      <w:lang w:val="x-none" w:eastAsia="cs-CZ"/>
    </w:rPr>
  </w:style>
  <w:style w:type="character" w:customStyle="1" w:styleId="truktradokumentuChar1117">
    <w:name w:val="Štruktúra dokumentu Char1117"/>
    <w:aliases w:val="Char9 Char Char1118,Štruktúra dokumentu Char Char Char1118,Document Map Char Char Char1118"/>
    <w:uiPriority w:val="99"/>
    <w:semiHidden/>
    <w:rsid w:val="00A809E7"/>
    <w:rPr>
      <w:rFonts w:ascii="Tahoma" w:hAnsi="Tahoma"/>
      <w:sz w:val="16"/>
      <w:lang w:val="x-none" w:eastAsia="cs-CZ"/>
    </w:rPr>
  </w:style>
  <w:style w:type="character" w:customStyle="1" w:styleId="truktradokumentuChar1116">
    <w:name w:val="Štruktúra dokumentu Char1116"/>
    <w:aliases w:val="Char9 Char Char1117,Štruktúra dokumentu Char Char Char1117,Document Map Char Char Char1117"/>
    <w:uiPriority w:val="99"/>
    <w:semiHidden/>
    <w:rsid w:val="00A809E7"/>
    <w:rPr>
      <w:rFonts w:ascii="Tahoma" w:hAnsi="Tahoma"/>
      <w:sz w:val="16"/>
      <w:lang w:val="x-none" w:eastAsia="cs-CZ"/>
    </w:rPr>
  </w:style>
  <w:style w:type="character" w:customStyle="1" w:styleId="truktradokumentuChar1115">
    <w:name w:val="Štruktúra dokumentu Char1115"/>
    <w:aliases w:val="Char9 Char Char1116,Štruktúra dokumentu Char Char Char1116,Document Map Char Char Char1116"/>
    <w:uiPriority w:val="99"/>
    <w:semiHidden/>
    <w:rsid w:val="00A809E7"/>
    <w:rPr>
      <w:rFonts w:ascii="Tahoma" w:hAnsi="Tahoma"/>
      <w:sz w:val="16"/>
      <w:lang w:val="x-none" w:eastAsia="cs-CZ"/>
    </w:rPr>
  </w:style>
  <w:style w:type="character" w:customStyle="1" w:styleId="truktradokumentuChar1114">
    <w:name w:val="Štruktúra dokumentu Char1114"/>
    <w:aliases w:val="Char9 Char Char1115,Štruktúra dokumentu Char Char Char1115,Document Map Char Char Char1115"/>
    <w:uiPriority w:val="99"/>
    <w:semiHidden/>
    <w:rsid w:val="00A809E7"/>
    <w:rPr>
      <w:rFonts w:ascii="Tahoma" w:hAnsi="Tahoma"/>
      <w:sz w:val="16"/>
      <w:lang w:val="x-none" w:eastAsia="cs-CZ"/>
    </w:rPr>
  </w:style>
  <w:style w:type="character" w:customStyle="1" w:styleId="truktradokumentuChar1113">
    <w:name w:val="Štruktúra dokumentu Char1113"/>
    <w:aliases w:val="Char9 Char Char1114,Štruktúra dokumentu Char Char Char1114,Document Map Char Char Char1114"/>
    <w:uiPriority w:val="99"/>
    <w:semiHidden/>
    <w:rsid w:val="00A809E7"/>
    <w:rPr>
      <w:rFonts w:ascii="Tahoma" w:hAnsi="Tahoma"/>
      <w:sz w:val="16"/>
      <w:lang w:val="x-none" w:eastAsia="cs-CZ"/>
    </w:rPr>
  </w:style>
  <w:style w:type="character" w:customStyle="1" w:styleId="truktradokumentuChar1112">
    <w:name w:val="Štruktúra dokumentu Char1112"/>
    <w:aliases w:val="Char9 Char Char1113,Štruktúra dokumentu Char Char Char1113,Document Map Char Char Char1113"/>
    <w:uiPriority w:val="99"/>
    <w:semiHidden/>
    <w:rsid w:val="00A809E7"/>
    <w:rPr>
      <w:rFonts w:ascii="Tahoma" w:hAnsi="Tahoma"/>
      <w:sz w:val="16"/>
      <w:lang w:val="x-none" w:eastAsia="cs-CZ"/>
    </w:rPr>
  </w:style>
  <w:style w:type="character" w:customStyle="1" w:styleId="truktradokumentuChar1111">
    <w:name w:val="Štruktúra dokumentu Char1111"/>
    <w:aliases w:val="Char9 Char Char1112,Štruktúra dokumentu Char Char Char1112,Document Map Char Char Char1112"/>
    <w:uiPriority w:val="99"/>
    <w:semiHidden/>
    <w:rsid w:val="00A809E7"/>
    <w:rPr>
      <w:rFonts w:ascii="Tahoma" w:hAnsi="Tahoma"/>
      <w:sz w:val="16"/>
      <w:lang w:val="x-none" w:eastAsia="cs-CZ"/>
    </w:rPr>
  </w:style>
  <w:style w:type="character" w:customStyle="1" w:styleId="truktradokumentuChar1110">
    <w:name w:val="Štruktúra dokumentu Char1110"/>
    <w:aliases w:val="Char9 Char Char1111,Štruktúra dokumentu Char Char Char1111,Document Map Char Char Char1111"/>
    <w:uiPriority w:val="99"/>
    <w:semiHidden/>
    <w:rsid w:val="00A809E7"/>
    <w:rPr>
      <w:rFonts w:ascii="Tahoma" w:hAnsi="Tahoma"/>
      <w:sz w:val="16"/>
      <w:lang w:val="x-none" w:eastAsia="cs-CZ"/>
    </w:rPr>
  </w:style>
  <w:style w:type="character" w:customStyle="1" w:styleId="truktradokumentuChar1109">
    <w:name w:val="Štruktúra dokumentu Char1109"/>
    <w:aliases w:val="Char9 Char Char1110,Štruktúra dokumentu Char Char Char1110,Document Map Char Char Char1110"/>
    <w:uiPriority w:val="99"/>
    <w:semiHidden/>
    <w:rsid w:val="00A809E7"/>
    <w:rPr>
      <w:rFonts w:ascii="Tahoma" w:hAnsi="Tahoma"/>
      <w:sz w:val="16"/>
      <w:lang w:val="x-none" w:eastAsia="cs-CZ"/>
    </w:rPr>
  </w:style>
  <w:style w:type="character" w:customStyle="1" w:styleId="truktradokumentuChar1108">
    <w:name w:val="Štruktúra dokumentu Char1108"/>
    <w:aliases w:val="Char9 Char Char1109,Štruktúra dokumentu Char Char Char1109,Document Map Char Char Char1109"/>
    <w:uiPriority w:val="99"/>
    <w:semiHidden/>
    <w:rsid w:val="00A809E7"/>
    <w:rPr>
      <w:rFonts w:ascii="Tahoma" w:hAnsi="Tahoma"/>
      <w:sz w:val="16"/>
      <w:lang w:val="x-none" w:eastAsia="cs-CZ"/>
    </w:rPr>
  </w:style>
  <w:style w:type="character" w:customStyle="1" w:styleId="truktradokumentuChar1107">
    <w:name w:val="Štruktúra dokumentu Char1107"/>
    <w:aliases w:val="Char9 Char Char1108,Štruktúra dokumentu Char Char Char1108,Document Map Char Char Char1108"/>
    <w:uiPriority w:val="99"/>
    <w:semiHidden/>
    <w:rsid w:val="00A809E7"/>
    <w:rPr>
      <w:rFonts w:ascii="Tahoma" w:hAnsi="Tahoma"/>
      <w:sz w:val="16"/>
      <w:lang w:val="x-none" w:eastAsia="cs-CZ"/>
    </w:rPr>
  </w:style>
  <w:style w:type="character" w:customStyle="1" w:styleId="truktradokumentuChar1106">
    <w:name w:val="Štruktúra dokumentu Char1106"/>
    <w:aliases w:val="Char9 Char Char1107,Štruktúra dokumentu Char Char Char1107,Document Map Char Char Char1107"/>
    <w:uiPriority w:val="99"/>
    <w:semiHidden/>
    <w:rsid w:val="00A809E7"/>
    <w:rPr>
      <w:rFonts w:ascii="Tahoma" w:hAnsi="Tahoma"/>
      <w:sz w:val="16"/>
      <w:lang w:val="x-none" w:eastAsia="cs-CZ"/>
    </w:rPr>
  </w:style>
  <w:style w:type="character" w:customStyle="1" w:styleId="truktradokumentuChar1105">
    <w:name w:val="Štruktúra dokumentu Char1105"/>
    <w:aliases w:val="Char9 Char Char1106,Štruktúra dokumentu Char Char Char1106,Document Map Char Char Char1106"/>
    <w:uiPriority w:val="99"/>
    <w:semiHidden/>
    <w:rsid w:val="00A809E7"/>
    <w:rPr>
      <w:rFonts w:ascii="Tahoma" w:hAnsi="Tahoma"/>
      <w:sz w:val="16"/>
      <w:lang w:val="x-none" w:eastAsia="cs-CZ"/>
    </w:rPr>
  </w:style>
  <w:style w:type="character" w:customStyle="1" w:styleId="truktradokumentuChar1104">
    <w:name w:val="Štruktúra dokumentu Char1104"/>
    <w:aliases w:val="Char9 Char Char1105,Štruktúra dokumentu Char Char Char1105,Document Map Char Char Char1105"/>
    <w:uiPriority w:val="99"/>
    <w:semiHidden/>
    <w:rsid w:val="00A809E7"/>
    <w:rPr>
      <w:rFonts w:ascii="Tahoma" w:hAnsi="Tahoma"/>
      <w:sz w:val="16"/>
      <w:lang w:val="x-none" w:eastAsia="cs-CZ"/>
    </w:rPr>
  </w:style>
  <w:style w:type="character" w:customStyle="1" w:styleId="truktradokumentuChar1103">
    <w:name w:val="Štruktúra dokumentu Char1103"/>
    <w:aliases w:val="Char9 Char Char1104,Štruktúra dokumentu Char Char Char1104,Document Map Char Char Char1104"/>
    <w:uiPriority w:val="99"/>
    <w:semiHidden/>
    <w:rsid w:val="00A809E7"/>
    <w:rPr>
      <w:rFonts w:ascii="Tahoma" w:hAnsi="Tahoma"/>
      <w:sz w:val="16"/>
      <w:lang w:val="x-none" w:eastAsia="cs-CZ"/>
    </w:rPr>
  </w:style>
  <w:style w:type="character" w:customStyle="1" w:styleId="truktradokumentuChar1102">
    <w:name w:val="Štruktúra dokumentu Char1102"/>
    <w:aliases w:val="Char9 Char Char1103,Štruktúra dokumentu Char Char Char1103,Document Map Char Char Char1103"/>
    <w:uiPriority w:val="99"/>
    <w:semiHidden/>
    <w:rsid w:val="00A809E7"/>
    <w:rPr>
      <w:rFonts w:ascii="Tahoma" w:hAnsi="Tahoma"/>
      <w:sz w:val="16"/>
      <w:lang w:val="x-none" w:eastAsia="cs-CZ"/>
    </w:rPr>
  </w:style>
  <w:style w:type="character" w:customStyle="1" w:styleId="truktradokumentuChar1101">
    <w:name w:val="Štruktúra dokumentu Char1101"/>
    <w:aliases w:val="Char9 Char Char1102,Štruktúra dokumentu Char Char Char1102,Document Map Char Char Char1102"/>
    <w:uiPriority w:val="99"/>
    <w:semiHidden/>
    <w:rsid w:val="00A809E7"/>
    <w:rPr>
      <w:rFonts w:ascii="Tahoma" w:hAnsi="Tahoma"/>
      <w:sz w:val="16"/>
      <w:lang w:val="x-none" w:eastAsia="cs-CZ"/>
    </w:rPr>
  </w:style>
  <w:style w:type="character" w:customStyle="1" w:styleId="truktradokumentuChar1100">
    <w:name w:val="Štruktúra dokumentu Char1100"/>
    <w:aliases w:val="Char9 Char Char1101,Štruktúra dokumentu Char Char Char1101,Document Map Char Char Char1101"/>
    <w:uiPriority w:val="99"/>
    <w:semiHidden/>
    <w:rsid w:val="00A809E7"/>
    <w:rPr>
      <w:rFonts w:ascii="Tahoma" w:hAnsi="Tahoma"/>
      <w:sz w:val="16"/>
      <w:lang w:val="x-none" w:eastAsia="cs-CZ"/>
    </w:rPr>
  </w:style>
  <w:style w:type="character" w:customStyle="1" w:styleId="truktradokumentuChar199">
    <w:name w:val="Štruktúra dokumentu Char199"/>
    <w:aliases w:val="Char9 Char Char1100,Štruktúra dokumentu Char Char Char1100,Document Map Char Char Char1100"/>
    <w:uiPriority w:val="99"/>
    <w:semiHidden/>
    <w:rsid w:val="00A809E7"/>
    <w:rPr>
      <w:rFonts w:ascii="Tahoma" w:hAnsi="Tahoma"/>
      <w:sz w:val="16"/>
      <w:lang w:val="x-none" w:eastAsia="cs-CZ"/>
    </w:rPr>
  </w:style>
  <w:style w:type="character" w:customStyle="1" w:styleId="truktradokumentuChar198">
    <w:name w:val="Štruktúra dokumentu Char198"/>
    <w:aliases w:val="Char9 Char Char199,Štruktúra dokumentu Char Char Char199,Document Map Char Char Char199"/>
    <w:uiPriority w:val="99"/>
    <w:semiHidden/>
    <w:rsid w:val="00A809E7"/>
    <w:rPr>
      <w:rFonts w:ascii="Tahoma" w:hAnsi="Tahoma"/>
      <w:sz w:val="16"/>
      <w:lang w:val="x-none" w:eastAsia="cs-CZ"/>
    </w:rPr>
  </w:style>
  <w:style w:type="character" w:customStyle="1" w:styleId="truktradokumentuChar197">
    <w:name w:val="Štruktúra dokumentu Char197"/>
    <w:aliases w:val="Char9 Char Char198,Štruktúra dokumentu Char Char Char198,Document Map Char Char Char198"/>
    <w:uiPriority w:val="99"/>
    <w:semiHidden/>
    <w:rsid w:val="00A809E7"/>
    <w:rPr>
      <w:rFonts w:ascii="Tahoma" w:hAnsi="Tahoma"/>
      <w:sz w:val="16"/>
      <w:lang w:val="x-none" w:eastAsia="cs-CZ"/>
    </w:rPr>
  </w:style>
  <w:style w:type="character" w:customStyle="1" w:styleId="truktradokumentuChar196">
    <w:name w:val="Štruktúra dokumentu Char196"/>
    <w:aliases w:val="Char9 Char Char197,Štruktúra dokumentu Char Char Char197,Document Map Char Char Char197"/>
    <w:uiPriority w:val="99"/>
    <w:semiHidden/>
    <w:rsid w:val="00A809E7"/>
    <w:rPr>
      <w:rFonts w:ascii="Tahoma" w:hAnsi="Tahoma"/>
      <w:sz w:val="16"/>
      <w:lang w:val="x-none" w:eastAsia="cs-CZ"/>
    </w:rPr>
  </w:style>
  <w:style w:type="character" w:customStyle="1" w:styleId="truktradokumentuChar195">
    <w:name w:val="Štruktúra dokumentu Char195"/>
    <w:aliases w:val="Char9 Char Char196,Štruktúra dokumentu Char Char Char196,Document Map Char Char Char196"/>
    <w:uiPriority w:val="99"/>
    <w:semiHidden/>
    <w:rsid w:val="00A809E7"/>
    <w:rPr>
      <w:rFonts w:ascii="Tahoma" w:hAnsi="Tahoma"/>
      <w:sz w:val="16"/>
      <w:lang w:val="x-none" w:eastAsia="cs-CZ"/>
    </w:rPr>
  </w:style>
  <w:style w:type="character" w:customStyle="1" w:styleId="truktradokumentuChar194">
    <w:name w:val="Štruktúra dokumentu Char194"/>
    <w:aliases w:val="Char9 Char Char195,Štruktúra dokumentu Char Char Char195,Document Map Char Char Char195"/>
    <w:uiPriority w:val="99"/>
    <w:semiHidden/>
    <w:rsid w:val="00A809E7"/>
    <w:rPr>
      <w:rFonts w:ascii="Tahoma" w:hAnsi="Tahoma"/>
      <w:sz w:val="16"/>
      <w:lang w:val="x-none" w:eastAsia="cs-CZ"/>
    </w:rPr>
  </w:style>
  <w:style w:type="character" w:customStyle="1" w:styleId="truktradokumentuChar193">
    <w:name w:val="Štruktúra dokumentu Char193"/>
    <w:aliases w:val="Char9 Char Char194,Štruktúra dokumentu Char Char Char194,Document Map Char Char Char194"/>
    <w:uiPriority w:val="99"/>
    <w:semiHidden/>
    <w:rsid w:val="00A809E7"/>
    <w:rPr>
      <w:rFonts w:ascii="Tahoma" w:hAnsi="Tahoma"/>
      <w:sz w:val="16"/>
      <w:lang w:val="x-none" w:eastAsia="cs-CZ"/>
    </w:rPr>
  </w:style>
  <w:style w:type="character" w:customStyle="1" w:styleId="truktradokumentuChar192">
    <w:name w:val="Štruktúra dokumentu Char192"/>
    <w:aliases w:val="Char9 Char Char193,Štruktúra dokumentu Char Char Char193,Document Map Char Char Char193"/>
    <w:uiPriority w:val="99"/>
    <w:semiHidden/>
    <w:rsid w:val="00A809E7"/>
    <w:rPr>
      <w:rFonts w:ascii="Tahoma" w:hAnsi="Tahoma"/>
      <w:sz w:val="16"/>
      <w:lang w:val="x-none" w:eastAsia="cs-CZ"/>
    </w:rPr>
  </w:style>
  <w:style w:type="character" w:customStyle="1" w:styleId="truktradokumentuChar191">
    <w:name w:val="Štruktúra dokumentu Char191"/>
    <w:aliases w:val="Char9 Char Char192,Štruktúra dokumentu Char Char Char192,Document Map Char Char Char192"/>
    <w:uiPriority w:val="99"/>
    <w:semiHidden/>
    <w:rsid w:val="00A809E7"/>
    <w:rPr>
      <w:rFonts w:ascii="Tahoma" w:hAnsi="Tahoma"/>
      <w:sz w:val="16"/>
      <w:lang w:val="x-none" w:eastAsia="cs-CZ"/>
    </w:rPr>
  </w:style>
  <w:style w:type="character" w:customStyle="1" w:styleId="truktradokumentuChar190">
    <w:name w:val="Štruktúra dokumentu Char190"/>
    <w:aliases w:val="Char9 Char Char191,Štruktúra dokumentu Char Char Char191,Document Map Char Char Char191"/>
    <w:uiPriority w:val="99"/>
    <w:semiHidden/>
    <w:rsid w:val="00A809E7"/>
    <w:rPr>
      <w:rFonts w:ascii="Tahoma" w:hAnsi="Tahoma"/>
      <w:sz w:val="16"/>
      <w:lang w:val="x-none" w:eastAsia="cs-CZ"/>
    </w:rPr>
  </w:style>
  <w:style w:type="character" w:customStyle="1" w:styleId="truktradokumentuChar189">
    <w:name w:val="Štruktúra dokumentu Char189"/>
    <w:aliases w:val="Char9 Char Char190,Štruktúra dokumentu Char Char Char190,Document Map Char Char Char190"/>
    <w:uiPriority w:val="99"/>
    <w:semiHidden/>
    <w:rsid w:val="00A809E7"/>
    <w:rPr>
      <w:rFonts w:ascii="Tahoma" w:hAnsi="Tahoma"/>
      <w:sz w:val="16"/>
      <w:lang w:val="x-none" w:eastAsia="cs-CZ"/>
    </w:rPr>
  </w:style>
  <w:style w:type="character" w:customStyle="1" w:styleId="truktradokumentuChar188">
    <w:name w:val="Štruktúra dokumentu Char188"/>
    <w:aliases w:val="Char9 Char Char189,Štruktúra dokumentu Char Char Char189,Document Map Char Char Char189"/>
    <w:uiPriority w:val="99"/>
    <w:semiHidden/>
    <w:rsid w:val="00A809E7"/>
    <w:rPr>
      <w:rFonts w:ascii="Tahoma" w:hAnsi="Tahoma"/>
      <w:sz w:val="16"/>
      <w:lang w:val="x-none" w:eastAsia="cs-CZ"/>
    </w:rPr>
  </w:style>
  <w:style w:type="character" w:customStyle="1" w:styleId="truktradokumentuChar187">
    <w:name w:val="Štruktúra dokumentu Char187"/>
    <w:aliases w:val="Char9 Char Char188,Štruktúra dokumentu Char Char Char188,Document Map Char Char Char188"/>
    <w:uiPriority w:val="99"/>
    <w:semiHidden/>
    <w:rsid w:val="00A809E7"/>
    <w:rPr>
      <w:rFonts w:ascii="Tahoma" w:hAnsi="Tahoma"/>
      <w:sz w:val="16"/>
      <w:lang w:val="x-none" w:eastAsia="cs-CZ"/>
    </w:rPr>
  </w:style>
  <w:style w:type="character" w:customStyle="1" w:styleId="truktradokumentuChar186">
    <w:name w:val="Štruktúra dokumentu Char186"/>
    <w:aliases w:val="Char9 Char Char187,Štruktúra dokumentu Char Char Char187,Document Map Char Char Char187"/>
    <w:uiPriority w:val="99"/>
    <w:semiHidden/>
    <w:rsid w:val="00A809E7"/>
    <w:rPr>
      <w:rFonts w:ascii="Tahoma" w:hAnsi="Tahoma"/>
      <w:sz w:val="16"/>
      <w:lang w:val="x-none" w:eastAsia="cs-CZ"/>
    </w:rPr>
  </w:style>
  <w:style w:type="character" w:customStyle="1" w:styleId="truktradokumentuChar185">
    <w:name w:val="Štruktúra dokumentu Char185"/>
    <w:aliases w:val="Char9 Char Char186,Štruktúra dokumentu Char Char Char186,Document Map Char Char Char186"/>
    <w:uiPriority w:val="99"/>
    <w:semiHidden/>
    <w:rsid w:val="00A809E7"/>
    <w:rPr>
      <w:rFonts w:ascii="Tahoma" w:hAnsi="Tahoma"/>
      <w:sz w:val="16"/>
      <w:lang w:val="x-none" w:eastAsia="cs-CZ"/>
    </w:rPr>
  </w:style>
  <w:style w:type="character" w:customStyle="1" w:styleId="truktradokumentuChar184">
    <w:name w:val="Štruktúra dokumentu Char184"/>
    <w:aliases w:val="Char9 Char Char185,Štruktúra dokumentu Char Char Char185,Document Map Char Char Char185"/>
    <w:uiPriority w:val="99"/>
    <w:semiHidden/>
    <w:rsid w:val="00A809E7"/>
    <w:rPr>
      <w:rFonts w:ascii="Tahoma" w:hAnsi="Tahoma"/>
      <w:sz w:val="16"/>
      <w:lang w:val="x-none" w:eastAsia="cs-CZ"/>
    </w:rPr>
  </w:style>
  <w:style w:type="character" w:customStyle="1" w:styleId="truktradokumentuChar183">
    <w:name w:val="Štruktúra dokumentu Char183"/>
    <w:aliases w:val="Char9 Char Char184,Štruktúra dokumentu Char Char Char184,Document Map Char Char Char184"/>
    <w:uiPriority w:val="99"/>
    <w:semiHidden/>
    <w:rsid w:val="00A809E7"/>
    <w:rPr>
      <w:rFonts w:ascii="Tahoma" w:hAnsi="Tahoma"/>
      <w:sz w:val="16"/>
      <w:lang w:val="x-none" w:eastAsia="cs-CZ"/>
    </w:rPr>
  </w:style>
  <w:style w:type="character" w:customStyle="1" w:styleId="truktradokumentuChar182">
    <w:name w:val="Štruktúra dokumentu Char182"/>
    <w:aliases w:val="Char9 Char Char183,Štruktúra dokumentu Char Char Char183,Document Map Char Char Char183"/>
    <w:uiPriority w:val="99"/>
    <w:semiHidden/>
    <w:rsid w:val="00A809E7"/>
    <w:rPr>
      <w:rFonts w:ascii="Tahoma" w:hAnsi="Tahoma"/>
      <w:sz w:val="16"/>
      <w:lang w:val="x-none" w:eastAsia="cs-CZ"/>
    </w:rPr>
  </w:style>
  <w:style w:type="character" w:customStyle="1" w:styleId="truktradokumentuChar181">
    <w:name w:val="Štruktúra dokumentu Char181"/>
    <w:aliases w:val="Char9 Char Char182,Štruktúra dokumentu Char Char Char182,Document Map Char Char Char182"/>
    <w:uiPriority w:val="99"/>
    <w:semiHidden/>
    <w:rsid w:val="00A809E7"/>
    <w:rPr>
      <w:rFonts w:ascii="Tahoma" w:hAnsi="Tahoma"/>
      <w:sz w:val="16"/>
      <w:lang w:val="x-none" w:eastAsia="cs-CZ"/>
    </w:rPr>
  </w:style>
  <w:style w:type="character" w:customStyle="1" w:styleId="truktradokumentuChar180">
    <w:name w:val="Štruktúra dokumentu Char180"/>
    <w:aliases w:val="Char9 Char Char181,Štruktúra dokumentu Char Char Char181,Document Map Char Char Char181"/>
    <w:uiPriority w:val="99"/>
    <w:semiHidden/>
    <w:rsid w:val="00A809E7"/>
    <w:rPr>
      <w:rFonts w:ascii="Tahoma" w:hAnsi="Tahoma"/>
      <w:sz w:val="16"/>
      <w:lang w:val="x-none" w:eastAsia="cs-CZ"/>
    </w:rPr>
  </w:style>
  <w:style w:type="character" w:customStyle="1" w:styleId="truktradokumentuChar179">
    <w:name w:val="Štruktúra dokumentu Char179"/>
    <w:aliases w:val="Char9 Char Char180,Štruktúra dokumentu Char Char Char180,Document Map Char Char Char180"/>
    <w:uiPriority w:val="99"/>
    <w:semiHidden/>
    <w:rsid w:val="00A809E7"/>
    <w:rPr>
      <w:rFonts w:ascii="Tahoma" w:hAnsi="Tahoma"/>
      <w:sz w:val="16"/>
      <w:lang w:val="x-none" w:eastAsia="cs-CZ"/>
    </w:rPr>
  </w:style>
  <w:style w:type="character" w:customStyle="1" w:styleId="truktradokumentuChar178">
    <w:name w:val="Štruktúra dokumentu Char178"/>
    <w:aliases w:val="Char9 Char Char179,Štruktúra dokumentu Char Char Char179,Document Map Char Char Char179"/>
    <w:uiPriority w:val="99"/>
    <w:semiHidden/>
    <w:rsid w:val="00A809E7"/>
    <w:rPr>
      <w:rFonts w:ascii="Tahoma" w:hAnsi="Tahoma"/>
      <w:sz w:val="16"/>
      <w:lang w:val="x-none" w:eastAsia="cs-CZ"/>
    </w:rPr>
  </w:style>
  <w:style w:type="character" w:customStyle="1" w:styleId="truktradokumentuChar177">
    <w:name w:val="Štruktúra dokumentu Char177"/>
    <w:aliases w:val="Char9 Char Char178,Štruktúra dokumentu Char Char Char178,Document Map Char Char Char178"/>
    <w:uiPriority w:val="99"/>
    <w:semiHidden/>
    <w:rsid w:val="00A809E7"/>
    <w:rPr>
      <w:rFonts w:ascii="Tahoma" w:hAnsi="Tahoma"/>
      <w:sz w:val="16"/>
      <w:lang w:val="x-none" w:eastAsia="cs-CZ"/>
    </w:rPr>
  </w:style>
  <w:style w:type="character" w:customStyle="1" w:styleId="truktradokumentuChar176">
    <w:name w:val="Štruktúra dokumentu Char176"/>
    <w:aliases w:val="Char9 Char Char177,Štruktúra dokumentu Char Char Char177,Document Map Char Char Char177"/>
    <w:uiPriority w:val="99"/>
    <w:semiHidden/>
    <w:rsid w:val="00A809E7"/>
    <w:rPr>
      <w:rFonts w:ascii="Tahoma" w:hAnsi="Tahoma"/>
      <w:sz w:val="16"/>
      <w:lang w:val="x-none" w:eastAsia="cs-CZ"/>
    </w:rPr>
  </w:style>
  <w:style w:type="character" w:customStyle="1" w:styleId="truktradokumentuChar175">
    <w:name w:val="Štruktúra dokumentu Char175"/>
    <w:aliases w:val="Char9 Char Char176,Štruktúra dokumentu Char Char Char176,Document Map Char Char Char176"/>
    <w:uiPriority w:val="99"/>
    <w:semiHidden/>
    <w:rsid w:val="00A809E7"/>
    <w:rPr>
      <w:rFonts w:ascii="Tahoma" w:hAnsi="Tahoma"/>
      <w:sz w:val="16"/>
      <w:lang w:val="x-none" w:eastAsia="cs-CZ"/>
    </w:rPr>
  </w:style>
  <w:style w:type="character" w:customStyle="1" w:styleId="truktradokumentuChar174">
    <w:name w:val="Štruktúra dokumentu Char174"/>
    <w:aliases w:val="Char9 Char Char175,Štruktúra dokumentu Char Char Char175,Document Map Char Char Char175"/>
    <w:uiPriority w:val="99"/>
    <w:semiHidden/>
    <w:rsid w:val="00A809E7"/>
    <w:rPr>
      <w:rFonts w:ascii="Tahoma" w:hAnsi="Tahoma"/>
      <w:sz w:val="16"/>
      <w:lang w:val="x-none" w:eastAsia="cs-CZ"/>
    </w:rPr>
  </w:style>
  <w:style w:type="character" w:customStyle="1" w:styleId="truktradokumentuChar173">
    <w:name w:val="Štruktúra dokumentu Char173"/>
    <w:aliases w:val="Char9 Char Char174,Štruktúra dokumentu Char Char Char174,Document Map Char Char Char174"/>
    <w:uiPriority w:val="99"/>
    <w:semiHidden/>
    <w:rsid w:val="00A809E7"/>
    <w:rPr>
      <w:rFonts w:ascii="Tahoma" w:hAnsi="Tahoma"/>
      <w:sz w:val="16"/>
      <w:lang w:val="x-none" w:eastAsia="cs-CZ"/>
    </w:rPr>
  </w:style>
  <w:style w:type="character" w:customStyle="1" w:styleId="truktradokumentuChar172">
    <w:name w:val="Štruktúra dokumentu Char172"/>
    <w:aliases w:val="Char9 Char Char173,Štruktúra dokumentu Char Char Char173,Document Map Char Char Char173"/>
    <w:uiPriority w:val="99"/>
    <w:semiHidden/>
    <w:rsid w:val="00A809E7"/>
    <w:rPr>
      <w:rFonts w:ascii="Tahoma" w:hAnsi="Tahoma"/>
      <w:sz w:val="16"/>
      <w:lang w:val="x-none" w:eastAsia="cs-CZ"/>
    </w:rPr>
  </w:style>
  <w:style w:type="character" w:customStyle="1" w:styleId="truktradokumentuChar171">
    <w:name w:val="Štruktúra dokumentu Char171"/>
    <w:aliases w:val="Char9 Char Char172,Štruktúra dokumentu Char Char Char172,Document Map Char Char Char172"/>
    <w:uiPriority w:val="99"/>
    <w:semiHidden/>
    <w:rsid w:val="00A809E7"/>
    <w:rPr>
      <w:rFonts w:ascii="Tahoma" w:hAnsi="Tahoma"/>
      <w:sz w:val="16"/>
      <w:lang w:val="x-none" w:eastAsia="cs-CZ"/>
    </w:rPr>
  </w:style>
  <w:style w:type="character" w:customStyle="1" w:styleId="truktradokumentuChar170">
    <w:name w:val="Štruktúra dokumentu Char170"/>
    <w:aliases w:val="Char9 Char Char171,Štruktúra dokumentu Char Char Char171,Document Map Char Char Char171"/>
    <w:uiPriority w:val="99"/>
    <w:semiHidden/>
    <w:rsid w:val="00A809E7"/>
    <w:rPr>
      <w:rFonts w:ascii="Tahoma" w:hAnsi="Tahoma"/>
      <w:sz w:val="16"/>
      <w:lang w:val="x-none" w:eastAsia="cs-CZ"/>
    </w:rPr>
  </w:style>
  <w:style w:type="character" w:customStyle="1" w:styleId="truktradokumentuChar169">
    <w:name w:val="Štruktúra dokumentu Char169"/>
    <w:aliases w:val="Char9 Char Char170,Štruktúra dokumentu Char Char Char170,Document Map Char Char Char170"/>
    <w:uiPriority w:val="99"/>
    <w:semiHidden/>
    <w:rsid w:val="00A809E7"/>
    <w:rPr>
      <w:rFonts w:ascii="Tahoma" w:hAnsi="Tahoma"/>
      <w:sz w:val="16"/>
      <w:lang w:val="x-none" w:eastAsia="cs-CZ"/>
    </w:rPr>
  </w:style>
  <w:style w:type="character" w:customStyle="1" w:styleId="truktradokumentuChar168">
    <w:name w:val="Štruktúra dokumentu Char168"/>
    <w:aliases w:val="Char9 Char Char169,Štruktúra dokumentu Char Char Char169,Document Map Char Char Char169"/>
    <w:uiPriority w:val="99"/>
    <w:semiHidden/>
    <w:rsid w:val="00A809E7"/>
    <w:rPr>
      <w:rFonts w:ascii="Tahoma" w:hAnsi="Tahoma"/>
      <w:sz w:val="16"/>
      <w:lang w:val="x-none" w:eastAsia="cs-CZ"/>
    </w:rPr>
  </w:style>
  <w:style w:type="character" w:customStyle="1" w:styleId="truktradokumentuChar167">
    <w:name w:val="Štruktúra dokumentu Char167"/>
    <w:aliases w:val="Char9 Char Char168,Štruktúra dokumentu Char Char Char168,Document Map Char Char Char168"/>
    <w:uiPriority w:val="99"/>
    <w:semiHidden/>
    <w:rsid w:val="00A809E7"/>
    <w:rPr>
      <w:rFonts w:ascii="Tahoma" w:hAnsi="Tahoma"/>
      <w:sz w:val="16"/>
      <w:lang w:val="x-none" w:eastAsia="cs-CZ"/>
    </w:rPr>
  </w:style>
  <w:style w:type="character" w:customStyle="1" w:styleId="truktradokumentuChar166">
    <w:name w:val="Štruktúra dokumentu Char166"/>
    <w:aliases w:val="Char9 Char Char167,Štruktúra dokumentu Char Char Char167,Document Map Char Char Char167"/>
    <w:uiPriority w:val="99"/>
    <w:semiHidden/>
    <w:rsid w:val="00A809E7"/>
    <w:rPr>
      <w:rFonts w:ascii="Tahoma" w:hAnsi="Tahoma"/>
      <w:sz w:val="16"/>
      <w:lang w:val="x-none" w:eastAsia="cs-CZ"/>
    </w:rPr>
  </w:style>
  <w:style w:type="character" w:customStyle="1" w:styleId="truktradokumentuChar165">
    <w:name w:val="Štruktúra dokumentu Char165"/>
    <w:aliases w:val="Char9 Char Char166,Štruktúra dokumentu Char Char Char166,Document Map Char Char Char166"/>
    <w:uiPriority w:val="99"/>
    <w:semiHidden/>
    <w:rsid w:val="00A809E7"/>
    <w:rPr>
      <w:rFonts w:ascii="Tahoma" w:hAnsi="Tahoma"/>
      <w:sz w:val="16"/>
      <w:lang w:val="x-none" w:eastAsia="cs-CZ"/>
    </w:rPr>
  </w:style>
  <w:style w:type="character" w:customStyle="1" w:styleId="truktradokumentuChar164">
    <w:name w:val="Štruktúra dokumentu Char164"/>
    <w:aliases w:val="Char9 Char Char165,Štruktúra dokumentu Char Char Char165,Document Map Char Char Char165"/>
    <w:uiPriority w:val="99"/>
    <w:semiHidden/>
    <w:rsid w:val="00A809E7"/>
    <w:rPr>
      <w:rFonts w:ascii="Tahoma" w:hAnsi="Tahoma"/>
      <w:sz w:val="16"/>
      <w:lang w:val="x-none" w:eastAsia="cs-CZ"/>
    </w:rPr>
  </w:style>
  <w:style w:type="character" w:customStyle="1" w:styleId="truktradokumentuChar163">
    <w:name w:val="Štruktúra dokumentu Char163"/>
    <w:aliases w:val="Char9 Char Char164,Štruktúra dokumentu Char Char Char164,Document Map Char Char Char164"/>
    <w:uiPriority w:val="99"/>
    <w:semiHidden/>
    <w:rsid w:val="00A809E7"/>
    <w:rPr>
      <w:rFonts w:ascii="Tahoma" w:hAnsi="Tahoma"/>
      <w:sz w:val="16"/>
      <w:lang w:val="x-none" w:eastAsia="cs-CZ"/>
    </w:rPr>
  </w:style>
  <w:style w:type="character" w:customStyle="1" w:styleId="truktradokumentuChar162">
    <w:name w:val="Štruktúra dokumentu Char162"/>
    <w:aliases w:val="Char9 Char Char163,Štruktúra dokumentu Char Char Char163,Document Map Char Char Char163"/>
    <w:uiPriority w:val="99"/>
    <w:semiHidden/>
    <w:rsid w:val="00A809E7"/>
    <w:rPr>
      <w:rFonts w:ascii="Tahoma" w:hAnsi="Tahoma"/>
      <w:sz w:val="16"/>
      <w:lang w:val="x-none" w:eastAsia="cs-CZ"/>
    </w:rPr>
  </w:style>
  <w:style w:type="character" w:customStyle="1" w:styleId="truktradokumentuChar161">
    <w:name w:val="Štruktúra dokumentu Char161"/>
    <w:aliases w:val="Char9 Char Char162,Štruktúra dokumentu Char Char Char162,Document Map Char Char Char162"/>
    <w:uiPriority w:val="99"/>
    <w:semiHidden/>
    <w:rsid w:val="00A809E7"/>
    <w:rPr>
      <w:rFonts w:ascii="Tahoma" w:hAnsi="Tahoma"/>
      <w:sz w:val="16"/>
      <w:lang w:val="x-none" w:eastAsia="cs-CZ"/>
    </w:rPr>
  </w:style>
  <w:style w:type="character" w:customStyle="1" w:styleId="truktradokumentuChar160">
    <w:name w:val="Štruktúra dokumentu Char160"/>
    <w:aliases w:val="Char9 Char Char161,Štruktúra dokumentu Char Char Char161,Document Map Char Char Char161"/>
    <w:uiPriority w:val="99"/>
    <w:semiHidden/>
    <w:rsid w:val="00A809E7"/>
    <w:rPr>
      <w:rFonts w:ascii="Tahoma" w:hAnsi="Tahoma"/>
      <w:sz w:val="16"/>
      <w:lang w:val="x-none" w:eastAsia="cs-CZ"/>
    </w:rPr>
  </w:style>
  <w:style w:type="character" w:customStyle="1" w:styleId="truktradokumentuChar159">
    <w:name w:val="Štruktúra dokumentu Char159"/>
    <w:aliases w:val="Char9 Char Char160,Štruktúra dokumentu Char Char Char160,Document Map Char Char Char160"/>
    <w:uiPriority w:val="99"/>
    <w:semiHidden/>
    <w:rsid w:val="00A809E7"/>
    <w:rPr>
      <w:rFonts w:ascii="Tahoma" w:hAnsi="Tahoma"/>
      <w:sz w:val="16"/>
      <w:lang w:val="x-none" w:eastAsia="cs-CZ"/>
    </w:rPr>
  </w:style>
  <w:style w:type="character" w:customStyle="1" w:styleId="truktradokumentuChar158">
    <w:name w:val="Štruktúra dokumentu Char158"/>
    <w:aliases w:val="Char9 Char Char159,Štruktúra dokumentu Char Char Char159,Document Map Char Char Char159"/>
    <w:uiPriority w:val="99"/>
    <w:semiHidden/>
    <w:rsid w:val="00A809E7"/>
    <w:rPr>
      <w:rFonts w:ascii="Tahoma" w:hAnsi="Tahoma"/>
      <w:sz w:val="16"/>
      <w:lang w:val="x-none" w:eastAsia="cs-CZ"/>
    </w:rPr>
  </w:style>
  <w:style w:type="character" w:customStyle="1" w:styleId="truktradokumentuChar157">
    <w:name w:val="Štruktúra dokumentu Char157"/>
    <w:aliases w:val="Char9 Char Char158,Štruktúra dokumentu Char Char Char158,Document Map Char Char Char158"/>
    <w:uiPriority w:val="99"/>
    <w:semiHidden/>
    <w:rsid w:val="00A809E7"/>
    <w:rPr>
      <w:rFonts w:ascii="Tahoma" w:hAnsi="Tahoma"/>
      <w:sz w:val="16"/>
      <w:lang w:val="x-none" w:eastAsia="cs-CZ"/>
    </w:rPr>
  </w:style>
  <w:style w:type="character" w:customStyle="1" w:styleId="truktradokumentuChar156">
    <w:name w:val="Štruktúra dokumentu Char156"/>
    <w:aliases w:val="Char9 Char Char157,Štruktúra dokumentu Char Char Char157,Document Map Char Char Char157"/>
    <w:uiPriority w:val="99"/>
    <w:semiHidden/>
    <w:rsid w:val="00A809E7"/>
    <w:rPr>
      <w:rFonts w:ascii="Tahoma" w:hAnsi="Tahoma"/>
      <w:sz w:val="16"/>
      <w:lang w:val="x-none" w:eastAsia="cs-CZ"/>
    </w:rPr>
  </w:style>
  <w:style w:type="character" w:customStyle="1" w:styleId="truktradokumentuChar155">
    <w:name w:val="Štruktúra dokumentu Char155"/>
    <w:aliases w:val="Char9 Char Char156,Štruktúra dokumentu Char Char Char156,Document Map Char Char Char156"/>
    <w:uiPriority w:val="99"/>
    <w:semiHidden/>
    <w:rsid w:val="00A809E7"/>
    <w:rPr>
      <w:rFonts w:ascii="Tahoma" w:hAnsi="Tahoma"/>
      <w:sz w:val="16"/>
      <w:lang w:val="x-none" w:eastAsia="cs-CZ"/>
    </w:rPr>
  </w:style>
  <w:style w:type="character" w:customStyle="1" w:styleId="truktradokumentuChar154">
    <w:name w:val="Štruktúra dokumentu Char154"/>
    <w:aliases w:val="Char9 Char Char155,Štruktúra dokumentu Char Char Char155,Document Map Char Char Char155"/>
    <w:uiPriority w:val="99"/>
    <w:semiHidden/>
    <w:rsid w:val="00A809E7"/>
    <w:rPr>
      <w:rFonts w:ascii="Tahoma" w:hAnsi="Tahoma"/>
      <w:sz w:val="16"/>
      <w:lang w:val="x-none" w:eastAsia="cs-CZ"/>
    </w:rPr>
  </w:style>
  <w:style w:type="character" w:customStyle="1" w:styleId="truktradokumentuChar153">
    <w:name w:val="Štruktúra dokumentu Char153"/>
    <w:aliases w:val="Char9 Char Char154,Štruktúra dokumentu Char Char Char154,Document Map Char Char Char154"/>
    <w:uiPriority w:val="99"/>
    <w:semiHidden/>
    <w:rsid w:val="00A809E7"/>
    <w:rPr>
      <w:rFonts w:ascii="Tahoma" w:hAnsi="Tahoma"/>
      <w:sz w:val="16"/>
      <w:lang w:val="x-none" w:eastAsia="cs-CZ"/>
    </w:rPr>
  </w:style>
  <w:style w:type="character" w:customStyle="1" w:styleId="truktradokumentuChar152">
    <w:name w:val="Štruktúra dokumentu Char152"/>
    <w:aliases w:val="Char9 Char Char153,Štruktúra dokumentu Char Char Char153,Document Map Char Char Char153"/>
    <w:uiPriority w:val="99"/>
    <w:semiHidden/>
    <w:rsid w:val="00A809E7"/>
    <w:rPr>
      <w:rFonts w:ascii="Tahoma" w:hAnsi="Tahoma"/>
      <w:sz w:val="16"/>
      <w:lang w:val="x-none" w:eastAsia="cs-CZ"/>
    </w:rPr>
  </w:style>
  <w:style w:type="character" w:customStyle="1" w:styleId="truktradokumentuChar151">
    <w:name w:val="Štruktúra dokumentu Char151"/>
    <w:aliases w:val="Char9 Char Char152,Štruktúra dokumentu Char Char Char152,Document Map Char Char Char152"/>
    <w:uiPriority w:val="99"/>
    <w:semiHidden/>
    <w:rsid w:val="00A809E7"/>
    <w:rPr>
      <w:rFonts w:ascii="Tahoma" w:hAnsi="Tahoma"/>
      <w:sz w:val="16"/>
      <w:lang w:val="x-none" w:eastAsia="cs-CZ"/>
    </w:rPr>
  </w:style>
  <w:style w:type="character" w:customStyle="1" w:styleId="truktradokumentuChar150">
    <w:name w:val="Štruktúra dokumentu Char150"/>
    <w:aliases w:val="Char9 Char Char151,Štruktúra dokumentu Char Char Char151,Document Map Char Char Char151"/>
    <w:uiPriority w:val="99"/>
    <w:semiHidden/>
    <w:rsid w:val="00A809E7"/>
    <w:rPr>
      <w:rFonts w:ascii="Tahoma" w:hAnsi="Tahoma"/>
      <w:sz w:val="16"/>
      <w:lang w:val="x-none" w:eastAsia="cs-CZ"/>
    </w:rPr>
  </w:style>
  <w:style w:type="character" w:customStyle="1" w:styleId="truktradokumentuChar149">
    <w:name w:val="Štruktúra dokumentu Char149"/>
    <w:aliases w:val="Char9 Char Char150,Štruktúra dokumentu Char Char Char150,Document Map Char Char Char150"/>
    <w:uiPriority w:val="99"/>
    <w:semiHidden/>
    <w:rsid w:val="00A809E7"/>
    <w:rPr>
      <w:rFonts w:ascii="Tahoma" w:hAnsi="Tahoma"/>
      <w:sz w:val="16"/>
      <w:lang w:val="x-none" w:eastAsia="cs-CZ"/>
    </w:rPr>
  </w:style>
  <w:style w:type="character" w:customStyle="1" w:styleId="truktradokumentuChar148">
    <w:name w:val="Štruktúra dokumentu Char148"/>
    <w:aliases w:val="Char9 Char Char149,Štruktúra dokumentu Char Char Char149,Document Map Char Char Char149"/>
    <w:uiPriority w:val="99"/>
    <w:semiHidden/>
    <w:rsid w:val="00A809E7"/>
    <w:rPr>
      <w:rFonts w:ascii="Tahoma" w:hAnsi="Tahoma"/>
      <w:sz w:val="16"/>
      <w:lang w:val="x-none" w:eastAsia="cs-CZ"/>
    </w:rPr>
  </w:style>
  <w:style w:type="character" w:customStyle="1" w:styleId="truktradokumentuChar147">
    <w:name w:val="Štruktúra dokumentu Char147"/>
    <w:aliases w:val="Char9 Char Char148,Štruktúra dokumentu Char Char Char148,Document Map Char Char Char148"/>
    <w:uiPriority w:val="99"/>
    <w:semiHidden/>
    <w:rsid w:val="00A809E7"/>
    <w:rPr>
      <w:rFonts w:ascii="Tahoma" w:hAnsi="Tahoma"/>
      <w:sz w:val="16"/>
      <w:lang w:val="x-none" w:eastAsia="cs-CZ"/>
    </w:rPr>
  </w:style>
  <w:style w:type="character" w:customStyle="1" w:styleId="truktradokumentuChar146">
    <w:name w:val="Štruktúra dokumentu Char146"/>
    <w:aliases w:val="Char9 Char Char147,Štruktúra dokumentu Char Char Char147,Document Map Char Char Char147"/>
    <w:uiPriority w:val="99"/>
    <w:semiHidden/>
    <w:rsid w:val="00A809E7"/>
    <w:rPr>
      <w:rFonts w:ascii="Tahoma" w:hAnsi="Tahoma"/>
      <w:sz w:val="16"/>
      <w:lang w:val="x-none" w:eastAsia="cs-CZ"/>
    </w:rPr>
  </w:style>
  <w:style w:type="character" w:customStyle="1" w:styleId="truktradokumentuChar145">
    <w:name w:val="Štruktúra dokumentu Char145"/>
    <w:aliases w:val="Char9 Char Char146,Štruktúra dokumentu Char Char Char146,Document Map Char Char Char146"/>
    <w:uiPriority w:val="99"/>
    <w:semiHidden/>
    <w:rsid w:val="00A809E7"/>
    <w:rPr>
      <w:rFonts w:ascii="Tahoma" w:hAnsi="Tahoma"/>
      <w:sz w:val="16"/>
      <w:lang w:val="x-none" w:eastAsia="cs-CZ"/>
    </w:rPr>
  </w:style>
  <w:style w:type="character" w:customStyle="1" w:styleId="truktradokumentuChar144">
    <w:name w:val="Štruktúra dokumentu Char144"/>
    <w:aliases w:val="Char9 Char Char145,Štruktúra dokumentu Char Char Char145,Document Map Char Char Char145"/>
    <w:uiPriority w:val="99"/>
    <w:semiHidden/>
    <w:rsid w:val="00A809E7"/>
    <w:rPr>
      <w:rFonts w:ascii="Tahoma" w:hAnsi="Tahoma"/>
      <w:sz w:val="16"/>
      <w:lang w:val="x-none" w:eastAsia="cs-CZ"/>
    </w:rPr>
  </w:style>
  <w:style w:type="character" w:customStyle="1" w:styleId="truktradokumentuChar143">
    <w:name w:val="Štruktúra dokumentu Char143"/>
    <w:aliases w:val="Char9 Char Char144,Štruktúra dokumentu Char Char Char144,Document Map Char Char Char144"/>
    <w:uiPriority w:val="99"/>
    <w:semiHidden/>
    <w:rsid w:val="00A809E7"/>
    <w:rPr>
      <w:rFonts w:ascii="Tahoma" w:hAnsi="Tahoma"/>
      <w:sz w:val="16"/>
      <w:lang w:val="x-none" w:eastAsia="cs-CZ"/>
    </w:rPr>
  </w:style>
  <w:style w:type="character" w:customStyle="1" w:styleId="truktradokumentuChar142">
    <w:name w:val="Štruktúra dokumentu Char142"/>
    <w:aliases w:val="Char9 Char Char143,Štruktúra dokumentu Char Char Char143,Document Map Char Char Char143"/>
    <w:uiPriority w:val="99"/>
    <w:semiHidden/>
    <w:rsid w:val="00A809E7"/>
    <w:rPr>
      <w:rFonts w:ascii="Tahoma" w:hAnsi="Tahoma"/>
      <w:sz w:val="16"/>
      <w:lang w:val="x-none" w:eastAsia="cs-CZ"/>
    </w:rPr>
  </w:style>
  <w:style w:type="character" w:customStyle="1" w:styleId="truktradokumentuChar141">
    <w:name w:val="Štruktúra dokumentu Char141"/>
    <w:aliases w:val="Char9 Char Char142,Štruktúra dokumentu Char Char Char142,Document Map Char Char Char142"/>
    <w:uiPriority w:val="99"/>
    <w:semiHidden/>
    <w:rsid w:val="00A809E7"/>
    <w:rPr>
      <w:rFonts w:ascii="Tahoma" w:hAnsi="Tahoma"/>
      <w:sz w:val="16"/>
      <w:lang w:val="x-none" w:eastAsia="cs-CZ"/>
    </w:rPr>
  </w:style>
  <w:style w:type="character" w:customStyle="1" w:styleId="truktradokumentuChar140">
    <w:name w:val="Štruktúra dokumentu Char140"/>
    <w:aliases w:val="Char9 Char Char141,Štruktúra dokumentu Char Char Char141,Document Map Char Char Char141"/>
    <w:uiPriority w:val="99"/>
    <w:semiHidden/>
    <w:rsid w:val="00A809E7"/>
    <w:rPr>
      <w:rFonts w:ascii="Tahoma" w:hAnsi="Tahoma"/>
      <w:sz w:val="16"/>
      <w:lang w:val="x-none" w:eastAsia="cs-CZ"/>
    </w:rPr>
  </w:style>
  <w:style w:type="character" w:customStyle="1" w:styleId="truktradokumentuChar139">
    <w:name w:val="Štruktúra dokumentu Char139"/>
    <w:aliases w:val="Char9 Char Char140,Štruktúra dokumentu Char Char Char140,Document Map Char Char Char140"/>
    <w:uiPriority w:val="99"/>
    <w:semiHidden/>
    <w:rsid w:val="00A809E7"/>
    <w:rPr>
      <w:rFonts w:ascii="Tahoma" w:hAnsi="Tahoma"/>
      <w:sz w:val="16"/>
      <w:lang w:val="x-none" w:eastAsia="cs-CZ"/>
    </w:rPr>
  </w:style>
  <w:style w:type="character" w:customStyle="1" w:styleId="truktradokumentuChar138">
    <w:name w:val="Štruktúra dokumentu Char138"/>
    <w:aliases w:val="Char9 Char Char139,Štruktúra dokumentu Char Char Char139,Document Map Char Char Char139"/>
    <w:uiPriority w:val="99"/>
    <w:semiHidden/>
    <w:rsid w:val="00A809E7"/>
    <w:rPr>
      <w:rFonts w:ascii="Tahoma" w:hAnsi="Tahoma"/>
      <w:sz w:val="16"/>
      <w:lang w:val="x-none" w:eastAsia="cs-CZ"/>
    </w:rPr>
  </w:style>
  <w:style w:type="character" w:customStyle="1" w:styleId="truktradokumentuChar137">
    <w:name w:val="Štruktúra dokumentu Char137"/>
    <w:aliases w:val="Char9 Char Char138,Štruktúra dokumentu Char Char Char138,Document Map Char Char Char138"/>
    <w:uiPriority w:val="99"/>
    <w:semiHidden/>
    <w:rsid w:val="00A809E7"/>
    <w:rPr>
      <w:rFonts w:ascii="Tahoma" w:hAnsi="Tahoma"/>
      <w:sz w:val="16"/>
      <w:lang w:val="x-none" w:eastAsia="cs-CZ"/>
    </w:rPr>
  </w:style>
  <w:style w:type="character" w:customStyle="1" w:styleId="truktradokumentuChar136">
    <w:name w:val="Štruktúra dokumentu Char136"/>
    <w:aliases w:val="Char9 Char Char137,Štruktúra dokumentu Char Char Char137,Document Map Char Char Char137"/>
    <w:uiPriority w:val="99"/>
    <w:semiHidden/>
    <w:rsid w:val="00A809E7"/>
    <w:rPr>
      <w:rFonts w:ascii="Tahoma" w:hAnsi="Tahoma"/>
      <w:sz w:val="16"/>
      <w:lang w:val="x-none" w:eastAsia="cs-CZ"/>
    </w:rPr>
  </w:style>
  <w:style w:type="character" w:customStyle="1" w:styleId="truktradokumentuChar135">
    <w:name w:val="Štruktúra dokumentu Char135"/>
    <w:aliases w:val="Char9 Char Char136,Štruktúra dokumentu Char Char Char136,Document Map Char Char Char136"/>
    <w:uiPriority w:val="99"/>
    <w:semiHidden/>
    <w:rsid w:val="00A809E7"/>
    <w:rPr>
      <w:rFonts w:ascii="Tahoma" w:hAnsi="Tahoma"/>
      <w:sz w:val="16"/>
      <w:lang w:val="x-none" w:eastAsia="cs-CZ"/>
    </w:rPr>
  </w:style>
  <w:style w:type="character" w:customStyle="1" w:styleId="truktradokumentuChar134">
    <w:name w:val="Štruktúra dokumentu Char134"/>
    <w:aliases w:val="Char9 Char Char135,Štruktúra dokumentu Char Char Char135,Document Map Char Char Char135"/>
    <w:uiPriority w:val="99"/>
    <w:semiHidden/>
    <w:rsid w:val="00A809E7"/>
    <w:rPr>
      <w:rFonts w:ascii="Tahoma" w:hAnsi="Tahoma"/>
      <w:sz w:val="16"/>
      <w:lang w:val="x-none" w:eastAsia="cs-CZ"/>
    </w:rPr>
  </w:style>
  <w:style w:type="character" w:customStyle="1" w:styleId="truktradokumentuChar133">
    <w:name w:val="Štruktúra dokumentu Char133"/>
    <w:aliases w:val="Char9 Char Char134,Štruktúra dokumentu Char Char Char134,Document Map Char Char Char134"/>
    <w:uiPriority w:val="99"/>
    <w:semiHidden/>
    <w:rsid w:val="00A809E7"/>
    <w:rPr>
      <w:rFonts w:ascii="Tahoma" w:hAnsi="Tahoma"/>
      <w:sz w:val="16"/>
      <w:lang w:val="x-none" w:eastAsia="cs-CZ"/>
    </w:rPr>
  </w:style>
  <w:style w:type="character" w:customStyle="1" w:styleId="truktradokumentuChar132">
    <w:name w:val="Štruktúra dokumentu Char132"/>
    <w:aliases w:val="Char9 Char Char133,Štruktúra dokumentu Char Char Char133,Document Map Char Char Char133"/>
    <w:uiPriority w:val="99"/>
    <w:semiHidden/>
    <w:rsid w:val="00A809E7"/>
    <w:rPr>
      <w:rFonts w:ascii="Tahoma" w:hAnsi="Tahoma"/>
      <w:sz w:val="16"/>
      <w:lang w:val="x-none" w:eastAsia="cs-CZ"/>
    </w:rPr>
  </w:style>
  <w:style w:type="character" w:customStyle="1" w:styleId="truktradokumentuChar131">
    <w:name w:val="Štruktúra dokumentu Char131"/>
    <w:aliases w:val="Char9 Char Char132,Štruktúra dokumentu Char Char Char132,Document Map Char Char Char132"/>
    <w:uiPriority w:val="99"/>
    <w:semiHidden/>
    <w:rsid w:val="00A809E7"/>
    <w:rPr>
      <w:rFonts w:ascii="Tahoma" w:hAnsi="Tahoma"/>
      <w:sz w:val="16"/>
      <w:lang w:val="x-none" w:eastAsia="cs-CZ"/>
    </w:rPr>
  </w:style>
  <w:style w:type="character" w:customStyle="1" w:styleId="truktradokumentuChar130">
    <w:name w:val="Štruktúra dokumentu Char130"/>
    <w:aliases w:val="Char9 Char Char131,Štruktúra dokumentu Char Char Char131,Document Map Char Char Char131"/>
    <w:uiPriority w:val="99"/>
    <w:semiHidden/>
    <w:rsid w:val="00A809E7"/>
    <w:rPr>
      <w:rFonts w:ascii="Tahoma" w:hAnsi="Tahoma"/>
      <w:sz w:val="16"/>
      <w:lang w:val="x-none" w:eastAsia="cs-CZ"/>
    </w:rPr>
  </w:style>
  <w:style w:type="character" w:customStyle="1" w:styleId="truktradokumentuChar129">
    <w:name w:val="Štruktúra dokumentu Char129"/>
    <w:aliases w:val="Char9 Char Char130,Štruktúra dokumentu Char Char Char130,Document Map Char Char Char130"/>
    <w:uiPriority w:val="99"/>
    <w:semiHidden/>
    <w:rsid w:val="00A809E7"/>
    <w:rPr>
      <w:rFonts w:ascii="Tahoma" w:hAnsi="Tahoma"/>
      <w:sz w:val="16"/>
      <w:lang w:val="x-none" w:eastAsia="cs-CZ"/>
    </w:rPr>
  </w:style>
  <w:style w:type="character" w:customStyle="1" w:styleId="truktradokumentuChar128">
    <w:name w:val="Štruktúra dokumentu Char128"/>
    <w:aliases w:val="Char9 Char Char129,Štruktúra dokumentu Char Char Char129,Document Map Char Char Char129"/>
    <w:uiPriority w:val="99"/>
    <w:semiHidden/>
    <w:rsid w:val="00A809E7"/>
    <w:rPr>
      <w:rFonts w:ascii="Tahoma" w:hAnsi="Tahoma"/>
      <w:sz w:val="16"/>
      <w:lang w:val="x-none" w:eastAsia="cs-CZ"/>
    </w:rPr>
  </w:style>
  <w:style w:type="character" w:customStyle="1" w:styleId="truktradokumentuChar127">
    <w:name w:val="Štruktúra dokumentu Char127"/>
    <w:aliases w:val="Char9 Char Char128,Štruktúra dokumentu Char Char Char128,Document Map Char Char Char128"/>
    <w:uiPriority w:val="99"/>
    <w:semiHidden/>
    <w:rsid w:val="00A809E7"/>
    <w:rPr>
      <w:rFonts w:ascii="Tahoma" w:hAnsi="Tahoma"/>
      <w:sz w:val="16"/>
      <w:lang w:val="x-none" w:eastAsia="cs-CZ"/>
    </w:rPr>
  </w:style>
  <w:style w:type="character" w:customStyle="1" w:styleId="truktradokumentuChar126">
    <w:name w:val="Štruktúra dokumentu Char126"/>
    <w:aliases w:val="Char9 Char Char127,Štruktúra dokumentu Char Char Char127,Document Map Char Char Char127"/>
    <w:uiPriority w:val="99"/>
    <w:semiHidden/>
    <w:rsid w:val="00A809E7"/>
    <w:rPr>
      <w:rFonts w:ascii="Tahoma" w:hAnsi="Tahoma"/>
      <w:sz w:val="16"/>
      <w:lang w:val="x-none" w:eastAsia="cs-CZ"/>
    </w:rPr>
  </w:style>
  <w:style w:type="character" w:customStyle="1" w:styleId="truktradokumentuChar125">
    <w:name w:val="Štruktúra dokumentu Char125"/>
    <w:aliases w:val="Char9 Char Char126,Štruktúra dokumentu Char Char Char126,Document Map Char Char Char126"/>
    <w:uiPriority w:val="99"/>
    <w:semiHidden/>
    <w:rsid w:val="00A809E7"/>
    <w:rPr>
      <w:rFonts w:ascii="Tahoma" w:hAnsi="Tahoma"/>
      <w:sz w:val="16"/>
      <w:lang w:val="x-none" w:eastAsia="cs-CZ"/>
    </w:rPr>
  </w:style>
  <w:style w:type="character" w:customStyle="1" w:styleId="truktradokumentuChar124">
    <w:name w:val="Štruktúra dokumentu Char124"/>
    <w:aliases w:val="Char9 Char Char125,Štruktúra dokumentu Char Char Char125,Document Map Char Char Char125"/>
    <w:uiPriority w:val="99"/>
    <w:semiHidden/>
    <w:rsid w:val="00A809E7"/>
    <w:rPr>
      <w:rFonts w:ascii="Tahoma" w:hAnsi="Tahoma"/>
      <w:sz w:val="16"/>
      <w:lang w:val="x-none" w:eastAsia="cs-CZ"/>
    </w:rPr>
  </w:style>
  <w:style w:type="character" w:customStyle="1" w:styleId="truktradokumentuChar123">
    <w:name w:val="Štruktúra dokumentu Char123"/>
    <w:aliases w:val="Char9 Char Char124,Štruktúra dokumentu Char Char Char124,Document Map Char Char Char124"/>
    <w:uiPriority w:val="99"/>
    <w:semiHidden/>
    <w:rsid w:val="00A809E7"/>
    <w:rPr>
      <w:rFonts w:ascii="Tahoma" w:hAnsi="Tahoma"/>
      <w:sz w:val="16"/>
      <w:lang w:val="x-none" w:eastAsia="cs-CZ"/>
    </w:rPr>
  </w:style>
  <w:style w:type="character" w:customStyle="1" w:styleId="truktradokumentuChar122">
    <w:name w:val="Štruktúra dokumentu Char122"/>
    <w:aliases w:val="Char9 Char Char123,Štruktúra dokumentu Char Char Char123,Document Map Char Char Char123"/>
    <w:uiPriority w:val="99"/>
    <w:semiHidden/>
    <w:rsid w:val="00A809E7"/>
    <w:rPr>
      <w:rFonts w:ascii="Tahoma" w:hAnsi="Tahoma"/>
      <w:sz w:val="16"/>
      <w:lang w:val="x-none" w:eastAsia="cs-CZ"/>
    </w:rPr>
  </w:style>
  <w:style w:type="character" w:customStyle="1" w:styleId="truktradokumentuChar121">
    <w:name w:val="Štruktúra dokumentu Char121"/>
    <w:aliases w:val="Char9 Char Char122,Štruktúra dokumentu Char Char Char122,Document Map Char Char Char122"/>
    <w:uiPriority w:val="99"/>
    <w:semiHidden/>
    <w:rsid w:val="00A809E7"/>
    <w:rPr>
      <w:rFonts w:ascii="Tahoma" w:hAnsi="Tahoma"/>
      <w:sz w:val="16"/>
      <w:lang w:val="x-none" w:eastAsia="cs-CZ"/>
    </w:rPr>
  </w:style>
  <w:style w:type="character" w:customStyle="1" w:styleId="truktradokumentuChar120">
    <w:name w:val="Štruktúra dokumentu Char120"/>
    <w:aliases w:val="Char9 Char Char121,Štruktúra dokumentu Char Char Char121,Document Map Char Char Char121"/>
    <w:uiPriority w:val="99"/>
    <w:semiHidden/>
    <w:rsid w:val="00A809E7"/>
    <w:rPr>
      <w:rFonts w:ascii="Tahoma" w:hAnsi="Tahoma"/>
      <w:sz w:val="16"/>
      <w:lang w:val="x-none" w:eastAsia="cs-CZ"/>
    </w:rPr>
  </w:style>
  <w:style w:type="character" w:customStyle="1" w:styleId="truktradokumentuChar119">
    <w:name w:val="Štruktúra dokumentu Char119"/>
    <w:aliases w:val="Char9 Char Char120,Štruktúra dokumentu Char Char Char120,Document Map Char Char Char120"/>
    <w:uiPriority w:val="99"/>
    <w:semiHidden/>
    <w:rsid w:val="00A809E7"/>
    <w:rPr>
      <w:rFonts w:ascii="Tahoma" w:hAnsi="Tahoma"/>
      <w:sz w:val="16"/>
      <w:lang w:val="x-none" w:eastAsia="cs-CZ"/>
    </w:rPr>
  </w:style>
  <w:style w:type="character" w:customStyle="1" w:styleId="truktradokumentuChar118">
    <w:name w:val="Štruktúra dokumentu Char118"/>
    <w:aliases w:val="Char9 Char Char119,Štruktúra dokumentu Char Char Char119,Document Map Char Char Char119"/>
    <w:uiPriority w:val="99"/>
    <w:semiHidden/>
    <w:rsid w:val="00A809E7"/>
    <w:rPr>
      <w:rFonts w:ascii="Tahoma" w:hAnsi="Tahoma"/>
      <w:sz w:val="16"/>
      <w:lang w:val="x-none" w:eastAsia="cs-CZ"/>
    </w:rPr>
  </w:style>
  <w:style w:type="character" w:customStyle="1" w:styleId="truktradokumentuChar117">
    <w:name w:val="Štruktúra dokumentu Char117"/>
    <w:aliases w:val="Char9 Char Char118,Štruktúra dokumentu Char Char Char118,Document Map Char Char Char118"/>
    <w:uiPriority w:val="99"/>
    <w:semiHidden/>
    <w:rsid w:val="00A809E7"/>
    <w:rPr>
      <w:rFonts w:ascii="Tahoma" w:hAnsi="Tahoma"/>
      <w:sz w:val="16"/>
      <w:lang w:val="x-none" w:eastAsia="cs-CZ"/>
    </w:rPr>
  </w:style>
  <w:style w:type="character" w:customStyle="1" w:styleId="truktradokumentuChar116">
    <w:name w:val="Štruktúra dokumentu Char116"/>
    <w:aliases w:val="Char9 Char Char117,Štruktúra dokumentu Char Char Char117,Document Map Char Char Char117"/>
    <w:uiPriority w:val="99"/>
    <w:semiHidden/>
    <w:rsid w:val="00A809E7"/>
    <w:rPr>
      <w:rFonts w:ascii="Tahoma" w:hAnsi="Tahoma"/>
      <w:sz w:val="16"/>
      <w:lang w:val="x-none" w:eastAsia="cs-CZ"/>
    </w:rPr>
  </w:style>
  <w:style w:type="character" w:customStyle="1" w:styleId="truktradokumentuChar115">
    <w:name w:val="Štruktúra dokumentu Char115"/>
    <w:aliases w:val="Char9 Char Char116,Štruktúra dokumentu Char Char Char116,Document Map Char Char Char116"/>
    <w:uiPriority w:val="99"/>
    <w:semiHidden/>
    <w:rsid w:val="00A809E7"/>
    <w:rPr>
      <w:rFonts w:ascii="Tahoma" w:hAnsi="Tahoma"/>
      <w:sz w:val="16"/>
      <w:lang w:val="x-none" w:eastAsia="cs-CZ"/>
    </w:rPr>
  </w:style>
  <w:style w:type="character" w:customStyle="1" w:styleId="truktradokumentuChar114">
    <w:name w:val="Štruktúra dokumentu Char114"/>
    <w:aliases w:val="Char9 Char Char115,Štruktúra dokumentu Char Char Char115,Document Map Char Char Char115"/>
    <w:uiPriority w:val="99"/>
    <w:semiHidden/>
    <w:rsid w:val="00A809E7"/>
    <w:rPr>
      <w:rFonts w:ascii="Tahoma" w:hAnsi="Tahoma"/>
      <w:sz w:val="16"/>
      <w:lang w:val="x-none" w:eastAsia="cs-CZ"/>
    </w:rPr>
  </w:style>
  <w:style w:type="character" w:customStyle="1" w:styleId="truktradokumentuChar113">
    <w:name w:val="Štruktúra dokumentu Char113"/>
    <w:aliases w:val="Char9 Char Char114,Štruktúra dokumentu Char Char Char114,Document Map Char Char Char114"/>
    <w:uiPriority w:val="99"/>
    <w:semiHidden/>
    <w:rsid w:val="00A809E7"/>
    <w:rPr>
      <w:rFonts w:ascii="Tahoma" w:hAnsi="Tahoma"/>
      <w:sz w:val="16"/>
      <w:lang w:val="x-none" w:eastAsia="cs-CZ"/>
    </w:rPr>
  </w:style>
  <w:style w:type="character" w:customStyle="1" w:styleId="truktradokumentuChar112">
    <w:name w:val="Štruktúra dokumentu Char112"/>
    <w:aliases w:val="Char9 Char Char113,Štruktúra dokumentu Char Char Char113,Document Map Char Char Char113"/>
    <w:uiPriority w:val="99"/>
    <w:semiHidden/>
    <w:rsid w:val="00A809E7"/>
    <w:rPr>
      <w:rFonts w:ascii="Tahoma" w:hAnsi="Tahoma"/>
      <w:sz w:val="16"/>
      <w:lang w:val="x-none" w:eastAsia="cs-CZ"/>
    </w:rPr>
  </w:style>
  <w:style w:type="character" w:customStyle="1" w:styleId="truktradokumentuChar111">
    <w:name w:val="Štruktúra dokumentu Char111"/>
    <w:aliases w:val="Char9 Char Char112,Štruktúra dokumentu Char Char Char112,Document Map Char Char Char112"/>
    <w:uiPriority w:val="99"/>
    <w:semiHidden/>
    <w:rsid w:val="00A809E7"/>
    <w:rPr>
      <w:rFonts w:ascii="Tahoma" w:hAnsi="Tahoma"/>
      <w:sz w:val="16"/>
      <w:lang w:val="x-none" w:eastAsia="cs-CZ"/>
    </w:rPr>
  </w:style>
  <w:style w:type="character" w:customStyle="1" w:styleId="truktradokumentuChar110">
    <w:name w:val="Štruktúra dokumentu Char110"/>
    <w:aliases w:val="Char9 Char Char110,Štruktúra dokumentu Char Char Char110,Document Map Char Char Char110"/>
    <w:uiPriority w:val="99"/>
    <w:semiHidden/>
    <w:rsid w:val="00A809E7"/>
    <w:rPr>
      <w:rFonts w:ascii="Tahoma" w:hAnsi="Tahoma"/>
      <w:sz w:val="16"/>
      <w:lang w:val="x-none" w:eastAsia="cs-CZ"/>
    </w:rPr>
  </w:style>
  <w:style w:type="character" w:customStyle="1" w:styleId="truktradokumentuChar19">
    <w:name w:val="Štruktúra dokumentu Char19"/>
    <w:aliases w:val="Char9 Char Char19,Štruktúra dokumentu Char Char Char19,Document Map Char Char Char19"/>
    <w:uiPriority w:val="99"/>
    <w:semiHidden/>
    <w:rsid w:val="00A809E7"/>
    <w:rPr>
      <w:rFonts w:ascii="Tahoma" w:hAnsi="Tahoma"/>
      <w:sz w:val="16"/>
      <w:lang w:val="x-none" w:eastAsia="cs-CZ"/>
    </w:rPr>
  </w:style>
  <w:style w:type="character" w:customStyle="1" w:styleId="truktradokumentuChar18">
    <w:name w:val="Štruktúra dokumentu Char18"/>
    <w:aliases w:val="Char9 Char Char18,Štruktúra dokumentu Char Char Char18,Document Map Char Char Char18"/>
    <w:uiPriority w:val="99"/>
    <w:semiHidden/>
    <w:rsid w:val="00A809E7"/>
    <w:rPr>
      <w:rFonts w:ascii="Tahoma" w:hAnsi="Tahoma"/>
      <w:sz w:val="16"/>
      <w:lang w:val="x-none" w:eastAsia="cs-CZ"/>
    </w:rPr>
  </w:style>
  <w:style w:type="character" w:customStyle="1" w:styleId="truktradokumentuChar17">
    <w:name w:val="Štruktúra dokumentu Char17"/>
    <w:aliases w:val="Char9 Char Char17,Štruktúra dokumentu Char Char Char17,Document Map Char Char Char17"/>
    <w:uiPriority w:val="99"/>
    <w:semiHidden/>
    <w:rsid w:val="00A809E7"/>
    <w:rPr>
      <w:rFonts w:ascii="Tahoma" w:hAnsi="Tahoma"/>
      <w:sz w:val="16"/>
      <w:lang w:val="x-none" w:eastAsia="cs-CZ"/>
    </w:rPr>
  </w:style>
  <w:style w:type="character" w:customStyle="1" w:styleId="truktradokumentuChar16">
    <w:name w:val="Štruktúra dokumentu Char16"/>
    <w:aliases w:val="Char9 Char Char16,Štruktúra dokumentu Char Char Char16,Document Map Char Char Char16"/>
    <w:uiPriority w:val="99"/>
    <w:semiHidden/>
    <w:rsid w:val="00A809E7"/>
    <w:rPr>
      <w:rFonts w:ascii="Tahoma" w:hAnsi="Tahoma"/>
      <w:sz w:val="16"/>
      <w:lang w:val="x-none" w:eastAsia="cs-CZ"/>
    </w:rPr>
  </w:style>
  <w:style w:type="character" w:customStyle="1" w:styleId="truktradokumentuChar15">
    <w:name w:val="Štruktúra dokumentu Char15"/>
    <w:aliases w:val="Char9 Char Char15,Štruktúra dokumentu Char Char Char15,Document Map Char Char Char15"/>
    <w:uiPriority w:val="99"/>
    <w:semiHidden/>
    <w:rsid w:val="00A809E7"/>
    <w:rPr>
      <w:rFonts w:ascii="Tahoma" w:hAnsi="Tahoma"/>
      <w:sz w:val="16"/>
      <w:lang w:val="x-none" w:eastAsia="cs-CZ"/>
    </w:rPr>
  </w:style>
  <w:style w:type="character" w:customStyle="1" w:styleId="truktradokumentuChar14">
    <w:name w:val="Štruktúra dokumentu Char14"/>
    <w:aliases w:val="Char9 Char Char14,Štruktúra dokumentu Char Char Char14,Document Map Char Char Char14"/>
    <w:uiPriority w:val="99"/>
    <w:semiHidden/>
    <w:rsid w:val="00A809E7"/>
    <w:rPr>
      <w:rFonts w:ascii="Tahoma" w:hAnsi="Tahoma"/>
      <w:sz w:val="16"/>
      <w:lang w:val="x-none" w:eastAsia="cs-CZ"/>
    </w:rPr>
  </w:style>
  <w:style w:type="character" w:customStyle="1" w:styleId="truktradokumentuChar13">
    <w:name w:val="Štruktúra dokumentu Char13"/>
    <w:aliases w:val="Char9 Char Char13,Štruktúra dokumentu Char Char Char13,Document Map Char Char Char13"/>
    <w:uiPriority w:val="99"/>
    <w:semiHidden/>
    <w:rsid w:val="00A809E7"/>
    <w:rPr>
      <w:rFonts w:ascii="Tahoma" w:hAnsi="Tahoma"/>
      <w:sz w:val="16"/>
      <w:lang w:val="x-none" w:eastAsia="cs-CZ"/>
    </w:rPr>
  </w:style>
  <w:style w:type="character" w:customStyle="1" w:styleId="truktradokumentuChar12">
    <w:name w:val="Štruktúra dokumentu Char12"/>
    <w:aliases w:val="Char9 Char Char12,Štruktúra dokumentu Char Char Char12,Document Map Char Char Char12"/>
    <w:uiPriority w:val="99"/>
    <w:semiHidden/>
    <w:rsid w:val="00A809E7"/>
    <w:rPr>
      <w:rFonts w:ascii="Tahoma" w:hAnsi="Tahoma"/>
      <w:sz w:val="16"/>
      <w:lang w:val="x-none" w:eastAsia="cs-CZ"/>
    </w:rPr>
  </w:style>
  <w:style w:type="character" w:customStyle="1" w:styleId="truktradokumentuChar11">
    <w:name w:val="Štruktúra dokumentu Char11"/>
    <w:aliases w:val="Char9 Char Char11,Štruktúra dokumentu Char Char Char11,Document Map Char Char Char11,Char9 Char Char111,Štruktúra dokumentu Char Char Char111,Document Map Char Char Char111"/>
    <w:uiPriority w:val="99"/>
    <w:semiHidden/>
    <w:rsid w:val="00A809E7"/>
    <w:rPr>
      <w:rFonts w:ascii="Tahoma" w:hAnsi="Tahoma"/>
      <w:sz w:val="16"/>
      <w:lang w:val="x-none" w:eastAsia="cs-CZ"/>
    </w:rPr>
  </w:style>
  <w:style w:type="paragraph" w:customStyle="1" w:styleId="CharCharCharCharCharCharCharCharCharCharCharCharCharCharCharCharCharCharCharCharCharCharChar1CharCharCharCharChar">
    <w:name w:val="Char Char Char Char Char Char Char Char Char Char Char Char Char Char Char Char Char Char Char Char Char Char Char1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2CharCharCharCharCharCharCharCharCharCharChar">
    <w:name w:val="Char Char Char2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2CharCharCharCharCharChar">
    <w:name w:val="Char Char Char2 Char Char Char Char Char Char"/>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TextkomentraChar">
    <w:name w:val="Text komentára Char"/>
    <w:aliases w:val="Char7 Char Char,Text komentára Char Char Char,Comment Text Char Char Char"/>
    <w:link w:val="Textkomentra"/>
    <w:uiPriority w:val="99"/>
    <w:locked/>
    <w:rsid w:val="00A809E7"/>
    <w:rPr>
      <w:rFonts w:ascii="Courier" w:hAnsi="Courier"/>
    </w:rPr>
  </w:style>
  <w:style w:type="paragraph" w:styleId="Textkomentra">
    <w:name w:val="annotation text"/>
    <w:aliases w:val="Char7 Char,Text komentára Char Char,Comment Text Char Char"/>
    <w:basedOn w:val="Normlny"/>
    <w:link w:val="TextkomentraChar"/>
    <w:uiPriority w:val="99"/>
    <w:qFormat/>
    <w:rsid w:val="00A809E7"/>
    <w:pPr>
      <w:spacing w:after="0" w:line="240" w:lineRule="auto"/>
    </w:pPr>
    <w:rPr>
      <w:rFonts w:ascii="Courier" w:hAnsi="Courier"/>
    </w:rPr>
  </w:style>
  <w:style w:type="character" w:customStyle="1" w:styleId="TextkomentraChar1">
    <w:name w:val="Text komentára Char1"/>
    <w:aliases w:val="Char7 Char Char1,Text komentára Char Char Char1,Comment Text Char Char Char1"/>
    <w:basedOn w:val="Predvolenpsmoodseku"/>
    <w:uiPriority w:val="99"/>
    <w:semiHidden/>
    <w:rsid w:val="00A809E7"/>
    <w:rPr>
      <w:sz w:val="20"/>
      <w:szCs w:val="20"/>
    </w:rPr>
  </w:style>
  <w:style w:type="character" w:customStyle="1" w:styleId="TextkomentraChar1621">
    <w:name w:val="Text komentára Char1621"/>
    <w:aliases w:val="Char7 Char Char1622,Text komentára Char Char Char1622,Comment Text Char Char Char1622"/>
    <w:basedOn w:val="Predvolenpsmoodseku"/>
    <w:uiPriority w:val="99"/>
    <w:semiHidden/>
    <w:rsid w:val="00A809E7"/>
    <w:rPr>
      <w:rFonts w:ascii="Courier" w:hAnsi="Courier" w:cs="Courier"/>
      <w:lang w:val="x-none" w:eastAsia="cs-CZ"/>
    </w:rPr>
  </w:style>
  <w:style w:type="character" w:customStyle="1" w:styleId="TextkomentraChar1620">
    <w:name w:val="Text komentára Char1620"/>
    <w:aliases w:val="Char7 Char Char1621,Text komentára Char Char Char1621,Comment Text Char Char Char1621"/>
    <w:basedOn w:val="Predvolenpsmoodseku"/>
    <w:uiPriority w:val="99"/>
    <w:semiHidden/>
    <w:rsid w:val="00A809E7"/>
    <w:rPr>
      <w:rFonts w:ascii="Courier" w:hAnsi="Courier" w:cs="Courier"/>
      <w:lang w:val="x-none" w:eastAsia="cs-CZ"/>
    </w:rPr>
  </w:style>
  <w:style w:type="character" w:customStyle="1" w:styleId="TextkomentraChar1614">
    <w:name w:val="Text komentára Char1614"/>
    <w:aliases w:val="Char7 Char Char1615,Text komentára Char Char Char1615,Comment Text Char Char Char1615"/>
    <w:basedOn w:val="Predvolenpsmoodseku"/>
    <w:uiPriority w:val="99"/>
    <w:semiHidden/>
    <w:rsid w:val="00A809E7"/>
    <w:rPr>
      <w:rFonts w:ascii="Courier" w:hAnsi="Courier" w:cs="Courier"/>
      <w:lang w:val="x-none" w:eastAsia="cs-CZ"/>
    </w:rPr>
  </w:style>
  <w:style w:type="character" w:customStyle="1" w:styleId="TextkomentraChar1613">
    <w:name w:val="Text komentára Char1613"/>
    <w:aliases w:val="Char7 Char Char1614,Text komentára Char Char Char1614,Comment Text Char Char Char1614"/>
    <w:basedOn w:val="Predvolenpsmoodseku"/>
    <w:uiPriority w:val="99"/>
    <w:semiHidden/>
    <w:rsid w:val="00A809E7"/>
    <w:rPr>
      <w:rFonts w:ascii="Courier" w:hAnsi="Courier" w:cs="Courier"/>
      <w:lang w:val="x-none" w:eastAsia="cs-CZ"/>
    </w:rPr>
  </w:style>
  <w:style w:type="character" w:customStyle="1" w:styleId="TextkomentraChar1612">
    <w:name w:val="Text komentára Char1612"/>
    <w:aliases w:val="Char7 Char Char1613,Text komentára Char Char Char1613,Comment Text Char Char Char1613"/>
    <w:basedOn w:val="Predvolenpsmoodseku"/>
    <w:uiPriority w:val="99"/>
    <w:semiHidden/>
    <w:rsid w:val="00A809E7"/>
    <w:rPr>
      <w:rFonts w:ascii="Courier" w:hAnsi="Courier" w:cs="Courier"/>
      <w:lang w:val="x-none" w:eastAsia="cs-CZ"/>
    </w:rPr>
  </w:style>
  <w:style w:type="character" w:customStyle="1" w:styleId="TextkomentraChar1611">
    <w:name w:val="Text komentára Char1611"/>
    <w:aliases w:val="Char7 Char Char1612,Text komentára Char Char Char1612,Comment Text Char Char Char1612"/>
    <w:basedOn w:val="Predvolenpsmoodseku"/>
    <w:uiPriority w:val="99"/>
    <w:semiHidden/>
    <w:rsid w:val="00A809E7"/>
    <w:rPr>
      <w:rFonts w:ascii="Courier" w:hAnsi="Courier" w:cs="Courier"/>
      <w:lang w:val="x-none" w:eastAsia="cs-CZ"/>
    </w:rPr>
  </w:style>
  <w:style w:type="character" w:customStyle="1" w:styleId="TextkomentraChar1610">
    <w:name w:val="Text komentára Char1610"/>
    <w:aliases w:val="Char7 Char Char1611,Text komentára Char Char Char1611,Comment Text Char Char Char1611"/>
    <w:basedOn w:val="Predvolenpsmoodseku"/>
    <w:uiPriority w:val="99"/>
    <w:semiHidden/>
    <w:rsid w:val="00A809E7"/>
    <w:rPr>
      <w:rFonts w:ascii="Courier" w:hAnsi="Courier" w:cs="Courier"/>
      <w:lang w:val="x-none" w:eastAsia="cs-CZ"/>
    </w:rPr>
  </w:style>
  <w:style w:type="character" w:customStyle="1" w:styleId="TextkomentraChar1609">
    <w:name w:val="Text komentára Char1609"/>
    <w:aliases w:val="Char7 Char Char1610,Text komentára Char Char Char1610,Comment Text Char Char Char1610"/>
    <w:basedOn w:val="Predvolenpsmoodseku"/>
    <w:uiPriority w:val="99"/>
    <w:semiHidden/>
    <w:rsid w:val="00A809E7"/>
    <w:rPr>
      <w:rFonts w:ascii="Courier" w:hAnsi="Courier" w:cs="Courier"/>
      <w:lang w:val="x-none" w:eastAsia="cs-CZ"/>
    </w:rPr>
  </w:style>
  <w:style w:type="character" w:customStyle="1" w:styleId="TextkomentraChar1608">
    <w:name w:val="Text komentára Char1608"/>
    <w:aliases w:val="Char7 Char Char1609,Text komentára Char Char Char1609,Comment Text Char Char Char1609"/>
    <w:basedOn w:val="Predvolenpsmoodseku"/>
    <w:uiPriority w:val="99"/>
    <w:semiHidden/>
    <w:rsid w:val="00A809E7"/>
    <w:rPr>
      <w:rFonts w:ascii="Courier" w:hAnsi="Courier" w:cs="Courier"/>
      <w:lang w:val="x-none" w:eastAsia="cs-CZ"/>
    </w:rPr>
  </w:style>
  <w:style w:type="character" w:customStyle="1" w:styleId="TextkomentraChar1607">
    <w:name w:val="Text komentára Char1607"/>
    <w:aliases w:val="Char7 Char Char1608,Text komentára Char Char Char1608,Comment Text Char Char Char1608"/>
    <w:basedOn w:val="Predvolenpsmoodseku"/>
    <w:uiPriority w:val="99"/>
    <w:semiHidden/>
    <w:rsid w:val="00A809E7"/>
    <w:rPr>
      <w:rFonts w:ascii="Courier" w:hAnsi="Courier" w:cs="Courier"/>
      <w:lang w:val="x-none" w:eastAsia="cs-CZ"/>
    </w:rPr>
  </w:style>
  <w:style w:type="character" w:customStyle="1" w:styleId="TextkomentraChar1606">
    <w:name w:val="Text komentára Char1606"/>
    <w:aliases w:val="Char7 Char Char1607,Text komentára Char Char Char1607,Comment Text Char Char Char1607"/>
    <w:basedOn w:val="Predvolenpsmoodseku"/>
    <w:uiPriority w:val="99"/>
    <w:semiHidden/>
    <w:rsid w:val="00A809E7"/>
    <w:rPr>
      <w:rFonts w:ascii="Courier" w:hAnsi="Courier" w:cs="Courier"/>
      <w:lang w:val="x-none" w:eastAsia="cs-CZ"/>
    </w:rPr>
  </w:style>
  <w:style w:type="character" w:customStyle="1" w:styleId="TextkomentraChar1605">
    <w:name w:val="Text komentára Char1605"/>
    <w:aliases w:val="Char7 Char Char1606,Text komentára Char Char Char1606,Comment Text Char Char Char1606"/>
    <w:basedOn w:val="Predvolenpsmoodseku"/>
    <w:uiPriority w:val="99"/>
    <w:semiHidden/>
    <w:rsid w:val="00A809E7"/>
    <w:rPr>
      <w:rFonts w:ascii="Courier" w:hAnsi="Courier" w:cs="Courier"/>
      <w:lang w:val="x-none" w:eastAsia="cs-CZ"/>
    </w:rPr>
  </w:style>
  <w:style w:type="character" w:customStyle="1" w:styleId="TextkomentraChar1604">
    <w:name w:val="Text komentára Char1604"/>
    <w:aliases w:val="Char7 Char Char1605,Text komentára Char Char Char1605,Comment Text Char Char Char1605"/>
    <w:basedOn w:val="Predvolenpsmoodseku"/>
    <w:uiPriority w:val="99"/>
    <w:semiHidden/>
    <w:rsid w:val="00A809E7"/>
    <w:rPr>
      <w:rFonts w:ascii="Courier" w:hAnsi="Courier" w:cs="Courier"/>
      <w:lang w:val="x-none" w:eastAsia="cs-CZ"/>
    </w:rPr>
  </w:style>
  <w:style w:type="character" w:customStyle="1" w:styleId="TextkomentraChar1603">
    <w:name w:val="Text komentára Char1603"/>
    <w:aliases w:val="Char7 Char Char1604,Text komentára Char Char Char1604,Comment Text Char Char Char1604"/>
    <w:basedOn w:val="Predvolenpsmoodseku"/>
    <w:uiPriority w:val="99"/>
    <w:semiHidden/>
    <w:rsid w:val="00A809E7"/>
    <w:rPr>
      <w:rFonts w:ascii="Courier" w:hAnsi="Courier" w:cs="Courier"/>
      <w:lang w:val="x-none" w:eastAsia="cs-CZ"/>
    </w:rPr>
  </w:style>
  <w:style w:type="character" w:customStyle="1" w:styleId="TextkomentraChar1602">
    <w:name w:val="Text komentára Char1602"/>
    <w:aliases w:val="Char7 Char Char1603,Text komentára Char Char Char1603,Comment Text Char Char Char1603"/>
    <w:basedOn w:val="Predvolenpsmoodseku"/>
    <w:uiPriority w:val="99"/>
    <w:semiHidden/>
    <w:rsid w:val="00A809E7"/>
    <w:rPr>
      <w:rFonts w:ascii="Courier" w:hAnsi="Courier" w:cs="Courier"/>
      <w:lang w:val="x-none" w:eastAsia="cs-CZ"/>
    </w:rPr>
  </w:style>
  <w:style w:type="character" w:customStyle="1" w:styleId="TextkomentraChar1601">
    <w:name w:val="Text komentára Char1601"/>
    <w:aliases w:val="Char7 Char Char1602,Text komentára Char Char Char1602,Comment Text Char Char Char1602"/>
    <w:basedOn w:val="Predvolenpsmoodseku"/>
    <w:uiPriority w:val="99"/>
    <w:semiHidden/>
    <w:rsid w:val="00A809E7"/>
    <w:rPr>
      <w:rFonts w:ascii="Courier" w:hAnsi="Courier" w:cs="Courier"/>
      <w:lang w:val="x-none" w:eastAsia="cs-CZ"/>
    </w:rPr>
  </w:style>
  <w:style w:type="character" w:customStyle="1" w:styleId="TextkomentraChar1600">
    <w:name w:val="Text komentára Char1600"/>
    <w:aliases w:val="Char7 Char Char1601,Text komentára Char Char Char1601,Comment Text Char Char Char1601"/>
    <w:basedOn w:val="Predvolenpsmoodseku"/>
    <w:uiPriority w:val="99"/>
    <w:semiHidden/>
    <w:rsid w:val="00A809E7"/>
    <w:rPr>
      <w:rFonts w:ascii="Courier" w:hAnsi="Courier" w:cs="Courier"/>
      <w:lang w:val="x-none" w:eastAsia="cs-CZ"/>
    </w:rPr>
  </w:style>
  <w:style w:type="character" w:customStyle="1" w:styleId="TextkomentraChar1599">
    <w:name w:val="Text komentára Char1599"/>
    <w:aliases w:val="Char7 Char Char1600,Text komentára Char Char Char1600,Comment Text Char Char Char1600"/>
    <w:basedOn w:val="Predvolenpsmoodseku"/>
    <w:uiPriority w:val="99"/>
    <w:semiHidden/>
    <w:rsid w:val="00A809E7"/>
    <w:rPr>
      <w:rFonts w:ascii="Courier" w:hAnsi="Courier" w:cs="Courier"/>
      <w:lang w:val="x-none" w:eastAsia="cs-CZ"/>
    </w:rPr>
  </w:style>
  <w:style w:type="character" w:customStyle="1" w:styleId="TextkomentraChar1598">
    <w:name w:val="Text komentára Char1598"/>
    <w:aliases w:val="Char7 Char Char1599,Text komentára Char Char Char1599,Comment Text Char Char Char1599"/>
    <w:basedOn w:val="Predvolenpsmoodseku"/>
    <w:uiPriority w:val="99"/>
    <w:semiHidden/>
    <w:rsid w:val="00A809E7"/>
    <w:rPr>
      <w:rFonts w:ascii="Courier" w:hAnsi="Courier" w:cs="Courier"/>
      <w:lang w:val="x-none" w:eastAsia="cs-CZ"/>
    </w:rPr>
  </w:style>
  <w:style w:type="character" w:customStyle="1" w:styleId="TextkomentraChar1597">
    <w:name w:val="Text komentára Char1597"/>
    <w:aliases w:val="Char7 Char Char1598,Text komentára Char Char Char1598,Comment Text Char Char Char1598"/>
    <w:basedOn w:val="Predvolenpsmoodseku"/>
    <w:uiPriority w:val="99"/>
    <w:semiHidden/>
    <w:rsid w:val="00A809E7"/>
    <w:rPr>
      <w:rFonts w:ascii="Courier" w:hAnsi="Courier" w:cs="Courier"/>
      <w:lang w:val="x-none" w:eastAsia="cs-CZ"/>
    </w:rPr>
  </w:style>
  <w:style w:type="character" w:customStyle="1" w:styleId="TextkomentraChar1596">
    <w:name w:val="Text komentára Char1596"/>
    <w:aliases w:val="Char7 Char Char1597,Text komentára Char Char Char1597,Comment Text Char Char Char1597"/>
    <w:basedOn w:val="Predvolenpsmoodseku"/>
    <w:uiPriority w:val="99"/>
    <w:semiHidden/>
    <w:rsid w:val="00A809E7"/>
    <w:rPr>
      <w:rFonts w:ascii="Courier" w:hAnsi="Courier" w:cs="Courier"/>
      <w:lang w:val="x-none" w:eastAsia="cs-CZ"/>
    </w:rPr>
  </w:style>
  <w:style w:type="character" w:customStyle="1" w:styleId="TextkomentraChar1595">
    <w:name w:val="Text komentára Char1595"/>
    <w:aliases w:val="Char7 Char Char1596,Text komentára Char Char Char1596,Comment Text Char Char Char1596"/>
    <w:basedOn w:val="Predvolenpsmoodseku"/>
    <w:uiPriority w:val="99"/>
    <w:semiHidden/>
    <w:rsid w:val="00A809E7"/>
    <w:rPr>
      <w:rFonts w:ascii="Courier" w:hAnsi="Courier" w:cs="Courier"/>
      <w:lang w:val="x-none" w:eastAsia="cs-CZ"/>
    </w:rPr>
  </w:style>
  <w:style w:type="character" w:customStyle="1" w:styleId="TextkomentraChar1594">
    <w:name w:val="Text komentára Char1594"/>
    <w:aliases w:val="Char7 Char Char1595,Text komentára Char Char Char1595,Comment Text Char Char Char1595"/>
    <w:basedOn w:val="Predvolenpsmoodseku"/>
    <w:uiPriority w:val="99"/>
    <w:semiHidden/>
    <w:rsid w:val="00A809E7"/>
    <w:rPr>
      <w:rFonts w:ascii="Courier" w:hAnsi="Courier" w:cs="Courier"/>
      <w:lang w:val="x-none" w:eastAsia="cs-CZ"/>
    </w:rPr>
  </w:style>
  <w:style w:type="character" w:customStyle="1" w:styleId="TextkomentraChar1593">
    <w:name w:val="Text komentára Char1593"/>
    <w:aliases w:val="Char7 Char Char1594,Text komentára Char Char Char1594,Comment Text Char Char Char1594"/>
    <w:basedOn w:val="Predvolenpsmoodseku"/>
    <w:uiPriority w:val="99"/>
    <w:semiHidden/>
    <w:rsid w:val="00A809E7"/>
    <w:rPr>
      <w:rFonts w:ascii="Courier" w:hAnsi="Courier" w:cs="Courier"/>
      <w:lang w:val="x-none" w:eastAsia="cs-CZ"/>
    </w:rPr>
  </w:style>
  <w:style w:type="character" w:customStyle="1" w:styleId="TextkomentraChar1592">
    <w:name w:val="Text komentára Char1592"/>
    <w:aliases w:val="Char7 Char Char1593,Text komentára Char Char Char1593,Comment Text Char Char Char1593"/>
    <w:basedOn w:val="Predvolenpsmoodseku"/>
    <w:uiPriority w:val="99"/>
    <w:semiHidden/>
    <w:rsid w:val="00A809E7"/>
    <w:rPr>
      <w:rFonts w:ascii="Courier" w:hAnsi="Courier" w:cs="Courier"/>
      <w:lang w:val="x-none" w:eastAsia="cs-CZ"/>
    </w:rPr>
  </w:style>
  <w:style w:type="character" w:customStyle="1" w:styleId="TextkomentraChar1591">
    <w:name w:val="Text komentára Char1591"/>
    <w:aliases w:val="Char7 Char Char1592,Text komentára Char Char Char1592,Comment Text Char Char Char1592"/>
    <w:basedOn w:val="Predvolenpsmoodseku"/>
    <w:uiPriority w:val="99"/>
    <w:semiHidden/>
    <w:rsid w:val="00A809E7"/>
    <w:rPr>
      <w:rFonts w:ascii="Courier" w:hAnsi="Courier" w:cs="Courier"/>
      <w:lang w:val="x-none" w:eastAsia="cs-CZ"/>
    </w:rPr>
  </w:style>
  <w:style w:type="character" w:customStyle="1" w:styleId="TextkomentraChar1590">
    <w:name w:val="Text komentára Char1590"/>
    <w:aliases w:val="Char7 Char Char1591,Text komentára Char Char Char1591,Comment Text Char Char Char1591"/>
    <w:basedOn w:val="Predvolenpsmoodseku"/>
    <w:uiPriority w:val="99"/>
    <w:semiHidden/>
    <w:rsid w:val="00A809E7"/>
    <w:rPr>
      <w:rFonts w:ascii="Courier" w:hAnsi="Courier" w:cs="Courier"/>
      <w:lang w:val="x-none" w:eastAsia="cs-CZ"/>
    </w:rPr>
  </w:style>
  <w:style w:type="character" w:customStyle="1" w:styleId="TextkomentraChar1589">
    <w:name w:val="Text komentára Char1589"/>
    <w:aliases w:val="Char7 Char Char1590,Text komentára Char Char Char1590,Comment Text Char Char Char1590"/>
    <w:basedOn w:val="Predvolenpsmoodseku"/>
    <w:uiPriority w:val="99"/>
    <w:semiHidden/>
    <w:rsid w:val="00A809E7"/>
    <w:rPr>
      <w:rFonts w:ascii="Courier" w:hAnsi="Courier" w:cs="Courier"/>
      <w:lang w:val="x-none" w:eastAsia="cs-CZ"/>
    </w:rPr>
  </w:style>
  <w:style w:type="character" w:customStyle="1" w:styleId="TextkomentraChar1588">
    <w:name w:val="Text komentára Char1588"/>
    <w:aliases w:val="Char7 Char Char1589,Text komentára Char Char Char1589,Comment Text Char Char Char1589"/>
    <w:basedOn w:val="Predvolenpsmoodseku"/>
    <w:uiPriority w:val="99"/>
    <w:semiHidden/>
    <w:rsid w:val="00A809E7"/>
    <w:rPr>
      <w:rFonts w:ascii="Courier" w:hAnsi="Courier" w:cs="Courier"/>
      <w:lang w:val="x-none" w:eastAsia="cs-CZ"/>
    </w:rPr>
  </w:style>
  <w:style w:type="character" w:customStyle="1" w:styleId="TextkomentraChar1587">
    <w:name w:val="Text komentára Char1587"/>
    <w:aliases w:val="Char7 Char Char1588,Text komentára Char Char Char1588,Comment Text Char Char Char1588"/>
    <w:basedOn w:val="Predvolenpsmoodseku"/>
    <w:uiPriority w:val="99"/>
    <w:semiHidden/>
    <w:rsid w:val="00A809E7"/>
    <w:rPr>
      <w:rFonts w:ascii="Courier" w:hAnsi="Courier" w:cs="Courier"/>
      <w:lang w:val="x-none" w:eastAsia="cs-CZ"/>
    </w:rPr>
  </w:style>
  <w:style w:type="character" w:customStyle="1" w:styleId="TextkomentraChar1586">
    <w:name w:val="Text komentára Char1586"/>
    <w:aliases w:val="Char7 Char Char1587,Text komentára Char Char Char1587,Comment Text Char Char Char1587"/>
    <w:basedOn w:val="Predvolenpsmoodseku"/>
    <w:uiPriority w:val="99"/>
    <w:semiHidden/>
    <w:rsid w:val="00A809E7"/>
    <w:rPr>
      <w:rFonts w:ascii="Courier" w:hAnsi="Courier" w:cs="Courier"/>
      <w:lang w:val="x-none" w:eastAsia="cs-CZ"/>
    </w:rPr>
  </w:style>
  <w:style w:type="character" w:customStyle="1" w:styleId="TextkomentraChar1585">
    <w:name w:val="Text komentára Char1585"/>
    <w:aliases w:val="Char7 Char Char1586,Text komentára Char Char Char1586,Comment Text Char Char Char1586"/>
    <w:basedOn w:val="Predvolenpsmoodseku"/>
    <w:uiPriority w:val="99"/>
    <w:semiHidden/>
    <w:rsid w:val="00A809E7"/>
    <w:rPr>
      <w:rFonts w:ascii="Courier" w:hAnsi="Courier" w:cs="Courier"/>
      <w:lang w:val="x-none" w:eastAsia="cs-CZ"/>
    </w:rPr>
  </w:style>
  <w:style w:type="character" w:customStyle="1" w:styleId="TextkomentraChar1584">
    <w:name w:val="Text komentára Char1584"/>
    <w:aliases w:val="Char7 Char Char1585,Text komentára Char Char Char1585,Comment Text Char Char Char1585"/>
    <w:basedOn w:val="Predvolenpsmoodseku"/>
    <w:uiPriority w:val="99"/>
    <w:semiHidden/>
    <w:rsid w:val="00A809E7"/>
    <w:rPr>
      <w:rFonts w:ascii="Courier" w:hAnsi="Courier" w:cs="Courier"/>
      <w:lang w:val="x-none" w:eastAsia="cs-CZ"/>
    </w:rPr>
  </w:style>
  <w:style w:type="character" w:customStyle="1" w:styleId="TextkomentraChar1583">
    <w:name w:val="Text komentára Char1583"/>
    <w:aliases w:val="Char7 Char Char1584,Text komentára Char Char Char1584,Comment Text Char Char Char1584"/>
    <w:basedOn w:val="Predvolenpsmoodseku"/>
    <w:uiPriority w:val="99"/>
    <w:semiHidden/>
    <w:rsid w:val="00A809E7"/>
    <w:rPr>
      <w:rFonts w:ascii="Courier" w:hAnsi="Courier" w:cs="Courier"/>
      <w:lang w:val="x-none" w:eastAsia="cs-CZ"/>
    </w:rPr>
  </w:style>
  <w:style w:type="character" w:customStyle="1" w:styleId="TextkomentraChar1582">
    <w:name w:val="Text komentára Char1582"/>
    <w:aliases w:val="Char7 Char Char1583,Text komentára Char Char Char1583,Comment Text Char Char Char1583"/>
    <w:basedOn w:val="Predvolenpsmoodseku"/>
    <w:uiPriority w:val="99"/>
    <w:semiHidden/>
    <w:rsid w:val="00A809E7"/>
    <w:rPr>
      <w:rFonts w:ascii="Courier" w:hAnsi="Courier" w:cs="Courier"/>
      <w:lang w:val="x-none" w:eastAsia="cs-CZ"/>
    </w:rPr>
  </w:style>
  <w:style w:type="character" w:customStyle="1" w:styleId="TextkomentraChar1581">
    <w:name w:val="Text komentára Char1581"/>
    <w:aliases w:val="Char7 Char Char1582,Text komentára Char Char Char1582,Comment Text Char Char Char1582"/>
    <w:basedOn w:val="Predvolenpsmoodseku"/>
    <w:uiPriority w:val="99"/>
    <w:semiHidden/>
    <w:rsid w:val="00A809E7"/>
    <w:rPr>
      <w:rFonts w:ascii="Courier" w:hAnsi="Courier" w:cs="Courier"/>
      <w:lang w:val="x-none" w:eastAsia="cs-CZ"/>
    </w:rPr>
  </w:style>
  <w:style w:type="character" w:customStyle="1" w:styleId="TextkomentraChar1580">
    <w:name w:val="Text komentára Char1580"/>
    <w:aliases w:val="Char7 Char Char1581,Text komentára Char Char Char1581,Comment Text Char Char Char1581"/>
    <w:basedOn w:val="Predvolenpsmoodseku"/>
    <w:uiPriority w:val="99"/>
    <w:semiHidden/>
    <w:rsid w:val="00A809E7"/>
    <w:rPr>
      <w:rFonts w:ascii="Courier" w:hAnsi="Courier" w:cs="Courier"/>
      <w:lang w:val="x-none" w:eastAsia="cs-CZ"/>
    </w:rPr>
  </w:style>
  <w:style w:type="character" w:customStyle="1" w:styleId="TextkomentraChar1579">
    <w:name w:val="Text komentára Char1579"/>
    <w:aliases w:val="Char7 Char Char1580,Text komentára Char Char Char1580,Comment Text Char Char Char1580"/>
    <w:basedOn w:val="Predvolenpsmoodseku"/>
    <w:uiPriority w:val="99"/>
    <w:semiHidden/>
    <w:rsid w:val="00A809E7"/>
    <w:rPr>
      <w:rFonts w:ascii="Courier" w:hAnsi="Courier" w:cs="Courier"/>
      <w:lang w:val="x-none" w:eastAsia="cs-CZ"/>
    </w:rPr>
  </w:style>
  <w:style w:type="character" w:customStyle="1" w:styleId="TextkomentraChar1578">
    <w:name w:val="Text komentára Char1578"/>
    <w:aliases w:val="Char7 Char Char1579,Text komentára Char Char Char1579,Comment Text Char Char Char1579"/>
    <w:basedOn w:val="Predvolenpsmoodseku"/>
    <w:uiPriority w:val="99"/>
    <w:semiHidden/>
    <w:rsid w:val="00A809E7"/>
    <w:rPr>
      <w:rFonts w:ascii="Courier" w:hAnsi="Courier" w:cs="Courier"/>
      <w:lang w:val="x-none" w:eastAsia="cs-CZ"/>
    </w:rPr>
  </w:style>
  <w:style w:type="character" w:customStyle="1" w:styleId="TextkomentraChar1577">
    <w:name w:val="Text komentára Char1577"/>
    <w:aliases w:val="Char7 Char Char1578,Text komentára Char Char Char1578,Comment Text Char Char Char1578"/>
    <w:basedOn w:val="Predvolenpsmoodseku"/>
    <w:uiPriority w:val="99"/>
    <w:semiHidden/>
    <w:rsid w:val="00A809E7"/>
    <w:rPr>
      <w:rFonts w:ascii="Courier" w:hAnsi="Courier" w:cs="Courier"/>
      <w:lang w:val="x-none" w:eastAsia="cs-CZ"/>
    </w:rPr>
  </w:style>
  <w:style w:type="character" w:customStyle="1" w:styleId="TextkomentraChar1576">
    <w:name w:val="Text komentára Char1576"/>
    <w:aliases w:val="Char7 Char Char1577,Text komentára Char Char Char1577,Comment Text Char Char Char1577"/>
    <w:basedOn w:val="Predvolenpsmoodseku"/>
    <w:uiPriority w:val="99"/>
    <w:semiHidden/>
    <w:rsid w:val="00A809E7"/>
    <w:rPr>
      <w:rFonts w:ascii="Courier" w:hAnsi="Courier" w:cs="Courier"/>
      <w:lang w:val="x-none" w:eastAsia="cs-CZ"/>
    </w:rPr>
  </w:style>
  <w:style w:type="character" w:customStyle="1" w:styleId="TextkomentraChar1575">
    <w:name w:val="Text komentára Char1575"/>
    <w:aliases w:val="Char7 Char Char1576,Text komentára Char Char Char1576,Comment Text Char Char Char1576"/>
    <w:basedOn w:val="Predvolenpsmoodseku"/>
    <w:uiPriority w:val="99"/>
    <w:semiHidden/>
    <w:rsid w:val="00A809E7"/>
    <w:rPr>
      <w:rFonts w:ascii="Courier" w:hAnsi="Courier" w:cs="Courier"/>
      <w:lang w:val="x-none" w:eastAsia="cs-CZ"/>
    </w:rPr>
  </w:style>
  <w:style w:type="character" w:customStyle="1" w:styleId="TextkomentraChar1574">
    <w:name w:val="Text komentára Char1574"/>
    <w:aliases w:val="Char7 Char Char1575,Text komentára Char Char Char1575,Comment Text Char Char Char1575"/>
    <w:basedOn w:val="Predvolenpsmoodseku"/>
    <w:uiPriority w:val="99"/>
    <w:semiHidden/>
    <w:rsid w:val="00A809E7"/>
    <w:rPr>
      <w:rFonts w:ascii="Courier" w:hAnsi="Courier" w:cs="Courier"/>
      <w:lang w:val="x-none" w:eastAsia="cs-CZ"/>
    </w:rPr>
  </w:style>
  <w:style w:type="character" w:customStyle="1" w:styleId="TextkomentraChar1573">
    <w:name w:val="Text komentára Char1573"/>
    <w:aliases w:val="Char7 Char Char1574,Text komentára Char Char Char1574,Comment Text Char Char Char1574"/>
    <w:basedOn w:val="Predvolenpsmoodseku"/>
    <w:uiPriority w:val="99"/>
    <w:semiHidden/>
    <w:rsid w:val="00A809E7"/>
    <w:rPr>
      <w:rFonts w:ascii="Courier" w:hAnsi="Courier" w:cs="Courier"/>
      <w:lang w:val="x-none" w:eastAsia="cs-CZ"/>
    </w:rPr>
  </w:style>
  <w:style w:type="character" w:customStyle="1" w:styleId="TextkomentraChar1572">
    <w:name w:val="Text komentára Char1572"/>
    <w:aliases w:val="Char7 Char Char1573,Text komentára Char Char Char1573,Comment Text Char Char Char1573"/>
    <w:basedOn w:val="Predvolenpsmoodseku"/>
    <w:uiPriority w:val="99"/>
    <w:semiHidden/>
    <w:rsid w:val="00A809E7"/>
    <w:rPr>
      <w:rFonts w:ascii="Courier" w:hAnsi="Courier" w:cs="Courier"/>
      <w:lang w:val="x-none" w:eastAsia="cs-CZ"/>
    </w:rPr>
  </w:style>
  <w:style w:type="character" w:customStyle="1" w:styleId="TextkomentraChar1571">
    <w:name w:val="Text komentára Char1571"/>
    <w:aliases w:val="Char7 Char Char1572,Text komentára Char Char Char1572,Comment Text Char Char Char1572"/>
    <w:basedOn w:val="Predvolenpsmoodseku"/>
    <w:uiPriority w:val="99"/>
    <w:semiHidden/>
    <w:rsid w:val="00A809E7"/>
    <w:rPr>
      <w:rFonts w:ascii="Courier" w:hAnsi="Courier" w:cs="Courier"/>
      <w:lang w:val="x-none" w:eastAsia="cs-CZ"/>
    </w:rPr>
  </w:style>
  <w:style w:type="character" w:customStyle="1" w:styleId="TextkomentraChar1570">
    <w:name w:val="Text komentára Char1570"/>
    <w:aliases w:val="Char7 Char Char1571,Text komentára Char Char Char1571,Comment Text Char Char Char1571"/>
    <w:basedOn w:val="Predvolenpsmoodseku"/>
    <w:uiPriority w:val="99"/>
    <w:semiHidden/>
    <w:rsid w:val="00A809E7"/>
    <w:rPr>
      <w:rFonts w:ascii="Courier" w:hAnsi="Courier" w:cs="Courier"/>
      <w:lang w:val="x-none" w:eastAsia="cs-CZ"/>
    </w:rPr>
  </w:style>
  <w:style w:type="character" w:customStyle="1" w:styleId="TextkomentraChar1569">
    <w:name w:val="Text komentára Char1569"/>
    <w:aliases w:val="Char7 Char Char1570,Text komentára Char Char Char1570,Comment Text Char Char Char1570"/>
    <w:basedOn w:val="Predvolenpsmoodseku"/>
    <w:uiPriority w:val="99"/>
    <w:semiHidden/>
    <w:rsid w:val="00A809E7"/>
    <w:rPr>
      <w:rFonts w:ascii="Courier" w:hAnsi="Courier" w:cs="Courier"/>
      <w:lang w:val="x-none" w:eastAsia="cs-CZ"/>
    </w:rPr>
  </w:style>
  <w:style w:type="character" w:customStyle="1" w:styleId="TextkomentraChar1568">
    <w:name w:val="Text komentára Char1568"/>
    <w:aliases w:val="Char7 Char Char1569,Text komentára Char Char Char1569,Comment Text Char Char Char1569"/>
    <w:basedOn w:val="Predvolenpsmoodseku"/>
    <w:uiPriority w:val="99"/>
    <w:semiHidden/>
    <w:rsid w:val="00A809E7"/>
    <w:rPr>
      <w:rFonts w:ascii="Courier" w:hAnsi="Courier" w:cs="Courier"/>
      <w:lang w:val="x-none" w:eastAsia="cs-CZ"/>
    </w:rPr>
  </w:style>
  <w:style w:type="character" w:customStyle="1" w:styleId="TextkomentraChar1567">
    <w:name w:val="Text komentára Char1567"/>
    <w:aliases w:val="Char7 Char Char1568,Text komentára Char Char Char1568,Comment Text Char Char Char1568"/>
    <w:basedOn w:val="Predvolenpsmoodseku"/>
    <w:uiPriority w:val="99"/>
    <w:semiHidden/>
    <w:rsid w:val="00A809E7"/>
    <w:rPr>
      <w:rFonts w:ascii="Courier" w:hAnsi="Courier" w:cs="Courier"/>
      <w:lang w:val="x-none" w:eastAsia="cs-CZ"/>
    </w:rPr>
  </w:style>
  <w:style w:type="character" w:customStyle="1" w:styleId="TextkomentraChar1566">
    <w:name w:val="Text komentára Char1566"/>
    <w:aliases w:val="Char7 Char Char1567,Text komentára Char Char Char1567,Comment Text Char Char Char1567"/>
    <w:basedOn w:val="Predvolenpsmoodseku"/>
    <w:uiPriority w:val="99"/>
    <w:semiHidden/>
    <w:rsid w:val="00A809E7"/>
    <w:rPr>
      <w:rFonts w:ascii="Courier" w:hAnsi="Courier" w:cs="Courier"/>
      <w:lang w:val="x-none" w:eastAsia="cs-CZ"/>
    </w:rPr>
  </w:style>
  <w:style w:type="character" w:customStyle="1" w:styleId="TextkomentraChar1565">
    <w:name w:val="Text komentára Char1565"/>
    <w:aliases w:val="Char7 Char Char1566,Text komentára Char Char Char1566,Comment Text Char Char Char1566"/>
    <w:basedOn w:val="Predvolenpsmoodseku"/>
    <w:uiPriority w:val="99"/>
    <w:semiHidden/>
    <w:rsid w:val="00A809E7"/>
    <w:rPr>
      <w:rFonts w:ascii="Courier" w:hAnsi="Courier" w:cs="Courier"/>
      <w:lang w:val="x-none" w:eastAsia="cs-CZ"/>
    </w:rPr>
  </w:style>
  <w:style w:type="character" w:customStyle="1" w:styleId="TextkomentraChar1564">
    <w:name w:val="Text komentára Char1564"/>
    <w:aliases w:val="Char7 Char Char1565,Text komentára Char Char Char1565,Comment Text Char Char Char1565"/>
    <w:basedOn w:val="Predvolenpsmoodseku"/>
    <w:uiPriority w:val="99"/>
    <w:semiHidden/>
    <w:rsid w:val="00A809E7"/>
    <w:rPr>
      <w:rFonts w:ascii="Courier" w:hAnsi="Courier" w:cs="Courier"/>
      <w:lang w:val="x-none" w:eastAsia="cs-CZ"/>
    </w:rPr>
  </w:style>
  <w:style w:type="character" w:customStyle="1" w:styleId="TextkomentraChar1563">
    <w:name w:val="Text komentára Char1563"/>
    <w:aliases w:val="Char7 Char Char1564,Text komentára Char Char Char1564,Comment Text Char Char Char1564"/>
    <w:basedOn w:val="Predvolenpsmoodseku"/>
    <w:uiPriority w:val="99"/>
    <w:semiHidden/>
    <w:rsid w:val="00A809E7"/>
    <w:rPr>
      <w:rFonts w:ascii="Courier" w:hAnsi="Courier" w:cs="Courier"/>
      <w:lang w:val="x-none" w:eastAsia="cs-CZ"/>
    </w:rPr>
  </w:style>
  <w:style w:type="character" w:customStyle="1" w:styleId="TextkomentraChar1562">
    <w:name w:val="Text komentára Char1562"/>
    <w:aliases w:val="Char7 Char Char1563,Text komentára Char Char Char1563,Comment Text Char Char Char1563"/>
    <w:basedOn w:val="Predvolenpsmoodseku"/>
    <w:uiPriority w:val="99"/>
    <w:semiHidden/>
    <w:rsid w:val="00A809E7"/>
    <w:rPr>
      <w:rFonts w:ascii="Courier" w:hAnsi="Courier" w:cs="Courier"/>
      <w:lang w:val="x-none" w:eastAsia="cs-CZ"/>
    </w:rPr>
  </w:style>
  <w:style w:type="character" w:customStyle="1" w:styleId="TextkomentraChar1561">
    <w:name w:val="Text komentára Char1561"/>
    <w:aliases w:val="Char7 Char Char1562,Text komentára Char Char Char1562,Comment Text Char Char Char1562"/>
    <w:basedOn w:val="Predvolenpsmoodseku"/>
    <w:uiPriority w:val="99"/>
    <w:semiHidden/>
    <w:rsid w:val="00A809E7"/>
    <w:rPr>
      <w:rFonts w:ascii="Courier" w:hAnsi="Courier" w:cs="Courier"/>
      <w:lang w:val="x-none" w:eastAsia="cs-CZ"/>
    </w:rPr>
  </w:style>
  <w:style w:type="character" w:customStyle="1" w:styleId="TextkomentraChar1560">
    <w:name w:val="Text komentára Char1560"/>
    <w:aliases w:val="Char7 Char Char1561,Text komentára Char Char Char1561,Comment Text Char Char Char1561"/>
    <w:basedOn w:val="Predvolenpsmoodseku"/>
    <w:uiPriority w:val="99"/>
    <w:semiHidden/>
    <w:rsid w:val="00A809E7"/>
    <w:rPr>
      <w:rFonts w:ascii="Courier" w:hAnsi="Courier" w:cs="Courier"/>
      <w:lang w:val="x-none" w:eastAsia="cs-CZ"/>
    </w:rPr>
  </w:style>
  <w:style w:type="character" w:customStyle="1" w:styleId="TextkomentraChar1559">
    <w:name w:val="Text komentára Char1559"/>
    <w:aliases w:val="Char7 Char Char1560,Text komentára Char Char Char1560,Comment Text Char Char Char1560"/>
    <w:basedOn w:val="Predvolenpsmoodseku"/>
    <w:uiPriority w:val="99"/>
    <w:semiHidden/>
    <w:rsid w:val="00A809E7"/>
    <w:rPr>
      <w:rFonts w:ascii="Courier" w:hAnsi="Courier" w:cs="Courier"/>
      <w:lang w:val="x-none" w:eastAsia="cs-CZ"/>
    </w:rPr>
  </w:style>
  <w:style w:type="character" w:customStyle="1" w:styleId="TextkomentraChar1558">
    <w:name w:val="Text komentára Char1558"/>
    <w:aliases w:val="Char7 Char Char1559,Text komentára Char Char Char1559,Comment Text Char Char Char1559"/>
    <w:basedOn w:val="Predvolenpsmoodseku"/>
    <w:uiPriority w:val="99"/>
    <w:semiHidden/>
    <w:rsid w:val="00A809E7"/>
    <w:rPr>
      <w:rFonts w:ascii="Courier" w:hAnsi="Courier" w:cs="Courier"/>
      <w:lang w:val="x-none" w:eastAsia="cs-CZ"/>
    </w:rPr>
  </w:style>
  <w:style w:type="character" w:customStyle="1" w:styleId="TextkomentraChar1557">
    <w:name w:val="Text komentára Char1557"/>
    <w:aliases w:val="Char7 Char Char1558,Text komentára Char Char Char1558,Comment Text Char Char Char1558"/>
    <w:basedOn w:val="Predvolenpsmoodseku"/>
    <w:uiPriority w:val="99"/>
    <w:semiHidden/>
    <w:rsid w:val="00A809E7"/>
    <w:rPr>
      <w:rFonts w:ascii="Courier" w:hAnsi="Courier" w:cs="Courier"/>
      <w:lang w:val="x-none" w:eastAsia="cs-CZ"/>
    </w:rPr>
  </w:style>
  <w:style w:type="character" w:customStyle="1" w:styleId="TextkomentraChar1556">
    <w:name w:val="Text komentára Char1556"/>
    <w:aliases w:val="Char7 Char Char1557,Text komentára Char Char Char1557,Comment Text Char Char Char1557"/>
    <w:basedOn w:val="Predvolenpsmoodseku"/>
    <w:uiPriority w:val="99"/>
    <w:semiHidden/>
    <w:rsid w:val="00A809E7"/>
    <w:rPr>
      <w:rFonts w:ascii="Courier" w:hAnsi="Courier" w:cs="Courier"/>
      <w:lang w:val="x-none" w:eastAsia="cs-CZ"/>
    </w:rPr>
  </w:style>
  <w:style w:type="character" w:customStyle="1" w:styleId="TextkomentraChar1555">
    <w:name w:val="Text komentára Char1555"/>
    <w:aliases w:val="Char7 Char Char1556,Text komentára Char Char Char1556,Comment Text Char Char Char1556"/>
    <w:basedOn w:val="Predvolenpsmoodseku"/>
    <w:uiPriority w:val="99"/>
    <w:semiHidden/>
    <w:rsid w:val="00A809E7"/>
    <w:rPr>
      <w:rFonts w:ascii="Courier" w:hAnsi="Courier" w:cs="Courier"/>
      <w:lang w:val="x-none" w:eastAsia="cs-CZ"/>
    </w:rPr>
  </w:style>
  <w:style w:type="character" w:customStyle="1" w:styleId="TextkomentraChar1554">
    <w:name w:val="Text komentára Char1554"/>
    <w:aliases w:val="Char7 Char Char1555,Text komentára Char Char Char1555,Comment Text Char Char Char1555"/>
    <w:basedOn w:val="Predvolenpsmoodseku"/>
    <w:uiPriority w:val="99"/>
    <w:semiHidden/>
    <w:rsid w:val="00A809E7"/>
    <w:rPr>
      <w:rFonts w:ascii="Courier" w:hAnsi="Courier" w:cs="Courier"/>
      <w:lang w:val="x-none" w:eastAsia="cs-CZ"/>
    </w:rPr>
  </w:style>
  <w:style w:type="character" w:customStyle="1" w:styleId="TextkomentraChar1553">
    <w:name w:val="Text komentára Char1553"/>
    <w:aliases w:val="Char7 Char Char1554,Text komentára Char Char Char1554,Comment Text Char Char Char1554"/>
    <w:basedOn w:val="Predvolenpsmoodseku"/>
    <w:uiPriority w:val="99"/>
    <w:semiHidden/>
    <w:rsid w:val="00A809E7"/>
    <w:rPr>
      <w:rFonts w:ascii="Courier" w:hAnsi="Courier" w:cs="Courier"/>
      <w:lang w:val="x-none" w:eastAsia="cs-CZ"/>
    </w:rPr>
  </w:style>
  <w:style w:type="character" w:customStyle="1" w:styleId="TextkomentraChar1552">
    <w:name w:val="Text komentára Char1552"/>
    <w:aliases w:val="Char7 Char Char1553,Text komentára Char Char Char1553,Comment Text Char Char Char1553"/>
    <w:basedOn w:val="Predvolenpsmoodseku"/>
    <w:uiPriority w:val="99"/>
    <w:semiHidden/>
    <w:rsid w:val="00A809E7"/>
    <w:rPr>
      <w:rFonts w:ascii="Courier" w:hAnsi="Courier" w:cs="Courier"/>
      <w:lang w:val="x-none" w:eastAsia="cs-CZ"/>
    </w:rPr>
  </w:style>
  <w:style w:type="character" w:customStyle="1" w:styleId="TextkomentraChar1551">
    <w:name w:val="Text komentára Char1551"/>
    <w:aliases w:val="Char7 Char Char1552,Text komentára Char Char Char1552,Comment Text Char Char Char1552"/>
    <w:basedOn w:val="Predvolenpsmoodseku"/>
    <w:uiPriority w:val="99"/>
    <w:semiHidden/>
    <w:rsid w:val="00A809E7"/>
    <w:rPr>
      <w:rFonts w:ascii="Courier" w:hAnsi="Courier" w:cs="Courier"/>
      <w:lang w:val="x-none" w:eastAsia="cs-CZ"/>
    </w:rPr>
  </w:style>
  <w:style w:type="character" w:customStyle="1" w:styleId="TextkomentraChar1550">
    <w:name w:val="Text komentára Char1550"/>
    <w:aliases w:val="Char7 Char Char1551,Text komentára Char Char Char1551,Comment Text Char Char Char1551"/>
    <w:basedOn w:val="Predvolenpsmoodseku"/>
    <w:uiPriority w:val="99"/>
    <w:semiHidden/>
    <w:rsid w:val="00A809E7"/>
    <w:rPr>
      <w:rFonts w:ascii="Courier" w:hAnsi="Courier" w:cs="Courier"/>
      <w:lang w:val="x-none" w:eastAsia="cs-CZ"/>
    </w:rPr>
  </w:style>
  <w:style w:type="character" w:customStyle="1" w:styleId="TextkomentraChar1549">
    <w:name w:val="Text komentára Char1549"/>
    <w:aliases w:val="Char7 Char Char1550,Text komentára Char Char Char1550,Comment Text Char Char Char1550"/>
    <w:basedOn w:val="Predvolenpsmoodseku"/>
    <w:uiPriority w:val="99"/>
    <w:semiHidden/>
    <w:rsid w:val="00A809E7"/>
    <w:rPr>
      <w:rFonts w:ascii="Courier" w:hAnsi="Courier" w:cs="Courier"/>
      <w:lang w:val="x-none" w:eastAsia="cs-CZ"/>
    </w:rPr>
  </w:style>
  <w:style w:type="character" w:customStyle="1" w:styleId="TextkomentraChar1548">
    <w:name w:val="Text komentára Char1548"/>
    <w:aliases w:val="Char7 Char Char1549,Text komentára Char Char Char1549,Comment Text Char Char Char1549"/>
    <w:basedOn w:val="Predvolenpsmoodseku"/>
    <w:uiPriority w:val="99"/>
    <w:semiHidden/>
    <w:rsid w:val="00A809E7"/>
    <w:rPr>
      <w:rFonts w:ascii="Courier" w:hAnsi="Courier" w:cs="Courier"/>
      <w:lang w:val="x-none" w:eastAsia="cs-CZ"/>
    </w:rPr>
  </w:style>
  <w:style w:type="character" w:customStyle="1" w:styleId="TextkomentraChar1547">
    <w:name w:val="Text komentára Char1547"/>
    <w:aliases w:val="Char7 Char Char1548,Text komentára Char Char Char1548,Comment Text Char Char Char1548"/>
    <w:basedOn w:val="Predvolenpsmoodseku"/>
    <w:uiPriority w:val="99"/>
    <w:semiHidden/>
    <w:rsid w:val="00A809E7"/>
    <w:rPr>
      <w:rFonts w:ascii="Courier" w:hAnsi="Courier" w:cs="Courier"/>
      <w:lang w:val="x-none" w:eastAsia="cs-CZ"/>
    </w:rPr>
  </w:style>
  <w:style w:type="character" w:customStyle="1" w:styleId="TextkomentraChar1546">
    <w:name w:val="Text komentára Char1546"/>
    <w:aliases w:val="Char7 Char Char1547,Text komentára Char Char Char1547,Comment Text Char Char Char1547"/>
    <w:basedOn w:val="Predvolenpsmoodseku"/>
    <w:uiPriority w:val="99"/>
    <w:semiHidden/>
    <w:rsid w:val="00A809E7"/>
    <w:rPr>
      <w:rFonts w:ascii="Courier" w:hAnsi="Courier" w:cs="Courier"/>
      <w:lang w:val="x-none" w:eastAsia="cs-CZ"/>
    </w:rPr>
  </w:style>
  <w:style w:type="character" w:customStyle="1" w:styleId="TextkomentraChar1545">
    <w:name w:val="Text komentára Char1545"/>
    <w:aliases w:val="Char7 Char Char1546,Text komentára Char Char Char1546,Comment Text Char Char Char1546"/>
    <w:basedOn w:val="Predvolenpsmoodseku"/>
    <w:uiPriority w:val="99"/>
    <w:semiHidden/>
    <w:rsid w:val="00A809E7"/>
    <w:rPr>
      <w:rFonts w:ascii="Courier" w:hAnsi="Courier" w:cs="Courier"/>
      <w:lang w:val="x-none" w:eastAsia="cs-CZ"/>
    </w:rPr>
  </w:style>
  <w:style w:type="character" w:customStyle="1" w:styleId="TextkomentraChar1544">
    <w:name w:val="Text komentára Char1544"/>
    <w:aliases w:val="Char7 Char Char1545,Text komentára Char Char Char1545,Comment Text Char Char Char1545"/>
    <w:basedOn w:val="Predvolenpsmoodseku"/>
    <w:uiPriority w:val="99"/>
    <w:semiHidden/>
    <w:rsid w:val="00A809E7"/>
    <w:rPr>
      <w:rFonts w:ascii="Courier" w:hAnsi="Courier" w:cs="Courier"/>
      <w:lang w:val="x-none" w:eastAsia="cs-CZ"/>
    </w:rPr>
  </w:style>
  <w:style w:type="character" w:customStyle="1" w:styleId="TextkomentraChar1543">
    <w:name w:val="Text komentára Char1543"/>
    <w:aliases w:val="Char7 Char Char1544,Text komentára Char Char Char1544,Comment Text Char Char Char1544"/>
    <w:basedOn w:val="Predvolenpsmoodseku"/>
    <w:uiPriority w:val="99"/>
    <w:semiHidden/>
    <w:rsid w:val="00A809E7"/>
    <w:rPr>
      <w:rFonts w:ascii="Courier" w:hAnsi="Courier" w:cs="Courier"/>
      <w:lang w:val="x-none" w:eastAsia="cs-CZ"/>
    </w:rPr>
  </w:style>
  <w:style w:type="character" w:customStyle="1" w:styleId="TextkomentraChar1542">
    <w:name w:val="Text komentára Char1542"/>
    <w:aliases w:val="Char7 Char Char1543,Text komentára Char Char Char1543,Comment Text Char Char Char1543"/>
    <w:basedOn w:val="Predvolenpsmoodseku"/>
    <w:uiPriority w:val="99"/>
    <w:semiHidden/>
    <w:rsid w:val="00A809E7"/>
    <w:rPr>
      <w:rFonts w:ascii="Courier" w:hAnsi="Courier" w:cs="Courier"/>
      <w:lang w:val="x-none" w:eastAsia="cs-CZ"/>
    </w:rPr>
  </w:style>
  <w:style w:type="character" w:customStyle="1" w:styleId="TextkomentraChar1541">
    <w:name w:val="Text komentára Char1541"/>
    <w:aliases w:val="Char7 Char Char1542,Text komentára Char Char Char1542,Comment Text Char Char Char1542"/>
    <w:basedOn w:val="Predvolenpsmoodseku"/>
    <w:uiPriority w:val="99"/>
    <w:semiHidden/>
    <w:rsid w:val="00A809E7"/>
    <w:rPr>
      <w:rFonts w:ascii="Courier" w:hAnsi="Courier" w:cs="Courier"/>
      <w:lang w:val="x-none" w:eastAsia="cs-CZ"/>
    </w:rPr>
  </w:style>
  <w:style w:type="character" w:customStyle="1" w:styleId="TextkomentraChar1540">
    <w:name w:val="Text komentára Char1540"/>
    <w:aliases w:val="Char7 Char Char1541,Text komentára Char Char Char1541,Comment Text Char Char Char1541"/>
    <w:basedOn w:val="Predvolenpsmoodseku"/>
    <w:uiPriority w:val="99"/>
    <w:semiHidden/>
    <w:rsid w:val="00A809E7"/>
    <w:rPr>
      <w:rFonts w:ascii="Courier" w:hAnsi="Courier" w:cs="Courier"/>
      <w:lang w:val="x-none" w:eastAsia="cs-CZ"/>
    </w:rPr>
  </w:style>
  <w:style w:type="character" w:customStyle="1" w:styleId="TextkomentraChar1539">
    <w:name w:val="Text komentára Char1539"/>
    <w:aliases w:val="Char7 Char Char1540,Text komentára Char Char Char1540,Comment Text Char Char Char1540"/>
    <w:basedOn w:val="Predvolenpsmoodseku"/>
    <w:uiPriority w:val="99"/>
    <w:semiHidden/>
    <w:rsid w:val="00A809E7"/>
    <w:rPr>
      <w:rFonts w:ascii="Courier" w:hAnsi="Courier" w:cs="Courier"/>
      <w:lang w:val="x-none" w:eastAsia="cs-CZ"/>
    </w:rPr>
  </w:style>
  <w:style w:type="character" w:customStyle="1" w:styleId="TextkomentraChar1538">
    <w:name w:val="Text komentára Char1538"/>
    <w:aliases w:val="Char7 Char Char1539,Text komentára Char Char Char1539,Comment Text Char Char Char1539"/>
    <w:basedOn w:val="Predvolenpsmoodseku"/>
    <w:uiPriority w:val="99"/>
    <w:semiHidden/>
    <w:rsid w:val="00A809E7"/>
    <w:rPr>
      <w:rFonts w:ascii="Courier" w:hAnsi="Courier" w:cs="Courier"/>
      <w:lang w:val="x-none" w:eastAsia="cs-CZ"/>
    </w:rPr>
  </w:style>
  <w:style w:type="character" w:customStyle="1" w:styleId="TextkomentraChar1537">
    <w:name w:val="Text komentára Char1537"/>
    <w:aliases w:val="Char7 Char Char1538,Text komentára Char Char Char1538,Comment Text Char Char Char1538"/>
    <w:basedOn w:val="Predvolenpsmoodseku"/>
    <w:uiPriority w:val="99"/>
    <w:semiHidden/>
    <w:rsid w:val="00A809E7"/>
    <w:rPr>
      <w:rFonts w:ascii="Courier" w:hAnsi="Courier" w:cs="Courier"/>
      <w:lang w:val="x-none" w:eastAsia="cs-CZ"/>
    </w:rPr>
  </w:style>
  <w:style w:type="character" w:customStyle="1" w:styleId="TextkomentraChar1536">
    <w:name w:val="Text komentára Char1536"/>
    <w:aliases w:val="Char7 Char Char1537,Text komentára Char Char Char1537,Comment Text Char Char Char1537"/>
    <w:basedOn w:val="Predvolenpsmoodseku"/>
    <w:uiPriority w:val="99"/>
    <w:semiHidden/>
    <w:rsid w:val="00A809E7"/>
    <w:rPr>
      <w:rFonts w:ascii="Courier" w:hAnsi="Courier" w:cs="Courier"/>
      <w:lang w:val="x-none" w:eastAsia="cs-CZ"/>
    </w:rPr>
  </w:style>
  <w:style w:type="character" w:customStyle="1" w:styleId="TextkomentraChar1535">
    <w:name w:val="Text komentára Char1535"/>
    <w:aliases w:val="Char7 Char Char1536,Text komentára Char Char Char1536,Comment Text Char Char Char1536"/>
    <w:basedOn w:val="Predvolenpsmoodseku"/>
    <w:uiPriority w:val="99"/>
    <w:semiHidden/>
    <w:rsid w:val="00A809E7"/>
    <w:rPr>
      <w:rFonts w:ascii="Courier" w:hAnsi="Courier" w:cs="Courier"/>
      <w:lang w:val="x-none" w:eastAsia="cs-CZ"/>
    </w:rPr>
  </w:style>
  <w:style w:type="character" w:customStyle="1" w:styleId="TextkomentraChar1534">
    <w:name w:val="Text komentára Char1534"/>
    <w:aliases w:val="Char7 Char Char1535,Text komentára Char Char Char1535,Comment Text Char Char Char1535"/>
    <w:basedOn w:val="Predvolenpsmoodseku"/>
    <w:uiPriority w:val="99"/>
    <w:semiHidden/>
    <w:rsid w:val="00A809E7"/>
    <w:rPr>
      <w:rFonts w:ascii="Courier" w:hAnsi="Courier" w:cs="Courier"/>
      <w:lang w:val="x-none" w:eastAsia="cs-CZ"/>
    </w:rPr>
  </w:style>
  <w:style w:type="character" w:customStyle="1" w:styleId="TextkomentraChar1533">
    <w:name w:val="Text komentára Char1533"/>
    <w:aliases w:val="Char7 Char Char1534,Text komentára Char Char Char1534,Comment Text Char Char Char1534"/>
    <w:basedOn w:val="Predvolenpsmoodseku"/>
    <w:uiPriority w:val="99"/>
    <w:semiHidden/>
    <w:rsid w:val="00A809E7"/>
    <w:rPr>
      <w:rFonts w:ascii="Courier" w:hAnsi="Courier" w:cs="Courier"/>
      <w:lang w:val="x-none" w:eastAsia="cs-CZ"/>
    </w:rPr>
  </w:style>
  <w:style w:type="character" w:customStyle="1" w:styleId="TextkomentraChar1532">
    <w:name w:val="Text komentára Char1532"/>
    <w:aliases w:val="Char7 Char Char1533,Text komentára Char Char Char1533,Comment Text Char Char Char1533"/>
    <w:basedOn w:val="Predvolenpsmoodseku"/>
    <w:uiPriority w:val="99"/>
    <w:semiHidden/>
    <w:rsid w:val="00A809E7"/>
    <w:rPr>
      <w:rFonts w:ascii="Courier" w:hAnsi="Courier" w:cs="Courier"/>
      <w:lang w:val="x-none" w:eastAsia="cs-CZ"/>
    </w:rPr>
  </w:style>
  <w:style w:type="character" w:customStyle="1" w:styleId="TextkomentraChar1531">
    <w:name w:val="Text komentára Char1531"/>
    <w:aliases w:val="Char7 Char Char1532,Text komentára Char Char Char1532,Comment Text Char Char Char1532"/>
    <w:basedOn w:val="Predvolenpsmoodseku"/>
    <w:uiPriority w:val="99"/>
    <w:semiHidden/>
    <w:rsid w:val="00A809E7"/>
    <w:rPr>
      <w:rFonts w:ascii="Courier" w:hAnsi="Courier" w:cs="Courier"/>
      <w:lang w:val="x-none" w:eastAsia="cs-CZ"/>
    </w:rPr>
  </w:style>
  <w:style w:type="character" w:customStyle="1" w:styleId="TextkomentraChar1530">
    <w:name w:val="Text komentára Char1530"/>
    <w:aliases w:val="Char7 Char Char1531,Text komentára Char Char Char1531,Comment Text Char Char Char1531"/>
    <w:basedOn w:val="Predvolenpsmoodseku"/>
    <w:uiPriority w:val="99"/>
    <w:semiHidden/>
    <w:rsid w:val="00A809E7"/>
    <w:rPr>
      <w:rFonts w:ascii="Courier" w:hAnsi="Courier" w:cs="Courier"/>
      <w:lang w:val="x-none" w:eastAsia="cs-CZ"/>
    </w:rPr>
  </w:style>
  <w:style w:type="character" w:customStyle="1" w:styleId="TextkomentraChar1529">
    <w:name w:val="Text komentára Char1529"/>
    <w:aliases w:val="Char7 Char Char1530,Text komentára Char Char Char1530,Comment Text Char Char Char1530"/>
    <w:basedOn w:val="Predvolenpsmoodseku"/>
    <w:uiPriority w:val="99"/>
    <w:semiHidden/>
    <w:rsid w:val="00A809E7"/>
    <w:rPr>
      <w:rFonts w:ascii="Courier" w:hAnsi="Courier" w:cs="Courier"/>
      <w:lang w:val="x-none" w:eastAsia="cs-CZ"/>
    </w:rPr>
  </w:style>
  <w:style w:type="character" w:customStyle="1" w:styleId="TextkomentraChar1528">
    <w:name w:val="Text komentára Char1528"/>
    <w:aliases w:val="Char7 Char Char1529,Text komentára Char Char Char1529,Comment Text Char Char Char1529"/>
    <w:basedOn w:val="Predvolenpsmoodseku"/>
    <w:uiPriority w:val="99"/>
    <w:semiHidden/>
    <w:rsid w:val="00A809E7"/>
    <w:rPr>
      <w:rFonts w:ascii="Courier" w:hAnsi="Courier" w:cs="Courier"/>
      <w:lang w:val="x-none" w:eastAsia="cs-CZ"/>
    </w:rPr>
  </w:style>
  <w:style w:type="character" w:customStyle="1" w:styleId="TextkomentraChar1527">
    <w:name w:val="Text komentára Char1527"/>
    <w:aliases w:val="Char7 Char Char1528,Text komentára Char Char Char1528,Comment Text Char Char Char1528"/>
    <w:basedOn w:val="Predvolenpsmoodseku"/>
    <w:uiPriority w:val="99"/>
    <w:semiHidden/>
    <w:rsid w:val="00A809E7"/>
    <w:rPr>
      <w:rFonts w:ascii="Courier" w:hAnsi="Courier" w:cs="Courier"/>
      <w:lang w:val="x-none" w:eastAsia="cs-CZ"/>
    </w:rPr>
  </w:style>
  <w:style w:type="character" w:customStyle="1" w:styleId="TextkomentraChar1526">
    <w:name w:val="Text komentára Char1526"/>
    <w:aliases w:val="Char7 Char Char1527,Text komentára Char Char Char1527,Comment Text Char Char Char1527"/>
    <w:basedOn w:val="Predvolenpsmoodseku"/>
    <w:uiPriority w:val="99"/>
    <w:semiHidden/>
    <w:rsid w:val="00A809E7"/>
    <w:rPr>
      <w:rFonts w:ascii="Courier" w:hAnsi="Courier" w:cs="Courier"/>
      <w:lang w:val="x-none" w:eastAsia="cs-CZ"/>
    </w:rPr>
  </w:style>
  <w:style w:type="character" w:customStyle="1" w:styleId="TextkomentraChar1525">
    <w:name w:val="Text komentára Char1525"/>
    <w:aliases w:val="Char7 Char Char1526,Text komentára Char Char Char1526,Comment Text Char Char Char1526"/>
    <w:basedOn w:val="Predvolenpsmoodseku"/>
    <w:uiPriority w:val="99"/>
    <w:semiHidden/>
    <w:rsid w:val="00A809E7"/>
    <w:rPr>
      <w:rFonts w:ascii="Courier" w:hAnsi="Courier" w:cs="Courier"/>
      <w:lang w:val="x-none" w:eastAsia="cs-CZ"/>
    </w:rPr>
  </w:style>
  <w:style w:type="character" w:customStyle="1" w:styleId="TextkomentraChar1524">
    <w:name w:val="Text komentára Char1524"/>
    <w:aliases w:val="Char7 Char Char1525,Text komentára Char Char Char1525,Comment Text Char Char Char1525"/>
    <w:basedOn w:val="Predvolenpsmoodseku"/>
    <w:uiPriority w:val="99"/>
    <w:semiHidden/>
    <w:rsid w:val="00A809E7"/>
    <w:rPr>
      <w:rFonts w:ascii="Courier" w:hAnsi="Courier" w:cs="Courier"/>
      <w:lang w:val="x-none" w:eastAsia="cs-CZ"/>
    </w:rPr>
  </w:style>
  <w:style w:type="character" w:customStyle="1" w:styleId="TextkomentraChar1523">
    <w:name w:val="Text komentára Char1523"/>
    <w:aliases w:val="Char7 Char Char1524,Text komentára Char Char Char1524,Comment Text Char Char Char1524"/>
    <w:basedOn w:val="Predvolenpsmoodseku"/>
    <w:uiPriority w:val="99"/>
    <w:semiHidden/>
    <w:rsid w:val="00A809E7"/>
    <w:rPr>
      <w:rFonts w:ascii="Courier" w:hAnsi="Courier" w:cs="Courier"/>
      <w:lang w:val="x-none" w:eastAsia="cs-CZ"/>
    </w:rPr>
  </w:style>
  <w:style w:type="character" w:customStyle="1" w:styleId="TextkomentraChar1522">
    <w:name w:val="Text komentára Char1522"/>
    <w:aliases w:val="Char7 Char Char1523,Text komentára Char Char Char1523,Comment Text Char Char Char1523"/>
    <w:basedOn w:val="Predvolenpsmoodseku"/>
    <w:uiPriority w:val="99"/>
    <w:semiHidden/>
    <w:rsid w:val="00A809E7"/>
    <w:rPr>
      <w:rFonts w:ascii="Courier" w:hAnsi="Courier" w:cs="Courier"/>
      <w:lang w:val="x-none" w:eastAsia="cs-CZ"/>
    </w:rPr>
  </w:style>
  <w:style w:type="character" w:customStyle="1" w:styleId="TextkomentraChar1521">
    <w:name w:val="Text komentára Char1521"/>
    <w:aliases w:val="Char7 Char Char1522,Text komentára Char Char Char1522,Comment Text Char Char Char1522"/>
    <w:basedOn w:val="Predvolenpsmoodseku"/>
    <w:uiPriority w:val="99"/>
    <w:semiHidden/>
    <w:rsid w:val="00A809E7"/>
    <w:rPr>
      <w:rFonts w:ascii="Courier" w:hAnsi="Courier" w:cs="Courier"/>
      <w:lang w:val="x-none" w:eastAsia="cs-CZ"/>
    </w:rPr>
  </w:style>
  <w:style w:type="character" w:customStyle="1" w:styleId="TextkomentraChar1520">
    <w:name w:val="Text komentára Char1520"/>
    <w:aliases w:val="Char7 Char Char1521,Text komentára Char Char Char1521,Comment Text Char Char Char1521"/>
    <w:basedOn w:val="Predvolenpsmoodseku"/>
    <w:uiPriority w:val="99"/>
    <w:semiHidden/>
    <w:rsid w:val="00A809E7"/>
    <w:rPr>
      <w:rFonts w:ascii="Courier" w:hAnsi="Courier" w:cs="Courier"/>
      <w:lang w:val="x-none" w:eastAsia="cs-CZ"/>
    </w:rPr>
  </w:style>
  <w:style w:type="character" w:customStyle="1" w:styleId="TextkomentraChar1519">
    <w:name w:val="Text komentára Char1519"/>
    <w:aliases w:val="Char7 Char Char1520,Text komentára Char Char Char1520,Comment Text Char Char Char1520"/>
    <w:basedOn w:val="Predvolenpsmoodseku"/>
    <w:uiPriority w:val="99"/>
    <w:semiHidden/>
    <w:rsid w:val="00A809E7"/>
    <w:rPr>
      <w:rFonts w:ascii="Courier" w:hAnsi="Courier" w:cs="Courier"/>
      <w:lang w:val="x-none" w:eastAsia="cs-CZ"/>
    </w:rPr>
  </w:style>
  <w:style w:type="character" w:customStyle="1" w:styleId="TextkomentraChar1518">
    <w:name w:val="Text komentára Char1518"/>
    <w:aliases w:val="Char7 Char Char1519,Text komentára Char Char Char1519,Comment Text Char Char Char1519"/>
    <w:basedOn w:val="Predvolenpsmoodseku"/>
    <w:uiPriority w:val="99"/>
    <w:semiHidden/>
    <w:rsid w:val="00A809E7"/>
    <w:rPr>
      <w:rFonts w:ascii="Courier" w:hAnsi="Courier" w:cs="Courier"/>
      <w:lang w:val="x-none" w:eastAsia="cs-CZ"/>
    </w:rPr>
  </w:style>
  <w:style w:type="character" w:customStyle="1" w:styleId="TextkomentraChar1517">
    <w:name w:val="Text komentára Char1517"/>
    <w:aliases w:val="Char7 Char Char1518,Text komentára Char Char Char1518,Comment Text Char Char Char1518"/>
    <w:basedOn w:val="Predvolenpsmoodseku"/>
    <w:uiPriority w:val="99"/>
    <w:semiHidden/>
    <w:rsid w:val="00A809E7"/>
    <w:rPr>
      <w:rFonts w:ascii="Courier" w:hAnsi="Courier" w:cs="Courier"/>
      <w:lang w:val="x-none" w:eastAsia="cs-CZ"/>
    </w:rPr>
  </w:style>
  <w:style w:type="character" w:customStyle="1" w:styleId="TextkomentraChar1516">
    <w:name w:val="Text komentára Char1516"/>
    <w:aliases w:val="Char7 Char Char1517,Text komentára Char Char Char1517,Comment Text Char Char Char1517"/>
    <w:basedOn w:val="Predvolenpsmoodseku"/>
    <w:uiPriority w:val="99"/>
    <w:semiHidden/>
    <w:rsid w:val="00A809E7"/>
    <w:rPr>
      <w:rFonts w:ascii="Courier" w:hAnsi="Courier" w:cs="Courier"/>
      <w:lang w:val="x-none" w:eastAsia="cs-CZ"/>
    </w:rPr>
  </w:style>
  <w:style w:type="character" w:customStyle="1" w:styleId="TextkomentraChar1515">
    <w:name w:val="Text komentára Char1515"/>
    <w:aliases w:val="Char7 Char Char1516,Text komentára Char Char Char1516,Comment Text Char Char Char1516"/>
    <w:basedOn w:val="Predvolenpsmoodseku"/>
    <w:uiPriority w:val="99"/>
    <w:semiHidden/>
    <w:rsid w:val="00A809E7"/>
    <w:rPr>
      <w:rFonts w:ascii="Courier" w:hAnsi="Courier" w:cs="Courier"/>
      <w:lang w:val="x-none" w:eastAsia="cs-CZ"/>
    </w:rPr>
  </w:style>
  <w:style w:type="character" w:customStyle="1" w:styleId="TextkomentraChar1514">
    <w:name w:val="Text komentára Char1514"/>
    <w:aliases w:val="Char7 Char Char1515,Text komentára Char Char Char1515,Comment Text Char Char Char1515"/>
    <w:basedOn w:val="Predvolenpsmoodseku"/>
    <w:uiPriority w:val="99"/>
    <w:semiHidden/>
    <w:rsid w:val="00A809E7"/>
    <w:rPr>
      <w:rFonts w:ascii="Courier" w:hAnsi="Courier" w:cs="Courier"/>
      <w:lang w:val="x-none" w:eastAsia="cs-CZ"/>
    </w:rPr>
  </w:style>
  <w:style w:type="character" w:customStyle="1" w:styleId="TextkomentraChar1513">
    <w:name w:val="Text komentára Char1513"/>
    <w:aliases w:val="Char7 Char Char1514,Text komentára Char Char Char1514,Comment Text Char Char Char1514"/>
    <w:uiPriority w:val="99"/>
    <w:semiHidden/>
    <w:rsid w:val="00A809E7"/>
    <w:rPr>
      <w:rFonts w:ascii="Courier" w:hAnsi="Courier"/>
      <w:lang w:val="x-none" w:eastAsia="cs-CZ"/>
    </w:rPr>
  </w:style>
  <w:style w:type="character" w:customStyle="1" w:styleId="TextkomentraChar1512">
    <w:name w:val="Text komentára Char1512"/>
    <w:aliases w:val="Char7 Char Char1513,Text komentára Char Char Char1513,Comment Text Char Char Char1513"/>
    <w:uiPriority w:val="99"/>
    <w:semiHidden/>
    <w:rsid w:val="00A809E7"/>
    <w:rPr>
      <w:rFonts w:ascii="Courier" w:hAnsi="Courier"/>
      <w:lang w:val="x-none" w:eastAsia="cs-CZ"/>
    </w:rPr>
  </w:style>
  <w:style w:type="character" w:customStyle="1" w:styleId="TextkomentraChar1511">
    <w:name w:val="Text komentára Char1511"/>
    <w:aliases w:val="Char7 Char Char1512,Text komentára Char Char Char1512,Comment Text Char Char Char1512"/>
    <w:uiPriority w:val="99"/>
    <w:semiHidden/>
    <w:rsid w:val="00A809E7"/>
    <w:rPr>
      <w:rFonts w:ascii="Courier" w:hAnsi="Courier"/>
      <w:lang w:val="x-none" w:eastAsia="cs-CZ"/>
    </w:rPr>
  </w:style>
  <w:style w:type="character" w:customStyle="1" w:styleId="TextkomentraChar1510">
    <w:name w:val="Text komentára Char1510"/>
    <w:aliases w:val="Char7 Char Char1511,Text komentára Char Char Char1511,Comment Text Char Char Char1511"/>
    <w:uiPriority w:val="99"/>
    <w:semiHidden/>
    <w:rsid w:val="00A809E7"/>
    <w:rPr>
      <w:rFonts w:ascii="Courier" w:hAnsi="Courier"/>
      <w:lang w:val="x-none" w:eastAsia="cs-CZ"/>
    </w:rPr>
  </w:style>
  <w:style w:type="character" w:customStyle="1" w:styleId="TextkomentraChar1509">
    <w:name w:val="Text komentára Char1509"/>
    <w:aliases w:val="Char7 Char Char1510,Text komentára Char Char Char1510,Comment Text Char Char Char1510"/>
    <w:uiPriority w:val="99"/>
    <w:semiHidden/>
    <w:rsid w:val="00A809E7"/>
    <w:rPr>
      <w:rFonts w:ascii="Courier" w:hAnsi="Courier"/>
      <w:lang w:val="x-none" w:eastAsia="cs-CZ"/>
    </w:rPr>
  </w:style>
  <w:style w:type="character" w:customStyle="1" w:styleId="TextkomentraChar1508">
    <w:name w:val="Text komentára Char1508"/>
    <w:aliases w:val="Char7 Char Char1509,Text komentára Char Char Char1509,Comment Text Char Char Char1509"/>
    <w:uiPriority w:val="99"/>
    <w:semiHidden/>
    <w:rsid w:val="00A809E7"/>
    <w:rPr>
      <w:rFonts w:ascii="Courier" w:hAnsi="Courier"/>
      <w:lang w:val="x-none" w:eastAsia="cs-CZ"/>
    </w:rPr>
  </w:style>
  <w:style w:type="character" w:customStyle="1" w:styleId="TextkomentraChar1507">
    <w:name w:val="Text komentára Char1507"/>
    <w:aliases w:val="Char7 Char Char1508,Text komentára Char Char Char1508,Comment Text Char Char Char1508"/>
    <w:uiPriority w:val="99"/>
    <w:semiHidden/>
    <w:rsid w:val="00A809E7"/>
    <w:rPr>
      <w:rFonts w:ascii="Courier" w:hAnsi="Courier"/>
      <w:lang w:val="x-none" w:eastAsia="cs-CZ"/>
    </w:rPr>
  </w:style>
  <w:style w:type="character" w:customStyle="1" w:styleId="TextkomentraChar1506">
    <w:name w:val="Text komentára Char1506"/>
    <w:aliases w:val="Char7 Char Char1507,Text komentára Char Char Char1507,Comment Text Char Char Char1507"/>
    <w:uiPriority w:val="99"/>
    <w:semiHidden/>
    <w:rsid w:val="00A809E7"/>
    <w:rPr>
      <w:rFonts w:ascii="Courier" w:hAnsi="Courier"/>
      <w:lang w:val="x-none" w:eastAsia="cs-CZ"/>
    </w:rPr>
  </w:style>
  <w:style w:type="character" w:customStyle="1" w:styleId="TextkomentraChar1505">
    <w:name w:val="Text komentára Char1505"/>
    <w:aliases w:val="Char7 Char Char1506,Text komentára Char Char Char1506,Comment Text Char Char Char1506"/>
    <w:uiPriority w:val="99"/>
    <w:semiHidden/>
    <w:rsid w:val="00A809E7"/>
    <w:rPr>
      <w:rFonts w:ascii="Courier" w:hAnsi="Courier"/>
      <w:lang w:val="x-none" w:eastAsia="cs-CZ"/>
    </w:rPr>
  </w:style>
  <w:style w:type="character" w:customStyle="1" w:styleId="TextkomentraChar1504">
    <w:name w:val="Text komentára Char1504"/>
    <w:aliases w:val="Char7 Char Char1505,Text komentára Char Char Char1505,Comment Text Char Char Char1505"/>
    <w:uiPriority w:val="99"/>
    <w:semiHidden/>
    <w:rsid w:val="00A809E7"/>
    <w:rPr>
      <w:rFonts w:ascii="Courier" w:hAnsi="Courier"/>
      <w:lang w:val="x-none" w:eastAsia="cs-CZ"/>
    </w:rPr>
  </w:style>
  <w:style w:type="character" w:customStyle="1" w:styleId="TextkomentraChar1503">
    <w:name w:val="Text komentára Char1503"/>
    <w:aliases w:val="Char7 Char Char1504,Text komentára Char Char Char1504,Comment Text Char Char Char1504"/>
    <w:uiPriority w:val="99"/>
    <w:semiHidden/>
    <w:rsid w:val="00A809E7"/>
    <w:rPr>
      <w:rFonts w:ascii="Courier" w:hAnsi="Courier"/>
      <w:lang w:val="x-none" w:eastAsia="cs-CZ"/>
    </w:rPr>
  </w:style>
  <w:style w:type="character" w:customStyle="1" w:styleId="TextkomentraChar1502">
    <w:name w:val="Text komentára Char1502"/>
    <w:aliases w:val="Char7 Char Char1503,Text komentára Char Char Char1503,Comment Text Char Char Char1503"/>
    <w:uiPriority w:val="99"/>
    <w:semiHidden/>
    <w:rsid w:val="00A809E7"/>
    <w:rPr>
      <w:rFonts w:ascii="Courier" w:hAnsi="Courier"/>
      <w:lang w:val="x-none" w:eastAsia="cs-CZ"/>
    </w:rPr>
  </w:style>
  <w:style w:type="character" w:customStyle="1" w:styleId="TextkomentraChar1501">
    <w:name w:val="Text komentára Char1501"/>
    <w:aliases w:val="Char7 Char Char1502,Text komentára Char Char Char1502,Comment Text Char Char Char1502"/>
    <w:uiPriority w:val="99"/>
    <w:semiHidden/>
    <w:rsid w:val="00A809E7"/>
    <w:rPr>
      <w:rFonts w:ascii="Courier" w:hAnsi="Courier"/>
      <w:lang w:val="x-none" w:eastAsia="cs-CZ"/>
    </w:rPr>
  </w:style>
  <w:style w:type="character" w:customStyle="1" w:styleId="TextkomentraChar1500">
    <w:name w:val="Text komentára Char1500"/>
    <w:aliases w:val="Char7 Char Char1501,Text komentára Char Char Char1501,Comment Text Char Char Char1501"/>
    <w:uiPriority w:val="99"/>
    <w:semiHidden/>
    <w:rsid w:val="00A809E7"/>
    <w:rPr>
      <w:rFonts w:ascii="Courier" w:hAnsi="Courier"/>
      <w:lang w:val="x-none" w:eastAsia="cs-CZ"/>
    </w:rPr>
  </w:style>
  <w:style w:type="character" w:customStyle="1" w:styleId="TextkomentraChar1499">
    <w:name w:val="Text komentára Char1499"/>
    <w:aliases w:val="Char7 Char Char1500,Text komentára Char Char Char1500,Comment Text Char Char Char1500"/>
    <w:uiPriority w:val="99"/>
    <w:semiHidden/>
    <w:rsid w:val="00A809E7"/>
    <w:rPr>
      <w:rFonts w:ascii="Courier" w:hAnsi="Courier"/>
      <w:lang w:val="x-none" w:eastAsia="cs-CZ"/>
    </w:rPr>
  </w:style>
  <w:style w:type="character" w:customStyle="1" w:styleId="TextkomentraChar1498">
    <w:name w:val="Text komentára Char1498"/>
    <w:aliases w:val="Char7 Char Char1499,Text komentára Char Char Char1499,Comment Text Char Char Char1499"/>
    <w:uiPriority w:val="99"/>
    <w:semiHidden/>
    <w:rsid w:val="00A809E7"/>
    <w:rPr>
      <w:rFonts w:ascii="Courier" w:hAnsi="Courier"/>
      <w:lang w:val="x-none" w:eastAsia="cs-CZ"/>
    </w:rPr>
  </w:style>
  <w:style w:type="character" w:customStyle="1" w:styleId="TextkomentraChar1497">
    <w:name w:val="Text komentára Char1497"/>
    <w:aliases w:val="Char7 Char Char1498,Text komentára Char Char Char1498,Comment Text Char Char Char1498"/>
    <w:uiPriority w:val="99"/>
    <w:semiHidden/>
    <w:rsid w:val="00A809E7"/>
    <w:rPr>
      <w:rFonts w:ascii="Courier" w:hAnsi="Courier"/>
      <w:lang w:val="x-none" w:eastAsia="cs-CZ"/>
    </w:rPr>
  </w:style>
  <w:style w:type="character" w:customStyle="1" w:styleId="TextkomentraChar1496">
    <w:name w:val="Text komentára Char1496"/>
    <w:aliases w:val="Char7 Char Char1497,Text komentára Char Char Char1497,Comment Text Char Char Char1497"/>
    <w:uiPriority w:val="99"/>
    <w:semiHidden/>
    <w:rsid w:val="00A809E7"/>
    <w:rPr>
      <w:rFonts w:ascii="Courier" w:hAnsi="Courier"/>
      <w:lang w:val="x-none" w:eastAsia="cs-CZ"/>
    </w:rPr>
  </w:style>
  <w:style w:type="character" w:customStyle="1" w:styleId="TextkomentraChar1495">
    <w:name w:val="Text komentára Char1495"/>
    <w:aliases w:val="Char7 Char Char1496,Text komentára Char Char Char1496,Comment Text Char Char Char1496"/>
    <w:uiPriority w:val="99"/>
    <w:semiHidden/>
    <w:rsid w:val="00A809E7"/>
    <w:rPr>
      <w:rFonts w:ascii="Courier" w:hAnsi="Courier"/>
      <w:lang w:val="x-none" w:eastAsia="cs-CZ"/>
    </w:rPr>
  </w:style>
  <w:style w:type="character" w:customStyle="1" w:styleId="TextkomentraChar1494">
    <w:name w:val="Text komentára Char1494"/>
    <w:aliases w:val="Char7 Char Char1495,Text komentára Char Char Char1495,Comment Text Char Char Char1495"/>
    <w:uiPriority w:val="99"/>
    <w:semiHidden/>
    <w:rsid w:val="00A809E7"/>
    <w:rPr>
      <w:rFonts w:ascii="Courier" w:hAnsi="Courier"/>
      <w:lang w:val="x-none" w:eastAsia="cs-CZ"/>
    </w:rPr>
  </w:style>
  <w:style w:type="character" w:customStyle="1" w:styleId="TextkomentraChar1493">
    <w:name w:val="Text komentára Char1493"/>
    <w:aliases w:val="Char7 Char Char1494,Text komentára Char Char Char1494,Comment Text Char Char Char1494"/>
    <w:uiPriority w:val="99"/>
    <w:semiHidden/>
    <w:rsid w:val="00A809E7"/>
    <w:rPr>
      <w:rFonts w:ascii="Courier" w:hAnsi="Courier"/>
      <w:lang w:val="x-none" w:eastAsia="cs-CZ"/>
    </w:rPr>
  </w:style>
  <w:style w:type="character" w:customStyle="1" w:styleId="TextkomentraChar1492">
    <w:name w:val="Text komentára Char1492"/>
    <w:aliases w:val="Char7 Char Char1493,Text komentára Char Char Char1493,Comment Text Char Char Char1493"/>
    <w:uiPriority w:val="99"/>
    <w:semiHidden/>
    <w:rsid w:val="00A809E7"/>
    <w:rPr>
      <w:rFonts w:ascii="Courier" w:hAnsi="Courier"/>
      <w:lang w:val="x-none" w:eastAsia="cs-CZ"/>
    </w:rPr>
  </w:style>
  <w:style w:type="character" w:customStyle="1" w:styleId="TextkomentraChar1491">
    <w:name w:val="Text komentára Char1491"/>
    <w:aliases w:val="Char7 Char Char1492,Text komentára Char Char Char1492,Comment Text Char Char Char1492"/>
    <w:uiPriority w:val="99"/>
    <w:semiHidden/>
    <w:rsid w:val="00A809E7"/>
    <w:rPr>
      <w:rFonts w:ascii="Courier" w:hAnsi="Courier"/>
      <w:lang w:val="x-none" w:eastAsia="cs-CZ"/>
    </w:rPr>
  </w:style>
  <w:style w:type="character" w:customStyle="1" w:styleId="TextkomentraChar1490">
    <w:name w:val="Text komentára Char1490"/>
    <w:aliases w:val="Char7 Char Char1491,Text komentára Char Char Char1491,Comment Text Char Char Char1491"/>
    <w:uiPriority w:val="99"/>
    <w:semiHidden/>
    <w:rsid w:val="00A809E7"/>
    <w:rPr>
      <w:rFonts w:ascii="Courier" w:hAnsi="Courier"/>
      <w:lang w:val="x-none" w:eastAsia="cs-CZ"/>
    </w:rPr>
  </w:style>
  <w:style w:type="character" w:customStyle="1" w:styleId="TextkomentraChar1489">
    <w:name w:val="Text komentára Char1489"/>
    <w:aliases w:val="Char7 Char Char1490,Text komentára Char Char Char1490,Comment Text Char Char Char1490"/>
    <w:uiPriority w:val="99"/>
    <w:semiHidden/>
    <w:rsid w:val="00A809E7"/>
    <w:rPr>
      <w:rFonts w:ascii="Courier" w:hAnsi="Courier"/>
      <w:lang w:val="x-none" w:eastAsia="cs-CZ"/>
    </w:rPr>
  </w:style>
  <w:style w:type="character" w:customStyle="1" w:styleId="TextkomentraChar1488">
    <w:name w:val="Text komentára Char1488"/>
    <w:aliases w:val="Char7 Char Char1489,Text komentára Char Char Char1489,Comment Text Char Char Char1489"/>
    <w:uiPriority w:val="99"/>
    <w:semiHidden/>
    <w:rsid w:val="00A809E7"/>
    <w:rPr>
      <w:rFonts w:ascii="Courier" w:hAnsi="Courier"/>
      <w:lang w:val="x-none" w:eastAsia="cs-CZ"/>
    </w:rPr>
  </w:style>
  <w:style w:type="character" w:customStyle="1" w:styleId="TextkomentraChar1487">
    <w:name w:val="Text komentára Char1487"/>
    <w:aliases w:val="Char7 Char Char1488,Text komentára Char Char Char1488,Comment Text Char Char Char1488"/>
    <w:uiPriority w:val="99"/>
    <w:semiHidden/>
    <w:rsid w:val="00A809E7"/>
    <w:rPr>
      <w:rFonts w:ascii="Courier" w:hAnsi="Courier"/>
      <w:lang w:val="x-none" w:eastAsia="cs-CZ"/>
    </w:rPr>
  </w:style>
  <w:style w:type="character" w:customStyle="1" w:styleId="TextkomentraChar1486">
    <w:name w:val="Text komentára Char1486"/>
    <w:aliases w:val="Char7 Char Char1487,Text komentára Char Char Char1487,Comment Text Char Char Char1487"/>
    <w:uiPriority w:val="99"/>
    <w:semiHidden/>
    <w:rsid w:val="00A809E7"/>
    <w:rPr>
      <w:rFonts w:ascii="Courier" w:hAnsi="Courier"/>
      <w:lang w:val="x-none" w:eastAsia="cs-CZ"/>
    </w:rPr>
  </w:style>
  <w:style w:type="character" w:customStyle="1" w:styleId="TextkomentraChar1485">
    <w:name w:val="Text komentára Char1485"/>
    <w:aliases w:val="Char7 Char Char1486,Text komentára Char Char Char1486,Comment Text Char Char Char1486"/>
    <w:uiPriority w:val="99"/>
    <w:semiHidden/>
    <w:rsid w:val="00A809E7"/>
    <w:rPr>
      <w:rFonts w:ascii="Courier" w:hAnsi="Courier"/>
      <w:lang w:val="x-none" w:eastAsia="cs-CZ"/>
    </w:rPr>
  </w:style>
  <w:style w:type="character" w:customStyle="1" w:styleId="TextkomentraChar1484">
    <w:name w:val="Text komentára Char1484"/>
    <w:aliases w:val="Char7 Char Char1485,Text komentára Char Char Char1485,Comment Text Char Char Char1485"/>
    <w:uiPriority w:val="99"/>
    <w:semiHidden/>
    <w:rsid w:val="00A809E7"/>
    <w:rPr>
      <w:rFonts w:ascii="Courier" w:hAnsi="Courier"/>
      <w:lang w:val="x-none" w:eastAsia="cs-CZ"/>
    </w:rPr>
  </w:style>
  <w:style w:type="character" w:customStyle="1" w:styleId="TextkomentraChar1483">
    <w:name w:val="Text komentára Char1483"/>
    <w:aliases w:val="Char7 Char Char1484,Text komentára Char Char Char1484,Comment Text Char Char Char1484"/>
    <w:uiPriority w:val="99"/>
    <w:semiHidden/>
    <w:rsid w:val="00A809E7"/>
    <w:rPr>
      <w:rFonts w:ascii="Courier" w:hAnsi="Courier"/>
      <w:lang w:val="x-none" w:eastAsia="cs-CZ"/>
    </w:rPr>
  </w:style>
  <w:style w:type="character" w:customStyle="1" w:styleId="TextkomentraChar1482">
    <w:name w:val="Text komentára Char1482"/>
    <w:aliases w:val="Char7 Char Char1483,Text komentára Char Char Char1483,Comment Text Char Char Char1483"/>
    <w:uiPriority w:val="99"/>
    <w:semiHidden/>
    <w:rsid w:val="00A809E7"/>
    <w:rPr>
      <w:rFonts w:ascii="Courier" w:hAnsi="Courier"/>
      <w:lang w:val="x-none" w:eastAsia="cs-CZ"/>
    </w:rPr>
  </w:style>
  <w:style w:type="character" w:customStyle="1" w:styleId="TextkomentraChar1481">
    <w:name w:val="Text komentára Char1481"/>
    <w:aliases w:val="Char7 Char Char1482,Text komentára Char Char Char1482,Comment Text Char Char Char1482"/>
    <w:uiPriority w:val="99"/>
    <w:semiHidden/>
    <w:rsid w:val="00A809E7"/>
    <w:rPr>
      <w:rFonts w:ascii="Courier" w:hAnsi="Courier"/>
      <w:lang w:val="x-none" w:eastAsia="cs-CZ"/>
    </w:rPr>
  </w:style>
  <w:style w:type="character" w:customStyle="1" w:styleId="TextkomentraChar1480">
    <w:name w:val="Text komentára Char1480"/>
    <w:aliases w:val="Char7 Char Char1481,Text komentára Char Char Char1481,Comment Text Char Char Char1481"/>
    <w:uiPriority w:val="99"/>
    <w:semiHidden/>
    <w:rsid w:val="00A809E7"/>
    <w:rPr>
      <w:rFonts w:ascii="Courier" w:hAnsi="Courier"/>
      <w:lang w:val="x-none" w:eastAsia="cs-CZ"/>
    </w:rPr>
  </w:style>
  <w:style w:type="character" w:customStyle="1" w:styleId="TextkomentraChar1479">
    <w:name w:val="Text komentára Char1479"/>
    <w:aliases w:val="Char7 Char Char1480,Text komentára Char Char Char1480,Comment Text Char Char Char1480"/>
    <w:uiPriority w:val="99"/>
    <w:semiHidden/>
    <w:rsid w:val="00A809E7"/>
    <w:rPr>
      <w:rFonts w:ascii="Courier" w:hAnsi="Courier"/>
      <w:lang w:val="x-none" w:eastAsia="cs-CZ"/>
    </w:rPr>
  </w:style>
  <w:style w:type="character" w:customStyle="1" w:styleId="TextkomentraChar1478">
    <w:name w:val="Text komentára Char1478"/>
    <w:aliases w:val="Char7 Char Char1479,Text komentára Char Char Char1479,Comment Text Char Char Char1479"/>
    <w:uiPriority w:val="99"/>
    <w:semiHidden/>
    <w:rsid w:val="00A809E7"/>
    <w:rPr>
      <w:rFonts w:ascii="Courier" w:hAnsi="Courier"/>
      <w:lang w:val="x-none" w:eastAsia="cs-CZ"/>
    </w:rPr>
  </w:style>
  <w:style w:type="character" w:customStyle="1" w:styleId="TextkomentraChar1477">
    <w:name w:val="Text komentára Char1477"/>
    <w:aliases w:val="Char7 Char Char1478,Text komentára Char Char Char1478,Comment Text Char Char Char1478"/>
    <w:uiPriority w:val="99"/>
    <w:semiHidden/>
    <w:rsid w:val="00A809E7"/>
    <w:rPr>
      <w:rFonts w:ascii="Courier" w:hAnsi="Courier"/>
      <w:lang w:val="x-none" w:eastAsia="cs-CZ"/>
    </w:rPr>
  </w:style>
  <w:style w:type="character" w:customStyle="1" w:styleId="TextkomentraChar1476">
    <w:name w:val="Text komentára Char1476"/>
    <w:aliases w:val="Char7 Char Char1477,Text komentára Char Char Char1477,Comment Text Char Char Char1477"/>
    <w:uiPriority w:val="99"/>
    <w:semiHidden/>
    <w:rsid w:val="00A809E7"/>
    <w:rPr>
      <w:rFonts w:ascii="Courier" w:hAnsi="Courier"/>
      <w:lang w:val="x-none" w:eastAsia="cs-CZ"/>
    </w:rPr>
  </w:style>
  <w:style w:type="character" w:customStyle="1" w:styleId="TextkomentraChar1475">
    <w:name w:val="Text komentára Char1475"/>
    <w:aliases w:val="Char7 Char Char1476,Text komentára Char Char Char1476,Comment Text Char Char Char1476"/>
    <w:uiPriority w:val="99"/>
    <w:semiHidden/>
    <w:rsid w:val="00A809E7"/>
    <w:rPr>
      <w:rFonts w:ascii="Courier" w:hAnsi="Courier"/>
      <w:lang w:val="x-none" w:eastAsia="cs-CZ"/>
    </w:rPr>
  </w:style>
  <w:style w:type="character" w:customStyle="1" w:styleId="TextkomentraChar1474">
    <w:name w:val="Text komentára Char1474"/>
    <w:aliases w:val="Char7 Char Char1475,Text komentára Char Char Char1475,Comment Text Char Char Char1475"/>
    <w:uiPriority w:val="99"/>
    <w:semiHidden/>
    <w:rsid w:val="00A809E7"/>
    <w:rPr>
      <w:rFonts w:ascii="Courier" w:hAnsi="Courier"/>
      <w:lang w:val="x-none" w:eastAsia="cs-CZ"/>
    </w:rPr>
  </w:style>
  <w:style w:type="character" w:customStyle="1" w:styleId="TextkomentraChar1473">
    <w:name w:val="Text komentára Char1473"/>
    <w:aliases w:val="Char7 Char Char1474,Text komentára Char Char Char1474,Comment Text Char Char Char1474"/>
    <w:uiPriority w:val="99"/>
    <w:semiHidden/>
    <w:rsid w:val="00A809E7"/>
    <w:rPr>
      <w:rFonts w:ascii="Courier" w:hAnsi="Courier"/>
      <w:lang w:val="x-none" w:eastAsia="cs-CZ"/>
    </w:rPr>
  </w:style>
  <w:style w:type="character" w:customStyle="1" w:styleId="TextkomentraChar1472">
    <w:name w:val="Text komentára Char1472"/>
    <w:aliases w:val="Char7 Char Char1473,Text komentára Char Char Char1473,Comment Text Char Char Char1473"/>
    <w:uiPriority w:val="99"/>
    <w:semiHidden/>
    <w:rsid w:val="00A809E7"/>
    <w:rPr>
      <w:rFonts w:ascii="Courier" w:hAnsi="Courier"/>
      <w:lang w:val="x-none" w:eastAsia="cs-CZ"/>
    </w:rPr>
  </w:style>
  <w:style w:type="character" w:customStyle="1" w:styleId="TextkomentraChar1471">
    <w:name w:val="Text komentára Char1471"/>
    <w:aliases w:val="Char7 Char Char1472,Text komentára Char Char Char1472,Comment Text Char Char Char1472"/>
    <w:uiPriority w:val="99"/>
    <w:semiHidden/>
    <w:rsid w:val="00A809E7"/>
    <w:rPr>
      <w:rFonts w:ascii="Courier" w:hAnsi="Courier"/>
      <w:lang w:val="x-none" w:eastAsia="cs-CZ"/>
    </w:rPr>
  </w:style>
  <w:style w:type="character" w:customStyle="1" w:styleId="TextkomentraChar1470">
    <w:name w:val="Text komentára Char1470"/>
    <w:aliases w:val="Char7 Char Char1471,Text komentára Char Char Char1471,Comment Text Char Char Char1471"/>
    <w:uiPriority w:val="99"/>
    <w:semiHidden/>
    <w:rsid w:val="00A809E7"/>
    <w:rPr>
      <w:rFonts w:ascii="Courier" w:hAnsi="Courier"/>
      <w:lang w:val="x-none" w:eastAsia="cs-CZ"/>
    </w:rPr>
  </w:style>
  <w:style w:type="character" w:customStyle="1" w:styleId="TextkomentraChar1469">
    <w:name w:val="Text komentára Char1469"/>
    <w:aliases w:val="Char7 Char Char1470,Text komentára Char Char Char1470,Comment Text Char Char Char1470"/>
    <w:uiPriority w:val="99"/>
    <w:semiHidden/>
    <w:rsid w:val="00A809E7"/>
    <w:rPr>
      <w:rFonts w:ascii="Courier" w:hAnsi="Courier"/>
      <w:lang w:val="x-none" w:eastAsia="cs-CZ"/>
    </w:rPr>
  </w:style>
  <w:style w:type="character" w:customStyle="1" w:styleId="TextkomentraChar1468">
    <w:name w:val="Text komentára Char1468"/>
    <w:aliases w:val="Char7 Char Char1469,Text komentára Char Char Char1469,Comment Text Char Char Char1469"/>
    <w:uiPriority w:val="99"/>
    <w:semiHidden/>
    <w:rsid w:val="00A809E7"/>
    <w:rPr>
      <w:rFonts w:ascii="Courier" w:hAnsi="Courier"/>
      <w:lang w:val="x-none" w:eastAsia="cs-CZ"/>
    </w:rPr>
  </w:style>
  <w:style w:type="character" w:customStyle="1" w:styleId="TextkomentraChar1467">
    <w:name w:val="Text komentára Char1467"/>
    <w:aliases w:val="Char7 Char Char1468,Text komentára Char Char Char1468,Comment Text Char Char Char1468"/>
    <w:uiPriority w:val="99"/>
    <w:semiHidden/>
    <w:rsid w:val="00A809E7"/>
    <w:rPr>
      <w:rFonts w:ascii="Courier" w:hAnsi="Courier"/>
      <w:lang w:val="x-none" w:eastAsia="cs-CZ"/>
    </w:rPr>
  </w:style>
  <w:style w:type="character" w:customStyle="1" w:styleId="TextkomentraChar1466">
    <w:name w:val="Text komentára Char1466"/>
    <w:aliases w:val="Char7 Char Char1467,Text komentára Char Char Char1467,Comment Text Char Char Char1467"/>
    <w:uiPriority w:val="99"/>
    <w:semiHidden/>
    <w:rsid w:val="00A809E7"/>
    <w:rPr>
      <w:rFonts w:ascii="Courier" w:hAnsi="Courier"/>
      <w:lang w:val="x-none" w:eastAsia="cs-CZ"/>
    </w:rPr>
  </w:style>
  <w:style w:type="character" w:customStyle="1" w:styleId="TextkomentraChar1465">
    <w:name w:val="Text komentára Char1465"/>
    <w:aliases w:val="Char7 Char Char1466,Text komentára Char Char Char1466,Comment Text Char Char Char1466"/>
    <w:uiPriority w:val="99"/>
    <w:semiHidden/>
    <w:rsid w:val="00A809E7"/>
    <w:rPr>
      <w:rFonts w:ascii="Courier" w:hAnsi="Courier"/>
      <w:lang w:val="x-none" w:eastAsia="cs-CZ"/>
    </w:rPr>
  </w:style>
  <w:style w:type="character" w:customStyle="1" w:styleId="TextkomentraChar1464">
    <w:name w:val="Text komentára Char1464"/>
    <w:aliases w:val="Char7 Char Char1465,Text komentára Char Char Char1465,Comment Text Char Char Char1465"/>
    <w:uiPriority w:val="99"/>
    <w:semiHidden/>
    <w:rsid w:val="00A809E7"/>
    <w:rPr>
      <w:rFonts w:ascii="Courier" w:hAnsi="Courier"/>
      <w:lang w:val="x-none" w:eastAsia="cs-CZ"/>
    </w:rPr>
  </w:style>
  <w:style w:type="character" w:customStyle="1" w:styleId="TextkomentraChar1463">
    <w:name w:val="Text komentára Char1463"/>
    <w:aliases w:val="Char7 Char Char1464,Text komentára Char Char Char1464,Comment Text Char Char Char1464"/>
    <w:uiPriority w:val="99"/>
    <w:semiHidden/>
    <w:rsid w:val="00A809E7"/>
    <w:rPr>
      <w:rFonts w:ascii="Courier" w:hAnsi="Courier"/>
      <w:lang w:val="x-none" w:eastAsia="cs-CZ"/>
    </w:rPr>
  </w:style>
  <w:style w:type="character" w:customStyle="1" w:styleId="TextkomentraChar1462">
    <w:name w:val="Text komentára Char1462"/>
    <w:aliases w:val="Char7 Char Char1463,Text komentára Char Char Char1463,Comment Text Char Char Char1463"/>
    <w:uiPriority w:val="99"/>
    <w:semiHidden/>
    <w:rsid w:val="00A809E7"/>
    <w:rPr>
      <w:rFonts w:ascii="Courier" w:hAnsi="Courier"/>
      <w:lang w:val="x-none" w:eastAsia="cs-CZ"/>
    </w:rPr>
  </w:style>
  <w:style w:type="character" w:customStyle="1" w:styleId="TextkomentraChar1461">
    <w:name w:val="Text komentára Char1461"/>
    <w:aliases w:val="Char7 Char Char1462,Text komentára Char Char Char1462,Comment Text Char Char Char1462"/>
    <w:uiPriority w:val="99"/>
    <w:semiHidden/>
    <w:rsid w:val="00A809E7"/>
    <w:rPr>
      <w:rFonts w:ascii="Courier" w:hAnsi="Courier"/>
      <w:lang w:val="x-none" w:eastAsia="cs-CZ"/>
    </w:rPr>
  </w:style>
  <w:style w:type="character" w:customStyle="1" w:styleId="TextkomentraChar1460">
    <w:name w:val="Text komentára Char1460"/>
    <w:aliases w:val="Char7 Char Char1461,Text komentára Char Char Char1461,Comment Text Char Char Char1461"/>
    <w:uiPriority w:val="99"/>
    <w:semiHidden/>
    <w:rsid w:val="00A809E7"/>
    <w:rPr>
      <w:rFonts w:ascii="Courier" w:hAnsi="Courier"/>
      <w:lang w:val="x-none" w:eastAsia="cs-CZ"/>
    </w:rPr>
  </w:style>
  <w:style w:type="character" w:customStyle="1" w:styleId="TextkomentraChar1459">
    <w:name w:val="Text komentára Char1459"/>
    <w:aliases w:val="Char7 Char Char1460,Text komentára Char Char Char1460,Comment Text Char Char Char1460"/>
    <w:uiPriority w:val="99"/>
    <w:semiHidden/>
    <w:rsid w:val="00A809E7"/>
    <w:rPr>
      <w:rFonts w:ascii="Courier" w:hAnsi="Courier"/>
      <w:lang w:val="x-none" w:eastAsia="cs-CZ"/>
    </w:rPr>
  </w:style>
  <w:style w:type="character" w:customStyle="1" w:styleId="TextkomentraChar1458">
    <w:name w:val="Text komentára Char1458"/>
    <w:aliases w:val="Char7 Char Char1459,Text komentára Char Char Char1459,Comment Text Char Char Char1459"/>
    <w:uiPriority w:val="99"/>
    <w:semiHidden/>
    <w:rsid w:val="00A809E7"/>
    <w:rPr>
      <w:rFonts w:ascii="Courier" w:hAnsi="Courier"/>
      <w:lang w:val="x-none" w:eastAsia="cs-CZ"/>
    </w:rPr>
  </w:style>
  <w:style w:type="character" w:customStyle="1" w:styleId="TextkomentraChar1457">
    <w:name w:val="Text komentára Char1457"/>
    <w:aliases w:val="Char7 Char Char1458,Text komentára Char Char Char1458,Comment Text Char Char Char1458"/>
    <w:uiPriority w:val="99"/>
    <w:semiHidden/>
    <w:rsid w:val="00A809E7"/>
    <w:rPr>
      <w:rFonts w:ascii="Courier" w:hAnsi="Courier"/>
      <w:lang w:val="x-none" w:eastAsia="cs-CZ"/>
    </w:rPr>
  </w:style>
  <w:style w:type="character" w:customStyle="1" w:styleId="TextkomentraChar1456">
    <w:name w:val="Text komentára Char1456"/>
    <w:aliases w:val="Char7 Char Char1457,Text komentára Char Char Char1457,Comment Text Char Char Char1457"/>
    <w:uiPriority w:val="99"/>
    <w:semiHidden/>
    <w:rsid w:val="00A809E7"/>
    <w:rPr>
      <w:rFonts w:ascii="Courier" w:hAnsi="Courier"/>
      <w:lang w:val="x-none" w:eastAsia="cs-CZ"/>
    </w:rPr>
  </w:style>
  <w:style w:type="character" w:customStyle="1" w:styleId="TextkomentraChar1455">
    <w:name w:val="Text komentára Char1455"/>
    <w:aliases w:val="Char7 Char Char1456,Text komentára Char Char Char1456,Comment Text Char Char Char1456"/>
    <w:uiPriority w:val="99"/>
    <w:semiHidden/>
    <w:rsid w:val="00A809E7"/>
    <w:rPr>
      <w:rFonts w:ascii="Courier" w:hAnsi="Courier"/>
      <w:lang w:val="x-none" w:eastAsia="cs-CZ"/>
    </w:rPr>
  </w:style>
  <w:style w:type="character" w:customStyle="1" w:styleId="TextkomentraChar1454">
    <w:name w:val="Text komentára Char1454"/>
    <w:aliases w:val="Char7 Char Char1455,Text komentára Char Char Char1455,Comment Text Char Char Char1455"/>
    <w:uiPriority w:val="99"/>
    <w:semiHidden/>
    <w:rsid w:val="00A809E7"/>
    <w:rPr>
      <w:rFonts w:ascii="Courier" w:hAnsi="Courier"/>
      <w:lang w:val="x-none" w:eastAsia="cs-CZ"/>
    </w:rPr>
  </w:style>
  <w:style w:type="character" w:customStyle="1" w:styleId="TextkomentraChar1453">
    <w:name w:val="Text komentára Char1453"/>
    <w:aliases w:val="Char7 Char Char1454,Text komentára Char Char Char1454,Comment Text Char Char Char1454"/>
    <w:uiPriority w:val="99"/>
    <w:semiHidden/>
    <w:rsid w:val="00A809E7"/>
    <w:rPr>
      <w:rFonts w:ascii="Courier" w:hAnsi="Courier"/>
      <w:lang w:val="x-none" w:eastAsia="cs-CZ"/>
    </w:rPr>
  </w:style>
  <w:style w:type="character" w:customStyle="1" w:styleId="TextkomentraChar1452">
    <w:name w:val="Text komentára Char1452"/>
    <w:aliases w:val="Char7 Char Char1453,Text komentára Char Char Char1453,Comment Text Char Char Char1453"/>
    <w:uiPriority w:val="99"/>
    <w:semiHidden/>
    <w:rsid w:val="00A809E7"/>
    <w:rPr>
      <w:rFonts w:ascii="Courier" w:hAnsi="Courier"/>
      <w:lang w:val="x-none" w:eastAsia="cs-CZ"/>
    </w:rPr>
  </w:style>
  <w:style w:type="character" w:customStyle="1" w:styleId="TextkomentraChar1451">
    <w:name w:val="Text komentára Char1451"/>
    <w:aliases w:val="Char7 Char Char1452,Text komentára Char Char Char1452,Comment Text Char Char Char1452"/>
    <w:uiPriority w:val="99"/>
    <w:semiHidden/>
    <w:rsid w:val="00A809E7"/>
    <w:rPr>
      <w:rFonts w:ascii="Courier" w:hAnsi="Courier"/>
      <w:lang w:val="x-none" w:eastAsia="cs-CZ"/>
    </w:rPr>
  </w:style>
  <w:style w:type="character" w:customStyle="1" w:styleId="TextkomentraChar1450">
    <w:name w:val="Text komentára Char1450"/>
    <w:aliases w:val="Char7 Char Char1451,Text komentára Char Char Char1451,Comment Text Char Char Char1451"/>
    <w:uiPriority w:val="99"/>
    <w:semiHidden/>
    <w:rsid w:val="00A809E7"/>
    <w:rPr>
      <w:rFonts w:ascii="Courier" w:hAnsi="Courier"/>
      <w:lang w:val="x-none" w:eastAsia="cs-CZ"/>
    </w:rPr>
  </w:style>
  <w:style w:type="character" w:customStyle="1" w:styleId="TextkomentraChar1449">
    <w:name w:val="Text komentára Char1449"/>
    <w:aliases w:val="Char7 Char Char1450,Text komentára Char Char Char1450,Comment Text Char Char Char1450"/>
    <w:uiPriority w:val="99"/>
    <w:semiHidden/>
    <w:rsid w:val="00A809E7"/>
    <w:rPr>
      <w:rFonts w:ascii="Courier" w:hAnsi="Courier"/>
      <w:lang w:val="x-none" w:eastAsia="cs-CZ"/>
    </w:rPr>
  </w:style>
  <w:style w:type="character" w:customStyle="1" w:styleId="TextkomentraChar1448">
    <w:name w:val="Text komentára Char1448"/>
    <w:aliases w:val="Char7 Char Char1449,Text komentára Char Char Char1449,Comment Text Char Char Char1449"/>
    <w:uiPriority w:val="99"/>
    <w:semiHidden/>
    <w:rsid w:val="00A809E7"/>
    <w:rPr>
      <w:rFonts w:ascii="Courier" w:hAnsi="Courier"/>
      <w:lang w:val="x-none" w:eastAsia="cs-CZ"/>
    </w:rPr>
  </w:style>
  <w:style w:type="character" w:customStyle="1" w:styleId="TextkomentraChar1447">
    <w:name w:val="Text komentára Char1447"/>
    <w:aliases w:val="Char7 Char Char1448,Text komentára Char Char Char1448,Comment Text Char Char Char1448"/>
    <w:uiPriority w:val="99"/>
    <w:semiHidden/>
    <w:rsid w:val="00A809E7"/>
    <w:rPr>
      <w:rFonts w:ascii="Courier" w:hAnsi="Courier"/>
      <w:lang w:val="x-none" w:eastAsia="cs-CZ"/>
    </w:rPr>
  </w:style>
  <w:style w:type="character" w:customStyle="1" w:styleId="TextkomentraChar1446">
    <w:name w:val="Text komentára Char1446"/>
    <w:aliases w:val="Char7 Char Char1447,Text komentára Char Char Char1447,Comment Text Char Char Char1447"/>
    <w:uiPriority w:val="99"/>
    <w:semiHidden/>
    <w:rsid w:val="00A809E7"/>
    <w:rPr>
      <w:rFonts w:ascii="Courier" w:hAnsi="Courier"/>
      <w:lang w:val="x-none" w:eastAsia="cs-CZ"/>
    </w:rPr>
  </w:style>
  <w:style w:type="character" w:customStyle="1" w:styleId="TextkomentraChar1445">
    <w:name w:val="Text komentára Char1445"/>
    <w:aliases w:val="Char7 Char Char1446,Text komentára Char Char Char1446,Comment Text Char Char Char1446"/>
    <w:uiPriority w:val="99"/>
    <w:semiHidden/>
    <w:rsid w:val="00A809E7"/>
    <w:rPr>
      <w:rFonts w:ascii="Courier" w:hAnsi="Courier"/>
      <w:lang w:val="x-none" w:eastAsia="cs-CZ"/>
    </w:rPr>
  </w:style>
  <w:style w:type="character" w:customStyle="1" w:styleId="TextkomentraChar1444">
    <w:name w:val="Text komentára Char1444"/>
    <w:aliases w:val="Char7 Char Char1445,Text komentára Char Char Char1445,Comment Text Char Char Char1445"/>
    <w:uiPriority w:val="99"/>
    <w:semiHidden/>
    <w:rsid w:val="00A809E7"/>
    <w:rPr>
      <w:rFonts w:ascii="Courier" w:hAnsi="Courier"/>
      <w:lang w:val="x-none" w:eastAsia="cs-CZ"/>
    </w:rPr>
  </w:style>
  <w:style w:type="character" w:customStyle="1" w:styleId="TextkomentraChar1443">
    <w:name w:val="Text komentára Char1443"/>
    <w:aliases w:val="Char7 Char Char1444,Text komentára Char Char Char1444,Comment Text Char Char Char1444"/>
    <w:uiPriority w:val="99"/>
    <w:semiHidden/>
    <w:rsid w:val="00A809E7"/>
    <w:rPr>
      <w:rFonts w:ascii="Courier" w:hAnsi="Courier"/>
      <w:lang w:val="x-none" w:eastAsia="cs-CZ"/>
    </w:rPr>
  </w:style>
  <w:style w:type="character" w:customStyle="1" w:styleId="TextkomentraChar1442">
    <w:name w:val="Text komentára Char1442"/>
    <w:aliases w:val="Char7 Char Char1443,Text komentára Char Char Char1443,Comment Text Char Char Char1443"/>
    <w:uiPriority w:val="99"/>
    <w:semiHidden/>
    <w:rsid w:val="00A809E7"/>
    <w:rPr>
      <w:rFonts w:ascii="Courier" w:hAnsi="Courier"/>
      <w:lang w:val="x-none" w:eastAsia="cs-CZ"/>
    </w:rPr>
  </w:style>
  <w:style w:type="character" w:customStyle="1" w:styleId="TextkomentraChar1441">
    <w:name w:val="Text komentára Char1441"/>
    <w:aliases w:val="Char7 Char Char1442,Text komentára Char Char Char1442,Comment Text Char Char Char1442"/>
    <w:uiPriority w:val="99"/>
    <w:semiHidden/>
    <w:rsid w:val="00A809E7"/>
    <w:rPr>
      <w:rFonts w:ascii="Courier" w:hAnsi="Courier"/>
      <w:lang w:val="x-none" w:eastAsia="cs-CZ"/>
    </w:rPr>
  </w:style>
  <w:style w:type="character" w:customStyle="1" w:styleId="TextkomentraChar1440">
    <w:name w:val="Text komentára Char1440"/>
    <w:aliases w:val="Char7 Char Char1441,Text komentára Char Char Char1441,Comment Text Char Char Char1441"/>
    <w:uiPriority w:val="99"/>
    <w:semiHidden/>
    <w:rsid w:val="00A809E7"/>
    <w:rPr>
      <w:rFonts w:ascii="Courier" w:hAnsi="Courier"/>
      <w:lang w:val="x-none" w:eastAsia="cs-CZ"/>
    </w:rPr>
  </w:style>
  <w:style w:type="character" w:customStyle="1" w:styleId="TextkomentraChar1439">
    <w:name w:val="Text komentára Char1439"/>
    <w:aliases w:val="Char7 Char Char1440,Text komentára Char Char Char1440,Comment Text Char Char Char1440"/>
    <w:uiPriority w:val="99"/>
    <w:semiHidden/>
    <w:rsid w:val="00A809E7"/>
    <w:rPr>
      <w:rFonts w:ascii="Courier" w:hAnsi="Courier"/>
      <w:lang w:val="x-none" w:eastAsia="cs-CZ"/>
    </w:rPr>
  </w:style>
  <w:style w:type="character" w:customStyle="1" w:styleId="TextkomentraChar1438">
    <w:name w:val="Text komentára Char1438"/>
    <w:aliases w:val="Char7 Char Char1439,Text komentára Char Char Char1439,Comment Text Char Char Char1439"/>
    <w:uiPriority w:val="99"/>
    <w:semiHidden/>
    <w:rsid w:val="00A809E7"/>
    <w:rPr>
      <w:rFonts w:ascii="Courier" w:hAnsi="Courier"/>
      <w:lang w:val="x-none" w:eastAsia="cs-CZ"/>
    </w:rPr>
  </w:style>
  <w:style w:type="character" w:customStyle="1" w:styleId="TextkomentraChar1437">
    <w:name w:val="Text komentára Char1437"/>
    <w:aliases w:val="Char7 Char Char1438,Text komentára Char Char Char1438,Comment Text Char Char Char1438"/>
    <w:uiPriority w:val="99"/>
    <w:semiHidden/>
    <w:rsid w:val="00A809E7"/>
    <w:rPr>
      <w:rFonts w:ascii="Courier" w:hAnsi="Courier"/>
      <w:lang w:val="x-none" w:eastAsia="cs-CZ"/>
    </w:rPr>
  </w:style>
  <w:style w:type="character" w:customStyle="1" w:styleId="TextkomentraChar1436">
    <w:name w:val="Text komentára Char1436"/>
    <w:aliases w:val="Char7 Char Char1437,Text komentára Char Char Char1437,Comment Text Char Char Char1437"/>
    <w:uiPriority w:val="99"/>
    <w:semiHidden/>
    <w:rsid w:val="00A809E7"/>
    <w:rPr>
      <w:rFonts w:ascii="Courier" w:hAnsi="Courier"/>
      <w:lang w:val="x-none" w:eastAsia="cs-CZ"/>
    </w:rPr>
  </w:style>
  <w:style w:type="character" w:customStyle="1" w:styleId="TextkomentraChar1435">
    <w:name w:val="Text komentára Char1435"/>
    <w:aliases w:val="Char7 Char Char1436,Text komentára Char Char Char1436,Comment Text Char Char Char1436"/>
    <w:uiPriority w:val="99"/>
    <w:semiHidden/>
    <w:rsid w:val="00A809E7"/>
    <w:rPr>
      <w:rFonts w:ascii="Courier" w:hAnsi="Courier"/>
      <w:lang w:val="x-none" w:eastAsia="cs-CZ"/>
    </w:rPr>
  </w:style>
  <w:style w:type="character" w:customStyle="1" w:styleId="TextkomentraChar1434">
    <w:name w:val="Text komentára Char1434"/>
    <w:aliases w:val="Char7 Char Char1435,Text komentára Char Char Char1435,Comment Text Char Char Char1435"/>
    <w:uiPriority w:val="99"/>
    <w:semiHidden/>
    <w:rsid w:val="00A809E7"/>
    <w:rPr>
      <w:rFonts w:ascii="Courier" w:hAnsi="Courier"/>
      <w:lang w:val="x-none" w:eastAsia="cs-CZ"/>
    </w:rPr>
  </w:style>
  <w:style w:type="character" w:customStyle="1" w:styleId="TextkomentraChar1433">
    <w:name w:val="Text komentára Char1433"/>
    <w:aliases w:val="Char7 Char Char1434,Text komentára Char Char Char1434,Comment Text Char Char Char1434"/>
    <w:uiPriority w:val="99"/>
    <w:semiHidden/>
    <w:rsid w:val="00A809E7"/>
    <w:rPr>
      <w:rFonts w:ascii="Courier" w:hAnsi="Courier"/>
      <w:lang w:val="x-none" w:eastAsia="cs-CZ"/>
    </w:rPr>
  </w:style>
  <w:style w:type="character" w:customStyle="1" w:styleId="TextkomentraChar1432">
    <w:name w:val="Text komentára Char1432"/>
    <w:aliases w:val="Char7 Char Char1433,Text komentára Char Char Char1433,Comment Text Char Char Char1433"/>
    <w:uiPriority w:val="99"/>
    <w:semiHidden/>
    <w:rsid w:val="00A809E7"/>
    <w:rPr>
      <w:rFonts w:ascii="Courier" w:hAnsi="Courier"/>
      <w:lang w:val="x-none" w:eastAsia="cs-CZ"/>
    </w:rPr>
  </w:style>
  <w:style w:type="character" w:customStyle="1" w:styleId="TextkomentraChar1431">
    <w:name w:val="Text komentára Char1431"/>
    <w:aliases w:val="Char7 Char Char1432,Text komentára Char Char Char1432,Comment Text Char Char Char1432"/>
    <w:uiPriority w:val="99"/>
    <w:semiHidden/>
    <w:rsid w:val="00A809E7"/>
    <w:rPr>
      <w:rFonts w:ascii="Courier" w:hAnsi="Courier"/>
      <w:lang w:val="x-none" w:eastAsia="cs-CZ"/>
    </w:rPr>
  </w:style>
  <w:style w:type="character" w:customStyle="1" w:styleId="TextkomentraChar1430">
    <w:name w:val="Text komentára Char1430"/>
    <w:aliases w:val="Char7 Char Char1431,Text komentára Char Char Char1431,Comment Text Char Char Char1431"/>
    <w:uiPriority w:val="99"/>
    <w:semiHidden/>
    <w:rsid w:val="00A809E7"/>
    <w:rPr>
      <w:rFonts w:ascii="Courier" w:hAnsi="Courier"/>
      <w:lang w:val="x-none" w:eastAsia="cs-CZ"/>
    </w:rPr>
  </w:style>
  <w:style w:type="character" w:customStyle="1" w:styleId="TextkomentraChar1429">
    <w:name w:val="Text komentára Char1429"/>
    <w:aliases w:val="Char7 Char Char1430,Text komentára Char Char Char1430,Comment Text Char Char Char1430"/>
    <w:uiPriority w:val="99"/>
    <w:semiHidden/>
    <w:rsid w:val="00A809E7"/>
    <w:rPr>
      <w:rFonts w:ascii="Courier" w:hAnsi="Courier"/>
      <w:lang w:val="x-none" w:eastAsia="cs-CZ"/>
    </w:rPr>
  </w:style>
  <w:style w:type="character" w:customStyle="1" w:styleId="TextkomentraChar1428">
    <w:name w:val="Text komentára Char1428"/>
    <w:aliases w:val="Char7 Char Char1429,Text komentára Char Char Char1429,Comment Text Char Char Char1429"/>
    <w:uiPriority w:val="99"/>
    <w:semiHidden/>
    <w:rsid w:val="00A809E7"/>
    <w:rPr>
      <w:rFonts w:ascii="Courier" w:hAnsi="Courier"/>
      <w:lang w:val="x-none" w:eastAsia="cs-CZ"/>
    </w:rPr>
  </w:style>
  <w:style w:type="character" w:customStyle="1" w:styleId="TextkomentraChar1427">
    <w:name w:val="Text komentára Char1427"/>
    <w:aliases w:val="Char7 Char Char1428,Text komentára Char Char Char1428,Comment Text Char Char Char1428"/>
    <w:uiPriority w:val="99"/>
    <w:semiHidden/>
    <w:rsid w:val="00A809E7"/>
    <w:rPr>
      <w:rFonts w:ascii="Courier" w:hAnsi="Courier"/>
      <w:lang w:val="x-none" w:eastAsia="cs-CZ"/>
    </w:rPr>
  </w:style>
  <w:style w:type="character" w:customStyle="1" w:styleId="TextkomentraChar1426">
    <w:name w:val="Text komentára Char1426"/>
    <w:aliases w:val="Char7 Char Char1427,Text komentára Char Char Char1427,Comment Text Char Char Char1427"/>
    <w:uiPriority w:val="99"/>
    <w:semiHidden/>
    <w:rsid w:val="00A809E7"/>
    <w:rPr>
      <w:rFonts w:ascii="Courier" w:hAnsi="Courier"/>
      <w:lang w:val="x-none" w:eastAsia="cs-CZ"/>
    </w:rPr>
  </w:style>
  <w:style w:type="character" w:customStyle="1" w:styleId="TextkomentraChar1425">
    <w:name w:val="Text komentára Char1425"/>
    <w:aliases w:val="Char7 Char Char1426,Text komentára Char Char Char1426,Comment Text Char Char Char1426"/>
    <w:uiPriority w:val="99"/>
    <w:semiHidden/>
    <w:rsid w:val="00A809E7"/>
    <w:rPr>
      <w:rFonts w:ascii="Courier" w:hAnsi="Courier"/>
      <w:lang w:val="x-none" w:eastAsia="cs-CZ"/>
    </w:rPr>
  </w:style>
  <w:style w:type="character" w:customStyle="1" w:styleId="TextkomentraChar1424">
    <w:name w:val="Text komentára Char1424"/>
    <w:aliases w:val="Char7 Char Char1425,Text komentára Char Char Char1425,Comment Text Char Char Char1425"/>
    <w:uiPriority w:val="99"/>
    <w:semiHidden/>
    <w:rsid w:val="00A809E7"/>
    <w:rPr>
      <w:rFonts w:ascii="Courier" w:hAnsi="Courier"/>
      <w:lang w:val="x-none" w:eastAsia="cs-CZ"/>
    </w:rPr>
  </w:style>
  <w:style w:type="character" w:customStyle="1" w:styleId="TextkomentraChar1423">
    <w:name w:val="Text komentára Char1423"/>
    <w:aliases w:val="Char7 Char Char1424,Text komentára Char Char Char1424,Comment Text Char Char Char1424"/>
    <w:uiPriority w:val="99"/>
    <w:semiHidden/>
    <w:rsid w:val="00A809E7"/>
    <w:rPr>
      <w:rFonts w:ascii="Courier" w:hAnsi="Courier"/>
      <w:lang w:val="x-none" w:eastAsia="cs-CZ"/>
    </w:rPr>
  </w:style>
  <w:style w:type="character" w:customStyle="1" w:styleId="TextkomentraChar1422">
    <w:name w:val="Text komentára Char1422"/>
    <w:aliases w:val="Char7 Char Char1423,Text komentára Char Char Char1423,Comment Text Char Char Char1423"/>
    <w:uiPriority w:val="99"/>
    <w:semiHidden/>
    <w:rsid w:val="00A809E7"/>
    <w:rPr>
      <w:rFonts w:ascii="Courier" w:hAnsi="Courier"/>
      <w:lang w:val="x-none" w:eastAsia="cs-CZ"/>
    </w:rPr>
  </w:style>
  <w:style w:type="character" w:customStyle="1" w:styleId="TextkomentraChar1421">
    <w:name w:val="Text komentára Char1421"/>
    <w:aliases w:val="Char7 Char Char1422,Text komentára Char Char Char1422,Comment Text Char Char Char1422"/>
    <w:uiPriority w:val="99"/>
    <w:semiHidden/>
    <w:rsid w:val="00A809E7"/>
    <w:rPr>
      <w:rFonts w:ascii="Courier" w:hAnsi="Courier"/>
      <w:lang w:val="x-none" w:eastAsia="cs-CZ"/>
    </w:rPr>
  </w:style>
  <w:style w:type="character" w:customStyle="1" w:styleId="TextkomentraChar1420">
    <w:name w:val="Text komentára Char1420"/>
    <w:aliases w:val="Char7 Char Char1421,Text komentára Char Char Char1421,Comment Text Char Char Char1421"/>
    <w:uiPriority w:val="99"/>
    <w:semiHidden/>
    <w:rsid w:val="00A809E7"/>
    <w:rPr>
      <w:rFonts w:ascii="Courier" w:hAnsi="Courier"/>
      <w:lang w:val="x-none" w:eastAsia="cs-CZ"/>
    </w:rPr>
  </w:style>
  <w:style w:type="character" w:customStyle="1" w:styleId="TextkomentraChar1419">
    <w:name w:val="Text komentára Char1419"/>
    <w:aliases w:val="Char7 Char Char1420,Text komentára Char Char Char1420,Comment Text Char Char Char1420"/>
    <w:uiPriority w:val="99"/>
    <w:semiHidden/>
    <w:rsid w:val="00A809E7"/>
    <w:rPr>
      <w:rFonts w:ascii="Courier" w:hAnsi="Courier"/>
      <w:lang w:val="x-none" w:eastAsia="cs-CZ"/>
    </w:rPr>
  </w:style>
  <w:style w:type="character" w:customStyle="1" w:styleId="TextkomentraChar1418">
    <w:name w:val="Text komentára Char1418"/>
    <w:aliases w:val="Char7 Char Char1419,Text komentára Char Char Char1419,Comment Text Char Char Char1419"/>
    <w:uiPriority w:val="99"/>
    <w:semiHidden/>
    <w:rsid w:val="00A809E7"/>
    <w:rPr>
      <w:rFonts w:ascii="Courier" w:hAnsi="Courier"/>
      <w:lang w:val="x-none" w:eastAsia="cs-CZ"/>
    </w:rPr>
  </w:style>
  <w:style w:type="character" w:customStyle="1" w:styleId="TextkomentraChar1417">
    <w:name w:val="Text komentára Char1417"/>
    <w:aliases w:val="Char7 Char Char1418,Text komentára Char Char Char1418,Comment Text Char Char Char1418"/>
    <w:uiPriority w:val="99"/>
    <w:semiHidden/>
    <w:rsid w:val="00A809E7"/>
    <w:rPr>
      <w:rFonts w:ascii="Courier" w:hAnsi="Courier"/>
      <w:lang w:val="x-none" w:eastAsia="cs-CZ"/>
    </w:rPr>
  </w:style>
  <w:style w:type="character" w:customStyle="1" w:styleId="TextkomentraChar1416">
    <w:name w:val="Text komentára Char1416"/>
    <w:aliases w:val="Char7 Char Char1417,Text komentára Char Char Char1417,Comment Text Char Char Char1417"/>
    <w:uiPriority w:val="99"/>
    <w:semiHidden/>
    <w:rsid w:val="00A809E7"/>
    <w:rPr>
      <w:rFonts w:ascii="Courier" w:hAnsi="Courier"/>
      <w:lang w:val="x-none" w:eastAsia="cs-CZ"/>
    </w:rPr>
  </w:style>
  <w:style w:type="character" w:customStyle="1" w:styleId="TextkomentraChar1415">
    <w:name w:val="Text komentára Char1415"/>
    <w:aliases w:val="Char7 Char Char1416,Text komentára Char Char Char1416,Comment Text Char Char Char1416"/>
    <w:uiPriority w:val="99"/>
    <w:semiHidden/>
    <w:rsid w:val="00A809E7"/>
    <w:rPr>
      <w:rFonts w:ascii="Courier" w:hAnsi="Courier"/>
      <w:lang w:val="x-none" w:eastAsia="cs-CZ"/>
    </w:rPr>
  </w:style>
  <w:style w:type="character" w:customStyle="1" w:styleId="TextkomentraChar1414">
    <w:name w:val="Text komentára Char1414"/>
    <w:aliases w:val="Char7 Char Char1415,Text komentára Char Char Char1415,Comment Text Char Char Char1415"/>
    <w:uiPriority w:val="99"/>
    <w:semiHidden/>
    <w:rsid w:val="00A809E7"/>
    <w:rPr>
      <w:rFonts w:ascii="Courier" w:hAnsi="Courier"/>
      <w:lang w:val="x-none" w:eastAsia="cs-CZ"/>
    </w:rPr>
  </w:style>
  <w:style w:type="character" w:customStyle="1" w:styleId="TextkomentraChar1413">
    <w:name w:val="Text komentára Char1413"/>
    <w:aliases w:val="Char7 Char Char1414,Text komentára Char Char Char1414,Comment Text Char Char Char1414"/>
    <w:uiPriority w:val="99"/>
    <w:semiHidden/>
    <w:rsid w:val="00A809E7"/>
    <w:rPr>
      <w:rFonts w:ascii="Courier" w:hAnsi="Courier"/>
      <w:lang w:val="x-none" w:eastAsia="cs-CZ"/>
    </w:rPr>
  </w:style>
  <w:style w:type="character" w:customStyle="1" w:styleId="TextkomentraChar1412">
    <w:name w:val="Text komentára Char1412"/>
    <w:aliases w:val="Char7 Char Char1413,Text komentára Char Char Char1413,Comment Text Char Char Char1413"/>
    <w:uiPriority w:val="99"/>
    <w:semiHidden/>
    <w:rsid w:val="00A809E7"/>
    <w:rPr>
      <w:rFonts w:ascii="Courier" w:hAnsi="Courier"/>
      <w:lang w:val="x-none" w:eastAsia="cs-CZ"/>
    </w:rPr>
  </w:style>
  <w:style w:type="character" w:customStyle="1" w:styleId="TextkomentraChar1411">
    <w:name w:val="Text komentára Char1411"/>
    <w:aliases w:val="Char7 Char Char1412,Text komentára Char Char Char1412,Comment Text Char Char Char1412"/>
    <w:uiPriority w:val="99"/>
    <w:semiHidden/>
    <w:rsid w:val="00A809E7"/>
    <w:rPr>
      <w:rFonts w:ascii="Courier" w:hAnsi="Courier"/>
      <w:lang w:val="x-none" w:eastAsia="cs-CZ"/>
    </w:rPr>
  </w:style>
  <w:style w:type="character" w:customStyle="1" w:styleId="TextkomentraChar1410">
    <w:name w:val="Text komentára Char1410"/>
    <w:aliases w:val="Char7 Char Char1411,Text komentára Char Char Char1411,Comment Text Char Char Char1411"/>
    <w:uiPriority w:val="99"/>
    <w:semiHidden/>
    <w:rsid w:val="00A809E7"/>
    <w:rPr>
      <w:rFonts w:ascii="Courier" w:hAnsi="Courier"/>
      <w:lang w:val="x-none" w:eastAsia="cs-CZ"/>
    </w:rPr>
  </w:style>
  <w:style w:type="character" w:customStyle="1" w:styleId="TextkomentraChar1409">
    <w:name w:val="Text komentára Char1409"/>
    <w:aliases w:val="Char7 Char Char1410,Text komentára Char Char Char1410,Comment Text Char Char Char1410"/>
    <w:uiPriority w:val="99"/>
    <w:semiHidden/>
    <w:rsid w:val="00A809E7"/>
    <w:rPr>
      <w:rFonts w:ascii="Courier" w:hAnsi="Courier"/>
      <w:lang w:val="x-none" w:eastAsia="cs-CZ"/>
    </w:rPr>
  </w:style>
  <w:style w:type="character" w:customStyle="1" w:styleId="TextkomentraChar1408">
    <w:name w:val="Text komentára Char1408"/>
    <w:aliases w:val="Char7 Char Char1409,Text komentára Char Char Char1409,Comment Text Char Char Char1409"/>
    <w:uiPriority w:val="99"/>
    <w:semiHidden/>
    <w:rsid w:val="00A809E7"/>
    <w:rPr>
      <w:rFonts w:ascii="Courier" w:hAnsi="Courier"/>
      <w:lang w:val="x-none" w:eastAsia="cs-CZ"/>
    </w:rPr>
  </w:style>
  <w:style w:type="character" w:customStyle="1" w:styleId="TextkomentraChar1407">
    <w:name w:val="Text komentára Char1407"/>
    <w:aliases w:val="Char7 Char Char1408,Text komentára Char Char Char1408,Comment Text Char Char Char1408"/>
    <w:uiPriority w:val="99"/>
    <w:semiHidden/>
    <w:rsid w:val="00A809E7"/>
    <w:rPr>
      <w:rFonts w:ascii="Courier" w:hAnsi="Courier"/>
      <w:lang w:val="x-none" w:eastAsia="cs-CZ"/>
    </w:rPr>
  </w:style>
  <w:style w:type="character" w:customStyle="1" w:styleId="TextkomentraChar1406">
    <w:name w:val="Text komentára Char1406"/>
    <w:aliases w:val="Char7 Char Char1407,Text komentára Char Char Char1407,Comment Text Char Char Char1407"/>
    <w:uiPriority w:val="99"/>
    <w:semiHidden/>
    <w:rsid w:val="00A809E7"/>
    <w:rPr>
      <w:rFonts w:ascii="Courier" w:hAnsi="Courier"/>
      <w:lang w:val="x-none" w:eastAsia="cs-CZ"/>
    </w:rPr>
  </w:style>
  <w:style w:type="character" w:customStyle="1" w:styleId="TextkomentraChar1405">
    <w:name w:val="Text komentára Char1405"/>
    <w:aliases w:val="Char7 Char Char1406,Text komentára Char Char Char1406,Comment Text Char Char Char1406"/>
    <w:uiPriority w:val="99"/>
    <w:semiHidden/>
    <w:rsid w:val="00A809E7"/>
    <w:rPr>
      <w:rFonts w:ascii="Courier" w:hAnsi="Courier"/>
      <w:lang w:val="x-none" w:eastAsia="cs-CZ"/>
    </w:rPr>
  </w:style>
  <w:style w:type="character" w:customStyle="1" w:styleId="TextkomentraChar1404">
    <w:name w:val="Text komentára Char1404"/>
    <w:aliases w:val="Char7 Char Char1405,Text komentára Char Char Char1405,Comment Text Char Char Char1405"/>
    <w:uiPriority w:val="99"/>
    <w:semiHidden/>
    <w:rsid w:val="00A809E7"/>
    <w:rPr>
      <w:rFonts w:ascii="Courier" w:hAnsi="Courier"/>
      <w:lang w:val="x-none" w:eastAsia="cs-CZ"/>
    </w:rPr>
  </w:style>
  <w:style w:type="character" w:customStyle="1" w:styleId="TextkomentraChar1403">
    <w:name w:val="Text komentára Char1403"/>
    <w:aliases w:val="Char7 Char Char1404,Text komentára Char Char Char1404,Comment Text Char Char Char1404"/>
    <w:uiPriority w:val="99"/>
    <w:semiHidden/>
    <w:rsid w:val="00A809E7"/>
    <w:rPr>
      <w:rFonts w:ascii="Courier" w:hAnsi="Courier"/>
      <w:lang w:val="x-none" w:eastAsia="cs-CZ"/>
    </w:rPr>
  </w:style>
  <w:style w:type="character" w:customStyle="1" w:styleId="TextkomentraChar1402">
    <w:name w:val="Text komentára Char1402"/>
    <w:aliases w:val="Char7 Char Char1403,Text komentára Char Char Char1403,Comment Text Char Char Char1403"/>
    <w:uiPriority w:val="99"/>
    <w:semiHidden/>
    <w:rsid w:val="00A809E7"/>
    <w:rPr>
      <w:rFonts w:ascii="Courier" w:hAnsi="Courier"/>
      <w:lang w:val="x-none" w:eastAsia="cs-CZ"/>
    </w:rPr>
  </w:style>
  <w:style w:type="character" w:customStyle="1" w:styleId="TextkomentraChar1401">
    <w:name w:val="Text komentára Char1401"/>
    <w:aliases w:val="Char7 Char Char1402,Text komentára Char Char Char1402,Comment Text Char Char Char1402"/>
    <w:uiPriority w:val="99"/>
    <w:semiHidden/>
    <w:rsid w:val="00A809E7"/>
    <w:rPr>
      <w:rFonts w:ascii="Courier" w:hAnsi="Courier"/>
      <w:lang w:val="x-none" w:eastAsia="cs-CZ"/>
    </w:rPr>
  </w:style>
  <w:style w:type="character" w:customStyle="1" w:styleId="TextkomentraChar1400">
    <w:name w:val="Text komentára Char1400"/>
    <w:aliases w:val="Char7 Char Char1401,Text komentára Char Char Char1401,Comment Text Char Char Char1401"/>
    <w:uiPriority w:val="99"/>
    <w:semiHidden/>
    <w:rsid w:val="00A809E7"/>
    <w:rPr>
      <w:rFonts w:ascii="Courier" w:hAnsi="Courier"/>
      <w:lang w:val="x-none" w:eastAsia="cs-CZ"/>
    </w:rPr>
  </w:style>
  <w:style w:type="character" w:customStyle="1" w:styleId="TextkomentraChar1399">
    <w:name w:val="Text komentára Char1399"/>
    <w:aliases w:val="Char7 Char Char1400,Text komentára Char Char Char1400,Comment Text Char Char Char1400"/>
    <w:uiPriority w:val="99"/>
    <w:semiHidden/>
    <w:rsid w:val="00A809E7"/>
    <w:rPr>
      <w:rFonts w:ascii="Courier" w:hAnsi="Courier"/>
      <w:lang w:val="x-none" w:eastAsia="cs-CZ"/>
    </w:rPr>
  </w:style>
  <w:style w:type="character" w:customStyle="1" w:styleId="TextkomentraChar1398">
    <w:name w:val="Text komentára Char1398"/>
    <w:aliases w:val="Char7 Char Char1399,Text komentára Char Char Char1399,Comment Text Char Char Char1399"/>
    <w:uiPriority w:val="99"/>
    <w:semiHidden/>
    <w:rsid w:val="00A809E7"/>
    <w:rPr>
      <w:rFonts w:ascii="Courier" w:hAnsi="Courier"/>
      <w:lang w:val="x-none" w:eastAsia="cs-CZ"/>
    </w:rPr>
  </w:style>
  <w:style w:type="character" w:customStyle="1" w:styleId="TextkomentraChar1397">
    <w:name w:val="Text komentára Char1397"/>
    <w:aliases w:val="Char7 Char Char1398,Text komentára Char Char Char1398,Comment Text Char Char Char1398"/>
    <w:uiPriority w:val="99"/>
    <w:semiHidden/>
    <w:rsid w:val="00A809E7"/>
    <w:rPr>
      <w:rFonts w:ascii="Courier" w:hAnsi="Courier"/>
      <w:lang w:val="x-none" w:eastAsia="cs-CZ"/>
    </w:rPr>
  </w:style>
  <w:style w:type="character" w:customStyle="1" w:styleId="TextkomentraChar1396">
    <w:name w:val="Text komentára Char1396"/>
    <w:aliases w:val="Char7 Char Char1397,Text komentára Char Char Char1397,Comment Text Char Char Char1397"/>
    <w:uiPriority w:val="99"/>
    <w:semiHidden/>
    <w:rsid w:val="00A809E7"/>
    <w:rPr>
      <w:rFonts w:ascii="Courier" w:hAnsi="Courier"/>
      <w:lang w:val="x-none" w:eastAsia="cs-CZ"/>
    </w:rPr>
  </w:style>
  <w:style w:type="character" w:customStyle="1" w:styleId="TextkomentraChar1395">
    <w:name w:val="Text komentára Char1395"/>
    <w:aliases w:val="Char7 Char Char1396,Text komentára Char Char Char1396,Comment Text Char Char Char1396"/>
    <w:uiPriority w:val="99"/>
    <w:semiHidden/>
    <w:rsid w:val="00A809E7"/>
    <w:rPr>
      <w:rFonts w:ascii="Courier" w:hAnsi="Courier"/>
      <w:lang w:val="x-none" w:eastAsia="cs-CZ"/>
    </w:rPr>
  </w:style>
  <w:style w:type="character" w:customStyle="1" w:styleId="TextkomentraChar1394">
    <w:name w:val="Text komentára Char1394"/>
    <w:aliases w:val="Char7 Char Char1395,Text komentára Char Char Char1395,Comment Text Char Char Char1395"/>
    <w:uiPriority w:val="99"/>
    <w:semiHidden/>
    <w:rsid w:val="00A809E7"/>
    <w:rPr>
      <w:rFonts w:ascii="Courier" w:hAnsi="Courier"/>
      <w:lang w:val="x-none" w:eastAsia="cs-CZ"/>
    </w:rPr>
  </w:style>
  <w:style w:type="character" w:customStyle="1" w:styleId="TextkomentraChar1393">
    <w:name w:val="Text komentára Char1393"/>
    <w:aliases w:val="Char7 Char Char1394,Text komentára Char Char Char1394,Comment Text Char Char Char1394"/>
    <w:uiPriority w:val="99"/>
    <w:semiHidden/>
    <w:rsid w:val="00A809E7"/>
    <w:rPr>
      <w:rFonts w:ascii="Courier" w:hAnsi="Courier"/>
      <w:lang w:val="x-none" w:eastAsia="cs-CZ"/>
    </w:rPr>
  </w:style>
  <w:style w:type="character" w:customStyle="1" w:styleId="TextkomentraChar1392">
    <w:name w:val="Text komentára Char1392"/>
    <w:aliases w:val="Char7 Char Char1393,Text komentára Char Char Char1393,Comment Text Char Char Char1393"/>
    <w:uiPriority w:val="99"/>
    <w:semiHidden/>
    <w:rsid w:val="00A809E7"/>
    <w:rPr>
      <w:rFonts w:ascii="Courier" w:hAnsi="Courier"/>
      <w:lang w:val="x-none" w:eastAsia="cs-CZ"/>
    </w:rPr>
  </w:style>
  <w:style w:type="character" w:customStyle="1" w:styleId="TextkomentraChar1391">
    <w:name w:val="Text komentára Char1391"/>
    <w:aliases w:val="Char7 Char Char1392,Text komentára Char Char Char1392,Comment Text Char Char Char1392"/>
    <w:uiPriority w:val="99"/>
    <w:semiHidden/>
    <w:rsid w:val="00A809E7"/>
    <w:rPr>
      <w:rFonts w:ascii="Courier" w:hAnsi="Courier"/>
      <w:lang w:val="x-none" w:eastAsia="cs-CZ"/>
    </w:rPr>
  </w:style>
  <w:style w:type="character" w:customStyle="1" w:styleId="TextkomentraChar1390">
    <w:name w:val="Text komentára Char1390"/>
    <w:aliases w:val="Char7 Char Char1391,Text komentára Char Char Char1391,Comment Text Char Char Char1391"/>
    <w:uiPriority w:val="99"/>
    <w:semiHidden/>
    <w:rsid w:val="00A809E7"/>
    <w:rPr>
      <w:rFonts w:ascii="Courier" w:hAnsi="Courier"/>
      <w:lang w:val="x-none" w:eastAsia="cs-CZ"/>
    </w:rPr>
  </w:style>
  <w:style w:type="character" w:customStyle="1" w:styleId="TextkomentraChar1389">
    <w:name w:val="Text komentára Char1389"/>
    <w:aliases w:val="Char7 Char Char1390,Text komentára Char Char Char1390,Comment Text Char Char Char1390"/>
    <w:uiPriority w:val="99"/>
    <w:semiHidden/>
    <w:rsid w:val="00A809E7"/>
    <w:rPr>
      <w:rFonts w:ascii="Courier" w:hAnsi="Courier"/>
      <w:lang w:val="x-none" w:eastAsia="cs-CZ"/>
    </w:rPr>
  </w:style>
  <w:style w:type="character" w:customStyle="1" w:styleId="TextkomentraChar1388">
    <w:name w:val="Text komentára Char1388"/>
    <w:aliases w:val="Char7 Char Char1389,Text komentára Char Char Char1389,Comment Text Char Char Char1389"/>
    <w:uiPriority w:val="99"/>
    <w:semiHidden/>
    <w:rsid w:val="00A809E7"/>
    <w:rPr>
      <w:rFonts w:ascii="Courier" w:hAnsi="Courier"/>
      <w:lang w:val="x-none" w:eastAsia="cs-CZ"/>
    </w:rPr>
  </w:style>
  <w:style w:type="character" w:customStyle="1" w:styleId="TextkomentraChar1387">
    <w:name w:val="Text komentára Char1387"/>
    <w:aliases w:val="Char7 Char Char1388,Text komentára Char Char Char1388,Comment Text Char Char Char1388"/>
    <w:uiPriority w:val="99"/>
    <w:semiHidden/>
    <w:rsid w:val="00A809E7"/>
    <w:rPr>
      <w:rFonts w:ascii="Courier" w:hAnsi="Courier"/>
      <w:lang w:val="x-none" w:eastAsia="cs-CZ"/>
    </w:rPr>
  </w:style>
  <w:style w:type="character" w:customStyle="1" w:styleId="TextkomentraChar1386">
    <w:name w:val="Text komentára Char1386"/>
    <w:aliases w:val="Char7 Char Char1387,Text komentára Char Char Char1387,Comment Text Char Char Char1387"/>
    <w:uiPriority w:val="99"/>
    <w:semiHidden/>
    <w:rsid w:val="00A809E7"/>
    <w:rPr>
      <w:rFonts w:ascii="Courier" w:hAnsi="Courier"/>
      <w:lang w:val="x-none" w:eastAsia="cs-CZ"/>
    </w:rPr>
  </w:style>
  <w:style w:type="character" w:customStyle="1" w:styleId="TextkomentraChar1385">
    <w:name w:val="Text komentára Char1385"/>
    <w:aliases w:val="Char7 Char Char1386,Text komentára Char Char Char1386,Comment Text Char Char Char1386"/>
    <w:uiPriority w:val="99"/>
    <w:semiHidden/>
    <w:rsid w:val="00A809E7"/>
    <w:rPr>
      <w:rFonts w:ascii="Courier" w:hAnsi="Courier"/>
      <w:lang w:val="x-none" w:eastAsia="cs-CZ"/>
    </w:rPr>
  </w:style>
  <w:style w:type="character" w:customStyle="1" w:styleId="TextkomentraChar1384">
    <w:name w:val="Text komentára Char1384"/>
    <w:aliases w:val="Char7 Char Char1385,Text komentára Char Char Char1385,Comment Text Char Char Char1385"/>
    <w:uiPriority w:val="99"/>
    <w:semiHidden/>
    <w:rsid w:val="00A809E7"/>
    <w:rPr>
      <w:rFonts w:ascii="Courier" w:hAnsi="Courier"/>
      <w:lang w:val="x-none" w:eastAsia="cs-CZ"/>
    </w:rPr>
  </w:style>
  <w:style w:type="character" w:customStyle="1" w:styleId="TextkomentraChar1383">
    <w:name w:val="Text komentára Char1383"/>
    <w:aliases w:val="Char7 Char Char1384,Text komentára Char Char Char1384,Comment Text Char Char Char1384"/>
    <w:uiPriority w:val="99"/>
    <w:semiHidden/>
    <w:rsid w:val="00A809E7"/>
    <w:rPr>
      <w:rFonts w:ascii="Courier" w:hAnsi="Courier"/>
      <w:lang w:val="x-none" w:eastAsia="cs-CZ"/>
    </w:rPr>
  </w:style>
  <w:style w:type="character" w:customStyle="1" w:styleId="TextkomentraChar1382">
    <w:name w:val="Text komentára Char1382"/>
    <w:aliases w:val="Char7 Char Char1383,Text komentára Char Char Char1383,Comment Text Char Char Char1383"/>
    <w:uiPriority w:val="99"/>
    <w:semiHidden/>
    <w:rsid w:val="00A809E7"/>
    <w:rPr>
      <w:rFonts w:ascii="Courier" w:hAnsi="Courier"/>
      <w:lang w:val="x-none" w:eastAsia="cs-CZ"/>
    </w:rPr>
  </w:style>
  <w:style w:type="character" w:customStyle="1" w:styleId="TextkomentraChar1381">
    <w:name w:val="Text komentára Char1381"/>
    <w:aliases w:val="Char7 Char Char1382,Text komentára Char Char Char1382,Comment Text Char Char Char1382"/>
    <w:uiPriority w:val="99"/>
    <w:semiHidden/>
    <w:rsid w:val="00A809E7"/>
    <w:rPr>
      <w:rFonts w:ascii="Courier" w:hAnsi="Courier"/>
      <w:lang w:val="x-none" w:eastAsia="cs-CZ"/>
    </w:rPr>
  </w:style>
  <w:style w:type="character" w:customStyle="1" w:styleId="TextkomentraChar1380">
    <w:name w:val="Text komentára Char1380"/>
    <w:aliases w:val="Char7 Char Char1381,Text komentára Char Char Char1381,Comment Text Char Char Char1381"/>
    <w:uiPriority w:val="99"/>
    <w:semiHidden/>
    <w:rsid w:val="00A809E7"/>
    <w:rPr>
      <w:rFonts w:ascii="Courier" w:hAnsi="Courier"/>
      <w:lang w:val="x-none" w:eastAsia="cs-CZ"/>
    </w:rPr>
  </w:style>
  <w:style w:type="character" w:customStyle="1" w:styleId="TextkomentraChar1379">
    <w:name w:val="Text komentára Char1379"/>
    <w:aliases w:val="Char7 Char Char1380,Text komentára Char Char Char1380,Comment Text Char Char Char1380"/>
    <w:uiPriority w:val="99"/>
    <w:semiHidden/>
    <w:rsid w:val="00A809E7"/>
    <w:rPr>
      <w:rFonts w:ascii="Courier" w:hAnsi="Courier"/>
      <w:lang w:val="x-none" w:eastAsia="cs-CZ"/>
    </w:rPr>
  </w:style>
  <w:style w:type="character" w:customStyle="1" w:styleId="TextkomentraChar1378">
    <w:name w:val="Text komentára Char1378"/>
    <w:aliases w:val="Char7 Char Char1379,Text komentára Char Char Char1379,Comment Text Char Char Char1379"/>
    <w:uiPriority w:val="99"/>
    <w:semiHidden/>
    <w:rsid w:val="00A809E7"/>
    <w:rPr>
      <w:rFonts w:ascii="Courier" w:hAnsi="Courier"/>
      <w:lang w:val="x-none" w:eastAsia="cs-CZ"/>
    </w:rPr>
  </w:style>
  <w:style w:type="character" w:customStyle="1" w:styleId="TextkomentraChar1377">
    <w:name w:val="Text komentára Char1377"/>
    <w:aliases w:val="Char7 Char Char1378,Text komentára Char Char Char1378,Comment Text Char Char Char1378"/>
    <w:uiPriority w:val="99"/>
    <w:semiHidden/>
    <w:rsid w:val="00A809E7"/>
    <w:rPr>
      <w:rFonts w:ascii="Courier" w:hAnsi="Courier"/>
      <w:lang w:val="x-none" w:eastAsia="cs-CZ"/>
    </w:rPr>
  </w:style>
  <w:style w:type="character" w:customStyle="1" w:styleId="TextkomentraChar1376">
    <w:name w:val="Text komentára Char1376"/>
    <w:aliases w:val="Char7 Char Char1377,Text komentára Char Char Char1377,Comment Text Char Char Char1377"/>
    <w:uiPriority w:val="99"/>
    <w:semiHidden/>
    <w:rsid w:val="00A809E7"/>
    <w:rPr>
      <w:rFonts w:ascii="Courier" w:hAnsi="Courier"/>
      <w:lang w:val="x-none" w:eastAsia="cs-CZ"/>
    </w:rPr>
  </w:style>
  <w:style w:type="character" w:customStyle="1" w:styleId="TextkomentraChar1375">
    <w:name w:val="Text komentára Char1375"/>
    <w:aliases w:val="Char7 Char Char1376,Text komentára Char Char Char1376,Comment Text Char Char Char1376"/>
    <w:uiPriority w:val="99"/>
    <w:semiHidden/>
    <w:rsid w:val="00A809E7"/>
    <w:rPr>
      <w:rFonts w:ascii="Courier" w:hAnsi="Courier"/>
      <w:lang w:val="x-none" w:eastAsia="cs-CZ"/>
    </w:rPr>
  </w:style>
  <w:style w:type="character" w:customStyle="1" w:styleId="TextkomentraChar1374">
    <w:name w:val="Text komentára Char1374"/>
    <w:aliases w:val="Char7 Char Char1375,Text komentára Char Char Char1375,Comment Text Char Char Char1375"/>
    <w:uiPriority w:val="99"/>
    <w:semiHidden/>
    <w:rsid w:val="00A809E7"/>
    <w:rPr>
      <w:rFonts w:ascii="Courier" w:hAnsi="Courier"/>
      <w:lang w:val="x-none" w:eastAsia="cs-CZ"/>
    </w:rPr>
  </w:style>
  <w:style w:type="character" w:customStyle="1" w:styleId="TextkomentraChar1373">
    <w:name w:val="Text komentára Char1373"/>
    <w:aliases w:val="Char7 Char Char1374,Text komentára Char Char Char1374,Comment Text Char Char Char1374"/>
    <w:uiPriority w:val="99"/>
    <w:semiHidden/>
    <w:rsid w:val="00A809E7"/>
    <w:rPr>
      <w:rFonts w:ascii="Courier" w:hAnsi="Courier"/>
      <w:lang w:val="x-none" w:eastAsia="cs-CZ"/>
    </w:rPr>
  </w:style>
  <w:style w:type="character" w:customStyle="1" w:styleId="TextkomentraChar1372">
    <w:name w:val="Text komentára Char1372"/>
    <w:aliases w:val="Char7 Char Char1373,Text komentára Char Char Char1373,Comment Text Char Char Char1373"/>
    <w:uiPriority w:val="99"/>
    <w:semiHidden/>
    <w:rsid w:val="00A809E7"/>
    <w:rPr>
      <w:rFonts w:ascii="Courier" w:hAnsi="Courier"/>
      <w:lang w:val="x-none" w:eastAsia="cs-CZ"/>
    </w:rPr>
  </w:style>
  <w:style w:type="character" w:customStyle="1" w:styleId="TextkomentraChar1371">
    <w:name w:val="Text komentára Char1371"/>
    <w:aliases w:val="Char7 Char Char1372,Text komentára Char Char Char1372,Comment Text Char Char Char1372"/>
    <w:uiPriority w:val="99"/>
    <w:semiHidden/>
    <w:rsid w:val="00A809E7"/>
    <w:rPr>
      <w:rFonts w:ascii="Courier" w:hAnsi="Courier"/>
      <w:lang w:val="x-none" w:eastAsia="cs-CZ"/>
    </w:rPr>
  </w:style>
  <w:style w:type="character" w:customStyle="1" w:styleId="TextkomentraChar1370">
    <w:name w:val="Text komentára Char1370"/>
    <w:aliases w:val="Char7 Char Char1371,Text komentára Char Char Char1371,Comment Text Char Char Char1371"/>
    <w:uiPriority w:val="99"/>
    <w:semiHidden/>
    <w:rsid w:val="00A809E7"/>
    <w:rPr>
      <w:rFonts w:ascii="Courier" w:hAnsi="Courier"/>
      <w:lang w:val="x-none" w:eastAsia="cs-CZ"/>
    </w:rPr>
  </w:style>
  <w:style w:type="character" w:customStyle="1" w:styleId="TextkomentraChar1369">
    <w:name w:val="Text komentára Char1369"/>
    <w:aliases w:val="Char7 Char Char1370,Text komentára Char Char Char1370,Comment Text Char Char Char1370"/>
    <w:uiPriority w:val="99"/>
    <w:semiHidden/>
    <w:rsid w:val="00A809E7"/>
    <w:rPr>
      <w:rFonts w:ascii="Courier" w:hAnsi="Courier"/>
      <w:lang w:val="x-none" w:eastAsia="cs-CZ"/>
    </w:rPr>
  </w:style>
  <w:style w:type="character" w:customStyle="1" w:styleId="TextkomentraChar1368">
    <w:name w:val="Text komentára Char1368"/>
    <w:aliases w:val="Char7 Char Char1369,Text komentára Char Char Char1369,Comment Text Char Char Char1369"/>
    <w:uiPriority w:val="99"/>
    <w:semiHidden/>
    <w:rsid w:val="00A809E7"/>
    <w:rPr>
      <w:rFonts w:ascii="Courier" w:hAnsi="Courier"/>
      <w:lang w:val="x-none" w:eastAsia="cs-CZ"/>
    </w:rPr>
  </w:style>
  <w:style w:type="character" w:customStyle="1" w:styleId="TextkomentraChar1367">
    <w:name w:val="Text komentára Char1367"/>
    <w:aliases w:val="Char7 Char Char1368,Text komentára Char Char Char1368,Comment Text Char Char Char1368"/>
    <w:uiPriority w:val="99"/>
    <w:semiHidden/>
    <w:rsid w:val="00A809E7"/>
    <w:rPr>
      <w:rFonts w:ascii="Courier" w:hAnsi="Courier"/>
      <w:lang w:val="x-none" w:eastAsia="cs-CZ"/>
    </w:rPr>
  </w:style>
  <w:style w:type="character" w:customStyle="1" w:styleId="TextkomentraChar1366">
    <w:name w:val="Text komentára Char1366"/>
    <w:aliases w:val="Char7 Char Char1367,Text komentára Char Char Char1367,Comment Text Char Char Char1367"/>
    <w:uiPriority w:val="99"/>
    <w:semiHidden/>
    <w:rsid w:val="00A809E7"/>
    <w:rPr>
      <w:rFonts w:ascii="Courier" w:hAnsi="Courier"/>
      <w:lang w:val="x-none" w:eastAsia="cs-CZ"/>
    </w:rPr>
  </w:style>
  <w:style w:type="character" w:customStyle="1" w:styleId="TextkomentraChar1365">
    <w:name w:val="Text komentára Char1365"/>
    <w:aliases w:val="Char7 Char Char1366,Text komentára Char Char Char1366,Comment Text Char Char Char1366"/>
    <w:uiPriority w:val="99"/>
    <w:semiHidden/>
    <w:rsid w:val="00A809E7"/>
    <w:rPr>
      <w:rFonts w:ascii="Courier" w:hAnsi="Courier"/>
      <w:lang w:val="x-none" w:eastAsia="cs-CZ"/>
    </w:rPr>
  </w:style>
  <w:style w:type="character" w:customStyle="1" w:styleId="TextkomentraChar1364">
    <w:name w:val="Text komentára Char1364"/>
    <w:aliases w:val="Char7 Char Char1365,Text komentára Char Char Char1365,Comment Text Char Char Char1365"/>
    <w:uiPriority w:val="99"/>
    <w:semiHidden/>
    <w:rsid w:val="00A809E7"/>
    <w:rPr>
      <w:rFonts w:ascii="Courier" w:hAnsi="Courier"/>
      <w:lang w:val="x-none" w:eastAsia="cs-CZ"/>
    </w:rPr>
  </w:style>
  <w:style w:type="character" w:customStyle="1" w:styleId="TextkomentraChar1363">
    <w:name w:val="Text komentára Char1363"/>
    <w:aliases w:val="Char7 Char Char1364,Text komentára Char Char Char1364,Comment Text Char Char Char1364"/>
    <w:uiPriority w:val="99"/>
    <w:semiHidden/>
    <w:rsid w:val="00A809E7"/>
    <w:rPr>
      <w:rFonts w:ascii="Courier" w:hAnsi="Courier"/>
      <w:lang w:val="x-none" w:eastAsia="cs-CZ"/>
    </w:rPr>
  </w:style>
  <w:style w:type="character" w:customStyle="1" w:styleId="TextkomentraChar1362">
    <w:name w:val="Text komentára Char1362"/>
    <w:aliases w:val="Char7 Char Char1363,Text komentára Char Char Char1363,Comment Text Char Char Char1363"/>
    <w:uiPriority w:val="99"/>
    <w:semiHidden/>
    <w:rsid w:val="00A809E7"/>
    <w:rPr>
      <w:rFonts w:ascii="Courier" w:hAnsi="Courier"/>
      <w:lang w:val="x-none" w:eastAsia="cs-CZ"/>
    </w:rPr>
  </w:style>
  <w:style w:type="character" w:customStyle="1" w:styleId="TextkomentraChar1361">
    <w:name w:val="Text komentára Char1361"/>
    <w:aliases w:val="Char7 Char Char1362,Text komentára Char Char Char1362,Comment Text Char Char Char1362"/>
    <w:uiPriority w:val="99"/>
    <w:semiHidden/>
    <w:rsid w:val="00A809E7"/>
    <w:rPr>
      <w:rFonts w:ascii="Courier" w:hAnsi="Courier"/>
      <w:lang w:val="x-none" w:eastAsia="cs-CZ"/>
    </w:rPr>
  </w:style>
  <w:style w:type="character" w:customStyle="1" w:styleId="TextkomentraChar1360">
    <w:name w:val="Text komentára Char1360"/>
    <w:aliases w:val="Char7 Char Char1361,Text komentára Char Char Char1361,Comment Text Char Char Char1361"/>
    <w:uiPriority w:val="99"/>
    <w:semiHidden/>
    <w:rsid w:val="00A809E7"/>
    <w:rPr>
      <w:rFonts w:ascii="Courier" w:hAnsi="Courier"/>
      <w:lang w:val="x-none" w:eastAsia="cs-CZ"/>
    </w:rPr>
  </w:style>
  <w:style w:type="character" w:customStyle="1" w:styleId="TextkomentraChar1359">
    <w:name w:val="Text komentára Char1359"/>
    <w:aliases w:val="Char7 Char Char1360,Text komentára Char Char Char1360,Comment Text Char Char Char1360"/>
    <w:uiPriority w:val="99"/>
    <w:semiHidden/>
    <w:rsid w:val="00A809E7"/>
    <w:rPr>
      <w:rFonts w:ascii="Courier" w:hAnsi="Courier"/>
      <w:lang w:val="x-none" w:eastAsia="cs-CZ"/>
    </w:rPr>
  </w:style>
  <w:style w:type="character" w:customStyle="1" w:styleId="TextkomentraChar1358">
    <w:name w:val="Text komentára Char1358"/>
    <w:aliases w:val="Char7 Char Char1359,Text komentára Char Char Char1359,Comment Text Char Char Char1359"/>
    <w:uiPriority w:val="99"/>
    <w:semiHidden/>
    <w:rsid w:val="00A809E7"/>
    <w:rPr>
      <w:rFonts w:ascii="Courier" w:hAnsi="Courier"/>
      <w:lang w:val="x-none" w:eastAsia="cs-CZ"/>
    </w:rPr>
  </w:style>
  <w:style w:type="character" w:customStyle="1" w:styleId="TextkomentraChar1357">
    <w:name w:val="Text komentára Char1357"/>
    <w:aliases w:val="Char7 Char Char1358,Text komentára Char Char Char1358,Comment Text Char Char Char1358"/>
    <w:uiPriority w:val="99"/>
    <w:semiHidden/>
    <w:rsid w:val="00A809E7"/>
    <w:rPr>
      <w:rFonts w:ascii="Courier" w:hAnsi="Courier"/>
      <w:lang w:val="x-none" w:eastAsia="cs-CZ"/>
    </w:rPr>
  </w:style>
  <w:style w:type="character" w:customStyle="1" w:styleId="TextkomentraChar1356">
    <w:name w:val="Text komentára Char1356"/>
    <w:aliases w:val="Char7 Char Char1357,Text komentára Char Char Char1357,Comment Text Char Char Char1357"/>
    <w:uiPriority w:val="99"/>
    <w:semiHidden/>
    <w:rsid w:val="00A809E7"/>
    <w:rPr>
      <w:rFonts w:ascii="Courier" w:hAnsi="Courier"/>
      <w:lang w:val="x-none" w:eastAsia="cs-CZ"/>
    </w:rPr>
  </w:style>
  <w:style w:type="character" w:customStyle="1" w:styleId="TextkomentraChar1355">
    <w:name w:val="Text komentára Char1355"/>
    <w:aliases w:val="Char7 Char Char1356,Text komentára Char Char Char1356,Comment Text Char Char Char1356"/>
    <w:uiPriority w:val="99"/>
    <w:semiHidden/>
    <w:rsid w:val="00A809E7"/>
    <w:rPr>
      <w:rFonts w:ascii="Courier" w:hAnsi="Courier"/>
      <w:lang w:val="x-none" w:eastAsia="cs-CZ"/>
    </w:rPr>
  </w:style>
  <w:style w:type="character" w:customStyle="1" w:styleId="TextkomentraChar1354">
    <w:name w:val="Text komentára Char1354"/>
    <w:aliases w:val="Char7 Char Char1355,Text komentára Char Char Char1355,Comment Text Char Char Char1355"/>
    <w:uiPriority w:val="99"/>
    <w:semiHidden/>
    <w:rsid w:val="00A809E7"/>
    <w:rPr>
      <w:rFonts w:ascii="Courier" w:hAnsi="Courier"/>
      <w:lang w:val="x-none" w:eastAsia="cs-CZ"/>
    </w:rPr>
  </w:style>
  <w:style w:type="character" w:customStyle="1" w:styleId="TextkomentraChar1353">
    <w:name w:val="Text komentára Char1353"/>
    <w:aliases w:val="Char7 Char Char1354,Text komentára Char Char Char1354,Comment Text Char Char Char1354"/>
    <w:uiPriority w:val="99"/>
    <w:semiHidden/>
    <w:rsid w:val="00A809E7"/>
    <w:rPr>
      <w:rFonts w:ascii="Courier" w:hAnsi="Courier"/>
      <w:lang w:val="x-none" w:eastAsia="cs-CZ"/>
    </w:rPr>
  </w:style>
  <w:style w:type="character" w:customStyle="1" w:styleId="TextkomentraChar1352">
    <w:name w:val="Text komentára Char1352"/>
    <w:aliases w:val="Char7 Char Char1353,Text komentára Char Char Char1353,Comment Text Char Char Char1353"/>
    <w:uiPriority w:val="99"/>
    <w:semiHidden/>
    <w:rsid w:val="00A809E7"/>
    <w:rPr>
      <w:rFonts w:ascii="Courier" w:hAnsi="Courier"/>
      <w:lang w:val="x-none" w:eastAsia="cs-CZ"/>
    </w:rPr>
  </w:style>
  <w:style w:type="character" w:customStyle="1" w:styleId="TextkomentraChar1351">
    <w:name w:val="Text komentára Char1351"/>
    <w:aliases w:val="Char7 Char Char1352,Text komentára Char Char Char1352,Comment Text Char Char Char1352"/>
    <w:uiPriority w:val="99"/>
    <w:semiHidden/>
    <w:rsid w:val="00A809E7"/>
    <w:rPr>
      <w:rFonts w:ascii="Courier" w:hAnsi="Courier"/>
      <w:lang w:val="x-none" w:eastAsia="cs-CZ"/>
    </w:rPr>
  </w:style>
  <w:style w:type="character" w:customStyle="1" w:styleId="TextkomentraChar1350">
    <w:name w:val="Text komentára Char1350"/>
    <w:aliases w:val="Char7 Char Char1351,Text komentára Char Char Char1351,Comment Text Char Char Char1351"/>
    <w:uiPriority w:val="99"/>
    <w:semiHidden/>
    <w:rsid w:val="00A809E7"/>
    <w:rPr>
      <w:rFonts w:ascii="Courier" w:hAnsi="Courier"/>
      <w:lang w:val="x-none" w:eastAsia="cs-CZ"/>
    </w:rPr>
  </w:style>
  <w:style w:type="character" w:customStyle="1" w:styleId="TextkomentraChar1349">
    <w:name w:val="Text komentára Char1349"/>
    <w:aliases w:val="Char7 Char Char1350,Text komentára Char Char Char1350,Comment Text Char Char Char1350"/>
    <w:uiPriority w:val="99"/>
    <w:semiHidden/>
    <w:rsid w:val="00A809E7"/>
    <w:rPr>
      <w:rFonts w:ascii="Courier" w:hAnsi="Courier"/>
      <w:lang w:val="x-none" w:eastAsia="cs-CZ"/>
    </w:rPr>
  </w:style>
  <w:style w:type="character" w:customStyle="1" w:styleId="TextkomentraChar1348">
    <w:name w:val="Text komentára Char1348"/>
    <w:aliases w:val="Char7 Char Char1349,Text komentára Char Char Char1349,Comment Text Char Char Char1349"/>
    <w:uiPriority w:val="99"/>
    <w:semiHidden/>
    <w:rsid w:val="00A809E7"/>
    <w:rPr>
      <w:rFonts w:ascii="Courier" w:hAnsi="Courier"/>
      <w:lang w:val="x-none" w:eastAsia="cs-CZ"/>
    </w:rPr>
  </w:style>
  <w:style w:type="character" w:customStyle="1" w:styleId="TextkomentraChar1347">
    <w:name w:val="Text komentára Char1347"/>
    <w:aliases w:val="Char7 Char Char1348,Text komentára Char Char Char1348,Comment Text Char Char Char1348"/>
    <w:uiPriority w:val="99"/>
    <w:semiHidden/>
    <w:rsid w:val="00A809E7"/>
    <w:rPr>
      <w:rFonts w:ascii="Courier" w:hAnsi="Courier"/>
      <w:lang w:val="x-none" w:eastAsia="cs-CZ"/>
    </w:rPr>
  </w:style>
  <w:style w:type="character" w:customStyle="1" w:styleId="TextkomentraChar1346">
    <w:name w:val="Text komentára Char1346"/>
    <w:aliases w:val="Char7 Char Char1347,Text komentára Char Char Char1347,Comment Text Char Char Char1347"/>
    <w:uiPriority w:val="99"/>
    <w:semiHidden/>
    <w:rsid w:val="00A809E7"/>
    <w:rPr>
      <w:rFonts w:ascii="Courier" w:hAnsi="Courier"/>
      <w:lang w:val="x-none" w:eastAsia="cs-CZ"/>
    </w:rPr>
  </w:style>
  <w:style w:type="character" w:customStyle="1" w:styleId="TextkomentraChar1345">
    <w:name w:val="Text komentára Char1345"/>
    <w:aliases w:val="Char7 Char Char1346,Text komentára Char Char Char1346,Comment Text Char Char Char1346"/>
    <w:uiPriority w:val="99"/>
    <w:semiHidden/>
    <w:rsid w:val="00A809E7"/>
    <w:rPr>
      <w:rFonts w:ascii="Courier" w:hAnsi="Courier"/>
      <w:lang w:val="x-none" w:eastAsia="cs-CZ"/>
    </w:rPr>
  </w:style>
  <w:style w:type="character" w:customStyle="1" w:styleId="TextkomentraChar1344">
    <w:name w:val="Text komentára Char1344"/>
    <w:aliases w:val="Char7 Char Char1345,Text komentára Char Char Char1345,Comment Text Char Char Char1345"/>
    <w:uiPriority w:val="99"/>
    <w:semiHidden/>
    <w:rsid w:val="00A809E7"/>
    <w:rPr>
      <w:rFonts w:ascii="Courier" w:hAnsi="Courier"/>
      <w:lang w:val="x-none" w:eastAsia="cs-CZ"/>
    </w:rPr>
  </w:style>
  <w:style w:type="character" w:customStyle="1" w:styleId="TextkomentraChar1343">
    <w:name w:val="Text komentára Char1343"/>
    <w:aliases w:val="Char7 Char Char1344,Text komentára Char Char Char1344,Comment Text Char Char Char1344"/>
    <w:uiPriority w:val="99"/>
    <w:semiHidden/>
    <w:rsid w:val="00A809E7"/>
    <w:rPr>
      <w:rFonts w:ascii="Courier" w:hAnsi="Courier"/>
      <w:lang w:val="x-none" w:eastAsia="cs-CZ"/>
    </w:rPr>
  </w:style>
  <w:style w:type="character" w:customStyle="1" w:styleId="TextkomentraChar1342">
    <w:name w:val="Text komentára Char1342"/>
    <w:aliases w:val="Char7 Char Char1343,Text komentára Char Char Char1343,Comment Text Char Char Char1343"/>
    <w:uiPriority w:val="99"/>
    <w:semiHidden/>
    <w:rsid w:val="00A809E7"/>
    <w:rPr>
      <w:rFonts w:ascii="Courier" w:hAnsi="Courier"/>
      <w:lang w:val="x-none" w:eastAsia="cs-CZ"/>
    </w:rPr>
  </w:style>
  <w:style w:type="character" w:customStyle="1" w:styleId="TextkomentraChar1341">
    <w:name w:val="Text komentára Char1341"/>
    <w:aliases w:val="Char7 Char Char1342,Text komentára Char Char Char1342,Comment Text Char Char Char1342"/>
    <w:uiPriority w:val="99"/>
    <w:semiHidden/>
    <w:rsid w:val="00A809E7"/>
    <w:rPr>
      <w:rFonts w:ascii="Courier" w:hAnsi="Courier"/>
      <w:lang w:val="x-none" w:eastAsia="cs-CZ"/>
    </w:rPr>
  </w:style>
  <w:style w:type="character" w:customStyle="1" w:styleId="TextkomentraChar1340">
    <w:name w:val="Text komentára Char1340"/>
    <w:aliases w:val="Char7 Char Char1341,Text komentára Char Char Char1341,Comment Text Char Char Char1341"/>
    <w:uiPriority w:val="99"/>
    <w:semiHidden/>
    <w:rsid w:val="00A809E7"/>
    <w:rPr>
      <w:rFonts w:ascii="Courier" w:hAnsi="Courier"/>
      <w:lang w:val="x-none" w:eastAsia="cs-CZ"/>
    </w:rPr>
  </w:style>
  <w:style w:type="character" w:customStyle="1" w:styleId="TextkomentraChar1339">
    <w:name w:val="Text komentára Char1339"/>
    <w:aliases w:val="Char7 Char Char1340,Text komentára Char Char Char1340,Comment Text Char Char Char1340"/>
    <w:uiPriority w:val="99"/>
    <w:semiHidden/>
    <w:rsid w:val="00A809E7"/>
    <w:rPr>
      <w:rFonts w:ascii="Courier" w:hAnsi="Courier"/>
      <w:lang w:val="x-none" w:eastAsia="cs-CZ"/>
    </w:rPr>
  </w:style>
  <w:style w:type="character" w:customStyle="1" w:styleId="TextkomentraChar1338">
    <w:name w:val="Text komentára Char1338"/>
    <w:aliases w:val="Char7 Char Char1339,Text komentára Char Char Char1339,Comment Text Char Char Char1339"/>
    <w:uiPriority w:val="99"/>
    <w:semiHidden/>
    <w:rsid w:val="00A809E7"/>
    <w:rPr>
      <w:rFonts w:ascii="Courier" w:hAnsi="Courier"/>
      <w:lang w:val="x-none" w:eastAsia="cs-CZ"/>
    </w:rPr>
  </w:style>
  <w:style w:type="character" w:customStyle="1" w:styleId="TextkomentraChar1337">
    <w:name w:val="Text komentára Char1337"/>
    <w:aliases w:val="Char7 Char Char1338,Text komentára Char Char Char1338,Comment Text Char Char Char1338"/>
    <w:uiPriority w:val="99"/>
    <w:semiHidden/>
    <w:rsid w:val="00A809E7"/>
    <w:rPr>
      <w:rFonts w:ascii="Courier" w:hAnsi="Courier"/>
      <w:lang w:val="x-none" w:eastAsia="cs-CZ"/>
    </w:rPr>
  </w:style>
  <w:style w:type="character" w:customStyle="1" w:styleId="TextkomentraChar1336">
    <w:name w:val="Text komentára Char1336"/>
    <w:aliases w:val="Char7 Char Char1337,Text komentára Char Char Char1337,Comment Text Char Char Char1337"/>
    <w:uiPriority w:val="99"/>
    <w:semiHidden/>
    <w:rsid w:val="00A809E7"/>
    <w:rPr>
      <w:rFonts w:ascii="Courier" w:hAnsi="Courier"/>
      <w:lang w:val="x-none" w:eastAsia="cs-CZ"/>
    </w:rPr>
  </w:style>
  <w:style w:type="character" w:customStyle="1" w:styleId="TextkomentraChar1335">
    <w:name w:val="Text komentára Char1335"/>
    <w:aliases w:val="Char7 Char Char1336,Text komentára Char Char Char1336,Comment Text Char Char Char1336"/>
    <w:uiPriority w:val="99"/>
    <w:semiHidden/>
    <w:rsid w:val="00A809E7"/>
    <w:rPr>
      <w:rFonts w:ascii="Courier" w:hAnsi="Courier"/>
      <w:lang w:val="x-none" w:eastAsia="cs-CZ"/>
    </w:rPr>
  </w:style>
  <w:style w:type="character" w:customStyle="1" w:styleId="TextkomentraChar1334">
    <w:name w:val="Text komentára Char1334"/>
    <w:aliases w:val="Char7 Char Char1335,Text komentára Char Char Char1335,Comment Text Char Char Char1335"/>
    <w:uiPriority w:val="99"/>
    <w:semiHidden/>
    <w:rsid w:val="00A809E7"/>
    <w:rPr>
      <w:rFonts w:ascii="Courier" w:hAnsi="Courier"/>
      <w:lang w:val="x-none" w:eastAsia="cs-CZ"/>
    </w:rPr>
  </w:style>
  <w:style w:type="character" w:customStyle="1" w:styleId="TextkomentraChar1333">
    <w:name w:val="Text komentára Char1333"/>
    <w:aliases w:val="Char7 Char Char1334,Text komentára Char Char Char1334,Comment Text Char Char Char1334"/>
    <w:uiPriority w:val="99"/>
    <w:semiHidden/>
    <w:rsid w:val="00A809E7"/>
    <w:rPr>
      <w:rFonts w:ascii="Courier" w:hAnsi="Courier"/>
      <w:lang w:val="x-none" w:eastAsia="cs-CZ"/>
    </w:rPr>
  </w:style>
  <w:style w:type="character" w:customStyle="1" w:styleId="TextkomentraChar1332">
    <w:name w:val="Text komentára Char1332"/>
    <w:aliases w:val="Char7 Char Char1333,Text komentára Char Char Char1333,Comment Text Char Char Char1333"/>
    <w:uiPriority w:val="99"/>
    <w:semiHidden/>
    <w:rsid w:val="00A809E7"/>
    <w:rPr>
      <w:rFonts w:ascii="Courier" w:hAnsi="Courier"/>
      <w:lang w:val="x-none" w:eastAsia="cs-CZ"/>
    </w:rPr>
  </w:style>
  <w:style w:type="character" w:customStyle="1" w:styleId="TextkomentraChar1331">
    <w:name w:val="Text komentára Char1331"/>
    <w:aliases w:val="Char7 Char Char1332,Text komentára Char Char Char1332,Comment Text Char Char Char1332"/>
    <w:uiPriority w:val="99"/>
    <w:semiHidden/>
    <w:rsid w:val="00A809E7"/>
    <w:rPr>
      <w:rFonts w:ascii="Courier" w:hAnsi="Courier"/>
      <w:lang w:val="x-none" w:eastAsia="cs-CZ"/>
    </w:rPr>
  </w:style>
  <w:style w:type="character" w:customStyle="1" w:styleId="TextkomentraChar1330">
    <w:name w:val="Text komentára Char1330"/>
    <w:aliases w:val="Char7 Char Char1331,Text komentára Char Char Char1331,Comment Text Char Char Char1331"/>
    <w:uiPriority w:val="99"/>
    <w:semiHidden/>
    <w:rsid w:val="00A809E7"/>
    <w:rPr>
      <w:rFonts w:ascii="Courier" w:hAnsi="Courier"/>
      <w:lang w:val="x-none" w:eastAsia="cs-CZ"/>
    </w:rPr>
  </w:style>
  <w:style w:type="character" w:customStyle="1" w:styleId="TextkomentraChar1329">
    <w:name w:val="Text komentára Char1329"/>
    <w:aliases w:val="Char7 Char Char1330,Text komentára Char Char Char1330,Comment Text Char Char Char1330"/>
    <w:uiPriority w:val="99"/>
    <w:semiHidden/>
    <w:rsid w:val="00A809E7"/>
    <w:rPr>
      <w:rFonts w:ascii="Courier" w:hAnsi="Courier"/>
      <w:lang w:val="x-none" w:eastAsia="cs-CZ"/>
    </w:rPr>
  </w:style>
  <w:style w:type="character" w:customStyle="1" w:styleId="TextkomentraChar1328">
    <w:name w:val="Text komentára Char1328"/>
    <w:aliases w:val="Char7 Char Char1329,Text komentára Char Char Char1329,Comment Text Char Char Char1329"/>
    <w:uiPriority w:val="99"/>
    <w:semiHidden/>
    <w:rsid w:val="00A809E7"/>
    <w:rPr>
      <w:rFonts w:ascii="Courier" w:hAnsi="Courier"/>
      <w:lang w:val="x-none" w:eastAsia="cs-CZ"/>
    </w:rPr>
  </w:style>
  <w:style w:type="character" w:customStyle="1" w:styleId="TextkomentraChar1327">
    <w:name w:val="Text komentára Char1327"/>
    <w:aliases w:val="Char7 Char Char1328,Text komentára Char Char Char1328,Comment Text Char Char Char1328"/>
    <w:uiPriority w:val="99"/>
    <w:semiHidden/>
    <w:rsid w:val="00A809E7"/>
    <w:rPr>
      <w:rFonts w:ascii="Courier" w:hAnsi="Courier"/>
      <w:lang w:val="x-none" w:eastAsia="cs-CZ"/>
    </w:rPr>
  </w:style>
  <w:style w:type="character" w:customStyle="1" w:styleId="TextkomentraChar1326">
    <w:name w:val="Text komentára Char1326"/>
    <w:aliases w:val="Char7 Char Char1327,Text komentára Char Char Char1327,Comment Text Char Char Char1327"/>
    <w:uiPriority w:val="99"/>
    <w:semiHidden/>
    <w:rsid w:val="00A809E7"/>
    <w:rPr>
      <w:rFonts w:ascii="Courier" w:hAnsi="Courier"/>
      <w:lang w:val="x-none" w:eastAsia="cs-CZ"/>
    </w:rPr>
  </w:style>
  <w:style w:type="character" w:customStyle="1" w:styleId="TextkomentraChar1325">
    <w:name w:val="Text komentára Char1325"/>
    <w:aliases w:val="Char7 Char Char1326,Text komentára Char Char Char1326,Comment Text Char Char Char1326"/>
    <w:uiPriority w:val="99"/>
    <w:semiHidden/>
    <w:rsid w:val="00A809E7"/>
    <w:rPr>
      <w:rFonts w:ascii="Courier" w:hAnsi="Courier"/>
      <w:lang w:val="x-none" w:eastAsia="cs-CZ"/>
    </w:rPr>
  </w:style>
  <w:style w:type="character" w:customStyle="1" w:styleId="TextkomentraChar1324">
    <w:name w:val="Text komentára Char1324"/>
    <w:aliases w:val="Char7 Char Char1325,Text komentára Char Char Char1325,Comment Text Char Char Char1325"/>
    <w:uiPriority w:val="99"/>
    <w:semiHidden/>
    <w:rsid w:val="00A809E7"/>
    <w:rPr>
      <w:rFonts w:ascii="Courier" w:hAnsi="Courier"/>
      <w:lang w:val="x-none" w:eastAsia="cs-CZ"/>
    </w:rPr>
  </w:style>
  <w:style w:type="character" w:customStyle="1" w:styleId="TextkomentraChar1323">
    <w:name w:val="Text komentára Char1323"/>
    <w:aliases w:val="Char7 Char Char1324,Text komentára Char Char Char1324,Comment Text Char Char Char1324"/>
    <w:uiPriority w:val="99"/>
    <w:semiHidden/>
    <w:rsid w:val="00A809E7"/>
    <w:rPr>
      <w:rFonts w:ascii="Courier" w:hAnsi="Courier"/>
      <w:lang w:val="x-none" w:eastAsia="cs-CZ"/>
    </w:rPr>
  </w:style>
  <w:style w:type="character" w:customStyle="1" w:styleId="TextkomentraChar1322">
    <w:name w:val="Text komentára Char1322"/>
    <w:aliases w:val="Char7 Char Char1323,Text komentára Char Char Char1323,Comment Text Char Char Char1323"/>
    <w:uiPriority w:val="99"/>
    <w:semiHidden/>
    <w:rsid w:val="00A809E7"/>
    <w:rPr>
      <w:rFonts w:ascii="Courier" w:hAnsi="Courier"/>
      <w:lang w:val="x-none" w:eastAsia="cs-CZ"/>
    </w:rPr>
  </w:style>
  <w:style w:type="character" w:customStyle="1" w:styleId="TextkomentraChar1321">
    <w:name w:val="Text komentára Char1321"/>
    <w:aliases w:val="Char7 Char Char1322,Text komentára Char Char Char1322,Comment Text Char Char Char1322"/>
    <w:uiPriority w:val="99"/>
    <w:semiHidden/>
    <w:rsid w:val="00A809E7"/>
    <w:rPr>
      <w:rFonts w:ascii="Courier" w:hAnsi="Courier"/>
      <w:lang w:val="x-none" w:eastAsia="cs-CZ"/>
    </w:rPr>
  </w:style>
  <w:style w:type="character" w:customStyle="1" w:styleId="TextkomentraChar1320">
    <w:name w:val="Text komentára Char1320"/>
    <w:aliases w:val="Char7 Char Char1321,Text komentára Char Char Char1321,Comment Text Char Char Char1321"/>
    <w:uiPriority w:val="99"/>
    <w:semiHidden/>
    <w:rsid w:val="00A809E7"/>
    <w:rPr>
      <w:rFonts w:ascii="Courier" w:hAnsi="Courier"/>
      <w:lang w:val="x-none" w:eastAsia="cs-CZ"/>
    </w:rPr>
  </w:style>
  <w:style w:type="character" w:customStyle="1" w:styleId="TextkomentraChar1319">
    <w:name w:val="Text komentára Char1319"/>
    <w:aliases w:val="Char7 Char Char1320,Text komentára Char Char Char1320,Comment Text Char Char Char1320"/>
    <w:uiPriority w:val="99"/>
    <w:semiHidden/>
    <w:rsid w:val="00A809E7"/>
    <w:rPr>
      <w:rFonts w:ascii="Courier" w:hAnsi="Courier"/>
      <w:lang w:val="x-none" w:eastAsia="cs-CZ"/>
    </w:rPr>
  </w:style>
  <w:style w:type="character" w:customStyle="1" w:styleId="TextkomentraChar1318">
    <w:name w:val="Text komentára Char1318"/>
    <w:aliases w:val="Char7 Char Char1319,Text komentára Char Char Char1319,Comment Text Char Char Char1319"/>
    <w:uiPriority w:val="99"/>
    <w:semiHidden/>
    <w:rsid w:val="00A809E7"/>
    <w:rPr>
      <w:rFonts w:ascii="Courier" w:hAnsi="Courier"/>
      <w:lang w:val="x-none" w:eastAsia="cs-CZ"/>
    </w:rPr>
  </w:style>
  <w:style w:type="character" w:customStyle="1" w:styleId="TextkomentraChar1317">
    <w:name w:val="Text komentára Char1317"/>
    <w:aliases w:val="Char7 Char Char1318,Text komentára Char Char Char1318,Comment Text Char Char Char1318"/>
    <w:uiPriority w:val="99"/>
    <w:semiHidden/>
    <w:rsid w:val="00A809E7"/>
    <w:rPr>
      <w:rFonts w:ascii="Courier" w:hAnsi="Courier"/>
      <w:lang w:val="x-none" w:eastAsia="cs-CZ"/>
    </w:rPr>
  </w:style>
  <w:style w:type="character" w:customStyle="1" w:styleId="TextkomentraChar1316">
    <w:name w:val="Text komentára Char1316"/>
    <w:aliases w:val="Char7 Char Char1317,Text komentára Char Char Char1317,Comment Text Char Char Char1317"/>
    <w:uiPriority w:val="99"/>
    <w:semiHidden/>
    <w:rsid w:val="00A809E7"/>
    <w:rPr>
      <w:rFonts w:ascii="Courier" w:hAnsi="Courier"/>
      <w:lang w:val="x-none" w:eastAsia="cs-CZ"/>
    </w:rPr>
  </w:style>
  <w:style w:type="character" w:customStyle="1" w:styleId="TextkomentraChar1315">
    <w:name w:val="Text komentára Char1315"/>
    <w:aliases w:val="Char7 Char Char1316,Text komentára Char Char Char1316,Comment Text Char Char Char1316"/>
    <w:uiPriority w:val="99"/>
    <w:semiHidden/>
    <w:rsid w:val="00A809E7"/>
    <w:rPr>
      <w:rFonts w:ascii="Courier" w:hAnsi="Courier"/>
      <w:lang w:val="x-none" w:eastAsia="cs-CZ"/>
    </w:rPr>
  </w:style>
  <w:style w:type="character" w:customStyle="1" w:styleId="TextkomentraChar1314">
    <w:name w:val="Text komentára Char1314"/>
    <w:aliases w:val="Char7 Char Char1315,Text komentára Char Char Char1315,Comment Text Char Char Char1315"/>
    <w:uiPriority w:val="99"/>
    <w:semiHidden/>
    <w:rsid w:val="00A809E7"/>
    <w:rPr>
      <w:rFonts w:ascii="Courier" w:hAnsi="Courier"/>
      <w:lang w:val="x-none" w:eastAsia="cs-CZ"/>
    </w:rPr>
  </w:style>
  <w:style w:type="character" w:customStyle="1" w:styleId="TextkomentraChar1313">
    <w:name w:val="Text komentára Char1313"/>
    <w:aliases w:val="Char7 Char Char1314,Text komentára Char Char Char1314,Comment Text Char Char Char1314"/>
    <w:uiPriority w:val="99"/>
    <w:semiHidden/>
    <w:rsid w:val="00A809E7"/>
    <w:rPr>
      <w:rFonts w:ascii="Courier" w:hAnsi="Courier"/>
      <w:lang w:val="x-none" w:eastAsia="cs-CZ"/>
    </w:rPr>
  </w:style>
  <w:style w:type="character" w:customStyle="1" w:styleId="TextkomentraChar1312">
    <w:name w:val="Text komentára Char1312"/>
    <w:aliases w:val="Char7 Char Char1313,Text komentára Char Char Char1313,Comment Text Char Char Char1313"/>
    <w:uiPriority w:val="99"/>
    <w:semiHidden/>
    <w:rsid w:val="00A809E7"/>
    <w:rPr>
      <w:rFonts w:ascii="Courier" w:hAnsi="Courier"/>
      <w:lang w:val="x-none" w:eastAsia="cs-CZ"/>
    </w:rPr>
  </w:style>
  <w:style w:type="character" w:customStyle="1" w:styleId="TextkomentraChar1311">
    <w:name w:val="Text komentára Char1311"/>
    <w:aliases w:val="Char7 Char Char1312,Text komentára Char Char Char1312,Comment Text Char Char Char1312"/>
    <w:uiPriority w:val="99"/>
    <w:semiHidden/>
    <w:rsid w:val="00A809E7"/>
    <w:rPr>
      <w:rFonts w:ascii="Courier" w:hAnsi="Courier"/>
      <w:lang w:val="x-none" w:eastAsia="cs-CZ"/>
    </w:rPr>
  </w:style>
  <w:style w:type="character" w:customStyle="1" w:styleId="TextkomentraChar1310">
    <w:name w:val="Text komentára Char1310"/>
    <w:aliases w:val="Char7 Char Char1311,Text komentára Char Char Char1311,Comment Text Char Char Char1311"/>
    <w:uiPriority w:val="99"/>
    <w:semiHidden/>
    <w:rsid w:val="00A809E7"/>
    <w:rPr>
      <w:rFonts w:ascii="Courier" w:hAnsi="Courier"/>
      <w:lang w:val="x-none" w:eastAsia="cs-CZ"/>
    </w:rPr>
  </w:style>
  <w:style w:type="character" w:customStyle="1" w:styleId="TextkomentraChar1309">
    <w:name w:val="Text komentára Char1309"/>
    <w:aliases w:val="Char7 Char Char1310,Text komentára Char Char Char1310,Comment Text Char Char Char1310"/>
    <w:uiPriority w:val="99"/>
    <w:semiHidden/>
    <w:rsid w:val="00A809E7"/>
    <w:rPr>
      <w:rFonts w:ascii="Courier" w:hAnsi="Courier"/>
      <w:lang w:val="x-none" w:eastAsia="cs-CZ"/>
    </w:rPr>
  </w:style>
  <w:style w:type="character" w:customStyle="1" w:styleId="TextkomentraChar1308">
    <w:name w:val="Text komentára Char1308"/>
    <w:aliases w:val="Char7 Char Char1309,Text komentára Char Char Char1309,Comment Text Char Char Char1309"/>
    <w:uiPriority w:val="99"/>
    <w:semiHidden/>
    <w:rsid w:val="00A809E7"/>
    <w:rPr>
      <w:rFonts w:ascii="Courier" w:hAnsi="Courier"/>
      <w:lang w:val="x-none" w:eastAsia="cs-CZ"/>
    </w:rPr>
  </w:style>
  <w:style w:type="character" w:customStyle="1" w:styleId="TextkomentraChar1307">
    <w:name w:val="Text komentára Char1307"/>
    <w:aliases w:val="Char7 Char Char1308,Text komentára Char Char Char1308,Comment Text Char Char Char1308"/>
    <w:uiPriority w:val="99"/>
    <w:semiHidden/>
    <w:rsid w:val="00A809E7"/>
    <w:rPr>
      <w:rFonts w:ascii="Courier" w:hAnsi="Courier"/>
      <w:lang w:val="x-none" w:eastAsia="cs-CZ"/>
    </w:rPr>
  </w:style>
  <w:style w:type="character" w:customStyle="1" w:styleId="TextkomentraChar1306">
    <w:name w:val="Text komentára Char1306"/>
    <w:aliases w:val="Char7 Char Char1307,Text komentára Char Char Char1307,Comment Text Char Char Char1307"/>
    <w:uiPriority w:val="99"/>
    <w:semiHidden/>
    <w:rsid w:val="00A809E7"/>
    <w:rPr>
      <w:rFonts w:ascii="Courier" w:hAnsi="Courier"/>
      <w:lang w:val="x-none" w:eastAsia="cs-CZ"/>
    </w:rPr>
  </w:style>
  <w:style w:type="character" w:customStyle="1" w:styleId="TextkomentraChar1305">
    <w:name w:val="Text komentára Char1305"/>
    <w:aliases w:val="Char7 Char Char1306,Text komentára Char Char Char1306,Comment Text Char Char Char1306"/>
    <w:uiPriority w:val="99"/>
    <w:semiHidden/>
    <w:rsid w:val="00A809E7"/>
    <w:rPr>
      <w:rFonts w:ascii="Courier" w:hAnsi="Courier"/>
      <w:lang w:val="x-none" w:eastAsia="cs-CZ"/>
    </w:rPr>
  </w:style>
  <w:style w:type="character" w:customStyle="1" w:styleId="TextkomentraChar1304">
    <w:name w:val="Text komentára Char1304"/>
    <w:aliases w:val="Char7 Char Char1305,Text komentára Char Char Char1305,Comment Text Char Char Char1305"/>
    <w:uiPriority w:val="99"/>
    <w:semiHidden/>
    <w:rsid w:val="00A809E7"/>
    <w:rPr>
      <w:rFonts w:ascii="Courier" w:hAnsi="Courier"/>
      <w:lang w:val="x-none" w:eastAsia="cs-CZ"/>
    </w:rPr>
  </w:style>
  <w:style w:type="character" w:customStyle="1" w:styleId="TextkomentraChar1303">
    <w:name w:val="Text komentára Char1303"/>
    <w:aliases w:val="Char7 Char Char1304,Text komentára Char Char Char1304,Comment Text Char Char Char1304"/>
    <w:uiPriority w:val="99"/>
    <w:semiHidden/>
    <w:rsid w:val="00A809E7"/>
    <w:rPr>
      <w:rFonts w:ascii="Courier" w:hAnsi="Courier"/>
      <w:lang w:val="x-none" w:eastAsia="cs-CZ"/>
    </w:rPr>
  </w:style>
  <w:style w:type="character" w:customStyle="1" w:styleId="TextkomentraChar1302">
    <w:name w:val="Text komentára Char1302"/>
    <w:aliases w:val="Char7 Char Char1303,Text komentára Char Char Char1303,Comment Text Char Char Char1303"/>
    <w:uiPriority w:val="99"/>
    <w:semiHidden/>
    <w:rsid w:val="00A809E7"/>
    <w:rPr>
      <w:rFonts w:ascii="Courier" w:hAnsi="Courier"/>
      <w:lang w:val="x-none" w:eastAsia="cs-CZ"/>
    </w:rPr>
  </w:style>
  <w:style w:type="character" w:customStyle="1" w:styleId="TextkomentraChar1301">
    <w:name w:val="Text komentára Char1301"/>
    <w:aliases w:val="Char7 Char Char1302,Text komentára Char Char Char1302,Comment Text Char Char Char1302"/>
    <w:uiPriority w:val="99"/>
    <w:semiHidden/>
    <w:rsid w:val="00A809E7"/>
    <w:rPr>
      <w:rFonts w:ascii="Courier" w:hAnsi="Courier"/>
      <w:lang w:val="x-none" w:eastAsia="cs-CZ"/>
    </w:rPr>
  </w:style>
  <w:style w:type="character" w:customStyle="1" w:styleId="TextkomentraChar1300">
    <w:name w:val="Text komentára Char1300"/>
    <w:aliases w:val="Char7 Char Char1301,Text komentára Char Char Char1301,Comment Text Char Char Char1301"/>
    <w:uiPriority w:val="99"/>
    <w:semiHidden/>
    <w:rsid w:val="00A809E7"/>
    <w:rPr>
      <w:rFonts w:ascii="Courier" w:hAnsi="Courier"/>
      <w:lang w:val="x-none" w:eastAsia="cs-CZ"/>
    </w:rPr>
  </w:style>
  <w:style w:type="character" w:customStyle="1" w:styleId="TextkomentraChar1299">
    <w:name w:val="Text komentára Char1299"/>
    <w:aliases w:val="Char7 Char Char1300,Text komentára Char Char Char1300,Comment Text Char Char Char1300"/>
    <w:uiPriority w:val="99"/>
    <w:semiHidden/>
    <w:rsid w:val="00A809E7"/>
    <w:rPr>
      <w:rFonts w:ascii="Courier" w:hAnsi="Courier"/>
      <w:lang w:val="x-none" w:eastAsia="cs-CZ"/>
    </w:rPr>
  </w:style>
  <w:style w:type="character" w:customStyle="1" w:styleId="TextkomentraChar1298">
    <w:name w:val="Text komentára Char1298"/>
    <w:aliases w:val="Char7 Char Char1299,Text komentára Char Char Char1299,Comment Text Char Char Char1299"/>
    <w:uiPriority w:val="99"/>
    <w:semiHidden/>
    <w:rsid w:val="00A809E7"/>
    <w:rPr>
      <w:rFonts w:ascii="Courier" w:hAnsi="Courier"/>
      <w:lang w:val="x-none" w:eastAsia="cs-CZ"/>
    </w:rPr>
  </w:style>
  <w:style w:type="character" w:customStyle="1" w:styleId="TextkomentraChar1297">
    <w:name w:val="Text komentára Char1297"/>
    <w:aliases w:val="Char7 Char Char1298,Text komentára Char Char Char1298,Comment Text Char Char Char1298"/>
    <w:uiPriority w:val="99"/>
    <w:semiHidden/>
    <w:rsid w:val="00A809E7"/>
    <w:rPr>
      <w:rFonts w:ascii="Courier" w:hAnsi="Courier"/>
      <w:lang w:val="x-none" w:eastAsia="cs-CZ"/>
    </w:rPr>
  </w:style>
  <w:style w:type="character" w:customStyle="1" w:styleId="TextkomentraChar1296">
    <w:name w:val="Text komentára Char1296"/>
    <w:aliases w:val="Char7 Char Char1297,Text komentára Char Char Char1297,Comment Text Char Char Char1297"/>
    <w:uiPriority w:val="99"/>
    <w:semiHidden/>
    <w:rsid w:val="00A809E7"/>
    <w:rPr>
      <w:rFonts w:ascii="Courier" w:hAnsi="Courier"/>
      <w:lang w:val="x-none" w:eastAsia="cs-CZ"/>
    </w:rPr>
  </w:style>
  <w:style w:type="character" w:customStyle="1" w:styleId="TextkomentraChar1295">
    <w:name w:val="Text komentára Char1295"/>
    <w:aliases w:val="Char7 Char Char1296,Text komentára Char Char Char1296,Comment Text Char Char Char1296"/>
    <w:uiPriority w:val="99"/>
    <w:semiHidden/>
    <w:rsid w:val="00A809E7"/>
    <w:rPr>
      <w:rFonts w:ascii="Courier" w:hAnsi="Courier"/>
      <w:lang w:val="x-none" w:eastAsia="cs-CZ"/>
    </w:rPr>
  </w:style>
  <w:style w:type="character" w:customStyle="1" w:styleId="TextkomentraChar1294">
    <w:name w:val="Text komentára Char1294"/>
    <w:aliases w:val="Char7 Char Char1295,Text komentára Char Char Char1295,Comment Text Char Char Char1295"/>
    <w:uiPriority w:val="99"/>
    <w:semiHidden/>
    <w:rsid w:val="00A809E7"/>
    <w:rPr>
      <w:rFonts w:ascii="Courier" w:hAnsi="Courier"/>
      <w:lang w:val="x-none" w:eastAsia="cs-CZ"/>
    </w:rPr>
  </w:style>
  <w:style w:type="character" w:customStyle="1" w:styleId="TextkomentraChar1293">
    <w:name w:val="Text komentára Char1293"/>
    <w:aliases w:val="Char7 Char Char1294,Text komentára Char Char Char1294,Comment Text Char Char Char1294"/>
    <w:uiPriority w:val="99"/>
    <w:semiHidden/>
    <w:rsid w:val="00A809E7"/>
    <w:rPr>
      <w:rFonts w:ascii="Courier" w:hAnsi="Courier"/>
      <w:lang w:val="x-none" w:eastAsia="cs-CZ"/>
    </w:rPr>
  </w:style>
  <w:style w:type="character" w:customStyle="1" w:styleId="TextkomentraChar1292">
    <w:name w:val="Text komentára Char1292"/>
    <w:aliases w:val="Char7 Char Char1293,Text komentára Char Char Char1293,Comment Text Char Char Char1293"/>
    <w:uiPriority w:val="99"/>
    <w:semiHidden/>
    <w:rsid w:val="00A809E7"/>
    <w:rPr>
      <w:rFonts w:ascii="Courier" w:hAnsi="Courier"/>
      <w:lang w:val="x-none" w:eastAsia="cs-CZ"/>
    </w:rPr>
  </w:style>
  <w:style w:type="character" w:customStyle="1" w:styleId="TextkomentraChar1291">
    <w:name w:val="Text komentára Char1291"/>
    <w:aliases w:val="Char7 Char Char1292,Text komentára Char Char Char1292,Comment Text Char Char Char1292"/>
    <w:uiPriority w:val="99"/>
    <w:semiHidden/>
    <w:rsid w:val="00A809E7"/>
    <w:rPr>
      <w:rFonts w:ascii="Courier" w:hAnsi="Courier"/>
      <w:lang w:val="x-none" w:eastAsia="cs-CZ"/>
    </w:rPr>
  </w:style>
  <w:style w:type="character" w:customStyle="1" w:styleId="TextkomentraChar1290">
    <w:name w:val="Text komentára Char1290"/>
    <w:aliases w:val="Char7 Char Char1291,Text komentára Char Char Char1291,Comment Text Char Char Char1291"/>
    <w:uiPriority w:val="99"/>
    <w:semiHidden/>
    <w:rsid w:val="00A809E7"/>
    <w:rPr>
      <w:rFonts w:ascii="Courier" w:hAnsi="Courier"/>
      <w:lang w:val="x-none" w:eastAsia="cs-CZ"/>
    </w:rPr>
  </w:style>
  <w:style w:type="character" w:customStyle="1" w:styleId="TextkomentraChar1289">
    <w:name w:val="Text komentára Char1289"/>
    <w:aliases w:val="Char7 Char Char1290,Text komentára Char Char Char1290,Comment Text Char Char Char1290"/>
    <w:uiPriority w:val="99"/>
    <w:semiHidden/>
    <w:rsid w:val="00A809E7"/>
    <w:rPr>
      <w:rFonts w:ascii="Courier" w:hAnsi="Courier"/>
      <w:lang w:val="x-none" w:eastAsia="cs-CZ"/>
    </w:rPr>
  </w:style>
  <w:style w:type="character" w:customStyle="1" w:styleId="TextkomentraChar1288">
    <w:name w:val="Text komentára Char1288"/>
    <w:aliases w:val="Char7 Char Char1289,Text komentára Char Char Char1289,Comment Text Char Char Char1289"/>
    <w:uiPriority w:val="99"/>
    <w:semiHidden/>
    <w:rsid w:val="00A809E7"/>
    <w:rPr>
      <w:rFonts w:ascii="Courier" w:hAnsi="Courier"/>
      <w:lang w:val="x-none" w:eastAsia="cs-CZ"/>
    </w:rPr>
  </w:style>
  <w:style w:type="character" w:customStyle="1" w:styleId="TextkomentraChar1287">
    <w:name w:val="Text komentára Char1287"/>
    <w:aliases w:val="Char7 Char Char1288,Text komentára Char Char Char1288,Comment Text Char Char Char1288"/>
    <w:uiPriority w:val="99"/>
    <w:semiHidden/>
    <w:rsid w:val="00A809E7"/>
    <w:rPr>
      <w:rFonts w:ascii="Courier" w:hAnsi="Courier"/>
      <w:lang w:val="x-none" w:eastAsia="cs-CZ"/>
    </w:rPr>
  </w:style>
  <w:style w:type="character" w:customStyle="1" w:styleId="TextkomentraChar1286">
    <w:name w:val="Text komentára Char1286"/>
    <w:aliases w:val="Char7 Char Char1287,Text komentára Char Char Char1287,Comment Text Char Char Char1287"/>
    <w:uiPriority w:val="99"/>
    <w:semiHidden/>
    <w:rsid w:val="00A809E7"/>
    <w:rPr>
      <w:rFonts w:ascii="Courier" w:hAnsi="Courier"/>
      <w:lang w:val="x-none" w:eastAsia="cs-CZ"/>
    </w:rPr>
  </w:style>
  <w:style w:type="character" w:customStyle="1" w:styleId="TextkomentraChar1285">
    <w:name w:val="Text komentára Char1285"/>
    <w:aliases w:val="Char7 Char Char1286,Text komentára Char Char Char1286,Comment Text Char Char Char1286"/>
    <w:uiPriority w:val="99"/>
    <w:semiHidden/>
    <w:rsid w:val="00A809E7"/>
    <w:rPr>
      <w:rFonts w:ascii="Courier" w:hAnsi="Courier"/>
      <w:lang w:val="x-none" w:eastAsia="cs-CZ"/>
    </w:rPr>
  </w:style>
  <w:style w:type="character" w:customStyle="1" w:styleId="TextkomentraChar1284">
    <w:name w:val="Text komentára Char1284"/>
    <w:aliases w:val="Char7 Char Char1285,Text komentára Char Char Char1285,Comment Text Char Char Char1285"/>
    <w:uiPriority w:val="99"/>
    <w:semiHidden/>
    <w:rsid w:val="00A809E7"/>
    <w:rPr>
      <w:rFonts w:ascii="Courier" w:hAnsi="Courier"/>
      <w:lang w:val="x-none" w:eastAsia="cs-CZ"/>
    </w:rPr>
  </w:style>
  <w:style w:type="character" w:customStyle="1" w:styleId="TextkomentraChar1283">
    <w:name w:val="Text komentára Char1283"/>
    <w:aliases w:val="Char7 Char Char1284,Text komentára Char Char Char1284,Comment Text Char Char Char1284"/>
    <w:uiPriority w:val="99"/>
    <w:semiHidden/>
    <w:rsid w:val="00A809E7"/>
    <w:rPr>
      <w:rFonts w:ascii="Courier" w:hAnsi="Courier"/>
      <w:lang w:val="x-none" w:eastAsia="cs-CZ"/>
    </w:rPr>
  </w:style>
  <w:style w:type="character" w:customStyle="1" w:styleId="TextkomentraChar1282">
    <w:name w:val="Text komentára Char1282"/>
    <w:aliases w:val="Char7 Char Char1283,Text komentára Char Char Char1283,Comment Text Char Char Char1283"/>
    <w:uiPriority w:val="99"/>
    <w:semiHidden/>
    <w:rsid w:val="00A809E7"/>
    <w:rPr>
      <w:rFonts w:ascii="Courier" w:hAnsi="Courier"/>
      <w:lang w:val="x-none" w:eastAsia="cs-CZ"/>
    </w:rPr>
  </w:style>
  <w:style w:type="character" w:customStyle="1" w:styleId="TextkomentraChar1281">
    <w:name w:val="Text komentára Char1281"/>
    <w:aliases w:val="Char7 Char Char1282,Text komentára Char Char Char1282,Comment Text Char Char Char1282"/>
    <w:uiPriority w:val="99"/>
    <w:semiHidden/>
    <w:rsid w:val="00A809E7"/>
    <w:rPr>
      <w:rFonts w:ascii="Courier" w:hAnsi="Courier"/>
      <w:lang w:val="x-none" w:eastAsia="cs-CZ"/>
    </w:rPr>
  </w:style>
  <w:style w:type="character" w:customStyle="1" w:styleId="TextkomentraChar1280">
    <w:name w:val="Text komentára Char1280"/>
    <w:aliases w:val="Char7 Char Char1281,Text komentára Char Char Char1281,Comment Text Char Char Char1281"/>
    <w:uiPriority w:val="99"/>
    <w:semiHidden/>
    <w:rsid w:val="00A809E7"/>
    <w:rPr>
      <w:rFonts w:ascii="Courier" w:hAnsi="Courier"/>
      <w:lang w:val="x-none" w:eastAsia="cs-CZ"/>
    </w:rPr>
  </w:style>
  <w:style w:type="character" w:customStyle="1" w:styleId="TextkomentraChar1279">
    <w:name w:val="Text komentára Char1279"/>
    <w:aliases w:val="Char7 Char Char1280,Text komentára Char Char Char1280,Comment Text Char Char Char1280"/>
    <w:uiPriority w:val="99"/>
    <w:semiHidden/>
    <w:rsid w:val="00A809E7"/>
    <w:rPr>
      <w:rFonts w:ascii="Courier" w:hAnsi="Courier"/>
      <w:lang w:val="x-none" w:eastAsia="cs-CZ"/>
    </w:rPr>
  </w:style>
  <w:style w:type="character" w:customStyle="1" w:styleId="TextkomentraChar1278">
    <w:name w:val="Text komentára Char1278"/>
    <w:aliases w:val="Char7 Char Char1279,Text komentára Char Char Char1279,Comment Text Char Char Char1279"/>
    <w:uiPriority w:val="99"/>
    <w:semiHidden/>
    <w:rsid w:val="00A809E7"/>
    <w:rPr>
      <w:rFonts w:ascii="Courier" w:hAnsi="Courier"/>
      <w:lang w:val="x-none" w:eastAsia="cs-CZ"/>
    </w:rPr>
  </w:style>
  <w:style w:type="character" w:customStyle="1" w:styleId="TextkomentraChar1277">
    <w:name w:val="Text komentára Char1277"/>
    <w:aliases w:val="Char7 Char Char1278,Text komentára Char Char Char1278,Comment Text Char Char Char1278"/>
    <w:uiPriority w:val="99"/>
    <w:semiHidden/>
    <w:rsid w:val="00A809E7"/>
    <w:rPr>
      <w:rFonts w:ascii="Courier" w:hAnsi="Courier"/>
      <w:lang w:val="x-none" w:eastAsia="cs-CZ"/>
    </w:rPr>
  </w:style>
  <w:style w:type="character" w:customStyle="1" w:styleId="TextkomentraChar1276">
    <w:name w:val="Text komentára Char1276"/>
    <w:aliases w:val="Char7 Char Char1277,Text komentára Char Char Char1277,Comment Text Char Char Char1277"/>
    <w:uiPriority w:val="99"/>
    <w:semiHidden/>
    <w:rsid w:val="00A809E7"/>
    <w:rPr>
      <w:rFonts w:ascii="Courier" w:hAnsi="Courier"/>
      <w:lang w:val="x-none" w:eastAsia="cs-CZ"/>
    </w:rPr>
  </w:style>
  <w:style w:type="character" w:customStyle="1" w:styleId="TextkomentraChar1275">
    <w:name w:val="Text komentára Char1275"/>
    <w:aliases w:val="Char7 Char Char1276,Text komentára Char Char Char1276,Comment Text Char Char Char1276"/>
    <w:uiPriority w:val="99"/>
    <w:semiHidden/>
    <w:rsid w:val="00A809E7"/>
    <w:rPr>
      <w:rFonts w:ascii="Courier" w:hAnsi="Courier"/>
      <w:lang w:val="x-none" w:eastAsia="cs-CZ"/>
    </w:rPr>
  </w:style>
  <w:style w:type="character" w:customStyle="1" w:styleId="TextkomentraChar1274">
    <w:name w:val="Text komentára Char1274"/>
    <w:aliases w:val="Char7 Char Char1275,Text komentára Char Char Char1275,Comment Text Char Char Char1275"/>
    <w:uiPriority w:val="99"/>
    <w:semiHidden/>
    <w:rsid w:val="00A809E7"/>
    <w:rPr>
      <w:rFonts w:ascii="Courier" w:hAnsi="Courier"/>
      <w:lang w:val="x-none" w:eastAsia="cs-CZ"/>
    </w:rPr>
  </w:style>
  <w:style w:type="character" w:customStyle="1" w:styleId="TextkomentraChar1273">
    <w:name w:val="Text komentára Char1273"/>
    <w:aliases w:val="Char7 Char Char1274,Text komentára Char Char Char1274,Comment Text Char Char Char1274"/>
    <w:uiPriority w:val="99"/>
    <w:semiHidden/>
    <w:rsid w:val="00A809E7"/>
    <w:rPr>
      <w:rFonts w:ascii="Courier" w:hAnsi="Courier"/>
      <w:lang w:val="x-none" w:eastAsia="cs-CZ"/>
    </w:rPr>
  </w:style>
  <w:style w:type="character" w:customStyle="1" w:styleId="TextkomentraChar1272">
    <w:name w:val="Text komentára Char1272"/>
    <w:aliases w:val="Char7 Char Char1273,Text komentára Char Char Char1273,Comment Text Char Char Char1273"/>
    <w:uiPriority w:val="99"/>
    <w:semiHidden/>
    <w:rsid w:val="00A809E7"/>
    <w:rPr>
      <w:rFonts w:ascii="Courier" w:hAnsi="Courier"/>
      <w:lang w:val="x-none" w:eastAsia="cs-CZ"/>
    </w:rPr>
  </w:style>
  <w:style w:type="character" w:customStyle="1" w:styleId="TextkomentraChar1271">
    <w:name w:val="Text komentára Char1271"/>
    <w:aliases w:val="Char7 Char Char1272,Text komentára Char Char Char1272,Comment Text Char Char Char1272"/>
    <w:uiPriority w:val="99"/>
    <w:semiHidden/>
    <w:rsid w:val="00A809E7"/>
    <w:rPr>
      <w:rFonts w:ascii="Courier" w:hAnsi="Courier"/>
      <w:lang w:val="x-none" w:eastAsia="cs-CZ"/>
    </w:rPr>
  </w:style>
  <w:style w:type="character" w:customStyle="1" w:styleId="TextkomentraChar1270">
    <w:name w:val="Text komentára Char1270"/>
    <w:aliases w:val="Char7 Char Char1271,Text komentára Char Char Char1271,Comment Text Char Char Char1271"/>
    <w:uiPriority w:val="99"/>
    <w:semiHidden/>
    <w:rsid w:val="00A809E7"/>
    <w:rPr>
      <w:rFonts w:ascii="Courier" w:hAnsi="Courier"/>
      <w:lang w:val="x-none" w:eastAsia="cs-CZ"/>
    </w:rPr>
  </w:style>
  <w:style w:type="character" w:customStyle="1" w:styleId="TextkomentraChar1269">
    <w:name w:val="Text komentára Char1269"/>
    <w:aliases w:val="Char7 Char Char1270,Text komentára Char Char Char1270,Comment Text Char Char Char1270"/>
    <w:uiPriority w:val="99"/>
    <w:semiHidden/>
    <w:rsid w:val="00A809E7"/>
    <w:rPr>
      <w:rFonts w:ascii="Courier" w:hAnsi="Courier"/>
      <w:lang w:val="x-none" w:eastAsia="cs-CZ"/>
    </w:rPr>
  </w:style>
  <w:style w:type="character" w:customStyle="1" w:styleId="TextkomentraChar1268">
    <w:name w:val="Text komentára Char1268"/>
    <w:aliases w:val="Char7 Char Char1269,Text komentára Char Char Char1269,Comment Text Char Char Char1269"/>
    <w:uiPriority w:val="99"/>
    <w:semiHidden/>
    <w:rsid w:val="00A809E7"/>
    <w:rPr>
      <w:rFonts w:ascii="Courier" w:hAnsi="Courier"/>
      <w:lang w:val="x-none" w:eastAsia="cs-CZ"/>
    </w:rPr>
  </w:style>
  <w:style w:type="character" w:customStyle="1" w:styleId="TextkomentraChar1267">
    <w:name w:val="Text komentára Char1267"/>
    <w:aliases w:val="Char7 Char Char1268,Text komentára Char Char Char1268,Comment Text Char Char Char1268"/>
    <w:uiPriority w:val="99"/>
    <w:semiHidden/>
    <w:rsid w:val="00A809E7"/>
    <w:rPr>
      <w:rFonts w:ascii="Courier" w:hAnsi="Courier"/>
      <w:lang w:val="x-none" w:eastAsia="cs-CZ"/>
    </w:rPr>
  </w:style>
  <w:style w:type="character" w:customStyle="1" w:styleId="TextkomentraChar1266">
    <w:name w:val="Text komentára Char1266"/>
    <w:aliases w:val="Char7 Char Char1267,Text komentára Char Char Char1267,Comment Text Char Char Char1267"/>
    <w:uiPriority w:val="99"/>
    <w:semiHidden/>
    <w:rsid w:val="00A809E7"/>
    <w:rPr>
      <w:rFonts w:ascii="Courier" w:hAnsi="Courier"/>
      <w:lang w:val="x-none" w:eastAsia="cs-CZ"/>
    </w:rPr>
  </w:style>
  <w:style w:type="character" w:customStyle="1" w:styleId="TextkomentraChar1265">
    <w:name w:val="Text komentára Char1265"/>
    <w:aliases w:val="Char7 Char Char1266,Text komentára Char Char Char1266,Comment Text Char Char Char1266"/>
    <w:uiPriority w:val="99"/>
    <w:semiHidden/>
    <w:rsid w:val="00A809E7"/>
    <w:rPr>
      <w:rFonts w:ascii="Courier" w:hAnsi="Courier"/>
      <w:lang w:val="x-none" w:eastAsia="cs-CZ"/>
    </w:rPr>
  </w:style>
  <w:style w:type="character" w:customStyle="1" w:styleId="TextkomentraChar1264">
    <w:name w:val="Text komentára Char1264"/>
    <w:aliases w:val="Char7 Char Char1265,Text komentára Char Char Char1265,Comment Text Char Char Char1265"/>
    <w:uiPriority w:val="99"/>
    <w:semiHidden/>
    <w:rsid w:val="00A809E7"/>
    <w:rPr>
      <w:rFonts w:ascii="Courier" w:hAnsi="Courier"/>
      <w:lang w:val="x-none" w:eastAsia="cs-CZ"/>
    </w:rPr>
  </w:style>
  <w:style w:type="character" w:customStyle="1" w:styleId="TextkomentraChar1263">
    <w:name w:val="Text komentára Char1263"/>
    <w:aliases w:val="Char7 Char Char1264,Text komentára Char Char Char1264,Comment Text Char Char Char1264"/>
    <w:uiPriority w:val="99"/>
    <w:semiHidden/>
    <w:rsid w:val="00A809E7"/>
    <w:rPr>
      <w:rFonts w:ascii="Courier" w:hAnsi="Courier"/>
      <w:lang w:val="x-none" w:eastAsia="cs-CZ"/>
    </w:rPr>
  </w:style>
  <w:style w:type="character" w:customStyle="1" w:styleId="TextkomentraChar1262">
    <w:name w:val="Text komentára Char1262"/>
    <w:aliases w:val="Char7 Char Char1263,Text komentára Char Char Char1263,Comment Text Char Char Char1263"/>
    <w:uiPriority w:val="99"/>
    <w:semiHidden/>
    <w:rsid w:val="00A809E7"/>
    <w:rPr>
      <w:rFonts w:ascii="Courier" w:hAnsi="Courier"/>
      <w:lang w:val="x-none" w:eastAsia="cs-CZ"/>
    </w:rPr>
  </w:style>
  <w:style w:type="character" w:customStyle="1" w:styleId="TextkomentraChar1261">
    <w:name w:val="Text komentára Char1261"/>
    <w:aliases w:val="Char7 Char Char1262,Text komentára Char Char Char1262,Comment Text Char Char Char1262"/>
    <w:uiPriority w:val="99"/>
    <w:semiHidden/>
    <w:rsid w:val="00A809E7"/>
    <w:rPr>
      <w:rFonts w:ascii="Courier" w:hAnsi="Courier"/>
      <w:lang w:val="x-none" w:eastAsia="cs-CZ"/>
    </w:rPr>
  </w:style>
  <w:style w:type="character" w:customStyle="1" w:styleId="TextkomentraChar1260">
    <w:name w:val="Text komentára Char1260"/>
    <w:aliases w:val="Char7 Char Char1261,Text komentára Char Char Char1261,Comment Text Char Char Char1261"/>
    <w:uiPriority w:val="99"/>
    <w:semiHidden/>
    <w:rsid w:val="00A809E7"/>
    <w:rPr>
      <w:rFonts w:ascii="Courier" w:hAnsi="Courier"/>
      <w:lang w:val="x-none" w:eastAsia="cs-CZ"/>
    </w:rPr>
  </w:style>
  <w:style w:type="character" w:customStyle="1" w:styleId="TextkomentraChar1259">
    <w:name w:val="Text komentára Char1259"/>
    <w:aliases w:val="Char7 Char Char1260,Text komentára Char Char Char1260,Comment Text Char Char Char1260"/>
    <w:uiPriority w:val="99"/>
    <w:semiHidden/>
    <w:rsid w:val="00A809E7"/>
    <w:rPr>
      <w:rFonts w:ascii="Courier" w:hAnsi="Courier"/>
      <w:lang w:val="x-none" w:eastAsia="cs-CZ"/>
    </w:rPr>
  </w:style>
  <w:style w:type="character" w:customStyle="1" w:styleId="TextkomentraChar1258">
    <w:name w:val="Text komentára Char1258"/>
    <w:aliases w:val="Char7 Char Char1259,Text komentára Char Char Char1259,Comment Text Char Char Char1259"/>
    <w:uiPriority w:val="99"/>
    <w:semiHidden/>
    <w:rsid w:val="00A809E7"/>
    <w:rPr>
      <w:rFonts w:ascii="Courier" w:hAnsi="Courier"/>
      <w:lang w:val="x-none" w:eastAsia="cs-CZ"/>
    </w:rPr>
  </w:style>
  <w:style w:type="character" w:customStyle="1" w:styleId="TextkomentraChar1257">
    <w:name w:val="Text komentára Char1257"/>
    <w:aliases w:val="Char7 Char Char1258,Text komentára Char Char Char1258,Comment Text Char Char Char1258"/>
    <w:uiPriority w:val="99"/>
    <w:semiHidden/>
    <w:rsid w:val="00A809E7"/>
    <w:rPr>
      <w:rFonts w:ascii="Courier" w:hAnsi="Courier"/>
      <w:lang w:val="x-none" w:eastAsia="cs-CZ"/>
    </w:rPr>
  </w:style>
  <w:style w:type="character" w:customStyle="1" w:styleId="TextkomentraChar1256">
    <w:name w:val="Text komentára Char1256"/>
    <w:aliases w:val="Char7 Char Char1257,Text komentára Char Char Char1257,Comment Text Char Char Char1257"/>
    <w:uiPriority w:val="99"/>
    <w:semiHidden/>
    <w:rsid w:val="00A809E7"/>
    <w:rPr>
      <w:rFonts w:ascii="Courier" w:hAnsi="Courier"/>
      <w:lang w:val="x-none" w:eastAsia="cs-CZ"/>
    </w:rPr>
  </w:style>
  <w:style w:type="character" w:customStyle="1" w:styleId="TextkomentraChar1255">
    <w:name w:val="Text komentára Char1255"/>
    <w:aliases w:val="Char7 Char Char1256,Text komentára Char Char Char1256,Comment Text Char Char Char1256"/>
    <w:uiPriority w:val="99"/>
    <w:semiHidden/>
    <w:rsid w:val="00A809E7"/>
    <w:rPr>
      <w:rFonts w:ascii="Courier" w:hAnsi="Courier"/>
      <w:lang w:val="x-none" w:eastAsia="cs-CZ"/>
    </w:rPr>
  </w:style>
  <w:style w:type="character" w:customStyle="1" w:styleId="TextkomentraChar1254">
    <w:name w:val="Text komentára Char1254"/>
    <w:aliases w:val="Char7 Char Char1255,Text komentára Char Char Char1255,Comment Text Char Char Char1255"/>
    <w:uiPriority w:val="99"/>
    <w:semiHidden/>
    <w:rsid w:val="00A809E7"/>
    <w:rPr>
      <w:rFonts w:ascii="Courier" w:hAnsi="Courier"/>
      <w:lang w:val="x-none" w:eastAsia="cs-CZ"/>
    </w:rPr>
  </w:style>
  <w:style w:type="character" w:customStyle="1" w:styleId="TextkomentraChar1253">
    <w:name w:val="Text komentára Char1253"/>
    <w:aliases w:val="Char7 Char Char1254,Text komentára Char Char Char1254,Comment Text Char Char Char1254"/>
    <w:uiPriority w:val="99"/>
    <w:semiHidden/>
    <w:rsid w:val="00A809E7"/>
    <w:rPr>
      <w:rFonts w:ascii="Courier" w:hAnsi="Courier"/>
      <w:lang w:val="x-none" w:eastAsia="cs-CZ"/>
    </w:rPr>
  </w:style>
  <w:style w:type="character" w:customStyle="1" w:styleId="TextkomentraChar1252">
    <w:name w:val="Text komentára Char1252"/>
    <w:aliases w:val="Char7 Char Char1253,Text komentára Char Char Char1253,Comment Text Char Char Char1253"/>
    <w:uiPriority w:val="99"/>
    <w:semiHidden/>
    <w:rsid w:val="00A809E7"/>
    <w:rPr>
      <w:rFonts w:ascii="Courier" w:hAnsi="Courier"/>
      <w:lang w:val="x-none" w:eastAsia="cs-CZ"/>
    </w:rPr>
  </w:style>
  <w:style w:type="character" w:customStyle="1" w:styleId="TextkomentraChar1251">
    <w:name w:val="Text komentára Char1251"/>
    <w:aliases w:val="Char7 Char Char1252,Text komentára Char Char Char1252,Comment Text Char Char Char1252"/>
    <w:uiPriority w:val="99"/>
    <w:semiHidden/>
    <w:rsid w:val="00A809E7"/>
    <w:rPr>
      <w:rFonts w:ascii="Courier" w:hAnsi="Courier"/>
      <w:lang w:val="x-none" w:eastAsia="cs-CZ"/>
    </w:rPr>
  </w:style>
  <w:style w:type="character" w:customStyle="1" w:styleId="TextkomentraChar1250">
    <w:name w:val="Text komentára Char1250"/>
    <w:aliases w:val="Char7 Char Char1251,Text komentára Char Char Char1251,Comment Text Char Char Char1251"/>
    <w:uiPriority w:val="99"/>
    <w:semiHidden/>
    <w:rsid w:val="00A809E7"/>
    <w:rPr>
      <w:rFonts w:ascii="Courier" w:hAnsi="Courier"/>
      <w:lang w:val="x-none" w:eastAsia="cs-CZ"/>
    </w:rPr>
  </w:style>
  <w:style w:type="character" w:customStyle="1" w:styleId="TextkomentraChar1249">
    <w:name w:val="Text komentára Char1249"/>
    <w:aliases w:val="Char7 Char Char1250,Text komentára Char Char Char1250,Comment Text Char Char Char1250"/>
    <w:uiPriority w:val="99"/>
    <w:semiHidden/>
    <w:rsid w:val="00A809E7"/>
    <w:rPr>
      <w:rFonts w:ascii="Courier" w:hAnsi="Courier"/>
      <w:lang w:val="x-none" w:eastAsia="cs-CZ"/>
    </w:rPr>
  </w:style>
  <w:style w:type="character" w:customStyle="1" w:styleId="TextkomentraChar1248">
    <w:name w:val="Text komentára Char1248"/>
    <w:aliases w:val="Char7 Char Char1249,Text komentára Char Char Char1249,Comment Text Char Char Char1249"/>
    <w:uiPriority w:val="99"/>
    <w:semiHidden/>
    <w:rsid w:val="00A809E7"/>
    <w:rPr>
      <w:rFonts w:ascii="Courier" w:hAnsi="Courier"/>
      <w:lang w:val="x-none" w:eastAsia="cs-CZ"/>
    </w:rPr>
  </w:style>
  <w:style w:type="character" w:customStyle="1" w:styleId="TextkomentraChar1247">
    <w:name w:val="Text komentára Char1247"/>
    <w:aliases w:val="Char7 Char Char1248,Text komentára Char Char Char1248,Comment Text Char Char Char1248"/>
    <w:uiPriority w:val="99"/>
    <w:semiHidden/>
    <w:rsid w:val="00A809E7"/>
    <w:rPr>
      <w:rFonts w:ascii="Courier" w:hAnsi="Courier"/>
      <w:lang w:val="x-none" w:eastAsia="cs-CZ"/>
    </w:rPr>
  </w:style>
  <w:style w:type="character" w:customStyle="1" w:styleId="TextkomentraChar1246">
    <w:name w:val="Text komentára Char1246"/>
    <w:aliases w:val="Char7 Char Char1247,Text komentára Char Char Char1247,Comment Text Char Char Char1247"/>
    <w:uiPriority w:val="99"/>
    <w:semiHidden/>
    <w:rsid w:val="00A809E7"/>
    <w:rPr>
      <w:rFonts w:ascii="Courier" w:hAnsi="Courier"/>
      <w:lang w:val="x-none" w:eastAsia="cs-CZ"/>
    </w:rPr>
  </w:style>
  <w:style w:type="character" w:customStyle="1" w:styleId="TextkomentraChar1245">
    <w:name w:val="Text komentára Char1245"/>
    <w:aliases w:val="Char7 Char Char1246,Text komentára Char Char Char1246,Comment Text Char Char Char1246"/>
    <w:uiPriority w:val="99"/>
    <w:semiHidden/>
    <w:rsid w:val="00A809E7"/>
    <w:rPr>
      <w:rFonts w:ascii="Courier" w:hAnsi="Courier"/>
      <w:lang w:val="x-none" w:eastAsia="cs-CZ"/>
    </w:rPr>
  </w:style>
  <w:style w:type="character" w:customStyle="1" w:styleId="TextkomentraChar1244">
    <w:name w:val="Text komentára Char1244"/>
    <w:aliases w:val="Char7 Char Char1245,Text komentára Char Char Char1245,Comment Text Char Char Char1245"/>
    <w:uiPriority w:val="99"/>
    <w:semiHidden/>
    <w:rsid w:val="00A809E7"/>
    <w:rPr>
      <w:rFonts w:ascii="Courier" w:hAnsi="Courier"/>
      <w:lang w:val="x-none" w:eastAsia="cs-CZ"/>
    </w:rPr>
  </w:style>
  <w:style w:type="character" w:customStyle="1" w:styleId="TextkomentraChar1243">
    <w:name w:val="Text komentára Char1243"/>
    <w:aliases w:val="Char7 Char Char1244,Text komentára Char Char Char1244,Comment Text Char Char Char1244"/>
    <w:uiPriority w:val="99"/>
    <w:semiHidden/>
    <w:rsid w:val="00A809E7"/>
    <w:rPr>
      <w:rFonts w:ascii="Courier" w:hAnsi="Courier"/>
      <w:lang w:val="x-none" w:eastAsia="cs-CZ"/>
    </w:rPr>
  </w:style>
  <w:style w:type="character" w:customStyle="1" w:styleId="TextkomentraChar1242">
    <w:name w:val="Text komentára Char1242"/>
    <w:aliases w:val="Char7 Char Char1243,Text komentára Char Char Char1243,Comment Text Char Char Char1243"/>
    <w:uiPriority w:val="99"/>
    <w:semiHidden/>
    <w:rsid w:val="00A809E7"/>
    <w:rPr>
      <w:rFonts w:ascii="Courier" w:hAnsi="Courier"/>
      <w:lang w:val="x-none" w:eastAsia="cs-CZ"/>
    </w:rPr>
  </w:style>
  <w:style w:type="character" w:customStyle="1" w:styleId="TextkomentraChar1241">
    <w:name w:val="Text komentára Char1241"/>
    <w:aliases w:val="Char7 Char Char1242,Text komentára Char Char Char1242,Comment Text Char Char Char1242"/>
    <w:uiPriority w:val="99"/>
    <w:semiHidden/>
    <w:rsid w:val="00A809E7"/>
    <w:rPr>
      <w:rFonts w:ascii="Courier" w:hAnsi="Courier"/>
      <w:lang w:val="x-none" w:eastAsia="cs-CZ"/>
    </w:rPr>
  </w:style>
  <w:style w:type="character" w:customStyle="1" w:styleId="TextkomentraChar1240">
    <w:name w:val="Text komentára Char1240"/>
    <w:aliases w:val="Char7 Char Char1241,Text komentára Char Char Char1241,Comment Text Char Char Char1241"/>
    <w:uiPriority w:val="99"/>
    <w:semiHidden/>
    <w:rsid w:val="00A809E7"/>
    <w:rPr>
      <w:rFonts w:ascii="Courier" w:hAnsi="Courier"/>
      <w:lang w:val="x-none" w:eastAsia="cs-CZ"/>
    </w:rPr>
  </w:style>
  <w:style w:type="character" w:customStyle="1" w:styleId="TextkomentraChar1239">
    <w:name w:val="Text komentára Char1239"/>
    <w:aliases w:val="Char7 Char Char1240,Text komentára Char Char Char1240,Comment Text Char Char Char1240"/>
    <w:uiPriority w:val="99"/>
    <w:semiHidden/>
    <w:rsid w:val="00A809E7"/>
    <w:rPr>
      <w:rFonts w:ascii="Courier" w:hAnsi="Courier"/>
      <w:lang w:val="x-none" w:eastAsia="cs-CZ"/>
    </w:rPr>
  </w:style>
  <w:style w:type="character" w:customStyle="1" w:styleId="TextkomentraChar1238">
    <w:name w:val="Text komentára Char1238"/>
    <w:aliases w:val="Char7 Char Char1239,Text komentára Char Char Char1239,Comment Text Char Char Char1239"/>
    <w:uiPriority w:val="99"/>
    <w:semiHidden/>
    <w:rsid w:val="00A809E7"/>
    <w:rPr>
      <w:rFonts w:ascii="Courier" w:hAnsi="Courier"/>
      <w:lang w:val="x-none" w:eastAsia="cs-CZ"/>
    </w:rPr>
  </w:style>
  <w:style w:type="character" w:customStyle="1" w:styleId="TextkomentraChar1237">
    <w:name w:val="Text komentára Char1237"/>
    <w:aliases w:val="Char7 Char Char1238,Text komentára Char Char Char1238,Comment Text Char Char Char1238"/>
    <w:uiPriority w:val="99"/>
    <w:semiHidden/>
    <w:rsid w:val="00A809E7"/>
    <w:rPr>
      <w:rFonts w:ascii="Courier" w:hAnsi="Courier"/>
      <w:lang w:val="x-none" w:eastAsia="cs-CZ"/>
    </w:rPr>
  </w:style>
  <w:style w:type="character" w:customStyle="1" w:styleId="TextkomentraChar1236">
    <w:name w:val="Text komentára Char1236"/>
    <w:aliases w:val="Char7 Char Char1237,Text komentára Char Char Char1237,Comment Text Char Char Char1237"/>
    <w:uiPriority w:val="99"/>
    <w:semiHidden/>
    <w:rsid w:val="00A809E7"/>
    <w:rPr>
      <w:rFonts w:ascii="Courier" w:hAnsi="Courier"/>
      <w:lang w:val="x-none" w:eastAsia="cs-CZ"/>
    </w:rPr>
  </w:style>
  <w:style w:type="character" w:customStyle="1" w:styleId="TextkomentraChar1235">
    <w:name w:val="Text komentára Char1235"/>
    <w:aliases w:val="Char7 Char Char1236,Text komentára Char Char Char1236,Comment Text Char Char Char1236"/>
    <w:uiPriority w:val="99"/>
    <w:semiHidden/>
    <w:rsid w:val="00A809E7"/>
    <w:rPr>
      <w:rFonts w:ascii="Courier" w:hAnsi="Courier"/>
      <w:lang w:val="x-none" w:eastAsia="cs-CZ"/>
    </w:rPr>
  </w:style>
  <w:style w:type="character" w:customStyle="1" w:styleId="TextkomentraChar1234">
    <w:name w:val="Text komentára Char1234"/>
    <w:aliases w:val="Char7 Char Char1235,Text komentára Char Char Char1235,Comment Text Char Char Char1235"/>
    <w:uiPriority w:val="99"/>
    <w:semiHidden/>
    <w:rsid w:val="00A809E7"/>
    <w:rPr>
      <w:rFonts w:ascii="Courier" w:hAnsi="Courier"/>
      <w:lang w:val="x-none" w:eastAsia="cs-CZ"/>
    </w:rPr>
  </w:style>
  <w:style w:type="character" w:customStyle="1" w:styleId="TextkomentraChar1233">
    <w:name w:val="Text komentára Char1233"/>
    <w:aliases w:val="Char7 Char Char1234,Text komentára Char Char Char1234,Comment Text Char Char Char1234"/>
    <w:uiPriority w:val="99"/>
    <w:semiHidden/>
    <w:rsid w:val="00A809E7"/>
    <w:rPr>
      <w:rFonts w:ascii="Courier" w:hAnsi="Courier"/>
      <w:lang w:val="x-none" w:eastAsia="cs-CZ"/>
    </w:rPr>
  </w:style>
  <w:style w:type="character" w:customStyle="1" w:styleId="TextkomentraChar1232">
    <w:name w:val="Text komentára Char1232"/>
    <w:aliases w:val="Char7 Char Char1233,Text komentára Char Char Char1233,Comment Text Char Char Char1233"/>
    <w:uiPriority w:val="99"/>
    <w:semiHidden/>
    <w:rsid w:val="00A809E7"/>
    <w:rPr>
      <w:rFonts w:ascii="Courier" w:hAnsi="Courier"/>
      <w:lang w:val="x-none" w:eastAsia="cs-CZ"/>
    </w:rPr>
  </w:style>
  <w:style w:type="character" w:customStyle="1" w:styleId="TextkomentraChar1231">
    <w:name w:val="Text komentára Char1231"/>
    <w:aliases w:val="Char7 Char Char1232,Text komentára Char Char Char1232,Comment Text Char Char Char1232"/>
    <w:uiPriority w:val="99"/>
    <w:semiHidden/>
    <w:rsid w:val="00A809E7"/>
    <w:rPr>
      <w:rFonts w:ascii="Courier" w:hAnsi="Courier"/>
      <w:lang w:val="x-none" w:eastAsia="cs-CZ"/>
    </w:rPr>
  </w:style>
  <w:style w:type="character" w:customStyle="1" w:styleId="TextkomentraChar1230">
    <w:name w:val="Text komentára Char1230"/>
    <w:aliases w:val="Char7 Char Char1231,Text komentára Char Char Char1231,Comment Text Char Char Char1231"/>
    <w:uiPriority w:val="99"/>
    <w:semiHidden/>
    <w:rsid w:val="00A809E7"/>
    <w:rPr>
      <w:rFonts w:ascii="Courier" w:hAnsi="Courier"/>
      <w:lang w:val="x-none" w:eastAsia="cs-CZ"/>
    </w:rPr>
  </w:style>
  <w:style w:type="character" w:customStyle="1" w:styleId="TextkomentraChar1229">
    <w:name w:val="Text komentára Char1229"/>
    <w:aliases w:val="Char7 Char Char1230,Text komentára Char Char Char1230,Comment Text Char Char Char1230"/>
    <w:uiPriority w:val="99"/>
    <w:semiHidden/>
    <w:rsid w:val="00A809E7"/>
    <w:rPr>
      <w:rFonts w:ascii="Courier" w:hAnsi="Courier"/>
      <w:lang w:val="x-none" w:eastAsia="cs-CZ"/>
    </w:rPr>
  </w:style>
  <w:style w:type="character" w:customStyle="1" w:styleId="TextkomentraChar1228">
    <w:name w:val="Text komentára Char1228"/>
    <w:aliases w:val="Char7 Char Char1229,Text komentára Char Char Char1229,Comment Text Char Char Char1229"/>
    <w:uiPriority w:val="99"/>
    <w:semiHidden/>
    <w:rsid w:val="00A809E7"/>
    <w:rPr>
      <w:rFonts w:ascii="Courier" w:hAnsi="Courier"/>
      <w:lang w:val="x-none" w:eastAsia="cs-CZ"/>
    </w:rPr>
  </w:style>
  <w:style w:type="character" w:customStyle="1" w:styleId="TextkomentraChar1227">
    <w:name w:val="Text komentára Char1227"/>
    <w:aliases w:val="Char7 Char Char1228,Text komentára Char Char Char1228,Comment Text Char Char Char1228"/>
    <w:uiPriority w:val="99"/>
    <w:semiHidden/>
    <w:rsid w:val="00A809E7"/>
    <w:rPr>
      <w:rFonts w:ascii="Courier" w:hAnsi="Courier"/>
      <w:lang w:val="x-none" w:eastAsia="cs-CZ"/>
    </w:rPr>
  </w:style>
  <w:style w:type="character" w:customStyle="1" w:styleId="TextkomentraChar1226">
    <w:name w:val="Text komentára Char1226"/>
    <w:aliases w:val="Char7 Char Char1227,Text komentára Char Char Char1227,Comment Text Char Char Char1227"/>
    <w:uiPriority w:val="99"/>
    <w:semiHidden/>
    <w:rsid w:val="00A809E7"/>
    <w:rPr>
      <w:rFonts w:ascii="Courier" w:hAnsi="Courier"/>
      <w:lang w:val="x-none" w:eastAsia="cs-CZ"/>
    </w:rPr>
  </w:style>
  <w:style w:type="character" w:customStyle="1" w:styleId="TextkomentraChar1225">
    <w:name w:val="Text komentára Char1225"/>
    <w:aliases w:val="Char7 Char Char1226,Text komentára Char Char Char1226,Comment Text Char Char Char1226"/>
    <w:uiPriority w:val="99"/>
    <w:semiHidden/>
    <w:rsid w:val="00A809E7"/>
    <w:rPr>
      <w:rFonts w:ascii="Courier" w:hAnsi="Courier"/>
      <w:lang w:val="x-none" w:eastAsia="cs-CZ"/>
    </w:rPr>
  </w:style>
  <w:style w:type="character" w:customStyle="1" w:styleId="TextkomentraChar1224">
    <w:name w:val="Text komentára Char1224"/>
    <w:aliases w:val="Char7 Char Char1225,Text komentára Char Char Char1225,Comment Text Char Char Char1225"/>
    <w:uiPriority w:val="99"/>
    <w:semiHidden/>
    <w:rsid w:val="00A809E7"/>
    <w:rPr>
      <w:rFonts w:ascii="Courier" w:hAnsi="Courier"/>
      <w:lang w:val="x-none" w:eastAsia="cs-CZ"/>
    </w:rPr>
  </w:style>
  <w:style w:type="character" w:customStyle="1" w:styleId="TextkomentraChar1223">
    <w:name w:val="Text komentára Char1223"/>
    <w:aliases w:val="Char7 Char Char1224,Text komentára Char Char Char1224,Comment Text Char Char Char1224"/>
    <w:uiPriority w:val="99"/>
    <w:semiHidden/>
    <w:rsid w:val="00A809E7"/>
    <w:rPr>
      <w:rFonts w:ascii="Courier" w:hAnsi="Courier"/>
      <w:lang w:val="x-none" w:eastAsia="cs-CZ"/>
    </w:rPr>
  </w:style>
  <w:style w:type="character" w:customStyle="1" w:styleId="TextkomentraChar1222">
    <w:name w:val="Text komentára Char1222"/>
    <w:aliases w:val="Char7 Char Char1223,Text komentára Char Char Char1223,Comment Text Char Char Char1223"/>
    <w:uiPriority w:val="99"/>
    <w:semiHidden/>
    <w:rsid w:val="00A809E7"/>
    <w:rPr>
      <w:rFonts w:ascii="Courier" w:hAnsi="Courier"/>
      <w:lang w:val="x-none" w:eastAsia="cs-CZ"/>
    </w:rPr>
  </w:style>
  <w:style w:type="character" w:customStyle="1" w:styleId="TextkomentraChar1221">
    <w:name w:val="Text komentára Char1221"/>
    <w:aliases w:val="Char7 Char Char1222,Text komentára Char Char Char1222,Comment Text Char Char Char1222"/>
    <w:uiPriority w:val="99"/>
    <w:semiHidden/>
    <w:rsid w:val="00A809E7"/>
    <w:rPr>
      <w:rFonts w:ascii="Courier" w:hAnsi="Courier"/>
      <w:lang w:val="x-none" w:eastAsia="cs-CZ"/>
    </w:rPr>
  </w:style>
  <w:style w:type="character" w:customStyle="1" w:styleId="TextkomentraChar1220">
    <w:name w:val="Text komentára Char1220"/>
    <w:aliases w:val="Char7 Char Char1221,Text komentára Char Char Char1221,Comment Text Char Char Char1221"/>
    <w:uiPriority w:val="99"/>
    <w:semiHidden/>
    <w:rsid w:val="00A809E7"/>
    <w:rPr>
      <w:rFonts w:ascii="Courier" w:hAnsi="Courier"/>
      <w:lang w:val="x-none" w:eastAsia="cs-CZ"/>
    </w:rPr>
  </w:style>
  <w:style w:type="character" w:customStyle="1" w:styleId="TextkomentraChar1219">
    <w:name w:val="Text komentára Char1219"/>
    <w:aliases w:val="Char7 Char Char1220,Text komentára Char Char Char1220,Comment Text Char Char Char1220"/>
    <w:uiPriority w:val="99"/>
    <w:semiHidden/>
    <w:rsid w:val="00A809E7"/>
    <w:rPr>
      <w:rFonts w:ascii="Courier" w:hAnsi="Courier"/>
      <w:lang w:val="x-none" w:eastAsia="cs-CZ"/>
    </w:rPr>
  </w:style>
  <w:style w:type="character" w:customStyle="1" w:styleId="TextkomentraChar1218">
    <w:name w:val="Text komentára Char1218"/>
    <w:aliases w:val="Char7 Char Char1219,Text komentára Char Char Char1219,Comment Text Char Char Char1219"/>
    <w:uiPriority w:val="99"/>
    <w:semiHidden/>
    <w:rsid w:val="00A809E7"/>
    <w:rPr>
      <w:rFonts w:ascii="Courier" w:hAnsi="Courier"/>
      <w:lang w:val="x-none" w:eastAsia="cs-CZ"/>
    </w:rPr>
  </w:style>
  <w:style w:type="character" w:customStyle="1" w:styleId="TextkomentraChar1217">
    <w:name w:val="Text komentára Char1217"/>
    <w:aliases w:val="Char7 Char Char1218,Text komentára Char Char Char1218,Comment Text Char Char Char1218"/>
    <w:uiPriority w:val="99"/>
    <w:semiHidden/>
    <w:rsid w:val="00A809E7"/>
    <w:rPr>
      <w:rFonts w:ascii="Courier" w:hAnsi="Courier"/>
      <w:lang w:val="x-none" w:eastAsia="cs-CZ"/>
    </w:rPr>
  </w:style>
  <w:style w:type="character" w:customStyle="1" w:styleId="TextkomentraChar1216">
    <w:name w:val="Text komentára Char1216"/>
    <w:aliases w:val="Char7 Char Char1217,Text komentára Char Char Char1217,Comment Text Char Char Char1217"/>
    <w:uiPriority w:val="99"/>
    <w:semiHidden/>
    <w:rsid w:val="00A809E7"/>
    <w:rPr>
      <w:rFonts w:ascii="Courier" w:hAnsi="Courier"/>
      <w:lang w:val="x-none" w:eastAsia="cs-CZ"/>
    </w:rPr>
  </w:style>
  <w:style w:type="character" w:customStyle="1" w:styleId="TextkomentraChar1215">
    <w:name w:val="Text komentára Char1215"/>
    <w:aliases w:val="Char7 Char Char1216,Text komentára Char Char Char1216,Comment Text Char Char Char1216"/>
    <w:uiPriority w:val="99"/>
    <w:semiHidden/>
    <w:rsid w:val="00A809E7"/>
    <w:rPr>
      <w:rFonts w:ascii="Courier" w:hAnsi="Courier"/>
      <w:lang w:val="x-none" w:eastAsia="cs-CZ"/>
    </w:rPr>
  </w:style>
  <w:style w:type="character" w:customStyle="1" w:styleId="TextkomentraChar1214">
    <w:name w:val="Text komentára Char1214"/>
    <w:aliases w:val="Char7 Char Char1215,Text komentára Char Char Char1215,Comment Text Char Char Char1215"/>
    <w:uiPriority w:val="99"/>
    <w:semiHidden/>
    <w:rsid w:val="00A809E7"/>
    <w:rPr>
      <w:rFonts w:ascii="Courier" w:hAnsi="Courier"/>
      <w:lang w:val="x-none" w:eastAsia="cs-CZ"/>
    </w:rPr>
  </w:style>
  <w:style w:type="character" w:customStyle="1" w:styleId="TextkomentraChar1213">
    <w:name w:val="Text komentára Char1213"/>
    <w:aliases w:val="Char7 Char Char1214,Text komentára Char Char Char1214,Comment Text Char Char Char1214"/>
    <w:uiPriority w:val="99"/>
    <w:semiHidden/>
    <w:rsid w:val="00A809E7"/>
    <w:rPr>
      <w:rFonts w:ascii="Courier" w:hAnsi="Courier"/>
      <w:lang w:val="x-none" w:eastAsia="cs-CZ"/>
    </w:rPr>
  </w:style>
  <w:style w:type="character" w:customStyle="1" w:styleId="TextkomentraChar1212">
    <w:name w:val="Text komentára Char1212"/>
    <w:aliases w:val="Char7 Char Char1213,Text komentára Char Char Char1213,Comment Text Char Char Char1213"/>
    <w:uiPriority w:val="99"/>
    <w:semiHidden/>
    <w:rsid w:val="00A809E7"/>
    <w:rPr>
      <w:rFonts w:ascii="Courier" w:hAnsi="Courier"/>
      <w:lang w:val="x-none" w:eastAsia="cs-CZ"/>
    </w:rPr>
  </w:style>
  <w:style w:type="character" w:customStyle="1" w:styleId="TextkomentraChar1211">
    <w:name w:val="Text komentára Char1211"/>
    <w:aliases w:val="Char7 Char Char1212,Text komentára Char Char Char1212,Comment Text Char Char Char1212"/>
    <w:uiPriority w:val="99"/>
    <w:semiHidden/>
    <w:rsid w:val="00A809E7"/>
    <w:rPr>
      <w:rFonts w:ascii="Courier" w:hAnsi="Courier"/>
      <w:lang w:val="x-none" w:eastAsia="cs-CZ"/>
    </w:rPr>
  </w:style>
  <w:style w:type="character" w:customStyle="1" w:styleId="TextkomentraChar1210">
    <w:name w:val="Text komentára Char1210"/>
    <w:aliases w:val="Char7 Char Char1211,Text komentára Char Char Char1211,Comment Text Char Char Char1211"/>
    <w:uiPriority w:val="99"/>
    <w:semiHidden/>
    <w:rsid w:val="00A809E7"/>
    <w:rPr>
      <w:rFonts w:ascii="Courier" w:hAnsi="Courier"/>
      <w:lang w:val="x-none" w:eastAsia="cs-CZ"/>
    </w:rPr>
  </w:style>
  <w:style w:type="character" w:customStyle="1" w:styleId="TextkomentraChar1209">
    <w:name w:val="Text komentára Char1209"/>
    <w:aliases w:val="Char7 Char Char1210,Text komentára Char Char Char1210,Comment Text Char Char Char1210"/>
    <w:uiPriority w:val="99"/>
    <w:semiHidden/>
    <w:rsid w:val="00A809E7"/>
    <w:rPr>
      <w:rFonts w:ascii="Courier" w:hAnsi="Courier"/>
      <w:lang w:val="x-none" w:eastAsia="cs-CZ"/>
    </w:rPr>
  </w:style>
  <w:style w:type="character" w:customStyle="1" w:styleId="TextkomentraChar1208">
    <w:name w:val="Text komentára Char1208"/>
    <w:aliases w:val="Char7 Char Char1209,Text komentára Char Char Char1209,Comment Text Char Char Char1209"/>
    <w:uiPriority w:val="99"/>
    <w:semiHidden/>
    <w:rsid w:val="00A809E7"/>
    <w:rPr>
      <w:rFonts w:ascii="Courier" w:hAnsi="Courier"/>
      <w:lang w:val="x-none" w:eastAsia="cs-CZ"/>
    </w:rPr>
  </w:style>
  <w:style w:type="character" w:customStyle="1" w:styleId="TextkomentraChar1207">
    <w:name w:val="Text komentára Char1207"/>
    <w:aliases w:val="Char7 Char Char1208,Text komentára Char Char Char1208,Comment Text Char Char Char1208"/>
    <w:uiPriority w:val="99"/>
    <w:semiHidden/>
    <w:rsid w:val="00A809E7"/>
    <w:rPr>
      <w:rFonts w:ascii="Courier" w:hAnsi="Courier"/>
      <w:lang w:val="x-none" w:eastAsia="cs-CZ"/>
    </w:rPr>
  </w:style>
  <w:style w:type="character" w:customStyle="1" w:styleId="TextkomentraChar1206">
    <w:name w:val="Text komentára Char1206"/>
    <w:aliases w:val="Char7 Char Char1207,Text komentára Char Char Char1207,Comment Text Char Char Char1207"/>
    <w:uiPriority w:val="99"/>
    <w:semiHidden/>
    <w:rsid w:val="00A809E7"/>
    <w:rPr>
      <w:rFonts w:ascii="Courier" w:hAnsi="Courier"/>
      <w:lang w:val="x-none" w:eastAsia="cs-CZ"/>
    </w:rPr>
  </w:style>
  <w:style w:type="character" w:customStyle="1" w:styleId="TextkomentraChar1205">
    <w:name w:val="Text komentára Char1205"/>
    <w:aliases w:val="Char7 Char Char1206,Text komentára Char Char Char1206,Comment Text Char Char Char1206"/>
    <w:uiPriority w:val="99"/>
    <w:semiHidden/>
    <w:rsid w:val="00A809E7"/>
    <w:rPr>
      <w:rFonts w:ascii="Courier" w:hAnsi="Courier"/>
      <w:lang w:val="x-none" w:eastAsia="cs-CZ"/>
    </w:rPr>
  </w:style>
  <w:style w:type="character" w:customStyle="1" w:styleId="TextkomentraChar1204">
    <w:name w:val="Text komentára Char1204"/>
    <w:aliases w:val="Char7 Char Char1205,Text komentára Char Char Char1205,Comment Text Char Char Char1205"/>
    <w:uiPriority w:val="99"/>
    <w:semiHidden/>
    <w:rsid w:val="00A809E7"/>
    <w:rPr>
      <w:rFonts w:ascii="Courier" w:hAnsi="Courier"/>
      <w:lang w:val="x-none" w:eastAsia="cs-CZ"/>
    </w:rPr>
  </w:style>
  <w:style w:type="character" w:customStyle="1" w:styleId="TextkomentraChar1203">
    <w:name w:val="Text komentára Char1203"/>
    <w:aliases w:val="Char7 Char Char1204,Text komentára Char Char Char1204,Comment Text Char Char Char1204"/>
    <w:uiPriority w:val="99"/>
    <w:semiHidden/>
    <w:rsid w:val="00A809E7"/>
    <w:rPr>
      <w:rFonts w:ascii="Courier" w:hAnsi="Courier"/>
      <w:lang w:val="x-none" w:eastAsia="cs-CZ"/>
    </w:rPr>
  </w:style>
  <w:style w:type="character" w:customStyle="1" w:styleId="TextkomentraChar1202">
    <w:name w:val="Text komentára Char1202"/>
    <w:aliases w:val="Char7 Char Char1203,Text komentára Char Char Char1203,Comment Text Char Char Char1203"/>
    <w:uiPriority w:val="99"/>
    <w:semiHidden/>
    <w:rsid w:val="00A809E7"/>
    <w:rPr>
      <w:rFonts w:ascii="Courier" w:hAnsi="Courier"/>
      <w:lang w:val="x-none" w:eastAsia="cs-CZ"/>
    </w:rPr>
  </w:style>
  <w:style w:type="character" w:customStyle="1" w:styleId="TextkomentraChar1201">
    <w:name w:val="Text komentára Char1201"/>
    <w:aliases w:val="Char7 Char Char1202,Text komentára Char Char Char1202,Comment Text Char Char Char1202"/>
    <w:uiPriority w:val="99"/>
    <w:semiHidden/>
    <w:rsid w:val="00A809E7"/>
    <w:rPr>
      <w:rFonts w:ascii="Courier" w:hAnsi="Courier"/>
      <w:lang w:val="x-none" w:eastAsia="cs-CZ"/>
    </w:rPr>
  </w:style>
  <w:style w:type="character" w:customStyle="1" w:styleId="TextkomentraChar1200">
    <w:name w:val="Text komentára Char1200"/>
    <w:aliases w:val="Char7 Char Char1201,Text komentára Char Char Char1201,Comment Text Char Char Char1201"/>
    <w:uiPriority w:val="99"/>
    <w:semiHidden/>
    <w:rsid w:val="00A809E7"/>
    <w:rPr>
      <w:rFonts w:ascii="Courier" w:hAnsi="Courier"/>
      <w:lang w:val="x-none" w:eastAsia="cs-CZ"/>
    </w:rPr>
  </w:style>
  <w:style w:type="character" w:customStyle="1" w:styleId="TextkomentraChar1199">
    <w:name w:val="Text komentára Char1199"/>
    <w:aliases w:val="Char7 Char Char1200,Text komentára Char Char Char1200,Comment Text Char Char Char1200"/>
    <w:uiPriority w:val="99"/>
    <w:semiHidden/>
    <w:rsid w:val="00A809E7"/>
    <w:rPr>
      <w:rFonts w:ascii="Courier" w:hAnsi="Courier"/>
      <w:lang w:val="x-none" w:eastAsia="cs-CZ"/>
    </w:rPr>
  </w:style>
  <w:style w:type="character" w:customStyle="1" w:styleId="TextkomentraChar1198">
    <w:name w:val="Text komentára Char1198"/>
    <w:aliases w:val="Char7 Char Char1199,Text komentára Char Char Char1199,Comment Text Char Char Char1199"/>
    <w:uiPriority w:val="99"/>
    <w:semiHidden/>
    <w:rsid w:val="00A809E7"/>
    <w:rPr>
      <w:rFonts w:ascii="Courier" w:hAnsi="Courier"/>
      <w:lang w:val="x-none" w:eastAsia="cs-CZ"/>
    </w:rPr>
  </w:style>
  <w:style w:type="character" w:customStyle="1" w:styleId="TextkomentraChar1197">
    <w:name w:val="Text komentára Char1197"/>
    <w:aliases w:val="Char7 Char Char1198,Text komentára Char Char Char1198,Comment Text Char Char Char1198"/>
    <w:uiPriority w:val="99"/>
    <w:semiHidden/>
    <w:rsid w:val="00A809E7"/>
    <w:rPr>
      <w:rFonts w:ascii="Courier" w:hAnsi="Courier"/>
      <w:lang w:val="x-none" w:eastAsia="cs-CZ"/>
    </w:rPr>
  </w:style>
  <w:style w:type="character" w:customStyle="1" w:styleId="TextkomentraChar1196">
    <w:name w:val="Text komentára Char1196"/>
    <w:aliases w:val="Char7 Char Char1197,Text komentára Char Char Char1197,Comment Text Char Char Char1197"/>
    <w:uiPriority w:val="99"/>
    <w:semiHidden/>
    <w:rsid w:val="00A809E7"/>
    <w:rPr>
      <w:rFonts w:ascii="Courier" w:hAnsi="Courier"/>
      <w:lang w:val="x-none" w:eastAsia="cs-CZ"/>
    </w:rPr>
  </w:style>
  <w:style w:type="character" w:customStyle="1" w:styleId="TextkomentraChar1195">
    <w:name w:val="Text komentára Char1195"/>
    <w:aliases w:val="Char7 Char Char1196,Text komentára Char Char Char1196,Comment Text Char Char Char1196"/>
    <w:uiPriority w:val="99"/>
    <w:semiHidden/>
    <w:rsid w:val="00A809E7"/>
    <w:rPr>
      <w:rFonts w:ascii="Courier" w:hAnsi="Courier"/>
      <w:lang w:val="x-none" w:eastAsia="cs-CZ"/>
    </w:rPr>
  </w:style>
  <w:style w:type="character" w:customStyle="1" w:styleId="TextkomentraChar1194">
    <w:name w:val="Text komentára Char1194"/>
    <w:aliases w:val="Char7 Char Char1195,Text komentára Char Char Char1195,Comment Text Char Char Char1195"/>
    <w:uiPriority w:val="99"/>
    <w:semiHidden/>
    <w:rsid w:val="00A809E7"/>
    <w:rPr>
      <w:rFonts w:ascii="Courier" w:hAnsi="Courier"/>
      <w:lang w:val="x-none" w:eastAsia="cs-CZ"/>
    </w:rPr>
  </w:style>
  <w:style w:type="character" w:customStyle="1" w:styleId="TextkomentraChar1193">
    <w:name w:val="Text komentára Char1193"/>
    <w:aliases w:val="Char7 Char Char1194,Text komentára Char Char Char1194,Comment Text Char Char Char1194"/>
    <w:uiPriority w:val="99"/>
    <w:semiHidden/>
    <w:rsid w:val="00A809E7"/>
    <w:rPr>
      <w:rFonts w:ascii="Courier" w:hAnsi="Courier"/>
      <w:lang w:val="x-none" w:eastAsia="cs-CZ"/>
    </w:rPr>
  </w:style>
  <w:style w:type="character" w:customStyle="1" w:styleId="TextkomentraChar1192">
    <w:name w:val="Text komentára Char1192"/>
    <w:aliases w:val="Char7 Char Char1193,Text komentára Char Char Char1193,Comment Text Char Char Char1193"/>
    <w:uiPriority w:val="99"/>
    <w:semiHidden/>
    <w:rsid w:val="00A809E7"/>
    <w:rPr>
      <w:rFonts w:ascii="Courier" w:hAnsi="Courier"/>
      <w:lang w:val="x-none" w:eastAsia="cs-CZ"/>
    </w:rPr>
  </w:style>
  <w:style w:type="character" w:customStyle="1" w:styleId="TextkomentraChar1191">
    <w:name w:val="Text komentára Char1191"/>
    <w:aliases w:val="Char7 Char Char1192,Text komentára Char Char Char1192,Comment Text Char Char Char1192"/>
    <w:uiPriority w:val="99"/>
    <w:semiHidden/>
    <w:rsid w:val="00A809E7"/>
    <w:rPr>
      <w:rFonts w:ascii="Courier" w:hAnsi="Courier"/>
      <w:lang w:val="x-none" w:eastAsia="cs-CZ"/>
    </w:rPr>
  </w:style>
  <w:style w:type="character" w:customStyle="1" w:styleId="TextkomentraChar1190">
    <w:name w:val="Text komentára Char1190"/>
    <w:aliases w:val="Char7 Char Char1191,Text komentára Char Char Char1191,Comment Text Char Char Char1191"/>
    <w:uiPriority w:val="99"/>
    <w:semiHidden/>
    <w:rsid w:val="00A809E7"/>
    <w:rPr>
      <w:rFonts w:ascii="Courier" w:hAnsi="Courier"/>
      <w:lang w:val="x-none" w:eastAsia="cs-CZ"/>
    </w:rPr>
  </w:style>
  <w:style w:type="character" w:customStyle="1" w:styleId="TextkomentraChar1189">
    <w:name w:val="Text komentára Char1189"/>
    <w:aliases w:val="Char7 Char Char1190,Text komentára Char Char Char1190,Comment Text Char Char Char1190"/>
    <w:uiPriority w:val="99"/>
    <w:semiHidden/>
    <w:rsid w:val="00A809E7"/>
    <w:rPr>
      <w:rFonts w:ascii="Courier" w:hAnsi="Courier"/>
      <w:lang w:val="x-none" w:eastAsia="cs-CZ"/>
    </w:rPr>
  </w:style>
  <w:style w:type="character" w:customStyle="1" w:styleId="TextkomentraChar1188">
    <w:name w:val="Text komentára Char1188"/>
    <w:aliases w:val="Char7 Char Char1189,Text komentára Char Char Char1189,Comment Text Char Char Char1189"/>
    <w:uiPriority w:val="99"/>
    <w:semiHidden/>
    <w:rsid w:val="00A809E7"/>
    <w:rPr>
      <w:rFonts w:ascii="Courier" w:hAnsi="Courier"/>
      <w:lang w:val="x-none" w:eastAsia="cs-CZ"/>
    </w:rPr>
  </w:style>
  <w:style w:type="character" w:customStyle="1" w:styleId="TextkomentraChar1187">
    <w:name w:val="Text komentára Char1187"/>
    <w:aliases w:val="Char7 Char Char1188,Text komentára Char Char Char1188,Comment Text Char Char Char1188"/>
    <w:uiPriority w:val="99"/>
    <w:semiHidden/>
    <w:rsid w:val="00A809E7"/>
    <w:rPr>
      <w:rFonts w:ascii="Courier" w:hAnsi="Courier"/>
      <w:lang w:val="x-none" w:eastAsia="cs-CZ"/>
    </w:rPr>
  </w:style>
  <w:style w:type="character" w:customStyle="1" w:styleId="TextkomentraChar1186">
    <w:name w:val="Text komentára Char1186"/>
    <w:aliases w:val="Char7 Char Char1187,Text komentára Char Char Char1187,Comment Text Char Char Char1187"/>
    <w:uiPriority w:val="99"/>
    <w:semiHidden/>
    <w:rsid w:val="00A809E7"/>
    <w:rPr>
      <w:rFonts w:ascii="Courier" w:hAnsi="Courier"/>
      <w:lang w:val="x-none" w:eastAsia="cs-CZ"/>
    </w:rPr>
  </w:style>
  <w:style w:type="character" w:customStyle="1" w:styleId="TextkomentraChar1185">
    <w:name w:val="Text komentára Char1185"/>
    <w:aliases w:val="Char7 Char Char1186,Text komentára Char Char Char1186,Comment Text Char Char Char1186"/>
    <w:uiPriority w:val="99"/>
    <w:semiHidden/>
    <w:rsid w:val="00A809E7"/>
    <w:rPr>
      <w:rFonts w:ascii="Courier" w:hAnsi="Courier"/>
      <w:lang w:val="x-none" w:eastAsia="cs-CZ"/>
    </w:rPr>
  </w:style>
  <w:style w:type="character" w:customStyle="1" w:styleId="TextkomentraChar1184">
    <w:name w:val="Text komentára Char1184"/>
    <w:aliases w:val="Char7 Char Char1185,Text komentára Char Char Char1185,Comment Text Char Char Char1185"/>
    <w:uiPriority w:val="99"/>
    <w:semiHidden/>
    <w:rsid w:val="00A809E7"/>
    <w:rPr>
      <w:rFonts w:ascii="Courier" w:hAnsi="Courier"/>
      <w:lang w:val="x-none" w:eastAsia="cs-CZ"/>
    </w:rPr>
  </w:style>
  <w:style w:type="character" w:customStyle="1" w:styleId="TextkomentraChar1183">
    <w:name w:val="Text komentára Char1183"/>
    <w:aliases w:val="Char7 Char Char1184,Text komentára Char Char Char1184,Comment Text Char Char Char1184"/>
    <w:uiPriority w:val="99"/>
    <w:semiHidden/>
    <w:rsid w:val="00A809E7"/>
    <w:rPr>
      <w:rFonts w:ascii="Courier" w:hAnsi="Courier"/>
      <w:lang w:val="x-none" w:eastAsia="cs-CZ"/>
    </w:rPr>
  </w:style>
  <w:style w:type="character" w:customStyle="1" w:styleId="TextkomentraChar1182">
    <w:name w:val="Text komentára Char1182"/>
    <w:aliases w:val="Char7 Char Char1183,Text komentára Char Char Char1183,Comment Text Char Char Char1183"/>
    <w:uiPriority w:val="99"/>
    <w:semiHidden/>
    <w:rsid w:val="00A809E7"/>
    <w:rPr>
      <w:rFonts w:ascii="Courier" w:hAnsi="Courier"/>
      <w:lang w:val="x-none" w:eastAsia="cs-CZ"/>
    </w:rPr>
  </w:style>
  <w:style w:type="character" w:customStyle="1" w:styleId="TextkomentraChar1181">
    <w:name w:val="Text komentára Char1181"/>
    <w:aliases w:val="Char7 Char Char1182,Text komentára Char Char Char1182,Comment Text Char Char Char1182"/>
    <w:uiPriority w:val="99"/>
    <w:semiHidden/>
    <w:rsid w:val="00A809E7"/>
    <w:rPr>
      <w:rFonts w:ascii="Courier" w:hAnsi="Courier"/>
      <w:lang w:val="x-none" w:eastAsia="cs-CZ"/>
    </w:rPr>
  </w:style>
  <w:style w:type="character" w:customStyle="1" w:styleId="TextkomentraChar1180">
    <w:name w:val="Text komentára Char1180"/>
    <w:aliases w:val="Char7 Char Char1181,Text komentára Char Char Char1181,Comment Text Char Char Char1181"/>
    <w:uiPriority w:val="99"/>
    <w:semiHidden/>
    <w:rsid w:val="00A809E7"/>
    <w:rPr>
      <w:rFonts w:ascii="Courier" w:hAnsi="Courier"/>
      <w:lang w:val="x-none" w:eastAsia="cs-CZ"/>
    </w:rPr>
  </w:style>
  <w:style w:type="character" w:customStyle="1" w:styleId="TextkomentraChar1179">
    <w:name w:val="Text komentára Char1179"/>
    <w:aliases w:val="Char7 Char Char1180,Text komentára Char Char Char1180,Comment Text Char Char Char1180"/>
    <w:uiPriority w:val="99"/>
    <w:semiHidden/>
    <w:rsid w:val="00A809E7"/>
    <w:rPr>
      <w:rFonts w:ascii="Courier" w:hAnsi="Courier"/>
      <w:lang w:val="x-none" w:eastAsia="cs-CZ"/>
    </w:rPr>
  </w:style>
  <w:style w:type="character" w:customStyle="1" w:styleId="TextkomentraChar1178">
    <w:name w:val="Text komentára Char1178"/>
    <w:aliases w:val="Char7 Char Char1179,Text komentára Char Char Char1179,Comment Text Char Char Char1179"/>
    <w:uiPriority w:val="99"/>
    <w:semiHidden/>
    <w:rsid w:val="00A809E7"/>
    <w:rPr>
      <w:rFonts w:ascii="Courier" w:hAnsi="Courier"/>
      <w:lang w:val="x-none" w:eastAsia="cs-CZ"/>
    </w:rPr>
  </w:style>
  <w:style w:type="character" w:customStyle="1" w:styleId="TextkomentraChar1177">
    <w:name w:val="Text komentára Char1177"/>
    <w:aliases w:val="Char7 Char Char1178,Text komentára Char Char Char1178,Comment Text Char Char Char1178"/>
    <w:uiPriority w:val="99"/>
    <w:semiHidden/>
    <w:rsid w:val="00A809E7"/>
    <w:rPr>
      <w:rFonts w:ascii="Courier" w:hAnsi="Courier"/>
      <w:lang w:val="x-none" w:eastAsia="cs-CZ"/>
    </w:rPr>
  </w:style>
  <w:style w:type="character" w:customStyle="1" w:styleId="TextkomentraChar1176">
    <w:name w:val="Text komentára Char1176"/>
    <w:aliases w:val="Char7 Char Char1177,Text komentára Char Char Char1177,Comment Text Char Char Char1177"/>
    <w:uiPriority w:val="99"/>
    <w:semiHidden/>
    <w:rsid w:val="00A809E7"/>
    <w:rPr>
      <w:rFonts w:ascii="Courier" w:hAnsi="Courier"/>
      <w:lang w:val="x-none" w:eastAsia="cs-CZ"/>
    </w:rPr>
  </w:style>
  <w:style w:type="character" w:customStyle="1" w:styleId="TextkomentraChar1175">
    <w:name w:val="Text komentára Char1175"/>
    <w:aliases w:val="Char7 Char Char1176,Text komentára Char Char Char1176,Comment Text Char Char Char1176"/>
    <w:uiPriority w:val="99"/>
    <w:semiHidden/>
    <w:rsid w:val="00A809E7"/>
    <w:rPr>
      <w:rFonts w:ascii="Courier" w:hAnsi="Courier"/>
      <w:lang w:val="x-none" w:eastAsia="cs-CZ"/>
    </w:rPr>
  </w:style>
  <w:style w:type="character" w:customStyle="1" w:styleId="TextkomentraChar1174">
    <w:name w:val="Text komentára Char1174"/>
    <w:aliases w:val="Char7 Char Char1175,Text komentára Char Char Char1175,Comment Text Char Char Char1175"/>
    <w:uiPriority w:val="99"/>
    <w:semiHidden/>
    <w:rsid w:val="00A809E7"/>
    <w:rPr>
      <w:rFonts w:ascii="Courier" w:hAnsi="Courier"/>
      <w:lang w:val="x-none" w:eastAsia="cs-CZ"/>
    </w:rPr>
  </w:style>
  <w:style w:type="character" w:customStyle="1" w:styleId="TextkomentraChar1173">
    <w:name w:val="Text komentára Char1173"/>
    <w:aliases w:val="Char7 Char Char1174,Text komentára Char Char Char1174,Comment Text Char Char Char1174"/>
    <w:uiPriority w:val="99"/>
    <w:semiHidden/>
    <w:rsid w:val="00A809E7"/>
    <w:rPr>
      <w:rFonts w:ascii="Courier" w:hAnsi="Courier"/>
      <w:lang w:val="x-none" w:eastAsia="cs-CZ"/>
    </w:rPr>
  </w:style>
  <w:style w:type="character" w:customStyle="1" w:styleId="TextkomentraChar1172">
    <w:name w:val="Text komentára Char1172"/>
    <w:aliases w:val="Char7 Char Char1173,Text komentára Char Char Char1173,Comment Text Char Char Char1173"/>
    <w:uiPriority w:val="99"/>
    <w:semiHidden/>
    <w:rsid w:val="00A809E7"/>
    <w:rPr>
      <w:rFonts w:ascii="Courier" w:hAnsi="Courier"/>
      <w:lang w:val="x-none" w:eastAsia="cs-CZ"/>
    </w:rPr>
  </w:style>
  <w:style w:type="character" w:customStyle="1" w:styleId="TextkomentraChar1171">
    <w:name w:val="Text komentára Char1171"/>
    <w:aliases w:val="Char7 Char Char1172,Text komentára Char Char Char1172,Comment Text Char Char Char1172"/>
    <w:uiPriority w:val="99"/>
    <w:semiHidden/>
    <w:rsid w:val="00A809E7"/>
    <w:rPr>
      <w:rFonts w:ascii="Courier" w:hAnsi="Courier"/>
      <w:lang w:val="x-none" w:eastAsia="cs-CZ"/>
    </w:rPr>
  </w:style>
  <w:style w:type="character" w:customStyle="1" w:styleId="TextkomentraChar1165">
    <w:name w:val="Text komentára Char1165"/>
    <w:aliases w:val="Char7 Char Char1166,Text komentára Char Char Char1166,Comment Text Char Char Char1166"/>
    <w:uiPriority w:val="99"/>
    <w:semiHidden/>
    <w:rsid w:val="00A809E7"/>
    <w:rPr>
      <w:rFonts w:ascii="Courier" w:hAnsi="Courier"/>
      <w:lang w:val="x-none" w:eastAsia="cs-CZ"/>
    </w:rPr>
  </w:style>
  <w:style w:type="character" w:customStyle="1" w:styleId="TextkomentraChar1164">
    <w:name w:val="Text komentára Char1164"/>
    <w:aliases w:val="Char7 Char Char1165,Text komentára Char Char Char1165,Comment Text Char Char Char1165"/>
    <w:uiPriority w:val="99"/>
    <w:semiHidden/>
    <w:rsid w:val="00A809E7"/>
    <w:rPr>
      <w:rFonts w:ascii="Courier" w:hAnsi="Courier"/>
      <w:lang w:val="x-none" w:eastAsia="cs-CZ"/>
    </w:rPr>
  </w:style>
  <w:style w:type="character" w:customStyle="1" w:styleId="TextkomentraChar1163">
    <w:name w:val="Text komentára Char1163"/>
    <w:aliases w:val="Char7 Char Char1164,Text komentára Char Char Char1164,Comment Text Char Char Char1164"/>
    <w:uiPriority w:val="99"/>
    <w:semiHidden/>
    <w:rsid w:val="00A809E7"/>
    <w:rPr>
      <w:rFonts w:ascii="Courier" w:hAnsi="Courier"/>
      <w:lang w:val="x-none" w:eastAsia="cs-CZ"/>
    </w:rPr>
  </w:style>
  <w:style w:type="character" w:customStyle="1" w:styleId="TextkomentraChar1162">
    <w:name w:val="Text komentára Char1162"/>
    <w:aliases w:val="Char7 Char Char1163,Text komentára Char Char Char1163,Comment Text Char Char Char1163"/>
    <w:uiPriority w:val="99"/>
    <w:semiHidden/>
    <w:rsid w:val="00A809E7"/>
    <w:rPr>
      <w:rFonts w:ascii="Courier" w:hAnsi="Courier"/>
      <w:lang w:val="x-none" w:eastAsia="cs-CZ"/>
    </w:rPr>
  </w:style>
  <w:style w:type="character" w:customStyle="1" w:styleId="TextkomentraChar1161">
    <w:name w:val="Text komentára Char1161"/>
    <w:aliases w:val="Char7 Char Char1162,Text komentára Char Char Char1162,Comment Text Char Char Char1162"/>
    <w:uiPriority w:val="99"/>
    <w:semiHidden/>
    <w:rsid w:val="00A809E7"/>
    <w:rPr>
      <w:rFonts w:ascii="Courier" w:hAnsi="Courier"/>
      <w:lang w:val="x-none" w:eastAsia="cs-CZ"/>
    </w:rPr>
  </w:style>
  <w:style w:type="character" w:customStyle="1" w:styleId="TextkomentraChar1160">
    <w:name w:val="Text komentára Char1160"/>
    <w:aliases w:val="Char7 Char Char1161,Text komentára Char Char Char1161,Comment Text Char Char Char1161"/>
    <w:uiPriority w:val="99"/>
    <w:semiHidden/>
    <w:rsid w:val="00A809E7"/>
    <w:rPr>
      <w:rFonts w:ascii="Courier" w:hAnsi="Courier"/>
      <w:lang w:val="x-none" w:eastAsia="cs-CZ"/>
    </w:rPr>
  </w:style>
  <w:style w:type="character" w:customStyle="1" w:styleId="TextkomentraChar1159">
    <w:name w:val="Text komentára Char1159"/>
    <w:aliases w:val="Char7 Char Char1160,Text komentára Char Char Char1160,Comment Text Char Char Char1160"/>
    <w:uiPriority w:val="99"/>
    <w:semiHidden/>
    <w:rsid w:val="00A809E7"/>
    <w:rPr>
      <w:rFonts w:ascii="Courier" w:hAnsi="Courier"/>
      <w:lang w:val="x-none" w:eastAsia="cs-CZ"/>
    </w:rPr>
  </w:style>
  <w:style w:type="character" w:customStyle="1" w:styleId="TextkomentraChar1158">
    <w:name w:val="Text komentára Char1158"/>
    <w:aliases w:val="Char7 Char Char1159,Text komentára Char Char Char1159,Comment Text Char Char Char1159"/>
    <w:uiPriority w:val="99"/>
    <w:semiHidden/>
    <w:rsid w:val="00A809E7"/>
    <w:rPr>
      <w:rFonts w:ascii="Courier" w:hAnsi="Courier"/>
      <w:lang w:val="x-none" w:eastAsia="cs-CZ"/>
    </w:rPr>
  </w:style>
  <w:style w:type="character" w:customStyle="1" w:styleId="TextkomentraChar1157">
    <w:name w:val="Text komentára Char1157"/>
    <w:aliases w:val="Char7 Char Char1158,Text komentára Char Char Char1158,Comment Text Char Char Char1158"/>
    <w:uiPriority w:val="99"/>
    <w:semiHidden/>
    <w:rsid w:val="00A809E7"/>
    <w:rPr>
      <w:rFonts w:ascii="Courier" w:hAnsi="Courier"/>
      <w:lang w:val="x-none" w:eastAsia="cs-CZ"/>
    </w:rPr>
  </w:style>
  <w:style w:type="character" w:customStyle="1" w:styleId="TextkomentraChar1156">
    <w:name w:val="Text komentára Char1156"/>
    <w:aliases w:val="Char7 Char Char1157,Text komentára Char Char Char1157,Comment Text Char Char Char1157"/>
    <w:uiPriority w:val="99"/>
    <w:semiHidden/>
    <w:rsid w:val="00A809E7"/>
    <w:rPr>
      <w:rFonts w:ascii="Courier" w:hAnsi="Courier"/>
      <w:lang w:val="x-none" w:eastAsia="cs-CZ"/>
    </w:rPr>
  </w:style>
  <w:style w:type="character" w:customStyle="1" w:styleId="TextkomentraChar1155">
    <w:name w:val="Text komentára Char1155"/>
    <w:aliases w:val="Char7 Char Char1156,Text komentára Char Char Char1156,Comment Text Char Char Char1156"/>
    <w:uiPriority w:val="99"/>
    <w:semiHidden/>
    <w:rsid w:val="00A809E7"/>
    <w:rPr>
      <w:rFonts w:ascii="Courier" w:hAnsi="Courier"/>
      <w:lang w:val="x-none" w:eastAsia="cs-CZ"/>
    </w:rPr>
  </w:style>
  <w:style w:type="character" w:customStyle="1" w:styleId="TextkomentraChar1154">
    <w:name w:val="Text komentára Char1154"/>
    <w:aliases w:val="Char7 Char Char1155,Text komentára Char Char Char1155,Comment Text Char Char Char1155"/>
    <w:uiPriority w:val="99"/>
    <w:semiHidden/>
    <w:rsid w:val="00A809E7"/>
    <w:rPr>
      <w:rFonts w:ascii="Courier" w:hAnsi="Courier"/>
      <w:lang w:val="x-none" w:eastAsia="cs-CZ"/>
    </w:rPr>
  </w:style>
  <w:style w:type="character" w:customStyle="1" w:styleId="TextkomentraChar1153">
    <w:name w:val="Text komentára Char1153"/>
    <w:aliases w:val="Char7 Char Char1154,Text komentára Char Char Char1154,Comment Text Char Char Char1154"/>
    <w:uiPriority w:val="99"/>
    <w:semiHidden/>
    <w:rsid w:val="00A809E7"/>
    <w:rPr>
      <w:rFonts w:ascii="Courier" w:hAnsi="Courier"/>
      <w:lang w:val="x-none" w:eastAsia="cs-CZ"/>
    </w:rPr>
  </w:style>
  <w:style w:type="character" w:customStyle="1" w:styleId="TextkomentraChar1152">
    <w:name w:val="Text komentára Char1152"/>
    <w:aliases w:val="Char7 Char Char1153,Text komentára Char Char Char1153,Comment Text Char Char Char1153"/>
    <w:uiPriority w:val="99"/>
    <w:semiHidden/>
    <w:rsid w:val="00A809E7"/>
    <w:rPr>
      <w:rFonts w:ascii="Courier" w:hAnsi="Courier"/>
      <w:lang w:val="x-none" w:eastAsia="cs-CZ"/>
    </w:rPr>
  </w:style>
  <w:style w:type="character" w:customStyle="1" w:styleId="TextkomentraChar1151">
    <w:name w:val="Text komentára Char1151"/>
    <w:aliases w:val="Char7 Char Char1152,Text komentára Char Char Char1152,Comment Text Char Char Char1152"/>
    <w:uiPriority w:val="99"/>
    <w:semiHidden/>
    <w:rsid w:val="00A809E7"/>
    <w:rPr>
      <w:rFonts w:ascii="Courier" w:hAnsi="Courier"/>
      <w:lang w:val="x-none" w:eastAsia="cs-CZ"/>
    </w:rPr>
  </w:style>
  <w:style w:type="character" w:customStyle="1" w:styleId="TextkomentraChar1150">
    <w:name w:val="Text komentára Char1150"/>
    <w:aliases w:val="Char7 Char Char1151,Text komentára Char Char Char1151,Comment Text Char Char Char1151"/>
    <w:uiPriority w:val="99"/>
    <w:semiHidden/>
    <w:rsid w:val="00A809E7"/>
    <w:rPr>
      <w:rFonts w:ascii="Courier" w:hAnsi="Courier"/>
      <w:lang w:val="x-none" w:eastAsia="cs-CZ"/>
    </w:rPr>
  </w:style>
  <w:style w:type="character" w:customStyle="1" w:styleId="TextkomentraChar1149">
    <w:name w:val="Text komentára Char1149"/>
    <w:aliases w:val="Char7 Char Char1150,Text komentára Char Char Char1150,Comment Text Char Char Char1150"/>
    <w:uiPriority w:val="99"/>
    <w:semiHidden/>
    <w:rsid w:val="00A809E7"/>
    <w:rPr>
      <w:rFonts w:ascii="Courier" w:hAnsi="Courier"/>
      <w:lang w:val="x-none" w:eastAsia="cs-CZ"/>
    </w:rPr>
  </w:style>
  <w:style w:type="character" w:customStyle="1" w:styleId="TextkomentraChar1148">
    <w:name w:val="Text komentára Char1148"/>
    <w:aliases w:val="Char7 Char Char1149,Text komentára Char Char Char1149,Comment Text Char Char Char1149"/>
    <w:uiPriority w:val="99"/>
    <w:semiHidden/>
    <w:rsid w:val="00A809E7"/>
    <w:rPr>
      <w:rFonts w:ascii="Courier" w:hAnsi="Courier"/>
      <w:lang w:val="x-none" w:eastAsia="cs-CZ"/>
    </w:rPr>
  </w:style>
  <w:style w:type="character" w:customStyle="1" w:styleId="TextkomentraChar1147">
    <w:name w:val="Text komentára Char1147"/>
    <w:aliases w:val="Char7 Char Char1148,Text komentára Char Char Char1148,Comment Text Char Char Char1148"/>
    <w:uiPriority w:val="99"/>
    <w:semiHidden/>
    <w:rsid w:val="00A809E7"/>
    <w:rPr>
      <w:rFonts w:ascii="Courier" w:hAnsi="Courier"/>
      <w:lang w:val="x-none" w:eastAsia="cs-CZ"/>
    </w:rPr>
  </w:style>
  <w:style w:type="character" w:customStyle="1" w:styleId="TextkomentraChar1146">
    <w:name w:val="Text komentára Char1146"/>
    <w:aliases w:val="Char7 Char Char1147,Text komentára Char Char Char1147,Comment Text Char Char Char1147"/>
    <w:uiPriority w:val="99"/>
    <w:semiHidden/>
    <w:rsid w:val="00A809E7"/>
    <w:rPr>
      <w:rFonts w:ascii="Courier" w:hAnsi="Courier"/>
      <w:lang w:val="x-none" w:eastAsia="cs-CZ"/>
    </w:rPr>
  </w:style>
  <w:style w:type="character" w:customStyle="1" w:styleId="TextkomentraChar1145">
    <w:name w:val="Text komentára Char1145"/>
    <w:aliases w:val="Char7 Char Char1146,Text komentára Char Char Char1146,Comment Text Char Char Char1146"/>
    <w:uiPriority w:val="99"/>
    <w:semiHidden/>
    <w:rsid w:val="00A809E7"/>
    <w:rPr>
      <w:rFonts w:ascii="Courier" w:hAnsi="Courier"/>
      <w:lang w:val="x-none" w:eastAsia="cs-CZ"/>
    </w:rPr>
  </w:style>
  <w:style w:type="character" w:customStyle="1" w:styleId="TextkomentraChar1144">
    <w:name w:val="Text komentára Char1144"/>
    <w:aliases w:val="Char7 Char Char1145,Text komentára Char Char Char1145,Comment Text Char Char Char1145"/>
    <w:uiPriority w:val="99"/>
    <w:semiHidden/>
    <w:rsid w:val="00A809E7"/>
    <w:rPr>
      <w:rFonts w:ascii="Courier" w:hAnsi="Courier"/>
      <w:lang w:val="x-none" w:eastAsia="cs-CZ"/>
    </w:rPr>
  </w:style>
  <w:style w:type="character" w:customStyle="1" w:styleId="TextkomentraChar1143">
    <w:name w:val="Text komentára Char1143"/>
    <w:aliases w:val="Char7 Char Char1144,Text komentára Char Char Char1144,Comment Text Char Char Char1144"/>
    <w:uiPriority w:val="99"/>
    <w:semiHidden/>
    <w:rsid w:val="00A809E7"/>
    <w:rPr>
      <w:rFonts w:ascii="Courier" w:hAnsi="Courier"/>
      <w:lang w:val="x-none" w:eastAsia="cs-CZ"/>
    </w:rPr>
  </w:style>
  <w:style w:type="character" w:customStyle="1" w:styleId="TextkomentraChar1142">
    <w:name w:val="Text komentára Char1142"/>
    <w:aliases w:val="Char7 Char Char1143,Text komentára Char Char Char1143,Comment Text Char Char Char1143"/>
    <w:uiPriority w:val="99"/>
    <w:semiHidden/>
    <w:rsid w:val="00A809E7"/>
    <w:rPr>
      <w:rFonts w:ascii="Courier" w:hAnsi="Courier"/>
      <w:lang w:val="x-none" w:eastAsia="cs-CZ"/>
    </w:rPr>
  </w:style>
  <w:style w:type="character" w:customStyle="1" w:styleId="TextkomentraChar1141">
    <w:name w:val="Text komentára Char1141"/>
    <w:aliases w:val="Char7 Char Char1142,Text komentára Char Char Char1142,Comment Text Char Char Char1142"/>
    <w:uiPriority w:val="99"/>
    <w:semiHidden/>
    <w:rsid w:val="00A809E7"/>
    <w:rPr>
      <w:rFonts w:ascii="Courier" w:hAnsi="Courier"/>
      <w:lang w:val="x-none" w:eastAsia="cs-CZ"/>
    </w:rPr>
  </w:style>
  <w:style w:type="character" w:customStyle="1" w:styleId="TextkomentraChar1140">
    <w:name w:val="Text komentára Char1140"/>
    <w:aliases w:val="Char7 Char Char1141,Text komentára Char Char Char1141,Comment Text Char Char Char1141"/>
    <w:uiPriority w:val="99"/>
    <w:semiHidden/>
    <w:rsid w:val="00A809E7"/>
    <w:rPr>
      <w:rFonts w:ascii="Courier" w:hAnsi="Courier"/>
      <w:lang w:val="x-none" w:eastAsia="cs-CZ"/>
    </w:rPr>
  </w:style>
  <w:style w:type="character" w:customStyle="1" w:styleId="TextkomentraChar1139">
    <w:name w:val="Text komentára Char1139"/>
    <w:aliases w:val="Char7 Char Char1140,Text komentára Char Char Char1140,Comment Text Char Char Char1140"/>
    <w:uiPriority w:val="99"/>
    <w:semiHidden/>
    <w:rsid w:val="00A809E7"/>
    <w:rPr>
      <w:rFonts w:ascii="Courier" w:hAnsi="Courier"/>
      <w:lang w:val="x-none" w:eastAsia="cs-CZ"/>
    </w:rPr>
  </w:style>
  <w:style w:type="character" w:customStyle="1" w:styleId="TextkomentraChar1138">
    <w:name w:val="Text komentára Char1138"/>
    <w:aliases w:val="Char7 Char Char1139,Text komentára Char Char Char1139,Comment Text Char Char Char1139"/>
    <w:uiPriority w:val="99"/>
    <w:semiHidden/>
    <w:rsid w:val="00A809E7"/>
    <w:rPr>
      <w:rFonts w:ascii="Courier" w:hAnsi="Courier"/>
      <w:lang w:val="x-none" w:eastAsia="cs-CZ"/>
    </w:rPr>
  </w:style>
  <w:style w:type="character" w:customStyle="1" w:styleId="TextkomentraChar1137">
    <w:name w:val="Text komentára Char1137"/>
    <w:aliases w:val="Char7 Char Char1138,Text komentára Char Char Char1138,Comment Text Char Char Char1138"/>
    <w:uiPriority w:val="99"/>
    <w:semiHidden/>
    <w:rsid w:val="00A809E7"/>
    <w:rPr>
      <w:rFonts w:ascii="Courier" w:hAnsi="Courier"/>
      <w:lang w:val="x-none" w:eastAsia="cs-CZ"/>
    </w:rPr>
  </w:style>
  <w:style w:type="character" w:customStyle="1" w:styleId="TextkomentraChar1136">
    <w:name w:val="Text komentára Char1136"/>
    <w:aliases w:val="Char7 Char Char1137,Text komentára Char Char Char1137,Comment Text Char Char Char1137"/>
    <w:uiPriority w:val="99"/>
    <w:semiHidden/>
    <w:rsid w:val="00A809E7"/>
    <w:rPr>
      <w:rFonts w:ascii="Courier" w:hAnsi="Courier"/>
      <w:lang w:val="x-none" w:eastAsia="cs-CZ"/>
    </w:rPr>
  </w:style>
  <w:style w:type="character" w:customStyle="1" w:styleId="TextkomentraChar1135">
    <w:name w:val="Text komentára Char1135"/>
    <w:aliases w:val="Char7 Char Char1136,Text komentára Char Char Char1136,Comment Text Char Char Char1136"/>
    <w:uiPriority w:val="99"/>
    <w:semiHidden/>
    <w:rsid w:val="00A809E7"/>
    <w:rPr>
      <w:rFonts w:ascii="Courier" w:hAnsi="Courier"/>
      <w:lang w:val="x-none" w:eastAsia="cs-CZ"/>
    </w:rPr>
  </w:style>
  <w:style w:type="character" w:customStyle="1" w:styleId="TextkomentraChar1134">
    <w:name w:val="Text komentára Char1134"/>
    <w:aliases w:val="Char7 Char Char1135,Text komentára Char Char Char1135,Comment Text Char Char Char1135"/>
    <w:uiPriority w:val="99"/>
    <w:semiHidden/>
    <w:rsid w:val="00A809E7"/>
    <w:rPr>
      <w:rFonts w:ascii="Courier" w:hAnsi="Courier"/>
      <w:lang w:val="x-none" w:eastAsia="cs-CZ"/>
    </w:rPr>
  </w:style>
  <w:style w:type="character" w:customStyle="1" w:styleId="TextkomentraChar1133">
    <w:name w:val="Text komentára Char1133"/>
    <w:aliases w:val="Char7 Char Char1134,Text komentára Char Char Char1134,Comment Text Char Char Char1134"/>
    <w:uiPriority w:val="99"/>
    <w:semiHidden/>
    <w:rsid w:val="00A809E7"/>
    <w:rPr>
      <w:rFonts w:ascii="Courier" w:hAnsi="Courier"/>
      <w:lang w:val="x-none" w:eastAsia="cs-CZ"/>
    </w:rPr>
  </w:style>
  <w:style w:type="character" w:customStyle="1" w:styleId="TextkomentraChar1132">
    <w:name w:val="Text komentára Char1132"/>
    <w:aliases w:val="Char7 Char Char1133,Text komentára Char Char Char1133,Comment Text Char Char Char1133"/>
    <w:uiPriority w:val="99"/>
    <w:semiHidden/>
    <w:rsid w:val="00A809E7"/>
    <w:rPr>
      <w:rFonts w:ascii="Courier" w:hAnsi="Courier"/>
      <w:lang w:val="x-none" w:eastAsia="cs-CZ"/>
    </w:rPr>
  </w:style>
  <w:style w:type="character" w:customStyle="1" w:styleId="TextkomentraChar1131">
    <w:name w:val="Text komentára Char1131"/>
    <w:aliases w:val="Char7 Char Char1132,Text komentára Char Char Char1132,Comment Text Char Char Char1132"/>
    <w:uiPriority w:val="99"/>
    <w:semiHidden/>
    <w:rsid w:val="00A809E7"/>
    <w:rPr>
      <w:rFonts w:ascii="Courier" w:hAnsi="Courier"/>
      <w:lang w:val="x-none" w:eastAsia="cs-CZ"/>
    </w:rPr>
  </w:style>
  <w:style w:type="character" w:customStyle="1" w:styleId="TextkomentraChar1130">
    <w:name w:val="Text komentára Char1130"/>
    <w:aliases w:val="Char7 Char Char1131,Text komentára Char Char Char1131,Comment Text Char Char Char1131"/>
    <w:uiPriority w:val="99"/>
    <w:semiHidden/>
    <w:rsid w:val="00A809E7"/>
    <w:rPr>
      <w:rFonts w:ascii="Courier" w:hAnsi="Courier"/>
      <w:lang w:val="x-none" w:eastAsia="cs-CZ"/>
    </w:rPr>
  </w:style>
  <w:style w:type="character" w:customStyle="1" w:styleId="TextkomentraChar1129">
    <w:name w:val="Text komentára Char1129"/>
    <w:aliases w:val="Char7 Char Char1130,Text komentára Char Char Char1130,Comment Text Char Char Char1130"/>
    <w:uiPriority w:val="99"/>
    <w:semiHidden/>
    <w:rsid w:val="00A809E7"/>
    <w:rPr>
      <w:rFonts w:ascii="Courier" w:hAnsi="Courier"/>
      <w:lang w:val="x-none" w:eastAsia="cs-CZ"/>
    </w:rPr>
  </w:style>
  <w:style w:type="character" w:customStyle="1" w:styleId="TextkomentraChar1128">
    <w:name w:val="Text komentára Char1128"/>
    <w:aliases w:val="Char7 Char Char1129,Text komentára Char Char Char1129,Comment Text Char Char Char1129"/>
    <w:uiPriority w:val="99"/>
    <w:semiHidden/>
    <w:rsid w:val="00A809E7"/>
    <w:rPr>
      <w:rFonts w:ascii="Courier" w:hAnsi="Courier"/>
      <w:lang w:val="x-none" w:eastAsia="cs-CZ"/>
    </w:rPr>
  </w:style>
  <w:style w:type="character" w:customStyle="1" w:styleId="TextkomentraChar1127">
    <w:name w:val="Text komentára Char1127"/>
    <w:aliases w:val="Char7 Char Char1128,Text komentára Char Char Char1128,Comment Text Char Char Char1128"/>
    <w:uiPriority w:val="99"/>
    <w:semiHidden/>
    <w:rsid w:val="00A809E7"/>
    <w:rPr>
      <w:rFonts w:ascii="Courier" w:hAnsi="Courier"/>
      <w:lang w:val="x-none" w:eastAsia="cs-CZ"/>
    </w:rPr>
  </w:style>
  <w:style w:type="character" w:customStyle="1" w:styleId="TextkomentraChar1126">
    <w:name w:val="Text komentára Char1126"/>
    <w:aliases w:val="Char7 Char Char1127,Text komentára Char Char Char1127,Comment Text Char Char Char1127"/>
    <w:uiPriority w:val="99"/>
    <w:semiHidden/>
    <w:rsid w:val="00A809E7"/>
    <w:rPr>
      <w:rFonts w:ascii="Courier" w:hAnsi="Courier"/>
      <w:lang w:val="x-none" w:eastAsia="cs-CZ"/>
    </w:rPr>
  </w:style>
  <w:style w:type="character" w:customStyle="1" w:styleId="TextkomentraChar1125">
    <w:name w:val="Text komentára Char1125"/>
    <w:aliases w:val="Char7 Char Char1126,Text komentára Char Char Char1126,Comment Text Char Char Char1126"/>
    <w:uiPriority w:val="99"/>
    <w:semiHidden/>
    <w:rsid w:val="00A809E7"/>
    <w:rPr>
      <w:rFonts w:ascii="Courier" w:hAnsi="Courier"/>
      <w:lang w:val="x-none" w:eastAsia="cs-CZ"/>
    </w:rPr>
  </w:style>
  <w:style w:type="character" w:customStyle="1" w:styleId="TextkomentraChar1124">
    <w:name w:val="Text komentára Char1124"/>
    <w:aliases w:val="Char7 Char Char1125,Text komentára Char Char Char1125,Comment Text Char Char Char1125"/>
    <w:uiPriority w:val="99"/>
    <w:semiHidden/>
    <w:rsid w:val="00A809E7"/>
    <w:rPr>
      <w:rFonts w:ascii="Courier" w:hAnsi="Courier"/>
      <w:lang w:val="x-none" w:eastAsia="cs-CZ"/>
    </w:rPr>
  </w:style>
  <w:style w:type="character" w:customStyle="1" w:styleId="TextkomentraChar1123">
    <w:name w:val="Text komentára Char1123"/>
    <w:aliases w:val="Char7 Char Char1124,Text komentára Char Char Char1124,Comment Text Char Char Char1124"/>
    <w:uiPriority w:val="99"/>
    <w:semiHidden/>
    <w:rsid w:val="00A809E7"/>
    <w:rPr>
      <w:rFonts w:ascii="Courier" w:hAnsi="Courier"/>
      <w:lang w:val="x-none" w:eastAsia="cs-CZ"/>
    </w:rPr>
  </w:style>
  <w:style w:type="character" w:customStyle="1" w:styleId="TextkomentraChar1122">
    <w:name w:val="Text komentára Char1122"/>
    <w:aliases w:val="Char7 Char Char1123,Text komentára Char Char Char1123,Comment Text Char Char Char1123"/>
    <w:uiPriority w:val="99"/>
    <w:semiHidden/>
    <w:rsid w:val="00A809E7"/>
    <w:rPr>
      <w:rFonts w:ascii="Courier" w:hAnsi="Courier"/>
      <w:lang w:val="x-none" w:eastAsia="cs-CZ"/>
    </w:rPr>
  </w:style>
  <w:style w:type="character" w:customStyle="1" w:styleId="TextkomentraChar1121">
    <w:name w:val="Text komentára Char1121"/>
    <w:aliases w:val="Char7 Char Char1122,Text komentára Char Char Char1122,Comment Text Char Char Char1122"/>
    <w:uiPriority w:val="99"/>
    <w:semiHidden/>
    <w:rsid w:val="00A809E7"/>
    <w:rPr>
      <w:rFonts w:ascii="Courier" w:hAnsi="Courier"/>
      <w:lang w:val="x-none" w:eastAsia="cs-CZ"/>
    </w:rPr>
  </w:style>
  <w:style w:type="character" w:customStyle="1" w:styleId="TextkomentraChar1120">
    <w:name w:val="Text komentára Char1120"/>
    <w:aliases w:val="Char7 Char Char1121,Text komentára Char Char Char1121,Comment Text Char Char Char1121"/>
    <w:uiPriority w:val="99"/>
    <w:semiHidden/>
    <w:rsid w:val="00A809E7"/>
    <w:rPr>
      <w:rFonts w:ascii="Courier" w:hAnsi="Courier"/>
      <w:lang w:val="x-none" w:eastAsia="cs-CZ"/>
    </w:rPr>
  </w:style>
  <w:style w:type="character" w:customStyle="1" w:styleId="TextkomentraChar1119">
    <w:name w:val="Text komentára Char1119"/>
    <w:aliases w:val="Char7 Char Char1120,Text komentára Char Char Char1120,Comment Text Char Char Char1120"/>
    <w:uiPriority w:val="99"/>
    <w:semiHidden/>
    <w:rsid w:val="00A809E7"/>
    <w:rPr>
      <w:rFonts w:ascii="Courier" w:hAnsi="Courier"/>
      <w:lang w:val="x-none" w:eastAsia="cs-CZ"/>
    </w:rPr>
  </w:style>
  <w:style w:type="character" w:customStyle="1" w:styleId="TextkomentraChar1118">
    <w:name w:val="Text komentára Char1118"/>
    <w:aliases w:val="Char7 Char Char1119,Text komentára Char Char Char1119,Comment Text Char Char Char1119"/>
    <w:uiPriority w:val="99"/>
    <w:semiHidden/>
    <w:rsid w:val="00A809E7"/>
    <w:rPr>
      <w:rFonts w:ascii="Courier" w:hAnsi="Courier"/>
      <w:lang w:val="x-none" w:eastAsia="cs-CZ"/>
    </w:rPr>
  </w:style>
  <w:style w:type="character" w:customStyle="1" w:styleId="TextkomentraChar1117">
    <w:name w:val="Text komentára Char1117"/>
    <w:aliases w:val="Char7 Char Char1118,Text komentára Char Char Char1118,Comment Text Char Char Char1118"/>
    <w:uiPriority w:val="99"/>
    <w:semiHidden/>
    <w:rsid w:val="00A809E7"/>
    <w:rPr>
      <w:rFonts w:ascii="Courier" w:hAnsi="Courier"/>
      <w:lang w:val="x-none" w:eastAsia="cs-CZ"/>
    </w:rPr>
  </w:style>
  <w:style w:type="character" w:customStyle="1" w:styleId="TextkomentraChar1116">
    <w:name w:val="Text komentára Char1116"/>
    <w:aliases w:val="Char7 Char Char1117,Text komentára Char Char Char1117,Comment Text Char Char Char1117"/>
    <w:uiPriority w:val="99"/>
    <w:semiHidden/>
    <w:rsid w:val="00A809E7"/>
    <w:rPr>
      <w:rFonts w:ascii="Courier" w:hAnsi="Courier"/>
      <w:lang w:val="x-none" w:eastAsia="cs-CZ"/>
    </w:rPr>
  </w:style>
  <w:style w:type="character" w:customStyle="1" w:styleId="TextkomentraChar1115">
    <w:name w:val="Text komentára Char1115"/>
    <w:aliases w:val="Char7 Char Char1116,Text komentára Char Char Char1116,Comment Text Char Char Char1116"/>
    <w:uiPriority w:val="99"/>
    <w:semiHidden/>
    <w:rsid w:val="00A809E7"/>
    <w:rPr>
      <w:rFonts w:ascii="Courier" w:hAnsi="Courier"/>
      <w:lang w:val="x-none" w:eastAsia="cs-CZ"/>
    </w:rPr>
  </w:style>
  <w:style w:type="character" w:customStyle="1" w:styleId="TextkomentraChar1114">
    <w:name w:val="Text komentára Char1114"/>
    <w:aliases w:val="Char7 Char Char1115,Text komentára Char Char Char1115,Comment Text Char Char Char1115"/>
    <w:uiPriority w:val="99"/>
    <w:semiHidden/>
    <w:rsid w:val="00A809E7"/>
    <w:rPr>
      <w:rFonts w:ascii="Courier" w:hAnsi="Courier"/>
      <w:lang w:val="x-none" w:eastAsia="cs-CZ"/>
    </w:rPr>
  </w:style>
  <w:style w:type="character" w:customStyle="1" w:styleId="TextkomentraChar1113">
    <w:name w:val="Text komentára Char1113"/>
    <w:aliases w:val="Char7 Char Char1114,Text komentára Char Char Char1114,Comment Text Char Char Char1114"/>
    <w:uiPriority w:val="99"/>
    <w:semiHidden/>
    <w:rsid w:val="00A809E7"/>
    <w:rPr>
      <w:rFonts w:ascii="Courier" w:hAnsi="Courier"/>
      <w:lang w:val="x-none" w:eastAsia="cs-CZ"/>
    </w:rPr>
  </w:style>
  <w:style w:type="character" w:customStyle="1" w:styleId="TextkomentraChar1112">
    <w:name w:val="Text komentára Char1112"/>
    <w:aliases w:val="Char7 Char Char1113,Text komentára Char Char Char1113,Comment Text Char Char Char1113"/>
    <w:uiPriority w:val="99"/>
    <w:semiHidden/>
    <w:rsid w:val="00A809E7"/>
    <w:rPr>
      <w:rFonts w:ascii="Courier" w:hAnsi="Courier"/>
      <w:lang w:val="x-none" w:eastAsia="cs-CZ"/>
    </w:rPr>
  </w:style>
  <w:style w:type="character" w:customStyle="1" w:styleId="TextkomentraChar1111">
    <w:name w:val="Text komentára Char1111"/>
    <w:aliases w:val="Char7 Char Char1112,Text komentára Char Char Char1112,Comment Text Char Char Char1112"/>
    <w:uiPriority w:val="99"/>
    <w:semiHidden/>
    <w:rsid w:val="00A809E7"/>
    <w:rPr>
      <w:rFonts w:ascii="Courier" w:hAnsi="Courier"/>
      <w:lang w:val="x-none" w:eastAsia="cs-CZ"/>
    </w:rPr>
  </w:style>
  <w:style w:type="character" w:customStyle="1" w:styleId="TextkomentraChar1110">
    <w:name w:val="Text komentára Char1110"/>
    <w:aliases w:val="Char7 Char Char1111,Text komentára Char Char Char1111,Comment Text Char Char Char1111"/>
    <w:uiPriority w:val="99"/>
    <w:semiHidden/>
    <w:rsid w:val="00A809E7"/>
    <w:rPr>
      <w:rFonts w:ascii="Courier" w:hAnsi="Courier"/>
      <w:lang w:val="x-none" w:eastAsia="cs-CZ"/>
    </w:rPr>
  </w:style>
  <w:style w:type="character" w:customStyle="1" w:styleId="TextkomentraChar1109">
    <w:name w:val="Text komentára Char1109"/>
    <w:aliases w:val="Char7 Char Char1110,Text komentára Char Char Char1110,Comment Text Char Char Char1110"/>
    <w:uiPriority w:val="99"/>
    <w:semiHidden/>
    <w:rsid w:val="00A809E7"/>
    <w:rPr>
      <w:rFonts w:ascii="Courier" w:hAnsi="Courier"/>
      <w:lang w:val="x-none" w:eastAsia="cs-CZ"/>
    </w:rPr>
  </w:style>
  <w:style w:type="character" w:customStyle="1" w:styleId="TextkomentraChar1108">
    <w:name w:val="Text komentára Char1108"/>
    <w:aliases w:val="Char7 Char Char1109,Text komentára Char Char Char1109,Comment Text Char Char Char1109"/>
    <w:uiPriority w:val="99"/>
    <w:semiHidden/>
    <w:rsid w:val="00A809E7"/>
    <w:rPr>
      <w:rFonts w:ascii="Courier" w:hAnsi="Courier"/>
      <w:lang w:val="x-none" w:eastAsia="cs-CZ"/>
    </w:rPr>
  </w:style>
  <w:style w:type="character" w:customStyle="1" w:styleId="TextkomentraChar1107">
    <w:name w:val="Text komentára Char1107"/>
    <w:aliases w:val="Char7 Char Char1108,Text komentára Char Char Char1108,Comment Text Char Char Char1108"/>
    <w:uiPriority w:val="99"/>
    <w:semiHidden/>
    <w:rsid w:val="00A809E7"/>
    <w:rPr>
      <w:rFonts w:ascii="Courier" w:hAnsi="Courier"/>
      <w:lang w:val="x-none" w:eastAsia="cs-CZ"/>
    </w:rPr>
  </w:style>
  <w:style w:type="character" w:customStyle="1" w:styleId="TextkomentraChar1106">
    <w:name w:val="Text komentára Char1106"/>
    <w:aliases w:val="Char7 Char Char1107,Text komentára Char Char Char1107,Comment Text Char Char Char1107"/>
    <w:uiPriority w:val="99"/>
    <w:semiHidden/>
    <w:rsid w:val="00A809E7"/>
    <w:rPr>
      <w:rFonts w:ascii="Courier" w:hAnsi="Courier"/>
      <w:lang w:val="x-none" w:eastAsia="cs-CZ"/>
    </w:rPr>
  </w:style>
  <w:style w:type="character" w:customStyle="1" w:styleId="TextkomentraChar1105">
    <w:name w:val="Text komentára Char1105"/>
    <w:aliases w:val="Char7 Char Char1106,Text komentára Char Char Char1106,Comment Text Char Char Char1106"/>
    <w:uiPriority w:val="99"/>
    <w:semiHidden/>
    <w:rsid w:val="00A809E7"/>
    <w:rPr>
      <w:rFonts w:ascii="Courier" w:hAnsi="Courier"/>
      <w:lang w:val="x-none" w:eastAsia="cs-CZ"/>
    </w:rPr>
  </w:style>
  <w:style w:type="character" w:customStyle="1" w:styleId="TextkomentraChar1104">
    <w:name w:val="Text komentára Char1104"/>
    <w:aliases w:val="Char7 Char Char1105,Text komentára Char Char Char1105,Comment Text Char Char Char1105"/>
    <w:uiPriority w:val="99"/>
    <w:semiHidden/>
    <w:rsid w:val="00A809E7"/>
    <w:rPr>
      <w:rFonts w:ascii="Courier" w:hAnsi="Courier"/>
      <w:lang w:val="x-none" w:eastAsia="cs-CZ"/>
    </w:rPr>
  </w:style>
  <w:style w:type="character" w:customStyle="1" w:styleId="TextkomentraChar1103">
    <w:name w:val="Text komentára Char1103"/>
    <w:aliases w:val="Char7 Char Char1104,Text komentára Char Char Char1104,Comment Text Char Char Char1104"/>
    <w:uiPriority w:val="99"/>
    <w:semiHidden/>
    <w:rsid w:val="00A809E7"/>
    <w:rPr>
      <w:rFonts w:ascii="Courier" w:hAnsi="Courier"/>
      <w:lang w:val="x-none" w:eastAsia="cs-CZ"/>
    </w:rPr>
  </w:style>
  <w:style w:type="character" w:customStyle="1" w:styleId="TextkomentraChar1102">
    <w:name w:val="Text komentára Char1102"/>
    <w:aliases w:val="Char7 Char Char1103,Text komentára Char Char Char1103,Comment Text Char Char Char1103"/>
    <w:uiPriority w:val="99"/>
    <w:semiHidden/>
    <w:rsid w:val="00A809E7"/>
    <w:rPr>
      <w:rFonts w:ascii="Courier" w:hAnsi="Courier"/>
      <w:lang w:val="x-none" w:eastAsia="cs-CZ"/>
    </w:rPr>
  </w:style>
  <w:style w:type="character" w:customStyle="1" w:styleId="TextkomentraChar1101">
    <w:name w:val="Text komentára Char1101"/>
    <w:aliases w:val="Char7 Char Char1102,Text komentára Char Char Char1102,Comment Text Char Char Char1102"/>
    <w:uiPriority w:val="99"/>
    <w:semiHidden/>
    <w:rsid w:val="00A809E7"/>
    <w:rPr>
      <w:rFonts w:ascii="Courier" w:hAnsi="Courier"/>
      <w:lang w:val="x-none" w:eastAsia="cs-CZ"/>
    </w:rPr>
  </w:style>
  <w:style w:type="character" w:customStyle="1" w:styleId="TextkomentraChar1100">
    <w:name w:val="Text komentára Char1100"/>
    <w:aliases w:val="Char7 Char Char1101,Text komentára Char Char Char1101,Comment Text Char Char Char1101"/>
    <w:uiPriority w:val="99"/>
    <w:semiHidden/>
    <w:rsid w:val="00A809E7"/>
    <w:rPr>
      <w:rFonts w:ascii="Courier" w:hAnsi="Courier"/>
      <w:lang w:val="x-none" w:eastAsia="cs-CZ"/>
    </w:rPr>
  </w:style>
  <w:style w:type="character" w:customStyle="1" w:styleId="TextkomentraChar199">
    <w:name w:val="Text komentára Char199"/>
    <w:aliases w:val="Char7 Char Char1100,Text komentára Char Char Char1100,Comment Text Char Char Char1100"/>
    <w:uiPriority w:val="99"/>
    <w:semiHidden/>
    <w:rsid w:val="00A809E7"/>
    <w:rPr>
      <w:rFonts w:ascii="Courier" w:hAnsi="Courier"/>
      <w:lang w:val="x-none" w:eastAsia="cs-CZ"/>
    </w:rPr>
  </w:style>
  <w:style w:type="character" w:customStyle="1" w:styleId="TextkomentraChar198">
    <w:name w:val="Text komentára Char198"/>
    <w:aliases w:val="Char7 Char Char199,Text komentára Char Char Char199,Comment Text Char Char Char199"/>
    <w:uiPriority w:val="99"/>
    <w:semiHidden/>
    <w:rsid w:val="00A809E7"/>
    <w:rPr>
      <w:rFonts w:ascii="Courier" w:hAnsi="Courier"/>
      <w:lang w:val="x-none" w:eastAsia="cs-CZ"/>
    </w:rPr>
  </w:style>
  <w:style w:type="character" w:customStyle="1" w:styleId="TextkomentraChar197">
    <w:name w:val="Text komentára Char197"/>
    <w:aliases w:val="Char7 Char Char198,Text komentára Char Char Char198,Comment Text Char Char Char198"/>
    <w:uiPriority w:val="99"/>
    <w:semiHidden/>
    <w:rsid w:val="00A809E7"/>
    <w:rPr>
      <w:rFonts w:ascii="Courier" w:hAnsi="Courier"/>
      <w:lang w:val="x-none" w:eastAsia="cs-CZ"/>
    </w:rPr>
  </w:style>
  <w:style w:type="character" w:customStyle="1" w:styleId="TextkomentraChar196">
    <w:name w:val="Text komentára Char196"/>
    <w:aliases w:val="Char7 Char Char197,Text komentára Char Char Char197,Comment Text Char Char Char197"/>
    <w:uiPriority w:val="99"/>
    <w:semiHidden/>
    <w:rsid w:val="00A809E7"/>
    <w:rPr>
      <w:rFonts w:ascii="Courier" w:hAnsi="Courier"/>
      <w:lang w:val="x-none" w:eastAsia="cs-CZ"/>
    </w:rPr>
  </w:style>
  <w:style w:type="character" w:customStyle="1" w:styleId="TextkomentraChar195">
    <w:name w:val="Text komentára Char195"/>
    <w:aliases w:val="Char7 Char Char196,Text komentára Char Char Char196,Comment Text Char Char Char196"/>
    <w:uiPriority w:val="99"/>
    <w:semiHidden/>
    <w:rsid w:val="00A809E7"/>
    <w:rPr>
      <w:rFonts w:ascii="Courier" w:hAnsi="Courier"/>
      <w:lang w:val="x-none" w:eastAsia="cs-CZ"/>
    </w:rPr>
  </w:style>
  <w:style w:type="character" w:customStyle="1" w:styleId="TextkomentraChar194">
    <w:name w:val="Text komentára Char194"/>
    <w:aliases w:val="Char7 Char Char195,Text komentára Char Char Char195,Comment Text Char Char Char195"/>
    <w:uiPriority w:val="99"/>
    <w:semiHidden/>
    <w:rsid w:val="00A809E7"/>
    <w:rPr>
      <w:rFonts w:ascii="Courier" w:hAnsi="Courier"/>
      <w:lang w:val="x-none" w:eastAsia="cs-CZ"/>
    </w:rPr>
  </w:style>
  <w:style w:type="character" w:customStyle="1" w:styleId="TextkomentraChar193">
    <w:name w:val="Text komentára Char193"/>
    <w:aliases w:val="Char7 Char Char194,Text komentára Char Char Char194,Comment Text Char Char Char194"/>
    <w:uiPriority w:val="99"/>
    <w:semiHidden/>
    <w:rsid w:val="00A809E7"/>
    <w:rPr>
      <w:rFonts w:ascii="Courier" w:hAnsi="Courier"/>
      <w:lang w:val="x-none" w:eastAsia="cs-CZ"/>
    </w:rPr>
  </w:style>
  <w:style w:type="character" w:customStyle="1" w:styleId="TextkomentraChar192">
    <w:name w:val="Text komentára Char192"/>
    <w:aliases w:val="Char7 Char Char193,Text komentára Char Char Char193,Comment Text Char Char Char193"/>
    <w:uiPriority w:val="99"/>
    <w:semiHidden/>
    <w:rsid w:val="00A809E7"/>
    <w:rPr>
      <w:rFonts w:ascii="Courier" w:hAnsi="Courier"/>
      <w:lang w:val="x-none" w:eastAsia="cs-CZ"/>
    </w:rPr>
  </w:style>
  <w:style w:type="character" w:customStyle="1" w:styleId="TextkomentraChar191">
    <w:name w:val="Text komentára Char191"/>
    <w:aliases w:val="Char7 Char Char192,Text komentára Char Char Char192,Comment Text Char Char Char192"/>
    <w:uiPriority w:val="99"/>
    <w:semiHidden/>
    <w:rsid w:val="00A809E7"/>
    <w:rPr>
      <w:rFonts w:ascii="Courier" w:hAnsi="Courier"/>
      <w:lang w:val="x-none" w:eastAsia="cs-CZ"/>
    </w:rPr>
  </w:style>
  <w:style w:type="character" w:customStyle="1" w:styleId="TextkomentraChar190">
    <w:name w:val="Text komentára Char190"/>
    <w:aliases w:val="Char7 Char Char191,Text komentára Char Char Char191,Comment Text Char Char Char191"/>
    <w:uiPriority w:val="99"/>
    <w:semiHidden/>
    <w:rsid w:val="00A809E7"/>
    <w:rPr>
      <w:rFonts w:ascii="Courier" w:hAnsi="Courier"/>
      <w:lang w:val="x-none" w:eastAsia="cs-CZ"/>
    </w:rPr>
  </w:style>
  <w:style w:type="character" w:customStyle="1" w:styleId="TextkomentraChar189">
    <w:name w:val="Text komentára Char189"/>
    <w:aliases w:val="Char7 Char Char190,Text komentára Char Char Char190,Comment Text Char Char Char190"/>
    <w:uiPriority w:val="99"/>
    <w:semiHidden/>
    <w:rsid w:val="00A809E7"/>
    <w:rPr>
      <w:rFonts w:ascii="Courier" w:hAnsi="Courier"/>
      <w:lang w:val="x-none" w:eastAsia="cs-CZ"/>
    </w:rPr>
  </w:style>
  <w:style w:type="character" w:customStyle="1" w:styleId="TextkomentraChar188">
    <w:name w:val="Text komentára Char188"/>
    <w:aliases w:val="Char7 Char Char189,Text komentára Char Char Char189,Comment Text Char Char Char189"/>
    <w:uiPriority w:val="99"/>
    <w:semiHidden/>
    <w:rsid w:val="00A809E7"/>
    <w:rPr>
      <w:rFonts w:ascii="Courier" w:hAnsi="Courier"/>
      <w:lang w:val="x-none" w:eastAsia="cs-CZ"/>
    </w:rPr>
  </w:style>
  <w:style w:type="character" w:customStyle="1" w:styleId="TextkomentraChar187">
    <w:name w:val="Text komentára Char187"/>
    <w:aliases w:val="Char7 Char Char188,Text komentára Char Char Char188,Comment Text Char Char Char188"/>
    <w:uiPriority w:val="99"/>
    <w:semiHidden/>
    <w:rsid w:val="00A809E7"/>
    <w:rPr>
      <w:rFonts w:ascii="Courier" w:hAnsi="Courier"/>
      <w:lang w:val="x-none" w:eastAsia="cs-CZ"/>
    </w:rPr>
  </w:style>
  <w:style w:type="character" w:customStyle="1" w:styleId="TextkomentraChar186">
    <w:name w:val="Text komentára Char186"/>
    <w:aliases w:val="Char7 Char Char187,Text komentára Char Char Char187,Comment Text Char Char Char187"/>
    <w:uiPriority w:val="99"/>
    <w:semiHidden/>
    <w:rsid w:val="00A809E7"/>
    <w:rPr>
      <w:rFonts w:ascii="Courier" w:hAnsi="Courier"/>
      <w:lang w:val="x-none" w:eastAsia="cs-CZ"/>
    </w:rPr>
  </w:style>
  <w:style w:type="character" w:customStyle="1" w:styleId="TextkomentraChar185">
    <w:name w:val="Text komentára Char185"/>
    <w:aliases w:val="Char7 Char Char186,Text komentára Char Char Char186,Comment Text Char Char Char186"/>
    <w:uiPriority w:val="99"/>
    <w:semiHidden/>
    <w:rsid w:val="00A809E7"/>
    <w:rPr>
      <w:rFonts w:ascii="Courier" w:hAnsi="Courier"/>
      <w:lang w:val="x-none" w:eastAsia="cs-CZ"/>
    </w:rPr>
  </w:style>
  <w:style w:type="character" w:customStyle="1" w:styleId="TextkomentraChar184">
    <w:name w:val="Text komentára Char184"/>
    <w:aliases w:val="Char7 Char Char185,Text komentára Char Char Char185,Comment Text Char Char Char185"/>
    <w:uiPriority w:val="99"/>
    <w:semiHidden/>
    <w:rsid w:val="00A809E7"/>
    <w:rPr>
      <w:rFonts w:ascii="Courier" w:hAnsi="Courier"/>
      <w:lang w:val="x-none" w:eastAsia="cs-CZ"/>
    </w:rPr>
  </w:style>
  <w:style w:type="character" w:customStyle="1" w:styleId="TextkomentraChar183">
    <w:name w:val="Text komentára Char183"/>
    <w:aliases w:val="Char7 Char Char184,Text komentára Char Char Char184,Comment Text Char Char Char184"/>
    <w:uiPriority w:val="99"/>
    <w:semiHidden/>
    <w:rsid w:val="00A809E7"/>
    <w:rPr>
      <w:rFonts w:ascii="Courier" w:hAnsi="Courier"/>
      <w:lang w:val="x-none" w:eastAsia="cs-CZ"/>
    </w:rPr>
  </w:style>
  <w:style w:type="character" w:customStyle="1" w:styleId="TextkomentraChar182">
    <w:name w:val="Text komentára Char182"/>
    <w:aliases w:val="Char7 Char Char183,Text komentára Char Char Char183,Comment Text Char Char Char183"/>
    <w:uiPriority w:val="99"/>
    <w:semiHidden/>
    <w:rsid w:val="00A809E7"/>
    <w:rPr>
      <w:rFonts w:ascii="Courier" w:hAnsi="Courier"/>
      <w:lang w:val="x-none" w:eastAsia="cs-CZ"/>
    </w:rPr>
  </w:style>
  <w:style w:type="character" w:customStyle="1" w:styleId="TextkomentraChar181">
    <w:name w:val="Text komentára Char181"/>
    <w:aliases w:val="Char7 Char Char182,Text komentára Char Char Char182,Comment Text Char Char Char182"/>
    <w:uiPriority w:val="99"/>
    <w:semiHidden/>
    <w:rsid w:val="00A809E7"/>
    <w:rPr>
      <w:rFonts w:ascii="Courier" w:hAnsi="Courier"/>
      <w:lang w:val="x-none" w:eastAsia="cs-CZ"/>
    </w:rPr>
  </w:style>
  <w:style w:type="character" w:customStyle="1" w:styleId="TextkomentraChar180">
    <w:name w:val="Text komentára Char180"/>
    <w:aliases w:val="Char7 Char Char181,Text komentára Char Char Char181,Comment Text Char Char Char181"/>
    <w:uiPriority w:val="99"/>
    <w:semiHidden/>
    <w:rsid w:val="00A809E7"/>
    <w:rPr>
      <w:rFonts w:ascii="Courier" w:hAnsi="Courier"/>
      <w:lang w:val="x-none" w:eastAsia="cs-CZ"/>
    </w:rPr>
  </w:style>
  <w:style w:type="character" w:customStyle="1" w:styleId="TextkomentraChar179">
    <w:name w:val="Text komentára Char179"/>
    <w:aliases w:val="Char7 Char Char180,Text komentára Char Char Char180,Comment Text Char Char Char180"/>
    <w:uiPriority w:val="99"/>
    <w:semiHidden/>
    <w:rsid w:val="00A809E7"/>
    <w:rPr>
      <w:rFonts w:ascii="Courier" w:hAnsi="Courier"/>
      <w:lang w:val="x-none" w:eastAsia="cs-CZ"/>
    </w:rPr>
  </w:style>
  <w:style w:type="character" w:customStyle="1" w:styleId="TextkomentraChar178">
    <w:name w:val="Text komentára Char178"/>
    <w:aliases w:val="Char7 Char Char179,Text komentára Char Char Char179,Comment Text Char Char Char179"/>
    <w:uiPriority w:val="99"/>
    <w:semiHidden/>
    <w:rsid w:val="00A809E7"/>
    <w:rPr>
      <w:rFonts w:ascii="Courier" w:hAnsi="Courier"/>
      <w:lang w:val="x-none" w:eastAsia="cs-CZ"/>
    </w:rPr>
  </w:style>
  <w:style w:type="character" w:customStyle="1" w:styleId="TextkomentraChar177">
    <w:name w:val="Text komentára Char177"/>
    <w:aliases w:val="Char7 Char Char178,Text komentára Char Char Char178,Comment Text Char Char Char178"/>
    <w:uiPriority w:val="99"/>
    <w:semiHidden/>
    <w:rsid w:val="00A809E7"/>
    <w:rPr>
      <w:rFonts w:ascii="Courier" w:hAnsi="Courier"/>
      <w:lang w:val="x-none" w:eastAsia="cs-CZ"/>
    </w:rPr>
  </w:style>
  <w:style w:type="character" w:customStyle="1" w:styleId="TextkomentraChar176">
    <w:name w:val="Text komentára Char176"/>
    <w:aliases w:val="Char7 Char Char177,Text komentára Char Char Char177,Comment Text Char Char Char177"/>
    <w:uiPriority w:val="99"/>
    <w:semiHidden/>
    <w:rsid w:val="00A809E7"/>
    <w:rPr>
      <w:rFonts w:ascii="Courier" w:hAnsi="Courier"/>
      <w:lang w:val="x-none" w:eastAsia="cs-CZ"/>
    </w:rPr>
  </w:style>
  <w:style w:type="character" w:customStyle="1" w:styleId="TextkomentraChar175">
    <w:name w:val="Text komentára Char175"/>
    <w:aliases w:val="Char7 Char Char176,Text komentára Char Char Char176,Comment Text Char Char Char176"/>
    <w:uiPriority w:val="99"/>
    <w:semiHidden/>
    <w:rsid w:val="00A809E7"/>
    <w:rPr>
      <w:rFonts w:ascii="Courier" w:hAnsi="Courier"/>
      <w:lang w:val="x-none" w:eastAsia="cs-CZ"/>
    </w:rPr>
  </w:style>
  <w:style w:type="character" w:customStyle="1" w:styleId="TextkomentraChar174">
    <w:name w:val="Text komentára Char174"/>
    <w:aliases w:val="Char7 Char Char175,Text komentára Char Char Char175,Comment Text Char Char Char175"/>
    <w:uiPriority w:val="99"/>
    <w:semiHidden/>
    <w:rsid w:val="00A809E7"/>
    <w:rPr>
      <w:rFonts w:ascii="Courier" w:hAnsi="Courier"/>
      <w:lang w:val="x-none" w:eastAsia="cs-CZ"/>
    </w:rPr>
  </w:style>
  <w:style w:type="character" w:customStyle="1" w:styleId="TextkomentraChar173">
    <w:name w:val="Text komentára Char173"/>
    <w:aliases w:val="Char7 Char Char174,Text komentára Char Char Char174,Comment Text Char Char Char174"/>
    <w:uiPriority w:val="99"/>
    <w:semiHidden/>
    <w:rsid w:val="00A809E7"/>
    <w:rPr>
      <w:rFonts w:ascii="Courier" w:hAnsi="Courier"/>
      <w:lang w:val="x-none" w:eastAsia="cs-CZ"/>
    </w:rPr>
  </w:style>
  <w:style w:type="character" w:customStyle="1" w:styleId="TextkomentraChar172">
    <w:name w:val="Text komentára Char172"/>
    <w:aliases w:val="Char7 Char Char173,Text komentára Char Char Char173,Comment Text Char Char Char173"/>
    <w:uiPriority w:val="99"/>
    <w:semiHidden/>
    <w:rsid w:val="00A809E7"/>
    <w:rPr>
      <w:rFonts w:ascii="Courier" w:hAnsi="Courier"/>
      <w:lang w:val="x-none" w:eastAsia="cs-CZ"/>
    </w:rPr>
  </w:style>
  <w:style w:type="character" w:customStyle="1" w:styleId="TextkomentraChar171">
    <w:name w:val="Text komentára Char171"/>
    <w:aliases w:val="Char7 Char Char172,Text komentára Char Char Char172,Comment Text Char Char Char172"/>
    <w:uiPriority w:val="99"/>
    <w:semiHidden/>
    <w:rsid w:val="00A809E7"/>
    <w:rPr>
      <w:rFonts w:ascii="Courier" w:hAnsi="Courier"/>
      <w:lang w:val="x-none" w:eastAsia="cs-CZ"/>
    </w:rPr>
  </w:style>
  <w:style w:type="character" w:customStyle="1" w:styleId="TextkomentraChar170">
    <w:name w:val="Text komentára Char170"/>
    <w:aliases w:val="Char7 Char Char171,Text komentára Char Char Char171,Comment Text Char Char Char171"/>
    <w:uiPriority w:val="99"/>
    <w:semiHidden/>
    <w:rsid w:val="00A809E7"/>
    <w:rPr>
      <w:rFonts w:ascii="Courier" w:hAnsi="Courier"/>
      <w:lang w:val="x-none" w:eastAsia="cs-CZ"/>
    </w:rPr>
  </w:style>
  <w:style w:type="character" w:customStyle="1" w:styleId="TextkomentraChar169">
    <w:name w:val="Text komentára Char169"/>
    <w:aliases w:val="Char7 Char Char170,Text komentára Char Char Char170,Comment Text Char Char Char170"/>
    <w:uiPriority w:val="99"/>
    <w:semiHidden/>
    <w:rsid w:val="00A809E7"/>
    <w:rPr>
      <w:rFonts w:ascii="Courier" w:hAnsi="Courier"/>
      <w:lang w:val="x-none" w:eastAsia="cs-CZ"/>
    </w:rPr>
  </w:style>
  <w:style w:type="character" w:customStyle="1" w:styleId="TextkomentraChar168">
    <w:name w:val="Text komentára Char168"/>
    <w:aliases w:val="Char7 Char Char169,Text komentára Char Char Char169,Comment Text Char Char Char169"/>
    <w:uiPriority w:val="99"/>
    <w:semiHidden/>
    <w:rsid w:val="00A809E7"/>
    <w:rPr>
      <w:rFonts w:ascii="Courier" w:hAnsi="Courier"/>
      <w:lang w:val="x-none" w:eastAsia="cs-CZ"/>
    </w:rPr>
  </w:style>
  <w:style w:type="character" w:customStyle="1" w:styleId="TextkomentraChar167">
    <w:name w:val="Text komentára Char167"/>
    <w:aliases w:val="Char7 Char Char168,Text komentára Char Char Char168,Comment Text Char Char Char168"/>
    <w:uiPriority w:val="99"/>
    <w:semiHidden/>
    <w:rsid w:val="00A809E7"/>
    <w:rPr>
      <w:rFonts w:ascii="Courier" w:hAnsi="Courier"/>
      <w:lang w:val="x-none" w:eastAsia="cs-CZ"/>
    </w:rPr>
  </w:style>
  <w:style w:type="character" w:customStyle="1" w:styleId="TextkomentraChar166">
    <w:name w:val="Text komentára Char166"/>
    <w:aliases w:val="Char7 Char Char167,Text komentára Char Char Char167,Comment Text Char Char Char167"/>
    <w:uiPriority w:val="99"/>
    <w:semiHidden/>
    <w:rsid w:val="00A809E7"/>
    <w:rPr>
      <w:rFonts w:ascii="Courier" w:hAnsi="Courier"/>
      <w:lang w:val="x-none" w:eastAsia="cs-CZ"/>
    </w:rPr>
  </w:style>
  <w:style w:type="character" w:customStyle="1" w:styleId="TextkomentraChar165">
    <w:name w:val="Text komentára Char165"/>
    <w:aliases w:val="Char7 Char Char166,Text komentára Char Char Char166,Comment Text Char Char Char166"/>
    <w:uiPriority w:val="99"/>
    <w:semiHidden/>
    <w:rsid w:val="00A809E7"/>
    <w:rPr>
      <w:rFonts w:ascii="Courier" w:hAnsi="Courier"/>
      <w:lang w:val="x-none" w:eastAsia="cs-CZ"/>
    </w:rPr>
  </w:style>
  <w:style w:type="character" w:customStyle="1" w:styleId="TextkomentraChar164">
    <w:name w:val="Text komentára Char164"/>
    <w:aliases w:val="Char7 Char Char165,Text komentára Char Char Char165,Comment Text Char Char Char165"/>
    <w:uiPriority w:val="99"/>
    <w:semiHidden/>
    <w:rsid w:val="00A809E7"/>
    <w:rPr>
      <w:rFonts w:ascii="Courier" w:hAnsi="Courier"/>
      <w:lang w:val="x-none" w:eastAsia="cs-CZ"/>
    </w:rPr>
  </w:style>
  <w:style w:type="character" w:customStyle="1" w:styleId="TextkomentraChar163">
    <w:name w:val="Text komentára Char163"/>
    <w:aliases w:val="Char7 Char Char164,Text komentára Char Char Char164,Comment Text Char Char Char164"/>
    <w:uiPriority w:val="99"/>
    <w:semiHidden/>
    <w:rsid w:val="00A809E7"/>
    <w:rPr>
      <w:rFonts w:ascii="Courier" w:hAnsi="Courier"/>
      <w:lang w:val="x-none" w:eastAsia="cs-CZ"/>
    </w:rPr>
  </w:style>
  <w:style w:type="character" w:customStyle="1" w:styleId="TextkomentraChar162">
    <w:name w:val="Text komentára Char162"/>
    <w:aliases w:val="Char7 Char Char163,Text komentára Char Char Char163,Comment Text Char Char Char163"/>
    <w:uiPriority w:val="99"/>
    <w:semiHidden/>
    <w:rsid w:val="00A809E7"/>
    <w:rPr>
      <w:rFonts w:ascii="Courier" w:hAnsi="Courier"/>
      <w:lang w:val="x-none" w:eastAsia="cs-CZ"/>
    </w:rPr>
  </w:style>
  <w:style w:type="character" w:customStyle="1" w:styleId="TextkomentraChar161">
    <w:name w:val="Text komentára Char161"/>
    <w:aliases w:val="Char7 Char Char162,Text komentára Char Char Char162,Comment Text Char Char Char162"/>
    <w:uiPriority w:val="99"/>
    <w:semiHidden/>
    <w:rsid w:val="00A809E7"/>
    <w:rPr>
      <w:rFonts w:ascii="Courier" w:hAnsi="Courier"/>
      <w:lang w:val="x-none" w:eastAsia="cs-CZ"/>
    </w:rPr>
  </w:style>
  <w:style w:type="character" w:customStyle="1" w:styleId="TextkomentraChar160">
    <w:name w:val="Text komentára Char160"/>
    <w:aliases w:val="Char7 Char Char161,Text komentára Char Char Char161,Comment Text Char Char Char161"/>
    <w:uiPriority w:val="99"/>
    <w:semiHidden/>
    <w:rsid w:val="00A809E7"/>
    <w:rPr>
      <w:rFonts w:ascii="Courier" w:hAnsi="Courier"/>
      <w:lang w:val="x-none" w:eastAsia="cs-CZ"/>
    </w:rPr>
  </w:style>
  <w:style w:type="character" w:customStyle="1" w:styleId="TextkomentraChar159">
    <w:name w:val="Text komentára Char159"/>
    <w:aliases w:val="Char7 Char Char160,Text komentára Char Char Char160,Comment Text Char Char Char160"/>
    <w:uiPriority w:val="99"/>
    <w:semiHidden/>
    <w:rsid w:val="00A809E7"/>
    <w:rPr>
      <w:rFonts w:ascii="Courier" w:hAnsi="Courier"/>
      <w:lang w:val="x-none" w:eastAsia="cs-CZ"/>
    </w:rPr>
  </w:style>
  <w:style w:type="character" w:customStyle="1" w:styleId="TextkomentraChar158">
    <w:name w:val="Text komentára Char158"/>
    <w:aliases w:val="Char7 Char Char159,Text komentára Char Char Char159,Comment Text Char Char Char159"/>
    <w:uiPriority w:val="99"/>
    <w:semiHidden/>
    <w:rsid w:val="00A809E7"/>
    <w:rPr>
      <w:rFonts w:ascii="Courier" w:hAnsi="Courier"/>
      <w:lang w:val="x-none" w:eastAsia="cs-CZ"/>
    </w:rPr>
  </w:style>
  <w:style w:type="character" w:customStyle="1" w:styleId="TextkomentraChar157">
    <w:name w:val="Text komentára Char157"/>
    <w:aliases w:val="Char7 Char Char158,Text komentára Char Char Char158,Comment Text Char Char Char158"/>
    <w:uiPriority w:val="99"/>
    <w:semiHidden/>
    <w:rsid w:val="00A809E7"/>
    <w:rPr>
      <w:rFonts w:ascii="Courier" w:hAnsi="Courier"/>
      <w:lang w:val="x-none" w:eastAsia="cs-CZ"/>
    </w:rPr>
  </w:style>
  <w:style w:type="character" w:customStyle="1" w:styleId="TextkomentraChar156">
    <w:name w:val="Text komentára Char156"/>
    <w:aliases w:val="Char7 Char Char157,Text komentára Char Char Char157,Comment Text Char Char Char157"/>
    <w:uiPriority w:val="99"/>
    <w:semiHidden/>
    <w:rsid w:val="00A809E7"/>
    <w:rPr>
      <w:rFonts w:ascii="Courier" w:hAnsi="Courier"/>
      <w:lang w:val="x-none" w:eastAsia="cs-CZ"/>
    </w:rPr>
  </w:style>
  <w:style w:type="character" w:customStyle="1" w:styleId="TextkomentraChar155">
    <w:name w:val="Text komentára Char155"/>
    <w:aliases w:val="Char7 Char Char156,Text komentára Char Char Char156,Comment Text Char Char Char156"/>
    <w:uiPriority w:val="99"/>
    <w:semiHidden/>
    <w:rsid w:val="00A809E7"/>
    <w:rPr>
      <w:rFonts w:ascii="Courier" w:hAnsi="Courier"/>
      <w:lang w:val="x-none" w:eastAsia="cs-CZ"/>
    </w:rPr>
  </w:style>
  <w:style w:type="character" w:customStyle="1" w:styleId="TextkomentraChar154">
    <w:name w:val="Text komentára Char154"/>
    <w:aliases w:val="Char7 Char Char155,Text komentára Char Char Char155,Comment Text Char Char Char155"/>
    <w:uiPriority w:val="99"/>
    <w:semiHidden/>
    <w:rsid w:val="00A809E7"/>
    <w:rPr>
      <w:rFonts w:ascii="Courier" w:hAnsi="Courier"/>
      <w:lang w:val="x-none" w:eastAsia="cs-CZ"/>
    </w:rPr>
  </w:style>
  <w:style w:type="character" w:customStyle="1" w:styleId="TextkomentraChar153">
    <w:name w:val="Text komentára Char153"/>
    <w:aliases w:val="Char7 Char Char154,Text komentára Char Char Char154,Comment Text Char Char Char154"/>
    <w:uiPriority w:val="99"/>
    <w:semiHidden/>
    <w:rsid w:val="00A809E7"/>
    <w:rPr>
      <w:rFonts w:ascii="Courier" w:hAnsi="Courier"/>
      <w:lang w:val="x-none" w:eastAsia="cs-CZ"/>
    </w:rPr>
  </w:style>
  <w:style w:type="character" w:customStyle="1" w:styleId="TextkomentraChar152">
    <w:name w:val="Text komentára Char152"/>
    <w:aliases w:val="Char7 Char Char153,Text komentára Char Char Char153,Comment Text Char Char Char153"/>
    <w:uiPriority w:val="99"/>
    <w:semiHidden/>
    <w:rsid w:val="00A809E7"/>
    <w:rPr>
      <w:rFonts w:ascii="Courier" w:hAnsi="Courier"/>
      <w:lang w:val="x-none" w:eastAsia="cs-CZ"/>
    </w:rPr>
  </w:style>
  <w:style w:type="character" w:customStyle="1" w:styleId="TextkomentraChar151">
    <w:name w:val="Text komentára Char151"/>
    <w:aliases w:val="Char7 Char Char152,Text komentára Char Char Char152,Comment Text Char Char Char152"/>
    <w:uiPriority w:val="99"/>
    <w:semiHidden/>
    <w:rsid w:val="00A809E7"/>
    <w:rPr>
      <w:rFonts w:ascii="Courier" w:hAnsi="Courier"/>
      <w:lang w:val="x-none" w:eastAsia="cs-CZ"/>
    </w:rPr>
  </w:style>
  <w:style w:type="character" w:customStyle="1" w:styleId="TextkomentraChar150">
    <w:name w:val="Text komentára Char150"/>
    <w:aliases w:val="Char7 Char Char151,Text komentára Char Char Char151,Comment Text Char Char Char151"/>
    <w:uiPriority w:val="99"/>
    <w:semiHidden/>
    <w:rsid w:val="00A809E7"/>
    <w:rPr>
      <w:rFonts w:ascii="Courier" w:hAnsi="Courier"/>
      <w:lang w:val="x-none" w:eastAsia="cs-CZ"/>
    </w:rPr>
  </w:style>
  <w:style w:type="character" w:customStyle="1" w:styleId="TextkomentraChar149">
    <w:name w:val="Text komentára Char149"/>
    <w:aliases w:val="Char7 Char Char150,Text komentára Char Char Char150,Comment Text Char Char Char150"/>
    <w:uiPriority w:val="99"/>
    <w:semiHidden/>
    <w:rsid w:val="00A809E7"/>
    <w:rPr>
      <w:rFonts w:ascii="Courier" w:hAnsi="Courier"/>
      <w:lang w:val="x-none" w:eastAsia="cs-CZ"/>
    </w:rPr>
  </w:style>
  <w:style w:type="character" w:customStyle="1" w:styleId="TextkomentraChar148">
    <w:name w:val="Text komentára Char148"/>
    <w:aliases w:val="Char7 Char Char149,Text komentára Char Char Char149,Comment Text Char Char Char149"/>
    <w:uiPriority w:val="99"/>
    <w:semiHidden/>
    <w:rsid w:val="00A809E7"/>
    <w:rPr>
      <w:rFonts w:ascii="Courier" w:hAnsi="Courier"/>
      <w:lang w:val="x-none" w:eastAsia="cs-CZ"/>
    </w:rPr>
  </w:style>
  <w:style w:type="character" w:customStyle="1" w:styleId="TextkomentraChar147">
    <w:name w:val="Text komentára Char147"/>
    <w:aliases w:val="Char7 Char Char148,Text komentára Char Char Char148,Comment Text Char Char Char148"/>
    <w:uiPriority w:val="99"/>
    <w:semiHidden/>
    <w:rsid w:val="00A809E7"/>
    <w:rPr>
      <w:rFonts w:ascii="Courier" w:hAnsi="Courier"/>
      <w:lang w:val="x-none" w:eastAsia="cs-CZ"/>
    </w:rPr>
  </w:style>
  <w:style w:type="character" w:customStyle="1" w:styleId="TextkomentraChar146">
    <w:name w:val="Text komentára Char146"/>
    <w:aliases w:val="Char7 Char Char147,Text komentára Char Char Char147,Comment Text Char Char Char147"/>
    <w:uiPriority w:val="99"/>
    <w:semiHidden/>
    <w:rsid w:val="00A809E7"/>
    <w:rPr>
      <w:rFonts w:ascii="Courier" w:hAnsi="Courier"/>
      <w:lang w:val="x-none" w:eastAsia="cs-CZ"/>
    </w:rPr>
  </w:style>
  <w:style w:type="character" w:customStyle="1" w:styleId="TextkomentraChar145">
    <w:name w:val="Text komentára Char145"/>
    <w:aliases w:val="Char7 Char Char146,Text komentára Char Char Char146,Comment Text Char Char Char146"/>
    <w:uiPriority w:val="99"/>
    <w:semiHidden/>
    <w:rsid w:val="00A809E7"/>
    <w:rPr>
      <w:rFonts w:ascii="Courier" w:hAnsi="Courier"/>
      <w:lang w:val="x-none" w:eastAsia="cs-CZ"/>
    </w:rPr>
  </w:style>
  <w:style w:type="character" w:customStyle="1" w:styleId="TextkomentraChar144">
    <w:name w:val="Text komentára Char144"/>
    <w:aliases w:val="Char7 Char Char145,Text komentára Char Char Char145,Comment Text Char Char Char145"/>
    <w:uiPriority w:val="99"/>
    <w:semiHidden/>
    <w:rsid w:val="00A809E7"/>
    <w:rPr>
      <w:rFonts w:ascii="Courier" w:hAnsi="Courier"/>
      <w:lang w:val="x-none" w:eastAsia="cs-CZ"/>
    </w:rPr>
  </w:style>
  <w:style w:type="character" w:customStyle="1" w:styleId="TextkomentraChar143">
    <w:name w:val="Text komentára Char143"/>
    <w:aliases w:val="Char7 Char Char144,Text komentára Char Char Char144,Comment Text Char Char Char144"/>
    <w:uiPriority w:val="99"/>
    <w:semiHidden/>
    <w:rsid w:val="00A809E7"/>
    <w:rPr>
      <w:rFonts w:ascii="Courier" w:hAnsi="Courier"/>
      <w:lang w:val="x-none" w:eastAsia="cs-CZ"/>
    </w:rPr>
  </w:style>
  <w:style w:type="character" w:customStyle="1" w:styleId="TextkomentraChar142">
    <w:name w:val="Text komentára Char142"/>
    <w:aliases w:val="Char7 Char Char143,Text komentára Char Char Char143,Comment Text Char Char Char143"/>
    <w:uiPriority w:val="99"/>
    <w:semiHidden/>
    <w:rsid w:val="00A809E7"/>
    <w:rPr>
      <w:rFonts w:ascii="Courier" w:hAnsi="Courier"/>
      <w:lang w:val="x-none" w:eastAsia="cs-CZ"/>
    </w:rPr>
  </w:style>
  <w:style w:type="character" w:customStyle="1" w:styleId="TextkomentraChar141">
    <w:name w:val="Text komentára Char141"/>
    <w:aliases w:val="Char7 Char Char142,Text komentára Char Char Char142,Comment Text Char Char Char142"/>
    <w:uiPriority w:val="99"/>
    <w:semiHidden/>
    <w:rsid w:val="00A809E7"/>
    <w:rPr>
      <w:rFonts w:ascii="Courier" w:hAnsi="Courier"/>
      <w:lang w:val="x-none" w:eastAsia="cs-CZ"/>
    </w:rPr>
  </w:style>
  <w:style w:type="character" w:customStyle="1" w:styleId="TextkomentraChar140">
    <w:name w:val="Text komentára Char140"/>
    <w:aliases w:val="Char7 Char Char141,Text komentára Char Char Char141,Comment Text Char Char Char141"/>
    <w:uiPriority w:val="99"/>
    <w:semiHidden/>
    <w:rsid w:val="00A809E7"/>
    <w:rPr>
      <w:rFonts w:ascii="Courier" w:hAnsi="Courier"/>
      <w:lang w:val="x-none" w:eastAsia="cs-CZ"/>
    </w:rPr>
  </w:style>
  <w:style w:type="character" w:customStyle="1" w:styleId="TextkomentraChar139">
    <w:name w:val="Text komentára Char139"/>
    <w:aliases w:val="Char7 Char Char140,Text komentára Char Char Char140,Comment Text Char Char Char140"/>
    <w:uiPriority w:val="99"/>
    <w:semiHidden/>
    <w:rsid w:val="00A809E7"/>
    <w:rPr>
      <w:rFonts w:ascii="Courier" w:hAnsi="Courier"/>
      <w:lang w:val="x-none" w:eastAsia="cs-CZ"/>
    </w:rPr>
  </w:style>
  <w:style w:type="character" w:customStyle="1" w:styleId="TextkomentraChar138">
    <w:name w:val="Text komentára Char138"/>
    <w:aliases w:val="Char7 Char Char139,Text komentára Char Char Char139,Comment Text Char Char Char139"/>
    <w:uiPriority w:val="99"/>
    <w:semiHidden/>
    <w:rsid w:val="00A809E7"/>
    <w:rPr>
      <w:rFonts w:ascii="Courier" w:hAnsi="Courier"/>
      <w:lang w:val="x-none" w:eastAsia="cs-CZ"/>
    </w:rPr>
  </w:style>
  <w:style w:type="character" w:customStyle="1" w:styleId="TextkomentraChar137">
    <w:name w:val="Text komentára Char137"/>
    <w:aliases w:val="Char7 Char Char138,Text komentára Char Char Char138,Comment Text Char Char Char138"/>
    <w:uiPriority w:val="99"/>
    <w:semiHidden/>
    <w:rsid w:val="00A809E7"/>
    <w:rPr>
      <w:rFonts w:ascii="Courier" w:hAnsi="Courier"/>
      <w:lang w:val="x-none" w:eastAsia="cs-CZ"/>
    </w:rPr>
  </w:style>
  <w:style w:type="character" w:customStyle="1" w:styleId="TextkomentraChar136">
    <w:name w:val="Text komentára Char136"/>
    <w:aliases w:val="Char7 Char Char137,Text komentára Char Char Char137,Comment Text Char Char Char137"/>
    <w:uiPriority w:val="99"/>
    <w:semiHidden/>
    <w:rsid w:val="00A809E7"/>
    <w:rPr>
      <w:rFonts w:ascii="Courier" w:hAnsi="Courier"/>
      <w:lang w:val="x-none" w:eastAsia="cs-CZ"/>
    </w:rPr>
  </w:style>
  <w:style w:type="character" w:customStyle="1" w:styleId="TextkomentraChar135">
    <w:name w:val="Text komentára Char135"/>
    <w:aliases w:val="Char7 Char Char136,Text komentára Char Char Char136,Comment Text Char Char Char136"/>
    <w:uiPriority w:val="99"/>
    <w:semiHidden/>
    <w:rsid w:val="00A809E7"/>
    <w:rPr>
      <w:rFonts w:ascii="Courier" w:hAnsi="Courier"/>
      <w:lang w:val="x-none" w:eastAsia="cs-CZ"/>
    </w:rPr>
  </w:style>
  <w:style w:type="character" w:customStyle="1" w:styleId="TextkomentraChar134">
    <w:name w:val="Text komentára Char134"/>
    <w:aliases w:val="Char7 Char Char135,Text komentára Char Char Char135,Comment Text Char Char Char135"/>
    <w:uiPriority w:val="99"/>
    <w:semiHidden/>
    <w:rsid w:val="00A809E7"/>
    <w:rPr>
      <w:rFonts w:ascii="Courier" w:hAnsi="Courier"/>
      <w:lang w:val="x-none" w:eastAsia="cs-CZ"/>
    </w:rPr>
  </w:style>
  <w:style w:type="character" w:customStyle="1" w:styleId="TextkomentraChar133">
    <w:name w:val="Text komentára Char133"/>
    <w:aliases w:val="Char7 Char Char134,Text komentára Char Char Char134,Comment Text Char Char Char134"/>
    <w:uiPriority w:val="99"/>
    <w:semiHidden/>
    <w:rsid w:val="00A809E7"/>
    <w:rPr>
      <w:rFonts w:ascii="Courier" w:hAnsi="Courier"/>
      <w:lang w:val="x-none" w:eastAsia="cs-CZ"/>
    </w:rPr>
  </w:style>
  <w:style w:type="character" w:customStyle="1" w:styleId="TextkomentraChar132">
    <w:name w:val="Text komentára Char132"/>
    <w:aliases w:val="Char7 Char Char133,Text komentára Char Char Char133,Comment Text Char Char Char133"/>
    <w:uiPriority w:val="99"/>
    <w:semiHidden/>
    <w:rsid w:val="00A809E7"/>
    <w:rPr>
      <w:rFonts w:ascii="Courier" w:hAnsi="Courier"/>
      <w:lang w:val="x-none" w:eastAsia="cs-CZ"/>
    </w:rPr>
  </w:style>
  <w:style w:type="character" w:customStyle="1" w:styleId="TextkomentraChar131">
    <w:name w:val="Text komentára Char131"/>
    <w:aliases w:val="Char7 Char Char132,Text komentára Char Char Char132,Comment Text Char Char Char132"/>
    <w:uiPriority w:val="99"/>
    <w:semiHidden/>
    <w:rsid w:val="00A809E7"/>
    <w:rPr>
      <w:rFonts w:ascii="Courier" w:hAnsi="Courier"/>
      <w:lang w:val="x-none" w:eastAsia="cs-CZ"/>
    </w:rPr>
  </w:style>
  <w:style w:type="character" w:customStyle="1" w:styleId="TextkomentraChar130">
    <w:name w:val="Text komentára Char130"/>
    <w:aliases w:val="Char7 Char Char131,Text komentára Char Char Char131,Comment Text Char Char Char131"/>
    <w:uiPriority w:val="99"/>
    <w:semiHidden/>
    <w:rsid w:val="00A809E7"/>
    <w:rPr>
      <w:rFonts w:ascii="Courier" w:hAnsi="Courier"/>
      <w:lang w:val="x-none" w:eastAsia="cs-CZ"/>
    </w:rPr>
  </w:style>
  <w:style w:type="character" w:customStyle="1" w:styleId="TextkomentraChar129">
    <w:name w:val="Text komentára Char129"/>
    <w:aliases w:val="Char7 Char Char130,Text komentára Char Char Char130,Comment Text Char Char Char130"/>
    <w:uiPriority w:val="99"/>
    <w:semiHidden/>
    <w:rsid w:val="00A809E7"/>
    <w:rPr>
      <w:rFonts w:ascii="Courier" w:hAnsi="Courier"/>
      <w:lang w:val="x-none" w:eastAsia="cs-CZ"/>
    </w:rPr>
  </w:style>
  <w:style w:type="character" w:customStyle="1" w:styleId="TextkomentraChar128">
    <w:name w:val="Text komentára Char128"/>
    <w:aliases w:val="Char7 Char Char129,Text komentára Char Char Char129,Comment Text Char Char Char129"/>
    <w:uiPriority w:val="99"/>
    <w:semiHidden/>
    <w:rsid w:val="00A809E7"/>
    <w:rPr>
      <w:rFonts w:ascii="Courier" w:hAnsi="Courier"/>
      <w:lang w:val="x-none" w:eastAsia="cs-CZ"/>
    </w:rPr>
  </w:style>
  <w:style w:type="character" w:customStyle="1" w:styleId="TextkomentraChar127">
    <w:name w:val="Text komentára Char127"/>
    <w:aliases w:val="Char7 Char Char128,Text komentára Char Char Char128,Comment Text Char Char Char128"/>
    <w:uiPriority w:val="99"/>
    <w:semiHidden/>
    <w:rsid w:val="00A809E7"/>
    <w:rPr>
      <w:rFonts w:ascii="Courier" w:hAnsi="Courier"/>
      <w:lang w:val="x-none" w:eastAsia="cs-CZ"/>
    </w:rPr>
  </w:style>
  <w:style w:type="character" w:customStyle="1" w:styleId="TextkomentraChar126">
    <w:name w:val="Text komentára Char126"/>
    <w:aliases w:val="Char7 Char Char127,Text komentára Char Char Char127,Comment Text Char Char Char127"/>
    <w:uiPriority w:val="99"/>
    <w:semiHidden/>
    <w:rsid w:val="00A809E7"/>
    <w:rPr>
      <w:rFonts w:ascii="Courier" w:hAnsi="Courier"/>
      <w:lang w:val="x-none" w:eastAsia="cs-CZ"/>
    </w:rPr>
  </w:style>
  <w:style w:type="character" w:customStyle="1" w:styleId="TextkomentraChar125">
    <w:name w:val="Text komentára Char125"/>
    <w:aliases w:val="Char7 Char Char126,Text komentára Char Char Char126,Comment Text Char Char Char126"/>
    <w:uiPriority w:val="99"/>
    <w:semiHidden/>
    <w:rsid w:val="00A809E7"/>
    <w:rPr>
      <w:rFonts w:ascii="Courier" w:hAnsi="Courier"/>
      <w:lang w:val="x-none" w:eastAsia="cs-CZ"/>
    </w:rPr>
  </w:style>
  <w:style w:type="character" w:customStyle="1" w:styleId="TextkomentraChar124">
    <w:name w:val="Text komentára Char124"/>
    <w:aliases w:val="Char7 Char Char125,Text komentára Char Char Char125,Comment Text Char Char Char125"/>
    <w:uiPriority w:val="99"/>
    <w:semiHidden/>
    <w:rsid w:val="00A809E7"/>
    <w:rPr>
      <w:rFonts w:ascii="Courier" w:hAnsi="Courier"/>
      <w:lang w:val="x-none" w:eastAsia="cs-CZ"/>
    </w:rPr>
  </w:style>
  <w:style w:type="character" w:customStyle="1" w:styleId="TextkomentraChar123">
    <w:name w:val="Text komentára Char123"/>
    <w:aliases w:val="Char7 Char Char124,Text komentára Char Char Char124,Comment Text Char Char Char124"/>
    <w:uiPriority w:val="99"/>
    <w:semiHidden/>
    <w:rsid w:val="00A809E7"/>
    <w:rPr>
      <w:rFonts w:ascii="Courier" w:hAnsi="Courier"/>
      <w:lang w:val="x-none" w:eastAsia="cs-CZ"/>
    </w:rPr>
  </w:style>
  <w:style w:type="character" w:customStyle="1" w:styleId="TextkomentraChar122">
    <w:name w:val="Text komentára Char122"/>
    <w:aliases w:val="Char7 Char Char123,Text komentára Char Char Char123,Comment Text Char Char Char123"/>
    <w:uiPriority w:val="99"/>
    <w:semiHidden/>
    <w:rsid w:val="00A809E7"/>
    <w:rPr>
      <w:rFonts w:ascii="Courier" w:hAnsi="Courier"/>
      <w:lang w:val="x-none" w:eastAsia="cs-CZ"/>
    </w:rPr>
  </w:style>
  <w:style w:type="character" w:customStyle="1" w:styleId="TextkomentraChar121">
    <w:name w:val="Text komentára Char121"/>
    <w:aliases w:val="Char7 Char Char122,Text komentára Char Char Char122,Comment Text Char Char Char122"/>
    <w:uiPriority w:val="99"/>
    <w:semiHidden/>
    <w:rsid w:val="00A809E7"/>
    <w:rPr>
      <w:rFonts w:ascii="Courier" w:hAnsi="Courier"/>
      <w:lang w:val="x-none" w:eastAsia="cs-CZ"/>
    </w:rPr>
  </w:style>
  <w:style w:type="character" w:customStyle="1" w:styleId="TextkomentraChar120">
    <w:name w:val="Text komentára Char120"/>
    <w:aliases w:val="Char7 Char Char121,Text komentára Char Char Char121,Comment Text Char Char Char121"/>
    <w:uiPriority w:val="99"/>
    <w:semiHidden/>
    <w:rsid w:val="00A809E7"/>
    <w:rPr>
      <w:rFonts w:ascii="Courier" w:hAnsi="Courier"/>
      <w:lang w:val="x-none" w:eastAsia="cs-CZ"/>
    </w:rPr>
  </w:style>
  <w:style w:type="character" w:customStyle="1" w:styleId="TextkomentraChar119">
    <w:name w:val="Text komentára Char119"/>
    <w:aliases w:val="Char7 Char Char120,Text komentára Char Char Char120,Comment Text Char Char Char120"/>
    <w:uiPriority w:val="99"/>
    <w:semiHidden/>
    <w:rsid w:val="00A809E7"/>
    <w:rPr>
      <w:rFonts w:ascii="Courier" w:hAnsi="Courier"/>
      <w:lang w:val="x-none" w:eastAsia="cs-CZ"/>
    </w:rPr>
  </w:style>
  <w:style w:type="character" w:customStyle="1" w:styleId="TextkomentraChar118">
    <w:name w:val="Text komentára Char118"/>
    <w:aliases w:val="Char7 Char Char119,Text komentára Char Char Char119,Comment Text Char Char Char119"/>
    <w:uiPriority w:val="99"/>
    <w:semiHidden/>
    <w:rsid w:val="00A809E7"/>
    <w:rPr>
      <w:rFonts w:ascii="Courier" w:hAnsi="Courier"/>
      <w:lang w:val="x-none" w:eastAsia="cs-CZ"/>
    </w:rPr>
  </w:style>
  <w:style w:type="character" w:customStyle="1" w:styleId="TextkomentraChar117">
    <w:name w:val="Text komentára Char117"/>
    <w:aliases w:val="Char7 Char Char118,Text komentára Char Char Char118,Comment Text Char Char Char118"/>
    <w:uiPriority w:val="99"/>
    <w:semiHidden/>
    <w:rsid w:val="00A809E7"/>
    <w:rPr>
      <w:rFonts w:ascii="Courier" w:hAnsi="Courier"/>
      <w:lang w:val="x-none" w:eastAsia="cs-CZ"/>
    </w:rPr>
  </w:style>
  <w:style w:type="character" w:customStyle="1" w:styleId="TextkomentraChar116">
    <w:name w:val="Text komentára Char116"/>
    <w:aliases w:val="Char7 Char Char117,Text komentára Char Char Char117,Comment Text Char Char Char117"/>
    <w:uiPriority w:val="99"/>
    <w:semiHidden/>
    <w:rsid w:val="00A809E7"/>
    <w:rPr>
      <w:rFonts w:ascii="Courier" w:hAnsi="Courier"/>
      <w:lang w:val="x-none" w:eastAsia="cs-CZ"/>
    </w:rPr>
  </w:style>
  <w:style w:type="character" w:customStyle="1" w:styleId="TextkomentraChar115">
    <w:name w:val="Text komentára Char115"/>
    <w:aliases w:val="Char7 Char Char116,Text komentára Char Char Char116,Comment Text Char Char Char116"/>
    <w:uiPriority w:val="99"/>
    <w:semiHidden/>
    <w:rsid w:val="00A809E7"/>
    <w:rPr>
      <w:rFonts w:ascii="Courier" w:hAnsi="Courier"/>
      <w:lang w:val="x-none" w:eastAsia="cs-CZ"/>
    </w:rPr>
  </w:style>
  <w:style w:type="character" w:customStyle="1" w:styleId="TextkomentraChar114">
    <w:name w:val="Text komentára Char114"/>
    <w:aliases w:val="Char7 Char Char115,Text komentára Char Char Char115,Comment Text Char Char Char115"/>
    <w:uiPriority w:val="99"/>
    <w:semiHidden/>
    <w:rsid w:val="00A809E7"/>
    <w:rPr>
      <w:rFonts w:ascii="Courier" w:hAnsi="Courier"/>
      <w:lang w:val="x-none" w:eastAsia="cs-CZ"/>
    </w:rPr>
  </w:style>
  <w:style w:type="character" w:customStyle="1" w:styleId="TextkomentraChar113">
    <w:name w:val="Text komentára Char113"/>
    <w:aliases w:val="Char7 Char Char114,Text komentára Char Char Char114,Comment Text Char Char Char114"/>
    <w:uiPriority w:val="99"/>
    <w:semiHidden/>
    <w:rsid w:val="00A809E7"/>
    <w:rPr>
      <w:rFonts w:ascii="Courier" w:hAnsi="Courier"/>
      <w:lang w:val="x-none" w:eastAsia="cs-CZ"/>
    </w:rPr>
  </w:style>
  <w:style w:type="character" w:customStyle="1" w:styleId="TextkomentraChar112">
    <w:name w:val="Text komentára Char112"/>
    <w:aliases w:val="Char7 Char Char113,Text komentára Char Char Char113,Comment Text Char Char Char113"/>
    <w:uiPriority w:val="99"/>
    <w:semiHidden/>
    <w:rsid w:val="00A809E7"/>
    <w:rPr>
      <w:rFonts w:ascii="Courier" w:hAnsi="Courier"/>
      <w:lang w:val="x-none" w:eastAsia="cs-CZ"/>
    </w:rPr>
  </w:style>
  <w:style w:type="character" w:customStyle="1" w:styleId="TextkomentraChar111">
    <w:name w:val="Text komentára Char111"/>
    <w:aliases w:val="Char7 Char Char112,Text komentára Char Char Char112,Comment Text Char Char Char112"/>
    <w:uiPriority w:val="99"/>
    <w:semiHidden/>
    <w:rsid w:val="00A809E7"/>
    <w:rPr>
      <w:rFonts w:ascii="Courier" w:hAnsi="Courier"/>
      <w:lang w:val="x-none" w:eastAsia="cs-CZ"/>
    </w:rPr>
  </w:style>
  <w:style w:type="character" w:customStyle="1" w:styleId="TextkomentraChar110">
    <w:name w:val="Text komentára Char110"/>
    <w:aliases w:val="Char7 Char Char110,Text komentára Char Char Char110,Comment Text Char Char Char110"/>
    <w:uiPriority w:val="99"/>
    <w:semiHidden/>
    <w:rsid w:val="00A809E7"/>
    <w:rPr>
      <w:rFonts w:ascii="Courier" w:hAnsi="Courier"/>
      <w:lang w:val="x-none" w:eastAsia="cs-CZ"/>
    </w:rPr>
  </w:style>
  <w:style w:type="character" w:customStyle="1" w:styleId="TextkomentraChar19">
    <w:name w:val="Text komentára Char19"/>
    <w:aliases w:val="Char7 Char Char19,Text komentára Char Char Char19,Comment Text Char Char Char19"/>
    <w:uiPriority w:val="99"/>
    <w:semiHidden/>
    <w:rsid w:val="00A809E7"/>
    <w:rPr>
      <w:rFonts w:ascii="Courier" w:hAnsi="Courier"/>
      <w:lang w:val="x-none" w:eastAsia="cs-CZ"/>
    </w:rPr>
  </w:style>
  <w:style w:type="character" w:customStyle="1" w:styleId="TextkomentraChar18">
    <w:name w:val="Text komentára Char18"/>
    <w:aliases w:val="Char7 Char Char18,Text komentára Char Char Char18,Comment Text Char Char Char18"/>
    <w:uiPriority w:val="99"/>
    <w:semiHidden/>
    <w:rsid w:val="00A809E7"/>
    <w:rPr>
      <w:rFonts w:ascii="Courier" w:hAnsi="Courier"/>
      <w:lang w:val="x-none" w:eastAsia="cs-CZ"/>
    </w:rPr>
  </w:style>
  <w:style w:type="character" w:customStyle="1" w:styleId="TextkomentraChar17">
    <w:name w:val="Text komentára Char17"/>
    <w:aliases w:val="Char7 Char Char17,Text komentára Char Char Char17,Comment Text Char Char Char17"/>
    <w:uiPriority w:val="99"/>
    <w:semiHidden/>
    <w:rsid w:val="00A809E7"/>
    <w:rPr>
      <w:rFonts w:ascii="Courier" w:hAnsi="Courier"/>
      <w:lang w:val="x-none" w:eastAsia="cs-CZ"/>
    </w:rPr>
  </w:style>
  <w:style w:type="character" w:customStyle="1" w:styleId="TextkomentraChar16">
    <w:name w:val="Text komentára Char16"/>
    <w:aliases w:val="Char7 Char Char16,Text komentára Char Char Char16,Comment Text Char Char Char16"/>
    <w:uiPriority w:val="99"/>
    <w:semiHidden/>
    <w:rsid w:val="00A809E7"/>
    <w:rPr>
      <w:rFonts w:ascii="Courier" w:hAnsi="Courier"/>
      <w:lang w:val="x-none" w:eastAsia="cs-CZ"/>
    </w:rPr>
  </w:style>
  <w:style w:type="character" w:customStyle="1" w:styleId="TextkomentraChar15">
    <w:name w:val="Text komentára Char15"/>
    <w:aliases w:val="Char7 Char Char15,Text komentára Char Char Char15,Comment Text Char Char Char15"/>
    <w:uiPriority w:val="99"/>
    <w:semiHidden/>
    <w:rsid w:val="00A809E7"/>
    <w:rPr>
      <w:rFonts w:ascii="Courier" w:hAnsi="Courier"/>
      <w:lang w:val="x-none" w:eastAsia="cs-CZ"/>
    </w:rPr>
  </w:style>
  <w:style w:type="character" w:customStyle="1" w:styleId="TextkomentraChar14">
    <w:name w:val="Text komentára Char14"/>
    <w:aliases w:val="Char7 Char Char14,Text komentára Char Char Char14,Comment Text Char Char Char14"/>
    <w:uiPriority w:val="99"/>
    <w:semiHidden/>
    <w:rsid w:val="00A809E7"/>
    <w:rPr>
      <w:rFonts w:ascii="Courier" w:hAnsi="Courier"/>
      <w:lang w:val="x-none" w:eastAsia="cs-CZ"/>
    </w:rPr>
  </w:style>
  <w:style w:type="character" w:customStyle="1" w:styleId="TextkomentraChar13">
    <w:name w:val="Text komentára Char13"/>
    <w:aliases w:val="Char7 Char Char13,Text komentára Char Char Char13,Comment Text Char Char Char13"/>
    <w:uiPriority w:val="99"/>
    <w:semiHidden/>
    <w:rsid w:val="00A809E7"/>
    <w:rPr>
      <w:rFonts w:ascii="Courier" w:hAnsi="Courier"/>
      <w:lang w:val="x-none" w:eastAsia="cs-CZ"/>
    </w:rPr>
  </w:style>
  <w:style w:type="character" w:customStyle="1" w:styleId="TextkomentraChar12">
    <w:name w:val="Text komentára Char12"/>
    <w:aliases w:val="Char7 Char Char12,Text komentára Char Char Char12,Comment Text Char Char Char12"/>
    <w:uiPriority w:val="99"/>
    <w:semiHidden/>
    <w:rsid w:val="00A809E7"/>
    <w:rPr>
      <w:rFonts w:ascii="Courier" w:hAnsi="Courier"/>
      <w:lang w:val="x-none" w:eastAsia="cs-CZ"/>
    </w:rPr>
  </w:style>
  <w:style w:type="character" w:customStyle="1" w:styleId="TextkomentraChar11">
    <w:name w:val="Text komentára Char11"/>
    <w:aliases w:val="Char7 Char Char11,Text komentára Char Char Char11,Comment Text Char Char Char11,Char7 Char Char111,Text komentára Char Char Char111,Comment Text Char Char Char111"/>
    <w:uiPriority w:val="99"/>
    <w:semiHidden/>
    <w:rsid w:val="00A809E7"/>
    <w:rPr>
      <w:rFonts w:ascii="Courier" w:hAnsi="Courier"/>
      <w:lang w:val="x-none" w:eastAsia="cs-CZ"/>
    </w:rPr>
  </w:style>
  <w:style w:type="character" w:customStyle="1" w:styleId="PredmetkomentraChar">
    <w:name w:val="Predmet komentára Char"/>
    <w:aliases w:val="Char6 Char Char,Predmet komentára Char Char Char,Comment Subject Char Char Char"/>
    <w:link w:val="Predmetkomentra"/>
    <w:uiPriority w:val="99"/>
    <w:semiHidden/>
    <w:locked/>
    <w:rsid w:val="00A809E7"/>
    <w:rPr>
      <w:rFonts w:ascii="Courier" w:hAnsi="Courier"/>
      <w:b/>
    </w:rPr>
  </w:style>
  <w:style w:type="paragraph" w:styleId="Predmetkomentra">
    <w:name w:val="annotation subject"/>
    <w:aliases w:val="Char6 Char,Predmet komentára Char Char,Comment Subject Char Char"/>
    <w:basedOn w:val="Textkomentra"/>
    <w:next w:val="Textkomentra"/>
    <w:link w:val="PredmetkomentraChar"/>
    <w:uiPriority w:val="99"/>
    <w:semiHidden/>
    <w:qFormat/>
    <w:rsid w:val="00A809E7"/>
    <w:rPr>
      <w:b/>
    </w:rPr>
  </w:style>
  <w:style w:type="character" w:customStyle="1" w:styleId="PredmetkomentraChar1">
    <w:name w:val="Predmet komentára Char1"/>
    <w:aliases w:val="Char6 Char Char1,Predmet komentára Char Char Char1,Comment Subject Char Char Char1"/>
    <w:basedOn w:val="TextkomentraChar1"/>
    <w:uiPriority w:val="99"/>
    <w:semiHidden/>
    <w:rsid w:val="00A809E7"/>
    <w:rPr>
      <w:b/>
      <w:bCs/>
      <w:sz w:val="20"/>
      <w:szCs w:val="20"/>
    </w:rPr>
  </w:style>
  <w:style w:type="character" w:customStyle="1" w:styleId="PredmetkomentraChar1621">
    <w:name w:val="Predmet komentára Char1621"/>
    <w:aliases w:val="Char6 Char Char1622,Predmet komentára Char Char Char1622,Comment Subject Char Char Char1622"/>
    <w:basedOn w:val="TextkomentraChar"/>
    <w:uiPriority w:val="99"/>
    <w:semiHidden/>
    <w:rsid w:val="00A809E7"/>
    <w:rPr>
      <w:rFonts w:ascii="Courier" w:hAnsi="Courier" w:cs="Courier"/>
      <w:b/>
      <w:bCs/>
      <w:lang w:val="x-none" w:eastAsia="cs-CZ"/>
    </w:rPr>
  </w:style>
  <w:style w:type="character" w:customStyle="1" w:styleId="PredmetkomentraChar1620">
    <w:name w:val="Predmet komentára Char1620"/>
    <w:aliases w:val="Char6 Char Char1621,Predmet komentára Char Char Char1621,Comment Subject Char Char Char1621"/>
    <w:basedOn w:val="TextkomentraChar"/>
    <w:uiPriority w:val="99"/>
    <w:semiHidden/>
    <w:rsid w:val="00A809E7"/>
    <w:rPr>
      <w:rFonts w:ascii="Courier" w:hAnsi="Courier" w:cs="Courier"/>
      <w:b/>
      <w:bCs/>
      <w:lang w:val="x-none" w:eastAsia="cs-CZ"/>
    </w:rPr>
  </w:style>
  <w:style w:type="character" w:customStyle="1" w:styleId="PredmetkomentraChar1614">
    <w:name w:val="Predmet komentára Char1614"/>
    <w:aliases w:val="Char6 Char Char1615,Predmet komentára Char Char Char1615,Comment Subject Char Char Char1615"/>
    <w:basedOn w:val="TextkomentraChar"/>
    <w:uiPriority w:val="99"/>
    <w:semiHidden/>
    <w:rsid w:val="00A809E7"/>
    <w:rPr>
      <w:rFonts w:ascii="Courier" w:hAnsi="Courier" w:cs="Courier"/>
      <w:b/>
      <w:bCs/>
      <w:lang w:val="x-none" w:eastAsia="cs-CZ"/>
    </w:rPr>
  </w:style>
  <w:style w:type="character" w:customStyle="1" w:styleId="PredmetkomentraChar1613">
    <w:name w:val="Predmet komentára Char1613"/>
    <w:aliases w:val="Char6 Char Char1614,Predmet komentára Char Char Char1614,Comment Subject Char Char Char1614"/>
    <w:basedOn w:val="TextkomentraChar"/>
    <w:uiPriority w:val="99"/>
    <w:semiHidden/>
    <w:rsid w:val="00A809E7"/>
    <w:rPr>
      <w:rFonts w:ascii="Courier" w:hAnsi="Courier" w:cs="Courier"/>
      <w:b/>
      <w:bCs/>
      <w:lang w:val="x-none" w:eastAsia="cs-CZ"/>
    </w:rPr>
  </w:style>
  <w:style w:type="character" w:customStyle="1" w:styleId="PredmetkomentraChar1612">
    <w:name w:val="Predmet komentára Char1612"/>
    <w:aliases w:val="Char6 Char Char1613,Predmet komentára Char Char Char1613,Comment Subject Char Char Char1613"/>
    <w:basedOn w:val="TextkomentraChar"/>
    <w:uiPriority w:val="99"/>
    <w:semiHidden/>
    <w:rsid w:val="00A809E7"/>
    <w:rPr>
      <w:rFonts w:ascii="Courier" w:hAnsi="Courier" w:cs="Courier"/>
      <w:b/>
      <w:bCs/>
      <w:lang w:val="x-none" w:eastAsia="cs-CZ"/>
    </w:rPr>
  </w:style>
  <w:style w:type="character" w:customStyle="1" w:styleId="PredmetkomentraChar1611">
    <w:name w:val="Predmet komentára Char1611"/>
    <w:aliases w:val="Char6 Char Char1612,Predmet komentára Char Char Char1612,Comment Subject Char Char Char1612"/>
    <w:basedOn w:val="TextkomentraChar"/>
    <w:uiPriority w:val="99"/>
    <w:semiHidden/>
    <w:rsid w:val="00A809E7"/>
    <w:rPr>
      <w:rFonts w:ascii="Courier" w:hAnsi="Courier" w:cs="Courier"/>
      <w:b/>
      <w:bCs/>
      <w:lang w:val="x-none" w:eastAsia="cs-CZ"/>
    </w:rPr>
  </w:style>
  <w:style w:type="character" w:customStyle="1" w:styleId="PredmetkomentraChar1610">
    <w:name w:val="Predmet komentára Char1610"/>
    <w:aliases w:val="Char6 Char Char1611,Predmet komentára Char Char Char1611,Comment Subject Char Char Char1611"/>
    <w:basedOn w:val="TextkomentraChar"/>
    <w:uiPriority w:val="99"/>
    <w:semiHidden/>
    <w:rsid w:val="00A809E7"/>
    <w:rPr>
      <w:rFonts w:ascii="Courier" w:hAnsi="Courier" w:cs="Courier"/>
      <w:b/>
      <w:bCs/>
      <w:lang w:val="x-none" w:eastAsia="cs-CZ"/>
    </w:rPr>
  </w:style>
  <w:style w:type="character" w:customStyle="1" w:styleId="PredmetkomentraChar1609">
    <w:name w:val="Predmet komentára Char1609"/>
    <w:aliases w:val="Char6 Char Char1610,Predmet komentára Char Char Char1610,Comment Subject Char Char Char1610"/>
    <w:basedOn w:val="TextkomentraChar"/>
    <w:uiPriority w:val="99"/>
    <w:semiHidden/>
    <w:rsid w:val="00A809E7"/>
    <w:rPr>
      <w:rFonts w:ascii="Courier" w:hAnsi="Courier" w:cs="Courier"/>
      <w:b/>
      <w:bCs/>
      <w:lang w:val="x-none" w:eastAsia="cs-CZ"/>
    </w:rPr>
  </w:style>
  <w:style w:type="character" w:customStyle="1" w:styleId="PredmetkomentraChar1608">
    <w:name w:val="Predmet komentára Char1608"/>
    <w:aliases w:val="Char6 Char Char1609,Predmet komentára Char Char Char1609,Comment Subject Char Char Char1609"/>
    <w:basedOn w:val="TextkomentraChar"/>
    <w:uiPriority w:val="99"/>
    <w:semiHidden/>
    <w:rsid w:val="00A809E7"/>
    <w:rPr>
      <w:rFonts w:ascii="Courier" w:hAnsi="Courier" w:cs="Courier"/>
      <w:b/>
      <w:bCs/>
      <w:lang w:val="x-none" w:eastAsia="cs-CZ"/>
    </w:rPr>
  </w:style>
  <w:style w:type="character" w:customStyle="1" w:styleId="PredmetkomentraChar1607">
    <w:name w:val="Predmet komentára Char1607"/>
    <w:aliases w:val="Char6 Char Char1608,Predmet komentára Char Char Char1608,Comment Subject Char Char Char1608"/>
    <w:basedOn w:val="TextkomentraChar"/>
    <w:uiPriority w:val="99"/>
    <w:semiHidden/>
    <w:rsid w:val="00A809E7"/>
    <w:rPr>
      <w:rFonts w:ascii="Courier" w:hAnsi="Courier" w:cs="Courier"/>
      <w:b/>
      <w:bCs/>
      <w:lang w:val="x-none" w:eastAsia="cs-CZ"/>
    </w:rPr>
  </w:style>
  <w:style w:type="character" w:customStyle="1" w:styleId="PredmetkomentraChar1606">
    <w:name w:val="Predmet komentára Char1606"/>
    <w:aliases w:val="Char6 Char Char1607,Predmet komentára Char Char Char1607,Comment Subject Char Char Char1607"/>
    <w:basedOn w:val="TextkomentraChar"/>
    <w:uiPriority w:val="99"/>
    <w:semiHidden/>
    <w:rsid w:val="00A809E7"/>
    <w:rPr>
      <w:rFonts w:ascii="Courier" w:hAnsi="Courier" w:cs="Courier"/>
      <w:b/>
      <w:bCs/>
      <w:lang w:val="x-none" w:eastAsia="cs-CZ"/>
    </w:rPr>
  </w:style>
  <w:style w:type="character" w:customStyle="1" w:styleId="PredmetkomentraChar1605">
    <w:name w:val="Predmet komentára Char1605"/>
    <w:aliases w:val="Char6 Char Char1606,Predmet komentára Char Char Char1606,Comment Subject Char Char Char1606"/>
    <w:basedOn w:val="TextkomentraChar"/>
    <w:uiPriority w:val="99"/>
    <w:semiHidden/>
    <w:rsid w:val="00A809E7"/>
    <w:rPr>
      <w:rFonts w:ascii="Courier" w:hAnsi="Courier" w:cs="Courier"/>
      <w:b/>
      <w:bCs/>
      <w:lang w:val="x-none" w:eastAsia="cs-CZ"/>
    </w:rPr>
  </w:style>
  <w:style w:type="character" w:customStyle="1" w:styleId="PredmetkomentraChar1604">
    <w:name w:val="Predmet komentára Char1604"/>
    <w:aliases w:val="Char6 Char Char1605,Predmet komentára Char Char Char1605,Comment Subject Char Char Char1605"/>
    <w:basedOn w:val="TextkomentraChar"/>
    <w:uiPriority w:val="99"/>
    <w:semiHidden/>
    <w:rsid w:val="00A809E7"/>
    <w:rPr>
      <w:rFonts w:ascii="Courier" w:hAnsi="Courier" w:cs="Courier"/>
      <w:b/>
      <w:bCs/>
      <w:lang w:val="x-none" w:eastAsia="cs-CZ"/>
    </w:rPr>
  </w:style>
  <w:style w:type="character" w:customStyle="1" w:styleId="PredmetkomentraChar1603">
    <w:name w:val="Predmet komentára Char1603"/>
    <w:aliases w:val="Char6 Char Char1604,Predmet komentára Char Char Char1604,Comment Subject Char Char Char1604"/>
    <w:basedOn w:val="TextkomentraChar"/>
    <w:uiPriority w:val="99"/>
    <w:semiHidden/>
    <w:rsid w:val="00A809E7"/>
    <w:rPr>
      <w:rFonts w:ascii="Courier" w:hAnsi="Courier" w:cs="Courier"/>
      <w:b/>
      <w:bCs/>
      <w:lang w:val="x-none" w:eastAsia="cs-CZ"/>
    </w:rPr>
  </w:style>
  <w:style w:type="character" w:customStyle="1" w:styleId="PredmetkomentraChar1602">
    <w:name w:val="Predmet komentára Char1602"/>
    <w:aliases w:val="Char6 Char Char1603,Predmet komentára Char Char Char1603,Comment Subject Char Char Char1603"/>
    <w:basedOn w:val="TextkomentraChar"/>
    <w:uiPriority w:val="99"/>
    <w:semiHidden/>
    <w:rsid w:val="00A809E7"/>
    <w:rPr>
      <w:rFonts w:ascii="Courier" w:hAnsi="Courier" w:cs="Courier"/>
      <w:b/>
      <w:bCs/>
      <w:lang w:val="x-none" w:eastAsia="cs-CZ"/>
    </w:rPr>
  </w:style>
  <w:style w:type="character" w:customStyle="1" w:styleId="PredmetkomentraChar1601">
    <w:name w:val="Predmet komentára Char1601"/>
    <w:aliases w:val="Char6 Char Char1602,Predmet komentára Char Char Char1602,Comment Subject Char Char Char1602"/>
    <w:basedOn w:val="TextkomentraChar"/>
    <w:uiPriority w:val="99"/>
    <w:semiHidden/>
    <w:rsid w:val="00A809E7"/>
    <w:rPr>
      <w:rFonts w:ascii="Courier" w:hAnsi="Courier" w:cs="Courier"/>
      <w:b/>
      <w:bCs/>
      <w:lang w:val="x-none" w:eastAsia="cs-CZ"/>
    </w:rPr>
  </w:style>
  <w:style w:type="character" w:customStyle="1" w:styleId="PredmetkomentraChar1600">
    <w:name w:val="Predmet komentára Char1600"/>
    <w:aliases w:val="Char6 Char Char1601,Predmet komentára Char Char Char1601,Comment Subject Char Char Char1601"/>
    <w:basedOn w:val="TextkomentraChar"/>
    <w:uiPriority w:val="99"/>
    <w:semiHidden/>
    <w:rsid w:val="00A809E7"/>
    <w:rPr>
      <w:rFonts w:ascii="Courier" w:hAnsi="Courier" w:cs="Courier"/>
      <w:b/>
      <w:bCs/>
      <w:lang w:val="x-none" w:eastAsia="cs-CZ"/>
    </w:rPr>
  </w:style>
  <w:style w:type="character" w:customStyle="1" w:styleId="PredmetkomentraChar1599">
    <w:name w:val="Predmet komentára Char1599"/>
    <w:aliases w:val="Char6 Char Char1600,Predmet komentára Char Char Char1600,Comment Subject Char Char Char1600"/>
    <w:basedOn w:val="TextkomentraChar"/>
    <w:uiPriority w:val="99"/>
    <w:semiHidden/>
    <w:rsid w:val="00A809E7"/>
    <w:rPr>
      <w:rFonts w:ascii="Courier" w:hAnsi="Courier" w:cs="Courier"/>
      <w:b/>
      <w:bCs/>
      <w:lang w:val="x-none" w:eastAsia="cs-CZ"/>
    </w:rPr>
  </w:style>
  <w:style w:type="character" w:customStyle="1" w:styleId="PredmetkomentraChar1598">
    <w:name w:val="Predmet komentára Char1598"/>
    <w:aliases w:val="Char6 Char Char1599,Predmet komentára Char Char Char1599,Comment Subject Char Char Char1599"/>
    <w:basedOn w:val="TextkomentraChar"/>
    <w:uiPriority w:val="99"/>
    <w:semiHidden/>
    <w:rsid w:val="00A809E7"/>
    <w:rPr>
      <w:rFonts w:ascii="Courier" w:hAnsi="Courier" w:cs="Courier"/>
      <w:b/>
      <w:bCs/>
      <w:lang w:val="x-none" w:eastAsia="cs-CZ"/>
    </w:rPr>
  </w:style>
  <w:style w:type="character" w:customStyle="1" w:styleId="PredmetkomentraChar1597">
    <w:name w:val="Predmet komentára Char1597"/>
    <w:aliases w:val="Char6 Char Char1598,Predmet komentára Char Char Char1598,Comment Subject Char Char Char1598"/>
    <w:basedOn w:val="TextkomentraChar"/>
    <w:uiPriority w:val="99"/>
    <w:semiHidden/>
    <w:rsid w:val="00A809E7"/>
    <w:rPr>
      <w:rFonts w:ascii="Courier" w:hAnsi="Courier" w:cs="Courier"/>
      <w:b/>
      <w:bCs/>
      <w:lang w:val="x-none" w:eastAsia="cs-CZ"/>
    </w:rPr>
  </w:style>
  <w:style w:type="character" w:customStyle="1" w:styleId="PredmetkomentraChar1596">
    <w:name w:val="Predmet komentára Char1596"/>
    <w:aliases w:val="Char6 Char Char1597,Predmet komentára Char Char Char1597,Comment Subject Char Char Char1597"/>
    <w:basedOn w:val="TextkomentraChar"/>
    <w:uiPriority w:val="99"/>
    <w:semiHidden/>
    <w:rsid w:val="00A809E7"/>
    <w:rPr>
      <w:rFonts w:ascii="Courier" w:hAnsi="Courier" w:cs="Courier"/>
      <w:b/>
      <w:bCs/>
      <w:lang w:val="x-none" w:eastAsia="cs-CZ"/>
    </w:rPr>
  </w:style>
  <w:style w:type="character" w:customStyle="1" w:styleId="PredmetkomentraChar1595">
    <w:name w:val="Predmet komentára Char1595"/>
    <w:aliases w:val="Char6 Char Char1596,Predmet komentára Char Char Char1596,Comment Subject Char Char Char1596"/>
    <w:basedOn w:val="TextkomentraChar"/>
    <w:uiPriority w:val="99"/>
    <w:semiHidden/>
    <w:rsid w:val="00A809E7"/>
    <w:rPr>
      <w:rFonts w:ascii="Courier" w:hAnsi="Courier" w:cs="Courier"/>
      <w:b/>
      <w:bCs/>
      <w:lang w:val="x-none" w:eastAsia="cs-CZ"/>
    </w:rPr>
  </w:style>
  <w:style w:type="character" w:customStyle="1" w:styleId="PredmetkomentraChar1594">
    <w:name w:val="Predmet komentára Char1594"/>
    <w:aliases w:val="Char6 Char Char1595,Predmet komentára Char Char Char1595,Comment Subject Char Char Char1595"/>
    <w:basedOn w:val="TextkomentraChar"/>
    <w:uiPriority w:val="99"/>
    <w:semiHidden/>
    <w:rsid w:val="00A809E7"/>
    <w:rPr>
      <w:rFonts w:ascii="Courier" w:hAnsi="Courier" w:cs="Courier"/>
      <w:b/>
      <w:bCs/>
      <w:lang w:val="x-none" w:eastAsia="cs-CZ"/>
    </w:rPr>
  </w:style>
  <w:style w:type="character" w:customStyle="1" w:styleId="PredmetkomentraChar1593">
    <w:name w:val="Predmet komentára Char1593"/>
    <w:aliases w:val="Char6 Char Char1594,Predmet komentára Char Char Char1594,Comment Subject Char Char Char1594"/>
    <w:basedOn w:val="TextkomentraChar"/>
    <w:uiPriority w:val="99"/>
    <w:semiHidden/>
    <w:rsid w:val="00A809E7"/>
    <w:rPr>
      <w:rFonts w:ascii="Courier" w:hAnsi="Courier" w:cs="Courier"/>
      <w:b/>
      <w:bCs/>
      <w:lang w:val="x-none" w:eastAsia="cs-CZ"/>
    </w:rPr>
  </w:style>
  <w:style w:type="character" w:customStyle="1" w:styleId="PredmetkomentraChar1592">
    <w:name w:val="Predmet komentára Char1592"/>
    <w:aliases w:val="Char6 Char Char1593,Predmet komentára Char Char Char1593,Comment Subject Char Char Char1593"/>
    <w:basedOn w:val="TextkomentraChar"/>
    <w:uiPriority w:val="99"/>
    <w:semiHidden/>
    <w:rsid w:val="00A809E7"/>
    <w:rPr>
      <w:rFonts w:ascii="Courier" w:hAnsi="Courier" w:cs="Courier"/>
      <w:b/>
      <w:bCs/>
      <w:lang w:val="x-none" w:eastAsia="cs-CZ"/>
    </w:rPr>
  </w:style>
  <w:style w:type="character" w:customStyle="1" w:styleId="PredmetkomentraChar1591">
    <w:name w:val="Predmet komentára Char1591"/>
    <w:aliases w:val="Char6 Char Char1592,Predmet komentára Char Char Char1592,Comment Subject Char Char Char1592"/>
    <w:basedOn w:val="TextkomentraChar"/>
    <w:uiPriority w:val="99"/>
    <w:semiHidden/>
    <w:rsid w:val="00A809E7"/>
    <w:rPr>
      <w:rFonts w:ascii="Courier" w:hAnsi="Courier" w:cs="Courier"/>
      <w:b/>
      <w:bCs/>
      <w:lang w:val="x-none" w:eastAsia="cs-CZ"/>
    </w:rPr>
  </w:style>
  <w:style w:type="character" w:customStyle="1" w:styleId="PredmetkomentraChar1590">
    <w:name w:val="Predmet komentára Char1590"/>
    <w:aliases w:val="Char6 Char Char1591,Predmet komentára Char Char Char1591,Comment Subject Char Char Char1591"/>
    <w:basedOn w:val="TextkomentraChar"/>
    <w:uiPriority w:val="99"/>
    <w:semiHidden/>
    <w:rsid w:val="00A809E7"/>
    <w:rPr>
      <w:rFonts w:ascii="Courier" w:hAnsi="Courier" w:cs="Courier"/>
      <w:b/>
      <w:bCs/>
      <w:lang w:val="x-none" w:eastAsia="cs-CZ"/>
    </w:rPr>
  </w:style>
  <w:style w:type="character" w:customStyle="1" w:styleId="PredmetkomentraChar1589">
    <w:name w:val="Predmet komentára Char1589"/>
    <w:aliases w:val="Char6 Char Char1590,Predmet komentára Char Char Char1590,Comment Subject Char Char Char1590"/>
    <w:basedOn w:val="TextkomentraChar"/>
    <w:uiPriority w:val="99"/>
    <w:semiHidden/>
    <w:rsid w:val="00A809E7"/>
    <w:rPr>
      <w:rFonts w:ascii="Courier" w:hAnsi="Courier" w:cs="Courier"/>
      <w:b/>
      <w:bCs/>
      <w:lang w:val="x-none" w:eastAsia="cs-CZ"/>
    </w:rPr>
  </w:style>
  <w:style w:type="character" w:customStyle="1" w:styleId="PredmetkomentraChar1588">
    <w:name w:val="Predmet komentára Char1588"/>
    <w:aliases w:val="Char6 Char Char1589,Predmet komentára Char Char Char1589,Comment Subject Char Char Char1589"/>
    <w:basedOn w:val="TextkomentraChar"/>
    <w:uiPriority w:val="99"/>
    <w:semiHidden/>
    <w:rsid w:val="00A809E7"/>
    <w:rPr>
      <w:rFonts w:ascii="Courier" w:hAnsi="Courier" w:cs="Courier"/>
      <w:b/>
      <w:bCs/>
      <w:lang w:val="x-none" w:eastAsia="cs-CZ"/>
    </w:rPr>
  </w:style>
  <w:style w:type="character" w:customStyle="1" w:styleId="PredmetkomentraChar1587">
    <w:name w:val="Predmet komentára Char1587"/>
    <w:aliases w:val="Char6 Char Char1588,Predmet komentára Char Char Char1588,Comment Subject Char Char Char1588"/>
    <w:basedOn w:val="TextkomentraChar"/>
    <w:uiPriority w:val="99"/>
    <w:semiHidden/>
    <w:rsid w:val="00A809E7"/>
    <w:rPr>
      <w:rFonts w:ascii="Courier" w:hAnsi="Courier" w:cs="Courier"/>
      <w:b/>
      <w:bCs/>
      <w:lang w:val="x-none" w:eastAsia="cs-CZ"/>
    </w:rPr>
  </w:style>
  <w:style w:type="character" w:customStyle="1" w:styleId="PredmetkomentraChar1586">
    <w:name w:val="Predmet komentára Char1586"/>
    <w:aliases w:val="Char6 Char Char1587,Predmet komentára Char Char Char1587,Comment Subject Char Char Char1587"/>
    <w:basedOn w:val="TextkomentraChar"/>
    <w:uiPriority w:val="99"/>
    <w:semiHidden/>
    <w:rsid w:val="00A809E7"/>
    <w:rPr>
      <w:rFonts w:ascii="Courier" w:hAnsi="Courier" w:cs="Courier"/>
      <w:b/>
      <w:bCs/>
      <w:lang w:val="x-none" w:eastAsia="cs-CZ"/>
    </w:rPr>
  </w:style>
  <w:style w:type="character" w:customStyle="1" w:styleId="PredmetkomentraChar1585">
    <w:name w:val="Predmet komentára Char1585"/>
    <w:aliases w:val="Char6 Char Char1586,Predmet komentára Char Char Char1586,Comment Subject Char Char Char1586"/>
    <w:basedOn w:val="TextkomentraChar"/>
    <w:uiPriority w:val="99"/>
    <w:semiHidden/>
    <w:rsid w:val="00A809E7"/>
    <w:rPr>
      <w:rFonts w:ascii="Courier" w:hAnsi="Courier" w:cs="Courier"/>
      <w:b/>
      <w:bCs/>
      <w:lang w:val="x-none" w:eastAsia="cs-CZ"/>
    </w:rPr>
  </w:style>
  <w:style w:type="character" w:customStyle="1" w:styleId="PredmetkomentraChar1584">
    <w:name w:val="Predmet komentára Char1584"/>
    <w:aliases w:val="Char6 Char Char1585,Predmet komentára Char Char Char1585,Comment Subject Char Char Char1585"/>
    <w:basedOn w:val="TextkomentraChar"/>
    <w:uiPriority w:val="99"/>
    <w:semiHidden/>
    <w:rsid w:val="00A809E7"/>
    <w:rPr>
      <w:rFonts w:ascii="Courier" w:hAnsi="Courier" w:cs="Courier"/>
      <w:b/>
      <w:bCs/>
      <w:lang w:val="x-none" w:eastAsia="cs-CZ"/>
    </w:rPr>
  </w:style>
  <w:style w:type="character" w:customStyle="1" w:styleId="PredmetkomentraChar1583">
    <w:name w:val="Predmet komentára Char1583"/>
    <w:aliases w:val="Char6 Char Char1584,Predmet komentára Char Char Char1584,Comment Subject Char Char Char1584"/>
    <w:basedOn w:val="TextkomentraChar"/>
    <w:uiPriority w:val="99"/>
    <w:semiHidden/>
    <w:rsid w:val="00A809E7"/>
    <w:rPr>
      <w:rFonts w:ascii="Courier" w:hAnsi="Courier" w:cs="Courier"/>
      <w:b/>
      <w:bCs/>
      <w:lang w:val="x-none" w:eastAsia="cs-CZ"/>
    </w:rPr>
  </w:style>
  <w:style w:type="character" w:customStyle="1" w:styleId="PredmetkomentraChar1582">
    <w:name w:val="Predmet komentára Char1582"/>
    <w:aliases w:val="Char6 Char Char1583,Predmet komentára Char Char Char1583,Comment Subject Char Char Char1583"/>
    <w:basedOn w:val="TextkomentraChar"/>
    <w:uiPriority w:val="99"/>
    <w:semiHidden/>
    <w:rsid w:val="00A809E7"/>
    <w:rPr>
      <w:rFonts w:ascii="Courier" w:hAnsi="Courier" w:cs="Courier"/>
      <w:b/>
      <w:bCs/>
      <w:lang w:val="x-none" w:eastAsia="cs-CZ"/>
    </w:rPr>
  </w:style>
  <w:style w:type="character" w:customStyle="1" w:styleId="PredmetkomentraChar1581">
    <w:name w:val="Predmet komentára Char1581"/>
    <w:aliases w:val="Char6 Char Char1582,Predmet komentára Char Char Char1582,Comment Subject Char Char Char1582"/>
    <w:basedOn w:val="TextkomentraChar"/>
    <w:uiPriority w:val="99"/>
    <w:semiHidden/>
    <w:rsid w:val="00A809E7"/>
    <w:rPr>
      <w:rFonts w:ascii="Courier" w:hAnsi="Courier" w:cs="Courier"/>
      <w:b/>
      <w:bCs/>
      <w:lang w:val="x-none" w:eastAsia="cs-CZ"/>
    </w:rPr>
  </w:style>
  <w:style w:type="character" w:customStyle="1" w:styleId="PredmetkomentraChar1580">
    <w:name w:val="Predmet komentára Char1580"/>
    <w:aliases w:val="Char6 Char Char1581,Predmet komentára Char Char Char1581,Comment Subject Char Char Char1581"/>
    <w:basedOn w:val="TextkomentraChar"/>
    <w:uiPriority w:val="99"/>
    <w:semiHidden/>
    <w:rsid w:val="00A809E7"/>
    <w:rPr>
      <w:rFonts w:ascii="Courier" w:hAnsi="Courier" w:cs="Courier"/>
      <w:b/>
      <w:bCs/>
      <w:lang w:val="x-none" w:eastAsia="cs-CZ"/>
    </w:rPr>
  </w:style>
  <w:style w:type="character" w:customStyle="1" w:styleId="PredmetkomentraChar1579">
    <w:name w:val="Predmet komentára Char1579"/>
    <w:aliases w:val="Char6 Char Char1580,Predmet komentára Char Char Char1580,Comment Subject Char Char Char1580"/>
    <w:basedOn w:val="TextkomentraChar"/>
    <w:uiPriority w:val="99"/>
    <w:semiHidden/>
    <w:rsid w:val="00A809E7"/>
    <w:rPr>
      <w:rFonts w:ascii="Courier" w:hAnsi="Courier" w:cs="Courier"/>
      <w:b/>
      <w:bCs/>
      <w:lang w:val="x-none" w:eastAsia="cs-CZ"/>
    </w:rPr>
  </w:style>
  <w:style w:type="character" w:customStyle="1" w:styleId="PredmetkomentraChar1578">
    <w:name w:val="Predmet komentára Char1578"/>
    <w:aliases w:val="Char6 Char Char1579,Predmet komentára Char Char Char1579,Comment Subject Char Char Char1579"/>
    <w:basedOn w:val="TextkomentraChar"/>
    <w:uiPriority w:val="99"/>
    <w:semiHidden/>
    <w:rsid w:val="00A809E7"/>
    <w:rPr>
      <w:rFonts w:ascii="Courier" w:hAnsi="Courier" w:cs="Courier"/>
      <w:b/>
      <w:bCs/>
      <w:lang w:val="x-none" w:eastAsia="cs-CZ"/>
    </w:rPr>
  </w:style>
  <w:style w:type="character" w:customStyle="1" w:styleId="PredmetkomentraChar1577">
    <w:name w:val="Predmet komentára Char1577"/>
    <w:aliases w:val="Char6 Char Char1578,Predmet komentára Char Char Char1578,Comment Subject Char Char Char1578"/>
    <w:basedOn w:val="TextkomentraChar"/>
    <w:uiPriority w:val="99"/>
    <w:semiHidden/>
    <w:rsid w:val="00A809E7"/>
    <w:rPr>
      <w:rFonts w:ascii="Courier" w:hAnsi="Courier" w:cs="Courier"/>
      <w:b/>
      <w:bCs/>
      <w:lang w:val="x-none" w:eastAsia="cs-CZ"/>
    </w:rPr>
  </w:style>
  <w:style w:type="character" w:customStyle="1" w:styleId="PredmetkomentraChar1576">
    <w:name w:val="Predmet komentára Char1576"/>
    <w:aliases w:val="Char6 Char Char1577,Predmet komentára Char Char Char1577,Comment Subject Char Char Char1577"/>
    <w:basedOn w:val="TextkomentraChar"/>
    <w:uiPriority w:val="99"/>
    <w:semiHidden/>
    <w:rsid w:val="00A809E7"/>
    <w:rPr>
      <w:rFonts w:ascii="Courier" w:hAnsi="Courier" w:cs="Courier"/>
      <w:b/>
      <w:bCs/>
      <w:lang w:val="x-none" w:eastAsia="cs-CZ"/>
    </w:rPr>
  </w:style>
  <w:style w:type="character" w:customStyle="1" w:styleId="PredmetkomentraChar1575">
    <w:name w:val="Predmet komentára Char1575"/>
    <w:aliases w:val="Char6 Char Char1576,Predmet komentára Char Char Char1576,Comment Subject Char Char Char1576"/>
    <w:basedOn w:val="TextkomentraChar"/>
    <w:uiPriority w:val="99"/>
    <w:semiHidden/>
    <w:rsid w:val="00A809E7"/>
    <w:rPr>
      <w:rFonts w:ascii="Courier" w:hAnsi="Courier" w:cs="Courier"/>
      <w:b/>
      <w:bCs/>
      <w:lang w:val="x-none" w:eastAsia="cs-CZ"/>
    </w:rPr>
  </w:style>
  <w:style w:type="character" w:customStyle="1" w:styleId="PredmetkomentraChar1574">
    <w:name w:val="Predmet komentára Char1574"/>
    <w:aliases w:val="Char6 Char Char1575,Predmet komentára Char Char Char1575,Comment Subject Char Char Char1575"/>
    <w:basedOn w:val="TextkomentraChar"/>
    <w:uiPriority w:val="99"/>
    <w:semiHidden/>
    <w:rsid w:val="00A809E7"/>
    <w:rPr>
      <w:rFonts w:ascii="Courier" w:hAnsi="Courier" w:cs="Courier"/>
      <w:b/>
      <w:bCs/>
      <w:lang w:val="x-none" w:eastAsia="cs-CZ"/>
    </w:rPr>
  </w:style>
  <w:style w:type="character" w:customStyle="1" w:styleId="PredmetkomentraChar1573">
    <w:name w:val="Predmet komentára Char1573"/>
    <w:aliases w:val="Char6 Char Char1574,Predmet komentára Char Char Char1574,Comment Subject Char Char Char1574"/>
    <w:basedOn w:val="TextkomentraChar"/>
    <w:uiPriority w:val="99"/>
    <w:semiHidden/>
    <w:rsid w:val="00A809E7"/>
    <w:rPr>
      <w:rFonts w:ascii="Courier" w:hAnsi="Courier" w:cs="Courier"/>
      <w:b/>
      <w:bCs/>
      <w:lang w:val="x-none" w:eastAsia="cs-CZ"/>
    </w:rPr>
  </w:style>
  <w:style w:type="character" w:customStyle="1" w:styleId="PredmetkomentraChar1572">
    <w:name w:val="Predmet komentára Char1572"/>
    <w:aliases w:val="Char6 Char Char1573,Predmet komentára Char Char Char1573,Comment Subject Char Char Char1573"/>
    <w:basedOn w:val="TextkomentraChar"/>
    <w:uiPriority w:val="99"/>
    <w:semiHidden/>
    <w:rsid w:val="00A809E7"/>
    <w:rPr>
      <w:rFonts w:ascii="Courier" w:hAnsi="Courier" w:cs="Courier"/>
      <w:b/>
      <w:bCs/>
      <w:lang w:val="x-none" w:eastAsia="cs-CZ"/>
    </w:rPr>
  </w:style>
  <w:style w:type="character" w:customStyle="1" w:styleId="PredmetkomentraChar1571">
    <w:name w:val="Predmet komentára Char1571"/>
    <w:aliases w:val="Char6 Char Char1572,Predmet komentára Char Char Char1572,Comment Subject Char Char Char1572"/>
    <w:basedOn w:val="TextkomentraChar"/>
    <w:uiPriority w:val="99"/>
    <w:semiHidden/>
    <w:rsid w:val="00A809E7"/>
    <w:rPr>
      <w:rFonts w:ascii="Courier" w:hAnsi="Courier" w:cs="Courier"/>
      <w:b/>
      <w:bCs/>
      <w:lang w:val="x-none" w:eastAsia="cs-CZ"/>
    </w:rPr>
  </w:style>
  <w:style w:type="character" w:customStyle="1" w:styleId="PredmetkomentraChar1570">
    <w:name w:val="Predmet komentára Char1570"/>
    <w:aliases w:val="Char6 Char Char1571,Predmet komentára Char Char Char1571,Comment Subject Char Char Char1571"/>
    <w:basedOn w:val="TextkomentraChar"/>
    <w:uiPriority w:val="99"/>
    <w:semiHidden/>
    <w:rsid w:val="00A809E7"/>
    <w:rPr>
      <w:rFonts w:ascii="Courier" w:hAnsi="Courier" w:cs="Courier"/>
      <w:b/>
      <w:bCs/>
      <w:lang w:val="x-none" w:eastAsia="cs-CZ"/>
    </w:rPr>
  </w:style>
  <w:style w:type="character" w:customStyle="1" w:styleId="PredmetkomentraChar1569">
    <w:name w:val="Predmet komentára Char1569"/>
    <w:aliases w:val="Char6 Char Char1570,Predmet komentára Char Char Char1570,Comment Subject Char Char Char1570"/>
    <w:basedOn w:val="TextkomentraChar"/>
    <w:uiPriority w:val="99"/>
    <w:semiHidden/>
    <w:rsid w:val="00A809E7"/>
    <w:rPr>
      <w:rFonts w:ascii="Courier" w:hAnsi="Courier" w:cs="Courier"/>
      <w:b/>
      <w:bCs/>
      <w:lang w:val="x-none" w:eastAsia="cs-CZ"/>
    </w:rPr>
  </w:style>
  <w:style w:type="character" w:customStyle="1" w:styleId="PredmetkomentraChar1568">
    <w:name w:val="Predmet komentára Char1568"/>
    <w:aliases w:val="Char6 Char Char1569,Predmet komentára Char Char Char1569,Comment Subject Char Char Char1569"/>
    <w:basedOn w:val="TextkomentraChar"/>
    <w:uiPriority w:val="99"/>
    <w:semiHidden/>
    <w:rsid w:val="00A809E7"/>
    <w:rPr>
      <w:rFonts w:ascii="Courier" w:hAnsi="Courier" w:cs="Courier"/>
      <w:b/>
      <w:bCs/>
      <w:lang w:val="x-none" w:eastAsia="cs-CZ"/>
    </w:rPr>
  </w:style>
  <w:style w:type="character" w:customStyle="1" w:styleId="PredmetkomentraChar1567">
    <w:name w:val="Predmet komentára Char1567"/>
    <w:aliases w:val="Char6 Char Char1568,Predmet komentára Char Char Char1568,Comment Subject Char Char Char1568"/>
    <w:basedOn w:val="TextkomentraChar"/>
    <w:uiPriority w:val="99"/>
    <w:semiHidden/>
    <w:rsid w:val="00A809E7"/>
    <w:rPr>
      <w:rFonts w:ascii="Courier" w:hAnsi="Courier" w:cs="Courier"/>
      <w:b/>
      <w:bCs/>
      <w:lang w:val="x-none" w:eastAsia="cs-CZ"/>
    </w:rPr>
  </w:style>
  <w:style w:type="character" w:customStyle="1" w:styleId="PredmetkomentraChar1566">
    <w:name w:val="Predmet komentára Char1566"/>
    <w:aliases w:val="Char6 Char Char1567,Predmet komentára Char Char Char1567,Comment Subject Char Char Char1567"/>
    <w:basedOn w:val="TextkomentraChar"/>
    <w:uiPriority w:val="99"/>
    <w:semiHidden/>
    <w:rsid w:val="00A809E7"/>
    <w:rPr>
      <w:rFonts w:ascii="Courier" w:hAnsi="Courier" w:cs="Courier"/>
      <w:b/>
      <w:bCs/>
      <w:lang w:val="x-none" w:eastAsia="cs-CZ"/>
    </w:rPr>
  </w:style>
  <w:style w:type="character" w:customStyle="1" w:styleId="PredmetkomentraChar1565">
    <w:name w:val="Predmet komentára Char1565"/>
    <w:aliases w:val="Char6 Char Char1566,Predmet komentára Char Char Char1566,Comment Subject Char Char Char1566"/>
    <w:basedOn w:val="TextkomentraChar"/>
    <w:uiPriority w:val="99"/>
    <w:semiHidden/>
    <w:rsid w:val="00A809E7"/>
    <w:rPr>
      <w:rFonts w:ascii="Courier" w:hAnsi="Courier" w:cs="Courier"/>
      <w:b/>
      <w:bCs/>
      <w:lang w:val="x-none" w:eastAsia="cs-CZ"/>
    </w:rPr>
  </w:style>
  <w:style w:type="character" w:customStyle="1" w:styleId="PredmetkomentraChar1564">
    <w:name w:val="Predmet komentára Char1564"/>
    <w:aliases w:val="Char6 Char Char1565,Predmet komentára Char Char Char1565,Comment Subject Char Char Char1565"/>
    <w:basedOn w:val="TextkomentraChar"/>
    <w:uiPriority w:val="99"/>
    <w:semiHidden/>
    <w:rsid w:val="00A809E7"/>
    <w:rPr>
      <w:rFonts w:ascii="Courier" w:hAnsi="Courier" w:cs="Courier"/>
      <w:b/>
      <w:bCs/>
      <w:lang w:val="x-none" w:eastAsia="cs-CZ"/>
    </w:rPr>
  </w:style>
  <w:style w:type="character" w:customStyle="1" w:styleId="PredmetkomentraChar1563">
    <w:name w:val="Predmet komentára Char1563"/>
    <w:aliases w:val="Char6 Char Char1564,Predmet komentára Char Char Char1564,Comment Subject Char Char Char1564"/>
    <w:basedOn w:val="TextkomentraChar"/>
    <w:uiPriority w:val="99"/>
    <w:semiHidden/>
    <w:rsid w:val="00A809E7"/>
    <w:rPr>
      <w:rFonts w:ascii="Courier" w:hAnsi="Courier" w:cs="Courier"/>
      <w:b/>
      <w:bCs/>
      <w:lang w:val="x-none" w:eastAsia="cs-CZ"/>
    </w:rPr>
  </w:style>
  <w:style w:type="character" w:customStyle="1" w:styleId="PredmetkomentraChar1562">
    <w:name w:val="Predmet komentára Char1562"/>
    <w:aliases w:val="Char6 Char Char1563,Predmet komentára Char Char Char1563,Comment Subject Char Char Char1563"/>
    <w:basedOn w:val="TextkomentraChar"/>
    <w:uiPriority w:val="99"/>
    <w:semiHidden/>
    <w:rsid w:val="00A809E7"/>
    <w:rPr>
      <w:rFonts w:ascii="Courier" w:hAnsi="Courier" w:cs="Courier"/>
      <w:b/>
      <w:bCs/>
      <w:lang w:val="x-none" w:eastAsia="cs-CZ"/>
    </w:rPr>
  </w:style>
  <w:style w:type="character" w:customStyle="1" w:styleId="PredmetkomentraChar1561">
    <w:name w:val="Predmet komentára Char1561"/>
    <w:aliases w:val="Char6 Char Char1562,Predmet komentára Char Char Char1562,Comment Subject Char Char Char1562"/>
    <w:basedOn w:val="TextkomentraChar"/>
    <w:uiPriority w:val="99"/>
    <w:semiHidden/>
    <w:rsid w:val="00A809E7"/>
    <w:rPr>
      <w:rFonts w:ascii="Courier" w:hAnsi="Courier" w:cs="Courier"/>
      <w:b/>
      <w:bCs/>
      <w:lang w:val="x-none" w:eastAsia="cs-CZ"/>
    </w:rPr>
  </w:style>
  <w:style w:type="character" w:customStyle="1" w:styleId="PredmetkomentraChar1560">
    <w:name w:val="Predmet komentára Char1560"/>
    <w:aliases w:val="Char6 Char Char1561,Predmet komentára Char Char Char1561,Comment Subject Char Char Char1561"/>
    <w:basedOn w:val="TextkomentraChar"/>
    <w:uiPriority w:val="99"/>
    <w:semiHidden/>
    <w:rsid w:val="00A809E7"/>
    <w:rPr>
      <w:rFonts w:ascii="Courier" w:hAnsi="Courier" w:cs="Courier"/>
      <w:b/>
      <w:bCs/>
      <w:lang w:val="x-none" w:eastAsia="cs-CZ"/>
    </w:rPr>
  </w:style>
  <w:style w:type="character" w:customStyle="1" w:styleId="PredmetkomentraChar1559">
    <w:name w:val="Predmet komentára Char1559"/>
    <w:aliases w:val="Char6 Char Char1560,Predmet komentára Char Char Char1560,Comment Subject Char Char Char1560"/>
    <w:basedOn w:val="TextkomentraChar"/>
    <w:uiPriority w:val="99"/>
    <w:semiHidden/>
    <w:rsid w:val="00A809E7"/>
    <w:rPr>
      <w:rFonts w:ascii="Courier" w:hAnsi="Courier" w:cs="Courier"/>
      <w:b/>
      <w:bCs/>
      <w:lang w:val="x-none" w:eastAsia="cs-CZ"/>
    </w:rPr>
  </w:style>
  <w:style w:type="character" w:customStyle="1" w:styleId="PredmetkomentraChar1558">
    <w:name w:val="Predmet komentára Char1558"/>
    <w:aliases w:val="Char6 Char Char1559,Predmet komentára Char Char Char1559,Comment Subject Char Char Char1559"/>
    <w:basedOn w:val="TextkomentraChar"/>
    <w:uiPriority w:val="99"/>
    <w:semiHidden/>
    <w:rsid w:val="00A809E7"/>
    <w:rPr>
      <w:rFonts w:ascii="Courier" w:hAnsi="Courier" w:cs="Courier"/>
      <w:b/>
      <w:bCs/>
      <w:lang w:val="x-none" w:eastAsia="cs-CZ"/>
    </w:rPr>
  </w:style>
  <w:style w:type="character" w:customStyle="1" w:styleId="PredmetkomentraChar1557">
    <w:name w:val="Predmet komentára Char1557"/>
    <w:aliases w:val="Char6 Char Char1558,Predmet komentára Char Char Char1558,Comment Subject Char Char Char1558"/>
    <w:basedOn w:val="TextkomentraChar"/>
    <w:uiPriority w:val="99"/>
    <w:semiHidden/>
    <w:rsid w:val="00A809E7"/>
    <w:rPr>
      <w:rFonts w:ascii="Courier" w:hAnsi="Courier" w:cs="Courier"/>
      <w:b/>
      <w:bCs/>
      <w:lang w:val="x-none" w:eastAsia="cs-CZ"/>
    </w:rPr>
  </w:style>
  <w:style w:type="character" w:customStyle="1" w:styleId="PredmetkomentraChar1556">
    <w:name w:val="Predmet komentára Char1556"/>
    <w:aliases w:val="Char6 Char Char1557,Predmet komentára Char Char Char1557,Comment Subject Char Char Char1557"/>
    <w:basedOn w:val="TextkomentraChar"/>
    <w:uiPriority w:val="99"/>
    <w:semiHidden/>
    <w:rsid w:val="00A809E7"/>
    <w:rPr>
      <w:rFonts w:ascii="Courier" w:hAnsi="Courier" w:cs="Courier"/>
      <w:b/>
      <w:bCs/>
      <w:lang w:val="x-none" w:eastAsia="cs-CZ"/>
    </w:rPr>
  </w:style>
  <w:style w:type="character" w:customStyle="1" w:styleId="PredmetkomentraChar1555">
    <w:name w:val="Predmet komentára Char1555"/>
    <w:aliases w:val="Char6 Char Char1556,Predmet komentára Char Char Char1556,Comment Subject Char Char Char1556"/>
    <w:basedOn w:val="TextkomentraChar"/>
    <w:uiPriority w:val="99"/>
    <w:semiHidden/>
    <w:rsid w:val="00A809E7"/>
    <w:rPr>
      <w:rFonts w:ascii="Courier" w:hAnsi="Courier" w:cs="Courier"/>
      <w:b/>
      <w:bCs/>
      <w:lang w:val="x-none" w:eastAsia="cs-CZ"/>
    </w:rPr>
  </w:style>
  <w:style w:type="character" w:customStyle="1" w:styleId="PredmetkomentraChar1554">
    <w:name w:val="Predmet komentára Char1554"/>
    <w:aliases w:val="Char6 Char Char1555,Predmet komentára Char Char Char1555,Comment Subject Char Char Char1555"/>
    <w:basedOn w:val="TextkomentraChar"/>
    <w:uiPriority w:val="99"/>
    <w:semiHidden/>
    <w:rsid w:val="00A809E7"/>
    <w:rPr>
      <w:rFonts w:ascii="Courier" w:hAnsi="Courier" w:cs="Courier"/>
      <w:b/>
      <w:bCs/>
      <w:lang w:val="x-none" w:eastAsia="cs-CZ"/>
    </w:rPr>
  </w:style>
  <w:style w:type="character" w:customStyle="1" w:styleId="PredmetkomentraChar1553">
    <w:name w:val="Predmet komentára Char1553"/>
    <w:aliases w:val="Char6 Char Char1554,Predmet komentára Char Char Char1554,Comment Subject Char Char Char1554"/>
    <w:basedOn w:val="TextkomentraChar"/>
    <w:uiPriority w:val="99"/>
    <w:semiHidden/>
    <w:rsid w:val="00A809E7"/>
    <w:rPr>
      <w:rFonts w:ascii="Courier" w:hAnsi="Courier" w:cs="Courier"/>
      <w:b/>
      <w:bCs/>
      <w:lang w:val="x-none" w:eastAsia="cs-CZ"/>
    </w:rPr>
  </w:style>
  <w:style w:type="character" w:customStyle="1" w:styleId="PredmetkomentraChar1552">
    <w:name w:val="Predmet komentára Char1552"/>
    <w:aliases w:val="Char6 Char Char1553,Predmet komentára Char Char Char1553,Comment Subject Char Char Char1553"/>
    <w:basedOn w:val="TextkomentraChar"/>
    <w:uiPriority w:val="99"/>
    <w:semiHidden/>
    <w:rsid w:val="00A809E7"/>
    <w:rPr>
      <w:rFonts w:ascii="Courier" w:hAnsi="Courier" w:cs="Courier"/>
      <w:b/>
      <w:bCs/>
      <w:lang w:val="x-none" w:eastAsia="cs-CZ"/>
    </w:rPr>
  </w:style>
  <w:style w:type="character" w:customStyle="1" w:styleId="PredmetkomentraChar1551">
    <w:name w:val="Predmet komentára Char1551"/>
    <w:aliases w:val="Char6 Char Char1552,Predmet komentára Char Char Char1552,Comment Subject Char Char Char1552"/>
    <w:basedOn w:val="TextkomentraChar"/>
    <w:uiPriority w:val="99"/>
    <w:semiHidden/>
    <w:rsid w:val="00A809E7"/>
    <w:rPr>
      <w:rFonts w:ascii="Courier" w:hAnsi="Courier" w:cs="Courier"/>
      <w:b/>
      <w:bCs/>
      <w:lang w:val="x-none" w:eastAsia="cs-CZ"/>
    </w:rPr>
  </w:style>
  <w:style w:type="character" w:customStyle="1" w:styleId="PredmetkomentraChar1550">
    <w:name w:val="Predmet komentára Char1550"/>
    <w:aliases w:val="Char6 Char Char1551,Predmet komentára Char Char Char1551,Comment Subject Char Char Char1551"/>
    <w:basedOn w:val="TextkomentraChar"/>
    <w:uiPriority w:val="99"/>
    <w:semiHidden/>
    <w:rsid w:val="00A809E7"/>
    <w:rPr>
      <w:rFonts w:ascii="Courier" w:hAnsi="Courier" w:cs="Courier"/>
      <w:b/>
      <w:bCs/>
      <w:lang w:val="x-none" w:eastAsia="cs-CZ"/>
    </w:rPr>
  </w:style>
  <w:style w:type="character" w:customStyle="1" w:styleId="PredmetkomentraChar1549">
    <w:name w:val="Predmet komentára Char1549"/>
    <w:aliases w:val="Char6 Char Char1550,Predmet komentára Char Char Char1550,Comment Subject Char Char Char1550"/>
    <w:basedOn w:val="TextkomentraChar"/>
    <w:uiPriority w:val="99"/>
    <w:semiHidden/>
    <w:rsid w:val="00A809E7"/>
    <w:rPr>
      <w:rFonts w:ascii="Courier" w:hAnsi="Courier" w:cs="Courier"/>
      <w:b/>
      <w:bCs/>
      <w:lang w:val="x-none" w:eastAsia="cs-CZ"/>
    </w:rPr>
  </w:style>
  <w:style w:type="character" w:customStyle="1" w:styleId="PredmetkomentraChar1548">
    <w:name w:val="Predmet komentára Char1548"/>
    <w:aliases w:val="Char6 Char Char1549,Predmet komentára Char Char Char1549,Comment Subject Char Char Char1549"/>
    <w:basedOn w:val="TextkomentraChar"/>
    <w:uiPriority w:val="99"/>
    <w:semiHidden/>
    <w:rsid w:val="00A809E7"/>
    <w:rPr>
      <w:rFonts w:ascii="Courier" w:hAnsi="Courier" w:cs="Courier"/>
      <w:b/>
      <w:bCs/>
      <w:lang w:val="x-none" w:eastAsia="cs-CZ"/>
    </w:rPr>
  </w:style>
  <w:style w:type="character" w:customStyle="1" w:styleId="PredmetkomentraChar1547">
    <w:name w:val="Predmet komentára Char1547"/>
    <w:aliases w:val="Char6 Char Char1548,Predmet komentára Char Char Char1548,Comment Subject Char Char Char1548"/>
    <w:basedOn w:val="TextkomentraChar"/>
    <w:uiPriority w:val="99"/>
    <w:semiHidden/>
    <w:rsid w:val="00A809E7"/>
    <w:rPr>
      <w:rFonts w:ascii="Courier" w:hAnsi="Courier" w:cs="Courier"/>
      <w:b/>
      <w:bCs/>
      <w:lang w:val="x-none" w:eastAsia="cs-CZ"/>
    </w:rPr>
  </w:style>
  <w:style w:type="character" w:customStyle="1" w:styleId="PredmetkomentraChar1546">
    <w:name w:val="Predmet komentára Char1546"/>
    <w:aliases w:val="Char6 Char Char1547,Predmet komentára Char Char Char1547,Comment Subject Char Char Char1547"/>
    <w:basedOn w:val="TextkomentraChar"/>
    <w:uiPriority w:val="99"/>
    <w:semiHidden/>
    <w:rsid w:val="00A809E7"/>
    <w:rPr>
      <w:rFonts w:ascii="Courier" w:hAnsi="Courier" w:cs="Courier"/>
      <w:b/>
      <w:bCs/>
      <w:lang w:val="x-none" w:eastAsia="cs-CZ"/>
    </w:rPr>
  </w:style>
  <w:style w:type="character" w:customStyle="1" w:styleId="PredmetkomentraChar1545">
    <w:name w:val="Predmet komentára Char1545"/>
    <w:aliases w:val="Char6 Char Char1546,Predmet komentára Char Char Char1546,Comment Subject Char Char Char1546"/>
    <w:basedOn w:val="TextkomentraChar"/>
    <w:uiPriority w:val="99"/>
    <w:semiHidden/>
    <w:rsid w:val="00A809E7"/>
    <w:rPr>
      <w:rFonts w:ascii="Courier" w:hAnsi="Courier" w:cs="Courier"/>
      <w:b/>
      <w:bCs/>
      <w:lang w:val="x-none" w:eastAsia="cs-CZ"/>
    </w:rPr>
  </w:style>
  <w:style w:type="character" w:customStyle="1" w:styleId="PredmetkomentraChar1544">
    <w:name w:val="Predmet komentára Char1544"/>
    <w:aliases w:val="Char6 Char Char1545,Predmet komentára Char Char Char1545,Comment Subject Char Char Char1545"/>
    <w:basedOn w:val="TextkomentraChar"/>
    <w:uiPriority w:val="99"/>
    <w:semiHidden/>
    <w:rsid w:val="00A809E7"/>
    <w:rPr>
      <w:rFonts w:ascii="Courier" w:hAnsi="Courier" w:cs="Courier"/>
      <w:b/>
      <w:bCs/>
      <w:lang w:val="x-none" w:eastAsia="cs-CZ"/>
    </w:rPr>
  </w:style>
  <w:style w:type="character" w:customStyle="1" w:styleId="PredmetkomentraChar1543">
    <w:name w:val="Predmet komentára Char1543"/>
    <w:aliases w:val="Char6 Char Char1544,Predmet komentára Char Char Char1544,Comment Subject Char Char Char1544"/>
    <w:basedOn w:val="TextkomentraChar"/>
    <w:uiPriority w:val="99"/>
    <w:semiHidden/>
    <w:rsid w:val="00A809E7"/>
    <w:rPr>
      <w:rFonts w:ascii="Courier" w:hAnsi="Courier" w:cs="Courier"/>
      <w:b/>
      <w:bCs/>
      <w:lang w:val="x-none" w:eastAsia="cs-CZ"/>
    </w:rPr>
  </w:style>
  <w:style w:type="character" w:customStyle="1" w:styleId="PredmetkomentraChar1542">
    <w:name w:val="Predmet komentára Char1542"/>
    <w:aliases w:val="Char6 Char Char1543,Predmet komentára Char Char Char1543,Comment Subject Char Char Char1543"/>
    <w:basedOn w:val="TextkomentraChar"/>
    <w:uiPriority w:val="99"/>
    <w:semiHidden/>
    <w:rsid w:val="00A809E7"/>
    <w:rPr>
      <w:rFonts w:ascii="Courier" w:hAnsi="Courier" w:cs="Courier"/>
      <w:b/>
      <w:bCs/>
      <w:lang w:val="x-none" w:eastAsia="cs-CZ"/>
    </w:rPr>
  </w:style>
  <w:style w:type="character" w:customStyle="1" w:styleId="PredmetkomentraChar1541">
    <w:name w:val="Predmet komentára Char1541"/>
    <w:aliases w:val="Char6 Char Char1542,Predmet komentára Char Char Char1542,Comment Subject Char Char Char1542"/>
    <w:basedOn w:val="TextkomentraChar"/>
    <w:uiPriority w:val="99"/>
    <w:semiHidden/>
    <w:rsid w:val="00A809E7"/>
    <w:rPr>
      <w:rFonts w:ascii="Courier" w:hAnsi="Courier" w:cs="Courier"/>
      <w:b/>
      <w:bCs/>
      <w:lang w:val="x-none" w:eastAsia="cs-CZ"/>
    </w:rPr>
  </w:style>
  <w:style w:type="character" w:customStyle="1" w:styleId="PredmetkomentraChar1540">
    <w:name w:val="Predmet komentára Char1540"/>
    <w:aliases w:val="Char6 Char Char1541,Predmet komentára Char Char Char1541,Comment Subject Char Char Char1541"/>
    <w:basedOn w:val="TextkomentraChar"/>
    <w:uiPriority w:val="99"/>
    <w:semiHidden/>
    <w:rsid w:val="00A809E7"/>
    <w:rPr>
      <w:rFonts w:ascii="Courier" w:hAnsi="Courier" w:cs="Courier"/>
      <w:b/>
      <w:bCs/>
      <w:lang w:val="x-none" w:eastAsia="cs-CZ"/>
    </w:rPr>
  </w:style>
  <w:style w:type="character" w:customStyle="1" w:styleId="PredmetkomentraChar1539">
    <w:name w:val="Predmet komentára Char1539"/>
    <w:aliases w:val="Char6 Char Char1540,Predmet komentára Char Char Char1540,Comment Subject Char Char Char1540"/>
    <w:basedOn w:val="TextkomentraChar"/>
    <w:uiPriority w:val="99"/>
    <w:semiHidden/>
    <w:rsid w:val="00A809E7"/>
    <w:rPr>
      <w:rFonts w:ascii="Courier" w:hAnsi="Courier" w:cs="Courier"/>
      <w:b/>
      <w:bCs/>
      <w:lang w:val="x-none" w:eastAsia="cs-CZ"/>
    </w:rPr>
  </w:style>
  <w:style w:type="character" w:customStyle="1" w:styleId="PredmetkomentraChar1538">
    <w:name w:val="Predmet komentára Char1538"/>
    <w:aliases w:val="Char6 Char Char1539,Predmet komentára Char Char Char1539,Comment Subject Char Char Char1539"/>
    <w:basedOn w:val="TextkomentraChar"/>
    <w:uiPriority w:val="99"/>
    <w:semiHidden/>
    <w:rsid w:val="00A809E7"/>
    <w:rPr>
      <w:rFonts w:ascii="Courier" w:hAnsi="Courier" w:cs="Courier"/>
      <w:b/>
      <w:bCs/>
      <w:lang w:val="x-none" w:eastAsia="cs-CZ"/>
    </w:rPr>
  </w:style>
  <w:style w:type="character" w:customStyle="1" w:styleId="PredmetkomentraChar1537">
    <w:name w:val="Predmet komentára Char1537"/>
    <w:aliases w:val="Char6 Char Char1538,Predmet komentára Char Char Char1538,Comment Subject Char Char Char1538"/>
    <w:basedOn w:val="TextkomentraChar"/>
    <w:uiPriority w:val="99"/>
    <w:semiHidden/>
    <w:rsid w:val="00A809E7"/>
    <w:rPr>
      <w:rFonts w:ascii="Courier" w:hAnsi="Courier" w:cs="Courier"/>
      <w:b/>
      <w:bCs/>
      <w:lang w:val="x-none" w:eastAsia="cs-CZ"/>
    </w:rPr>
  </w:style>
  <w:style w:type="character" w:customStyle="1" w:styleId="PredmetkomentraChar1536">
    <w:name w:val="Predmet komentára Char1536"/>
    <w:aliases w:val="Char6 Char Char1537,Predmet komentára Char Char Char1537,Comment Subject Char Char Char1537"/>
    <w:basedOn w:val="TextkomentraChar"/>
    <w:uiPriority w:val="99"/>
    <w:semiHidden/>
    <w:rsid w:val="00A809E7"/>
    <w:rPr>
      <w:rFonts w:ascii="Courier" w:hAnsi="Courier" w:cs="Courier"/>
      <w:b/>
      <w:bCs/>
      <w:lang w:val="x-none" w:eastAsia="cs-CZ"/>
    </w:rPr>
  </w:style>
  <w:style w:type="character" w:customStyle="1" w:styleId="PredmetkomentraChar1535">
    <w:name w:val="Predmet komentára Char1535"/>
    <w:aliases w:val="Char6 Char Char1536,Predmet komentára Char Char Char1536,Comment Subject Char Char Char1536"/>
    <w:basedOn w:val="TextkomentraChar"/>
    <w:uiPriority w:val="99"/>
    <w:semiHidden/>
    <w:rsid w:val="00A809E7"/>
    <w:rPr>
      <w:rFonts w:ascii="Courier" w:hAnsi="Courier" w:cs="Courier"/>
      <w:b/>
      <w:bCs/>
      <w:lang w:val="x-none" w:eastAsia="cs-CZ"/>
    </w:rPr>
  </w:style>
  <w:style w:type="character" w:customStyle="1" w:styleId="PredmetkomentraChar1534">
    <w:name w:val="Predmet komentára Char1534"/>
    <w:aliases w:val="Char6 Char Char1535,Predmet komentára Char Char Char1535,Comment Subject Char Char Char1535"/>
    <w:basedOn w:val="TextkomentraChar"/>
    <w:uiPriority w:val="99"/>
    <w:semiHidden/>
    <w:rsid w:val="00A809E7"/>
    <w:rPr>
      <w:rFonts w:ascii="Courier" w:hAnsi="Courier" w:cs="Courier"/>
      <w:b/>
      <w:bCs/>
      <w:lang w:val="x-none" w:eastAsia="cs-CZ"/>
    </w:rPr>
  </w:style>
  <w:style w:type="character" w:customStyle="1" w:styleId="PredmetkomentraChar1533">
    <w:name w:val="Predmet komentára Char1533"/>
    <w:aliases w:val="Char6 Char Char1534,Predmet komentára Char Char Char1534,Comment Subject Char Char Char1534"/>
    <w:basedOn w:val="TextkomentraChar"/>
    <w:uiPriority w:val="99"/>
    <w:semiHidden/>
    <w:rsid w:val="00A809E7"/>
    <w:rPr>
      <w:rFonts w:ascii="Courier" w:hAnsi="Courier" w:cs="Courier"/>
      <w:b/>
      <w:bCs/>
      <w:lang w:val="x-none" w:eastAsia="cs-CZ"/>
    </w:rPr>
  </w:style>
  <w:style w:type="character" w:customStyle="1" w:styleId="PredmetkomentraChar1532">
    <w:name w:val="Predmet komentára Char1532"/>
    <w:aliases w:val="Char6 Char Char1533,Predmet komentára Char Char Char1533,Comment Subject Char Char Char1533"/>
    <w:basedOn w:val="TextkomentraChar"/>
    <w:uiPriority w:val="99"/>
    <w:semiHidden/>
    <w:rsid w:val="00A809E7"/>
    <w:rPr>
      <w:rFonts w:ascii="Courier" w:hAnsi="Courier" w:cs="Courier"/>
      <w:b/>
      <w:bCs/>
      <w:lang w:val="x-none" w:eastAsia="cs-CZ"/>
    </w:rPr>
  </w:style>
  <w:style w:type="character" w:customStyle="1" w:styleId="PredmetkomentraChar1531">
    <w:name w:val="Predmet komentára Char1531"/>
    <w:aliases w:val="Char6 Char Char1532,Predmet komentára Char Char Char1532,Comment Subject Char Char Char1532"/>
    <w:basedOn w:val="TextkomentraChar"/>
    <w:uiPriority w:val="99"/>
    <w:semiHidden/>
    <w:rsid w:val="00A809E7"/>
    <w:rPr>
      <w:rFonts w:ascii="Courier" w:hAnsi="Courier" w:cs="Courier"/>
      <w:b/>
      <w:bCs/>
      <w:lang w:val="x-none" w:eastAsia="cs-CZ"/>
    </w:rPr>
  </w:style>
  <w:style w:type="character" w:customStyle="1" w:styleId="PredmetkomentraChar1530">
    <w:name w:val="Predmet komentára Char1530"/>
    <w:aliases w:val="Char6 Char Char1531,Predmet komentára Char Char Char1531,Comment Subject Char Char Char1531"/>
    <w:basedOn w:val="TextkomentraChar"/>
    <w:uiPriority w:val="99"/>
    <w:semiHidden/>
    <w:rsid w:val="00A809E7"/>
    <w:rPr>
      <w:rFonts w:ascii="Courier" w:hAnsi="Courier" w:cs="Courier"/>
      <w:b/>
      <w:bCs/>
      <w:lang w:val="x-none" w:eastAsia="cs-CZ"/>
    </w:rPr>
  </w:style>
  <w:style w:type="character" w:customStyle="1" w:styleId="PredmetkomentraChar1529">
    <w:name w:val="Predmet komentára Char1529"/>
    <w:aliases w:val="Char6 Char Char1530,Predmet komentára Char Char Char1530,Comment Subject Char Char Char1530"/>
    <w:basedOn w:val="TextkomentraChar"/>
    <w:uiPriority w:val="99"/>
    <w:semiHidden/>
    <w:rsid w:val="00A809E7"/>
    <w:rPr>
      <w:rFonts w:ascii="Courier" w:hAnsi="Courier" w:cs="Courier"/>
      <w:b/>
      <w:bCs/>
      <w:lang w:val="x-none" w:eastAsia="cs-CZ"/>
    </w:rPr>
  </w:style>
  <w:style w:type="character" w:customStyle="1" w:styleId="PredmetkomentraChar1528">
    <w:name w:val="Predmet komentára Char1528"/>
    <w:aliases w:val="Char6 Char Char1529,Predmet komentára Char Char Char1529,Comment Subject Char Char Char1529"/>
    <w:basedOn w:val="TextkomentraChar"/>
    <w:uiPriority w:val="99"/>
    <w:semiHidden/>
    <w:rsid w:val="00A809E7"/>
    <w:rPr>
      <w:rFonts w:ascii="Courier" w:hAnsi="Courier" w:cs="Courier"/>
      <w:b/>
      <w:bCs/>
      <w:lang w:val="x-none" w:eastAsia="cs-CZ"/>
    </w:rPr>
  </w:style>
  <w:style w:type="character" w:customStyle="1" w:styleId="PredmetkomentraChar1527">
    <w:name w:val="Predmet komentára Char1527"/>
    <w:aliases w:val="Char6 Char Char1528,Predmet komentára Char Char Char1528,Comment Subject Char Char Char1528"/>
    <w:basedOn w:val="TextkomentraChar"/>
    <w:uiPriority w:val="99"/>
    <w:semiHidden/>
    <w:rsid w:val="00A809E7"/>
    <w:rPr>
      <w:rFonts w:ascii="Courier" w:hAnsi="Courier" w:cs="Courier"/>
      <w:b/>
      <w:bCs/>
      <w:lang w:val="x-none" w:eastAsia="cs-CZ"/>
    </w:rPr>
  </w:style>
  <w:style w:type="character" w:customStyle="1" w:styleId="PredmetkomentraChar1526">
    <w:name w:val="Predmet komentára Char1526"/>
    <w:aliases w:val="Char6 Char Char1527,Predmet komentára Char Char Char1527,Comment Subject Char Char Char1527"/>
    <w:basedOn w:val="TextkomentraChar"/>
    <w:uiPriority w:val="99"/>
    <w:semiHidden/>
    <w:rsid w:val="00A809E7"/>
    <w:rPr>
      <w:rFonts w:ascii="Courier" w:hAnsi="Courier" w:cs="Courier"/>
      <w:b/>
      <w:bCs/>
      <w:lang w:val="x-none" w:eastAsia="cs-CZ"/>
    </w:rPr>
  </w:style>
  <w:style w:type="character" w:customStyle="1" w:styleId="PredmetkomentraChar1525">
    <w:name w:val="Predmet komentára Char1525"/>
    <w:aliases w:val="Char6 Char Char1526,Predmet komentára Char Char Char1526,Comment Subject Char Char Char1526"/>
    <w:basedOn w:val="TextkomentraChar"/>
    <w:uiPriority w:val="99"/>
    <w:semiHidden/>
    <w:rsid w:val="00A809E7"/>
    <w:rPr>
      <w:rFonts w:ascii="Courier" w:hAnsi="Courier" w:cs="Courier"/>
      <w:b/>
      <w:bCs/>
      <w:lang w:val="x-none" w:eastAsia="cs-CZ"/>
    </w:rPr>
  </w:style>
  <w:style w:type="character" w:customStyle="1" w:styleId="PredmetkomentraChar1524">
    <w:name w:val="Predmet komentára Char1524"/>
    <w:aliases w:val="Char6 Char Char1525,Predmet komentára Char Char Char1525,Comment Subject Char Char Char1525"/>
    <w:basedOn w:val="TextkomentraChar"/>
    <w:uiPriority w:val="99"/>
    <w:semiHidden/>
    <w:rsid w:val="00A809E7"/>
    <w:rPr>
      <w:rFonts w:ascii="Courier" w:hAnsi="Courier" w:cs="Courier"/>
      <w:b/>
      <w:bCs/>
      <w:lang w:val="x-none" w:eastAsia="cs-CZ"/>
    </w:rPr>
  </w:style>
  <w:style w:type="character" w:customStyle="1" w:styleId="PredmetkomentraChar1523">
    <w:name w:val="Predmet komentára Char1523"/>
    <w:aliases w:val="Char6 Char Char1524,Predmet komentára Char Char Char1524,Comment Subject Char Char Char1524"/>
    <w:basedOn w:val="TextkomentraChar"/>
    <w:uiPriority w:val="99"/>
    <w:semiHidden/>
    <w:rsid w:val="00A809E7"/>
    <w:rPr>
      <w:rFonts w:ascii="Courier" w:hAnsi="Courier" w:cs="Courier"/>
      <w:b/>
      <w:bCs/>
      <w:lang w:val="x-none" w:eastAsia="cs-CZ"/>
    </w:rPr>
  </w:style>
  <w:style w:type="character" w:customStyle="1" w:styleId="PredmetkomentraChar1522">
    <w:name w:val="Predmet komentára Char1522"/>
    <w:aliases w:val="Char6 Char Char1523,Predmet komentára Char Char Char1523,Comment Subject Char Char Char1523"/>
    <w:basedOn w:val="TextkomentraChar"/>
    <w:uiPriority w:val="99"/>
    <w:semiHidden/>
    <w:rsid w:val="00A809E7"/>
    <w:rPr>
      <w:rFonts w:ascii="Courier" w:hAnsi="Courier" w:cs="Courier"/>
      <w:b/>
      <w:bCs/>
      <w:lang w:val="x-none" w:eastAsia="cs-CZ"/>
    </w:rPr>
  </w:style>
  <w:style w:type="character" w:customStyle="1" w:styleId="PredmetkomentraChar1521">
    <w:name w:val="Predmet komentára Char1521"/>
    <w:aliases w:val="Char6 Char Char1522,Predmet komentára Char Char Char1522,Comment Subject Char Char Char1522"/>
    <w:basedOn w:val="TextkomentraChar"/>
    <w:uiPriority w:val="99"/>
    <w:semiHidden/>
    <w:rsid w:val="00A809E7"/>
    <w:rPr>
      <w:rFonts w:ascii="Courier" w:hAnsi="Courier" w:cs="Courier"/>
      <w:b/>
      <w:bCs/>
      <w:lang w:val="x-none" w:eastAsia="cs-CZ"/>
    </w:rPr>
  </w:style>
  <w:style w:type="character" w:customStyle="1" w:styleId="PredmetkomentraChar1520">
    <w:name w:val="Predmet komentára Char1520"/>
    <w:aliases w:val="Char6 Char Char1521,Predmet komentára Char Char Char1521,Comment Subject Char Char Char1521"/>
    <w:basedOn w:val="TextkomentraChar"/>
    <w:uiPriority w:val="99"/>
    <w:semiHidden/>
    <w:rsid w:val="00A809E7"/>
    <w:rPr>
      <w:rFonts w:ascii="Courier" w:hAnsi="Courier" w:cs="Courier"/>
      <w:b/>
      <w:bCs/>
      <w:lang w:val="x-none" w:eastAsia="cs-CZ"/>
    </w:rPr>
  </w:style>
  <w:style w:type="character" w:customStyle="1" w:styleId="PredmetkomentraChar1519">
    <w:name w:val="Predmet komentára Char1519"/>
    <w:aliases w:val="Char6 Char Char1520,Predmet komentára Char Char Char1520,Comment Subject Char Char Char1520"/>
    <w:basedOn w:val="TextkomentraChar"/>
    <w:uiPriority w:val="99"/>
    <w:semiHidden/>
    <w:rsid w:val="00A809E7"/>
    <w:rPr>
      <w:rFonts w:ascii="Courier" w:hAnsi="Courier" w:cs="Courier"/>
      <w:b/>
      <w:bCs/>
      <w:lang w:val="x-none" w:eastAsia="cs-CZ"/>
    </w:rPr>
  </w:style>
  <w:style w:type="character" w:customStyle="1" w:styleId="PredmetkomentraChar1518">
    <w:name w:val="Predmet komentára Char1518"/>
    <w:aliases w:val="Char6 Char Char1519,Predmet komentára Char Char Char1519,Comment Subject Char Char Char1519"/>
    <w:basedOn w:val="TextkomentraChar"/>
    <w:uiPriority w:val="99"/>
    <w:semiHidden/>
    <w:rsid w:val="00A809E7"/>
    <w:rPr>
      <w:rFonts w:ascii="Courier" w:hAnsi="Courier" w:cs="Courier"/>
      <w:b/>
      <w:bCs/>
      <w:lang w:val="x-none" w:eastAsia="cs-CZ"/>
    </w:rPr>
  </w:style>
  <w:style w:type="character" w:customStyle="1" w:styleId="PredmetkomentraChar1517">
    <w:name w:val="Predmet komentára Char1517"/>
    <w:aliases w:val="Char6 Char Char1518,Predmet komentára Char Char Char1518,Comment Subject Char Char Char1518"/>
    <w:basedOn w:val="TextkomentraChar"/>
    <w:uiPriority w:val="99"/>
    <w:semiHidden/>
    <w:rsid w:val="00A809E7"/>
    <w:rPr>
      <w:rFonts w:ascii="Courier" w:hAnsi="Courier" w:cs="Courier"/>
      <w:b/>
      <w:bCs/>
      <w:lang w:val="x-none" w:eastAsia="cs-CZ"/>
    </w:rPr>
  </w:style>
  <w:style w:type="character" w:customStyle="1" w:styleId="PredmetkomentraChar1516">
    <w:name w:val="Predmet komentára Char1516"/>
    <w:aliases w:val="Char6 Char Char1517,Predmet komentára Char Char Char1517,Comment Subject Char Char Char1517"/>
    <w:basedOn w:val="TextkomentraChar"/>
    <w:uiPriority w:val="99"/>
    <w:semiHidden/>
    <w:rsid w:val="00A809E7"/>
    <w:rPr>
      <w:rFonts w:ascii="Courier" w:hAnsi="Courier" w:cs="Courier"/>
      <w:b/>
      <w:bCs/>
      <w:lang w:val="x-none" w:eastAsia="cs-CZ"/>
    </w:rPr>
  </w:style>
  <w:style w:type="character" w:customStyle="1" w:styleId="PredmetkomentraChar1515">
    <w:name w:val="Predmet komentára Char1515"/>
    <w:aliases w:val="Char6 Char Char1516,Predmet komentára Char Char Char1516,Comment Subject Char Char Char1516"/>
    <w:basedOn w:val="TextkomentraChar"/>
    <w:uiPriority w:val="99"/>
    <w:semiHidden/>
    <w:rsid w:val="00A809E7"/>
    <w:rPr>
      <w:rFonts w:ascii="Courier" w:hAnsi="Courier" w:cs="Courier"/>
      <w:b/>
      <w:bCs/>
      <w:lang w:val="x-none" w:eastAsia="cs-CZ"/>
    </w:rPr>
  </w:style>
  <w:style w:type="character" w:customStyle="1" w:styleId="PredmetkomentraChar1514">
    <w:name w:val="Predmet komentára Char1514"/>
    <w:aliases w:val="Char6 Char Char1515,Predmet komentára Char Char Char1515,Comment Subject Char Char Char1515"/>
    <w:basedOn w:val="TextkomentraChar"/>
    <w:uiPriority w:val="99"/>
    <w:semiHidden/>
    <w:rsid w:val="00A809E7"/>
    <w:rPr>
      <w:rFonts w:ascii="Courier" w:hAnsi="Courier" w:cs="Courier"/>
      <w:b/>
      <w:bCs/>
      <w:lang w:val="x-none" w:eastAsia="cs-CZ"/>
    </w:rPr>
  </w:style>
  <w:style w:type="character" w:customStyle="1" w:styleId="PredmetkomentraChar1513">
    <w:name w:val="Predmet komentára Char1513"/>
    <w:aliases w:val="Char6 Char Char1514,Predmet komentára Char Char Char1514,Comment Subject Char Char Char1514"/>
    <w:uiPriority w:val="99"/>
    <w:semiHidden/>
    <w:rsid w:val="00A809E7"/>
    <w:rPr>
      <w:rFonts w:ascii="Courier" w:hAnsi="Courier"/>
      <w:b/>
      <w:lang w:val="x-none" w:eastAsia="cs-CZ"/>
    </w:rPr>
  </w:style>
  <w:style w:type="character" w:customStyle="1" w:styleId="PredmetkomentraChar1512">
    <w:name w:val="Predmet komentára Char1512"/>
    <w:aliases w:val="Char6 Char Char1513,Predmet komentára Char Char Char1513,Comment Subject Char Char Char1513"/>
    <w:uiPriority w:val="99"/>
    <w:semiHidden/>
    <w:rsid w:val="00A809E7"/>
    <w:rPr>
      <w:rFonts w:ascii="Courier" w:hAnsi="Courier"/>
      <w:b/>
      <w:lang w:val="x-none" w:eastAsia="cs-CZ"/>
    </w:rPr>
  </w:style>
  <w:style w:type="character" w:customStyle="1" w:styleId="PredmetkomentraChar1511">
    <w:name w:val="Predmet komentára Char1511"/>
    <w:aliases w:val="Char6 Char Char1512,Predmet komentára Char Char Char1512,Comment Subject Char Char Char1512"/>
    <w:uiPriority w:val="99"/>
    <w:semiHidden/>
    <w:rsid w:val="00A809E7"/>
    <w:rPr>
      <w:rFonts w:ascii="Courier" w:hAnsi="Courier"/>
      <w:b/>
      <w:lang w:val="x-none" w:eastAsia="cs-CZ"/>
    </w:rPr>
  </w:style>
  <w:style w:type="character" w:customStyle="1" w:styleId="PredmetkomentraChar1510">
    <w:name w:val="Predmet komentára Char1510"/>
    <w:aliases w:val="Char6 Char Char1511,Predmet komentára Char Char Char1511,Comment Subject Char Char Char1511"/>
    <w:uiPriority w:val="99"/>
    <w:semiHidden/>
    <w:rsid w:val="00A809E7"/>
    <w:rPr>
      <w:rFonts w:ascii="Courier" w:hAnsi="Courier"/>
      <w:b/>
      <w:lang w:val="x-none" w:eastAsia="cs-CZ"/>
    </w:rPr>
  </w:style>
  <w:style w:type="character" w:customStyle="1" w:styleId="PredmetkomentraChar1509">
    <w:name w:val="Predmet komentára Char1509"/>
    <w:aliases w:val="Char6 Char Char1510,Predmet komentára Char Char Char1510,Comment Subject Char Char Char1510"/>
    <w:uiPriority w:val="99"/>
    <w:semiHidden/>
    <w:rsid w:val="00A809E7"/>
    <w:rPr>
      <w:rFonts w:ascii="Courier" w:hAnsi="Courier"/>
      <w:b/>
      <w:lang w:val="x-none" w:eastAsia="cs-CZ"/>
    </w:rPr>
  </w:style>
  <w:style w:type="character" w:customStyle="1" w:styleId="PredmetkomentraChar1508">
    <w:name w:val="Predmet komentára Char1508"/>
    <w:aliases w:val="Char6 Char Char1509,Predmet komentára Char Char Char1509,Comment Subject Char Char Char1509"/>
    <w:uiPriority w:val="99"/>
    <w:semiHidden/>
    <w:rsid w:val="00A809E7"/>
    <w:rPr>
      <w:rFonts w:ascii="Courier" w:hAnsi="Courier"/>
      <w:b/>
      <w:lang w:val="x-none" w:eastAsia="cs-CZ"/>
    </w:rPr>
  </w:style>
  <w:style w:type="character" w:customStyle="1" w:styleId="PredmetkomentraChar1507">
    <w:name w:val="Predmet komentára Char1507"/>
    <w:aliases w:val="Char6 Char Char1508,Predmet komentára Char Char Char1508,Comment Subject Char Char Char1508"/>
    <w:uiPriority w:val="99"/>
    <w:semiHidden/>
    <w:rsid w:val="00A809E7"/>
    <w:rPr>
      <w:rFonts w:ascii="Courier" w:hAnsi="Courier"/>
      <w:b/>
      <w:lang w:val="x-none" w:eastAsia="cs-CZ"/>
    </w:rPr>
  </w:style>
  <w:style w:type="character" w:customStyle="1" w:styleId="PredmetkomentraChar1506">
    <w:name w:val="Predmet komentára Char1506"/>
    <w:aliases w:val="Char6 Char Char1507,Predmet komentára Char Char Char1507,Comment Subject Char Char Char1507"/>
    <w:uiPriority w:val="99"/>
    <w:semiHidden/>
    <w:rsid w:val="00A809E7"/>
    <w:rPr>
      <w:rFonts w:ascii="Courier" w:hAnsi="Courier"/>
      <w:b/>
      <w:lang w:val="x-none" w:eastAsia="cs-CZ"/>
    </w:rPr>
  </w:style>
  <w:style w:type="character" w:customStyle="1" w:styleId="PredmetkomentraChar1505">
    <w:name w:val="Predmet komentára Char1505"/>
    <w:aliases w:val="Char6 Char Char1506,Predmet komentára Char Char Char1506,Comment Subject Char Char Char1506"/>
    <w:uiPriority w:val="99"/>
    <w:semiHidden/>
    <w:rsid w:val="00A809E7"/>
    <w:rPr>
      <w:rFonts w:ascii="Courier" w:hAnsi="Courier"/>
      <w:b/>
      <w:lang w:val="x-none" w:eastAsia="cs-CZ"/>
    </w:rPr>
  </w:style>
  <w:style w:type="character" w:customStyle="1" w:styleId="PredmetkomentraChar1504">
    <w:name w:val="Predmet komentára Char1504"/>
    <w:aliases w:val="Char6 Char Char1505,Predmet komentára Char Char Char1505,Comment Subject Char Char Char1505"/>
    <w:uiPriority w:val="99"/>
    <w:semiHidden/>
    <w:rsid w:val="00A809E7"/>
    <w:rPr>
      <w:rFonts w:ascii="Courier" w:hAnsi="Courier"/>
      <w:b/>
      <w:lang w:val="x-none" w:eastAsia="cs-CZ"/>
    </w:rPr>
  </w:style>
  <w:style w:type="character" w:customStyle="1" w:styleId="PredmetkomentraChar1503">
    <w:name w:val="Predmet komentára Char1503"/>
    <w:aliases w:val="Char6 Char Char1504,Predmet komentára Char Char Char1504,Comment Subject Char Char Char1504"/>
    <w:uiPriority w:val="99"/>
    <w:semiHidden/>
    <w:rsid w:val="00A809E7"/>
    <w:rPr>
      <w:rFonts w:ascii="Courier" w:hAnsi="Courier"/>
      <w:b/>
      <w:lang w:val="x-none" w:eastAsia="cs-CZ"/>
    </w:rPr>
  </w:style>
  <w:style w:type="character" w:customStyle="1" w:styleId="PredmetkomentraChar1502">
    <w:name w:val="Predmet komentára Char1502"/>
    <w:aliases w:val="Char6 Char Char1503,Predmet komentára Char Char Char1503,Comment Subject Char Char Char1503"/>
    <w:uiPriority w:val="99"/>
    <w:semiHidden/>
    <w:rsid w:val="00A809E7"/>
    <w:rPr>
      <w:rFonts w:ascii="Courier" w:hAnsi="Courier"/>
      <w:b/>
      <w:lang w:val="x-none" w:eastAsia="cs-CZ"/>
    </w:rPr>
  </w:style>
  <w:style w:type="character" w:customStyle="1" w:styleId="PredmetkomentraChar1501">
    <w:name w:val="Predmet komentára Char1501"/>
    <w:aliases w:val="Char6 Char Char1502,Predmet komentára Char Char Char1502,Comment Subject Char Char Char1502"/>
    <w:uiPriority w:val="99"/>
    <w:semiHidden/>
    <w:rsid w:val="00A809E7"/>
    <w:rPr>
      <w:rFonts w:ascii="Courier" w:hAnsi="Courier"/>
      <w:b/>
      <w:lang w:val="x-none" w:eastAsia="cs-CZ"/>
    </w:rPr>
  </w:style>
  <w:style w:type="character" w:customStyle="1" w:styleId="PredmetkomentraChar1500">
    <w:name w:val="Predmet komentára Char1500"/>
    <w:aliases w:val="Char6 Char Char1501,Predmet komentára Char Char Char1501,Comment Subject Char Char Char1501"/>
    <w:uiPriority w:val="99"/>
    <w:semiHidden/>
    <w:rsid w:val="00A809E7"/>
    <w:rPr>
      <w:rFonts w:ascii="Courier" w:hAnsi="Courier"/>
      <w:b/>
      <w:lang w:val="x-none" w:eastAsia="cs-CZ"/>
    </w:rPr>
  </w:style>
  <w:style w:type="character" w:customStyle="1" w:styleId="PredmetkomentraChar1499">
    <w:name w:val="Predmet komentára Char1499"/>
    <w:aliases w:val="Char6 Char Char1500,Predmet komentára Char Char Char1500,Comment Subject Char Char Char1500"/>
    <w:uiPriority w:val="99"/>
    <w:semiHidden/>
    <w:rsid w:val="00A809E7"/>
    <w:rPr>
      <w:rFonts w:ascii="Courier" w:hAnsi="Courier"/>
      <w:b/>
      <w:lang w:val="x-none" w:eastAsia="cs-CZ"/>
    </w:rPr>
  </w:style>
  <w:style w:type="character" w:customStyle="1" w:styleId="PredmetkomentraChar1498">
    <w:name w:val="Predmet komentára Char1498"/>
    <w:aliases w:val="Char6 Char Char1499,Predmet komentára Char Char Char1499,Comment Subject Char Char Char1499"/>
    <w:uiPriority w:val="99"/>
    <w:semiHidden/>
    <w:rsid w:val="00A809E7"/>
    <w:rPr>
      <w:rFonts w:ascii="Courier" w:hAnsi="Courier"/>
      <w:b/>
      <w:lang w:val="x-none" w:eastAsia="cs-CZ"/>
    </w:rPr>
  </w:style>
  <w:style w:type="character" w:customStyle="1" w:styleId="PredmetkomentraChar1497">
    <w:name w:val="Predmet komentára Char1497"/>
    <w:aliases w:val="Char6 Char Char1498,Predmet komentára Char Char Char1498,Comment Subject Char Char Char1498"/>
    <w:uiPriority w:val="99"/>
    <w:semiHidden/>
    <w:rsid w:val="00A809E7"/>
    <w:rPr>
      <w:rFonts w:ascii="Courier" w:hAnsi="Courier"/>
      <w:b/>
      <w:lang w:val="x-none" w:eastAsia="cs-CZ"/>
    </w:rPr>
  </w:style>
  <w:style w:type="character" w:customStyle="1" w:styleId="PredmetkomentraChar1496">
    <w:name w:val="Predmet komentára Char1496"/>
    <w:aliases w:val="Char6 Char Char1497,Predmet komentára Char Char Char1497,Comment Subject Char Char Char1497"/>
    <w:uiPriority w:val="99"/>
    <w:semiHidden/>
    <w:rsid w:val="00A809E7"/>
    <w:rPr>
      <w:rFonts w:ascii="Courier" w:hAnsi="Courier"/>
      <w:b/>
      <w:lang w:val="x-none" w:eastAsia="cs-CZ"/>
    </w:rPr>
  </w:style>
  <w:style w:type="character" w:customStyle="1" w:styleId="PredmetkomentraChar1495">
    <w:name w:val="Predmet komentára Char1495"/>
    <w:aliases w:val="Char6 Char Char1496,Predmet komentára Char Char Char1496,Comment Subject Char Char Char1496"/>
    <w:uiPriority w:val="99"/>
    <w:semiHidden/>
    <w:rsid w:val="00A809E7"/>
    <w:rPr>
      <w:rFonts w:ascii="Courier" w:hAnsi="Courier"/>
      <w:b/>
      <w:lang w:val="x-none" w:eastAsia="cs-CZ"/>
    </w:rPr>
  </w:style>
  <w:style w:type="character" w:customStyle="1" w:styleId="PredmetkomentraChar1494">
    <w:name w:val="Predmet komentára Char1494"/>
    <w:aliases w:val="Char6 Char Char1495,Predmet komentára Char Char Char1495,Comment Subject Char Char Char1495"/>
    <w:uiPriority w:val="99"/>
    <w:semiHidden/>
    <w:rsid w:val="00A809E7"/>
    <w:rPr>
      <w:rFonts w:ascii="Courier" w:hAnsi="Courier"/>
      <w:b/>
      <w:lang w:val="x-none" w:eastAsia="cs-CZ"/>
    </w:rPr>
  </w:style>
  <w:style w:type="character" w:customStyle="1" w:styleId="PredmetkomentraChar1493">
    <w:name w:val="Predmet komentára Char1493"/>
    <w:aliases w:val="Char6 Char Char1494,Predmet komentára Char Char Char1494,Comment Subject Char Char Char1494"/>
    <w:uiPriority w:val="99"/>
    <w:semiHidden/>
    <w:rsid w:val="00A809E7"/>
    <w:rPr>
      <w:rFonts w:ascii="Courier" w:hAnsi="Courier"/>
      <w:b/>
      <w:lang w:val="x-none" w:eastAsia="cs-CZ"/>
    </w:rPr>
  </w:style>
  <w:style w:type="character" w:customStyle="1" w:styleId="PredmetkomentraChar1492">
    <w:name w:val="Predmet komentára Char1492"/>
    <w:aliases w:val="Char6 Char Char1493,Predmet komentára Char Char Char1493,Comment Subject Char Char Char1493"/>
    <w:uiPriority w:val="99"/>
    <w:semiHidden/>
    <w:rsid w:val="00A809E7"/>
    <w:rPr>
      <w:rFonts w:ascii="Courier" w:hAnsi="Courier"/>
      <w:b/>
      <w:lang w:val="x-none" w:eastAsia="cs-CZ"/>
    </w:rPr>
  </w:style>
  <w:style w:type="character" w:customStyle="1" w:styleId="PredmetkomentraChar1491">
    <w:name w:val="Predmet komentára Char1491"/>
    <w:aliases w:val="Char6 Char Char1492,Predmet komentára Char Char Char1492,Comment Subject Char Char Char1492"/>
    <w:uiPriority w:val="99"/>
    <w:semiHidden/>
    <w:rsid w:val="00A809E7"/>
    <w:rPr>
      <w:rFonts w:ascii="Courier" w:hAnsi="Courier"/>
      <w:b/>
      <w:lang w:val="x-none" w:eastAsia="cs-CZ"/>
    </w:rPr>
  </w:style>
  <w:style w:type="character" w:customStyle="1" w:styleId="PredmetkomentraChar1490">
    <w:name w:val="Predmet komentára Char1490"/>
    <w:aliases w:val="Char6 Char Char1491,Predmet komentára Char Char Char1491,Comment Subject Char Char Char1491"/>
    <w:uiPriority w:val="99"/>
    <w:semiHidden/>
    <w:rsid w:val="00A809E7"/>
    <w:rPr>
      <w:rFonts w:ascii="Courier" w:hAnsi="Courier"/>
      <w:b/>
      <w:lang w:val="x-none" w:eastAsia="cs-CZ"/>
    </w:rPr>
  </w:style>
  <w:style w:type="character" w:customStyle="1" w:styleId="PredmetkomentraChar1489">
    <w:name w:val="Predmet komentára Char1489"/>
    <w:aliases w:val="Char6 Char Char1490,Predmet komentára Char Char Char1490,Comment Subject Char Char Char1490"/>
    <w:uiPriority w:val="99"/>
    <w:semiHidden/>
    <w:rsid w:val="00A809E7"/>
    <w:rPr>
      <w:rFonts w:ascii="Courier" w:hAnsi="Courier"/>
      <w:b/>
      <w:lang w:val="x-none" w:eastAsia="cs-CZ"/>
    </w:rPr>
  </w:style>
  <w:style w:type="character" w:customStyle="1" w:styleId="PredmetkomentraChar1488">
    <w:name w:val="Predmet komentára Char1488"/>
    <w:aliases w:val="Char6 Char Char1489,Predmet komentára Char Char Char1489,Comment Subject Char Char Char1489"/>
    <w:uiPriority w:val="99"/>
    <w:semiHidden/>
    <w:rsid w:val="00A809E7"/>
    <w:rPr>
      <w:rFonts w:ascii="Courier" w:hAnsi="Courier"/>
      <w:b/>
      <w:lang w:val="x-none" w:eastAsia="cs-CZ"/>
    </w:rPr>
  </w:style>
  <w:style w:type="character" w:customStyle="1" w:styleId="PredmetkomentraChar1487">
    <w:name w:val="Predmet komentára Char1487"/>
    <w:aliases w:val="Char6 Char Char1488,Predmet komentára Char Char Char1488,Comment Subject Char Char Char1488"/>
    <w:uiPriority w:val="99"/>
    <w:semiHidden/>
    <w:rsid w:val="00A809E7"/>
    <w:rPr>
      <w:rFonts w:ascii="Courier" w:hAnsi="Courier"/>
      <w:b/>
      <w:lang w:val="x-none" w:eastAsia="cs-CZ"/>
    </w:rPr>
  </w:style>
  <w:style w:type="character" w:customStyle="1" w:styleId="PredmetkomentraChar1486">
    <w:name w:val="Predmet komentára Char1486"/>
    <w:aliases w:val="Char6 Char Char1487,Predmet komentára Char Char Char1487,Comment Subject Char Char Char1487"/>
    <w:uiPriority w:val="99"/>
    <w:semiHidden/>
    <w:rsid w:val="00A809E7"/>
    <w:rPr>
      <w:rFonts w:ascii="Courier" w:hAnsi="Courier"/>
      <w:b/>
      <w:lang w:val="x-none" w:eastAsia="cs-CZ"/>
    </w:rPr>
  </w:style>
  <w:style w:type="character" w:customStyle="1" w:styleId="PredmetkomentraChar1485">
    <w:name w:val="Predmet komentára Char1485"/>
    <w:aliases w:val="Char6 Char Char1486,Predmet komentára Char Char Char1486,Comment Subject Char Char Char1486"/>
    <w:uiPriority w:val="99"/>
    <w:semiHidden/>
    <w:rsid w:val="00A809E7"/>
    <w:rPr>
      <w:rFonts w:ascii="Courier" w:hAnsi="Courier"/>
      <w:b/>
      <w:lang w:val="x-none" w:eastAsia="cs-CZ"/>
    </w:rPr>
  </w:style>
  <w:style w:type="character" w:customStyle="1" w:styleId="PredmetkomentraChar1484">
    <w:name w:val="Predmet komentára Char1484"/>
    <w:aliases w:val="Char6 Char Char1485,Predmet komentára Char Char Char1485,Comment Subject Char Char Char1485"/>
    <w:uiPriority w:val="99"/>
    <w:semiHidden/>
    <w:rsid w:val="00A809E7"/>
    <w:rPr>
      <w:rFonts w:ascii="Courier" w:hAnsi="Courier"/>
      <w:b/>
      <w:lang w:val="x-none" w:eastAsia="cs-CZ"/>
    </w:rPr>
  </w:style>
  <w:style w:type="character" w:customStyle="1" w:styleId="PredmetkomentraChar1483">
    <w:name w:val="Predmet komentára Char1483"/>
    <w:aliases w:val="Char6 Char Char1484,Predmet komentára Char Char Char1484,Comment Subject Char Char Char1484"/>
    <w:uiPriority w:val="99"/>
    <w:semiHidden/>
    <w:rsid w:val="00A809E7"/>
    <w:rPr>
      <w:rFonts w:ascii="Courier" w:hAnsi="Courier"/>
      <w:b/>
      <w:lang w:val="x-none" w:eastAsia="cs-CZ"/>
    </w:rPr>
  </w:style>
  <w:style w:type="character" w:customStyle="1" w:styleId="PredmetkomentraChar1482">
    <w:name w:val="Predmet komentára Char1482"/>
    <w:aliases w:val="Char6 Char Char1483,Predmet komentára Char Char Char1483,Comment Subject Char Char Char1483"/>
    <w:uiPriority w:val="99"/>
    <w:semiHidden/>
    <w:rsid w:val="00A809E7"/>
    <w:rPr>
      <w:rFonts w:ascii="Courier" w:hAnsi="Courier"/>
      <w:b/>
      <w:lang w:val="x-none" w:eastAsia="cs-CZ"/>
    </w:rPr>
  </w:style>
  <w:style w:type="character" w:customStyle="1" w:styleId="PredmetkomentraChar1481">
    <w:name w:val="Predmet komentára Char1481"/>
    <w:aliases w:val="Char6 Char Char1482,Predmet komentára Char Char Char1482,Comment Subject Char Char Char1482"/>
    <w:uiPriority w:val="99"/>
    <w:semiHidden/>
    <w:rsid w:val="00A809E7"/>
    <w:rPr>
      <w:rFonts w:ascii="Courier" w:hAnsi="Courier"/>
      <w:b/>
      <w:lang w:val="x-none" w:eastAsia="cs-CZ"/>
    </w:rPr>
  </w:style>
  <w:style w:type="character" w:customStyle="1" w:styleId="PredmetkomentraChar1480">
    <w:name w:val="Predmet komentára Char1480"/>
    <w:aliases w:val="Char6 Char Char1481,Predmet komentára Char Char Char1481,Comment Subject Char Char Char1481"/>
    <w:uiPriority w:val="99"/>
    <w:semiHidden/>
    <w:rsid w:val="00A809E7"/>
    <w:rPr>
      <w:rFonts w:ascii="Courier" w:hAnsi="Courier"/>
      <w:b/>
      <w:lang w:val="x-none" w:eastAsia="cs-CZ"/>
    </w:rPr>
  </w:style>
  <w:style w:type="character" w:customStyle="1" w:styleId="PredmetkomentraChar1479">
    <w:name w:val="Predmet komentára Char1479"/>
    <w:aliases w:val="Char6 Char Char1480,Predmet komentára Char Char Char1480,Comment Subject Char Char Char1480"/>
    <w:uiPriority w:val="99"/>
    <w:semiHidden/>
    <w:rsid w:val="00A809E7"/>
    <w:rPr>
      <w:rFonts w:ascii="Courier" w:hAnsi="Courier"/>
      <w:b/>
      <w:lang w:val="x-none" w:eastAsia="cs-CZ"/>
    </w:rPr>
  </w:style>
  <w:style w:type="character" w:customStyle="1" w:styleId="PredmetkomentraChar1478">
    <w:name w:val="Predmet komentára Char1478"/>
    <w:aliases w:val="Char6 Char Char1479,Predmet komentára Char Char Char1479,Comment Subject Char Char Char1479"/>
    <w:uiPriority w:val="99"/>
    <w:semiHidden/>
    <w:rsid w:val="00A809E7"/>
    <w:rPr>
      <w:rFonts w:ascii="Courier" w:hAnsi="Courier"/>
      <w:b/>
      <w:lang w:val="x-none" w:eastAsia="cs-CZ"/>
    </w:rPr>
  </w:style>
  <w:style w:type="character" w:customStyle="1" w:styleId="PredmetkomentraChar1477">
    <w:name w:val="Predmet komentára Char1477"/>
    <w:aliases w:val="Char6 Char Char1478,Predmet komentára Char Char Char1478,Comment Subject Char Char Char1478"/>
    <w:uiPriority w:val="99"/>
    <w:semiHidden/>
    <w:rsid w:val="00A809E7"/>
    <w:rPr>
      <w:rFonts w:ascii="Courier" w:hAnsi="Courier"/>
      <w:b/>
      <w:lang w:val="x-none" w:eastAsia="cs-CZ"/>
    </w:rPr>
  </w:style>
  <w:style w:type="character" w:customStyle="1" w:styleId="PredmetkomentraChar1476">
    <w:name w:val="Predmet komentára Char1476"/>
    <w:aliases w:val="Char6 Char Char1477,Predmet komentára Char Char Char1477,Comment Subject Char Char Char1477"/>
    <w:uiPriority w:val="99"/>
    <w:semiHidden/>
    <w:rsid w:val="00A809E7"/>
    <w:rPr>
      <w:rFonts w:ascii="Courier" w:hAnsi="Courier"/>
      <w:b/>
      <w:lang w:val="x-none" w:eastAsia="cs-CZ"/>
    </w:rPr>
  </w:style>
  <w:style w:type="character" w:customStyle="1" w:styleId="PredmetkomentraChar1475">
    <w:name w:val="Predmet komentára Char1475"/>
    <w:aliases w:val="Char6 Char Char1476,Predmet komentára Char Char Char1476,Comment Subject Char Char Char1476"/>
    <w:uiPriority w:val="99"/>
    <w:semiHidden/>
    <w:rsid w:val="00A809E7"/>
    <w:rPr>
      <w:rFonts w:ascii="Courier" w:hAnsi="Courier"/>
      <w:b/>
      <w:lang w:val="x-none" w:eastAsia="cs-CZ"/>
    </w:rPr>
  </w:style>
  <w:style w:type="character" w:customStyle="1" w:styleId="PredmetkomentraChar1474">
    <w:name w:val="Predmet komentára Char1474"/>
    <w:aliases w:val="Char6 Char Char1475,Predmet komentára Char Char Char1475,Comment Subject Char Char Char1475"/>
    <w:uiPriority w:val="99"/>
    <w:semiHidden/>
    <w:rsid w:val="00A809E7"/>
    <w:rPr>
      <w:rFonts w:ascii="Courier" w:hAnsi="Courier"/>
      <w:b/>
      <w:lang w:val="x-none" w:eastAsia="cs-CZ"/>
    </w:rPr>
  </w:style>
  <w:style w:type="character" w:customStyle="1" w:styleId="PredmetkomentraChar1473">
    <w:name w:val="Predmet komentára Char1473"/>
    <w:aliases w:val="Char6 Char Char1474,Predmet komentára Char Char Char1474,Comment Subject Char Char Char1474"/>
    <w:uiPriority w:val="99"/>
    <w:semiHidden/>
    <w:rsid w:val="00A809E7"/>
    <w:rPr>
      <w:rFonts w:ascii="Courier" w:hAnsi="Courier"/>
      <w:b/>
      <w:lang w:val="x-none" w:eastAsia="cs-CZ"/>
    </w:rPr>
  </w:style>
  <w:style w:type="character" w:customStyle="1" w:styleId="PredmetkomentraChar1472">
    <w:name w:val="Predmet komentára Char1472"/>
    <w:aliases w:val="Char6 Char Char1473,Predmet komentára Char Char Char1473,Comment Subject Char Char Char1473"/>
    <w:uiPriority w:val="99"/>
    <w:semiHidden/>
    <w:rsid w:val="00A809E7"/>
    <w:rPr>
      <w:rFonts w:ascii="Courier" w:hAnsi="Courier"/>
      <w:b/>
      <w:lang w:val="x-none" w:eastAsia="cs-CZ"/>
    </w:rPr>
  </w:style>
  <w:style w:type="character" w:customStyle="1" w:styleId="PredmetkomentraChar1471">
    <w:name w:val="Predmet komentára Char1471"/>
    <w:aliases w:val="Char6 Char Char1472,Predmet komentára Char Char Char1472,Comment Subject Char Char Char1472"/>
    <w:uiPriority w:val="99"/>
    <w:semiHidden/>
    <w:rsid w:val="00A809E7"/>
    <w:rPr>
      <w:rFonts w:ascii="Courier" w:hAnsi="Courier"/>
      <w:b/>
      <w:lang w:val="x-none" w:eastAsia="cs-CZ"/>
    </w:rPr>
  </w:style>
  <w:style w:type="character" w:customStyle="1" w:styleId="PredmetkomentraChar1470">
    <w:name w:val="Predmet komentára Char1470"/>
    <w:aliases w:val="Char6 Char Char1471,Predmet komentára Char Char Char1471,Comment Subject Char Char Char1471"/>
    <w:uiPriority w:val="99"/>
    <w:semiHidden/>
    <w:rsid w:val="00A809E7"/>
    <w:rPr>
      <w:rFonts w:ascii="Courier" w:hAnsi="Courier"/>
      <w:b/>
      <w:lang w:val="x-none" w:eastAsia="cs-CZ"/>
    </w:rPr>
  </w:style>
  <w:style w:type="character" w:customStyle="1" w:styleId="PredmetkomentraChar1469">
    <w:name w:val="Predmet komentára Char1469"/>
    <w:aliases w:val="Char6 Char Char1470,Predmet komentára Char Char Char1470,Comment Subject Char Char Char1470"/>
    <w:uiPriority w:val="99"/>
    <w:semiHidden/>
    <w:rsid w:val="00A809E7"/>
    <w:rPr>
      <w:rFonts w:ascii="Courier" w:hAnsi="Courier"/>
      <w:b/>
      <w:lang w:val="x-none" w:eastAsia="cs-CZ"/>
    </w:rPr>
  </w:style>
  <w:style w:type="character" w:customStyle="1" w:styleId="PredmetkomentraChar1468">
    <w:name w:val="Predmet komentára Char1468"/>
    <w:aliases w:val="Char6 Char Char1469,Predmet komentára Char Char Char1469,Comment Subject Char Char Char1469"/>
    <w:uiPriority w:val="99"/>
    <w:semiHidden/>
    <w:rsid w:val="00A809E7"/>
    <w:rPr>
      <w:rFonts w:ascii="Courier" w:hAnsi="Courier"/>
      <w:b/>
      <w:lang w:val="x-none" w:eastAsia="cs-CZ"/>
    </w:rPr>
  </w:style>
  <w:style w:type="character" w:customStyle="1" w:styleId="PredmetkomentraChar1467">
    <w:name w:val="Predmet komentára Char1467"/>
    <w:aliases w:val="Char6 Char Char1468,Predmet komentára Char Char Char1468,Comment Subject Char Char Char1468"/>
    <w:uiPriority w:val="99"/>
    <w:semiHidden/>
    <w:rsid w:val="00A809E7"/>
    <w:rPr>
      <w:rFonts w:ascii="Courier" w:hAnsi="Courier"/>
      <w:b/>
      <w:lang w:val="x-none" w:eastAsia="cs-CZ"/>
    </w:rPr>
  </w:style>
  <w:style w:type="character" w:customStyle="1" w:styleId="PredmetkomentraChar1466">
    <w:name w:val="Predmet komentára Char1466"/>
    <w:aliases w:val="Char6 Char Char1467,Predmet komentára Char Char Char1467,Comment Subject Char Char Char1467"/>
    <w:uiPriority w:val="99"/>
    <w:semiHidden/>
    <w:rsid w:val="00A809E7"/>
    <w:rPr>
      <w:rFonts w:ascii="Courier" w:hAnsi="Courier"/>
      <w:b/>
      <w:lang w:val="x-none" w:eastAsia="cs-CZ"/>
    </w:rPr>
  </w:style>
  <w:style w:type="character" w:customStyle="1" w:styleId="PredmetkomentraChar1465">
    <w:name w:val="Predmet komentára Char1465"/>
    <w:aliases w:val="Char6 Char Char1466,Predmet komentára Char Char Char1466,Comment Subject Char Char Char1466"/>
    <w:uiPriority w:val="99"/>
    <w:semiHidden/>
    <w:rsid w:val="00A809E7"/>
    <w:rPr>
      <w:rFonts w:ascii="Courier" w:hAnsi="Courier"/>
      <w:b/>
      <w:lang w:val="x-none" w:eastAsia="cs-CZ"/>
    </w:rPr>
  </w:style>
  <w:style w:type="character" w:customStyle="1" w:styleId="PredmetkomentraChar1464">
    <w:name w:val="Predmet komentára Char1464"/>
    <w:aliases w:val="Char6 Char Char1465,Predmet komentára Char Char Char1465,Comment Subject Char Char Char1465"/>
    <w:uiPriority w:val="99"/>
    <w:semiHidden/>
    <w:rsid w:val="00A809E7"/>
    <w:rPr>
      <w:rFonts w:ascii="Courier" w:hAnsi="Courier"/>
      <w:b/>
      <w:lang w:val="x-none" w:eastAsia="cs-CZ"/>
    </w:rPr>
  </w:style>
  <w:style w:type="character" w:customStyle="1" w:styleId="PredmetkomentraChar1463">
    <w:name w:val="Predmet komentára Char1463"/>
    <w:aliases w:val="Char6 Char Char1464,Predmet komentára Char Char Char1464,Comment Subject Char Char Char1464"/>
    <w:uiPriority w:val="99"/>
    <w:semiHidden/>
    <w:rsid w:val="00A809E7"/>
    <w:rPr>
      <w:rFonts w:ascii="Courier" w:hAnsi="Courier"/>
      <w:b/>
      <w:lang w:val="x-none" w:eastAsia="cs-CZ"/>
    </w:rPr>
  </w:style>
  <w:style w:type="character" w:customStyle="1" w:styleId="PredmetkomentraChar1462">
    <w:name w:val="Predmet komentára Char1462"/>
    <w:aliases w:val="Char6 Char Char1463,Predmet komentára Char Char Char1463,Comment Subject Char Char Char1463"/>
    <w:uiPriority w:val="99"/>
    <w:semiHidden/>
    <w:rsid w:val="00A809E7"/>
    <w:rPr>
      <w:rFonts w:ascii="Courier" w:hAnsi="Courier"/>
      <w:b/>
      <w:lang w:val="x-none" w:eastAsia="cs-CZ"/>
    </w:rPr>
  </w:style>
  <w:style w:type="character" w:customStyle="1" w:styleId="PredmetkomentraChar1461">
    <w:name w:val="Predmet komentára Char1461"/>
    <w:aliases w:val="Char6 Char Char1462,Predmet komentára Char Char Char1462,Comment Subject Char Char Char1462"/>
    <w:uiPriority w:val="99"/>
    <w:semiHidden/>
    <w:rsid w:val="00A809E7"/>
    <w:rPr>
      <w:rFonts w:ascii="Courier" w:hAnsi="Courier"/>
      <w:b/>
      <w:lang w:val="x-none" w:eastAsia="cs-CZ"/>
    </w:rPr>
  </w:style>
  <w:style w:type="character" w:customStyle="1" w:styleId="PredmetkomentraChar1460">
    <w:name w:val="Predmet komentára Char1460"/>
    <w:aliases w:val="Char6 Char Char1461,Predmet komentára Char Char Char1461,Comment Subject Char Char Char1461"/>
    <w:uiPriority w:val="99"/>
    <w:semiHidden/>
    <w:rsid w:val="00A809E7"/>
    <w:rPr>
      <w:rFonts w:ascii="Courier" w:hAnsi="Courier"/>
      <w:b/>
      <w:lang w:val="x-none" w:eastAsia="cs-CZ"/>
    </w:rPr>
  </w:style>
  <w:style w:type="character" w:customStyle="1" w:styleId="PredmetkomentraChar1459">
    <w:name w:val="Predmet komentára Char1459"/>
    <w:aliases w:val="Char6 Char Char1460,Predmet komentára Char Char Char1460,Comment Subject Char Char Char1460"/>
    <w:uiPriority w:val="99"/>
    <w:semiHidden/>
    <w:rsid w:val="00A809E7"/>
    <w:rPr>
      <w:rFonts w:ascii="Courier" w:hAnsi="Courier"/>
      <w:b/>
      <w:lang w:val="x-none" w:eastAsia="cs-CZ"/>
    </w:rPr>
  </w:style>
  <w:style w:type="character" w:customStyle="1" w:styleId="PredmetkomentraChar1458">
    <w:name w:val="Predmet komentára Char1458"/>
    <w:aliases w:val="Char6 Char Char1459,Predmet komentára Char Char Char1459,Comment Subject Char Char Char1459"/>
    <w:uiPriority w:val="99"/>
    <w:semiHidden/>
    <w:rsid w:val="00A809E7"/>
    <w:rPr>
      <w:rFonts w:ascii="Courier" w:hAnsi="Courier"/>
      <w:b/>
      <w:lang w:val="x-none" w:eastAsia="cs-CZ"/>
    </w:rPr>
  </w:style>
  <w:style w:type="character" w:customStyle="1" w:styleId="PredmetkomentraChar1457">
    <w:name w:val="Predmet komentára Char1457"/>
    <w:aliases w:val="Char6 Char Char1458,Predmet komentára Char Char Char1458,Comment Subject Char Char Char1458"/>
    <w:uiPriority w:val="99"/>
    <w:semiHidden/>
    <w:rsid w:val="00A809E7"/>
    <w:rPr>
      <w:rFonts w:ascii="Courier" w:hAnsi="Courier"/>
      <w:b/>
      <w:lang w:val="x-none" w:eastAsia="cs-CZ"/>
    </w:rPr>
  </w:style>
  <w:style w:type="character" w:customStyle="1" w:styleId="PredmetkomentraChar1456">
    <w:name w:val="Predmet komentára Char1456"/>
    <w:aliases w:val="Char6 Char Char1457,Predmet komentára Char Char Char1457,Comment Subject Char Char Char1457"/>
    <w:uiPriority w:val="99"/>
    <w:semiHidden/>
    <w:rsid w:val="00A809E7"/>
    <w:rPr>
      <w:rFonts w:ascii="Courier" w:hAnsi="Courier"/>
      <w:b/>
      <w:lang w:val="x-none" w:eastAsia="cs-CZ"/>
    </w:rPr>
  </w:style>
  <w:style w:type="character" w:customStyle="1" w:styleId="PredmetkomentraChar1455">
    <w:name w:val="Predmet komentára Char1455"/>
    <w:aliases w:val="Char6 Char Char1456,Predmet komentára Char Char Char1456,Comment Subject Char Char Char1456"/>
    <w:uiPriority w:val="99"/>
    <w:semiHidden/>
    <w:rsid w:val="00A809E7"/>
    <w:rPr>
      <w:rFonts w:ascii="Courier" w:hAnsi="Courier"/>
      <w:b/>
      <w:lang w:val="x-none" w:eastAsia="cs-CZ"/>
    </w:rPr>
  </w:style>
  <w:style w:type="character" w:customStyle="1" w:styleId="PredmetkomentraChar1454">
    <w:name w:val="Predmet komentára Char1454"/>
    <w:aliases w:val="Char6 Char Char1455,Predmet komentára Char Char Char1455,Comment Subject Char Char Char1455"/>
    <w:uiPriority w:val="99"/>
    <w:semiHidden/>
    <w:rsid w:val="00A809E7"/>
    <w:rPr>
      <w:rFonts w:ascii="Courier" w:hAnsi="Courier"/>
      <w:b/>
      <w:lang w:val="x-none" w:eastAsia="cs-CZ"/>
    </w:rPr>
  </w:style>
  <w:style w:type="character" w:customStyle="1" w:styleId="PredmetkomentraChar1453">
    <w:name w:val="Predmet komentára Char1453"/>
    <w:aliases w:val="Char6 Char Char1454,Predmet komentára Char Char Char1454,Comment Subject Char Char Char1454"/>
    <w:uiPriority w:val="99"/>
    <w:semiHidden/>
    <w:rsid w:val="00A809E7"/>
    <w:rPr>
      <w:rFonts w:ascii="Courier" w:hAnsi="Courier"/>
      <w:b/>
      <w:lang w:val="x-none" w:eastAsia="cs-CZ"/>
    </w:rPr>
  </w:style>
  <w:style w:type="character" w:customStyle="1" w:styleId="PredmetkomentraChar1452">
    <w:name w:val="Predmet komentára Char1452"/>
    <w:aliases w:val="Char6 Char Char1453,Predmet komentára Char Char Char1453,Comment Subject Char Char Char1453"/>
    <w:uiPriority w:val="99"/>
    <w:semiHidden/>
    <w:rsid w:val="00A809E7"/>
    <w:rPr>
      <w:rFonts w:ascii="Courier" w:hAnsi="Courier"/>
      <w:b/>
      <w:lang w:val="x-none" w:eastAsia="cs-CZ"/>
    </w:rPr>
  </w:style>
  <w:style w:type="character" w:customStyle="1" w:styleId="PredmetkomentraChar1451">
    <w:name w:val="Predmet komentára Char1451"/>
    <w:aliases w:val="Char6 Char Char1452,Predmet komentára Char Char Char1452,Comment Subject Char Char Char1452"/>
    <w:uiPriority w:val="99"/>
    <w:semiHidden/>
    <w:rsid w:val="00A809E7"/>
    <w:rPr>
      <w:rFonts w:ascii="Courier" w:hAnsi="Courier"/>
      <w:b/>
      <w:lang w:val="x-none" w:eastAsia="cs-CZ"/>
    </w:rPr>
  </w:style>
  <w:style w:type="character" w:customStyle="1" w:styleId="PredmetkomentraChar1450">
    <w:name w:val="Predmet komentára Char1450"/>
    <w:aliases w:val="Char6 Char Char1451,Predmet komentára Char Char Char1451,Comment Subject Char Char Char1451"/>
    <w:uiPriority w:val="99"/>
    <w:semiHidden/>
    <w:rsid w:val="00A809E7"/>
    <w:rPr>
      <w:rFonts w:ascii="Courier" w:hAnsi="Courier"/>
      <w:b/>
      <w:lang w:val="x-none" w:eastAsia="cs-CZ"/>
    </w:rPr>
  </w:style>
  <w:style w:type="character" w:customStyle="1" w:styleId="PredmetkomentraChar1449">
    <w:name w:val="Predmet komentára Char1449"/>
    <w:aliases w:val="Char6 Char Char1450,Predmet komentára Char Char Char1450,Comment Subject Char Char Char1450"/>
    <w:uiPriority w:val="99"/>
    <w:semiHidden/>
    <w:rsid w:val="00A809E7"/>
    <w:rPr>
      <w:rFonts w:ascii="Courier" w:hAnsi="Courier"/>
      <w:b/>
      <w:lang w:val="x-none" w:eastAsia="cs-CZ"/>
    </w:rPr>
  </w:style>
  <w:style w:type="character" w:customStyle="1" w:styleId="PredmetkomentraChar1448">
    <w:name w:val="Predmet komentára Char1448"/>
    <w:aliases w:val="Char6 Char Char1449,Predmet komentára Char Char Char1449,Comment Subject Char Char Char1449"/>
    <w:uiPriority w:val="99"/>
    <w:semiHidden/>
    <w:rsid w:val="00A809E7"/>
    <w:rPr>
      <w:rFonts w:ascii="Courier" w:hAnsi="Courier"/>
      <w:b/>
      <w:lang w:val="x-none" w:eastAsia="cs-CZ"/>
    </w:rPr>
  </w:style>
  <w:style w:type="character" w:customStyle="1" w:styleId="PredmetkomentraChar1447">
    <w:name w:val="Predmet komentára Char1447"/>
    <w:aliases w:val="Char6 Char Char1448,Predmet komentára Char Char Char1448,Comment Subject Char Char Char1448"/>
    <w:uiPriority w:val="99"/>
    <w:semiHidden/>
    <w:rsid w:val="00A809E7"/>
    <w:rPr>
      <w:rFonts w:ascii="Courier" w:hAnsi="Courier"/>
      <w:b/>
      <w:lang w:val="x-none" w:eastAsia="cs-CZ"/>
    </w:rPr>
  </w:style>
  <w:style w:type="character" w:customStyle="1" w:styleId="PredmetkomentraChar1446">
    <w:name w:val="Predmet komentára Char1446"/>
    <w:aliases w:val="Char6 Char Char1447,Predmet komentára Char Char Char1447,Comment Subject Char Char Char1447"/>
    <w:uiPriority w:val="99"/>
    <w:semiHidden/>
    <w:rsid w:val="00A809E7"/>
    <w:rPr>
      <w:rFonts w:ascii="Courier" w:hAnsi="Courier"/>
      <w:b/>
      <w:lang w:val="x-none" w:eastAsia="cs-CZ"/>
    </w:rPr>
  </w:style>
  <w:style w:type="character" w:customStyle="1" w:styleId="PredmetkomentraChar1445">
    <w:name w:val="Predmet komentára Char1445"/>
    <w:aliases w:val="Char6 Char Char1446,Predmet komentára Char Char Char1446,Comment Subject Char Char Char1446"/>
    <w:uiPriority w:val="99"/>
    <w:semiHidden/>
    <w:rsid w:val="00A809E7"/>
    <w:rPr>
      <w:rFonts w:ascii="Courier" w:hAnsi="Courier"/>
      <w:b/>
      <w:lang w:val="x-none" w:eastAsia="cs-CZ"/>
    </w:rPr>
  </w:style>
  <w:style w:type="character" w:customStyle="1" w:styleId="PredmetkomentraChar1444">
    <w:name w:val="Predmet komentára Char1444"/>
    <w:aliases w:val="Char6 Char Char1445,Predmet komentára Char Char Char1445,Comment Subject Char Char Char1445"/>
    <w:uiPriority w:val="99"/>
    <w:semiHidden/>
    <w:rsid w:val="00A809E7"/>
    <w:rPr>
      <w:rFonts w:ascii="Courier" w:hAnsi="Courier"/>
      <w:b/>
      <w:lang w:val="x-none" w:eastAsia="cs-CZ"/>
    </w:rPr>
  </w:style>
  <w:style w:type="character" w:customStyle="1" w:styleId="PredmetkomentraChar1443">
    <w:name w:val="Predmet komentára Char1443"/>
    <w:aliases w:val="Char6 Char Char1444,Predmet komentára Char Char Char1444,Comment Subject Char Char Char1444"/>
    <w:uiPriority w:val="99"/>
    <w:semiHidden/>
    <w:rsid w:val="00A809E7"/>
    <w:rPr>
      <w:rFonts w:ascii="Courier" w:hAnsi="Courier"/>
      <w:b/>
      <w:lang w:val="x-none" w:eastAsia="cs-CZ"/>
    </w:rPr>
  </w:style>
  <w:style w:type="character" w:customStyle="1" w:styleId="PredmetkomentraChar1442">
    <w:name w:val="Predmet komentára Char1442"/>
    <w:aliases w:val="Char6 Char Char1443,Predmet komentára Char Char Char1443,Comment Subject Char Char Char1443"/>
    <w:uiPriority w:val="99"/>
    <w:semiHidden/>
    <w:rsid w:val="00A809E7"/>
    <w:rPr>
      <w:rFonts w:ascii="Courier" w:hAnsi="Courier"/>
      <w:b/>
      <w:lang w:val="x-none" w:eastAsia="cs-CZ"/>
    </w:rPr>
  </w:style>
  <w:style w:type="character" w:customStyle="1" w:styleId="PredmetkomentraChar1441">
    <w:name w:val="Predmet komentára Char1441"/>
    <w:aliases w:val="Char6 Char Char1442,Predmet komentára Char Char Char1442,Comment Subject Char Char Char1442"/>
    <w:uiPriority w:val="99"/>
    <w:semiHidden/>
    <w:rsid w:val="00A809E7"/>
    <w:rPr>
      <w:rFonts w:ascii="Courier" w:hAnsi="Courier"/>
      <w:b/>
      <w:lang w:val="x-none" w:eastAsia="cs-CZ"/>
    </w:rPr>
  </w:style>
  <w:style w:type="character" w:customStyle="1" w:styleId="PredmetkomentraChar1440">
    <w:name w:val="Predmet komentára Char1440"/>
    <w:aliases w:val="Char6 Char Char1441,Predmet komentára Char Char Char1441,Comment Subject Char Char Char1441"/>
    <w:uiPriority w:val="99"/>
    <w:semiHidden/>
    <w:rsid w:val="00A809E7"/>
    <w:rPr>
      <w:rFonts w:ascii="Courier" w:hAnsi="Courier"/>
      <w:b/>
      <w:lang w:val="x-none" w:eastAsia="cs-CZ"/>
    </w:rPr>
  </w:style>
  <w:style w:type="character" w:customStyle="1" w:styleId="PredmetkomentraChar1439">
    <w:name w:val="Predmet komentára Char1439"/>
    <w:aliases w:val="Char6 Char Char1440,Predmet komentára Char Char Char1440,Comment Subject Char Char Char1440"/>
    <w:uiPriority w:val="99"/>
    <w:semiHidden/>
    <w:rsid w:val="00A809E7"/>
    <w:rPr>
      <w:rFonts w:ascii="Courier" w:hAnsi="Courier"/>
      <w:b/>
      <w:lang w:val="x-none" w:eastAsia="cs-CZ"/>
    </w:rPr>
  </w:style>
  <w:style w:type="character" w:customStyle="1" w:styleId="PredmetkomentraChar1438">
    <w:name w:val="Predmet komentára Char1438"/>
    <w:aliases w:val="Char6 Char Char1439,Predmet komentára Char Char Char1439,Comment Subject Char Char Char1439"/>
    <w:uiPriority w:val="99"/>
    <w:semiHidden/>
    <w:rsid w:val="00A809E7"/>
    <w:rPr>
      <w:rFonts w:ascii="Courier" w:hAnsi="Courier"/>
      <w:b/>
      <w:lang w:val="x-none" w:eastAsia="cs-CZ"/>
    </w:rPr>
  </w:style>
  <w:style w:type="character" w:customStyle="1" w:styleId="PredmetkomentraChar1437">
    <w:name w:val="Predmet komentára Char1437"/>
    <w:aliases w:val="Char6 Char Char1438,Predmet komentára Char Char Char1438,Comment Subject Char Char Char1438"/>
    <w:uiPriority w:val="99"/>
    <w:semiHidden/>
    <w:rsid w:val="00A809E7"/>
    <w:rPr>
      <w:rFonts w:ascii="Courier" w:hAnsi="Courier"/>
      <w:b/>
      <w:lang w:val="x-none" w:eastAsia="cs-CZ"/>
    </w:rPr>
  </w:style>
  <w:style w:type="character" w:customStyle="1" w:styleId="PredmetkomentraChar1436">
    <w:name w:val="Predmet komentára Char1436"/>
    <w:aliases w:val="Char6 Char Char1437,Predmet komentára Char Char Char1437,Comment Subject Char Char Char1437"/>
    <w:uiPriority w:val="99"/>
    <w:semiHidden/>
    <w:rsid w:val="00A809E7"/>
    <w:rPr>
      <w:rFonts w:ascii="Courier" w:hAnsi="Courier"/>
      <w:b/>
      <w:lang w:val="x-none" w:eastAsia="cs-CZ"/>
    </w:rPr>
  </w:style>
  <w:style w:type="character" w:customStyle="1" w:styleId="PredmetkomentraChar1435">
    <w:name w:val="Predmet komentára Char1435"/>
    <w:aliases w:val="Char6 Char Char1436,Predmet komentára Char Char Char1436,Comment Subject Char Char Char1436"/>
    <w:uiPriority w:val="99"/>
    <w:semiHidden/>
    <w:rsid w:val="00A809E7"/>
    <w:rPr>
      <w:rFonts w:ascii="Courier" w:hAnsi="Courier"/>
      <w:b/>
      <w:lang w:val="x-none" w:eastAsia="cs-CZ"/>
    </w:rPr>
  </w:style>
  <w:style w:type="character" w:customStyle="1" w:styleId="PredmetkomentraChar1434">
    <w:name w:val="Predmet komentára Char1434"/>
    <w:aliases w:val="Char6 Char Char1435,Predmet komentára Char Char Char1435,Comment Subject Char Char Char1435"/>
    <w:uiPriority w:val="99"/>
    <w:semiHidden/>
    <w:rsid w:val="00A809E7"/>
    <w:rPr>
      <w:rFonts w:ascii="Courier" w:hAnsi="Courier"/>
      <w:b/>
      <w:lang w:val="x-none" w:eastAsia="cs-CZ"/>
    </w:rPr>
  </w:style>
  <w:style w:type="character" w:customStyle="1" w:styleId="PredmetkomentraChar1433">
    <w:name w:val="Predmet komentára Char1433"/>
    <w:aliases w:val="Char6 Char Char1434,Predmet komentára Char Char Char1434,Comment Subject Char Char Char1434"/>
    <w:uiPriority w:val="99"/>
    <w:semiHidden/>
    <w:rsid w:val="00A809E7"/>
    <w:rPr>
      <w:rFonts w:ascii="Courier" w:hAnsi="Courier"/>
      <w:b/>
      <w:lang w:val="x-none" w:eastAsia="cs-CZ"/>
    </w:rPr>
  </w:style>
  <w:style w:type="character" w:customStyle="1" w:styleId="PredmetkomentraChar1432">
    <w:name w:val="Predmet komentára Char1432"/>
    <w:aliases w:val="Char6 Char Char1433,Predmet komentára Char Char Char1433,Comment Subject Char Char Char1433"/>
    <w:uiPriority w:val="99"/>
    <w:semiHidden/>
    <w:rsid w:val="00A809E7"/>
    <w:rPr>
      <w:rFonts w:ascii="Courier" w:hAnsi="Courier"/>
      <w:b/>
      <w:lang w:val="x-none" w:eastAsia="cs-CZ"/>
    </w:rPr>
  </w:style>
  <w:style w:type="character" w:customStyle="1" w:styleId="PredmetkomentraChar1431">
    <w:name w:val="Predmet komentára Char1431"/>
    <w:aliases w:val="Char6 Char Char1432,Predmet komentára Char Char Char1432,Comment Subject Char Char Char1432"/>
    <w:uiPriority w:val="99"/>
    <w:semiHidden/>
    <w:rsid w:val="00A809E7"/>
    <w:rPr>
      <w:rFonts w:ascii="Courier" w:hAnsi="Courier"/>
      <w:b/>
      <w:lang w:val="x-none" w:eastAsia="cs-CZ"/>
    </w:rPr>
  </w:style>
  <w:style w:type="character" w:customStyle="1" w:styleId="PredmetkomentraChar1430">
    <w:name w:val="Predmet komentára Char1430"/>
    <w:aliases w:val="Char6 Char Char1431,Predmet komentára Char Char Char1431,Comment Subject Char Char Char1431"/>
    <w:uiPriority w:val="99"/>
    <w:semiHidden/>
    <w:rsid w:val="00A809E7"/>
    <w:rPr>
      <w:rFonts w:ascii="Courier" w:hAnsi="Courier"/>
      <w:b/>
      <w:lang w:val="x-none" w:eastAsia="cs-CZ"/>
    </w:rPr>
  </w:style>
  <w:style w:type="character" w:customStyle="1" w:styleId="PredmetkomentraChar1429">
    <w:name w:val="Predmet komentára Char1429"/>
    <w:aliases w:val="Char6 Char Char1430,Predmet komentára Char Char Char1430,Comment Subject Char Char Char1430"/>
    <w:uiPriority w:val="99"/>
    <w:semiHidden/>
    <w:rsid w:val="00A809E7"/>
    <w:rPr>
      <w:rFonts w:ascii="Courier" w:hAnsi="Courier"/>
      <w:b/>
      <w:lang w:val="x-none" w:eastAsia="cs-CZ"/>
    </w:rPr>
  </w:style>
  <w:style w:type="character" w:customStyle="1" w:styleId="PredmetkomentraChar1428">
    <w:name w:val="Predmet komentára Char1428"/>
    <w:aliases w:val="Char6 Char Char1429,Predmet komentára Char Char Char1429,Comment Subject Char Char Char1429"/>
    <w:uiPriority w:val="99"/>
    <w:semiHidden/>
    <w:rsid w:val="00A809E7"/>
    <w:rPr>
      <w:rFonts w:ascii="Courier" w:hAnsi="Courier"/>
      <w:b/>
      <w:lang w:val="x-none" w:eastAsia="cs-CZ"/>
    </w:rPr>
  </w:style>
  <w:style w:type="character" w:customStyle="1" w:styleId="PredmetkomentraChar1427">
    <w:name w:val="Predmet komentára Char1427"/>
    <w:aliases w:val="Char6 Char Char1428,Predmet komentára Char Char Char1428,Comment Subject Char Char Char1428"/>
    <w:uiPriority w:val="99"/>
    <w:semiHidden/>
    <w:rsid w:val="00A809E7"/>
    <w:rPr>
      <w:rFonts w:ascii="Courier" w:hAnsi="Courier"/>
      <w:b/>
      <w:lang w:val="x-none" w:eastAsia="cs-CZ"/>
    </w:rPr>
  </w:style>
  <w:style w:type="character" w:customStyle="1" w:styleId="PredmetkomentraChar1426">
    <w:name w:val="Predmet komentára Char1426"/>
    <w:aliases w:val="Char6 Char Char1427,Predmet komentára Char Char Char1427,Comment Subject Char Char Char1427"/>
    <w:uiPriority w:val="99"/>
    <w:semiHidden/>
    <w:rsid w:val="00A809E7"/>
    <w:rPr>
      <w:rFonts w:ascii="Courier" w:hAnsi="Courier"/>
      <w:b/>
      <w:lang w:val="x-none" w:eastAsia="cs-CZ"/>
    </w:rPr>
  </w:style>
  <w:style w:type="character" w:customStyle="1" w:styleId="PredmetkomentraChar1425">
    <w:name w:val="Predmet komentára Char1425"/>
    <w:aliases w:val="Char6 Char Char1426,Predmet komentára Char Char Char1426,Comment Subject Char Char Char1426"/>
    <w:uiPriority w:val="99"/>
    <w:semiHidden/>
    <w:rsid w:val="00A809E7"/>
    <w:rPr>
      <w:rFonts w:ascii="Courier" w:hAnsi="Courier"/>
      <w:b/>
      <w:lang w:val="x-none" w:eastAsia="cs-CZ"/>
    </w:rPr>
  </w:style>
  <w:style w:type="character" w:customStyle="1" w:styleId="PredmetkomentraChar1424">
    <w:name w:val="Predmet komentára Char1424"/>
    <w:aliases w:val="Char6 Char Char1425,Predmet komentára Char Char Char1425,Comment Subject Char Char Char1425"/>
    <w:uiPriority w:val="99"/>
    <w:semiHidden/>
    <w:rsid w:val="00A809E7"/>
    <w:rPr>
      <w:rFonts w:ascii="Courier" w:hAnsi="Courier"/>
      <w:b/>
      <w:lang w:val="x-none" w:eastAsia="cs-CZ"/>
    </w:rPr>
  </w:style>
  <w:style w:type="character" w:customStyle="1" w:styleId="PredmetkomentraChar1423">
    <w:name w:val="Predmet komentára Char1423"/>
    <w:aliases w:val="Char6 Char Char1424,Predmet komentára Char Char Char1424,Comment Subject Char Char Char1424"/>
    <w:uiPriority w:val="99"/>
    <w:semiHidden/>
    <w:rsid w:val="00A809E7"/>
    <w:rPr>
      <w:rFonts w:ascii="Courier" w:hAnsi="Courier"/>
      <w:b/>
      <w:lang w:val="x-none" w:eastAsia="cs-CZ"/>
    </w:rPr>
  </w:style>
  <w:style w:type="character" w:customStyle="1" w:styleId="PredmetkomentraChar1422">
    <w:name w:val="Predmet komentára Char1422"/>
    <w:aliases w:val="Char6 Char Char1423,Predmet komentára Char Char Char1423,Comment Subject Char Char Char1423"/>
    <w:uiPriority w:val="99"/>
    <w:semiHidden/>
    <w:rsid w:val="00A809E7"/>
    <w:rPr>
      <w:rFonts w:ascii="Courier" w:hAnsi="Courier"/>
      <w:b/>
      <w:lang w:val="x-none" w:eastAsia="cs-CZ"/>
    </w:rPr>
  </w:style>
  <w:style w:type="character" w:customStyle="1" w:styleId="PredmetkomentraChar1421">
    <w:name w:val="Predmet komentára Char1421"/>
    <w:aliases w:val="Char6 Char Char1422,Predmet komentára Char Char Char1422,Comment Subject Char Char Char1422"/>
    <w:uiPriority w:val="99"/>
    <w:semiHidden/>
    <w:rsid w:val="00A809E7"/>
    <w:rPr>
      <w:rFonts w:ascii="Courier" w:hAnsi="Courier"/>
      <w:b/>
      <w:lang w:val="x-none" w:eastAsia="cs-CZ"/>
    </w:rPr>
  </w:style>
  <w:style w:type="character" w:customStyle="1" w:styleId="PredmetkomentraChar1420">
    <w:name w:val="Predmet komentára Char1420"/>
    <w:aliases w:val="Char6 Char Char1421,Predmet komentára Char Char Char1421,Comment Subject Char Char Char1421"/>
    <w:uiPriority w:val="99"/>
    <w:semiHidden/>
    <w:rsid w:val="00A809E7"/>
    <w:rPr>
      <w:rFonts w:ascii="Courier" w:hAnsi="Courier"/>
      <w:b/>
      <w:lang w:val="x-none" w:eastAsia="cs-CZ"/>
    </w:rPr>
  </w:style>
  <w:style w:type="character" w:customStyle="1" w:styleId="PredmetkomentraChar1419">
    <w:name w:val="Predmet komentára Char1419"/>
    <w:aliases w:val="Char6 Char Char1420,Predmet komentára Char Char Char1420,Comment Subject Char Char Char1420"/>
    <w:uiPriority w:val="99"/>
    <w:semiHidden/>
    <w:rsid w:val="00A809E7"/>
    <w:rPr>
      <w:rFonts w:ascii="Courier" w:hAnsi="Courier"/>
      <w:b/>
      <w:lang w:val="x-none" w:eastAsia="cs-CZ"/>
    </w:rPr>
  </w:style>
  <w:style w:type="character" w:customStyle="1" w:styleId="PredmetkomentraChar1418">
    <w:name w:val="Predmet komentára Char1418"/>
    <w:aliases w:val="Char6 Char Char1419,Predmet komentára Char Char Char1419,Comment Subject Char Char Char1419"/>
    <w:uiPriority w:val="99"/>
    <w:semiHidden/>
    <w:rsid w:val="00A809E7"/>
    <w:rPr>
      <w:rFonts w:ascii="Courier" w:hAnsi="Courier"/>
      <w:b/>
      <w:lang w:val="x-none" w:eastAsia="cs-CZ"/>
    </w:rPr>
  </w:style>
  <w:style w:type="character" w:customStyle="1" w:styleId="PredmetkomentraChar1417">
    <w:name w:val="Predmet komentára Char1417"/>
    <w:aliases w:val="Char6 Char Char1418,Predmet komentára Char Char Char1418,Comment Subject Char Char Char1418"/>
    <w:uiPriority w:val="99"/>
    <w:semiHidden/>
    <w:rsid w:val="00A809E7"/>
    <w:rPr>
      <w:rFonts w:ascii="Courier" w:hAnsi="Courier"/>
      <w:b/>
      <w:lang w:val="x-none" w:eastAsia="cs-CZ"/>
    </w:rPr>
  </w:style>
  <w:style w:type="character" w:customStyle="1" w:styleId="PredmetkomentraChar1416">
    <w:name w:val="Predmet komentára Char1416"/>
    <w:aliases w:val="Char6 Char Char1417,Predmet komentára Char Char Char1417,Comment Subject Char Char Char1417"/>
    <w:uiPriority w:val="99"/>
    <w:semiHidden/>
    <w:rsid w:val="00A809E7"/>
    <w:rPr>
      <w:rFonts w:ascii="Courier" w:hAnsi="Courier"/>
      <w:b/>
      <w:lang w:val="x-none" w:eastAsia="cs-CZ"/>
    </w:rPr>
  </w:style>
  <w:style w:type="character" w:customStyle="1" w:styleId="PredmetkomentraChar1415">
    <w:name w:val="Predmet komentára Char1415"/>
    <w:aliases w:val="Char6 Char Char1416,Predmet komentára Char Char Char1416,Comment Subject Char Char Char1416"/>
    <w:uiPriority w:val="99"/>
    <w:semiHidden/>
    <w:rsid w:val="00A809E7"/>
    <w:rPr>
      <w:rFonts w:ascii="Courier" w:hAnsi="Courier"/>
      <w:b/>
      <w:lang w:val="x-none" w:eastAsia="cs-CZ"/>
    </w:rPr>
  </w:style>
  <w:style w:type="character" w:customStyle="1" w:styleId="PredmetkomentraChar1414">
    <w:name w:val="Predmet komentára Char1414"/>
    <w:aliases w:val="Char6 Char Char1415,Predmet komentára Char Char Char1415,Comment Subject Char Char Char1415"/>
    <w:uiPriority w:val="99"/>
    <w:semiHidden/>
    <w:rsid w:val="00A809E7"/>
    <w:rPr>
      <w:rFonts w:ascii="Courier" w:hAnsi="Courier"/>
      <w:b/>
      <w:lang w:val="x-none" w:eastAsia="cs-CZ"/>
    </w:rPr>
  </w:style>
  <w:style w:type="character" w:customStyle="1" w:styleId="PredmetkomentraChar1413">
    <w:name w:val="Predmet komentára Char1413"/>
    <w:aliases w:val="Char6 Char Char1414,Predmet komentára Char Char Char1414,Comment Subject Char Char Char1414"/>
    <w:uiPriority w:val="99"/>
    <w:semiHidden/>
    <w:rsid w:val="00A809E7"/>
    <w:rPr>
      <w:rFonts w:ascii="Courier" w:hAnsi="Courier"/>
      <w:b/>
      <w:lang w:val="x-none" w:eastAsia="cs-CZ"/>
    </w:rPr>
  </w:style>
  <w:style w:type="character" w:customStyle="1" w:styleId="PredmetkomentraChar1412">
    <w:name w:val="Predmet komentára Char1412"/>
    <w:aliases w:val="Char6 Char Char1413,Predmet komentára Char Char Char1413,Comment Subject Char Char Char1413"/>
    <w:uiPriority w:val="99"/>
    <w:semiHidden/>
    <w:rsid w:val="00A809E7"/>
    <w:rPr>
      <w:rFonts w:ascii="Courier" w:hAnsi="Courier"/>
      <w:b/>
      <w:lang w:val="x-none" w:eastAsia="cs-CZ"/>
    </w:rPr>
  </w:style>
  <w:style w:type="character" w:customStyle="1" w:styleId="PredmetkomentraChar1411">
    <w:name w:val="Predmet komentára Char1411"/>
    <w:aliases w:val="Char6 Char Char1412,Predmet komentára Char Char Char1412,Comment Subject Char Char Char1412"/>
    <w:uiPriority w:val="99"/>
    <w:semiHidden/>
    <w:rsid w:val="00A809E7"/>
    <w:rPr>
      <w:rFonts w:ascii="Courier" w:hAnsi="Courier"/>
      <w:b/>
      <w:lang w:val="x-none" w:eastAsia="cs-CZ"/>
    </w:rPr>
  </w:style>
  <w:style w:type="character" w:customStyle="1" w:styleId="PredmetkomentraChar1410">
    <w:name w:val="Predmet komentára Char1410"/>
    <w:aliases w:val="Char6 Char Char1411,Predmet komentára Char Char Char1411,Comment Subject Char Char Char1411"/>
    <w:uiPriority w:val="99"/>
    <w:semiHidden/>
    <w:rsid w:val="00A809E7"/>
    <w:rPr>
      <w:rFonts w:ascii="Courier" w:hAnsi="Courier"/>
      <w:b/>
      <w:lang w:val="x-none" w:eastAsia="cs-CZ"/>
    </w:rPr>
  </w:style>
  <w:style w:type="character" w:customStyle="1" w:styleId="PredmetkomentraChar1409">
    <w:name w:val="Predmet komentára Char1409"/>
    <w:aliases w:val="Char6 Char Char1410,Predmet komentára Char Char Char1410,Comment Subject Char Char Char1410"/>
    <w:uiPriority w:val="99"/>
    <w:semiHidden/>
    <w:rsid w:val="00A809E7"/>
    <w:rPr>
      <w:rFonts w:ascii="Courier" w:hAnsi="Courier"/>
      <w:b/>
      <w:lang w:val="x-none" w:eastAsia="cs-CZ"/>
    </w:rPr>
  </w:style>
  <w:style w:type="character" w:customStyle="1" w:styleId="PredmetkomentraChar1408">
    <w:name w:val="Predmet komentára Char1408"/>
    <w:aliases w:val="Char6 Char Char1409,Predmet komentára Char Char Char1409,Comment Subject Char Char Char1409"/>
    <w:uiPriority w:val="99"/>
    <w:semiHidden/>
    <w:rsid w:val="00A809E7"/>
    <w:rPr>
      <w:rFonts w:ascii="Courier" w:hAnsi="Courier"/>
      <w:b/>
      <w:lang w:val="x-none" w:eastAsia="cs-CZ"/>
    </w:rPr>
  </w:style>
  <w:style w:type="character" w:customStyle="1" w:styleId="PredmetkomentraChar1407">
    <w:name w:val="Predmet komentára Char1407"/>
    <w:aliases w:val="Char6 Char Char1408,Predmet komentára Char Char Char1408,Comment Subject Char Char Char1408"/>
    <w:uiPriority w:val="99"/>
    <w:semiHidden/>
    <w:rsid w:val="00A809E7"/>
    <w:rPr>
      <w:rFonts w:ascii="Courier" w:hAnsi="Courier"/>
      <w:b/>
      <w:lang w:val="x-none" w:eastAsia="cs-CZ"/>
    </w:rPr>
  </w:style>
  <w:style w:type="character" w:customStyle="1" w:styleId="PredmetkomentraChar1406">
    <w:name w:val="Predmet komentára Char1406"/>
    <w:aliases w:val="Char6 Char Char1407,Predmet komentára Char Char Char1407,Comment Subject Char Char Char1407"/>
    <w:uiPriority w:val="99"/>
    <w:semiHidden/>
    <w:rsid w:val="00A809E7"/>
    <w:rPr>
      <w:rFonts w:ascii="Courier" w:hAnsi="Courier"/>
      <w:b/>
      <w:lang w:val="x-none" w:eastAsia="cs-CZ"/>
    </w:rPr>
  </w:style>
  <w:style w:type="character" w:customStyle="1" w:styleId="PredmetkomentraChar1405">
    <w:name w:val="Predmet komentára Char1405"/>
    <w:aliases w:val="Char6 Char Char1406,Predmet komentára Char Char Char1406,Comment Subject Char Char Char1406"/>
    <w:uiPriority w:val="99"/>
    <w:semiHidden/>
    <w:rsid w:val="00A809E7"/>
    <w:rPr>
      <w:rFonts w:ascii="Courier" w:hAnsi="Courier"/>
      <w:b/>
      <w:lang w:val="x-none" w:eastAsia="cs-CZ"/>
    </w:rPr>
  </w:style>
  <w:style w:type="character" w:customStyle="1" w:styleId="PredmetkomentraChar1404">
    <w:name w:val="Predmet komentára Char1404"/>
    <w:aliases w:val="Char6 Char Char1405,Predmet komentára Char Char Char1405,Comment Subject Char Char Char1405"/>
    <w:uiPriority w:val="99"/>
    <w:semiHidden/>
    <w:rsid w:val="00A809E7"/>
    <w:rPr>
      <w:rFonts w:ascii="Courier" w:hAnsi="Courier"/>
      <w:b/>
      <w:lang w:val="x-none" w:eastAsia="cs-CZ"/>
    </w:rPr>
  </w:style>
  <w:style w:type="character" w:customStyle="1" w:styleId="PredmetkomentraChar1403">
    <w:name w:val="Predmet komentára Char1403"/>
    <w:aliases w:val="Char6 Char Char1404,Predmet komentára Char Char Char1404,Comment Subject Char Char Char1404"/>
    <w:uiPriority w:val="99"/>
    <w:semiHidden/>
    <w:rsid w:val="00A809E7"/>
    <w:rPr>
      <w:rFonts w:ascii="Courier" w:hAnsi="Courier"/>
      <w:b/>
      <w:lang w:val="x-none" w:eastAsia="cs-CZ"/>
    </w:rPr>
  </w:style>
  <w:style w:type="character" w:customStyle="1" w:styleId="PredmetkomentraChar1402">
    <w:name w:val="Predmet komentára Char1402"/>
    <w:aliases w:val="Char6 Char Char1403,Predmet komentára Char Char Char1403,Comment Subject Char Char Char1403"/>
    <w:uiPriority w:val="99"/>
    <w:semiHidden/>
    <w:rsid w:val="00A809E7"/>
    <w:rPr>
      <w:rFonts w:ascii="Courier" w:hAnsi="Courier"/>
      <w:b/>
      <w:lang w:val="x-none" w:eastAsia="cs-CZ"/>
    </w:rPr>
  </w:style>
  <w:style w:type="character" w:customStyle="1" w:styleId="PredmetkomentraChar1401">
    <w:name w:val="Predmet komentára Char1401"/>
    <w:aliases w:val="Char6 Char Char1402,Predmet komentára Char Char Char1402,Comment Subject Char Char Char1402"/>
    <w:uiPriority w:val="99"/>
    <w:semiHidden/>
    <w:rsid w:val="00A809E7"/>
    <w:rPr>
      <w:rFonts w:ascii="Courier" w:hAnsi="Courier"/>
      <w:b/>
      <w:lang w:val="x-none" w:eastAsia="cs-CZ"/>
    </w:rPr>
  </w:style>
  <w:style w:type="character" w:customStyle="1" w:styleId="PredmetkomentraChar1400">
    <w:name w:val="Predmet komentára Char1400"/>
    <w:aliases w:val="Char6 Char Char1401,Predmet komentára Char Char Char1401,Comment Subject Char Char Char1401"/>
    <w:uiPriority w:val="99"/>
    <w:semiHidden/>
    <w:rsid w:val="00A809E7"/>
    <w:rPr>
      <w:rFonts w:ascii="Courier" w:hAnsi="Courier"/>
      <w:b/>
      <w:lang w:val="x-none" w:eastAsia="cs-CZ"/>
    </w:rPr>
  </w:style>
  <w:style w:type="character" w:customStyle="1" w:styleId="PredmetkomentraChar1399">
    <w:name w:val="Predmet komentára Char1399"/>
    <w:aliases w:val="Char6 Char Char1400,Predmet komentára Char Char Char1400,Comment Subject Char Char Char1400"/>
    <w:uiPriority w:val="99"/>
    <w:semiHidden/>
    <w:rsid w:val="00A809E7"/>
    <w:rPr>
      <w:rFonts w:ascii="Courier" w:hAnsi="Courier"/>
      <w:b/>
      <w:lang w:val="x-none" w:eastAsia="cs-CZ"/>
    </w:rPr>
  </w:style>
  <w:style w:type="character" w:customStyle="1" w:styleId="PredmetkomentraChar1398">
    <w:name w:val="Predmet komentára Char1398"/>
    <w:aliases w:val="Char6 Char Char1399,Predmet komentára Char Char Char1399,Comment Subject Char Char Char1399"/>
    <w:uiPriority w:val="99"/>
    <w:semiHidden/>
    <w:rsid w:val="00A809E7"/>
    <w:rPr>
      <w:rFonts w:ascii="Courier" w:hAnsi="Courier"/>
      <w:b/>
      <w:lang w:val="x-none" w:eastAsia="cs-CZ"/>
    </w:rPr>
  </w:style>
  <w:style w:type="character" w:customStyle="1" w:styleId="PredmetkomentraChar1397">
    <w:name w:val="Predmet komentára Char1397"/>
    <w:aliases w:val="Char6 Char Char1398,Predmet komentára Char Char Char1398,Comment Subject Char Char Char1398"/>
    <w:uiPriority w:val="99"/>
    <w:semiHidden/>
    <w:rsid w:val="00A809E7"/>
    <w:rPr>
      <w:rFonts w:ascii="Courier" w:hAnsi="Courier"/>
      <w:b/>
      <w:lang w:val="x-none" w:eastAsia="cs-CZ"/>
    </w:rPr>
  </w:style>
  <w:style w:type="character" w:customStyle="1" w:styleId="PredmetkomentraChar1396">
    <w:name w:val="Predmet komentára Char1396"/>
    <w:aliases w:val="Char6 Char Char1397,Predmet komentára Char Char Char1397,Comment Subject Char Char Char1397"/>
    <w:uiPriority w:val="99"/>
    <w:semiHidden/>
    <w:rsid w:val="00A809E7"/>
    <w:rPr>
      <w:rFonts w:ascii="Courier" w:hAnsi="Courier"/>
      <w:b/>
      <w:lang w:val="x-none" w:eastAsia="cs-CZ"/>
    </w:rPr>
  </w:style>
  <w:style w:type="character" w:customStyle="1" w:styleId="PredmetkomentraChar1395">
    <w:name w:val="Predmet komentára Char1395"/>
    <w:aliases w:val="Char6 Char Char1396,Predmet komentára Char Char Char1396,Comment Subject Char Char Char1396"/>
    <w:uiPriority w:val="99"/>
    <w:semiHidden/>
    <w:rsid w:val="00A809E7"/>
    <w:rPr>
      <w:rFonts w:ascii="Courier" w:hAnsi="Courier"/>
      <w:b/>
      <w:lang w:val="x-none" w:eastAsia="cs-CZ"/>
    </w:rPr>
  </w:style>
  <w:style w:type="character" w:customStyle="1" w:styleId="PredmetkomentraChar1394">
    <w:name w:val="Predmet komentára Char1394"/>
    <w:aliases w:val="Char6 Char Char1395,Predmet komentára Char Char Char1395,Comment Subject Char Char Char1395"/>
    <w:uiPriority w:val="99"/>
    <w:semiHidden/>
    <w:rsid w:val="00A809E7"/>
    <w:rPr>
      <w:rFonts w:ascii="Courier" w:hAnsi="Courier"/>
      <w:b/>
      <w:lang w:val="x-none" w:eastAsia="cs-CZ"/>
    </w:rPr>
  </w:style>
  <w:style w:type="character" w:customStyle="1" w:styleId="PredmetkomentraChar1393">
    <w:name w:val="Predmet komentára Char1393"/>
    <w:aliases w:val="Char6 Char Char1394,Predmet komentára Char Char Char1394,Comment Subject Char Char Char1394"/>
    <w:uiPriority w:val="99"/>
    <w:semiHidden/>
    <w:rsid w:val="00A809E7"/>
    <w:rPr>
      <w:rFonts w:ascii="Courier" w:hAnsi="Courier"/>
      <w:b/>
      <w:lang w:val="x-none" w:eastAsia="cs-CZ"/>
    </w:rPr>
  </w:style>
  <w:style w:type="character" w:customStyle="1" w:styleId="PredmetkomentraChar1392">
    <w:name w:val="Predmet komentára Char1392"/>
    <w:aliases w:val="Char6 Char Char1393,Predmet komentára Char Char Char1393,Comment Subject Char Char Char1393"/>
    <w:uiPriority w:val="99"/>
    <w:semiHidden/>
    <w:rsid w:val="00A809E7"/>
    <w:rPr>
      <w:rFonts w:ascii="Courier" w:hAnsi="Courier"/>
      <w:b/>
      <w:lang w:val="x-none" w:eastAsia="cs-CZ"/>
    </w:rPr>
  </w:style>
  <w:style w:type="character" w:customStyle="1" w:styleId="PredmetkomentraChar1391">
    <w:name w:val="Predmet komentára Char1391"/>
    <w:aliases w:val="Char6 Char Char1392,Predmet komentára Char Char Char1392,Comment Subject Char Char Char1392"/>
    <w:uiPriority w:val="99"/>
    <w:semiHidden/>
    <w:rsid w:val="00A809E7"/>
    <w:rPr>
      <w:rFonts w:ascii="Courier" w:hAnsi="Courier"/>
      <w:b/>
      <w:lang w:val="x-none" w:eastAsia="cs-CZ"/>
    </w:rPr>
  </w:style>
  <w:style w:type="character" w:customStyle="1" w:styleId="PredmetkomentraChar1390">
    <w:name w:val="Predmet komentára Char1390"/>
    <w:aliases w:val="Char6 Char Char1391,Predmet komentára Char Char Char1391,Comment Subject Char Char Char1391"/>
    <w:uiPriority w:val="99"/>
    <w:semiHidden/>
    <w:rsid w:val="00A809E7"/>
    <w:rPr>
      <w:rFonts w:ascii="Courier" w:hAnsi="Courier"/>
      <w:b/>
      <w:lang w:val="x-none" w:eastAsia="cs-CZ"/>
    </w:rPr>
  </w:style>
  <w:style w:type="character" w:customStyle="1" w:styleId="PredmetkomentraChar1389">
    <w:name w:val="Predmet komentára Char1389"/>
    <w:aliases w:val="Char6 Char Char1390,Predmet komentára Char Char Char1390,Comment Subject Char Char Char1390"/>
    <w:uiPriority w:val="99"/>
    <w:semiHidden/>
    <w:rsid w:val="00A809E7"/>
    <w:rPr>
      <w:rFonts w:ascii="Courier" w:hAnsi="Courier"/>
      <w:b/>
      <w:lang w:val="x-none" w:eastAsia="cs-CZ"/>
    </w:rPr>
  </w:style>
  <w:style w:type="character" w:customStyle="1" w:styleId="PredmetkomentraChar1388">
    <w:name w:val="Predmet komentára Char1388"/>
    <w:aliases w:val="Char6 Char Char1389,Predmet komentára Char Char Char1389,Comment Subject Char Char Char1389"/>
    <w:uiPriority w:val="99"/>
    <w:semiHidden/>
    <w:rsid w:val="00A809E7"/>
    <w:rPr>
      <w:rFonts w:ascii="Courier" w:hAnsi="Courier"/>
      <w:b/>
      <w:lang w:val="x-none" w:eastAsia="cs-CZ"/>
    </w:rPr>
  </w:style>
  <w:style w:type="character" w:customStyle="1" w:styleId="PredmetkomentraChar1387">
    <w:name w:val="Predmet komentára Char1387"/>
    <w:aliases w:val="Char6 Char Char1388,Predmet komentára Char Char Char1388,Comment Subject Char Char Char1388"/>
    <w:uiPriority w:val="99"/>
    <w:semiHidden/>
    <w:rsid w:val="00A809E7"/>
    <w:rPr>
      <w:rFonts w:ascii="Courier" w:hAnsi="Courier"/>
      <w:b/>
      <w:lang w:val="x-none" w:eastAsia="cs-CZ"/>
    </w:rPr>
  </w:style>
  <w:style w:type="character" w:customStyle="1" w:styleId="PredmetkomentraChar1386">
    <w:name w:val="Predmet komentára Char1386"/>
    <w:aliases w:val="Char6 Char Char1387,Predmet komentára Char Char Char1387,Comment Subject Char Char Char1387"/>
    <w:uiPriority w:val="99"/>
    <w:semiHidden/>
    <w:rsid w:val="00A809E7"/>
    <w:rPr>
      <w:rFonts w:ascii="Courier" w:hAnsi="Courier"/>
      <w:b/>
      <w:lang w:val="x-none" w:eastAsia="cs-CZ"/>
    </w:rPr>
  </w:style>
  <w:style w:type="character" w:customStyle="1" w:styleId="PredmetkomentraChar1385">
    <w:name w:val="Predmet komentára Char1385"/>
    <w:aliases w:val="Char6 Char Char1386,Predmet komentára Char Char Char1386,Comment Subject Char Char Char1386"/>
    <w:uiPriority w:val="99"/>
    <w:semiHidden/>
    <w:rsid w:val="00A809E7"/>
    <w:rPr>
      <w:rFonts w:ascii="Courier" w:hAnsi="Courier"/>
      <w:b/>
      <w:lang w:val="x-none" w:eastAsia="cs-CZ"/>
    </w:rPr>
  </w:style>
  <w:style w:type="character" w:customStyle="1" w:styleId="PredmetkomentraChar1384">
    <w:name w:val="Predmet komentára Char1384"/>
    <w:aliases w:val="Char6 Char Char1385,Predmet komentára Char Char Char1385,Comment Subject Char Char Char1385"/>
    <w:uiPriority w:val="99"/>
    <w:semiHidden/>
    <w:rsid w:val="00A809E7"/>
    <w:rPr>
      <w:rFonts w:ascii="Courier" w:hAnsi="Courier"/>
      <w:b/>
      <w:lang w:val="x-none" w:eastAsia="cs-CZ"/>
    </w:rPr>
  </w:style>
  <w:style w:type="character" w:customStyle="1" w:styleId="PredmetkomentraChar1383">
    <w:name w:val="Predmet komentára Char1383"/>
    <w:aliases w:val="Char6 Char Char1384,Predmet komentára Char Char Char1384,Comment Subject Char Char Char1384"/>
    <w:uiPriority w:val="99"/>
    <w:semiHidden/>
    <w:rsid w:val="00A809E7"/>
    <w:rPr>
      <w:rFonts w:ascii="Courier" w:hAnsi="Courier"/>
      <w:b/>
      <w:lang w:val="x-none" w:eastAsia="cs-CZ"/>
    </w:rPr>
  </w:style>
  <w:style w:type="character" w:customStyle="1" w:styleId="PredmetkomentraChar1382">
    <w:name w:val="Predmet komentára Char1382"/>
    <w:aliases w:val="Char6 Char Char1383,Predmet komentára Char Char Char1383,Comment Subject Char Char Char1383"/>
    <w:uiPriority w:val="99"/>
    <w:semiHidden/>
    <w:rsid w:val="00A809E7"/>
    <w:rPr>
      <w:rFonts w:ascii="Courier" w:hAnsi="Courier"/>
      <w:b/>
      <w:lang w:val="x-none" w:eastAsia="cs-CZ"/>
    </w:rPr>
  </w:style>
  <w:style w:type="character" w:customStyle="1" w:styleId="PredmetkomentraChar1381">
    <w:name w:val="Predmet komentára Char1381"/>
    <w:aliases w:val="Char6 Char Char1382,Predmet komentára Char Char Char1382,Comment Subject Char Char Char1382"/>
    <w:uiPriority w:val="99"/>
    <w:semiHidden/>
    <w:rsid w:val="00A809E7"/>
    <w:rPr>
      <w:rFonts w:ascii="Courier" w:hAnsi="Courier"/>
      <w:b/>
      <w:lang w:val="x-none" w:eastAsia="cs-CZ"/>
    </w:rPr>
  </w:style>
  <w:style w:type="character" w:customStyle="1" w:styleId="PredmetkomentraChar1380">
    <w:name w:val="Predmet komentára Char1380"/>
    <w:aliases w:val="Char6 Char Char1381,Predmet komentára Char Char Char1381,Comment Subject Char Char Char1381"/>
    <w:uiPriority w:val="99"/>
    <w:semiHidden/>
    <w:rsid w:val="00A809E7"/>
    <w:rPr>
      <w:rFonts w:ascii="Courier" w:hAnsi="Courier"/>
      <w:b/>
      <w:lang w:val="x-none" w:eastAsia="cs-CZ"/>
    </w:rPr>
  </w:style>
  <w:style w:type="character" w:customStyle="1" w:styleId="PredmetkomentraChar1379">
    <w:name w:val="Predmet komentára Char1379"/>
    <w:aliases w:val="Char6 Char Char1380,Predmet komentára Char Char Char1380,Comment Subject Char Char Char1380"/>
    <w:uiPriority w:val="99"/>
    <w:semiHidden/>
    <w:rsid w:val="00A809E7"/>
    <w:rPr>
      <w:rFonts w:ascii="Courier" w:hAnsi="Courier"/>
      <w:b/>
      <w:lang w:val="x-none" w:eastAsia="cs-CZ"/>
    </w:rPr>
  </w:style>
  <w:style w:type="character" w:customStyle="1" w:styleId="PredmetkomentraChar1378">
    <w:name w:val="Predmet komentára Char1378"/>
    <w:aliases w:val="Char6 Char Char1379,Predmet komentára Char Char Char1379,Comment Subject Char Char Char1379"/>
    <w:uiPriority w:val="99"/>
    <w:semiHidden/>
    <w:rsid w:val="00A809E7"/>
    <w:rPr>
      <w:rFonts w:ascii="Courier" w:hAnsi="Courier"/>
      <w:b/>
      <w:lang w:val="x-none" w:eastAsia="cs-CZ"/>
    </w:rPr>
  </w:style>
  <w:style w:type="character" w:customStyle="1" w:styleId="PredmetkomentraChar1377">
    <w:name w:val="Predmet komentára Char1377"/>
    <w:aliases w:val="Char6 Char Char1378,Predmet komentára Char Char Char1378,Comment Subject Char Char Char1378"/>
    <w:uiPriority w:val="99"/>
    <w:semiHidden/>
    <w:rsid w:val="00A809E7"/>
    <w:rPr>
      <w:rFonts w:ascii="Courier" w:hAnsi="Courier"/>
      <w:b/>
      <w:lang w:val="x-none" w:eastAsia="cs-CZ"/>
    </w:rPr>
  </w:style>
  <w:style w:type="character" w:customStyle="1" w:styleId="PredmetkomentraChar1376">
    <w:name w:val="Predmet komentára Char1376"/>
    <w:aliases w:val="Char6 Char Char1377,Predmet komentára Char Char Char1377,Comment Subject Char Char Char1377"/>
    <w:uiPriority w:val="99"/>
    <w:semiHidden/>
    <w:rsid w:val="00A809E7"/>
    <w:rPr>
      <w:rFonts w:ascii="Courier" w:hAnsi="Courier"/>
      <w:b/>
      <w:lang w:val="x-none" w:eastAsia="cs-CZ"/>
    </w:rPr>
  </w:style>
  <w:style w:type="character" w:customStyle="1" w:styleId="PredmetkomentraChar1375">
    <w:name w:val="Predmet komentára Char1375"/>
    <w:aliases w:val="Char6 Char Char1376,Predmet komentára Char Char Char1376,Comment Subject Char Char Char1376"/>
    <w:uiPriority w:val="99"/>
    <w:semiHidden/>
    <w:rsid w:val="00A809E7"/>
    <w:rPr>
      <w:rFonts w:ascii="Courier" w:hAnsi="Courier"/>
      <w:b/>
      <w:lang w:val="x-none" w:eastAsia="cs-CZ"/>
    </w:rPr>
  </w:style>
  <w:style w:type="character" w:customStyle="1" w:styleId="PredmetkomentraChar1374">
    <w:name w:val="Predmet komentára Char1374"/>
    <w:aliases w:val="Char6 Char Char1375,Predmet komentára Char Char Char1375,Comment Subject Char Char Char1375"/>
    <w:uiPriority w:val="99"/>
    <w:semiHidden/>
    <w:rsid w:val="00A809E7"/>
    <w:rPr>
      <w:rFonts w:ascii="Courier" w:hAnsi="Courier"/>
      <w:b/>
      <w:lang w:val="x-none" w:eastAsia="cs-CZ"/>
    </w:rPr>
  </w:style>
  <w:style w:type="character" w:customStyle="1" w:styleId="PredmetkomentraChar1373">
    <w:name w:val="Predmet komentára Char1373"/>
    <w:aliases w:val="Char6 Char Char1374,Predmet komentára Char Char Char1374,Comment Subject Char Char Char1374"/>
    <w:uiPriority w:val="99"/>
    <w:semiHidden/>
    <w:rsid w:val="00A809E7"/>
    <w:rPr>
      <w:rFonts w:ascii="Courier" w:hAnsi="Courier"/>
      <w:b/>
      <w:lang w:val="x-none" w:eastAsia="cs-CZ"/>
    </w:rPr>
  </w:style>
  <w:style w:type="character" w:customStyle="1" w:styleId="PredmetkomentraChar1372">
    <w:name w:val="Predmet komentára Char1372"/>
    <w:aliases w:val="Char6 Char Char1373,Predmet komentára Char Char Char1373,Comment Subject Char Char Char1373"/>
    <w:uiPriority w:val="99"/>
    <w:semiHidden/>
    <w:rsid w:val="00A809E7"/>
    <w:rPr>
      <w:rFonts w:ascii="Courier" w:hAnsi="Courier"/>
      <w:b/>
      <w:lang w:val="x-none" w:eastAsia="cs-CZ"/>
    </w:rPr>
  </w:style>
  <w:style w:type="character" w:customStyle="1" w:styleId="PredmetkomentraChar1371">
    <w:name w:val="Predmet komentára Char1371"/>
    <w:aliases w:val="Char6 Char Char1372,Predmet komentára Char Char Char1372,Comment Subject Char Char Char1372"/>
    <w:uiPriority w:val="99"/>
    <w:semiHidden/>
    <w:rsid w:val="00A809E7"/>
    <w:rPr>
      <w:rFonts w:ascii="Courier" w:hAnsi="Courier"/>
      <w:b/>
      <w:lang w:val="x-none" w:eastAsia="cs-CZ"/>
    </w:rPr>
  </w:style>
  <w:style w:type="character" w:customStyle="1" w:styleId="PredmetkomentraChar1370">
    <w:name w:val="Predmet komentára Char1370"/>
    <w:aliases w:val="Char6 Char Char1371,Predmet komentára Char Char Char1371,Comment Subject Char Char Char1371"/>
    <w:uiPriority w:val="99"/>
    <w:semiHidden/>
    <w:rsid w:val="00A809E7"/>
    <w:rPr>
      <w:rFonts w:ascii="Courier" w:hAnsi="Courier"/>
      <w:b/>
      <w:lang w:val="x-none" w:eastAsia="cs-CZ"/>
    </w:rPr>
  </w:style>
  <w:style w:type="character" w:customStyle="1" w:styleId="PredmetkomentraChar1369">
    <w:name w:val="Predmet komentára Char1369"/>
    <w:aliases w:val="Char6 Char Char1370,Predmet komentára Char Char Char1370,Comment Subject Char Char Char1370"/>
    <w:uiPriority w:val="99"/>
    <w:semiHidden/>
    <w:rsid w:val="00A809E7"/>
    <w:rPr>
      <w:rFonts w:ascii="Courier" w:hAnsi="Courier"/>
      <w:b/>
      <w:lang w:val="x-none" w:eastAsia="cs-CZ"/>
    </w:rPr>
  </w:style>
  <w:style w:type="character" w:customStyle="1" w:styleId="PredmetkomentraChar1368">
    <w:name w:val="Predmet komentára Char1368"/>
    <w:aliases w:val="Char6 Char Char1369,Predmet komentára Char Char Char1369,Comment Subject Char Char Char1369"/>
    <w:uiPriority w:val="99"/>
    <w:semiHidden/>
    <w:rsid w:val="00A809E7"/>
    <w:rPr>
      <w:rFonts w:ascii="Courier" w:hAnsi="Courier"/>
      <w:b/>
      <w:lang w:val="x-none" w:eastAsia="cs-CZ"/>
    </w:rPr>
  </w:style>
  <w:style w:type="character" w:customStyle="1" w:styleId="PredmetkomentraChar1367">
    <w:name w:val="Predmet komentára Char1367"/>
    <w:aliases w:val="Char6 Char Char1368,Predmet komentára Char Char Char1368,Comment Subject Char Char Char1368"/>
    <w:uiPriority w:val="99"/>
    <w:semiHidden/>
    <w:rsid w:val="00A809E7"/>
    <w:rPr>
      <w:rFonts w:ascii="Courier" w:hAnsi="Courier"/>
      <w:b/>
      <w:lang w:val="x-none" w:eastAsia="cs-CZ"/>
    </w:rPr>
  </w:style>
  <w:style w:type="character" w:customStyle="1" w:styleId="PredmetkomentraChar1366">
    <w:name w:val="Predmet komentára Char1366"/>
    <w:aliases w:val="Char6 Char Char1367,Predmet komentára Char Char Char1367,Comment Subject Char Char Char1367"/>
    <w:uiPriority w:val="99"/>
    <w:semiHidden/>
    <w:rsid w:val="00A809E7"/>
    <w:rPr>
      <w:rFonts w:ascii="Courier" w:hAnsi="Courier"/>
      <w:b/>
      <w:lang w:val="x-none" w:eastAsia="cs-CZ"/>
    </w:rPr>
  </w:style>
  <w:style w:type="character" w:customStyle="1" w:styleId="PredmetkomentraChar1365">
    <w:name w:val="Predmet komentára Char1365"/>
    <w:aliases w:val="Char6 Char Char1366,Predmet komentára Char Char Char1366,Comment Subject Char Char Char1366"/>
    <w:uiPriority w:val="99"/>
    <w:semiHidden/>
    <w:rsid w:val="00A809E7"/>
    <w:rPr>
      <w:rFonts w:ascii="Courier" w:hAnsi="Courier"/>
      <w:b/>
      <w:lang w:val="x-none" w:eastAsia="cs-CZ"/>
    </w:rPr>
  </w:style>
  <w:style w:type="character" w:customStyle="1" w:styleId="PredmetkomentraChar1364">
    <w:name w:val="Predmet komentára Char1364"/>
    <w:aliases w:val="Char6 Char Char1365,Predmet komentára Char Char Char1365,Comment Subject Char Char Char1365"/>
    <w:uiPriority w:val="99"/>
    <w:semiHidden/>
    <w:rsid w:val="00A809E7"/>
    <w:rPr>
      <w:rFonts w:ascii="Courier" w:hAnsi="Courier"/>
      <w:b/>
      <w:lang w:val="x-none" w:eastAsia="cs-CZ"/>
    </w:rPr>
  </w:style>
  <w:style w:type="character" w:customStyle="1" w:styleId="PredmetkomentraChar1363">
    <w:name w:val="Predmet komentára Char1363"/>
    <w:aliases w:val="Char6 Char Char1364,Predmet komentára Char Char Char1364,Comment Subject Char Char Char1364"/>
    <w:uiPriority w:val="99"/>
    <w:semiHidden/>
    <w:rsid w:val="00A809E7"/>
    <w:rPr>
      <w:rFonts w:ascii="Courier" w:hAnsi="Courier"/>
      <w:b/>
      <w:lang w:val="x-none" w:eastAsia="cs-CZ"/>
    </w:rPr>
  </w:style>
  <w:style w:type="character" w:customStyle="1" w:styleId="PredmetkomentraChar1362">
    <w:name w:val="Predmet komentára Char1362"/>
    <w:aliases w:val="Char6 Char Char1363,Predmet komentára Char Char Char1363,Comment Subject Char Char Char1363"/>
    <w:uiPriority w:val="99"/>
    <w:semiHidden/>
    <w:rsid w:val="00A809E7"/>
    <w:rPr>
      <w:rFonts w:ascii="Courier" w:hAnsi="Courier"/>
      <w:b/>
      <w:lang w:val="x-none" w:eastAsia="cs-CZ"/>
    </w:rPr>
  </w:style>
  <w:style w:type="character" w:customStyle="1" w:styleId="PredmetkomentraChar1361">
    <w:name w:val="Predmet komentára Char1361"/>
    <w:aliases w:val="Char6 Char Char1362,Predmet komentára Char Char Char1362,Comment Subject Char Char Char1362"/>
    <w:uiPriority w:val="99"/>
    <w:semiHidden/>
    <w:rsid w:val="00A809E7"/>
    <w:rPr>
      <w:rFonts w:ascii="Courier" w:hAnsi="Courier"/>
      <w:b/>
      <w:lang w:val="x-none" w:eastAsia="cs-CZ"/>
    </w:rPr>
  </w:style>
  <w:style w:type="character" w:customStyle="1" w:styleId="PredmetkomentraChar1360">
    <w:name w:val="Predmet komentára Char1360"/>
    <w:aliases w:val="Char6 Char Char1361,Predmet komentára Char Char Char1361,Comment Subject Char Char Char1361"/>
    <w:uiPriority w:val="99"/>
    <w:semiHidden/>
    <w:rsid w:val="00A809E7"/>
    <w:rPr>
      <w:rFonts w:ascii="Courier" w:hAnsi="Courier"/>
      <w:b/>
      <w:lang w:val="x-none" w:eastAsia="cs-CZ"/>
    </w:rPr>
  </w:style>
  <w:style w:type="character" w:customStyle="1" w:styleId="PredmetkomentraChar1359">
    <w:name w:val="Predmet komentára Char1359"/>
    <w:aliases w:val="Char6 Char Char1360,Predmet komentára Char Char Char1360,Comment Subject Char Char Char1360"/>
    <w:uiPriority w:val="99"/>
    <w:semiHidden/>
    <w:rsid w:val="00A809E7"/>
    <w:rPr>
      <w:rFonts w:ascii="Courier" w:hAnsi="Courier"/>
      <w:b/>
      <w:lang w:val="x-none" w:eastAsia="cs-CZ"/>
    </w:rPr>
  </w:style>
  <w:style w:type="character" w:customStyle="1" w:styleId="PredmetkomentraChar1358">
    <w:name w:val="Predmet komentára Char1358"/>
    <w:aliases w:val="Char6 Char Char1359,Predmet komentára Char Char Char1359,Comment Subject Char Char Char1359"/>
    <w:uiPriority w:val="99"/>
    <w:semiHidden/>
    <w:rsid w:val="00A809E7"/>
    <w:rPr>
      <w:rFonts w:ascii="Courier" w:hAnsi="Courier"/>
      <w:b/>
      <w:lang w:val="x-none" w:eastAsia="cs-CZ"/>
    </w:rPr>
  </w:style>
  <w:style w:type="character" w:customStyle="1" w:styleId="PredmetkomentraChar1357">
    <w:name w:val="Predmet komentára Char1357"/>
    <w:aliases w:val="Char6 Char Char1358,Predmet komentára Char Char Char1358,Comment Subject Char Char Char1358"/>
    <w:uiPriority w:val="99"/>
    <w:semiHidden/>
    <w:rsid w:val="00A809E7"/>
    <w:rPr>
      <w:rFonts w:ascii="Courier" w:hAnsi="Courier"/>
      <w:b/>
      <w:lang w:val="x-none" w:eastAsia="cs-CZ"/>
    </w:rPr>
  </w:style>
  <w:style w:type="character" w:customStyle="1" w:styleId="PredmetkomentraChar1356">
    <w:name w:val="Predmet komentára Char1356"/>
    <w:aliases w:val="Char6 Char Char1357,Predmet komentára Char Char Char1357,Comment Subject Char Char Char1357"/>
    <w:uiPriority w:val="99"/>
    <w:semiHidden/>
    <w:rsid w:val="00A809E7"/>
    <w:rPr>
      <w:rFonts w:ascii="Courier" w:hAnsi="Courier"/>
      <w:b/>
      <w:lang w:val="x-none" w:eastAsia="cs-CZ"/>
    </w:rPr>
  </w:style>
  <w:style w:type="character" w:customStyle="1" w:styleId="PredmetkomentraChar1355">
    <w:name w:val="Predmet komentára Char1355"/>
    <w:aliases w:val="Char6 Char Char1356,Predmet komentára Char Char Char1356,Comment Subject Char Char Char1356"/>
    <w:uiPriority w:val="99"/>
    <w:semiHidden/>
    <w:rsid w:val="00A809E7"/>
    <w:rPr>
      <w:rFonts w:ascii="Courier" w:hAnsi="Courier"/>
      <w:b/>
      <w:lang w:val="x-none" w:eastAsia="cs-CZ"/>
    </w:rPr>
  </w:style>
  <w:style w:type="character" w:customStyle="1" w:styleId="PredmetkomentraChar1354">
    <w:name w:val="Predmet komentára Char1354"/>
    <w:aliases w:val="Char6 Char Char1355,Predmet komentára Char Char Char1355,Comment Subject Char Char Char1355"/>
    <w:uiPriority w:val="99"/>
    <w:semiHidden/>
    <w:rsid w:val="00A809E7"/>
    <w:rPr>
      <w:rFonts w:ascii="Courier" w:hAnsi="Courier"/>
      <w:b/>
      <w:lang w:val="x-none" w:eastAsia="cs-CZ"/>
    </w:rPr>
  </w:style>
  <w:style w:type="character" w:customStyle="1" w:styleId="PredmetkomentraChar1353">
    <w:name w:val="Predmet komentára Char1353"/>
    <w:aliases w:val="Char6 Char Char1354,Predmet komentára Char Char Char1354,Comment Subject Char Char Char1354"/>
    <w:uiPriority w:val="99"/>
    <w:semiHidden/>
    <w:rsid w:val="00A809E7"/>
    <w:rPr>
      <w:rFonts w:ascii="Courier" w:hAnsi="Courier"/>
      <w:b/>
      <w:lang w:val="x-none" w:eastAsia="cs-CZ"/>
    </w:rPr>
  </w:style>
  <w:style w:type="character" w:customStyle="1" w:styleId="PredmetkomentraChar1352">
    <w:name w:val="Predmet komentára Char1352"/>
    <w:aliases w:val="Char6 Char Char1353,Predmet komentára Char Char Char1353,Comment Subject Char Char Char1353"/>
    <w:uiPriority w:val="99"/>
    <w:semiHidden/>
    <w:rsid w:val="00A809E7"/>
    <w:rPr>
      <w:rFonts w:ascii="Courier" w:hAnsi="Courier"/>
      <w:b/>
      <w:lang w:val="x-none" w:eastAsia="cs-CZ"/>
    </w:rPr>
  </w:style>
  <w:style w:type="character" w:customStyle="1" w:styleId="PredmetkomentraChar1351">
    <w:name w:val="Predmet komentára Char1351"/>
    <w:aliases w:val="Char6 Char Char1352,Predmet komentára Char Char Char1352,Comment Subject Char Char Char1352"/>
    <w:uiPriority w:val="99"/>
    <w:semiHidden/>
    <w:rsid w:val="00A809E7"/>
    <w:rPr>
      <w:rFonts w:ascii="Courier" w:hAnsi="Courier"/>
      <w:b/>
      <w:lang w:val="x-none" w:eastAsia="cs-CZ"/>
    </w:rPr>
  </w:style>
  <w:style w:type="character" w:customStyle="1" w:styleId="PredmetkomentraChar1350">
    <w:name w:val="Predmet komentára Char1350"/>
    <w:aliases w:val="Char6 Char Char1351,Predmet komentára Char Char Char1351,Comment Subject Char Char Char1351"/>
    <w:uiPriority w:val="99"/>
    <w:semiHidden/>
    <w:rsid w:val="00A809E7"/>
    <w:rPr>
      <w:rFonts w:ascii="Courier" w:hAnsi="Courier"/>
      <w:b/>
      <w:lang w:val="x-none" w:eastAsia="cs-CZ"/>
    </w:rPr>
  </w:style>
  <w:style w:type="character" w:customStyle="1" w:styleId="PredmetkomentraChar1349">
    <w:name w:val="Predmet komentára Char1349"/>
    <w:aliases w:val="Char6 Char Char1350,Predmet komentára Char Char Char1350,Comment Subject Char Char Char1350"/>
    <w:uiPriority w:val="99"/>
    <w:semiHidden/>
    <w:rsid w:val="00A809E7"/>
    <w:rPr>
      <w:rFonts w:ascii="Courier" w:hAnsi="Courier"/>
      <w:b/>
      <w:lang w:val="x-none" w:eastAsia="cs-CZ"/>
    </w:rPr>
  </w:style>
  <w:style w:type="character" w:customStyle="1" w:styleId="PredmetkomentraChar1348">
    <w:name w:val="Predmet komentára Char1348"/>
    <w:aliases w:val="Char6 Char Char1349,Predmet komentára Char Char Char1349,Comment Subject Char Char Char1349"/>
    <w:uiPriority w:val="99"/>
    <w:semiHidden/>
    <w:rsid w:val="00A809E7"/>
    <w:rPr>
      <w:rFonts w:ascii="Courier" w:hAnsi="Courier"/>
      <w:b/>
      <w:lang w:val="x-none" w:eastAsia="cs-CZ"/>
    </w:rPr>
  </w:style>
  <w:style w:type="character" w:customStyle="1" w:styleId="PredmetkomentraChar1347">
    <w:name w:val="Predmet komentára Char1347"/>
    <w:aliases w:val="Char6 Char Char1348,Predmet komentára Char Char Char1348,Comment Subject Char Char Char1348"/>
    <w:uiPriority w:val="99"/>
    <w:semiHidden/>
    <w:rsid w:val="00A809E7"/>
    <w:rPr>
      <w:rFonts w:ascii="Courier" w:hAnsi="Courier"/>
      <w:b/>
      <w:lang w:val="x-none" w:eastAsia="cs-CZ"/>
    </w:rPr>
  </w:style>
  <w:style w:type="character" w:customStyle="1" w:styleId="PredmetkomentraChar1346">
    <w:name w:val="Predmet komentára Char1346"/>
    <w:aliases w:val="Char6 Char Char1347,Predmet komentára Char Char Char1347,Comment Subject Char Char Char1347"/>
    <w:uiPriority w:val="99"/>
    <w:semiHidden/>
    <w:rsid w:val="00A809E7"/>
    <w:rPr>
      <w:rFonts w:ascii="Courier" w:hAnsi="Courier"/>
      <w:b/>
      <w:lang w:val="x-none" w:eastAsia="cs-CZ"/>
    </w:rPr>
  </w:style>
  <w:style w:type="character" w:customStyle="1" w:styleId="PredmetkomentraChar1345">
    <w:name w:val="Predmet komentára Char1345"/>
    <w:aliases w:val="Char6 Char Char1346,Predmet komentára Char Char Char1346,Comment Subject Char Char Char1346"/>
    <w:uiPriority w:val="99"/>
    <w:semiHidden/>
    <w:rsid w:val="00A809E7"/>
    <w:rPr>
      <w:rFonts w:ascii="Courier" w:hAnsi="Courier"/>
      <w:b/>
      <w:lang w:val="x-none" w:eastAsia="cs-CZ"/>
    </w:rPr>
  </w:style>
  <w:style w:type="character" w:customStyle="1" w:styleId="PredmetkomentraChar1344">
    <w:name w:val="Predmet komentára Char1344"/>
    <w:aliases w:val="Char6 Char Char1345,Predmet komentára Char Char Char1345,Comment Subject Char Char Char1345"/>
    <w:uiPriority w:val="99"/>
    <w:semiHidden/>
    <w:rsid w:val="00A809E7"/>
    <w:rPr>
      <w:rFonts w:ascii="Courier" w:hAnsi="Courier"/>
      <w:b/>
      <w:lang w:val="x-none" w:eastAsia="cs-CZ"/>
    </w:rPr>
  </w:style>
  <w:style w:type="character" w:customStyle="1" w:styleId="PredmetkomentraChar1343">
    <w:name w:val="Predmet komentára Char1343"/>
    <w:aliases w:val="Char6 Char Char1344,Predmet komentára Char Char Char1344,Comment Subject Char Char Char1344"/>
    <w:uiPriority w:val="99"/>
    <w:semiHidden/>
    <w:rsid w:val="00A809E7"/>
    <w:rPr>
      <w:rFonts w:ascii="Courier" w:hAnsi="Courier"/>
      <w:b/>
      <w:lang w:val="x-none" w:eastAsia="cs-CZ"/>
    </w:rPr>
  </w:style>
  <w:style w:type="character" w:customStyle="1" w:styleId="PredmetkomentraChar1342">
    <w:name w:val="Predmet komentára Char1342"/>
    <w:aliases w:val="Char6 Char Char1343,Predmet komentára Char Char Char1343,Comment Subject Char Char Char1343"/>
    <w:uiPriority w:val="99"/>
    <w:semiHidden/>
    <w:rsid w:val="00A809E7"/>
    <w:rPr>
      <w:rFonts w:ascii="Courier" w:hAnsi="Courier"/>
      <w:b/>
      <w:lang w:val="x-none" w:eastAsia="cs-CZ"/>
    </w:rPr>
  </w:style>
  <w:style w:type="character" w:customStyle="1" w:styleId="PredmetkomentraChar1341">
    <w:name w:val="Predmet komentára Char1341"/>
    <w:aliases w:val="Char6 Char Char1342,Predmet komentára Char Char Char1342,Comment Subject Char Char Char1342"/>
    <w:uiPriority w:val="99"/>
    <w:semiHidden/>
    <w:rsid w:val="00A809E7"/>
    <w:rPr>
      <w:rFonts w:ascii="Courier" w:hAnsi="Courier"/>
      <w:b/>
      <w:lang w:val="x-none" w:eastAsia="cs-CZ"/>
    </w:rPr>
  </w:style>
  <w:style w:type="character" w:customStyle="1" w:styleId="PredmetkomentraChar1340">
    <w:name w:val="Predmet komentára Char1340"/>
    <w:aliases w:val="Char6 Char Char1341,Predmet komentára Char Char Char1341,Comment Subject Char Char Char1341"/>
    <w:uiPriority w:val="99"/>
    <w:semiHidden/>
    <w:rsid w:val="00A809E7"/>
    <w:rPr>
      <w:rFonts w:ascii="Courier" w:hAnsi="Courier"/>
      <w:b/>
      <w:lang w:val="x-none" w:eastAsia="cs-CZ"/>
    </w:rPr>
  </w:style>
  <w:style w:type="character" w:customStyle="1" w:styleId="PredmetkomentraChar1339">
    <w:name w:val="Predmet komentára Char1339"/>
    <w:aliases w:val="Char6 Char Char1340,Predmet komentára Char Char Char1340,Comment Subject Char Char Char1340"/>
    <w:uiPriority w:val="99"/>
    <w:semiHidden/>
    <w:rsid w:val="00A809E7"/>
    <w:rPr>
      <w:rFonts w:ascii="Courier" w:hAnsi="Courier"/>
      <w:b/>
      <w:lang w:val="x-none" w:eastAsia="cs-CZ"/>
    </w:rPr>
  </w:style>
  <w:style w:type="character" w:customStyle="1" w:styleId="PredmetkomentraChar1338">
    <w:name w:val="Predmet komentára Char1338"/>
    <w:aliases w:val="Char6 Char Char1339,Predmet komentára Char Char Char1339,Comment Subject Char Char Char1339"/>
    <w:uiPriority w:val="99"/>
    <w:semiHidden/>
    <w:rsid w:val="00A809E7"/>
    <w:rPr>
      <w:rFonts w:ascii="Courier" w:hAnsi="Courier"/>
      <w:b/>
      <w:lang w:val="x-none" w:eastAsia="cs-CZ"/>
    </w:rPr>
  </w:style>
  <w:style w:type="character" w:customStyle="1" w:styleId="PredmetkomentraChar1337">
    <w:name w:val="Predmet komentára Char1337"/>
    <w:aliases w:val="Char6 Char Char1338,Predmet komentára Char Char Char1338,Comment Subject Char Char Char1338"/>
    <w:uiPriority w:val="99"/>
    <w:semiHidden/>
    <w:rsid w:val="00A809E7"/>
    <w:rPr>
      <w:rFonts w:ascii="Courier" w:hAnsi="Courier"/>
      <w:b/>
      <w:lang w:val="x-none" w:eastAsia="cs-CZ"/>
    </w:rPr>
  </w:style>
  <w:style w:type="character" w:customStyle="1" w:styleId="PredmetkomentraChar1336">
    <w:name w:val="Predmet komentára Char1336"/>
    <w:aliases w:val="Char6 Char Char1337,Predmet komentára Char Char Char1337,Comment Subject Char Char Char1337"/>
    <w:uiPriority w:val="99"/>
    <w:semiHidden/>
    <w:rsid w:val="00A809E7"/>
    <w:rPr>
      <w:rFonts w:ascii="Courier" w:hAnsi="Courier"/>
      <w:b/>
      <w:lang w:val="x-none" w:eastAsia="cs-CZ"/>
    </w:rPr>
  </w:style>
  <w:style w:type="character" w:customStyle="1" w:styleId="PredmetkomentraChar1335">
    <w:name w:val="Predmet komentára Char1335"/>
    <w:aliases w:val="Char6 Char Char1336,Predmet komentára Char Char Char1336,Comment Subject Char Char Char1336"/>
    <w:uiPriority w:val="99"/>
    <w:semiHidden/>
    <w:rsid w:val="00A809E7"/>
    <w:rPr>
      <w:rFonts w:ascii="Courier" w:hAnsi="Courier"/>
      <w:b/>
      <w:lang w:val="x-none" w:eastAsia="cs-CZ"/>
    </w:rPr>
  </w:style>
  <w:style w:type="character" w:customStyle="1" w:styleId="PredmetkomentraChar1334">
    <w:name w:val="Predmet komentára Char1334"/>
    <w:aliases w:val="Char6 Char Char1335,Predmet komentára Char Char Char1335,Comment Subject Char Char Char1335"/>
    <w:uiPriority w:val="99"/>
    <w:semiHidden/>
    <w:rsid w:val="00A809E7"/>
    <w:rPr>
      <w:rFonts w:ascii="Courier" w:hAnsi="Courier"/>
      <w:b/>
      <w:lang w:val="x-none" w:eastAsia="cs-CZ"/>
    </w:rPr>
  </w:style>
  <w:style w:type="character" w:customStyle="1" w:styleId="PredmetkomentraChar1333">
    <w:name w:val="Predmet komentára Char1333"/>
    <w:aliases w:val="Char6 Char Char1334,Predmet komentára Char Char Char1334,Comment Subject Char Char Char1334"/>
    <w:uiPriority w:val="99"/>
    <w:semiHidden/>
    <w:rsid w:val="00A809E7"/>
    <w:rPr>
      <w:rFonts w:ascii="Courier" w:hAnsi="Courier"/>
      <w:b/>
      <w:lang w:val="x-none" w:eastAsia="cs-CZ"/>
    </w:rPr>
  </w:style>
  <w:style w:type="character" w:customStyle="1" w:styleId="PredmetkomentraChar1332">
    <w:name w:val="Predmet komentára Char1332"/>
    <w:aliases w:val="Char6 Char Char1333,Predmet komentára Char Char Char1333,Comment Subject Char Char Char1333"/>
    <w:uiPriority w:val="99"/>
    <w:semiHidden/>
    <w:rsid w:val="00A809E7"/>
    <w:rPr>
      <w:rFonts w:ascii="Courier" w:hAnsi="Courier"/>
      <w:b/>
      <w:lang w:val="x-none" w:eastAsia="cs-CZ"/>
    </w:rPr>
  </w:style>
  <w:style w:type="character" w:customStyle="1" w:styleId="PredmetkomentraChar1331">
    <w:name w:val="Predmet komentára Char1331"/>
    <w:aliases w:val="Char6 Char Char1332,Predmet komentára Char Char Char1332,Comment Subject Char Char Char1332"/>
    <w:uiPriority w:val="99"/>
    <w:semiHidden/>
    <w:rsid w:val="00A809E7"/>
    <w:rPr>
      <w:rFonts w:ascii="Courier" w:hAnsi="Courier"/>
      <w:b/>
      <w:lang w:val="x-none" w:eastAsia="cs-CZ"/>
    </w:rPr>
  </w:style>
  <w:style w:type="character" w:customStyle="1" w:styleId="PredmetkomentraChar1330">
    <w:name w:val="Predmet komentára Char1330"/>
    <w:aliases w:val="Char6 Char Char1331,Predmet komentára Char Char Char1331,Comment Subject Char Char Char1331"/>
    <w:uiPriority w:val="99"/>
    <w:semiHidden/>
    <w:rsid w:val="00A809E7"/>
    <w:rPr>
      <w:rFonts w:ascii="Courier" w:hAnsi="Courier"/>
      <w:b/>
      <w:lang w:val="x-none" w:eastAsia="cs-CZ"/>
    </w:rPr>
  </w:style>
  <w:style w:type="character" w:customStyle="1" w:styleId="PredmetkomentraChar1329">
    <w:name w:val="Predmet komentára Char1329"/>
    <w:aliases w:val="Char6 Char Char1330,Predmet komentára Char Char Char1330,Comment Subject Char Char Char1330"/>
    <w:uiPriority w:val="99"/>
    <w:semiHidden/>
    <w:rsid w:val="00A809E7"/>
    <w:rPr>
      <w:rFonts w:ascii="Courier" w:hAnsi="Courier"/>
      <w:b/>
      <w:lang w:val="x-none" w:eastAsia="cs-CZ"/>
    </w:rPr>
  </w:style>
  <w:style w:type="character" w:customStyle="1" w:styleId="PredmetkomentraChar1328">
    <w:name w:val="Predmet komentára Char1328"/>
    <w:aliases w:val="Char6 Char Char1329,Predmet komentára Char Char Char1329,Comment Subject Char Char Char1329"/>
    <w:uiPriority w:val="99"/>
    <w:semiHidden/>
    <w:rsid w:val="00A809E7"/>
    <w:rPr>
      <w:rFonts w:ascii="Courier" w:hAnsi="Courier"/>
      <w:b/>
      <w:lang w:val="x-none" w:eastAsia="cs-CZ"/>
    </w:rPr>
  </w:style>
  <w:style w:type="character" w:customStyle="1" w:styleId="PredmetkomentraChar1327">
    <w:name w:val="Predmet komentára Char1327"/>
    <w:aliases w:val="Char6 Char Char1328,Predmet komentára Char Char Char1328,Comment Subject Char Char Char1328"/>
    <w:uiPriority w:val="99"/>
    <w:semiHidden/>
    <w:rsid w:val="00A809E7"/>
    <w:rPr>
      <w:rFonts w:ascii="Courier" w:hAnsi="Courier"/>
      <w:b/>
      <w:lang w:val="x-none" w:eastAsia="cs-CZ"/>
    </w:rPr>
  </w:style>
  <w:style w:type="character" w:customStyle="1" w:styleId="PredmetkomentraChar1326">
    <w:name w:val="Predmet komentára Char1326"/>
    <w:aliases w:val="Char6 Char Char1327,Predmet komentára Char Char Char1327,Comment Subject Char Char Char1327"/>
    <w:uiPriority w:val="99"/>
    <w:semiHidden/>
    <w:rsid w:val="00A809E7"/>
    <w:rPr>
      <w:rFonts w:ascii="Courier" w:hAnsi="Courier"/>
      <w:b/>
      <w:lang w:val="x-none" w:eastAsia="cs-CZ"/>
    </w:rPr>
  </w:style>
  <w:style w:type="character" w:customStyle="1" w:styleId="PredmetkomentraChar1325">
    <w:name w:val="Predmet komentára Char1325"/>
    <w:aliases w:val="Char6 Char Char1326,Predmet komentára Char Char Char1326,Comment Subject Char Char Char1326"/>
    <w:uiPriority w:val="99"/>
    <w:semiHidden/>
    <w:rsid w:val="00A809E7"/>
    <w:rPr>
      <w:rFonts w:ascii="Courier" w:hAnsi="Courier"/>
      <w:b/>
      <w:lang w:val="x-none" w:eastAsia="cs-CZ"/>
    </w:rPr>
  </w:style>
  <w:style w:type="character" w:customStyle="1" w:styleId="PredmetkomentraChar1324">
    <w:name w:val="Predmet komentára Char1324"/>
    <w:aliases w:val="Char6 Char Char1325,Predmet komentára Char Char Char1325,Comment Subject Char Char Char1325"/>
    <w:uiPriority w:val="99"/>
    <w:semiHidden/>
    <w:rsid w:val="00A809E7"/>
    <w:rPr>
      <w:rFonts w:ascii="Courier" w:hAnsi="Courier"/>
      <w:b/>
      <w:lang w:val="x-none" w:eastAsia="cs-CZ"/>
    </w:rPr>
  </w:style>
  <w:style w:type="character" w:customStyle="1" w:styleId="PredmetkomentraChar1323">
    <w:name w:val="Predmet komentára Char1323"/>
    <w:aliases w:val="Char6 Char Char1324,Predmet komentára Char Char Char1324,Comment Subject Char Char Char1324"/>
    <w:uiPriority w:val="99"/>
    <w:semiHidden/>
    <w:rsid w:val="00A809E7"/>
    <w:rPr>
      <w:rFonts w:ascii="Courier" w:hAnsi="Courier"/>
      <w:b/>
      <w:lang w:val="x-none" w:eastAsia="cs-CZ"/>
    </w:rPr>
  </w:style>
  <w:style w:type="character" w:customStyle="1" w:styleId="PredmetkomentraChar1322">
    <w:name w:val="Predmet komentára Char1322"/>
    <w:aliases w:val="Char6 Char Char1323,Predmet komentára Char Char Char1323,Comment Subject Char Char Char1323"/>
    <w:uiPriority w:val="99"/>
    <w:semiHidden/>
    <w:rsid w:val="00A809E7"/>
    <w:rPr>
      <w:rFonts w:ascii="Courier" w:hAnsi="Courier"/>
      <w:b/>
      <w:lang w:val="x-none" w:eastAsia="cs-CZ"/>
    </w:rPr>
  </w:style>
  <w:style w:type="character" w:customStyle="1" w:styleId="PredmetkomentraChar1321">
    <w:name w:val="Predmet komentára Char1321"/>
    <w:aliases w:val="Char6 Char Char1322,Predmet komentára Char Char Char1322,Comment Subject Char Char Char1322"/>
    <w:uiPriority w:val="99"/>
    <w:semiHidden/>
    <w:rsid w:val="00A809E7"/>
    <w:rPr>
      <w:rFonts w:ascii="Courier" w:hAnsi="Courier"/>
      <w:b/>
      <w:lang w:val="x-none" w:eastAsia="cs-CZ"/>
    </w:rPr>
  </w:style>
  <w:style w:type="character" w:customStyle="1" w:styleId="PredmetkomentraChar1320">
    <w:name w:val="Predmet komentára Char1320"/>
    <w:aliases w:val="Char6 Char Char1321,Predmet komentára Char Char Char1321,Comment Subject Char Char Char1321"/>
    <w:uiPriority w:val="99"/>
    <w:semiHidden/>
    <w:rsid w:val="00A809E7"/>
    <w:rPr>
      <w:rFonts w:ascii="Courier" w:hAnsi="Courier"/>
      <w:b/>
      <w:lang w:val="x-none" w:eastAsia="cs-CZ"/>
    </w:rPr>
  </w:style>
  <w:style w:type="character" w:customStyle="1" w:styleId="PredmetkomentraChar1319">
    <w:name w:val="Predmet komentára Char1319"/>
    <w:aliases w:val="Char6 Char Char1320,Predmet komentára Char Char Char1320,Comment Subject Char Char Char1320"/>
    <w:uiPriority w:val="99"/>
    <w:semiHidden/>
    <w:rsid w:val="00A809E7"/>
    <w:rPr>
      <w:rFonts w:ascii="Courier" w:hAnsi="Courier"/>
      <w:b/>
      <w:lang w:val="x-none" w:eastAsia="cs-CZ"/>
    </w:rPr>
  </w:style>
  <w:style w:type="character" w:customStyle="1" w:styleId="PredmetkomentraChar1318">
    <w:name w:val="Predmet komentára Char1318"/>
    <w:aliases w:val="Char6 Char Char1319,Predmet komentára Char Char Char1319,Comment Subject Char Char Char1319"/>
    <w:uiPriority w:val="99"/>
    <w:semiHidden/>
    <w:rsid w:val="00A809E7"/>
    <w:rPr>
      <w:rFonts w:ascii="Courier" w:hAnsi="Courier"/>
      <w:b/>
      <w:lang w:val="x-none" w:eastAsia="cs-CZ"/>
    </w:rPr>
  </w:style>
  <w:style w:type="character" w:customStyle="1" w:styleId="PredmetkomentraChar1317">
    <w:name w:val="Predmet komentára Char1317"/>
    <w:aliases w:val="Char6 Char Char1318,Predmet komentára Char Char Char1318,Comment Subject Char Char Char1318"/>
    <w:uiPriority w:val="99"/>
    <w:semiHidden/>
    <w:rsid w:val="00A809E7"/>
    <w:rPr>
      <w:rFonts w:ascii="Courier" w:hAnsi="Courier"/>
      <w:b/>
      <w:lang w:val="x-none" w:eastAsia="cs-CZ"/>
    </w:rPr>
  </w:style>
  <w:style w:type="character" w:customStyle="1" w:styleId="PredmetkomentraChar1316">
    <w:name w:val="Predmet komentára Char1316"/>
    <w:aliases w:val="Char6 Char Char1317,Predmet komentára Char Char Char1317,Comment Subject Char Char Char1317"/>
    <w:uiPriority w:val="99"/>
    <w:semiHidden/>
    <w:rsid w:val="00A809E7"/>
    <w:rPr>
      <w:rFonts w:ascii="Courier" w:hAnsi="Courier"/>
      <w:b/>
      <w:lang w:val="x-none" w:eastAsia="cs-CZ"/>
    </w:rPr>
  </w:style>
  <w:style w:type="character" w:customStyle="1" w:styleId="PredmetkomentraChar1315">
    <w:name w:val="Predmet komentára Char1315"/>
    <w:aliases w:val="Char6 Char Char1316,Predmet komentára Char Char Char1316,Comment Subject Char Char Char1316"/>
    <w:uiPriority w:val="99"/>
    <w:semiHidden/>
    <w:rsid w:val="00A809E7"/>
    <w:rPr>
      <w:rFonts w:ascii="Courier" w:hAnsi="Courier"/>
      <w:b/>
      <w:lang w:val="x-none" w:eastAsia="cs-CZ"/>
    </w:rPr>
  </w:style>
  <w:style w:type="character" w:customStyle="1" w:styleId="PredmetkomentraChar1314">
    <w:name w:val="Predmet komentára Char1314"/>
    <w:aliases w:val="Char6 Char Char1315,Predmet komentára Char Char Char1315,Comment Subject Char Char Char1315"/>
    <w:uiPriority w:val="99"/>
    <w:semiHidden/>
    <w:rsid w:val="00A809E7"/>
    <w:rPr>
      <w:rFonts w:ascii="Courier" w:hAnsi="Courier"/>
      <w:b/>
      <w:lang w:val="x-none" w:eastAsia="cs-CZ"/>
    </w:rPr>
  </w:style>
  <w:style w:type="character" w:customStyle="1" w:styleId="PredmetkomentraChar1313">
    <w:name w:val="Predmet komentára Char1313"/>
    <w:aliases w:val="Char6 Char Char1314,Predmet komentára Char Char Char1314,Comment Subject Char Char Char1314"/>
    <w:uiPriority w:val="99"/>
    <w:semiHidden/>
    <w:rsid w:val="00A809E7"/>
    <w:rPr>
      <w:rFonts w:ascii="Courier" w:hAnsi="Courier"/>
      <w:b/>
      <w:lang w:val="x-none" w:eastAsia="cs-CZ"/>
    </w:rPr>
  </w:style>
  <w:style w:type="character" w:customStyle="1" w:styleId="PredmetkomentraChar1312">
    <w:name w:val="Predmet komentára Char1312"/>
    <w:aliases w:val="Char6 Char Char1313,Predmet komentára Char Char Char1313,Comment Subject Char Char Char1313"/>
    <w:uiPriority w:val="99"/>
    <w:semiHidden/>
    <w:rsid w:val="00A809E7"/>
    <w:rPr>
      <w:rFonts w:ascii="Courier" w:hAnsi="Courier"/>
      <w:b/>
      <w:lang w:val="x-none" w:eastAsia="cs-CZ"/>
    </w:rPr>
  </w:style>
  <w:style w:type="character" w:customStyle="1" w:styleId="PredmetkomentraChar1311">
    <w:name w:val="Predmet komentára Char1311"/>
    <w:aliases w:val="Char6 Char Char1312,Predmet komentára Char Char Char1312,Comment Subject Char Char Char1312"/>
    <w:uiPriority w:val="99"/>
    <w:semiHidden/>
    <w:rsid w:val="00A809E7"/>
    <w:rPr>
      <w:rFonts w:ascii="Courier" w:hAnsi="Courier"/>
      <w:b/>
      <w:lang w:val="x-none" w:eastAsia="cs-CZ"/>
    </w:rPr>
  </w:style>
  <w:style w:type="character" w:customStyle="1" w:styleId="PredmetkomentraChar1310">
    <w:name w:val="Predmet komentára Char1310"/>
    <w:aliases w:val="Char6 Char Char1311,Predmet komentára Char Char Char1311,Comment Subject Char Char Char1311"/>
    <w:uiPriority w:val="99"/>
    <w:semiHidden/>
    <w:rsid w:val="00A809E7"/>
    <w:rPr>
      <w:rFonts w:ascii="Courier" w:hAnsi="Courier"/>
      <w:b/>
      <w:lang w:val="x-none" w:eastAsia="cs-CZ"/>
    </w:rPr>
  </w:style>
  <w:style w:type="character" w:customStyle="1" w:styleId="PredmetkomentraChar1309">
    <w:name w:val="Predmet komentára Char1309"/>
    <w:aliases w:val="Char6 Char Char1310,Predmet komentára Char Char Char1310,Comment Subject Char Char Char1310"/>
    <w:uiPriority w:val="99"/>
    <w:semiHidden/>
    <w:rsid w:val="00A809E7"/>
    <w:rPr>
      <w:rFonts w:ascii="Courier" w:hAnsi="Courier"/>
      <w:b/>
      <w:lang w:val="x-none" w:eastAsia="cs-CZ"/>
    </w:rPr>
  </w:style>
  <w:style w:type="character" w:customStyle="1" w:styleId="PredmetkomentraChar1308">
    <w:name w:val="Predmet komentára Char1308"/>
    <w:aliases w:val="Char6 Char Char1309,Predmet komentára Char Char Char1309,Comment Subject Char Char Char1309"/>
    <w:uiPriority w:val="99"/>
    <w:semiHidden/>
    <w:rsid w:val="00A809E7"/>
    <w:rPr>
      <w:rFonts w:ascii="Courier" w:hAnsi="Courier"/>
      <w:b/>
      <w:lang w:val="x-none" w:eastAsia="cs-CZ"/>
    </w:rPr>
  </w:style>
  <w:style w:type="character" w:customStyle="1" w:styleId="PredmetkomentraChar1307">
    <w:name w:val="Predmet komentára Char1307"/>
    <w:aliases w:val="Char6 Char Char1308,Predmet komentára Char Char Char1308,Comment Subject Char Char Char1308"/>
    <w:uiPriority w:val="99"/>
    <w:semiHidden/>
    <w:rsid w:val="00A809E7"/>
    <w:rPr>
      <w:rFonts w:ascii="Courier" w:hAnsi="Courier"/>
      <w:b/>
      <w:lang w:val="x-none" w:eastAsia="cs-CZ"/>
    </w:rPr>
  </w:style>
  <w:style w:type="character" w:customStyle="1" w:styleId="PredmetkomentraChar1306">
    <w:name w:val="Predmet komentára Char1306"/>
    <w:aliases w:val="Char6 Char Char1307,Predmet komentára Char Char Char1307,Comment Subject Char Char Char1307"/>
    <w:uiPriority w:val="99"/>
    <w:semiHidden/>
    <w:rsid w:val="00A809E7"/>
    <w:rPr>
      <w:rFonts w:ascii="Courier" w:hAnsi="Courier"/>
      <w:b/>
      <w:lang w:val="x-none" w:eastAsia="cs-CZ"/>
    </w:rPr>
  </w:style>
  <w:style w:type="character" w:customStyle="1" w:styleId="PredmetkomentraChar1305">
    <w:name w:val="Predmet komentára Char1305"/>
    <w:aliases w:val="Char6 Char Char1306,Predmet komentára Char Char Char1306,Comment Subject Char Char Char1306"/>
    <w:uiPriority w:val="99"/>
    <w:semiHidden/>
    <w:rsid w:val="00A809E7"/>
    <w:rPr>
      <w:rFonts w:ascii="Courier" w:hAnsi="Courier"/>
      <w:b/>
      <w:lang w:val="x-none" w:eastAsia="cs-CZ"/>
    </w:rPr>
  </w:style>
  <w:style w:type="character" w:customStyle="1" w:styleId="PredmetkomentraChar1304">
    <w:name w:val="Predmet komentára Char1304"/>
    <w:aliases w:val="Char6 Char Char1305,Predmet komentára Char Char Char1305,Comment Subject Char Char Char1305"/>
    <w:uiPriority w:val="99"/>
    <w:semiHidden/>
    <w:rsid w:val="00A809E7"/>
    <w:rPr>
      <w:rFonts w:ascii="Courier" w:hAnsi="Courier"/>
      <w:b/>
      <w:lang w:val="x-none" w:eastAsia="cs-CZ"/>
    </w:rPr>
  </w:style>
  <w:style w:type="character" w:customStyle="1" w:styleId="PredmetkomentraChar1303">
    <w:name w:val="Predmet komentára Char1303"/>
    <w:aliases w:val="Char6 Char Char1304,Predmet komentára Char Char Char1304,Comment Subject Char Char Char1304"/>
    <w:uiPriority w:val="99"/>
    <w:semiHidden/>
    <w:rsid w:val="00A809E7"/>
    <w:rPr>
      <w:rFonts w:ascii="Courier" w:hAnsi="Courier"/>
      <w:b/>
      <w:lang w:val="x-none" w:eastAsia="cs-CZ"/>
    </w:rPr>
  </w:style>
  <w:style w:type="character" w:customStyle="1" w:styleId="PredmetkomentraChar1302">
    <w:name w:val="Predmet komentára Char1302"/>
    <w:aliases w:val="Char6 Char Char1303,Predmet komentára Char Char Char1303,Comment Subject Char Char Char1303"/>
    <w:uiPriority w:val="99"/>
    <w:semiHidden/>
    <w:rsid w:val="00A809E7"/>
    <w:rPr>
      <w:rFonts w:ascii="Courier" w:hAnsi="Courier"/>
      <w:b/>
      <w:lang w:val="x-none" w:eastAsia="cs-CZ"/>
    </w:rPr>
  </w:style>
  <w:style w:type="character" w:customStyle="1" w:styleId="PredmetkomentraChar1301">
    <w:name w:val="Predmet komentára Char1301"/>
    <w:aliases w:val="Char6 Char Char1302,Predmet komentára Char Char Char1302,Comment Subject Char Char Char1302"/>
    <w:uiPriority w:val="99"/>
    <w:semiHidden/>
    <w:rsid w:val="00A809E7"/>
    <w:rPr>
      <w:rFonts w:ascii="Courier" w:hAnsi="Courier"/>
      <w:b/>
      <w:lang w:val="x-none" w:eastAsia="cs-CZ"/>
    </w:rPr>
  </w:style>
  <w:style w:type="character" w:customStyle="1" w:styleId="PredmetkomentraChar1300">
    <w:name w:val="Predmet komentára Char1300"/>
    <w:aliases w:val="Char6 Char Char1301,Predmet komentára Char Char Char1301,Comment Subject Char Char Char1301"/>
    <w:uiPriority w:val="99"/>
    <w:semiHidden/>
    <w:rsid w:val="00A809E7"/>
    <w:rPr>
      <w:rFonts w:ascii="Courier" w:hAnsi="Courier"/>
      <w:b/>
      <w:lang w:val="x-none" w:eastAsia="cs-CZ"/>
    </w:rPr>
  </w:style>
  <w:style w:type="character" w:customStyle="1" w:styleId="PredmetkomentraChar1299">
    <w:name w:val="Predmet komentára Char1299"/>
    <w:aliases w:val="Char6 Char Char1300,Predmet komentára Char Char Char1300,Comment Subject Char Char Char1300"/>
    <w:uiPriority w:val="99"/>
    <w:semiHidden/>
    <w:rsid w:val="00A809E7"/>
    <w:rPr>
      <w:rFonts w:ascii="Courier" w:hAnsi="Courier"/>
      <w:b/>
      <w:lang w:val="x-none" w:eastAsia="cs-CZ"/>
    </w:rPr>
  </w:style>
  <w:style w:type="character" w:customStyle="1" w:styleId="PredmetkomentraChar1298">
    <w:name w:val="Predmet komentára Char1298"/>
    <w:aliases w:val="Char6 Char Char1299,Predmet komentára Char Char Char1299,Comment Subject Char Char Char1299"/>
    <w:uiPriority w:val="99"/>
    <w:semiHidden/>
    <w:rsid w:val="00A809E7"/>
    <w:rPr>
      <w:rFonts w:ascii="Courier" w:hAnsi="Courier"/>
      <w:b/>
      <w:lang w:val="x-none" w:eastAsia="cs-CZ"/>
    </w:rPr>
  </w:style>
  <w:style w:type="character" w:customStyle="1" w:styleId="PredmetkomentraChar1297">
    <w:name w:val="Predmet komentára Char1297"/>
    <w:aliases w:val="Char6 Char Char1298,Predmet komentára Char Char Char1298,Comment Subject Char Char Char1298"/>
    <w:uiPriority w:val="99"/>
    <w:semiHidden/>
    <w:rsid w:val="00A809E7"/>
    <w:rPr>
      <w:rFonts w:ascii="Courier" w:hAnsi="Courier"/>
      <w:b/>
      <w:lang w:val="x-none" w:eastAsia="cs-CZ"/>
    </w:rPr>
  </w:style>
  <w:style w:type="character" w:customStyle="1" w:styleId="PredmetkomentraChar1296">
    <w:name w:val="Predmet komentára Char1296"/>
    <w:aliases w:val="Char6 Char Char1297,Predmet komentára Char Char Char1297,Comment Subject Char Char Char1297"/>
    <w:uiPriority w:val="99"/>
    <w:semiHidden/>
    <w:rsid w:val="00A809E7"/>
    <w:rPr>
      <w:rFonts w:ascii="Courier" w:hAnsi="Courier"/>
      <w:b/>
      <w:lang w:val="x-none" w:eastAsia="cs-CZ"/>
    </w:rPr>
  </w:style>
  <w:style w:type="character" w:customStyle="1" w:styleId="PredmetkomentraChar1295">
    <w:name w:val="Predmet komentára Char1295"/>
    <w:aliases w:val="Char6 Char Char1296,Predmet komentára Char Char Char1296,Comment Subject Char Char Char1296"/>
    <w:uiPriority w:val="99"/>
    <w:semiHidden/>
    <w:rsid w:val="00A809E7"/>
    <w:rPr>
      <w:rFonts w:ascii="Courier" w:hAnsi="Courier"/>
      <w:b/>
      <w:lang w:val="x-none" w:eastAsia="cs-CZ"/>
    </w:rPr>
  </w:style>
  <w:style w:type="character" w:customStyle="1" w:styleId="PredmetkomentraChar1294">
    <w:name w:val="Predmet komentára Char1294"/>
    <w:aliases w:val="Char6 Char Char1295,Predmet komentára Char Char Char1295,Comment Subject Char Char Char1295"/>
    <w:uiPriority w:val="99"/>
    <w:semiHidden/>
    <w:rsid w:val="00A809E7"/>
    <w:rPr>
      <w:rFonts w:ascii="Courier" w:hAnsi="Courier"/>
      <w:b/>
      <w:lang w:val="x-none" w:eastAsia="cs-CZ"/>
    </w:rPr>
  </w:style>
  <w:style w:type="character" w:customStyle="1" w:styleId="PredmetkomentraChar1293">
    <w:name w:val="Predmet komentára Char1293"/>
    <w:aliases w:val="Char6 Char Char1294,Predmet komentára Char Char Char1294,Comment Subject Char Char Char1294"/>
    <w:uiPriority w:val="99"/>
    <w:semiHidden/>
    <w:rsid w:val="00A809E7"/>
    <w:rPr>
      <w:rFonts w:ascii="Courier" w:hAnsi="Courier"/>
      <w:b/>
      <w:lang w:val="x-none" w:eastAsia="cs-CZ"/>
    </w:rPr>
  </w:style>
  <w:style w:type="character" w:customStyle="1" w:styleId="PredmetkomentraChar1292">
    <w:name w:val="Predmet komentára Char1292"/>
    <w:aliases w:val="Char6 Char Char1293,Predmet komentára Char Char Char1293,Comment Subject Char Char Char1293"/>
    <w:uiPriority w:val="99"/>
    <w:semiHidden/>
    <w:rsid w:val="00A809E7"/>
    <w:rPr>
      <w:rFonts w:ascii="Courier" w:hAnsi="Courier"/>
      <w:b/>
      <w:lang w:val="x-none" w:eastAsia="cs-CZ"/>
    </w:rPr>
  </w:style>
  <w:style w:type="character" w:customStyle="1" w:styleId="PredmetkomentraChar1291">
    <w:name w:val="Predmet komentára Char1291"/>
    <w:aliases w:val="Char6 Char Char1292,Predmet komentára Char Char Char1292,Comment Subject Char Char Char1292"/>
    <w:uiPriority w:val="99"/>
    <w:semiHidden/>
    <w:rsid w:val="00A809E7"/>
    <w:rPr>
      <w:rFonts w:ascii="Courier" w:hAnsi="Courier"/>
      <w:b/>
      <w:lang w:val="x-none" w:eastAsia="cs-CZ"/>
    </w:rPr>
  </w:style>
  <w:style w:type="character" w:customStyle="1" w:styleId="PredmetkomentraChar1290">
    <w:name w:val="Predmet komentára Char1290"/>
    <w:aliases w:val="Char6 Char Char1291,Predmet komentára Char Char Char1291,Comment Subject Char Char Char1291"/>
    <w:uiPriority w:val="99"/>
    <w:semiHidden/>
    <w:rsid w:val="00A809E7"/>
    <w:rPr>
      <w:rFonts w:ascii="Courier" w:hAnsi="Courier"/>
      <w:b/>
      <w:lang w:val="x-none" w:eastAsia="cs-CZ"/>
    </w:rPr>
  </w:style>
  <w:style w:type="character" w:customStyle="1" w:styleId="PredmetkomentraChar1289">
    <w:name w:val="Predmet komentára Char1289"/>
    <w:aliases w:val="Char6 Char Char1290,Predmet komentára Char Char Char1290,Comment Subject Char Char Char1290"/>
    <w:uiPriority w:val="99"/>
    <w:semiHidden/>
    <w:rsid w:val="00A809E7"/>
    <w:rPr>
      <w:rFonts w:ascii="Courier" w:hAnsi="Courier"/>
      <w:b/>
      <w:lang w:val="x-none" w:eastAsia="cs-CZ"/>
    </w:rPr>
  </w:style>
  <w:style w:type="character" w:customStyle="1" w:styleId="PredmetkomentraChar1288">
    <w:name w:val="Predmet komentára Char1288"/>
    <w:aliases w:val="Char6 Char Char1289,Predmet komentára Char Char Char1289,Comment Subject Char Char Char1289"/>
    <w:uiPriority w:val="99"/>
    <w:semiHidden/>
    <w:rsid w:val="00A809E7"/>
    <w:rPr>
      <w:rFonts w:ascii="Courier" w:hAnsi="Courier"/>
      <w:b/>
      <w:lang w:val="x-none" w:eastAsia="cs-CZ"/>
    </w:rPr>
  </w:style>
  <w:style w:type="character" w:customStyle="1" w:styleId="PredmetkomentraChar1287">
    <w:name w:val="Predmet komentára Char1287"/>
    <w:aliases w:val="Char6 Char Char1288,Predmet komentára Char Char Char1288,Comment Subject Char Char Char1288"/>
    <w:uiPriority w:val="99"/>
    <w:semiHidden/>
    <w:rsid w:val="00A809E7"/>
    <w:rPr>
      <w:rFonts w:ascii="Courier" w:hAnsi="Courier"/>
      <w:b/>
      <w:lang w:val="x-none" w:eastAsia="cs-CZ"/>
    </w:rPr>
  </w:style>
  <w:style w:type="character" w:customStyle="1" w:styleId="PredmetkomentraChar1286">
    <w:name w:val="Predmet komentára Char1286"/>
    <w:aliases w:val="Char6 Char Char1287,Predmet komentára Char Char Char1287,Comment Subject Char Char Char1287"/>
    <w:uiPriority w:val="99"/>
    <w:semiHidden/>
    <w:rsid w:val="00A809E7"/>
    <w:rPr>
      <w:rFonts w:ascii="Courier" w:hAnsi="Courier"/>
      <w:b/>
      <w:lang w:val="x-none" w:eastAsia="cs-CZ"/>
    </w:rPr>
  </w:style>
  <w:style w:type="character" w:customStyle="1" w:styleId="PredmetkomentraChar1285">
    <w:name w:val="Predmet komentára Char1285"/>
    <w:aliases w:val="Char6 Char Char1286,Predmet komentára Char Char Char1286,Comment Subject Char Char Char1286"/>
    <w:uiPriority w:val="99"/>
    <w:semiHidden/>
    <w:rsid w:val="00A809E7"/>
    <w:rPr>
      <w:rFonts w:ascii="Courier" w:hAnsi="Courier"/>
      <w:b/>
      <w:lang w:val="x-none" w:eastAsia="cs-CZ"/>
    </w:rPr>
  </w:style>
  <w:style w:type="character" w:customStyle="1" w:styleId="PredmetkomentraChar1284">
    <w:name w:val="Predmet komentára Char1284"/>
    <w:aliases w:val="Char6 Char Char1285,Predmet komentára Char Char Char1285,Comment Subject Char Char Char1285"/>
    <w:uiPriority w:val="99"/>
    <w:semiHidden/>
    <w:rsid w:val="00A809E7"/>
    <w:rPr>
      <w:rFonts w:ascii="Courier" w:hAnsi="Courier"/>
      <w:b/>
      <w:lang w:val="x-none" w:eastAsia="cs-CZ"/>
    </w:rPr>
  </w:style>
  <w:style w:type="character" w:customStyle="1" w:styleId="PredmetkomentraChar1283">
    <w:name w:val="Predmet komentára Char1283"/>
    <w:aliases w:val="Char6 Char Char1284,Predmet komentára Char Char Char1284,Comment Subject Char Char Char1284"/>
    <w:uiPriority w:val="99"/>
    <w:semiHidden/>
    <w:rsid w:val="00A809E7"/>
    <w:rPr>
      <w:rFonts w:ascii="Courier" w:hAnsi="Courier"/>
      <w:b/>
      <w:lang w:val="x-none" w:eastAsia="cs-CZ"/>
    </w:rPr>
  </w:style>
  <w:style w:type="character" w:customStyle="1" w:styleId="PredmetkomentraChar1282">
    <w:name w:val="Predmet komentára Char1282"/>
    <w:aliases w:val="Char6 Char Char1283,Predmet komentára Char Char Char1283,Comment Subject Char Char Char1283"/>
    <w:uiPriority w:val="99"/>
    <w:semiHidden/>
    <w:rsid w:val="00A809E7"/>
    <w:rPr>
      <w:rFonts w:ascii="Courier" w:hAnsi="Courier"/>
      <w:b/>
      <w:lang w:val="x-none" w:eastAsia="cs-CZ"/>
    </w:rPr>
  </w:style>
  <w:style w:type="character" w:customStyle="1" w:styleId="PredmetkomentraChar1281">
    <w:name w:val="Predmet komentára Char1281"/>
    <w:aliases w:val="Char6 Char Char1282,Predmet komentára Char Char Char1282,Comment Subject Char Char Char1282"/>
    <w:uiPriority w:val="99"/>
    <w:semiHidden/>
    <w:rsid w:val="00A809E7"/>
    <w:rPr>
      <w:rFonts w:ascii="Courier" w:hAnsi="Courier"/>
      <w:b/>
      <w:lang w:val="x-none" w:eastAsia="cs-CZ"/>
    </w:rPr>
  </w:style>
  <w:style w:type="character" w:customStyle="1" w:styleId="PredmetkomentraChar1280">
    <w:name w:val="Predmet komentára Char1280"/>
    <w:aliases w:val="Char6 Char Char1281,Predmet komentára Char Char Char1281,Comment Subject Char Char Char1281"/>
    <w:uiPriority w:val="99"/>
    <w:semiHidden/>
    <w:rsid w:val="00A809E7"/>
    <w:rPr>
      <w:rFonts w:ascii="Courier" w:hAnsi="Courier"/>
      <w:b/>
      <w:lang w:val="x-none" w:eastAsia="cs-CZ"/>
    </w:rPr>
  </w:style>
  <w:style w:type="character" w:customStyle="1" w:styleId="PredmetkomentraChar1279">
    <w:name w:val="Predmet komentára Char1279"/>
    <w:aliases w:val="Char6 Char Char1280,Predmet komentára Char Char Char1280,Comment Subject Char Char Char1280"/>
    <w:uiPriority w:val="99"/>
    <w:semiHidden/>
    <w:rsid w:val="00A809E7"/>
    <w:rPr>
      <w:rFonts w:ascii="Courier" w:hAnsi="Courier"/>
      <w:b/>
      <w:lang w:val="x-none" w:eastAsia="cs-CZ"/>
    </w:rPr>
  </w:style>
  <w:style w:type="character" w:customStyle="1" w:styleId="PredmetkomentraChar1278">
    <w:name w:val="Predmet komentára Char1278"/>
    <w:aliases w:val="Char6 Char Char1279,Predmet komentára Char Char Char1279,Comment Subject Char Char Char1279"/>
    <w:uiPriority w:val="99"/>
    <w:semiHidden/>
    <w:rsid w:val="00A809E7"/>
    <w:rPr>
      <w:rFonts w:ascii="Courier" w:hAnsi="Courier"/>
      <w:b/>
      <w:lang w:val="x-none" w:eastAsia="cs-CZ"/>
    </w:rPr>
  </w:style>
  <w:style w:type="character" w:customStyle="1" w:styleId="PredmetkomentraChar1277">
    <w:name w:val="Predmet komentára Char1277"/>
    <w:aliases w:val="Char6 Char Char1278,Predmet komentára Char Char Char1278,Comment Subject Char Char Char1278"/>
    <w:uiPriority w:val="99"/>
    <w:semiHidden/>
    <w:rsid w:val="00A809E7"/>
    <w:rPr>
      <w:rFonts w:ascii="Courier" w:hAnsi="Courier"/>
      <w:b/>
      <w:lang w:val="x-none" w:eastAsia="cs-CZ"/>
    </w:rPr>
  </w:style>
  <w:style w:type="character" w:customStyle="1" w:styleId="PredmetkomentraChar1276">
    <w:name w:val="Predmet komentára Char1276"/>
    <w:aliases w:val="Char6 Char Char1277,Predmet komentára Char Char Char1277,Comment Subject Char Char Char1277"/>
    <w:uiPriority w:val="99"/>
    <w:semiHidden/>
    <w:rsid w:val="00A809E7"/>
    <w:rPr>
      <w:rFonts w:ascii="Courier" w:hAnsi="Courier"/>
      <w:b/>
      <w:lang w:val="x-none" w:eastAsia="cs-CZ"/>
    </w:rPr>
  </w:style>
  <w:style w:type="character" w:customStyle="1" w:styleId="PredmetkomentraChar1275">
    <w:name w:val="Predmet komentára Char1275"/>
    <w:aliases w:val="Char6 Char Char1276,Predmet komentára Char Char Char1276,Comment Subject Char Char Char1276"/>
    <w:uiPriority w:val="99"/>
    <w:semiHidden/>
    <w:rsid w:val="00A809E7"/>
    <w:rPr>
      <w:rFonts w:ascii="Courier" w:hAnsi="Courier"/>
      <w:b/>
      <w:lang w:val="x-none" w:eastAsia="cs-CZ"/>
    </w:rPr>
  </w:style>
  <w:style w:type="character" w:customStyle="1" w:styleId="PredmetkomentraChar1274">
    <w:name w:val="Predmet komentára Char1274"/>
    <w:aliases w:val="Char6 Char Char1275,Predmet komentára Char Char Char1275,Comment Subject Char Char Char1275"/>
    <w:uiPriority w:val="99"/>
    <w:semiHidden/>
    <w:rsid w:val="00A809E7"/>
    <w:rPr>
      <w:rFonts w:ascii="Courier" w:hAnsi="Courier"/>
      <w:b/>
      <w:lang w:val="x-none" w:eastAsia="cs-CZ"/>
    </w:rPr>
  </w:style>
  <w:style w:type="character" w:customStyle="1" w:styleId="PredmetkomentraChar1273">
    <w:name w:val="Predmet komentára Char1273"/>
    <w:aliases w:val="Char6 Char Char1274,Predmet komentára Char Char Char1274,Comment Subject Char Char Char1274"/>
    <w:uiPriority w:val="99"/>
    <w:semiHidden/>
    <w:rsid w:val="00A809E7"/>
    <w:rPr>
      <w:rFonts w:ascii="Courier" w:hAnsi="Courier"/>
      <w:b/>
      <w:lang w:val="x-none" w:eastAsia="cs-CZ"/>
    </w:rPr>
  </w:style>
  <w:style w:type="character" w:customStyle="1" w:styleId="PredmetkomentraChar1272">
    <w:name w:val="Predmet komentára Char1272"/>
    <w:aliases w:val="Char6 Char Char1273,Predmet komentára Char Char Char1273,Comment Subject Char Char Char1273"/>
    <w:uiPriority w:val="99"/>
    <w:semiHidden/>
    <w:rsid w:val="00A809E7"/>
    <w:rPr>
      <w:rFonts w:ascii="Courier" w:hAnsi="Courier"/>
      <w:b/>
      <w:lang w:val="x-none" w:eastAsia="cs-CZ"/>
    </w:rPr>
  </w:style>
  <w:style w:type="character" w:customStyle="1" w:styleId="PredmetkomentraChar1271">
    <w:name w:val="Predmet komentára Char1271"/>
    <w:aliases w:val="Char6 Char Char1272,Predmet komentára Char Char Char1272,Comment Subject Char Char Char1272"/>
    <w:uiPriority w:val="99"/>
    <w:semiHidden/>
    <w:rsid w:val="00A809E7"/>
    <w:rPr>
      <w:rFonts w:ascii="Courier" w:hAnsi="Courier"/>
      <w:b/>
      <w:lang w:val="x-none" w:eastAsia="cs-CZ"/>
    </w:rPr>
  </w:style>
  <w:style w:type="character" w:customStyle="1" w:styleId="PredmetkomentraChar1270">
    <w:name w:val="Predmet komentára Char1270"/>
    <w:aliases w:val="Char6 Char Char1271,Predmet komentára Char Char Char1271,Comment Subject Char Char Char1271"/>
    <w:uiPriority w:val="99"/>
    <w:semiHidden/>
    <w:rsid w:val="00A809E7"/>
    <w:rPr>
      <w:rFonts w:ascii="Courier" w:hAnsi="Courier"/>
      <w:b/>
      <w:lang w:val="x-none" w:eastAsia="cs-CZ"/>
    </w:rPr>
  </w:style>
  <w:style w:type="character" w:customStyle="1" w:styleId="PredmetkomentraChar1269">
    <w:name w:val="Predmet komentára Char1269"/>
    <w:aliases w:val="Char6 Char Char1270,Predmet komentára Char Char Char1270,Comment Subject Char Char Char1270"/>
    <w:uiPriority w:val="99"/>
    <w:semiHidden/>
    <w:rsid w:val="00A809E7"/>
    <w:rPr>
      <w:rFonts w:ascii="Courier" w:hAnsi="Courier"/>
      <w:b/>
      <w:lang w:val="x-none" w:eastAsia="cs-CZ"/>
    </w:rPr>
  </w:style>
  <w:style w:type="character" w:customStyle="1" w:styleId="PredmetkomentraChar1268">
    <w:name w:val="Predmet komentára Char1268"/>
    <w:aliases w:val="Char6 Char Char1269,Predmet komentára Char Char Char1269,Comment Subject Char Char Char1269"/>
    <w:uiPriority w:val="99"/>
    <w:semiHidden/>
    <w:rsid w:val="00A809E7"/>
    <w:rPr>
      <w:rFonts w:ascii="Courier" w:hAnsi="Courier"/>
      <w:b/>
      <w:lang w:val="x-none" w:eastAsia="cs-CZ"/>
    </w:rPr>
  </w:style>
  <w:style w:type="character" w:customStyle="1" w:styleId="PredmetkomentraChar1267">
    <w:name w:val="Predmet komentára Char1267"/>
    <w:aliases w:val="Char6 Char Char1268,Predmet komentára Char Char Char1268,Comment Subject Char Char Char1268"/>
    <w:uiPriority w:val="99"/>
    <w:semiHidden/>
    <w:rsid w:val="00A809E7"/>
    <w:rPr>
      <w:rFonts w:ascii="Courier" w:hAnsi="Courier"/>
      <w:b/>
      <w:lang w:val="x-none" w:eastAsia="cs-CZ"/>
    </w:rPr>
  </w:style>
  <w:style w:type="character" w:customStyle="1" w:styleId="PredmetkomentraChar1266">
    <w:name w:val="Predmet komentára Char1266"/>
    <w:aliases w:val="Char6 Char Char1267,Predmet komentára Char Char Char1267,Comment Subject Char Char Char1267"/>
    <w:uiPriority w:val="99"/>
    <w:semiHidden/>
    <w:rsid w:val="00A809E7"/>
    <w:rPr>
      <w:rFonts w:ascii="Courier" w:hAnsi="Courier"/>
      <w:b/>
      <w:lang w:val="x-none" w:eastAsia="cs-CZ"/>
    </w:rPr>
  </w:style>
  <w:style w:type="character" w:customStyle="1" w:styleId="PredmetkomentraChar1265">
    <w:name w:val="Predmet komentára Char1265"/>
    <w:aliases w:val="Char6 Char Char1266,Predmet komentára Char Char Char1266,Comment Subject Char Char Char1266"/>
    <w:uiPriority w:val="99"/>
    <w:semiHidden/>
    <w:rsid w:val="00A809E7"/>
    <w:rPr>
      <w:rFonts w:ascii="Courier" w:hAnsi="Courier"/>
      <w:b/>
      <w:lang w:val="x-none" w:eastAsia="cs-CZ"/>
    </w:rPr>
  </w:style>
  <w:style w:type="character" w:customStyle="1" w:styleId="PredmetkomentraChar1264">
    <w:name w:val="Predmet komentára Char1264"/>
    <w:aliases w:val="Char6 Char Char1265,Predmet komentára Char Char Char1265,Comment Subject Char Char Char1265"/>
    <w:uiPriority w:val="99"/>
    <w:semiHidden/>
    <w:rsid w:val="00A809E7"/>
    <w:rPr>
      <w:rFonts w:ascii="Courier" w:hAnsi="Courier"/>
      <w:b/>
      <w:lang w:val="x-none" w:eastAsia="cs-CZ"/>
    </w:rPr>
  </w:style>
  <w:style w:type="character" w:customStyle="1" w:styleId="PredmetkomentraChar1263">
    <w:name w:val="Predmet komentára Char1263"/>
    <w:aliases w:val="Char6 Char Char1264,Predmet komentára Char Char Char1264,Comment Subject Char Char Char1264"/>
    <w:uiPriority w:val="99"/>
    <w:semiHidden/>
    <w:rsid w:val="00A809E7"/>
    <w:rPr>
      <w:rFonts w:ascii="Courier" w:hAnsi="Courier"/>
      <w:b/>
      <w:lang w:val="x-none" w:eastAsia="cs-CZ"/>
    </w:rPr>
  </w:style>
  <w:style w:type="character" w:customStyle="1" w:styleId="PredmetkomentraChar1262">
    <w:name w:val="Predmet komentára Char1262"/>
    <w:aliases w:val="Char6 Char Char1263,Predmet komentára Char Char Char1263,Comment Subject Char Char Char1263"/>
    <w:uiPriority w:val="99"/>
    <w:semiHidden/>
    <w:rsid w:val="00A809E7"/>
    <w:rPr>
      <w:rFonts w:ascii="Courier" w:hAnsi="Courier"/>
      <w:b/>
      <w:lang w:val="x-none" w:eastAsia="cs-CZ"/>
    </w:rPr>
  </w:style>
  <w:style w:type="character" w:customStyle="1" w:styleId="PredmetkomentraChar1261">
    <w:name w:val="Predmet komentára Char1261"/>
    <w:aliases w:val="Char6 Char Char1262,Predmet komentára Char Char Char1262,Comment Subject Char Char Char1262"/>
    <w:uiPriority w:val="99"/>
    <w:semiHidden/>
    <w:rsid w:val="00A809E7"/>
    <w:rPr>
      <w:rFonts w:ascii="Courier" w:hAnsi="Courier"/>
      <w:b/>
      <w:lang w:val="x-none" w:eastAsia="cs-CZ"/>
    </w:rPr>
  </w:style>
  <w:style w:type="character" w:customStyle="1" w:styleId="PredmetkomentraChar1260">
    <w:name w:val="Predmet komentára Char1260"/>
    <w:aliases w:val="Char6 Char Char1261,Predmet komentára Char Char Char1261,Comment Subject Char Char Char1261"/>
    <w:uiPriority w:val="99"/>
    <w:semiHidden/>
    <w:rsid w:val="00A809E7"/>
    <w:rPr>
      <w:rFonts w:ascii="Courier" w:hAnsi="Courier"/>
      <w:b/>
      <w:lang w:val="x-none" w:eastAsia="cs-CZ"/>
    </w:rPr>
  </w:style>
  <w:style w:type="character" w:customStyle="1" w:styleId="PredmetkomentraChar1259">
    <w:name w:val="Predmet komentára Char1259"/>
    <w:aliases w:val="Char6 Char Char1260,Predmet komentára Char Char Char1260,Comment Subject Char Char Char1260"/>
    <w:uiPriority w:val="99"/>
    <w:semiHidden/>
    <w:rsid w:val="00A809E7"/>
    <w:rPr>
      <w:rFonts w:ascii="Courier" w:hAnsi="Courier"/>
      <w:b/>
      <w:lang w:val="x-none" w:eastAsia="cs-CZ"/>
    </w:rPr>
  </w:style>
  <w:style w:type="character" w:customStyle="1" w:styleId="PredmetkomentraChar1258">
    <w:name w:val="Predmet komentára Char1258"/>
    <w:aliases w:val="Char6 Char Char1259,Predmet komentára Char Char Char1259,Comment Subject Char Char Char1259"/>
    <w:uiPriority w:val="99"/>
    <w:semiHidden/>
    <w:rsid w:val="00A809E7"/>
    <w:rPr>
      <w:rFonts w:ascii="Courier" w:hAnsi="Courier"/>
      <w:b/>
      <w:lang w:val="x-none" w:eastAsia="cs-CZ"/>
    </w:rPr>
  </w:style>
  <w:style w:type="character" w:customStyle="1" w:styleId="PredmetkomentraChar1257">
    <w:name w:val="Predmet komentára Char1257"/>
    <w:aliases w:val="Char6 Char Char1258,Predmet komentára Char Char Char1258,Comment Subject Char Char Char1258"/>
    <w:uiPriority w:val="99"/>
    <w:semiHidden/>
    <w:rsid w:val="00A809E7"/>
    <w:rPr>
      <w:rFonts w:ascii="Courier" w:hAnsi="Courier"/>
      <w:b/>
      <w:lang w:val="x-none" w:eastAsia="cs-CZ"/>
    </w:rPr>
  </w:style>
  <w:style w:type="character" w:customStyle="1" w:styleId="PredmetkomentraChar1256">
    <w:name w:val="Predmet komentára Char1256"/>
    <w:aliases w:val="Char6 Char Char1257,Predmet komentára Char Char Char1257,Comment Subject Char Char Char1257"/>
    <w:uiPriority w:val="99"/>
    <w:semiHidden/>
    <w:rsid w:val="00A809E7"/>
    <w:rPr>
      <w:rFonts w:ascii="Courier" w:hAnsi="Courier"/>
      <w:b/>
      <w:lang w:val="x-none" w:eastAsia="cs-CZ"/>
    </w:rPr>
  </w:style>
  <w:style w:type="character" w:customStyle="1" w:styleId="PredmetkomentraChar1255">
    <w:name w:val="Predmet komentára Char1255"/>
    <w:aliases w:val="Char6 Char Char1256,Predmet komentára Char Char Char1256,Comment Subject Char Char Char1256"/>
    <w:uiPriority w:val="99"/>
    <w:semiHidden/>
    <w:rsid w:val="00A809E7"/>
    <w:rPr>
      <w:rFonts w:ascii="Courier" w:hAnsi="Courier"/>
      <w:b/>
      <w:lang w:val="x-none" w:eastAsia="cs-CZ"/>
    </w:rPr>
  </w:style>
  <w:style w:type="character" w:customStyle="1" w:styleId="PredmetkomentraChar1254">
    <w:name w:val="Predmet komentára Char1254"/>
    <w:aliases w:val="Char6 Char Char1255,Predmet komentára Char Char Char1255,Comment Subject Char Char Char1255"/>
    <w:uiPriority w:val="99"/>
    <w:semiHidden/>
    <w:rsid w:val="00A809E7"/>
    <w:rPr>
      <w:rFonts w:ascii="Courier" w:hAnsi="Courier"/>
      <w:b/>
      <w:lang w:val="x-none" w:eastAsia="cs-CZ"/>
    </w:rPr>
  </w:style>
  <w:style w:type="character" w:customStyle="1" w:styleId="PredmetkomentraChar1253">
    <w:name w:val="Predmet komentára Char1253"/>
    <w:aliases w:val="Char6 Char Char1254,Predmet komentára Char Char Char1254,Comment Subject Char Char Char1254"/>
    <w:uiPriority w:val="99"/>
    <w:semiHidden/>
    <w:rsid w:val="00A809E7"/>
    <w:rPr>
      <w:rFonts w:ascii="Courier" w:hAnsi="Courier"/>
      <w:b/>
      <w:lang w:val="x-none" w:eastAsia="cs-CZ"/>
    </w:rPr>
  </w:style>
  <w:style w:type="character" w:customStyle="1" w:styleId="PredmetkomentraChar1252">
    <w:name w:val="Predmet komentára Char1252"/>
    <w:aliases w:val="Char6 Char Char1253,Predmet komentára Char Char Char1253,Comment Subject Char Char Char1253"/>
    <w:uiPriority w:val="99"/>
    <w:semiHidden/>
    <w:rsid w:val="00A809E7"/>
    <w:rPr>
      <w:rFonts w:ascii="Courier" w:hAnsi="Courier"/>
      <w:b/>
      <w:lang w:val="x-none" w:eastAsia="cs-CZ"/>
    </w:rPr>
  </w:style>
  <w:style w:type="character" w:customStyle="1" w:styleId="PredmetkomentraChar1251">
    <w:name w:val="Predmet komentára Char1251"/>
    <w:aliases w:val="Char6 Char Char1252,Predmet komentára Char Char Char1252,Comment Subject Char Char Char1252"/>
    <w:uiPriority w:val="99"/>
    <w:semiHidden/>
    <w:rsid w:val="00A809E7"/>
    <w:rPr>
      <w:rFonts w:ascii="Courier" w:hAnsi="Courier"/>
      <w:b/>
      <w:lang w:val="x-none" w:eastAsia="cs-CZ"/>
    </w:rPr>
  </w:style>
  <w:style w:type="character" w:customStyle="1" w:styleId="PredmetkomentraChar1250">
    <w:name w:val="Predmet komentára Char1250"/>
    <w:aliases w:val="Char6 Char Char1251,Predmet komentára Char Char Char1251,Comment Subject Char Char Char1251"/>
    <w:uiPriority w:val="99"/>
    <w:semiHidden/>
    <w:rsid w:val="00A809E7"/>
    <w:rPr>
      <w:rFonts w:ascii="Courier" w:hAnsi="Courier"/>
      <w:b/>
      <w:lang w:val="x-none" w:eastAsia="cs-CZ"/>
    </w:rPr>
  </w:style>
  <w:style w:type="character" w:customStyle="1" w:styleId="PredmetkomentraChar1249">
    <w:name w:val="Predmet komentára Char1249"/>
    <w:aliases w:val="Char6 Char Char1250,Predmet komentára Char Char Char1250,Comment Subject Char Char Char1250"/>
    <w:uiPriority w:val="99"/>
    <w:semiHidden/>
    <w:rsid w:val="00A809E7"/>
    <w:rPr>
      <w:rFonts w:ascii="Courier" w:hAnsi="Courier"/>
      <w:b/>
      <w:lang w:val="x-none" w:eastAsia="cs-CZ"/>
    </w:rPr>
  </w:style>
  <w:style w:type="character" w:customStyle="1" w:styleId="PredmetkomentraChar1248">
    <w:name w:val="Predmet komentára Char1248"/>
    <w:aliases w:val="Char6 Char Char1249,Predmet komentára Char Char Char1249,Comment Subject Char Char Char1249"/>
    <w:uiPriority w:val="99"/>
    <w:semiHidden/>
    <w:rsid w:val="00A809E7"/>
    <w:rPr>
      <w:rFonts w:ascii="Courier" w:hAnsi="Courier"/>
      <w:b/>
      <w:lang w:val="x-none" w:eastAsia="cs-CZ"/>
    </w:rPr>
  </w:style>
  <w:style w:type="character" w:customStyle="1" w:styleId="PredmetkomentraChar1247">
    <w:name w:val="Predmet komentára Char1247"/>
    <w:aliases w:val="Char6 Char Char1248,Predmet komentára Char Char Char1248,Comment Subject Char Char Char1248"/>
    <w:uiPriority w:val="99"/>
    <w:semiHidden/>
    <w:rsid w:val="00A809E7"/>
    <w:rPr>
      <w:rFonts w:ascii="Courier" w:hAnsi="Courier"/>
      <w:b/>
      <w:lang w:val="x-none" w:eastAsia="cs-CZ"/>
    </w:rPr>
  </w:style>
  <w:style w:type="character" w:customStyle="1" w:styleId="PredmetkomentraChar1246">
    <w:name w:val="Predmet komentára Char1246"/>
    <w:aliases w:val="Char6 Char Char1247,Predmet komentára Char Char Char1247,Comment Subject Char Char Char1247"/>
    <w:uiPriority w:val="99"/>
    <w:semiHidden/>
    <w:rsid w:val="00A809E7"/>
    <w:rPr>
      <w:rFonts w:ascii="Courier" w:hAnsi="Courier"/>
      <w:b/>
      <w:lang w:val="x-none" w:eastAsia="cs-CZ"/>
    </w:rPr>
  </w:style>
  <w:style w:type="character" w:customStyle="1" w:styleId="PredmetkomentraChar1245">
    <w:name w:val="Predmet komentára Char1245"/>
    <w:aliases w:val="Char6 Char Char1246,Predmet komentára Char Char Char1246,Comment Subject Char Char Char1246"/>
    <w:uiPriority w:val="99"/>
    <w:semiHidden/>
    <w:rsid w:val="00A809E7"/>
    <w:rPr>
      <w:rFonts w:ascii="Courier" w:hAnsi="Courier"/>
      <w:b/>
      <w:lang w:val="x-none" w:eastAsia="cs-CZ"/>
    </w:rPr>
  </w:style>
  <w:style w:type="character" w:customStyle="1" w:styleId="PredmetkomentraChar1244">
    <w:name w:val="Predmet komentára Char1244"/>
    <w:aliases w:val="Char6 Char Char1245,Predmet komentára Char Char Char1245,Comment Subject Char Char Char1245"/>
    <w:uiPriority w:val="99"/>
    <w:semiHidden/>
    <w:rsid w:val="00A809E7"/>
    <w:rPr>
      <w:rFonts w:ascii="Courier" w:hAnsi="Courier"/>
      <w:b/>
      <w:lang w:val="x-none" w:eastAsia="cs-CZ"/>
    </w:rPr>
  </w:style>
  <w:style w:type="character" w:customStyle="1" w:styleId="PredmetkomentraChar1243">
    <w:name w:val="Predmet komentára Char1243"/>
    <w:aliases w:val="Char6 Char Char1244,Predmet komentára Char Char Char1244,Comment Subject Char Char Char1244"/>
    <w:uiPriority w:val="99"/>
    <w:semiHidden/>
    <w:rsid w:val="00A809E7"/>
    <w:rPr>
      <w:rFonts w:ascii="Courier" w:hAnsi="Courier"/>
      <w:b/>
      <w:lang w:val="x-none" w:eastAsia="cs-CZ"/>
    </w:rPr>
  </w:style>
  <w:style w:type="character" w:customStyle="1" w:styleId="PredmetkomentraChar1242">
    <w:name w:val="Predmet komentára Char1242"/>
    <w:aliases w:val="Char6 Char Char1243,Predmet komentára Char Char Char1243,Comment Subject Char Char Char1243"/>
    <w:uiPriority w:val="99"/>
    <w:semiHidden/>
    <w:rsid w:val="00A809E7"/>
    <w:rPr>
      <w:rFonts w:ascii="Courier" w:hAnsi="Courier"/>
      <w:b/>
      <w:lang w:val="x-none" w:eastAsia="cs-CZ"/>
    </w:rPr>
  </w:style>
  <w:style w:type="character" w:customStyle="1" w:styleId="PredmetkomentraChar1241">
    <w:name w:val="Predmet komentára Char1241"/>
    <w:aliases w:val="Char6 Char Char1242,Predmet komentára Char Char Char1242,Comment Subject Char Char Char1242"/>
    <w:uiPriority w:val="99"/>
    <w:semiHidden/>
    <w:rsid w:val="00A809E7"/>
    <w:rPr>
      <w:rFonts w:ascii="Courier" w:hAnsi="Courier"/>
      <w:b/>
      <w:lang w:val="x-none" w:eastAsia="cs-CZ"/>
    </w:rPr>
  </w:style>
  <w:style w:type="character" w:customStyle="1" w:styleId="PredmetkomentraChar1240">
    <w:name w:val="Predmet komentára Char1240"/>
    <w:aliases w:val="Char6 Char Char1241,Predmet komentára Char Char Char1241,Comment Subject Char Char Char1241"/>
    <w:uiPriority w:val="99"/>
    <w:semiHidden/>
    <w:rsid w:val="00A809E7"/>
    <w:rPr>
      <w:rFonts w:ascii="Courier" w:hAnsi="Courier"/>
      <w:b/>
      <w:lang w:val="x-none" w:eastAsia="cs-CZ"/>
    </w:rPr>
  </w:style>
  <w:style w:type="character" w:customStyle="1" w:styleId="PredmetkomentraChar1239">
    <w:name w:val="Predmet komentára Char1239"/>
    <w:aliases w:val="Char6 Char Char1240,Predmet komentára Char Char Char1240,Comment Subject Char Char Char1240"/>
    <w:uiPriority w:val="99"/>
    <w:semiHidden/>
    <w:rsid w:val="00A809E7"/>
    <w:rPr>
      <w:rFonts w:ascii="Courier" w:hAnsi="Courier"/>
      <w:b/>
      <w:lang w:val="x-none" w:eastAsia="cs-CZ"/>
    </w:rPr>
  </w:style>
  <w:style w:type="character" w:customStyle="1" w:styleId="PredmetkomentraChar1238">
    <w:name w:val="Predmet komentára Char1238"/>
    <w:aliases w:val="Char6 Char Char1239,Predmet komentára Char Char Char1239,Comment Subject Char Char Char1239"/>
    <w:uiPriority w:val="99"/>
    <w:semiHidden/>
    <w:rsid w:val="00A809E7"/>
    <w:rPr>
      <w:rFonts w:ascii="Courier" w:hAnsi="Courier"/>
      <w:b/>
      <w:lang w:val="x-none" w:eastAsia="cs-CZ"/>
    </w:rPr>
  </w:style>
  <w:style w:type="character" w:customStyle="1" w:styleId="PredmetkomentraChar1237">
    <w:name w:val="Predmet komentára Char1237"/>
    <w:aliases w:val="Char6 Char Char1238,Predmet komentára Char Char Char1238,Comment Subject Char Char Char1238"/>
    <w:uiPriority w:val="99"/>
    <w:semiHidden/>
    <w:rsid w:val="00A809E7"/>
    <w:rPr>
      <w:rFonts w:ascii="Courier" w:hAnsi="Courier"/>
      <w:b/>
      <w:lang w:val="x-none" w:eastAsia="cs-CZ"/>
    </w:rPr>
  </w:style>
  <w:style w:type="character" w:customStyle="1" w:styleId="PredmetkomentraChar1236">
    <w:name w:val="Predmet komentára Char1236"/>
    <w:aliases w:val="Char6 Char Char1237,Predmet komentára Char Char Char1237,Comment Subject Char Char Char1237"/>
    <w:uiPriority w:val="99"/>
    <w:semiHidden/>
    <w:rsid w:val="00A809E7"/>
    <w:rPr>
      <w:rFonts w:ascii="Courier" w:hAnsi="Courier"/>
      <w:b/>
      <w:lang w:val="x-none" w:eastAsia="cs-CZ"/>
    </w:rPr>
  </w:style>
  <w:style w:type="character" w:customStyle="1" w:styleId="PredmetkomentraChar1235">
    <w:name w:val="Predmet komentára Char1235"/>
    <w:aliases w:val="Char6 Char Char1236,Predmet komentára Char Char Char1236,Comment Subject Char Char Char1236"/>
    <w:uiPriority w:val="99"/>
    <w:semiHidden/>
    <w:rsid w:val="00A809E7"/>
    <w:rPr>
      <w:rFonts w:ascii="Courier" w:hAnsi="Courier"/>
      <w:b/>
      <w:lang w:val="x-none" w:eastAsia="cs-CZ"/>
    </w:rPr>
  </w:style>
  <w:style w:type="character" w:customStyle="1" w:styleId="PredmetkomentraChar1234">
    <w:name w:val="Predmet komentára Char1234"/>
    <w:aliases w:val="Char6 Char Char1235,Predmet komentára Char Char Char1235,Comment Subject Char Char Char1235"/>
    <w:uiPriority w:val="99"/>
    <w:semiHidden/>
    <w:rsid w:val="00A809E7"/>
    <w:rPr>
      <w:rFonts w:ascii="Courier" w:hAnsi="Courier"/>
      <w:b/>
      <w:lang w:val="x-none" w:eastAsia="cs-CZ"/>
    </w:rPr>
  </w:style>
  <w:style w:type="character" w:customStyle="1" w:styleId="PredmetkomentraChar1233">
    <w:name w:val="Predmet komentára Char1233"/>
    <w:aliases w:val="Char6 Char Char1234,Predmet komentára Char Char Char1234,Comment Subject Char Char Char1234"/>
    <w:uiPriority w:val="99"/>
    <w:semiHidden/>
    <w:rsid w:val="00A809E7"/>
    <w:rPr>
      <w:rFonts w:ascii="Courier" w:hAnsi="Courier"/>
      <w:b/>
      <w:lang w:val="x-none" w:eastAsia="cs-CZ"/>
    </w:rPr>
  </w:style>
  <w:style w:type="character" w:customStyle="1" w:styleId="PredmetkomentraChar1232">
    <w:name w:val="Predmet komentára Char1232"/>
    <w:aliases w:val="Char6 Char Char1233,Predmet komentára Char Char Char1233,Comment Subject Char Char Char1233"/>
    <w:uiPriority w:val="99"/>
    <w:semiHidden/>
    <w:rsid w:val="00A809E7"/>
    <w:rPr>
      <w:rFonts w:ascii="Courier" w:hAnsi="Courier"/>
      <w:b/>
      <w:lang w:val="x-none" w:eastAsia="cs-CZ"/>
    </w:rPr>
  </w:style>
  <w:style w:type="character" w:customStyle="1" w:styleId="PredmetkomentraChar1231">
    <w:name w:val="Predmet komentára Char1231"/>
    <w:aliases w:val="Char6 Char Char1232,Predmet komentára Char Char Char1232,Comment Subject Char Char Char1232"/>
    <w:uiPriority w:val="99"/>
    <w:semiHidden/>
    <w:rsid w:val="00A809E7"/>
    <w:rPr>
      <w:rFonts w:ascii="Courier" w:hAnsi="Courier"/>
      <w:b/>
      <w:lang w:val="x-none" w:eastAsia="cs-CZ"/>
    </w:rPr>
  </w:style>
  <w:style w:type="character" w:customStyle="1" w:styleId="PredmetkomentraChar1230">
    <w:name w:val="Predmet komentára Char1230"/>
    <w:aliases w:val="Char6 Char Char1231,Predmet komentára Char Char Char1231,Comment Subject Char Char Char1231"/>
    <w:uiPriority w:val="99"/>
    <w:semiHidden/>
    <w:rsid w:val="00A809E7"/>
    <w:rPr>
      <w:rFonts w:ascii="Courier" w:hAnsi="Courier"/>
      <w:b/>
      <w:lang w:val="x-none" w:eastAsia="cs-CZ"/>
    </w:rPr>
  </w:style>
  <w:style w:type="character" w:customStyle="1" w:styleId="PredmetkomentraChar1229">
    <w:name w:val="Predmet komentára Char1229"/>
    <w:aliases w:val="Char6 Char Char1230,Predmet komentára Char Char Char1230,Comment Subject Char Char Char1230"/>
    <w:uiPriority w:val="99"/>
    <w:semiHidden/>
    <w:rsid w:val="00A809E7"/>
    <w:rPr>
      <w:rFonts w:ascii="Courier" w:hAnsi="Courier"/>
      <w:b/>
      <w:lang w:val="x-none" w:eastAsia="cs-CZ"/>
    </w:rPr>
  </w:style>
  <w:style w:type="character" w:customStyle="1" w:styleId="PredmetkomentraChar1228">
    <w:name w:val="Predmet komentára Char1228"/>
    <w:aliases w:val="Char6 Char Char1229,Predmet komentára Char Char Char1229,Comment Subject Char Char Char1229"/>
    <w:uiPriority w:val="99"/>
    <w:semiHidden/>
    <w:rsid w:val="00A809E7"/>
    <w:rPr>
      <w:rFonts w:ascii="Courier" w:hAnsi="Courier"/>
      <w:b/>
      <w:lang w:val="x-none" w:eastAsia="cs-CZ"/>
    </w:rPr>
  </w:style>
  <w:style w:type="character" w:customStyle="1" w:styleId="PredmetkomentraChar1227">
    <w:name w:val="Predmet komentára Char1227"/>
    <w:aliases w:val="Char6 Char Char1228,Predmet komentára Char Char Char1228,Comment Subject Char Char Char1228"/>
    <w:uiPriority w:val="99"/>
    <w:semiHidden/>
    <w:rsid w:val="00A809E7"/>
    <w:rPr>
      <w:rFonts w:ascii="Courier" w:hAnsi="Courier"/>
      <w:b/>
      <w:lang w:val="x-none" w:eastAsia="cs-CZ"/>
    </w:rPr>
  </w:style>
  <w:style w:type="character" w:customStyle="1" w:styleId="PredmetkomentraChar1226">
    <w:name w:val="Predmet komentára Char1226"/>
    <w:aliases w:val="Char6 Char Char1227,Predmet komentára Char Char Char1227,Comment Subject Char Char Char1227"/>
    <w:uiPriority w:val="99"/>
    <w:semiHidden/>
    <w:rsid w:val="00A809E7"/>
    <w:rPr>
      <w:rFonts w:ascii="Courier" w:hAnsi="Courier"/>
      <w:b/>
      <w:lang w:val="x-none" w:eastAsia="cs-CZ"/>
    </w:rPr>
  </w:style>
  <w:style w:type="character" w:customStyle="1" w:styleId="PredmetkomentraChar1225">
    <w:name w:val="Predmet komentára Char1225"/>
    <w:aliases w:val="Char6 Char Char1226,Predmet komentára Char Char Char1226,Comment Subject Char Char Char1226"/>
    <w:uiPriority w:val="99"/>
    <w:semiHidden/>
    <w:rsid w:val="00A809E7"/>
    <w:rPr>
      <w:rFonts w:ascii="Courier" w:hAnsi="Courier"/>
      <w:b/>
      <w:lang w:val="x-none" w:eastAsia="cs-CZ"/>
    </w:rPr>
  </w:style>
  <w:style w:type="character" w:customStyle="1" w:styleId="PredmetkomentraChar1224">
    <w:name w:val="Predmet komentára Char1224"/>
    <w:aliases w:val="Char6 Char Char1225,Predmet komentára Char Char Char1225,Comment Subject Char Char Char1225"/>
    <w:uiPriority w:val="99"/>
    <w:semiHidden/>
    <w:rsid w:val="00A809E7"/>
    <w:rPr>
      <w:rFonts w:ascii="Courier" w:hAnsi="Courier"/>
      <w:b/>
      <w:lang w:val="x-none" w:eastAsia="cs-CZ"/>
    </w:rPr>
  </w:style>
  <w:style w:type="character" w:customStyle="1" w:styleId="PredmetkomentraChar1223">
    <w:name w:val="Predmet komentára Char1223"/>
    <w:aliases w:val="Char6 Char Char1224,Predmet komentára Char Char Char1224,Comment Subject Char Char Char1224"/>
    <w:uiPriority w:val="99"/>
    <w:semiHidden/>
    <w:rsid w:val="00A809E7"/>
    <w:rPr>
      <w:rFonts w:ascii="Courier" w:hAnsi="Courier"/>
      <w:b/>
      <w:lang w:val="x-none" w:eastAsia="cs-CZ"/>
    </w:rPr>
  </w:style>
  <w:style w:type="character" w:customStyle="1" w:styleId="PredmetkomentraChar1222">
    <w:name w:val="Predmet komentára Char1222"/>
    <w:aliases w:val="Char6 Char Char1223,Predmet komentára Char Char Char1223,Comment Subject Char Char Char1223"/>
    <w:uiPriority w:val="99"/>
    <w:semiHidden/>
    <w:rsid w:val="00A809E7"/>
    <w:rPr>
      <w:rFonts w:ascii="Courier" w:hAnsi="Courier"/>
      <w:b/>
      <w:lang w:val="x-none" w:eastAsia="cs-CZ"/>
    </w:rPr>
  </w:style>
  <w:style w:type="character" w:customStyle="1" w:styleId="PredmetkomentraChar1221">
    <w:name w:val="Predmet komentára Char1221"/>
    <w:aliases w:val="Char6 Char Char1222,Predmet komentára Char Char Char1222,Comment Subject Char Char Char1222"/>
    <w:uiPriority w:val="99"/>
    <w:semiHidden/>
    <w:rsid w:val="00A809E7"/>
    <w:rPr>
      <w:rFonts w:ascii="Courier" w:hAnsi="Courier"/>
      <w:b/>
      <w:lang w:val="x-none" w:eastAsia="cs-CZ"/>
    </w:rPr>
  </w:style>
  <w:style w:type="character" w:customStyle="1" w:styleId="PredmetkomentraChar1220">
    <w:name w:val="Predmet komentára Char1220"/>
    <w:aliases w:val="Char6 Char Char1221,Predmet komentára Char Char Char1221,Comment Subject Char Char Char1221"/>
    <w:uiPriority w:val="99"/>
    <w:semiHidden/>
    <w:rsid w:val="00A809E7"/>
    <w:rPr>
      <w:rFonts w:ascii="Courier" w:hAnsi="Courier"/>
      <w:b/>
      <w:lang w:val="x-none" w:eastAsia="cs-CZ"/>
    </w:rPr>
  </w:style>
  <w:style w:type="character" w:customStyle="1" w:styleId="PredmetkomentraChar1219">
    <w:name w:val="Predmet komentára Char1219"/>
    <w:aliases w:val="Char6 Char Char1220,Predmet komentára Char Char Char1220,Comment Subject Char Char Char1220"/>
    <w:uiPriority w:val="99"/>
    <w:semiHidden/>
    <w:rsid w:val="00A809E7"/>
    <w:rPr>
      <w:rFonts w:ascii="Courier" w:hAnsi="Courier"/>
      <w:b/>
      <w:lang w:val="x-none" w:eastAsia="cs-CZ"/>
    </w:rPr>
  </w:style>
  <w:style w:type="character" w:customStyle="1" w:styleId="PredmetkomentraChar1218">
    <w:name w:val="Predmet komentára Char1218"/>
    <w:aliases w:val="Char6 Char Char1219,Predmet komentára Char Char Char1219,Comment Subject Char Char Char1219"/>
    <w:uiPriority w:val="99"/>
    <w:semiHidden/>
    <w:rsid w:val="00A809E7"/>
    <w:rPr>
      <w:rFonts w:ascii="Courier" w:hAnsi="Courier"/>
      <w:b/>
      <w:lang w:val="x-none" w:eastAsia="cs-CZ"/>
    </w:rPr>
  </w:style>
  <w:style w:type="character" w:customStyle="1" w:styleId="PredmetkomentraChar1217">
    <w:name w:val="Predmet komentára Char1217"/>
    <w:aliases w:val="Char6 Char Char1218,Predmet komentára Char Char Char1218,Comment Subject Char Char Char1218"/>
    <w:uiPriority w:val="99"/>
    <w:semiHidden/>
    <w:rsid w:val="00A809E7"/>
    <w:rPr>
      <w:rFonts w:ascii="Courier" w:hAnsi="Courier"/>
      <w:b/>
      <w:lang w:val="x-none" w:eastAsia="cs-CZ"/>
    </w:rPr>
  </w:style>
  <w:style w:type="character" w:customStyle="1" w:styleId="PredmetkomentraChar1216">
    <w:name w:val="Predmet komentára Char1216"/>
    <w:aliases w:val="Char6 Char Char1217,Predmet komentára Char Char Char1217,Comment Subject Char Char Char1217"/>
    <w:uiPriority w:val="99"/>
    <w:semiHidden/>
    <w:rsid w:val="00A809E7"/>
    <w:rPr>
      <w:rFonts w:ascii="Courier" w:hAnsi="Courier"/>
      <w:b/>
      <w:lang w:val="x-none" w:eastAsia="cs-CZ"/>
    </w:rPr>
  </w:style>
  <w:style w:type="character" w:customStyle="1" w:styleId="PredmetkomentraChar1215">
    <w:name w:val="Predmet komentára Char1215"/>
    <w:aliases w:val="Char6 Char Char1216,Predmet komentára Char Char Char1216,Comment Subject Char Char Char1216"/>
    <w:uiPriority w:val="99"/>
    <w:semiHidden/>
    <w:rsid w:val="00A809E7"/>
    <w:rPr>
      <w:rFonts w:ascii="Courier" w:hAnsi="Courier"/>
      <w:b/>
      <w:lang w:val="x-none" w:eastAsia="cs-CZ"/>
    </w:rPr>
  </w:style>
  <w:style w:type="character" w:customStyle="1" w:styleId="PredmetkomentraChar1214">
    <w:name w:val="Predmet komentára Char1214"/>
    <w:aliases w:val="Char6 Char Char1215,Predmet komentára Char Char Char1215,Comment Subject Char Char Char1215"/>
    <w:uiPriority w:val="99"/>
    <w:semiHidden/>
    <w:rsid w:val="00A809E7"/>
    <w:rPr>
      <w:rFonts w:ascii="Courier" w:hAnsi="Courier"/>
      <w:b/>
      <w:lang w:val="x-none" w:eastAsia="cs-CZ"/>
    </w:rPr>
  </w:style>
  <w:style w:type="character" w:customStyle="1" w:styleId="PredmetkomentraChar1213">
    <w:name w:val="Predmet komentára Char1213"/>
    <w:aliases w:val="Char6 Char Char1214,Predmet komentára Char Char Char1214,Comment Subject Char Char Char1214"/>
    <w:uiPriority w:val="99"/>
    <w:semiHidden/>
    <w:rsid w:val="00A809E7"/>
    <w:rPr>
      <w:rFonts w:ascii="Courier" w:hAnsi="Courier"/>
      <w:b/>
      <w:lang w:val="x-none" w:eastAsia="cs-CZ"/>
    </w:rPr>
  </w:style>
  <w:style w:type="character" w:customStyle="1" w:styleId="PredmetkomentraChar1212">
    <w:name w:val="Predmet komentára Char1212"/>
    <w:aliases w:val="Char6 Char Char1213,Predmet komentára Char Char Char1213,Comment Subject Char Char Char1213"/>
    <w:uiPriority w:val="99"/>
    <w:semiHidden/>
    <w:rsid w:val="00A809E7"/>
    <w:rPr>
      <w:rFonts w:ascii="Courier" w:hAnsi="Courier"/>
      <w:b/>
      <w:lang w:val="x-none" w:eastAsia="cs-CZ"/>
    </w:rPr>
  </w:style>
  <w:style w:type="character" w:customStyle="1" w:styleId="PredmetkomentraChar1211">
    <w:name w:val="Predmet komentára Char1211"/>
    <w:aliases w:val="Char6 Char Char1212,Predmet komentára Char Char Char1212,Comment Subject Char Char Char1212"/>
    <w:uiPriority w:val="99"/>
    <w:semiHidden/>
    <w:rsid w:val="00A809E7"/>
    <w:rPr>
      <w:rFonts w:ascii="Courier" w:hAnsi="Courier"/>
      <w:b/>
      <w:lang w:val="x-none" w:eastAsia="cs-CZ"/>
    </w:rPr>
  </w:style>
  <w:style w:type="character" w:customStyle="1" w:styleId="PredmetkomentraChar1210">
    <w:name w:val="Predmet komentára Char1210"/>
    <w:aliases w:val="Char6 Char Char1211,Predmet komentára Char Char Char1211,Comment Subject Char Char Char1211"/>
    <w:uiPriority w:val="99"/>
    <w:semiHidden/>
    <w:rsid w:val="00A809E7"/>
    <w:rPr>
      <w:rFonts w:ascii="Courier" w:hAnsi="Courier"/>
      <w:b/>
      <w:lang w:val="x-none" w:eastAsia="cs-CZ"/>
    </w:rPr>
  </w:style>
  <w:style w:type="character" w:customStyle="1" w:styleId="PredmetkomentraChar1209">
    <w:name w:val="Predmet komentára Char1209"/>
    <w:aliases w:val="Char6 Char Char1210,Predmet komentára Char Char Char1210,Comment Subject Char Char Char1210"/>
    <w:uiPriority w:val="99"/>
    <w:semiHidden/>
    <w:rsid w:val="00A809E7"/>
    <w:rPr>
      <w:rFonts w:ascii="Courier" w:hAnsi="Courier"/>
      <w:b/>
      <w:lang w:val="x-none" w:eastAsia="cs-CZ"/>
    </w:rPr>
  </w:style>
  <w:style w:type="character" w:customStyle="1" w:styleId="PredmetkomentraChar1208">
    <w:name w:val="Predmet komentára Char1208"/>
    <w:aliases w:val="Char6 Char Char1209,Predmet komentára Char Char Char1209,Comment Subject Char Char Char1209"/>
    <w:uiPriority w:val="99"/>
    <w:semiHidden/>
    <w:rsid w:val="00A809E7"/>
    <w:rPr>
      <w:rFonts w:ascii="Courier" w:hAnsi="Courier"/>
      <w:b/>
      <w:lang w:val="x-none" w:eastAsia="cs-CZ"/>
    </w:rPr>
  </w:style>
  <w:style w:type="character" w:customStyle="1" w:styleId="PredmetkomentraChar1207">
    <w:name w:val="Predmet komentára Char1207"/>
    <w:aliases w:val="Char6 Char Char1208,Predmet komentára Char Char Char1208,Comment Subject Char Char Char1208"/>
    <w:uiPriority w:val="99"/>
    <w:semiHidden/>
    <w:rsid w:val="00A809E7"/>
    <w:rPr>
      <w:rFonts w:ascii="Courier" w:hAnsi="Courier"/>
      <w:b/>
      <w:lang w:val="x-none" w:eastAsia="cs-CZ"/>
    </w:rPr>
  </w:style>
  <w:style w:type="character" w:customStyle="1" w:styleId="PredmetkomentraChar1206">
    <w:name w:val="Predmet komentára Char1206"/>
    <w:aliases w:val="Char6 Char Char1207,Predmet komentára Char Char Char1207,Comment Subject Char Char Char1207"/>
    <w:uiPriority w:val="99"/>
    <w:semiHidden/>
    <w:rsid w:val="00A809E7"/>
    <w:rPr>
      <w:rFonts w:ascii="Courier" w:hAnsi="Courier"/>
      <w:b/>
      <w:lang w:val="x-none" w:eastAsia="cs-CZ"/>
    </w:rPr>
  </w:style>
  <w:style w:type="character" w:customStyle="1" w:styleId="PredmetkomentraChar1205">
    <w:name w:val="Predmet komentára Char1205"/>
    <w:aliases w:val="Char6 Char Char1206,Predmet komentára Char Char Char1206,Comment Subject Char Char Char1206"/>
    <w:uiPriority w:val="99"/>
    <w:semiHidden/>
    <w:rsid w:val="00A809E7"/>
    <w:rPr>
      <w:rFonts w:ascii="Courier" w:hAnsi="Courier"/>
      <w:b/>
      <w:lang w:val="x-none" w:eastAsia="cs-CZ"/>
    </w:rPr>
  </w:style>
  <w:style w:type="character" w:customStyle="1" w:styleId="PredmetkomentraChar1204">
    <w:name w:val="Predmet komentára Char1204"/>
    <w:aliases w:val="Char6 Char Char1205,Predmet komentára Char Char Char1205,Comment Subject Char Char Char1205"/>
    <w:uiPriority w:val="99"/>
    <w:semiHidden/>
    <w:rsid w:val="00A809E7"/>
    <w:rPr>
      <w:rFonts w:ascii="Courier" w:hAnsi="Courier"/>
      <w:b/>
      <w:lang w:val="x-none" w:eastAsia="cs-CZ"/>
    </w:rPr>
  </w:style>
  <w:style w:type="character" w:customStyle="1" w:styleId="PredmetkomentraChar1203">
    <w:name w:val="Predmet komentára Char1203"/>
    <w:aliases w:val="Char6 Char Char1204,Predmet komentára Char Char Char1204,Comment Subject Char Char Char1204"/>
    <w:uiPriority w:val="99"/>
    <w:semiHidden/>
    <w:rsid w:val="00A809E7"/>
    <w:rPr>
      <w:rFonts w:ascii="Courier" w:hAnsi="Courier"/>
      <w:b/>
      <w:lang w:val="x-none" w:eastAsia="cs-CZ"/>
    </w:rPr>
  </w:style>
  <w:style w:type="character" w:customStyle="1" w:styleId="PredmetkomentraChar1202">
    <w:name w:val="Predmet komentára Char1202"/>
    <w:aliases w:val="Char6 Char Char1203,Predmet komentára Char Char Char1203,Comment Subject Char Char Char1203"/>
    <w:uiPriority w:val="99"/>
    <w:semiHidden/>
    <w:rsid w:val="00A809E7"/>
    <w:rPr>
      <w:rFonts w:ascii="Courier" w:hAnsi="Courier"/>
      <w:b/>
      <w:lang w:val="x-none" w:eastAsia="cs-CZ"/>
    </w:rPr>
  </w:style>
  <w:style w:type="character" w:customStyle="1" w:styleId="PredmetkomentraChar1201">
    <w:name w:val="Predmet komentára Char1201"/>
    <w:aliases w:val="Char6 Char Char1202,Predmet komentára Char Char Char1202,Comment Subject Char Char Char1202"/>
    <w:uiPriority w:val="99"/>
    <w:semiHidden/>
    <w:rsid w:val="00A809E7"/>
    <w:rPr>
      <w:rFonts w:ascii="Courier" w:hAnsi="Courier"/>
      <w:b/>
      <w:lang w:val="x-none" w:eastAsia="cs-CZ"/>
    </w:rPr>
  </w:style>
  <w:style w:type="character" w:customStyle="1" w:styleId="PredmetkomentraChar1200">
    <w:name w:val="Predmet komentára Char1200"/>
    <w:aliases w:val="Char6 Char Char1201,Predmet komentára Char Char Char1201,Comment Subject Char Char Char1201"/>
    <w:uiPriority w:val="99"/>
    <w:semiHidden/>
    <w:rsid w:val="00A809E7"/>
    <w:rPr>
      <w:rFonts w:ascii="Courier" w:hAnsi="Courier"/>
      <w:b/>
      <w:lang w:val="x-none" w:eastAsia="cs-CZ"/>
    </w:rPr>
  </w:style>
  <w:style w:type="character" w:customStyle="1" w:styleId="PredmetkomentraChar1199">
    <w:name w:val="Predmet komentára Char1199"/>
    <w:aliases w:val="Char6 Char Char1200,Predmet komentára Char Char Char1200,Comment Subject Char Char Char1200"/>
    <w:uiPriority w:val="99"/>
    <w:semiHidden/>
    <w:rsid w:val="00A809E7"/>
    <w:rPr>
      <w:rFonts w:ascii="Courier" w:hAnsi="Courier"/>
      <w:b/>
      <w:lang w:val="x-none" w:eastAsia="cs-CZ"/>
    </w:rPr>
  </w:style>
  <w:style w:type="character" w:customStyle="1" w:styleId="PredmetkomentraChar1198">
    <w:name w:val="Predmet komentára Char1198"/>
    <w:aliases w:val="Char6 Char Char1199,Predmet komentára Char Char Char1199,Comment Subject Char Char Char1199"/>
    <w:uiPriority w:val="99"/>
    <w:semiHidden/>
    <w:rsid w:val="00A809E7"/>
    <w:rPr>
      <w:rFonts w:ascii="Courier" w:hAnsi="Courier"/>
      <w:b/>
      <w:lang w:val="x-none" w:eastAsia="cs-CZ"/>
    </w:rPr>
  </w:style>
  <w:style w:type="character" w:customStyle="1" w:styleId="PredmetkomentraChar1197">
    <w:name w:val="Predmet komentára Char1197"/>
    <w:aliases w:val="Char6 Char Char1198,Predmet komentára Char Char Char1198,Comment Subject Char Char Char1198"/>
    <w:uiPriority w:val="99"/>
    <w:semiHidden/>
    <w:rsid w:val="00A809E7"/>
    <w:rPr>
      <w:rFonts w:ascii="Courier" w:hAnsi="Courier"/>
      <w:b/>
      <w:lang w:val="x-none" w:eastAsia="cs-CZ"/>
    </w:rPr>
  </w:style>
  <w:style w:type="character" w:customStyle="1" w:styleId="PredmetkomentraChar1196">
    <w:name w:val="Predmet komentára Char1196"/>
    <w:aliases w:val="Char6 Char Char1197,Predmet komentára Char Char Char1197,Comment Subject Char Char Char1197"/>
    <w:uiPriority w:val="99"/>
    <w:semiHidden/>
    <w:rsid w:val="00A809E7"/>
    <w:rPr>
      <w:rFonts w:ascii="Courier" w:hAnsi="Courier"/>
      <w:b/>
      <w:lang w:val="x-none" w:eastAsia="cs-CZ"/>
    </w:rPr>
  </w:style>
  <w:style w:type="character" w:customStyle="1" w:styleId="PredmetkomentraChar1195">
    <w:name w:val="Predmet komentára Char1195"/>
    <w:aliases w:val="Char6 Char Char1196,Predmet komentára Char Char Char1196,Comment Subject Char Char Char1196"/>
    <w:uiPriority w:val="99"/>
    <w:semiHidden/>
    <w:rsid w:val="00A809E7"/>
    <w:rPr>
      <w:rFonts w:ascii="Courier" w:hAnsi="Courier"/>
      <w:b/>
      <w:lang w:val="x-none" w:eastAsia="cs-CZ"/>
    </w:rPr>
  </w:style>
  <w:style w:type="character" w:customStyle="1" w:styleId="PredmetkomentraChar1194">
    <w:name w:val="Predmet komentára Char1194"/>
    <w:aliases w:val="Char6 Char Char1195,Predmet komentára Char Char Char1195,Comment Subject Char Char Char1195"/>
    <w:uiPriority w:val="99"/>
    <w:semiHidden/>
    <w:rsid w:val="00A809E7"/>
    <w:rPr>
      <w:rFonts w:ascii="Courier" w:hAnsi="Courier"/>
      <w:b/>
      <w:lang w:val="x-none" w:eastAsia="cs-CZ"/>
    </w:rPr>
  </w:style>
  <w:style w:type="character" w:customStyle="1" w:styleId="PredmetkomentraChar1193">
    <w:name w:val="Predmet komentára Char1193"/>
    <w:aliases w:val="Char6 Char Char1194,Predmet komentára Char Char Char1194,Comment Subject Char Char Char1194"/>
    <w:uiPriority w:val="99"/>
    <w:semiHidden/>
    <w:rsid w:val="00A809E7"/>
    <w:rPr>
      <w:rFonts w:ascii="Courier" w:hAnsi="Courier"/>
      <w:b/>
      <w:lang w:val="x-none" w:eastAsia="cs-CZ"/>
    </w:rPr>
  </w:style>
  <w:style w:type="character" w:customStyle="1" w:styleId="PredmetkomentraChar1192">
    <w:name w:val="Predmet komentára Char1192"/>
    <w:aliases w:val="Char6 Char Char1193,Predmet komentára Char Char Char1193,Comment Subject Char Char Char1193"/>
    <w:uiPriority w:val="99"/>
    <w:semiHidden/>
    <w:rsid w:val="00A809E7"/>
    <w:rPr>
      <w:rFonts w:ascii="Courier" w:hAnsi="Courier"/>
      <w:b/>
      <w:lang w:val="x-none" w:eastAsia="cs-CZ"/>
    </w:rPr>
  </w:style>
  <w:style w:type="character" w:customStyle="1" w:styleId="PredmetkomentraChar1191">
    <w:name w:val="Predmet komentára Char1191"/>
    <w:aliases w:val="Char6 Char Char1192,Predmet komentára Char Char Char1192,Comment Subject Char Char Char1192"/>
    <w:uiPriority w:val="99"/>
    <w:semiHidden/>
    <w:rsid w:val="00A809E7"/>
    <w:rPr>
      <w:rFonts w:ascii="Courier" w:hAnsi="Courier"/>
      <w:b/>
      <w:lang w:val="x-none" w:eastAsia="cs-CZ"/>
    </w:rPr>
  </w:style>
  <w:style w:type="character" w:customStyle="1" w:styleId="PredmetkomentraChar1190">
    <w:name w:val="Predmet komentára Char1190"/>
    <w:aliases w:val="Char6 Char Char1191,Predmet komentára Char Char Char1191,Comment Subject Char Char Char1191"/>
    <w:uiPriority w:val="99"/>
    <w:semiHidden/>
    <w:rsid w:val="00A809E7"/>
    <w:rPr>
      <w:rFonts w:ascii="Courier" w:hAnsi="Courier"/>
      <w:b/>
      <w:lang w:val="x-none" w:eastAsia="cs-CZ"/>
    </w:rPr>
  </w:style>
  <w:style w:type="character" w:customStyle="1" w:styleId="PredmetkomentraChar1189">
    <w:name w:val="Predmet komentára Char1189"/>
    <w:aliases w:val="Char6 Char Char1190,Predmet komentára Char Char Char1190,Comment Subject Char Char Char1190"/>
    <w:uiPriority w:val="99"/>
    <w:semiHidden/>
    <w:rsid w:val="00A809E7"/>
    <w:rPr>
      <w:rFonts w:ascii="Courier" w:hAnsi="Courier"/>
      <w:b/>
      <w:lang w:val="x-none" w:eastAsia="cs-CZ"/>
    </w:rPr>
  </w:style>
  <w:style w:type="character" w:customStyle="1" w:styleId="PredmetkomentraChar1188">
    <w:name w:val="Predmet komentára Char1188"/>
    <w:aliases w:val="Char6 Char Char1189,Predmet komentára Char Char Char1189,Comment Subject Char Char Char1189"/>
    <w:uiPriority w:val="99"/>
    <w:semiHidden/>
    <w:rsid w:val="00A809E7"/>
    <w:rPr>
      <w:rFonts w:ascii="Courier" w:hAnsi="Courier"/>
      <w:b/>
      <w:lang w:val="x-none" w:eastAsia="cs-CZ"/>
    </w:rPr>
  </w:style>
  <w:style w:type="character" w:customStyle="1" w:styleId="PredmetkomentraChar1187">
    <w:name w:val="Predmet komentára Char1187"/>
    <w:aliases w:val="Char6 Char Char1188,Predmet komentára Char Char Char1188,Comment Subject Char Char Char1188"/>
    <w:uiPriority w:val="99"/>
    <w:semiHidden/>
    <w:rsid w:val="00A809E7"/>
    <w:rPr>
      <w:rFonts w:ascii="Courier" w:hAnsi="Courier"/>
      <w:b/>
      <w:lang w:val="x-none" w:eastAsia="cs-CZ"/>
    </w:rPr>
  </w:style>
  <w:style w:type="character" w:customStyle="1" w:styleId="PredmetkomentraChar1186">
    <w:name w:val="Predmet komentára Char1186"/>
    <w:aliases w:val="Char6 Char Char1187,Predmet komentára Char Char Char1187,Comment Subject Char Char Char1187"/>
    <w:uiPriority w:val="99"/>
    <w:semiHidden/>
    <w:rsid w:val="00A809E7"/>
    <w:rPr>
      <w:rFonts w:ascii="Courier" w:hAnsi="Courier"/>
      <w:b/>
      <w:lang w:val="x-none" w:eastAsia="cs-CZ"/>
    </w:rPr>
  </w:style>
  <w:style w:type="character" w:customStyle="1" w:styleId="PredmetkomentraChar1185">
    <w:name w:val="Predmet komentára Char1185"/>
    <w:aliases w:val="Char6 Char Char1186,Predmet komentára Char Char Char1186,Comment Subject Char Char Char1186"/>
    <w:uiPriority w:val="99"/>
    <w:semiHidden/>
    <w:rsid w:val="00A809E7"/>
    <w:rPr>
      <w:rFonts w:ascii="Courier" w:hAnsi="Courier"/>
      <w:b/>
      <w:lang w:val="x-none" w:eastAsia="cs-CZ"/>
    </w:rPr>
  </w:style>
  <w:style w:type="character" w:customStyle="1" w:styleId="PredmetkomentraChar1184">
    <w:name w:val="Predmet komentára Char1184"/>
    <w:aliases w:val="Char6 Char Char1185,Predmet komentára Char Char Char1185,Comment Subject Char Char Char1185"/>
    <w:uiPriority w:val="99"/>
    <w:semiHidden/>
    <w:rsid w:val="00A809E7"/>
    <w:rPr>
      <w:rFonts w:ascii="Courier" w:hAnsi="Courier"/>
      <w:b/>
      <w:lang w:val="x-none" w:eastAsia="cs-CZ"/>
    </w:rPr>
  </w:style>
  <w:style w:type="character" w:customStyle="1" w:styleId="PredmetkomentraChar1183">
    <w:name w:val="Predmet komentára Char1183"/>
    <w:aliases w:val="Char6 Char Char1184,Predmet komentára Char Char Char1184,Comment Subject Char Char Char1184"/>
    <w:uiPriority w:val="99"/>
    <w:semiHidden/>
    <w:rsid w:val="00A809E7"/>
    <w:rPr>
      <w:rFonts w:ascii="Courier" w:hAnsi="Courier"/>
      <w:b/>
      <w:lang w:val="x-none" w:eastAsia="cs-CZ"/>
    </w:rPr>
  </w:style>
  <w:style w:type="character" w:customStyle="1" w:styleId="PredmetkomentraChar1182">
    <w:name w:val="Predmet komentára Char1182"/>
    <w:aliases w:val="Char6 Char Char1183,Predmet komentára Char Char Char1183,Comment Subject Char Char Char1183"/>
    <w:uiPriority w:val="99"/>
    <w:semiHidden/>
    <w:rsid w:val="00A809E7"/>
    <w:rPr>
      <w:rFonts w:ascii="Courier" w:hAnsi="Courier"/>
      <w:b/>
      <w:lang w:val="x-none" w:eastAsia="cs-CZ"/>
    </w:rPr>
  </w:style>
  <w:style w:type="character" w:customStyle="1" w:styleId="PredmetkomentraChar1181">
    <w:name w:val="Predmet komentára Char1181"/>
    <w:aliases w:val="Char6 Char Char1182,Predmet komentára Char Char Char1182,Comment Subject Char Char Char1182"/>
    <w:uiPriority w:val="99"/>
    <w:semiHidden/>
    <w:rsid w:val="00A809E7"/>
    <w:rPr>
      <w:rFonts w:ascii="Courier" w:hAnsi="Courier"/>
      <w:b/>
      <w:lang w:val="x-none" w:eastAsia="cs-CZ"/>
    </w:rPr>
  </w:style>
  <w:style w:type="character" w:customStyle="1" w:styleId="PredmetkomentraChar1180">
    <w:name w:val="Predmet komentára Char1180"/>
    <w:aliases w:val="Char6 Char Char1181,Predmet komentára Char Char Char1181,Comment Subject Char Char Char1181"/>
    <w:uiPriority w:val="99"/>
    <w:semiHidden/>
    <w:rsid w:val="00A809E7"/>
    <w:rPr>
      <w:rFonts w:ascii="Courier" w:hAnsi="Courier"/>
      <w:b/>
      <w:lang w:val="x-none" w:eastAsia="cs-CZ"/>
    </w:rPr>
  </w:style>
  <w:style w:type="character" w:customStyle="1" w:styleId="PredmetkomentraChar1179">
    <w:name w:val="Predmet komentára Char1179"/>
    <w:aliases w:val="Char6 Char Char1180,Predmet komentára Char Char Char1180,Comment Subject Char Char Char1180"/>
    <w:uiPriority w:val="99"/>
    <w:semiHidden/>
    <w:rsid w:val="00A809E7"/>
    <w:rPr>
      <w:rFonts w:ascii="Courier" w:hAnsi="Courier"/>
      <w:b/>
      <w:lang w:val="x-none" w:eastAsia="cs-CZ"/>
    </w:rPr>
  </w:style>
  <w:style w:type="character" w:customStyle="1" w:styleId="PredmetkomentraChar1178">
    <w:name w:val="Predmet komentára Char1178"/>
    <w:aliases w:val="Char6 Char Char1179,Predmet komentára Char Char Char1179,Comment Subject Char Char Char1179"/>
    <w:uiPriority w:val="99"/>
    <w:semiHidden/>
    <w:rsid w:val="00A809E7"/>
    <w:rPr>
      <w:rFonts w:ascii="Courier" w:hAnsi="Courier"/>
      <w:b/>
      <w:lang w:val="x-none" w:eastAsia="cs-CZ"/>
    </w:rPr>
  </w:style>
  <w:style w:type="character" w:customStyle="1" w:styleId="PredmetkomentraChar1177">
    <w:name w:val="Predmet komentára Char1177"/>
    <w:aliases w:val="Char6 Char Char1178,Predmet komentára Char Char Char1178,Comment Subject Char Char Char1178"/>
    <w:uiPriority w:val="99"/>
    <w:semiHidden/>
    <w:rsid w:val="00A809E7"/>
    <w:rPr>
      <w:rFonts w:ascii="Courier" w:hAnsi="Courier"/>
      <w:b/>
      <w:lang w:val="x-none" w:eastAsia="cs-CZ"/>
    </w:rPr>
  </w:style>
  <w:style w:type="character" w:customStyle="1" w:styleId="PredmetkomentraChar1176">
    <w:name w:val="Predmet komentára Char1176"/>
    <w:aliases w:val="Char6 Char Char1177,Predmet komentára Char Char Char1177,Comment Subject Char Char Char1177"/>
    <w:uiPriority w:val="99"/>
    <w:semiHidden/>
    <w:rsid w:val="00A809E7"/>
    <w:rPr>
      <w:rFonts w:ascii="Courier" w:hAnsi="Courier"/>
      <w:b/>
      <w:lang w:val="x-none" w:eastAsia="cs-CZ"/>
    </w:rPr>
  </w:style>
  <w:style w:type="character" w:customStyle="1" w:styleId="PredmetkomentraChar1175">
    <w:name w:val="Predmet komentára Char1175"/>
    <w:aliases w:val="Char6 Char Char1176,Predmet komentára Char Char Char1176,Comment Subject Char Char Char1176"/>
    <w:uiPriority w:val="99"/>
    <w:semiHidden/>
    <w:rsid w:val="00A809E7"/>
    <w:rPr>
      <w:rFonts w:ascii="Courier" w:hAnsi="Courier"/>
      <w:b/>
      <w:lang w:val="x-none" w:eastAsia="cs-CZ"/>
    </w:rPr>
  </w:style>
  <w:style w:type="character" w:customStyle="1" w:styleId="PredmetkomentraChar1174">
    <w:name w:val="Predmet komentára Char1174"/>
    <w:aliases w:val="Char6 Char Char1175,Predmet komentára Char Char Char1175,Comment Subject Char Char Char1175"/>
    <w:uiPriority w:val="99"/>
    <w:semiHidden/>
    <w:rsid w:val="00A809E7"/>
    <w:rPr>
      <w:rFonts w:ascii="Courier" w:hAnsi="Courier"/>
      <w:b/>
      <w:lang w:val="x-none" w:eastAsia="cs-CZ"/>
    </w:rPr>
  </w:style>
  <w:style w:type="character" w:customStyle="1" w:styleId="PredmetkomentraChar1173">
    <w:name w:val="Predmet komentára Char1173"/>
    <w:aliases w:val="Char6 Char Char1174,Predmet komentára Char Char Char1174,Comment Subject Char Char Char1174"/>
    <w:uiPriority w:val="99"/>
    <w:semiHidden/>
    <w:rsid w:val="00A809E7"/>
    <w:rPr>
      <w:rFonts w:ascii="Courier" w:hAnsi="Courier"/>
      <w:b/>
      <w:lang w:val="x-none" w:eastAsia="cs-CZ"/>
    </w:rPr>
  </w:style>
  <w:style w:type="character" w:customStyle="1" w:styleId="PredmetkomentraChar1172">
    <w:name w:val="Predmet komentára Char1172"/>
    <w:aliases w:val="Char6 Char Char1173,Predmet komentára Char Char Char1173,Comment Subject Char Char Char1173"/>
    <w:uiPriority w:val="99"/>
    <w:semiHidden/>
    <w:rsid w:val="00A809E7"/>
    <w:rPr>
      <w:rFonts w:ascii="Courier" w:hAnsi="Courier"/>
      <w:b/>
      <w:lang w:val="x-none" w:eastAsia="cs-CZ"/>
    </w:rPr>
  </w:style>
  <w:style w:type="character" w:customStyle="1" w:styleId="PredmetkomentraChar1171">
    <w:name w:val="Predmet komentára Char1171"/>
    <w:aliases w:val="Char6 Char Char1172,Predmet komentára Char Char Char1172,Comment Subject Char Char Char1172"/>
    <w:uiPriority w:val="99"/>
    <w:semiHidden/>
    <w:rsid w:val="00A809E7"/>
    <w:rPr>
      <w:rFonts w:ascii="Courier" w:hAnsi="Courier"/>
      <w:b/>
      <w:lang w:val="x-none" w:eastAsia="cs-CZ"/>
    </w:rPr>
  </w:style>
  <w:style w:type="character" w:customStyle="1" w:styleId="PredmetkomentraChar1165">
    <w:name w:val="Predmet komentára Char1165"/>
    <w:aliases w:val="Char6 Char Char1166,Predmet komentára Char Char Char1166,Comment Subject Char Char Char1166"/>
    <w:uiPriority w:val="99"/>
    <w:semiHidden/>
    <w:rsid w:val="00A809E7"/>
    <w:rPr>
      <w:rFonts w:ascii="Courier" w:hAnsi="Courier"/>
      <w:b/>
      <w:lang w:val="x-none" w:eastAsia="cs-CZ"/>
    </w:rPr>
  </w:style>
  <w:style w:type="character" w:customStyle="1" w:styleId="PredmetkomentraChar1164">
    <w:name w:val="Predmet komentára Char1164"/>
    <w:aliases w:val="Char6 Char Char1165,Predmet komentára Char Char Char1165,Comment Subject Char Char Char1165"/>
    <w:uiPriority w:val="99"/>
    <w:semiHidden/>
    <w:rsid w:val="00A809E7"/>
    <w:rPr>
      <w:rFonts w:ascii="Courier" w:hAnsi="Courier"/>
      <w:b/>
      <w:lang w:val="x-none" w:eastAsia="cs-CZ"/>
    </w:rPr>
  </w:style>
  <w:style w:type="character" w:customStyle="1" w:styleId="PredmetkomentraChar1163">
    <w:name w:val="Predmet komentára Char1163"/>
    <w:aliases w:val="Char6 Char Char1164,Predmet komentára Char Char Char1164,Comment Subject Char Char Char1164"/>
    <w:uiPriority w:val="99"/>
    <w:semiHidden/>
    <w:rsid w:val="00A809E7"/>
    <w:rPr>
      <w:rFonts w:ascii="Courier" w:hAnsi="Courier"/>
      <w:b/>
      <w:lang w:val="x-none" w:eastAsia="cs-CZ"/>
    </w:rPr>
  </w:style>
  <w:style w:type="character" w:customStyle="1" w:styleId="PredmetkomentraChar1162">
    <w:name w:val="Predmet komentára Char1162"/>
    <w:aliases w:val="Char6 Char Char1163,Predmet komentára Char Char Char1163,Comment Subject Char Char Char1163"/>
    <w:uiPriority w:val="99"/>
    <w:semiHidden/>
    <w:rsid w:val="00A809E7"/>
    <w:rPr>
      <w:rFonts w:ascii="Courier" w:hAnsi="Courier"/>
      <w:b/>
      <w:lang w:val="x-none" w:eastAsia="cs-CZ"/>
    </w:rPr>
  </w:style>
  <w:style w:type="character" w:customStyle="1" w:styleId="PredmetkomentraChar1161">
    <w:name w:val="Predmet komentára Char1161"/>
    <w:aliases w:val="Char6 Char Char1162,Predmet komentára Char Char Char1162,Comment Subject Char Char Char1162"/>
    <w:uiPriority w:val="99"/>
    <w:semiHidden/>
    <w:rsid w:val="00A809E7"/>
    <w:rPr>
      <w:rFonts w:ascii="Courier" w:hAnsi="Courier"/>
      <w:b/>
      <w:lang w:val="x-none" w:eastAsia="cs-CZ"/>
    </w:rPr>
  </w:style>
  <w:style w:type="character" w:customStyle="1" w:styleId="PredmetkomentraChar1160">
    <w:name w:val="Predmet komentára Char1160"/>
    <w:aliases w:val="Char6 Char Char1161,Predmet komentára Char Char Char1161,Comment Subject Char Char Char1161"/>
    <w:uiPriority w:val="99"/>
    <w:semiHidden/>
    <w:rsid w:val="00A809E7"/>
    <w:rPr>
      <w:rFonts w:ascii="Courier" w:hAnsi="Courier"/>
      <w:b/>
      <w:lang w:val="x-none" w:eastAsia="cs-CZ"/>
    </w:rPr>
  </w:style>
  <w:style w:type="character" w:customStyle="1" w:styleId="PredmetkomentraChar1159">
    <w:name w:val="Predmet komentára Char1159"/>
    <w:aliases w:val="Char6 Char Char1160,Predmet komentára Char Char Char1160,Comment Subject Char Char Char1160"/>
    <w:uiPriority w:val="99"/>
    <w:semiHidden/>
    <w:rsid w:val="00A809E7"/>
    <w:rPr>
      <w:rFonts w:ascii="Courier" w:hAnsi="Courier"/>
      <w:b/>
      <w:lang w:val="x-none" w:eastAsia="cs-CZ"/>
    </w:rPr>
  </w:style>
  <w:style w:type="character" w:customStyle="1" w:styleId="PredmetkomentraChar1158">
    <w:name w:val="Predmet komentára Char1158"/>
    <w:aliases w:val="Char6 Char Char1159,Predmet komentára Char Char Char1159,Comment Subject Char Char Char1159"/>
    <w:uiPriority w:val="99"/>
    <w:semiHidden/>
    <w:rsid w:val="00A809E7"/>
    <w:rPr>
      <w:rFonts w:ascii="Courier" w:hAnsi="Courier"/>
      <w:b/>
      <w:lang w:val="x-none" w:eastAsia="cs-CZ"/>
    </w:rPr>
  </w:style>
  <w:style w:type="character" w:customStyle="1" w:styleId="PredmetkomentraChar1157">
    <w:name w:val="Predmet komentára Char1157"/>
    <w:aliases w:val="Char6 Char Char1158,Predmet komentára Char Char Char1158,Comment Subject Char Char Char1158"/>
    <w:uiPriority w:val="99"/>
    <w:semiHidden/>
    <w:rsid w:val="00A809E7"/>
    <w:rPr>
      <w:rFonts w:ascii="Courier" w:hAnsi="Courier"/>
      <w:b/>
      <w:lang w:val="x-none" w:eastAsia="cs-CZ"/>
    </w:rPr>
  </w:style>
  <w:style w:type="character" w:customStyle="1" w:styleId="PredmetkomentraChar1156">
    <w:name w:val="Predmet komentára Char1156"/>
    <w:aliases w:val="Char6 Char Char1157,Predmet komentára Char Char Char1157,Comment Subject Char Char Char1157"/>
    <w:uiPriority w:val="99"/>
    <w:semiHidden/>
    <w:rsid w:val="00A809E7"/>
    <w:rPr>
      <w:rFonts w:ascii="Courier" w:hAnsi="Courier"/>
      <w:b/>
      <w:lang w:val="x-none" w:eastAsia="cs-CZ"/>
    </w:rPr>
  </w:style>
  <w:style w:type="character" w:customStyle="1" w:styleId="PredmetkomentraChar1155">
    <w:name w:val="Predmet komentára Char1155"/>
    <w:aliases w:val="Char6 Char Char1156,Predmet komentára Char Char Char1156,Comment Subject Char Char Char1156"/>
    <w:uiPriority w:val="99"/>
    <w:semiHidden/>
    <w:rsid w:val="00A809E7"/>
    <w:rPr>
      <w:rFonts w:ascii="Courier" w:hAnsi="Courier"/>
      <w:b/>
      <w:lang w:val="x-none" w:eastAsia="cs-CZ"/>
    </w:rPr>
  </w:style>
  <w:style w:type="character" w:customStyle="1" w:styleId="PredmetkomentraChar1154">
    <w:name w:val="Predmet komentára Char1154"/>
    <w:aliases w:val="Char6 Char Char1155,Predmet komentára Char Char Char1155,Comment Subject Char Char Char1155"/>
    <w:uiPriority w:val="99"/>
    <w:semiHidden/>
    <w:rsid w:val="00A809E7"/>
    <w:rPr>
      <w:rFonts w:ascii="Courier" w:hAnsi="Courier"/>
      <w:b/>
      <w:lang w:val="x-none" w:eastAsia="cs-CZ"/>
    </w:rPr>
  </w:style>
  <w:style w:type="character" w:customStyle="1" w:styleId="PredmetkomentraChar1153">
    <w:name w:val="Predmet komentára Char1153"/>
    <w:aliases w:val="Char6 Char Char1154,Predmet komentára Char Char Char1154,Comment Subject Char Char Char1154"/>
    <w:uiPriority w:val="99"/>
    <w:semiHidden/>
    <w:rsid w:val="00A809E7"/>
    <w:rPr>
      <w:rFonts w:ascii="Courier" w:hAnsi="Courier"/>
      <w:b/>
      <w:lang w:val="x-none" w:eastAsia="cs-CZ"/>
    </w:rPr>
  </w:style>
  <w:style w:type="character" w:customStyle="1" w:styleId="PredmetkomentraChar1152">
    <w:name w:val="Predmet komentára Char1152"/>
    <w:aliases w:val="Char6 Char Char1153,Predmet komentára Char Char Char1153,Comment Subject Char Char Char1153"/>
    <w:uiPriority w:val="99"/>
    <w:semiHidden/>
    <w:rsid w:val="00A809E7"/>
    <w:rPr>
      <w:rFonts w:ascii="Courier" w:hAnsi="Courier"/>
      <w:b/>
      <w:lang w:val="x-none" w:eastAsia="cs-CZ"/>
    </w:rPr>
  </w:style>
  <w:style w:type="character" w:customStyle="1" w:styleId="PredmetkomentraChar1151">
    <w:name w:val="Predmet komentára Char1151"/>
    <w:aliases w:val="Char6 Char Char1152,Predmet komentára Char Char Char1152,Comment Subject Char Char Char1152"/>
    <w:uiPriority w:val="99"/>
    <w:semiHidden/>
    <w:rsid w:val="00A809E7"/>
    <w:rPr>
      <w:rFonts w:ascii="Courier" w:hAnsi="Courier"/>
      <w:b/>
      <w:lang w:val="x-none" w:eastAsia="cs-CZ"/>
    </w:rPr>
  </w:style>
  <w:style w:type="character" w:customStyle="1" w:styleId="PredmetkomentraChar1150">
    <w:name w:val="Predmet komentára Char1150"/>
    <w:aliases w:val="Char6 Char Char1151,Predmet komentára Char Char Char1151,Comment Subject Char Char Char1151"/>
    <w:uiPriority w:val="99"/>
    <w:semiHidden/>
    <w:rsid w:val="00A809E7"/>
    <w:rPr>
      <w:rFonts w:ascii="Courier" w:hAnsi="Courier"/>
      <w:b/>
      <w:lang w:val="x-none" w:eastAsia="cs-CZ"/>
    </w:rPr>
  </w:style>
  <w:style w:type="character" w:customStyle="1" w:styleId="PredmetkomentraChar1149">
    <w:name w:val="Predmet komentára Char1149"/>
    <w:aliases w:val="Char6 Char Char1150,Predmet komentára Char Char Char1150,Comment Subject Char Char Char1150"/>
    <w:uiPriority w:val="99"/>
    <w:semiHidden/>
    <w:rsid w:val="00A809E7"/>
    <w:rPr>
      <w:rFonts w:ascii="Courier" w:hAnsi="Courier"/>
      <w:b/>
      <w:lang w:val="x-none" w:eastAsia="cs-CZ"/>
    </w:rPr>
  </w:style>
  <w:style w:type="character" w:customStyle="1" w:styleId="PredmetkomentraChar1148">
    <w:name w:val="Predmet komentára Char1148"/>
    <w:aliases w:val="Char6 Char Char1149,Predmet komentára Char Char Char1149,Comment Subject Char Char Char1149"/>
    <w:uiPriority w:val="99"/>
    <w:semiHidden/>
    <w:rsid w:val="00A809E7"/>
    <w:rPr>
      <w:rFonts w:ascii="Courier" w:hAnsi="Courier"/>
      <w:b/>
      <w:lang w:val="x-none" w:eastAsia="cs-CZ"/>
    </w:rPr>
  </w:style>
  <w:style w:type="character" w:customStyle="1" w:styleId="PredmetkomentraChar1147">
    <w:name w:val="Predmet komentára Char1147"/>
    <w:aliases w:val="Char6 Char Char1148,Predmet komentára Char Char Char1148,Comment Subject Char Char Char1148"/>
    <w:uiPriority w:val="99"/>
    <w:semiHidden/>
    <w:rsid w:val="00A809E7"/>
    <w:rPr>
      <w:rFonts w:ascii="Courier" w:hAnsi="Courier"/>
      <w:b/>
      <w:lang w:val="x-none" w:eastAsia="cs-CZ"/>
    </w:rPr>
  </w:style>
  <w:style w:type="character" w:customStyle="1" w:styleId="PredmetkomentraChar1146">
    <w:name w:val="Predmet komentára Char1146"/>
    <w:aliases w:val="Char6 Char Char1147,Predmet komentára Char Char Char1147,Comment Subject Char Char Char1147"/>
    <w:uiPriority w:val="99"/>
    <w:semiHidden/>
    <w:rsid w:val="00A809E7"/>
    <w:rPr>
      <w:rFonts w:ascii="Courier" w:hAnsi="Courier"/>
      <w:b/>
      <w:lang w:val="x-none" w:eastAsia="cs-CZ"/>
    </w:rPr>
  </w:style>
  <w:style w:type="character" w:customStyle="1" w:styleId="PredmetkomentraChar1145">
    <w:name w:val="Predmet komentára Char1145"/>
    <w:aliases w:val="Char6 Char Char1146,Predmet komentára Char Char Char1146,Comment Subject Char Char Char1146"/>
    <w:uiPriority w:val="99"/>
    <w:semiHidden/>
    <w:rsid w:val="00A809E7"/>
    <w:rPr>
      <w:rFonts w:ascii="Courier" w:hAnsi="Courier"/>
      <w:b/>
      <w:lang w:val="x-none" w:eastAsia="cs-CZ"/>
    </w:rPr>
  </w:style>
  <w:style w:type="character" w:customStyle="1" w:styleId="PredmetkomentraChar1144">
    <w:name w:val="Predmet komentára Char1144"/>
    <w:aliases w:val="Char6 Char Char1145,Predmet komentára Char Char Char1145,Comment Subject Char Char Char1145"/>
    <w:uiPriority w:val="99"/>
    <w:semiHidden/>
    <w:rsid w:val="00A809E7"/>
    <w:rPr>
      <w:rFonts w:ascii="Courier" w:hAnsi="Courier"/>
      <w:b/>
      <w:lang w:val="x-none" w:eastAsia="cs-CZ"/>
    </w:rPr>
  </w:style>
  <w:style w:type="character" w:customStyle="1" w:styleId="PredmetkomentraChar1143">
    <w:name w:val="Predmet komentára Char1143"/>
    <w:aliases w:val="Char6 Char Char1144,Predmet komentára Char Char Char1144,Comment Subject Char Char Char1144"/>
    <w:uiPriority w:val="99"/>
    <w:semiHidden/>
    <w:rsid w:val="00A809E7"/>
    <w:rPr>
      <w:rFonts w:ascii="Courier" w:hAnsi="Courier"/>
      <w:b/>
      <w:lang w:val="x-none" w:eastAsia="cs-CZ"/>
    </w:rPr>
  </w:style>
  <w:style w:type="character" w:customStyle="1" w:styleId="PredmetkomentraChar1142">
    <w:name w:val="Predmet komentára Char1142"/>
    <w:aliases w:val="Char6 Char Char1143,Predmet komentára Char Char Char1143,Comment Subject Char Char Char1143"/>
    <w:uiPriority w:val="99"/>
    <w:semiHidden/>
    <w:rsid w:val="00A809E7"/>
    <w:rPr>
      <w:rFonts w:ascii="Courier" w:hAnsi="Courier"/>
      <w:b/>
      <w:lang w:val="x-none" w:eastAsia="cs-CZ"/>
    </w:rPr>
  </w:style>
  <w:style w:type="character" w:customStyle="1" w:styleId="PredmetkomentraChar1141">
    <w:name w:val="Predmet komentára Char1141"/>
    <w:aliases w:val="Char6 Char Char1142,Predmet komentára Char Char Char1142,Comment Subject Char Char Char1142"/>
    <w:uiPriority w:val="99"/>
    <w:semiHidden/>
    <w:rsid w:val="00A809E7"/>
    <w:rPr>
      <w:rFonts w:ascii="Courier" w:hAnsi="Courier"/>
      <w:b/>
      <w:lang w:val="x-none" w:eastAsia="cs-CZ"/>
    </w:rPr>
  </w:style>
  <w:style w:type="character" w:customStyle="1" w:styleId="PredmetkomentraChar1140">
    <w:name w:val="Predmet komentára Char1140"/>
    <w:aliases w:val="Char6 Char Char1141,Predmet komentára Char Char Char1141,Comment Subject Char Char Char1141"/>
    <w:uiPriority w:val="99"/>
    <w:semiHidden/>
    <w:rsid w:val="00A809E7"/>
    <w:rPr>
      <w:rFonts w:ascii="Courier" w:hAnsi="Courier"/>
      <w:b/>
      <w:lang w:val="x-none" w:eastAsia="cs-CZ"/>
    </w:rPr>
  </w:style>
  <w:style w:type="character" w:customStyle="1" w:styleId="PredmetkomentraChar1139">
    <w:name w:val="Predmet komentára Char1139"/>
    <w:aliases w:val="Char6 Char Char1140,Predmet komentára Char Char Char1140,Comment Subject Char Char Char1140"/>
    <w:uiPriority w:val="99"/>
    <w:semiHidden/>
    <w:rsid w:val="00A809E7"/>
    <w:rPr>
      <w:rFonts w:ascii="Courier" w:hAnsi="Courier"/>
      <w:b/>
      <w:lang w:val="x-none" w:eastAsia="cs-CZ"/>
    </w:rPr>
  </w:style>
  <w:style w:type="character" w:customStyle="1" w:styleId="PredmetkomentraChar1138">
    <w:name w:val="Predmet komentára Char1138"/>
    <w:aliases w:val="Char6 Char Char1139,Predmet komentára Char Char Char1139,Comment Subject Char Char Char1139"/>
    <w:uiPriority w:val="99"/>
    <w:semiHidden/>
    <w:rsid w:val="00A809E7"/>
    <w:rPr>
      <w:rFonts w:ascii="Courier" w:hAnsi="Courier"/>
      <w:b/>
      <w:lang w:val="x-none" w:eastAsia="cs-CZ"/>
    </w:rPr>
  </w:style>
  <w:style w:type="character" w:customStyle="1" w:styleId="PredmetkomentraChar1137">
    <w:name w:val="Predmet komentára Char1137"/>
    <w:aliases w:val="Char6 Char Char1138,Predmet komentára Char Char Char1138,Comment Subject Char Char Char1138"/>
    <w:uiPriority w:val="99"/>
    <w:semiHidden/>
    <w:rsid w:val="00A809E7"/>
    <w:rPr>
      <w:rFonts w:ascii="Courier" w:hAnsi="Courier"/>
      <w:b/>
      <w:lang w:val="x-none" w:eastAsia="cs-CZ"/>
    </w:rPr>
  </w:style>
  <w:style w:type="character" w:customStyle="1" w:styleId="PredmetkomentraChar1136">
    <w:name w:val="Predmet komentára Char1136"/>
    <w:aliases w:val="Char6 Char Char1137,Predmet komentára Char Char Char1137,Comment Subject Char Char Char1137"/>
    <w:uiPriority w:val="99"/>
    <w:semiHidden/>
    <w:rsid w:val="00A809E7"/>
    <w:rPr>
      <w:rFonts w:ascii="Courier" w:hAnsi="Courier"/>
      <w:b/>
      <w:lang w:val="x-none" w:eastAsia="cs-CZ"/>
    </w:rPr>
  </w:style>
  <w:style w:type="character" w:customStyle="1" w:styleId="PredmetkomentraChar1135">
    <w:name w:val="Predmet komentára Char1135"/>
    <w:aliases w:val="Char6 Char Char1136,Predmet komentára Char Char Char1136,Comment Subject Char Char Char1136"/>
    <w:uiPriority w:val="99"/>
    <w:semiHidden/>
    <w:rsid w:val="00A809E7"/>
    <w:rPr>
      <w:rFonts w:ascii="Courier" w:hAnsi="Courier"/>
      <w:b/>
      <w:lang w:val="x-none" w:eastAsia="cs-CZ"/>
    </w:rPr>
  </w:style>
  <w:style w:type="character" w:customStyle="1" w:styleId="PredmetkomentraChar1134">
    <w:name w:val="Predmet komentára Char1134"/>
    <w:aliases w:val="Char6 Char Char1135,Predmet komentára Char Char Char1135,Comment Subject Char Char Char1135"/>
    <w:uiPriority w:val="99"/>
    <w:semiHidden/>
    <w:rsid w:val="00A809E7"/>
    <w:rPr>
      <w:rFonts w:ascii="Courier" w:hAnsi="Courier"/>
      <w:b/>
      <w:lang w:val="x-none" w:eastAsia="cs-CZ"/>
    </w:rPr>
  </w:style>
  <w:style w:type="character" w:customStyle="1" w:styleId="PredmetkomentraChar1133">
    <w:name w:val="Predmet komentára Char1133"/>
    <w:aliases w:val="Char6 Char Char1134,Predmet komentára Char Char Char1134,Comment Subject Char Char Char1134"/>
    <w:uiPriority w:val="99"/>
    <w:semiHidden/>
    <w:rsid w:val="00A809E7"/>
    <w:rPr>
      <w:rFonts w:ascii="Courier" w:hAnsi="Courier"/>
      <w:b/>
      <w:lang w:val="x-none" w:eastAsia="cs-CZ"/>
    </w:rPr>
  </w:style>
  <w:style w:type="character" w:customStyle="1" w:styleId="PredmetkomentraChar1132">
    <w:name w:val="Predmet komentára Char1132"/>
    <w:aliases w:val="Char6 Char Char1133,Predmet komentára Char Char Char1133,Comment Subject Char Char Char1133"/>
    <w:uiPriority w:val="99"/>
    <w:semiHidden/>
    <w:rsid w:val="00A809E7"/>
    <w:rPr>
      <w:rFonts w:ascii="Courier" w:hAnsi="Courier"/>
      <w:b/>
      <w:lang w:val="x-none" w:eastAsia="cs-CZ"/>
    </w:rPr>
  </w:style>
  <w:style w:type="character" w:customStyle="1" w:styleId="PredmetkomentraChar1131">
    <w:name w:val="Predmet komentára Char1131"/>
    <w:aliases w:val="Char6 Char Char1132,Predmet komentára Char Char Char1132,Comment Subject Char Char Char1132"/>
    <w:uiPriority w:val="99"/>
    <w:semiHidden/>
    <w:rsid w:val="00A809E7"/>
    <w:rPr>
      <w:rFonts w:ascii="Courier" w:hAnsi="Courier"/>
      <w:b/>
      <w:lang w:val="x-none" w:eastAsia="cs-CZ"/>
    </w:rPr>
  </w:style>
  <w:style w:type="character" w:customStyle="1" w:styleId="PredmetkomentraChar1130">
    <w:name w:val="Predmet komentára Char1130"/>
    <w:aliases w:val="Char6 Char Char1131,Predmet komentára Char Char Char1131,Comment Subject Char Char Char1131"/>
    <w:uiPriority w:val="99"/>
    <w:semiHidden/>
    <w:rsid w:val="00A809E7"/>
    <w:rPr>
      <w:rFonts w:ascii="Courier" w:hAnsi="Courier"/>
      <w:b/>
      <w:lang w:val="x-none" w:eastAsia="cs-CZ"/>
    </w:rPr>
  </w:style>
  <w:style w:type="character" w:customStyle="1" w:styleId="PredmetkomentraChar1129">
    <w:name w:val="Predmet komentára Char1129"/>
    <w:aliases w:val="Char6 Char Char1130,Predmet komentára Char Char Char1130,Comment Subject Char Char Char1130"/>
    <w:uiPriority w:val="99"/>
    <w:semiHidden/>
    <w:rsid w:val="00A809E7"/>
    <w:rPr>
      <w:rFonts w:ascii="Courier" w:hAnsi="Courier"/>
      <w:b/>
      <w:lang w:val="x-none" w:eastAsia="cs-CZ"/>
    </w:rPr>
  </w:style>
  <w:style w:type="character" w:customStyle="1" w:styleId="PredmetkomentraChar1128">
    <w:name w:val="Predmet komentára Char1128"/>
    <w:aliases w:val="Char6 Char Char1129,Predmet komentára Char Char Char1129,Comment Subject Char Char Char1129"/>
    <w:uiPriority w:val="99"/>
    <w:semiHidden/>
    <w:rsid w:val="00A809E7"/>
    <w:rPr>
      <w:rFonts w:ascii="Courier" w:hAnsi="Courier"/>
      <w:b/>
      <w:lang w:val="x-none" w:eastAsia="cs-CZ"/>
    </w:rPr>
  </w:style>
  <w:style w:type="character" w:customStyle="1" w:styleId="PredmetkomentraChar1127">
    <w:name w:val="Predmet komentára Char1127"/>
    <w:aliases w:val="Char6 Char Char1128,Predmet komentára Char Char Char1128,Comment Subject Char Char Char1128"/>
    <w:uiPriority w:val="99"/>
    <w:semiHidden/>
    <w:rsid w:val="00A809E7"/>
    <w:rPr>
      <w:rFonts w:ascii="Courier" w:hAnsi="Courier"/>
      <w:b/>
      <w:lang w:val="x-none" w:eastAsia="cs-CZ"/>
    </w:rPr>
  </w:style>
  <w:style w:type="character" w:customStyle="1" w:styleId="PredmetkomentraChar1126">
    <w:name w:val="Predmet komentára Char1126"/>
    <w:aliases w:val="Char6 Char Char1127,Predmet komentára Char Char Char1127,Comment Subject Char Char Char1127"/>
    <w:uiPriority w:val="99"/>
    <w:semiHidden/>
    <w:rsid w:val="00A809E7"/>
    <w:rPr>
      <w:rFonts w:ascii="Courier" w:hAnsi="Courier"/>
      <w:b/>
      <w:lang w:val="x-none" w:eastAsia="cs-CZ"/>
    </w:rPr>
  </w:style>
  <w:style w:type="character" w:customStyle="1" w:styleId="PredmetkomentraChar1125">
    <w:name w:val="Predmet komentára Char1125"/>
    <w:aliases w:val="Char6 Char Char1126,Predmet komentára Char Char Char1126,Comment Subject Char Char Char1126"/>
    <w:uiPriority w:val="99"/>
    <w:semiHidden/>
    <w:rsid w:val="00A809E7"/>
    <w:rPr>
      <w:rFonts w:ascii="Courier" w:hAnsi="Courier"/>
      <w:b/>
      <w:lang w:val="x-none" w:eastAsia="cs-CZ"/>
    </w:rPr>
  </w:style>
  <w:style w:type="character" w:customStyle="1" w:styleId="PredmetkomentraChar1124">
    <w:name w:val="Predmet komentára Char1124"/>
    <w:aliases w:val="Char6 Char Char1125,Predmet komentára Char Char Char1125,Comment Subject Char Char Char1125"/>
    <w:uiPriority w:val="99"/>
    <w:semiHidden/>
    <w:rsid w:val="00A809E7"/>
    <w:rPr>
      <w:rFonts w:ascii="Courier" w:hAnsi="Courier"/>
      <w:b/>
      <w:lang w:val="x-none" w:eastAsia="cs-CZ"/>
    </w:rPr>
  </w:style>
  <w:style w:type="character" w:customStyle="1" w:styleId="PredmetkomentraChar1123">
    <w:name w:val="Predmet komentára Char1123"/>
    <w:aliases w:val="Char6 Char Char1124,Predmet komentára Char Char Char1124,Comment Subject Char Char Char1124"/>
    <w:uiPriority w:val="99"/>
    <w:semiHidden/>
    <w:rsid w:val="00A809E7"/>
    <w:rPr>
      <w:rFonts w:ascii="Courier" w:hAnsi="Courier"/>
      <w:b/>
      <w:lang w:val="x-none" w:eastAsia="cs-CZ"/>
    </w:rPr>
  </w:style>
  <w:style w:type="character" w:customStyle="1" w:styleId="PredmetkomentraChar1122">
    <w:name w:val="Predmet komentára Char1122"/>
    <w:aliases w:val="Char6 Char Char1123,Predmet komentára Char Char Char1123,Comment Subject Char Char Char1123"/>
    <w:uiPriority w:val="99"/>
    <w:semiHidden/>
    <w:rsid w:val="00A809E7"/>
    <w:rPr>
      <w:rFonts w:ascii="Courier" w:hAnsi="Courier"/>
      <w:b/>
      <w:lang w:val="x-none" w:eastAsia="cs-CZ"/>
    </w:rPr>
  </w:style>
  <w:style w:type="character" w:customStyle="1" w:styleId="PredmetkomentraChar1121">
    <w:name w:val="Predmet komentára Char1121"/>
    <w:aliases w:val="Char6 Char Char1122,Predmet komentára Char Char Char1122,Comment Subject Char Char Char1122"/>
    <w:uiPriority w:val="99"/>
    <w:semiHidden/>
    <w:rsid w:val="00A809E7"/>
    <w:rPr>
      <w:rFonts w:ascii="Courier" w:hAnsi="Courier"/>
      <w:b/>
      <w:lang w:val="x-none" w:eastAsia="cs-CZ"/>
    </w:rPr>
  </w:style>
  <w:style w:type="character" w:customStyle="1" w:styleId="PredmetkomentraChar1120">
    <w:name w:val="Predmet komentára Char1120"/>
    <w:aliases w:val="Char6 Char Char1121,Predmet komentára Char Char Char1121,Comment Subject Char Char Char1121"/>
    <w:uiPriority w:val="99"/>
    <w:semiHidden/>
    <w:rsid w:val="00A809E7"/>
    <w:rPr>
      <w:rFonts w:ascii="Courier" w:hAnsi="Courier"/>
      <w:b/>
      <w:lang w:val="x-none" w:eastAsia="cs-CZ"/>
    </w:rPr>
  </w:style>
  <w:style w:type="character" w:customStyle="1" w:styleId="PredmetkomentraChar1119">
    <w:name w:val="Predmet komentára Char1119"/>
    <w:aliases w:val="Char6 Char Char1120,Predmet komentára Char Char Char1120,Comment Subject Char Char Char1120"/>
    <w:uiPriority w:val="99"/>
    <w:semiHidden/>
    <w:rsid w:val="00A809E7"/>
    <w:rPr>
      <w:rFonts w:ascii="Courier" w:hAnsi="Courier"/>
      <w:b/>
      <w:lang w:val="x-none" w:eastAsia="cs-CZ"/>
    </w:rPr>
  </w:style>
  <w:style w:type="character" w:customStyle="1" w:styleId="PredmetkomentraChar1118">
    <w:name w:val="Predmet komentára Char1118"/>
    <w:aliases w:val="Char6 Char Char1119,Predmet komentára Char Char Char1119,Comment Subject Char Char Char1119"/>
    <w:uiPriority w:val="99"/>
    <w:semiHidden/>
    <w:rsid w:val="00A809E7"/>
    <w:rPr>
      <w:rFonts w:ascii="Courier" w:hAnsi="Courier"/>
      <w:b/>
      <w:lang w:val="x-none" w:eastAsia="cs-CZ"/>
    </w:rPr>
  </w:style>
  <w:style w:type="character" w:customStyle="1" w:styleId="PredmetkomentraChar1117">
    <w:name w:val="Predmet komentára Char1117"/>
    <w:aliases w:val="Char6 Char Char1118,Predmet komentára Char Char Char1118,Comment Subject Char Char Char1118"/>
    <w:uiPriority w:val="99"/>
    <w:semiHidden/>
    <w:rsid w:val="00A809E7"/>
    <w:rPr>
      <w:rFonts w:ascii="Courier" w:hAnsi="Courier"/>
      <w:b/>
      <w:lang w:val="x-none" w:eastAsia="cs-CZ"/>
    </w:rPr>
  </w:style>
  <w:style w:type="character" w:customStyle="1" w:styleId="PredmetkomentraChar1116">
    <w:name w:val="Predmet komentára Char1116"/>
    <w:aliases w:val="Char6 Char Char1117,Predmet komentára Char Char Char1117,Comment Subject Char Char Char1117"/>
    <w:uiPriority w:val="99"/>
    <w:semiHidden/>
    <w:rsid w:val="00A809E7"/>
    <w:rPr>
      <w:rFonts w:ascii="Courier" w:hAnsi="Courier"/>
      <w:b/>
      <w:lang w:val="x-none" w:eastAsia="cs-CZ"/>
    </w:rPr>
  </w:style>
  <w:style w:type="character" w:customStyle="1" w:styleId="PredmetkomentraChar1115">
    <w:name w:val="Predmet komentára Char1115"/>
    <w:aliases w:val="Char6 Char Char1116,Predmet komentára Char Char Char1116,Comment Subject Char Char Char1116"/>
    <w:uiPriority w:val="99"/>
    <w:semiHidden/>
    <w:rsid w:val="00A809E7"/>
    <w:rPr>
      <w:rFonts w:ascii="Courier" w:hAnsi="Courier"/>
      <w:b/>
      <w:lang w:val="x-none" w:eastAsia="cs-CZ"/>
    </w:rPr>
  </w:style>
  <w:style w:type="character" w:customStyle="1" w:styleId="PredmetkomentraChar1114">
    <w:name w:val="Predmet komentára Char1114"/>
    <w:aliases w:val="Char6 Char Char1115,Predmet komentára Char Char Char1115,Comment Subject Char Char Char1115"/>
    <w:uiPriority w:val="99"/>
    <w:semiHidden/>
    <w:rsid w:val="00A809E7"/>
    <w:rPr>
      <w:rFonts w:ascii="Courier" w:hAnsi="Courier"/>
      <w:b/>
      <w:lang w:val="x-none" w:eastAsia="cs-CZ"/>
    </w:rPr>
  </w:style>
  <w:style w:type="character" w:customStyle="1" w:styleId="PredmetkomentraChar1113">
    <w:name w:val="Predmet komentára Char1113"/>
    <w:aliases w:val="Char6 Char Char1114,Predmet komentára Char Char Char1114,Comment Subject Char Char Char1114"/>
    <w:uiPriority w:val="99"/>
    <w:semiHidden/>
    <w:rsid w:val="00A809E7"/>
    <w:rPr>
      <w:rFonts w:ascii="Courier" w:hAnsi="Courier"/>
      <w:b/>
      <w:lang w:val="x-none" w:eastAsia="cs-CZ"/>
    </w:rPr>
  </w:style>
  <w:style w:type="character" w:customStyle="1" w:styleId="PredmetkomentraChar1112">
    <w:name w:val="Predmet komentára Char1112"/>
    <w:aliases w:val="Char6 Char Char1113,Predmet komentára Char Char Char1113,Comment Subject Char Char Char1113"/>
    <w:uiPriority w:val="99"/>
    <w:semiHidden/>
    <w:rsid w:val="00A809E7"/>
    <w:rPr>
      <w:rFonts w:ascii="Courier" w:hAnsi="Courier"/>
      <w:b/>
      <w:lang w:val="x-none" w:eastAsia="cs-CZ"/>
    </w:rPr>
  </w:style>
  <w:style w:type="character" w:customStyle="1" w:styleId="PredmetkomentraChar1111">
    <w:name w:val="Predmet komentára Char1111"/>
    <w:aliases w:val="Char6 Char Char1112,Predmet komentára Char Char Char1112,Comment Subject Char Char Char1112"/>
    <w:uiPriority w:val="99"/>
    <w:semiHidden/>
    <w:rsid w:val="00A809E7"/>
    <w:rPr>
      <w:rFonts w:ascii="Courier" w:hAnsi="Courier"/>
      <w:b/>
      <w:lang w:val="x-none" w:eastAsia="cs-CZ"/>
    </w:rPr>
  </w:style>
  <w:style w:type="character" w:customStyle="1" w:styleId="PredmetkomentraChar1110">
    <w:name w:val="Predmet komentára Char1110"/>
    <w:aliases w:val="Char6 Char Char1111,Predmet komentára Char Char Char1111,Comment Subject Char Char Char1111"/>
    <w:uiPriority w:val="99"/>
    <w:semiHidden/>
    <w:rsid w:val="00A809E7"/>
    <w:rPr>
      <w:rFonts w:ascii="Courier" w:hAnsi="Courier"/>
      <w:b/>
      <w:lang w:val="x-none" w:eastAsia="cs-CZ"/>
    </w:rPr>
  </w:style>
  <w:style w:type="character" w:customStyle="1" w:styleId="PredmetkomentraChar1109">
    <w:name w:val="Predmet komentára Char1109"/>
    <w:aliases w:val="Char6 Char Char1110,Predmet komentára Char Char Char1110,Comment Subject Char Char Char1110"/>
    <w:uiPriority w:val="99"/>
    <w:semiHidden/>
    <w:rsid w:val="00A809E7"/>
    <w:rPr>
      <w:rFonts w:ascii="Courier" w:hAnsi="Courier"/>
      <w:b/>
      <w:lang w:val="x-none" w:eastAsia="cs-CZ"/>
    </w:rPr>
  </w:style>
  <w:style w:type="character" w:customStyle="1" w:styleId="PredmetkomentraChar1108">
    <w:name w:val="Predmet komentára Char1108"/>
    <w:aliases w:val="Char6 Char Char1109,Predmet komentára Char Char Char1109,Comment Subject Char Char Char1109"/>
    <w:uiPriority w:val="99"/>
    <w:semiHidden/>
    <w:rsid w:val="00A809E7"/>
    <w:rPr>
      <w:rFonts w:ascii="Courier" w:hAnsi="Courier"/>
      <w:b/>
      <w:lang w:val="x-none" w:eastAsia="cs-CZ"/>
    </w:rPr>
  </w:style>
  <w:style w:type="character" w:customStyle="1" w:styleId="PredmetkomentraChar1107">
    <w:name w:val="Predmet komentára Char1107"/>
    <w:aliases w:val="Char6 Char Char1108,Predmet komentára Char Char Char1108,Comment Subject Char Char Char1108"/>
    <w:uiPriority w:val="99"/>
    <w:semiHidden/>
    <w:rsid w:val="00A809E7"/>
    <w:rPr>
      <w:rFonts w:ascii="Courier" w:hAnsi="Courier"/>
      <w:b/>
      <w:lang w:val="x-none" w:eastAsia="cs-CZ"/>
    </w:rPr>
  </w:style>
  <w:style w:type="character" w:customStyle="1" w:styleId="PredmetkomentraChar1106">
    <w:name w:val="Predmet komentára Char1106"/>
    <w:aliases w:val="Char6 Char Char1107,Predmet komentára Char Char Char1107,Comment Subject Char Char Char1107"/>
    <w:uiPriority w:val="99"/>
    <w:semiHidden/>
    <w:rsid w:val="00A809E7"/>
    <w:rPr>
      <w:rFonts w:ascii="Courier" w:hAnsi="Courier"/>
      <w:b/>
      <w:lang w:val="x-none" w:eastAsia="cs-CZ"/>
    </w:rPr>
  </w:style>
  <w:style w:type="character" w:customStyle="1" w:styleId="PredmetkomentraChar1105">
    <w:name w:val="Predmet komentára Char1105"/>
    <w:aliases w:val="Char6 Char Char1106,Predmet komentára Char Char Char1106,Comment Subject Char Char Char1106"/>
    <w:uiPriority w:val="99"/>
    <w:semiHidden/>
    <w:rsid w:val="00A809E7"/>
    <w:rPr>
      <w:rFonts w:ascii="Courier" w:hAnsi="Courier"/>
      <w:b/>
      <w:lang w:val="x-none" w:eastAsia="cs-CZ"/>
    </w:rPr>
  </w:style>
  <w:style w:type="character" w:customStyle="1" w:styleId="PredmetkomentraChar1104">
    <w:name w:val="Predmet komentára Char1104"/>
    <w:aliases w:val="Char6 Char Char1105,Predmet komentára Char Char Char1105,Comment Subject Char Char Char1105"/>
    <w:uiPriority w:val="99"/>
    <w:semiHidden/>
    <w:rsid w:val="00A809E7"/>
    <w:rPr>
      <w:rFonts w:ascii="Courier" w:hAnsi="Courier"/>
      <w:b/>
      <w:lang w:val="x-none" w:eastAsia="cs-CZ"/>
    </w:rPr>
  </w:style>
  <w:style w:type="character" w:customStyle="1" w:styleId="PredmetkomentraChar1103">
    <w:name w:val="Predmet komentára Char1103"/>
    <w:aliases w:val="Char6 Char Char1104,Predmet komentára Char Char Char1104,Comment Subject Char Char Char1104"/>
    <w:uiPriority w:val="99"/>
    <w:semiHidden/>
    <w:rsid w:val="00A809E7"/>
    <w:rPr>
      <w:rFonts w:ascii="Courier" w:hAnsi="Courier"/>
      <w:b/>
      <w:lang w:val="x-none" w:eastAsia="cs-CZ"/>
    </w:rPr>
  </w:style>
  <w:style w:type="character" w:customStyle="1" w:styleId="PredmetkomentraChar1102">
    <w:name w:val="Predmet komentára Char1102"/>
    <w:aliases w:val="Char6 Char Char1103,Predmet komentára Char Char Char1103,Comment Subject Char Char Char1103"/>
    <w:uiPriority w:val="99"/>
    <w:semiHidden/>
    <w:rsid w:val="00A809E7"/>
    <w:rPr>
      <w:rFonts w:ascii="Courier" w:hAnsi="Courier"/>
      <w:b/>
      <w:lang w:val="x-none" w:eastAsia="cs-CZ"/>
    </w:rPr>
  </w:style>
  <w:style w:type="character" w:customStyle="1" w:styleId="PredmetkomentraChar1101">
    <w:name w:val="Predmet komentára Char1101"/>
    <w:aliases w:val="Char6 Char Char1102,Predmet komentára Char Char Char1102,Comment Subject Char Char Char1102"/>
    <w:uiPriority w:val="99"/>
    <w:semiHidden/>
    <w:rsid w:val="00A809E7"/>
    <w:rPr>
      <w:rFonts w:ascii="Courier" w:hAnsi="Courier"/>
      <w:b/>
      <w:lang w:val="x-none" w:eastAsia="cs-CZ"/>
    </w:rPr>
  </w:style>
  <w:style w:type="character" w:customStyle="1" w:styleId="PredmetkomentraChar1100">
    <w:name w:val="Predmet komentára Char1100"/>
    <w:aliases w:val="Char6 Char Char1101,Predmet komentára Char Char Char1101,Comment Subject Char Char Char1101"/>
    <w:uiPriority w:val="99"/>
    <w:semiHidden/>
    <w:rsid w:val="00A809E7"/>
    <w:rPr>
      <w:rFonts w:ascii="Courier" w:hAnsi="Courier"/>
      <w:b/>
      <w:lang w:val="x-none" w:eastAsia="cs-CZ"/>
    </w:rPr>
  </w:style>
  <w:style w:type="character" w:customStyle="1" w:styleId="PredmetkomentraChar199">
    <w:name w:val="Predmet komentára Char199"/>
    <w:aliases w:val="Char6 Char Char1100,Predmet komentára Char Char Char1100,Comment Subject Char Char Char1100"/>
    <w:uiPriority w:val="99"/>
    <w:semiHidden/>
    <w:rsid w:val="00A809E7"/>
    <w:rPr>
      <w:rFonts w:ascii="Courier" w:hAnsi="Courier"/>
      <w:b/>
      <w:lang w:val="x-none" w:eastAsia="cs-CZ"/>
    </w:rPr>
  </w:style>
  <w:style w:type="character" w:customStyle="1" w:styleId="PredmetkomentraChar198">
    <w:name w:val="Predmet komentára Char198"/>
    <w:aliases w:val="Char6 Char Char199,Predmet komentára Char Char Char199,Comment Subject Char Char Char199"/>
    <w:uiPriority w:val="99"/>
    <w:semiHidden/>
    <w:rsid w:val="00A809E7"/>
    <w:rPr>
      <w:rFonts w:ascii="Courier" w:hAnsi="Courier"/>
      <w:b/>
      <w:lang w:val="x-none" w:eastAsia="cs-CZ"/>
    </w:rPr>
  </w:style>
  <w:style w:type="character" w:customStyle="1" w:styleId="PredmetkomentraChar197">
    <w:name w:val="Predmet komentára Char197"/>
    <w:aliases w:val="Char6 Char Char198,Predmet komentára Char Char Char198,Comment Subject Char Char Char198"/>
    <w:uiPriority w:val="99"/>
    <w:semiHidden/>
    <w:rsid w:val="00A809E7"/>
    <w:rPr>
      <w:rFonts w:ascii="Courier" w:hAnsi="Courier"/>
      <w:b/>
      <w:lang w:val="x-none" w:eastAsia="cs-CZ"/>
    </w:rPr>
  </w:style>
  <w:style w:type="character" w:customStyle="1" w:styleId="PredmetkomentraChar196">
    <w:name w:val="Predmet komentára Char196"/>
    <w:aliases w:val="Char6 Char Char197,Predmet komentára Char Char Char197,Comment Subject Char Char Char197"/>
    <w:uiPriority w:val="99"/>
    <w:semiHidden/>
    <w:rsid w:val="00A809E7"/>
    <w:rPr>
      <w:rFonts w:ascii="Courier" w:hAnsi="Courier"/>
      <w:b/>
      <w:lang w:val="x-none" w:eastAsia="cs-CZ"/>
    </w:rPr>
  </w:style>
  <w:style w:type="character" w:customStyle="1" w:styleId="PredmetkomentraChar195">
    <w:name w:val="Predmet komentára Char195"/>
    <w:aliases w:val="Char6 Char Char196,Predmet komentára Char Char Char196,Comment Subject Char Char Char196"/>
    <w:uiPriority w:val="99"/>
    <w:semiHidden/>
    <w:rsid w:val="00A809E7"/>
    <w:rPr>
      <w:rFonts w:ascii="Courier" w:hAnsi="Courier"/>
      <w:b/>
      <w:lang w:val="x-none" w:eastAsia="cs-CZ"/>
    </w:rPr>
  </w:style>
  <w:style w:type="character" w:customStyle="1" w:styleId="PredmetkomentraChar194">
    <w:name w:val="Predmet komentára Char194"/>
    <w:aliases w:val="Char6 Char Char195,Predmet komentára Char Char Char195,Comment Subject Char Char Char195"/>
    <w:uiPriority w:val="99"/>
    <w:semiHidden/>
    <w:rsid w:val="00A809E7"/>
    <w:rPr>
      <w:rFonts w:ascii="Courier" w:hAnsi="Courier"/>
      <w:b/>
      <w:lang w:val="x-none" w:eastAsia="cs-CZ"/>
    </w:rPr>
  </w:style>
  <w:style w:type="character" w:customStyle="1" w:styleId="PredmetkomentraChar193">
    <w:name w:val="Predmet komentára Char193"/>
    <w:aliases w:val="Char6 Char Char194,Predmet komentára Char Char Char194,Comment Subject Char Char Char194"/>
    <w:uiPriority w:val="99"/>
    <w:semiHidden/>
    <w:rsid w:val="00A809E7"/>
    <w:rPr>
      <w:rFonts w:ascii="Courier" w:hAnsi="Courier"/>
      <w:b/>
      <w:lang w:val="x-none" w:eastAsia="cs-CZ"/>
    </w:rPr>
  </w:style>
  <w:style w:type="character" w:customStyle="1" w:styleId="PredmetkomentraChar192">
    <w:name w:val="Predmet komentára Char192"/>
    <w:aliases w:val="Char6 Char Char193,Predmet komentára Char Char Char193,Comment Subject Char Char Char193"/>
    <w:uiPriority w:val="99"/>
    <w:semiHidden/>
    <w:rsid w:val="00A809E7"/>
    <w:rPr>
      <w:rFonts w:ascii="Courier" w:hAnsi="Courier"/>
      <w:b/>
      <w:lang w:val="x-none" w:eastAsia="cs-CZ"/>
    </w:rPr>
  </w:style>
  <w:style w:type="character" w:customStyle="1" w:styleId="PredmetkomentraChar191">
    <w:name w:val="Predmet komentára Char191"/>
    <w:aliases w:val="Char6 Char Char192,Predmet komentára Char Char Char192,Comment Subject Char Char Char192"/>
    <w:uiPriority w:val="99"/>
    <w:semiHidden/>
    <w:rsid w:val="00A809E7"/>
    <w:rPr>
      <w:rFonts w:ascii="Courier" w:hAnsi="Courier"/>
      <w:b/>
      <w:lang w:val="x-none" w:eastAsia="cs-CZ"/>
    </w:rPr>
  </w:style>
  <w:style w:type="character" w:customStyle="1" w:styleId="PredmetkomentraChar190">
    <w:name w:val="Predmet komentára Char190"/>
    <w:aliases w:val="Char6 Char Char191,Predmet komentára Char Char Char191,Comment Subject Char Char Char191"/>
    <w:uiPriority w:val="99"/>
    <w:semiHidden/>
    <w:rsid w:val="00A809E7"/>
    <w:rPr>
      <w:rFonts w:ascii="Courier" w:hAnsi="Courier"/>
      <w:b/>
      <w:lang w:val="x-none" w:eastAsia="cs-CZ"/>
    </w:rPr>
  </w:style>
  <w:style w:type="character" w:customStyle="1" w:styleId="PredmetkomentraChar189">
    <w:name w:val="Predmet komentára Char189"/>
    <w:aliases w:val="Char6 Char Char190,Predmet komentára Char Char Char190,Comment Subject Char Char Char190"/>
    <w:uiPriority w:val="99"/>
    <w:semiHidden/>
    <w:rsid w:val="00A809E7"/>
    <w:rPr>
      <w:rFonts w:ascii="Courier" w:hAnsi="Courier"/>
      <w:b/>
      <w:lang w:val="x-none" w:eastAsia="cs-CZ"/>
    </w:rPr>
  </w:style>
  <w:style w:type="character" w:customStyle="1" w:styleId="PredmetkomentraChar188">
    <w:name w:val="Predmet komentára Char188"/>
    <w:aliases w:val="Char6 Char Char189,Predmet komentára Char Char Char189,Comment Subject Char Char Char189"/>
    <w:uiPriority w:val="99"/>
    <w:semiHidden/>
    <w:rsid w:val="00A809E7"/>
    <w:rPr>
      <w:rFonts w:ascii="Courier" w:hAnsi="Courier"/>
      <w:b/>
      <w:lang w:val="x-none" w:eastAsia="cs-CZ"/>
    </w:rPr>
  </w:style>
  <w:style w:type="character" w:customStyle="1" w:styleId="PredmetkomentraChar187">
    <w:name w:val="Predmet komentára Char187"/>
    <w:aliases w:val="Char6 Char Char188,Predmet komentára Char Char Char188,Comment Subject Char Char Char188"/>
    <w:uiPriority w:val="99"/>
    <w:semiHidden/>
    <w:rsid w:val="00A809E7"/>
    <w:rPr>
      <w:rFonts w:ascii="Courier" w:hAnsi="Courier"/>
      <w:b/>
      <w:lang w:val="x-none" w:eastAsia="cs-CZ"/>
    </w:rPr>
  </w:style>
  <w:style w:type="character" w:customStyle="1" w:styleId="PredmetkomentraChar186">
    <w:name w:val="Predmet komentára Char186"/>
    <w:aliases w:val="Char6 Char Char187,Predmet komentára Char Char Char187,Comment Subject Char Char Char187"/>
    <w:uiPriority w:val="99"/>
    <w:semiHidden/>
    <w:rsid w:val="00A809E7"/>
    <w:rPr>
      <w:rFonts w:ascii="Courier" w:hAnsi="Courier"/>
      <w:b/>
      <w:lang w:val="x-none" w:eastAsia="cs-CZ"/>
    </w:rPr>
  </w:style>
  <w:style w:type="character" w:customStyle="1" w:styleId="PredmetkomentraChar185">
    <w:name w:val="Predmet komentára Char185"/>
    <w:aliases w:val="Char6 Char Char186,Predmet komentára Char Char Char186,Comment Subject Char Char Char186"/>
    <w:uiPriority w:val="99"/>
    <w:semiHidden/>
    <w:rsid w:val="00A809E7"/>
    <w:rPr>
      <w:rFonts w:ascii="Courier" w:hAnsi="Courier"/>
      <w:b/>
      <w:lang w:val="x-none" w:eastAsia="cs-CZ"/>
    </w:rPr>
  </w:style>
  <w:style w:type="character" w:customStyle="1" w:styleId="PredmetkomentraChar184">
    <w:name w:val="Predmet komentára Char184"/>
    <w:aliases w:val="Char6 Char Char185,Predmet komentára Char Char Char185,Comment Subject Char Char Char185"/>
    <w:uiPriority w:val="99"/>
    <w:semiHidden/>
    <w:rsid w:val="00A809E7"/>
    <w:rPr>
      <w:rFonts w:ascii="Courier" w:hAnsi="Courier"/>
      <w:b/>
      <w:lang w:val="x-none" w:eastAsia="cs-CZ"/>
    </w:rPr>
  </w:style>
  <w:style w:type="character" w:customStyle="1" w:styleId="PredmetkomentraChar183">
    <w:name w:val="Predmet komentára Char183"/>
    <w:aliases w:val="Char6 Char Char184,Predmet komentára Char Char Char184,Comment Subject Char Char Char184"/>
    <w:uiPriority w:val="99"/>
    <w:semiHidden/>
    <w:rsid w:val="00A809E7"/>
    <w:rPr>
      <w:rFonts w:ascii="Courier" w:hAnsi="Courier"/>
      <w:b/>
      <w:lang w:val="x-none" w:eastAsia="cs-CZ"/>
    </w:rPr>
  </w:style>
  <w:style w:type="character" w:customStyle="1" w:styleId="PredmetkomentraChar182">
    <w:name w:val="Predmet komentára Char182"/>
    <w:aliases w:val="Char6 Char Char183,Predmet komentára Char Char Char183,Comment Subject Char Char Char183"/>
    <w:uiPriority w:val="99"/>
    <w:semiHidden/>
    <w:rsid w:val="00A809E7"/>
    <w:rPr>
      <w:rFonts w:ascii="Courier" w:hAnsi="Courier"/>
      <w:b/>
      <w:lang w:val="x-none" w:eastAsia="cs-CZ"/>
    </w:rPr>
  </w:style>
  <w:style w:type="character" w:customStyle="1" w:styleId="PredmetkomentraChar181">
    <w:name w:val="Predmet komentára Char181"/>
    <w:aliases w:val="Char6 Char Char182,Predmet komentára Char Char Char182,Comment Subject Char Char Char182"/>
    <w:uiPriority w:val="99"/>
    <w:semiHidden/>
    <w:rsid w:val="00A809E7"/>
    <w:rPr>
      <w:rFonts w:ascii="Courier" w:hAnsi="Courier"/>
      <w:b/>
      <w:lang w:val="x-none" w:eastAsia="cs-CZ"/>
    </w:rPr>
  </w:style>
  <w:style w:type="character" w:customStyle="1" w:styleId="PredmetkomentraChar180">
    <w:name w:val="Predmet komentára Char180"/>
    <w:aliases w:val="Char6 Char Char181,Predmet komentára Char Char Char181,Comment Subject Char Char Char181"/>
    <w:uiPriority w:val="99"/>
    <w:semiHidden/>
    <w:rsid w:val="00A809E7"/>
    <w:rPr>
      <w:rFonts w:ascii="Courier" w:hAnsi="Courier"/>
      <w:b/>
      <w:lang w:val="x-none" w:eastAsia="cs-CZ"/>
    </w:rPr>
  </w:style>
  <w:style w:type="character" w:customStyle="1" w:styleId="PredmetkomentraChar179">
    <w:name w:val="Predmet komentára Char179"/>
    <w:aliases w:val="Char6 Char Char180,Predmet komentára Char Char Char180,Comment Subject Char Char Char180"/>
    <w:uiPriority w:val="99"/>
    <w:semiHidden/>
    <w:rsid w:val="00A809E7"/>
    <w:rPr>
      <w:rFonts w:ascii="Courier" w:hAnsi="Courier"/>
      <w:b/>
      <w:lang w:val="x-none" w:eastAsia="cs-CZ"/>
    </w:rPr>
  </w:style>
  <w:style w:type="character" w:customStyle="1" w:styleId="PredmetkomentraChar178">
    <w:name w:val="Predmet komentára Char178"/>
    <w:aliases w:val="Char6 Char Char179,Predmet komentára Char Char Char179,Comment Subject Char Char Char179"/>
    <w:uiPriority w:val="99"/>
    <w:semiHidden/>
    <w:rsid w:val="00A809E7"/>
    <w:rPr>
      <w:rFonts w:ascii="Courier" w:hAnsi="Courier"/>
      <w:b/>
      <w:lang w:val="x-none" w:eastAsia="cs-CZ"/>
    </w:rPr>
  </w:style>
  <w:style w:type="character" w:customStyle="1" w:styleId="PredmetkomentraChar177">
    <w:name w:val="Predmet komentára Char177"/>
    <w:aliases w:val="Char6 Char Char178,Predmet komentára Char Char Char178,Comment Subject Char Char Char178"/>
    <w:uiPriority w:val="99"/>
    <w:semiHidden/>
    <w:rsid w:val="00A809E7"/>
    <w:rPr>
      <w:rFonts w:ascii="Courier" w:hAnsi="Courier"/>
      <w:b/>
      <w:lang w:val="x-none" w:eastAsia="cs-CZ"/>
    </w:rPr>
  </w:style>
  <w:style w:type="character" w:customStyle="1" w:styleId="PredmetkomentraChar176">
    <w:name w:val="Predmet komentára Char176"/>
    <w:aliases w:val="Char6 Char Char177,Predmet komentára Char Char Char177,Comment Subject Char Char Char177"/>
    <w:uiPriority w:val="99"/>
    <w:semiHidden/>
    <w:rsid w:val="00A809E7"/>
    <w:rPr>
      <w:rFonts w:ascii="Courier" w:hAnsi="Courier"/>
      <w:b/>
      <w:lang w:val="x-none" w:eastAsia="cs-CZ"/>
    </w:rPr>
  </w:style>
  <w:style w:type="character" w:customStyle="1" w:styleId="PredmetkomentraChar175">
    <w:name w:val="Predmet komentára Char175"/>
    <w:aliases w:val="Char6 Char Char176,Predmet komentára Char Char Char176,Comment Subject Char Char Char176"/>
    <w:uiPriority w:val="99"/>
    <w:semiHidden/>
    <w:rsid w:val="00A809E7"/>
    <w:rPr>
      <w:rFonts w:ascii="Courier" w:hAnsi="Courier"/>
      <w:b/>
      <w:lang w:val="x-none" w:eastAsia="cs-CZ"/>
    </w:rPr>
  </w:style>
  <w:style w:type="character" w:customStyle="1" w:styleId="PredmetkomentraChar174">
    <w:name w:val="Predmet komentára Char174"/>
    <w:aliases w:val="Char6 Char Char175,Predmet komentára Char Char Char175,Comment Subject Char Char Char175"/>
    <w:uiPriority w:val="99"/>
    <w:semiHidden/>
    <w:rsid w:val="00A809E7"/>
    <w:rPr>
      <w:rFonts w:ascii="Courier" w:hAnsi="Courier"/>
      <w:b/>
      <w:lang w:val="x-none" w:eastAsia="cs-CZ"/>
    </w:rPr>
  </w:style>
  <w:style w:type="character" w:customStyle="1" w:styleId="PredmetkomentraChar173">
    <w:name w:val="Predmet komentára Char173"/>
    <w:aliases w:val="Char6 Char Char174,Predmet komentára Char Char Char174,Comment Subject Char Char Char174"/>
    <w:uiPriority w:val="99"/>
    <w:semiHidden/>
    <w:rsid w:val="00A809E7"/>
    <w:rPr>
      <w:rFonts w:ascii="Courier" w:hAnsi="Courier"/>
      <w:b/>
      <w:lang w:val="x-none" w:eastAsia="cs-CZ"/>
    </w:rPr>
  </w:style>
  <w:style w:type="character" w:customStyle="1" w:styleId="PredmetkomentraChar172">
    <w:name w:val="Predmet komentára Char172"/>
    <w:aliases w:val="Char6 Char Char173,Predmet komentára Char Char Char173,Comment Subject Char Char Char173"/>
    <w:uiPriority w:val="99"/>
    <w:semiHidden/>
    <w:rsid w:val="00A809E7"/>
    <w:rPr>
      <w:rFonts w:ascii="Courier" w:hAnsi="Courier"/>
      <w:b/>
      <w:lang w:val="x-none" w:eastAsia="cs-CZ"/>
    </w:rPr>
  </w:style>
  <w:style w:type="character" w:customStyle="1" w:styleId="PredmetkomentraChar171">
    <w:name w:val="Predmet komentára Char171"/>
    <w:aliases w:val="Char6 Char Char172,Predmet komentára Char Char Char172,Comment Subject Char Char Char172"/>
    <w:uiPriority w:val="99"/>
    <w:semiHidden/>
    <w:rsid w:val="00A809E7"/>
    <w:rPr>
      <w:rFonts w:ascii="Courier" w:hAnsi="Courier"/>
      <w:b/>
      <w:lang w:val="x-none" w:eastAsia="cs-CZ"/>
    </w:rPr>
  </w:style>
  <w:style w:type="character" w:customStyle="1" w:styleId="PredmetkomentraChar170">
    <w:name w:val="Predmet komentára Char170"/>
    <w:aliases w:val="Char6 Char Char171,Predmet komentára Char Char Char171,Comment Subject Char Char Char171"/>
    <w:uiPriority w:val="99"/>
    <w:semiHidden/>
    <w:rsid w:val="00A809E7"/>
    <w:rPr>
      <w:rFonts w:ascii="Courier" w:hAnsi="Courier"/>
      <w:b/>
      <w:lang w:val="x-none" w:eastAsia="cs-CZ"/>
    </w:rPr>
  </w:style>
  <w:style w:type="character" w:customStyle="1" w:styleId="PredmetkomentraChar169">
    <w:name w:val="Predmet komentára Char169"/>
    <w:aliases w:val="Char6 Char Char170,Predmet komentára Char Char Char170,Comment Subject Char Char Char170"/>
    <w:uiPriority w:val="99"/>
    <w:semiHidden/>
    <w:rsid w:val="00A809E7"/>
    <w:rPr>
      <w:rFonts w:ascii="Courier" w:hAnsi="Courier"/>
      <w:b/>
      <w:lang w:val="x-none" w:eastAsia="cs-CZ"/>
    </w:rPr>
  </w:style>
  <w:style w:type="character" w:customStyle="1" w:styleId="PredmetkomentraChar168">
    <w:name w:val="Predmet komentára Char168"/>
    <w:aliases w:val="Char6 Char Char169,Predmet komentára Char Char Char169,Comment Subject Char Char Char169"/>
    <w:uiPriority w:val="99"/>
    <w:semiHidden/>
    <w:rsid w:val="00A809E7"/>
    <w:rPr>
      <w:rFonts w:ascii="Courier" w:hAnsi="Courier"/>
      <w:b/>
      <w:lang w:val="x-none" w:eastAsia="cs-CZ"/>
    </w:rPr>
  </w:style>
  <w:style w:type="character" w:customStyle="1" w:styleId="PredmetkomentraChar167">
    <w:name w:val="Predmet komentára Char167"/>
    <w:aliases w:val="Char6 Char Char168,Predmet komentára Char Char Char168,Comment Subject Char Char Char168"/>
    <w:uiPriority w:val="99"/>
    <w:semiHidden/>
    <w:rsid w:val="00A809E7"/>
    <w:rPr>
      <w:rFonts w:ascii="Courier" w:hAnsi="Courier"/>
      <w:b/>
      <w:lang w:val="x-none" w:eastAsia="cs-CZ"/>
    </w:rPr>
  </w:style>
  <w:style w:type="character" w:customStyle="1" w:styleId="PredmetkomentraChar166">
    <w:name w:val="Predmet komentára Char166"/>
    <w:aliases w:val="Char6 Char Char167,Predmet komentára Char Char Char167,Comment Subject Char Char Char167"/>
    <w:uiPriority w:val="99"/>
    <w:semiHidden/>
    <w:rsid w:val="00A809E7"/>
    <w:rPr>
      <w:rFonts w:ascii="Courier" w:hAnsi="Courier"/>
      <w:b/>
      <w:lang w:val="x-none" w:eastAsia="cs-CZ"/>
    </w:rPr>
  </w:style>
  <w:style w:type="character" w:customStyle="1" w:styleId="PredmetkomentraChar165">
    <w:name w:val="Predmet komentára Char165"/>
    <w:aliases w:val="Char6 Char Char166,Predmet komentára Char Char Char166,Comment Subject Char Char Char166"/>
    <w:uiPriority w:val="99"/>
    <w:semiHidden/>
    <w:rsid w:val="00A809E7"/>
    <w:rPr>
      <w:rFonts w:ascii="Courier" w:hAnsi="Courier"/>
      <w:b/>
      <w:lang w:val="x-none" w:eastAsia="cs-CZ"/>
    </w:rPr>
  </w:style>
  <w:style w:type="character" w:customStyle="1" w:styleId="PredmetkomentraChar164">
    <w:name w:val="Predmet komentára Char164"/>
    <w:aliases w:val="Char6 Char Char165,Predmet komentára Char Char Char165,Comment Subject Char Char Char165"/>
    <w:uiPriority w:val="99"/>
    <w:semiHidden/>
    <w:rsid w:val="00A809E7"/>
    <w:rPr>
      <w:rFonts w:ascii="Courier" w:hAnsi="Courier"/>
      <w:b/>
      <w:lang w:val="x-none" w:eastAsia="cs-CZ"/>
    </w:rPr>
  </w:style>
  <w:style w:type="character" w:customStyle="1" w:styleId="PredmetkomentraChar163">
    <w:name w:val="Predmet komentára Char163"/>
    <w:aliases w:val="Char6 Char Char164,Predmet komentára Char Char Char164,Comment Subject Char Char Char164"/>
    <w:uiPriority w:val="99"/>
    <w:semiHidden/>
    <w:rsid w:val="00A809E7"/>
    <w:rPr>
      <w:rFonts w:ascii="Courier" w:hAnsi="Courier"/>
      <w:b/>
      <w:lang w:val="x-none" w:eastAsia="cs-CZ"/>
    </w:rPr>
  </w:style>
  <w:style w:type="character" w:customStyle="1" w:styleId="PredmetkomentraChar162">
    <w:name w:val="Predmet komentára Char162"/>
    <w:aliases w:val="Char6 Char Char163,Predmet komentára Char Char Char163,Comment Subject Char Char Char163"/>
    <w:uiPriority w:val="99"/>
    <w:semiHidden/>
    <w:rsid w:val="00A809E7"/>
    <w:rPr>
      <w:rFonts w:ascii="Courier" w:hAnsi="Courier"/>
      <w:b/>
      <w:lang w:val="x-none" w:eastAsia="cs-CZ"/>
    </w:rPr>
  </w:style>
  <w:style w:type="character" w:customStyle="1" w:styleId="PredmetkomentraChar161">
    <w:name w:val="Predmet komentára Char161"/>
    <w:aliases w:val="Char6 Char Char162,Predmet komentára Char Char Char162,Comment Subject Char Char Char162"/>
    <w:uiPriority w:val="99"/>
    <w:semiHidden/>
    <w:rsid w:val="00A809E7"/>
    <w:rPr>
      <w:rFonts w:ascii="Courier" w:hAnsi="Courier"/>
      <w:b/>
      <w:lang w:val="x-none" w:eastAsia="cs-CZ"/>
    </w:rPr>
  </w:style>
  <w:style w:type="character" w:customStyle="1" w:styleId="PredmetkomentraChar160">
    <w:name w:val="Predmet komentára Char160"/>
    <w:aliases w:val="Char6 Char Char161,Predmet komentára Char Char Char161,Comment Subject Char Char Char161"/>
    <w:uiPriority w:val="99"/>
    <w:semiHidden/>
    <w:rsid w:val="00A809E7"/>
    <w:rPr>
      <w:rFonts w:ascii="Courier" w:hAnsi="Courier"/>
      <w:b/>
      <w:lang w:val="x-none" w:eastAsia="cs-CZ"/>
    </w:rPr>
  </w:style>
  <w:style w:type="character" w:customStyle="1" w:styleId="PredmetkomentraChar159">
    <w:name w:val="Predmet komentára Char159"/>
    <w:aliases w:val="Char6 Char Char160,Predmet komentára Char Char Char160,Comment Subject Char Char Char160"/>
    <w:uiPriority w:val="99"/>
    <w:semiHidden/>
    <w:rsid w:val="00A809E7"/>
    <w:rPr>
      <w:rFonts w:ascii="Courier" w:hAnsi="Courier"/>
      <w:b/>
      <w:lang w:val="x-none" w:eastAsia="cs-CZ"/>
    </w:rPr>
  </w:style>
  <w:style w:type="character" w:customStyle="1" w:styleId="PredmetkomentraChar158">
    <w:name w:val="Predmet komentára Char158"/>
    <w:aliases w:val="Char6 Char Char159,Predmet komentára Char Char Char159,Comment Subject Char Char Char159"/>
    <w:uiPriority w:val="99"/>
    <w:semiHidden/>
    <w:rsid w:val="00A809E7"/>
    <w:rPr>
      <w:rFonts w:ascii="Courier" w:hAnsi="Courier"/>
      <w:b/>
      <w:lang w:val="x-none" w:eastAsia="cs-CZ"/>
    </w:rPr>
  </w:style>
  <w:style w:type="character" w:customStyle="1" w:styleId="PredmetkomentraChar157">
    <w:name w:val="Predmet komentára Char157"/>
    <w:aliases w:val="Char6 Char Char158,Predmet komentára Char Char Char158,Comment Subject Char Char Char158"/>
    <w:uiPriority w:val="99"/>
    <w:semiHidden/>
    <w:rsid w:val="00A809E7"/>
    <w:rPr>
      <w:rFonts w:ascii="Courier" w:hAnsi="Courier"/>
      <w:b/>
      <w:lang w:val="x-none" w:eastAsia="cs-CZ"/>
    </w:rPr>
  </w:style>
  <w:style w:type="character" w:customStyle="1" w:styleId="PredmetkomentraChar156">
    <w:name w:val="Predmet komentára Char156"/>
    <w:aliases w:val="Char6 Char Char157,Predmet komentára Char Char Char157,Comment Subject Char Char Char157"/>
    <w:uiPriority w:val="99"/>
    <w:semiHidden/>
    <w:rsid w:val="00A809E7"/>
    <w:rPr>
      <w:rFonts w:ascii="Courier" w:hAnsi="Courier"/>
      <w:b/>
      <w:lang w:val="x-none" w:eastAsia="cs-CZ"/>
    </w:rPr>
  </w:style>
  <w:style w:type="character" w:customStyle="1" w:styleId="PredmetkomentraChar155">
    <w:name w:val="Predmet komentára Char155"/>
    <w:aliases w:val="Char6 Char Char156,Predmet komentára Char Char Char156,Comment Subject Char Char Char156"/>
    <w:uiPriority w:val="99"/>
    <w:semiHidden/>
    <w:rsid w:val="00A809E7"/>
    <w:rPr>
      <w:rFonts w:ascii="Courier" w:hAnsi="Courier"/>
      <w:b/>
      <w:lang w:val="x-none" w:eastAsia="cs-CZ"/>
    </w:rPr>
  </w:style>
  <w:style w:type="character" w:customStyle="1" w:styleId="PredmetkomentraChar154">
    <w:name w:val="Predmet komentára Char154"/>
    <w:aliases w:val="Char6 Char Char155,Predmet komentára Char Char Char155,Comment Subject Char Char Char155"/>
    <w:uiPriority w:val="99"/>
    <w:semiHidden/>
    <w:rsid w:val="00A809E7"/>
    <w:rPr>
      <w:rFonts w:ascii="Courier" w:hAnsi="Courier"/>
      <w:b/>
      <w:lang w:val="x-none" w:eastAsia="cs-CZ"/>
    </w:rPr>
  </w:style>
  <w:style w:type="character" w:customStyle="1" w:styleId="PredmetkomentraChar153">
    <w:name w:val="Predmet komentára Char153"/>
    <w:aliases w:val="Char6 Char Char154,Predmet komentára Char Char Char154,Comment Subject Char Char Char154"/>
    <w:uiPriority w:val="99"/>
    <w:semiHidden/>
    <w:rsid w:val="00A809E7"/>
    <w:rPr>
      <w:rFonts w:ascii="Courier" w:hAnsi="Courier"/>
      <w:b/>
      <w:lang w:val="x-none" w:eastAsia="cs-CZ"/>
    </w:rPr>
  </w:style>
  <w:style w:type="character" w:customStyle="1" w:styleId="PredmetkomentraChar152">
    <w:name w:val="Predmet komentára Char152"/>
    <w:aliases w:val="Char6 Char Char153,Predmet komentára Char Char Char153,Comment Subject Char Char Char153"/>
    <w:uiPriority w:val="99"/>
    <w:semiHidden/>
    <w:rsid w:val="00A809E7"/>
    <w:rPr>
      <w:rFonts w:ascii="Courier" w:hAnsi="Courier"/>
      <w:b/>
      <w:lang w:val="x-none" w:eastAsia="cs-CZ"/>
    </w:rPr>
  </w:style>
  <w:style w:type="character" w:customStyle="1" w:styleId="PredmetkomentraChar151">
    <w:name w:val="Predmet komentára Char151"/>
    <w:aliases w:val="Char6 Char Char152,Predmet komentára Char Char Char152,Comment Subject Char Char Char152"/>
    <w:uiPriority w:val="99"/>
    <w:semiHidden/>
    <w:rsid w:val="00A809E7"/>
    <w:rPr>
      <w:rFonts w:ascii="Courier" w:hAnsi="Courier"/>
      <w:b/>
      <w:lang w:val="x-none" w:eastAsia="cs-CZ"/>
    </w:rPr>
  </w:style>
  <w:style w:type="character" w:customStyle="1" w:styleId="PredmetkomentraChar150">
    <w:name w:val="Predmet komentára Char150"/>
    <w:aliases w:val="Char6 Char Char151,Predmet komentára Char Char Char151,Comment Subject Char Char Char151"/>
    <w:uiPriority w:val="99"/>
    <w:semiHidden/>
    <w:rsid w:val="00A809E7"/>
    <w:rPr>
      <w:rFonts w:ascii="Courier" w:hAnsi="Courier"/>
      <w:b/>
      <w:lang w:val="x-none" w:eastAsia="cs-CZ"/>
    </w:rPr>
  </w:style>
  <w:style w:type="character" w:customStyle="1" w:styleId="PredmetkomentraChar149">
    <w:name w:val="Predmet komentára Char149"/>
    <w:aliases w:val="Char6 Char Char150,Predmet komentára Char Char Char150,Comment Subject Char Char Char150"/>
    <w:uiPriority w:val="99"/>
    <w:semiHidden/>
    <w:rsid w:val="00A809E7"/>
    <w:rPr>
      <w:rFonts w:ascii="Courier" w:hAnsi="Courier"/>
      <w:b/>
      <w:lang w:val="x-none" w:eastAsia="cs-CZ"/>
    </w:rPr>
  </w:style>
  <w:style w:type="character" w:customStyle="1" w:styleId="PredmetkomentraChar148">
    <w:name w:val="Predmet komentára Char148"/>
    <w:aliases w:val="Char6 Char Char149,Predmet komentára Char Char Char149,Comment Subject Char Char Char149"/>
    <w:uiPriority w:val="99"/>
    <w:semiHidden/>
    <w:rsid w:val="00A809E7"/>
    <w:rPr>
      <w:rFonts w:ascii="Courier" w:hAnsi="Courier"/>
      <w:b/>
      <w:lang w:val="x-none" w:eastAsia="cs-CZ"/>
    </w:rPr>
  </w:style>
  <w:style w:type="character" w:customStyle="1" w:styleId="PredmetkomentraChar147">
    <w:name w:val="Predmet komentára Char147"/>
    <w:aliases w:val="Char6 Char Char148,Predmet komentára Char Char Char148,Comment Subject Char Char Char148"/>
    <w:uiPriority w:val="99"/>
    <w:semiHidden/>
    <w:rsid w:val="00A809E7"/>
    <w:rPr>
      <w:rFonts w:ascii="Courier" w:hAnsi="Courier"/>
      <w:b/>
      <w:lang w:val="x-none" w:eastAsia="cs-CZ"/>
    </w:rPr>
  </w:style>
  <w:style w:type="character" w:customStyle="1" w:styleId="PredmetkomentraChar146">
    <w:name w:val="Predmet komentára Char146"/>
    <w:aliases w:val="Char6 Char Char147,Predmet komentára Char Char Char147,Comment Subject Char Char Char147"/>
    <w:uiPriority w:val="99"/>
    <w:semiHidden/>
    <w:rsid w:val="00A809E7"/>
    <w:rPr>
      <w:rFonts w:ascii="Courier" w:hAnsi="Courier"/>
      <w:b/>
      <w:lang w:val="x-none" w:eastAsia="cs-CZ"/>
    </w:rPr>
  </w:style>
  <w:style w:type="character" w:customStyle="1" w:styleId="PredmetkomentraChar145">
    <w:name w:val="Predmet komentára Char145"/>
    <w:aliases w:val="Char6 Char Char146,Predmet komentára Char Char Char146,Comment Subject Char Char Char146"/>
    <w:uiPriority w:val="99"/>
    <w:semiHidden/>
    <w:rsid w:val="00A809E7"/>
    <w:rPr>
      <w:rFonts w:ascii="Courier" w:hAnsi="Courier"/>
      <w:b/>
      <w:lang w:val="x-none" w:eastAsia="cs-CZ"/>
    </w:rPr>
  </w:style>
  <w:style w:type="character" w:customStyle="1" w:styleId="PredmetkomentraChar144">
    <w:name w:val="Predmet komentára Char144"/>
    <w:aliases w:val="Char6 Char Char145,Predmet komentára Char Char Char145,Comment Subject Char Char Char145"/>
    <w:uiPriority w:val="99"/>
    <w:semiHidden/>
    <w:rsid w:val="00A809E7"/>
    <w:rPr>
      <w:rFonts w:ascii="Courier" w:hAnsi="Courier"/>
      <w:b/>
      <w:lang w:val="x-none" w:eastAsia="cs-CZ"/>
    </w:rPr>
  </w:style>
  <w:style w:type="character" w:customStyle="1" w:styleId="PredmetkomentraChar143">
    <w:name w:val="Predmet komentára Char143"/>
    <w:aliases w:val="Char6 Char Char144,Predmet komentára Char Char Char144,Comment Subject Char Char Char144"/>
    <w:uiPriority w:val="99"/>
    <w:semiHidden/>
    <w:rsid w:val="00A809E7"/>
    <w:rPr>
      <w:rFonts w:ascii="Courier" w:hAnsi="Courier"/>
      <w:b/>
      <w:lang w:val="x-none" w:eastAsia="cs-CZ"/>
    </w:rPr>
  </w:style>
  <w:style w:type="character" w:customStyle="1" w:styleId="PredmetkomentraChar142">
    <w:name w:val="Predmet komentára Char142"/>
    <w:aliases w:val="Char6 Char Char143,Predmet komentára Char Char Char143,Comment Subject Char Char Char143"/>
    <w:uiPriority w:val="99"/>
    <w:semiHidden/>
    <w:rsid w:val="00A809E7"/>
    <w:rPr>
      <w:rFonts w:ascii="Courier" w:hAnsi="Courier"/>
      <w:b/>
      <w:lang w:val="x-none" w:eastAsia="cs-CZ"/>
    </w:rPr>
  </w:style>
  <w:style w:type="character" w:customStyle="1" w:styleId="PredmetkomentraChar141">
    <w:name w:val="Predmet komentára Char141"/>
    <w:aliases w:val="Char6 Char Char142,Predmet komentára Char Char Char142,Comment Subject Char Char Char142"/>
    <w:uiPriority w:val="99"/>
    <w:semiHidden/>
    <w:rsid w:val="00A809E7"/>
    <w:rPr>
      <w:rFonts w:ascii="Courier" w:hAnsi="Courier"/>
      <w:b/>
      <w:lang w:val="x-none" w:eastAsia="cs-CZ"/>
    </w:rPr>
  </w:style>
  <w:style w:type="character" w:customStyle="1" w:styleId="PredmetkomentraChar140">
    <w:name w:val="Predmet komentára Char140"/>
    <w:aliases w:val="Char6 Char Char141,Predmet komentára Char Char Char141,Comment Subject Char Char Char141"/>
    <w:uiPriority w:val="99"/>
    <w:semiHidden/>
    <w:rsid w:val="00A809E7"/>
    <w:rPr>
      <w:rFonts w:ascii="Courier" w:hAnsi="Courier"/>
      <w:b/>
      <w:lang w:val="x-none" w:eastAsia="cs-CZ"/>
    </w:rPr>
  </w:style>
  <w:style w:type="character" w:customStyle="1" w:styleId="PredmetkomentraChar139">
    <w:name w:val="Predmet komentára Char139"/>
    <w:aliases w:val="Char6 Char Char140,Predmet komentára Char Char Char140,Comment Subject Char Char Char140"/>
    <w:uiPriority w:val="99"/>
    <w:semiHidden/>
    <w:rsid w:val="00A809E7"/>
    <w:rPr>
      <w:rFonts w:ascii="Courier" w:hAnsi="Courier"/>
      <w:b/>
      <w:lang w:val="x-none" w:eastAsia="cs-CZ"/>
    </w:rPr>
  </w:style>
  <w:style w:type="character" w:customStyle="1" w:styleId="PredmetkomentraChar138">
    <w:name w:val="Predmet komentára Char138"/>
    <w:aliases w:val="Char6 Char Char139,Predmet komentára Char Char Char139,Comment Subject Char Char Char139"/>
    <w:uiPriority w:val="99"/>
    <w:semiHidden/>
    <w:rsid w:val="00A809E7"/>
    <w:rPr>
      <w:rFonts w:ascii="Courier" w:hAnsi="Courier"/>
      <w:b/>
      <w:lang w:val="x-none" w:eastAsia="cs-CZ"/>
    </w:rPr>
  </w:style>
  <w:style w:type="character" w:customStyle="1" w:styleId="PredmetkomentraChar137">
    <w:name w:val="Predmet komentára Char137"/>
    <w:aliases w:val="Char6 Char Char138,Predmet komentára Char Char Char138,Comment Subject Char Char Char138"/>
    <w:uiPriority w:val="99"/>
    <w:semiHidden/>
    <w:rsid w:val="00A809E7"/>
    <w:rPr>
      <w:rFonts w:ascii="Courier" w:hAnsi="Courier"/>
      <w:b/>
      <w:lang w:val="x-none" w:eastAsia="cs-CZ"/>
    </w:rPr>
  </w:style>
  <w:style w:type="character" w:customStyle="1" w:styleId="PredmetkomentraChar136">
    <w:name w:val="Predmet komentára Char136"/>
    <w:aliases w:val="Char6 Char Char137,Predmet komentára Char Char Char137,Comment Subject Char Char Char137"/>
    <w:uiPriority w:val="99"/>
    <w:semiHidden/>
    <w:rsid w:val="00A809E7"/>
    <w:rPr>
      <w:rFonts w:ascii="Courier" w:hAnsi="Courier"/>
      <w:b/>
      <w:lang w:val="x-none" w:eastAsia="cs-CZ"/>
    </w:rPr>
  </w:style>
  <w:style w:type="character" w:customStyle="1" w:styleId="PredmetkomentraChar135">
    <w:name w:val="Predmet komentára Char135"/>
    <w:aliases w:val="Char6 Char Char136,Predmet komentára Char Char Char136,Comment Subject Char Char Char136"/>
    <w:uiPriority w:val="99"/>
    <w:semiHidden/>
    <w:rsid w:val="00A809E7"/>
    <w:rPr>
      <w:rFonts w:ascii="Courier" w:hAnsi="Courier"/>
      <w:b/>
      <w:lang w:val="x-none" w:eastAsia="cs-CZ"/>
    </w:rPr>
  </w:style>
  <w:style w:type="character" w:customStyle="1" w:styleId="PredmetkomentraChar134">
    <w:name w:val="Predmet komentára Char134"/>
    <w:aliases w:val="Char6 Char Char135,Predmet komentára Char Char Char135,Comment Subject Char Char Char135"/>
    <w:uiPriority w:val="99"/>
    <w:semiHidden/>
    <w:rsid w:val="00A809E7"/>
    <w:rPr>
      <w:rFonts w:ascii="Courier" w:hAnsi="Courier"/>
      <w:b/>
      <w:lang w:val="x-none" w:eastAsia="cs-CZ"/>
    </w:rPr>
  </w:style>
  <w:style w:type="character" w:customStyle="1" w:styleId="PredmetkomentraChar133">
    <w:name w:val="Predmet komentára Char133"/>
    <w:aliases w:val="Char6 Char Char134,Predmet komentára Char Char Char134,Comment Subject Char Char Char134"/>
    <w:uiPriority w:val="99"/>
    <w:semiHidden/>
    <w:rsid w:val="00A809E7"/>
    <w:rPr>
      <w:rFonts w:ascii="Courier" w:hAnsi="Courier"/>
      <w:b/>
      <w:lang w:val="x-none" w:eastAsia="cs-CZ"/>
    </w:rPr>
  </w:style>
  <w:style w:type="character" w:customStyle="1" w:styleId="PredmetkomentraChar132">
    <w:name w:val="Predmet komentára Char132"/>
    <w:aliases w:val="Char6 Char Char133,Predmet komentára Char Char Char133,Comment Subject Char Char Char133"/>
    <w:uiPriority w:val="99"/>
    <w:semiHidden/>
    <w:rsid w:val="00A809E7"/>
    <w:rPr>
      <w:rFonts w:ascii="Courier" w:hAnsi="Courier"/>
      <w:b/>
      <w:lang w:val="x-none" w:eastAsia="cs-CZ"/>
    </w:rPr>
  </w:style>
  <w:style w:type="character" w:customStyle="1" w:styleId="PredmetkomentraChar131">
    <w:name w:val="Predmet komentára Char131"/>
    <w:aliases w:val="Char6 Char Char132,Predmet komentára Char Char Char132,Comment Subject Char Char Char132"/>
    <w:uiPriority w:val="99"/>
    <w:semiHidden/>
    <w:rsid w:val="00A809E7"/>
    <w:rPr>
      <w:rFonts w:ascii="Courier" w:hAnsi="Courier"/>
      <w:b/>
      <w:lang w:val="x-none" w:eastAsia="cs-CZ"/>
    </w:rPr>
  </w:style>
  <w:style w:type="character" w:customStyle="1" w:styleId="PredmetkomentraChar130">
    <w:name w:val="Predmet komentára Char130"/>
    <w:aliases w:val="Char6 Char Char131,Predmet komentára Char Char Char131,Comment Subject Char Char Char131"/>
    <w:uiPriority w:val="99"/>
    <w:semiHidden/>
    <w:rsid w:val="00A809E7"/>
    <w:rPr>
      <w:rFonts w:ascii="Courier" w:hAnsi="Courier"/>
      <w:b/>
      <w:lang w:val="x-none" w:eastAsia="cs-CZ"/>
    </w:rPr>
  </w:style>
  <w:style w:type="character" w:customStyle="1" w:styleId="PredmetkomentraChar129">
    <w:name w:val="Predmet komentára Char129"/>
    <w:aliases w:val="Char6 Char Char130,Predmet komentára Char Char Char130,Comment Subject Char Char Char130"/>
    <w:uiPriority w:val="99"/>
    <w:semiHidden/>
    <w:rsid w:val="00A809E7"/>
    <w:rPr>
      <w:rFonts w:ascii="Courier" w:hAnsi="Courier"/>
      <w:b/>
      <w:lang w:val="x-none" w:eastAsia="cs-CZ"/>
    </w:rPr>
  </w:style>
  <w:style w:type="character" w:customStyle="1" w:styleId="PredmetkomentraChar128">
    <w:name w:val="Predmet komentára Char128"/>
    <w:aliases w:val="Char6 Char Char129,Predmet komentára Char Char Char129,Comment Subject Char Char Char129"/>
    <w:uiPriority w:val="99"/>
    <w:semiHidden/>
    <w:rsid w:val="00A809E7"/>
    <w:rPr>
      <w:rFonts w:ascii="Courier" w:hAnsi="Courier"/>
      <w:b/>
      <w:lang w:val="x-none" w:eastAsia="cs-CZ"/>
    </w:rPr>
  </w:style>
  <w:style w:type="character" w:customStyle="1" w:styleId="PredmetkomentraChar127">
    <w:name w:val="Predmet komentára Char127"/>
    <w:aliases w:val="Char6 Char Char128,Predmet komentára Char Char Char128,Comment Subject Char Char Char128"/>
    <w:uiPriority w:val="99"/>
    <w:semiHidden/>
    <w:rsid w:val="00A809E7"/>
    <w:rPr>
      <w:rFonts w:ascii="Courier" w:hAnsi="Courier"/>
      <w:b/>
      <w:lang w:val="x-none" w:eastAsia="cs-CZ"/>
    </w:rPr>
  </w:style>
  <w:style w:type="character" w:customStyle="1" w:styleId="PredmetkomentraChar126">
    <w:name w:val="Predmet komentára Char126"/>
    <w:aliases w:val="Char6 Char Char127,Predmet komentára Char Char Char127,Comment Subject Char Char Char127"/>
    <w:uiPriority w:val="99"/>
    <w:semiHidden/>
    <w:rsid w:val="00A809E7"/>
    <w:rPr>
      <w:rFonts w:ascii="Courier" w:hAnsi="Courier"/>
      <w:b/>
      <w:lang w:val="x-none" w:eastAsia="cs-CZ"/>
    </w:rPr>
  </w:style>
  <w:style w:type="character" w:customStyle="1" w:styleId="PredmetkomentraChar125">
    <w:name w:val="Predmet komentára Char125"/>
    <w:aliases w:val="Char6 Char Char126,Predmet komentára Char Char Char126,Comment Subject Char Char Char126"/>
    <w:uiPriority w:val="99"/>
    <w:semiHidden/>
    <w:rsid w:val="00A809E7"/>
    <w:rPr>
      <w:rFonts w:ascii="Courier" w:hAnsi="Courier"/>
      <w:b/>
      <w:lang w:val="x-none" w:eastAsia="cs-CZ"/>
    </w:rPr>
  </w:style>
  <w:style w:type="character" w:customStyle="1" w:styleId="PredmetkomentraChar124">
    <w:name w:val="Predmet komentára Char124"/>
    <w:aliases w:val="Char6 Char Char125,Predmet komentára Char Char Char125,Comment Subject Char Char Char125"/>
    <w:uiPriority w:val="99"/>
    <w:semiHidden/>
    <w:rsid w:val="00A809E7"/>
    <w:rPr>
      <w:rFonts w:ascii="Courier" w:hAnsi="Courier"/>
      <w:b/>
      <w:lang w:val="x-none" w:eastAsia="cs-CZ"/>
    </w:rPr>
  </w:style>
  <w:style w:type="character" w:customStyle="1" w:styleId="PredmetkomentraChar123">
    <w:name w:val="Predmet komentára Char123"/>
    <w:aliases w:val="Char6 Char Char124,Predmet komentára Char Char Char124,Comment Subject Char Char Char124"/>
    <w:uiPriority w:val="99"/>
    <w:semiHidden/>
    <w:rsid w:val="00A809E7"/>
    <w:rPr>
      <w:rFonts w:ascii="Courier" w:hAnsi="Courier"/>
      <w:b/>
      <w:lang w:val="x-none" w:eastAsia="cs-CZ"/>
    </w:rPr>
  </w:style>
  <w:style w:type="character" w:customStyle="1" w:styleId="PredmetkomentraChar122">
    <w:name w:val="Predmet komentára Char122"/>
    <w:aliases w:val="Char6 Char Char123,Predmet komentára Char Char Char123,Comment Subject Char Char Char123"/>
    <w:uiPriority w:val="99"/>
    <w:semiHidden/>
    <w:rsid w:val="00A809E7"/>
    <w:rPr>
      <w:rFonts w:ascii="Courier" w:hAnsi="Courier"/>
      <w:b/>
      <w:lang w:val="x-none" w:eastAsia="cs-CZ"/>
    </w:rPr>
  </w:style>
  <w:style w:type="character" w:customStyle="1" w:styleId="PredmetkomentraChar121">
    <w:name w:val="Predmet komentára Char121"/>
    <w:aliases w:val="Char6 Char Char122,Predmet komentára Char Char Char122,Comment Subject Char Char Char122"/>
    <w:uiPriority w:val="99"/>
    <w:semiHidden/>
    <w:rsid w:val="00A809E7"/>
    <w:rPr>
      <w:rFonts w:ascii="Courier" w:hAnsi="Courier"/>
      <w:b/>
      <w:lang w:val="x-none" w:eastAsia="cs-CZ"/>
    </w:rPr>
  </w:style>
  <w:style w:type="character" w:customStyle="1" w:styleId="PredmetkomentraChar120">
    <w:name w:val="Predmet komentára Char120"/>
    <w:aliases w:val="Char6 Char Char121,Predmet komentára Char Char Char121,Comment Subject Char Char Char121"/>
    <w:uiPriority w:val="99"/>
    <w:semiHidden/>
    <w:rsid w:val="00A809E7"/>
    <w:rPr>
      <w:rFonts w:ascii="Courier" w:hAnsi="Courier"/>
      <w:b/>
      <w:lang w:val="x-none" w:eastAsia="cs-CZ"/>
    </w:rPr>
  </w:style>
  <w:style w:type="character" w:customStyle="1" w:styleId="PredmetkomentraChar119">
    <w:name w:val="Predmet komentára Char119"/>
    <w:aliases w:val="Char6 Char Char120,Predmet komentára Char Char Char120,Comment Subject Char Char Char120"/>
    <w:uiPriority w:val="99"/>
    <w:semiHidden/>
    <w:rsid w:val="00A809E7"/>
    <w:rPr>
      <w:rFonts w:ascii="Courier" w:hAnsi="Courier"/>
      <w:b/>
      <w:lang w:val="x-none" w:eastAsia="cs-CZ"/>
    </w:rPr>
  </w:style>
  <w:style w:type="character" w:customStyle="1" w:styleId="PredmetkomentraChar118">
    <w:name w:val="Predmet komentára Char118"/>
    <w:aliases w:val="Char6 Char Char119,Predmet komentára Char Char Char119,Comment Subject Char Char Char119"/>
    <w:uiPriority w:val="99"/>
    <w:semiHidden/>
    <w:rsid w:val="00A809E7"/>
    <w:rPr>
      <w:rFonts w:ascii="Courier" w:hAnsi="Courier"/>
      <w:b/>
      <w:lang w:val="x-none" w:eastAsia="cs-CZ"/>
    </w:rPr>
  </w:style>
  <w:style w:type="character" w:customStyle="1" w:styleId="PredmetkomentraChar117">
    <w:name w:val="Predmet komentára Char117"/>
    <w:aliases w:val="Char6 Char Char118,Predmet komentára Char Char Char118,Comment Subject Char Char Char118"/>
    <w:uiPriority w:val="99"/>
    <w:semiHidden/>
    <w:rsid w:val="00A809E7"/>
    <w:rPr>
      <w:rFonts w:ascii="Courier" w:hAnsi="Courier"/>
      <w:b/>
      <w:lang w:val="x-none" w:eastAsia="cs-CZ"/>
    </w:rPr>
  </w:style>
  <w:style w:type="character" w:customStyle="1" w:styleId="PredmetkomentraChar116">
    <w:name w:val="Predmet komentára Char116"/>
    <w:aliases w:val="Char6 Char Char117,Predmet komentára Char Char Char117,Comment Subject Char Char Char117"/>
    <w:uiPriority w:val="99"/>
    <w:semiHidden/>
    <w:rsid w:val="00A809E7"/>
    <w:rPr>
      <w:rFonts w:ascii="Courier" w:hAnsi="Courier"/>
      <w:b/>
      <w:lang w:val="x-none" w:eastAsia="cs-CZ"/>
    </w:rPr>
  </w:style>
  <w:style w:type="character" w:customStyle="1" w:styleId="PredmetkomentraChar115">
    <w:name w:val="Predmet komentára Char115"/>
    <w:aliases w:val="Char6 Char Char116,Predmet komentára Char Char Char116,Comment Subject Char Char Char116"/>
    <w:uiPriority w:val="99"/>
    <w:semiHidden/>
    <w:rsid w:val="00A809E7"/>
    <w:rPr>
      <w:rFonts w:ascii="Courier" w:hAnsi="Courier"/>
      <w:b/>
      <w:lang w:val="x-none" w:eastAsia="cs-CZ"/>
    </w:rPr>
  </w:style>
  <w:style w:type="character" w:customStyle="1" w:styleId="PredmetkomentraChar114">
    <w:name w:val="Predmet komentára Char114"/>
    <w:aliases w:val="Char6 Char Char115,Predmet komentára Char Char Char115,Comment Subject Char Char Char115"/>
    <w:uiPriority w:val="99"/>
    <w:semiHidden/>
    <w:rsid w:val="00A809E7"/>
    <w:rPr>
      <w:rFonts w:ascii="Courier" w:hAnsi="Courier"/>
      <w:b/>
      <w:lang w:val="x-none" w:eastAsia="cs-CZ"/>
    </w:rPr>
  </w:style>
  <w:style w:type="character" w:customStyle="1" w:styleId="PredmetkomentraChar113">
    <w:name w:val="Predmet komentára Char113"/>
    <w:aliases w:val="Char6 Char Char114,Predmet komentára Char Char Char114,Comment Subject Char Char Char114"/>
    <w:uiPriority w:val="99"/>
    <w:semiHidden/>
    <w:rsid w:val="00A809E7"/>
    <w:rPr>
      <w:rFonts w:ascii="Courier" w:hAnsi="Courier"/>
      <w:b/>
      <w:lang w:val="x-none" w:eastAsia="cs-CZ"/>
    </w:rPr>
  </w:style>
  <w:style w:type="character" w:customStyle="1" w:styleId="PredmetkomentraChar112">
    <w:name w:val="Predmet komentára Char112"/>
    <w:aliases w:val="Char6 Char Char113,Predmet komentára Char Char Char113,Comment Subject Char Char Char113"/>
    <w:uiPriority w:val="99"/>
    <w:semiHidden/>
    <w:rsid w:val="00A809E7"/>
    <w:rPr>
      <w:rFonts w:ascii="Courier" w:hAnsi="Courier"/>
      <w:b/>
      <w:lang w:val="x-none" w:eastAsia="cs-CZ"/>
    </w:rPr>
  </w:style>
  <w:style w:type="character" w:customStyle="1" w:styleId="PredmetkomentraChar111">
    <w:name w:val="Predmet komentára Char111"/>
    <w:aliases w:val="Char6 Char Char112,Predmet komentára Char Char Char112,Comment Subject Char Char Char112"/>
    <w:uiPriority w:val="99"/>
    <w:semiHidden/>
    <w:rsid w:val="00A809E7"/>
    <w:rPr>
      <w:rFonts w:ascii="Courier" w:hAnsi="Courier"/>
      <w:b/>
      <w:lang w:val="x-none" w:eastAsia="cs-CZ"/>
    </w:rPr>
  </w:style>
  <w:style w:type="character" w:customStyle="1" w:styleId="PredmetkomentraChar110">
    <w:name w:val="Predmet komentára Char110"/>
    <w:aliases w:val="Char6 Char Char110,Predmet komentára Char Char Char110,Comment Subject Char Char Char110"/>
    <w:uiPriority w:val="99"/>
    <w:semiHidden/>
    <w:rsid w:val="00A809E7"/>
    <w:rPr>
      <w:rFonts w:ascii="Courier" w:hAnsi="Courier"/>
      <w:b/>
      <w:lang w:val="x-none" w:eastAsia="cs-CZ"/>
    </w:rPr>
  </w:style>
  <w:style w:type="character" w:customStyle="1" w:styleId="PredmetkomentraChar19">
    <w:name w:val="Predmet komentára Char19"/>
    <w:aliases w:val="Char6 Char Char19,Predmet komentára Char Char Char19,Comment Subject Char Char Char19"/>
    <w:uiPriority w:val="99"/>
    <w:semiHidden/>
    <w:rsid w:val="00A809E7"/>
    <w:rPr>
      <w:rFonts w:ascii="Courier" w:hAnsi="Courier"/>
      <w:b/>
      <w:lang w:val="x-none" w:eastAsia="cs-CZ"/>
    </w:rPr>
  </w:style>
  <w:style w:type="character" w:customStyle="1" w:styleId="PredmetkomentraChar18">
    <w:name w:val="Predmet komentára Char18"/>
    <w:aliases w:val="Char6 Char Char18,Predmet komentára Char Char Char18,Comment Subject Char Char Char18"/>
    <w:uiPriority w:val="99"/>
    <w:semiHidden/>
    <w:rsid w:val="00A809E7"/>
    <w:rPr>
      <w:rFonts w:ascii="Courier" w:hAnsi="Courier"/>
      <w:b/>
      <w:lang w:val="x-none" w:eastAsia="cs-CZ"/>
    </w:rPr>
  </w:style>
  <w:style w:type="character" w:customStyle="1" w:styleId="PredmetkomentraChar17">
    <w:name w:val="Predmet komentára Char17"/>
    <w:aliases w:val="Char6 Char Char17,Predmet komentára Char Char Char17,Comment Subject Char Char Char17"/>
    <w:uiPriority w:val="99"/>
    <w:semiHidden/>
    <w:rsid w:val="00A809E7"/>
    <w:rPr>
      <w:rFonts w:ascii="Courier" w:hAnsi="Courier"/>
      <w:b/>
      <w:lang w:val="x-none" w:eastAsia="cs-CZ"/>
    </w:rPr>
  </w:style>
  <w:style w:type="character" w:customStyle="1" w:styleId="PredmetkomentraChar16">
    <w:name w:val="Predmet komentára Char16"/>
    <w:aliases w:val="Char6 Char Char16,Predmet komentára Char Char Char16,Comment Subject Char Char Char16"/>
    <w:uiPriority w:val="99"/>
    <w:semiHidden/>
    <w:rsid w:val="00A809E7"/>
    <w:rPr>
      <w:rFonts w:ascii="Courier" w:hAnsi="Courier"/>
      <w:b/>
      <w:lang w:val="x-none" w:eastAsia="cs-CZ"/>
    </w:rPr>
  </w:style>
  <w:style w:type="character" w:customStyle="1" w:styleId="PredmetkomentraChar15">
    <w:name w:val="Predmet komentára Char15"/>
    <w:aliases w:val="Char6 Char Char15,Predmet komentára Char Char Char15,Comment Subject Char Char Char15"/>
    <w:uiPriority w:val="99"/>
    <w:semiHidden/>
    <w:rsid w:val="00A809E7"/>
    <w:rPr>
      <w:rFonts w:ascii="Courier" w:hAnsi="Courier"/>
      <w:b/>
      <w:lang w:val="x-none" w:eastAsia="cs-CZ"/>
    </w:rPr>
  </w:style>
  <w:style w:type="character" w:customStyle="1" w:styleId="PredmetkomentraChar14">
    <w:name w:val="Predmet komentára Char14"/>
    <w:aliases w:val="Char6 Char Char14,Predmet komentára Char Char Char14,Comment Subject Char Char Char14"/>
    <w:uiPriority w:val="99"/>
    <w:semiHidden/>
    <w:rsid w:val="00A809E7"/>
    <w:rPr>
      <w:rFonts w:ascii="Courier" w:hAnsi="Courier"/>
      <w:b/>
      <w:lang w:val="x-none" w:eastAsia="cs-CZ"/>
    </w:rPr>
  </w:style>
  <w:style w:type="character" w:customStyle="1" w:styleId="PredmetkomentraChar13">
    <w:name w:val="Predmet komentára Char13"/>
    <w:aliases w:val="Char6 Char Char13,Predmet komentára Char Char Char13,Comment Subject Char Char Char13"/>
    <w:uiPriority w:val="99"/>
    <w:semiHidden/>
    <w:rsid w:val="00A809E7"/>
    <w:rPr>
      <w:rFonts w:ascii="Courier" w:hAnsi="Courier"/>
      <w:b/>
      <w:lang w:val="x-none" w:eastAsia="cs-CZ"/>
    </w:rPr>
  </w:style>
  <w:style w:type="character" w:customStyle="1" w:styleId="PredmetkomentraChar12">
    <w:name w:val="Predmet komentára Char12"/>
    <w:aliases w:val="Char6 Char Char12,Predmet komentára Char Char Char12,Comment Subject Char Char Char12"/>
    <w:uiPriority w:val="99"/>
    <w:semiHidden/>
    <w:rsid w:val="00A809E7"/>
    <w:rPr>
      <w:rFonts w:ascii="Courier" w:hAnsi="Courier"/>
      <w:b/>
      <w:lang w:val="x-none" w:eastAsia="cs-CZ"/>
    </w:rPr>
  </w:style>
  <w:style w:type="character" w:customStyle="1" w:styleId="PredmetkomentraChar11">
    <w:name w:val="Predmet komentára Char11"/>
    <w:aliases w:val="Char6 Char Char11,Predmet komentára Char Char Char11,Comment Subject Char Char Char11,Char6 Char Char111,Predmet komentára Char Char Char111,Comment Subject Char Char Char111"/>
    <w:uiPriority w:val="99"/>
    <w:semiHidden/>
    <w:rsid w:val="00A809E7"/>
    <w:rPr>
      <w:rFonts w:ascii="Courier" w:hAnsi="Courier"/>
      <w:b/>
      <w:lang w:val="x-none" w:eastAsia="cs-CZ"/>
    </w:rPr>
  </w:style>
  <w:style w:type="paragraph" w:customStyle="1" w:styleId="CharCharCharCharCharCharCharCharChar">
    <w:name w:val="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
    <w:name w:val="Char Char Char Char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3">
    <w:name w:val="Char3"/>
    <w:basedOn w:val="Normlny"/>
    <w:uiPriority w:val="99"/>
    <w:qFormat/>
    <w:rsid w:val="00A809E7"/>
    <w:pPr>
      <w:spacing w:line="240" w:lineRule="exact"/>
    </w:pPr>
    <w:rPr>
      <w:rFonts w:ascii="Tahoma" w:eastAsia="Times New Roman" w:hAnsi="Tahoma" w:cs="Tahoma"/>
      <w:sz w:val="20"/>
      <w:szCs w:val="20"/>
      <w:lang w:val="en-US"/>
    </w:rPr>
  </w:style>
  <w:style w:type="paragraph" w:styleId="Zarkazkladnhotextu3">
    <w:name w:val="Body Text Indent 3"/>
    <w:aliases w:val="Char2 Char,Zarážka základného textu 3 Char Char,Body Text Indent 3 Char Char Char"/>
    <w:basedOn w:val="Normlny"/>
    <w:link w:val="Zarkazkladnhotextu3Char"/>
    <w:uiPriority w:val="99"/>
    <w:qFormat/>
    <w:rsid w:val="00A809E7"/>
    <w:pPr>
      <w:spacing w:after="120" w:line="240" w:lineRule="auto"/>
      <w:ind w:left="283"/>
    </w:pPr>
    <w:rPr>
      <w:rFonts w:ascii="Courier" w:eastAsia="Times New Roman" w:hAnsi="Courier" w:cs="Times New Roman"/>
      <w:sz w:val="16"/>
      <w:szCs w:val="16"/>
      <w:lang w:eastAsia="cs-CZ"/>
    </w:rPr>
  </w:style>
  <w:style w:type="character" w:customStyle="1" w:styleId="Zarkazkladnhotextu3Char">
    <w:name w:val="Zarážka základného textu 3 Char"/>
    <w:aliases w:val="Char2 Char Char,Zarážka základného textu 3 Char Char Char,Body Text Indent 3 Char Char Char Char"/>
    <w:basedOn w:val="Predvolenpsmoodseku"/>
    <w:link w:val="Zarkazkladnhotextu3"/>
    <w:uiPriority w:val="99"/>
    <w:rsid w:val="00A809E7"/>
    <w:rPr>
      <w:rFonts w:ascii="Courier" w:eastAsia="Times New Roman" w:hAnsi="Courier" w:cs="Times New Roman"/>
      <w:sz w:val="16"/>
      <w:szCs w:val="16"/>
      <w:lang w:eastAsia="cs-CZ"/>
    </w:rPr>
  </w:style>
  <w:style w:type="paragraph" w:customStyle="1" w:styleId="CharChar1">
    <w:name w:val="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1">
    <w:name w:val="Char1"/>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BodyTextIndentCharChar">
    <w:name w:val="Body Text Indent Char Char"/>
    <w:uiPriority w:val="99"/>
    <w:rsid w:val="00A809E7"/>
    <w:rPr>
      <w:rFonts w:ascii="Courier" w:hAnsi="Courier"/>
      <w:sz w:val="24"/>
      <w:lang w:val="x-none" w:eastAsia="cs-CZ"/>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1">
    <w:name w:val="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2CharCharCharCharCharCharCharCharCharCharChar1">
    <w:name w:val="Char Char Char2 Char Char 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CharCharCharCharCharCharCharChar1CharCharCharCharChar1">
    <w:name w:val="Char Char Char Char Char Char Char Char Char Char Char Char Char Char Char Char Char Char Char Char Char Char Char1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1">
    <w:name w:val="Char Char Char Char Char Char 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ObyajntextChar">
    <w:name w:val="Obyčajný text Char"/>
    <w:aliases w:val="Obyčajný text Char Char Char Char"/>
    <w:link w:val="Obyajntext"/>
    <w:uiPriority w:val="99"/>
    <w:locked/>
    <w:rsid w:val="00A809E7"/>
    <w:rPr>
      <w:rFonts w:ascii="Consolas" w:hAnsi="Consolas"/>
      <w:sz w:val="21"/>
    </w:rPr>
  </w:style>
  <w:style w:type="paragraph" w:styleId="Obyajntext">
    <w:name w:val="Plain Text"/>
    <w:aliases w:val="Obyčajný text Char Char Char"/>
    <w:basedOn w:val="Normlny"/>
    <w:link w:val="ObyajntextChar"/>
    <w:uiPriority w:val="99"/>
    <w:qFormat/>
    <w:rsid w:val="00A809E7"/>
    <w:pPr>
      <w:spacing w:after="0" w:line="240" w:lineRule="auto"/>
    </w:pPr>
    <w:rPr>
      <w:rFonts w:ascii="Consolas" w:hAnsi="Consolas"/>
      <w:sz w:val="21"/>
    </w:rPr>
  </w:style>
  <w:style w:type="character" w:customStyle="1" w:styleId="ObyajntextChar1">
    <w:name w:val="Obyčajný text Char1"/>
    <w:aliases w:val="Obyčajný text Char Char Char Char1"/>
    <w:basedOn w:val="Predvolenpsmoodseku"/>
    <w:uiPriority w:val="99"/>
    <w:semiHidden/>
    <w:rsid w:val="00A809E7"/>
    <w:rPr>
      <w:rFonts w:ascii="Consolas" w:hAnsi="Consolas" w:cs="Consolas"/>
      <w:sz w:val="21"/>
      <w:szCs w:val="21"/>
    </w:rPr>
  </w:style>
  <w:style w:type="character" w:customStyle="1" w:styleId="ObyajntextChar1621">
    <w:name w:val="Obyčajný text Char1621"/>
    <w:aliases w:val="Obyčajný text Char Char Char Char1622"/>
    <w:basedOn w:val="Predvolenpsmoodseku"/>
    <w:uiPriority w:val="99"/>
    <w:semiHidden/>
    <w:rsid w:val="00A809E7"/>
    <w:rPr>
      <w:rFonts w:ascii="Courier New" w:hAnsi="Courier New" w:cs="Courier New"/>
      <w:lang w:val="x-none" w:eastAsia="cs-CZ"/>
    </w:rPr>
  </w:style>
  <w:style w:type="character" w:customStyle="1" w:styleId="ObyajntextChar1620">
    <w:name w:val="Obyčajný text Char1620"/>
    <w:aliases w:val="Obyčajný text Char Char Char Char1621"/>
    <w:basedOn w:val="Predvolenpsmoodseku"/>
    <w:uiPriority w:val="99"/>
    <w:semiHidden/>
    <w:rsid w:val="00A809E7"/>
    <w:rPr>
      <w:rFonts w:ascii="Courier New" w:hAnsi="Courier New" w:cs="Courier New"/>
      <w:lang w:val="x-none" w:eastAsia="cs-CZ"/>
    </w:rPr>
  </w:style>
  <w:style w:type="character" w:customStyle="1" w:styleId="ObyajntextChar1614">
    <w:name w:val="Obyčajný text Char1614"/>
    <w:aliases w:val="Obyčajný text Char Char Char Char1615"/>
    <w:basedOn w:val="Predvolenpsmoodseku"/>
    <w:uiPriority w:val="99"/>
    <w:semiHidden/>
    <w:rsid w:val="00A809E7"/>
    <w:rPr>
      <w:rFonts w:ascii="Courier New" w:hAnsi="Courier New" w:cs="Courier New"/>
      <w:lang w:val="x-none" w:eastAsia="cs-CZ"/>
    </w:rPr>
  </w:style>
  <w:style w:type="character" w:customStyle="1" w:styleId="ObyajntextChar1613">
    <w:name w:val="Obyčajný text Char1613"/>
    <w:aliases w:val="Obyčajný text Char Char Char Char1614"/>
    <w:basedOn w:val="Predvolenpsmoodseku"/>
    <w:uiPriority w:val="99"/>
    <w:semiHidden/>
    <w:rsid w:val="00A809E7"/>
    <w:rPr>
      <w:rFonts w:ascii="Courier New" w:hAnsi="Courier New" w:cs="Courier New"/>
      <w:lang w:val="x-none" w:eastAsia="cs-CZ"/>
    </w:rPr>
  </w:style>
  <w:style w:type="character" w:customStyle="1" w:styleId="ObyajntextChar1612">
    <w:name w:val="Obyčajný text Char1612"/>
    <w:aliases w:val="Obyčajný text Char Char Char Char1613"/>
    <w:basedOn w:val="Predvolenpsmoodseku"/>
    <w:uiPriority w:val="99"/>
    <w:semiHidden/>
    <w:rsid w:val="00A809E7"/>
    <w:rPr>
      <w:rFonts w:ascii="Courier New" w:hAnsi="Courier New" w:cs="Courier New"/>
      <w:lang w:val="x-none" w:eastAsia="cs-CZ"/>
    </w:rPr>
  </w:style>
  <w:style w:type="character" w:customStyle="1" w:styleId="ObyajntextChar1611">
    <w:name w:val="Obyčajný text Char1611"/>
    <w:aliases w:val="Obyčajný text Char Char Char Char1612"/>
    <w:basedOn w:val="Predvolenpsmoodseku"/>
    <w:uiPriority w:val="99"/>
    <w:semiHidden/>
    <w:rsid w:val="00A809E7"/>
    <w:rPr>
      <w:rFonts w:ascii="Courier New" w:hAnsi="Courier New" w:cs="Courier New"/>
      <w:lang w:val="x-none" w:eastAsia="cs-CZ"/>
    </w:rPr>
  </w:style>
  <w:style w:type="character" w:customStyle="1" w:styleId="ObyajntextChar1610">
    <w:name w:val="Obyčajný text Char1610"/>
    <w:aliases w:val="Obyčajný text Char Char Char Char1611"/>
    <w:basedOn w:val="Predvolenpsmoodseku"/>
    <w:uiPriority w:val="99"/>
    <w:semiHidden/>
    <w:rsid w:val="00A809E7"/>
    <w:rPr>
      <w:rFonts w:ascii="Courier New" w:hAnsi="Courier New" w:cs="Courier New"/>
      <w:lang w:val="x-none" w:eastAsia="cs-CZ"/>
    </w:rPr>
  </w:style>
  <w:style w:type="character" w:customStyle="1" w:styleId="ObyajntextChar1609">
    <w:name w:val="Obyčajný text Char1609"/>
    <w:aliases w:val="Obyčajný text Char Char Char Char1610"/>
    <w:basedOn w:val="Predvolenpsmoodseku"/>
    <w:uiPriority w:val="99"/>
    <w:semiHidden/>
    <w:rsid w:val="00A809E7"/>
    <w:rPr>
      <w:rFonts w:ascii="Courier New" w:hAnsi="Courier New" w:cs="Courier New"/>
      <w:lang w:val="x-none" w:eastAsia="cs-CZ"/>
    </w:rPr>
  </w:style>
  <w:style w:type="character" w:customStyle="1" w:styleId="ObyajntextChar1608">
    <w:name w:val="Obyčajný text Char1608"/>
    <w:aliases w:val="Obyčajný text Char Char Char Char1609"/>
    <w:basedOn w:val="Predvolenpsmoodseku"/>
    <w:uiPriority w:val="99"/>
    <w:semiHidden/>
    <w:rsid w:val="00A809E7"/>
    <w:rPr>
      <w:rFonts w:ascii="Courier New" w:hAnsi="Courier New" w:cs="Courier New"/>
      <w:lang w:val="x-none" w:eastAsia="cs-CZ"/>
    </w:rPr>
  </w:style>
  <w:style w:type="character" w:customStyle="1" w:styleId="ObyajntextChar1607">
    <w:name w:val="Obyčajný text Char1607"/>
    <w:aliases w:val="Obyčajný text Char Char Char Char1608"/>
    <w:basedOn w:val="Predvolenpsmoodseku"/>
    <w:uiPriority w:val="99"/>
    <w:semiHidden/>
    <w:rsid w:val="00A809E7"/>
    <w:rPr>
      <w:rFonts w:ascii="Courier New" w:hAnsi="Courier New" w:cs="Courier New"/>
      <w:lang w:val="x-none" w:eastAsia="cs-CZ"/>
    </w:rPr>
  </w:style>
  <w:style w:type="character" w:customStyle="1" w:styleId="ObyajntextChar1606">
    <w:name w:val="Obyčajný text Char1606"/>
    <w:aliases w:val="Obyčajný text Char Char Char Char1607"/>
    <w:basedOn w:val="Predvolenpsmoodseku"/>
    <w:uiPriority w:val="99"/>
    <w:semiHidden/>
    <w:rsid w:val="00A809E7"/>
    <w:rPr>
      <w:rFonts w:ascii="Courier New" w:hAnsi="Courier New" w:cs="Courier New"/>
      <w:lang w:val="x-none" w:eastAsia="cs-CZ"/>
    </w:rPr>
  </w:style>
  <w:style w:type="character" w:customStyle="1" w:styleId="ObyajntextChar1605">
    <w:name w:val="Obyčajný text Char1605"/>
    <w:aliases w:val="Obyčajný text Char Char Char Char1606"/>
    <w:basedOn w:val="Predvolenpsmoodseku"/>
    <w:uiPriority w:val="99"/>
    <w:semiHidden/>
    <w:rsid w:val="00A809E7"/>
    <w:rPr>
      <w:rFonts w:ascii="Courier New" w:hAnsi="Courier New" w:cs="Courier New"/>
      <w:lang w:val="x-none" w:eastAsia="cs-CZ"/>
    </w:rPr>
  </w:style>
  <w:style w:type="character" w:customStyle="1" w:styleId="ObyajntextChar1604">
    <w:name w:val="Obyčajný text Char1604"/>
    <w:aliases w:val="Obyčajný text Char Char Char Char1605"/>
    <w:basedOn w:val="Predvolenpsmoodseku"/>
    <w:uiPriority w:val="99"/>
    <w:semiHidden/>
    <w:rsid w:val="00A809E7"/>
    <w:rPr>
      <w:rFonts w:ascii="Courier New" w:hAnsi="Courier New" w:cs="Courier New"/>
      <w:lang w:val="x-none" w:eastAsia="cs-CZ"/>
    </w:rPr>
  </w:style>
  <w:style w:type="character" w:customStyle="1" w:styleId="ObyajntextChar1603">
    <w:name w:val="Obyčajný text Char1603"/>
    <w:aliases w:val="Obyčajný text Char Char Char Char1604"/>
    <w:basedOn w:val="Predvolenpsmoodseku"/>
    <w:uiPriority w:val="99"/>
    <w:semiHidden/>
    <w:rsid w:val="00A809E7"/>
    <w:rPr>
      <w:rFonts w:ascii="Courier New" w:hAnsi="Courier New" w:cs="Courier New"/>
      <w:lang w:val="x-none" w:eastAsia="cs-CZ"/>
    </w:rPr>
  </w:style>
  <w:style w:type="character" w:customStyle="1" w:styleId="ObyajntextChar1602">
    <w:name w:val="Obyčajný text Char1602"/>
    <w:aliases w:val="Obyčajný text Char Char Char Char1603"/>
    <w:basedOn w:val="Predvolenpsmoodseku"/>
    <w:uiPriority w:val="99"/>
    <w:semiHidden/>
    <w:rsid w:val="00A809E7"/>
    <w:rPr>
      <w:rFonts w:ascii="Courier New" w:hAnsi="Courier New" w:cs="Courier New"/>
      <w:lang w:val="x-none" w:eastAsia="cs-CZ"/>
    </w:rPr>
  </w:style>
  <w:style w:type="character" w:customStyle="1" w:styleId="ObyajntextChar1601">
    <w:name w:val="Obyčajný text Char1601"/>
    <w:aliases w:val="Obyčajný text Char Char Char Char1602"/>
    <w:basedOn w:val="Predvolenpsmoodseku"/>
    <w:uiPriority w:val="99"/>
    <w:semiHidden/>
    <w:rsid w:val="00A809E7"/>
    <w:rPr>
      <w:rFonts w:ascii="Courier New" w:hAnsi="Courier New" w:cs="Courier New"/>
      <w:lang w:val="x-none" w:eastAsia="cs-CZ"/>
    </w:rPr>
  </w:style>
  <w:style w:type="character" w:customStyle="1" w:styleId="ObyajntextChar1600">
    <w:name w:val="Obyčajný text Char1600"/>
    <w:aliases w:val="Obyčajný text Char Char Char Char1601"/>
    <w:basedOn w:val="Predvolenpsmoodseku"/>
    <w:uiPriority w:val="99"/>
    <w:semiHidden/>
    <w:rsid w:val="00A809E7"/>
    <w:rPr>
      <w:rFonts w:ascii="Courier New" w:hAnsi="Courier New" w:cs="Courier New"/>
      <w:lang w:val="x-none" w:eastAsia="cs-CZ"/>
    </w:rPr>
  </w:style>
  <w:style w:type="character" w:customStyle="1" w:styleId="ObyajntextChar1599">
    <w:name w:val="Obyčajný text Char1599"/>
    <w:aliases w:val="Obyčajný text Char Char Char Char1600"/>
    <w:basedOn w:val="Predvolenpsmoodseku"/>
    <w:uiPriority w:val="99"/>
    <w:semiHidden/>
    <w:rsid w:val="00A809E7"/>
    <w:rPr>
      <w:rFonts w:ascii="Courier New" w:hAnsi="Courier New" w:cs="Courier New"/>
      <w:lang w:val="x-none" w:eastAsia="cs-CZ"/>
    </w:rPr>
  </w:style>
  <w:style w:type="character" w:customStyle="1" w:styleId="ObyajntextChar1598">
    <w:name w:val="Obyčajný text Char1598"/>
    <w:aliases w:val="Obyčajný text Char Char Char Char1599"/>
    <w:basedOn w:val="Predvolenpsmoodseku"/>
    <w:uiPriority w:val="99"/>
    <w:semiHidden/>
    <w:rsid w:val="00A809E7"/>
    <w:rPr>
      <w:rFonts w:ascii="Courier New" w:hAnsi="Courier New" w:cs="Courier New"/>
      <w:lang w:val="x-none" w:eastAsia="cs-CZ"/>
    </w:rPr>
  </w:style>
  <w:style w:type="character" w:customStyle="1" w:styleId="ObyajntextChar1597">
    <w:name w:val="Obyčajný text Char1597"/>
    <w:aliases w:val="Obyčajný text Char Char Char Char1598"/>
    <w:basedOn w:val="Predvolenpsmoodseku"/>
    <w:uiPriority w:val="99"/>
    <w:semiHidden/>
    <w:rsid w:val="00A809E7"/>
    <w:rPr>
      <w:rFonts w:ascii="Courier New" w:hAnsi="Courier New" w:cs="Courier New"/>
      <w:lang w:val="x-none" w:eastAsia="cs-CZ"/>
    </w:rPr>
  </w:style>
  <w:style w:type="character" w:customStyle="1" w:styleId="ObyajntextChar1596">
    <w:name w:val="Obyčajný text Char1596"/>
    <w:aliases w:val="Obyčajný text Char Char Char Char1597"/>
    <w:basedOn w:val="Predvolenpsmoodseku"/>
    <w:uiPriority w:val="99"/>
    <w:semiHidden/>
    <w:rsid w:val="00A809E7"/>
    <w:rPr>
      <w:rFonts w:ascii="Courier New" w:hAnsi="Courier New" w:cs="Courier New"/>
      <w:lang w:val="x-none" w:eastAsia="cs-CZ"/>
    </w:rPr>
  </w:style>
  <w:style w:type="character" w:customStyle="1" w:styleId="ObyajntextChar1595">
    <w:name w:val="Obyčajný text Char1595"/>
    <w:aliases w:val="Obyčajný text Char Char Char Char1596"/>
    <w:basedOn w:val="Predvolenpsmoodseku"/>
    <w:uiPriority w:val="99"/>
    <w:semiHidden/>
    <w:rsid w:val="00A809E7"/>
    <w:rPr>
      <w:rFonts w:ascii="Courier New" w:hAnsi="Courier New" w:cs="Courier New"/>
      <w:lang w:val="x-none" w:eastAsia="cs-CZ"/>
    </w:rPr>
  </w:style>
  <w:style w:type="character" w:customStyle="1" w:styleId="ObyajntextChar1594">
    <w:name w:val="Obyčajný text Char1594"/>
    <w:aliases w:val="Obyčajný text Char Char Char Char1595"/>
    <w:basedOn w:val="Predvolenpsmoodseku"/>
    <w:uiPriority w:val="99"/>
    <w:semiHidden/>
    <w:rsid w:val="00A809E7"/>
    <w:rPr>
      <w:rFonts w:ascii="Courier New" w:hAnsi="Courier New" w:cs="Courier New"/>
      <w:lang w:val="x-none" w:eastAsia="cs-CZ"/>
    </w:rPr>
  </w:style>
  <w:style w:type="character" w:customStyle="1" w:styleId="ObyajntextChar1593">
    <w:name w:val="Obyčajný text Char1593"/>
    <w:aliases w:val="Obyčajný text Char Char Char Char1594"/>
    <w:basedOn w:val="Predvolenpsmoodseku"/>
    <w:uiPriority w:val="99"/>
    <w:semiHidden/>
    <w:rsid w:val="00A809E7"/>
    <w:rPr>
      <w:rFonts w:ascii="Courier New" w:hAnsi="Courier New" w:cs="Courier New"/>
      <w:lang w:val="x-none" w:eastAsia="cs-CZ"/>
    </w:rPr>
  </w:style>
  <w:style w:type="character" w:customStyle="1" w:styleId="ObyajntextChar1592">
    <w:name w:val="Obyčajný text Char1592"/>
    <w:aliases w:val="Obyčajný text Char Char Char Char1593"/>
    <w:basedOn w:val="Predvolenpsmoodseku"/>
    <w:uiPriority w:val="99"/>
    <w:semiHidden/>
    <w:rsid w:val="00A809E7"/>
    <w:rPr>
      <w:rFonts w:ascii="Courier New" w:hAnsi="Courier New" w:cs="Courier New"/>
      <w:lang w:val="x-none" w:eastAsia="cs-CZ"/>
    </w:rPr>
  </w:style>
  <w:style w:type="character" w:customStyle="1" w:styleId="ObyajntextChar1591">
    <w:name w:val="Obyčajný text Char1591"/>
    <w:aliases w:val="Obyčajný text Char Char Char Char1592"/>
    <w:basedOn w:val="Predvolenpsmoodseku"/>
    <w:uiPriority w:val="99"/>
    <w:semiHidden/>
    <w:rsid w:val="00A809E7"/>
    <w:rPr>
      <w:rFonts w:ascii="Courier New" w:hAnsi="Courier New" w:cs="Courier New"/>
      <w:lang w:val="x-none" w:eastAsia="cs-CZ"/>
    </w:rPr>
  </w:style>
  <w:style w:type="character" w:customStyle="1" w:styleId="ObyajntextChar1590">
    <w:name w:val="Obyčajný text Char1590"/>
    <w:aliases w:val="Obyčajný text Char Char Char Char1591"/>
    <w:basedOn w:val="Predvolenpsmoodseku"/>
    <w:uiPriority w:val="99"/>
    <w:semiHidden/>
    <w:rsid w:val="00A809E7"/>
    <w:rPr>
      <w:rFonts w:ascii="Courier New" w:hAnsi="Courier New" w:cs="Courier New"/>
      <w:lang w:val="x-none" w:eastAsia="cs-CZ"/>
    </w:rPr>
  </w:style>
  <w:style w:type="character" w:customStyle="1" w:styleId="ObyajntextChar1589">
    <w:name w:val="Obyčajný text Char1589"/>
    <w:aliases w:val="Obyčajný text Char Char Char Char1590"/>
    <w:basedOn w:val="Predvolenpsmoodseku"/>
    <w:uiPriority w:val="99"/>
    <w:semiHidden/>
    <w:rsid w:val="00A809E7"/>
    <w:rPr>
      <w:rFonts w:ascii="Courier New" w:hAnsi="Courier New" w:cs="Courier New"/>
      <w:lang w:val="x-none" w:eastAsia="cs-CZ"/>
    </w:rPr>
  </w:style>
  <w:style w:type="character" w:customStyle="1" w:styleId="ObyajntextChar1588">
    <w:name w:val="Obyčajný text Char1588"/>
    <w:aliases w:val="Obyčajný text Char Char Char Char1589"/>
    <w:basedOn w:val="Predvolenpsmoodseku"/>
    <w:uiPriority w:val="99"/>
    <w:semiHidden/>
    <w:rsid w:val="00A809E7"/>
    <w:rPr>
      <w:rFonts w:ascii="Courier New" w:hAnsi="Courier New" w:cs="Courier New"/>
      <w:lang w:val="x-none" w:eastAsia="cs-CZ"/>
    </w:rPr>
  </w:style>
  <w:style w:type="character" w:customStyle="1" w:styleId="ObyajntextChar1587">
    <w:name w:val="Obyčajný text Char1587"/>
    <w:aliases w:val="Obyčajný text Char Char Char Char1588"/>
    <w:basedOn w:val="Predvolenpsmoodseku"/>
    <w:uiPriority w:val="99"/>
    <w:semiHidden/>
    <w:rsid w:val="00A809E7"/>
    <w:rPr>
      <w:rFonts w:ascii="Courier New" w:hAnsi="Courier New" w:cs="Courier New"/>
      <w:lang w:val="x-none" w:eastAsia="cs-CZ"/>
    </w:rPr>
  </w:style>
  <w:style w:type="character" w:customStyle="1" w:styleId="ObyajntextChar1586">
    <w:name w:val="Obyčajný text Char1586"/>
    <w:aliases w:val="Obyčajný text Char Char Char Char1587"/>
    <w:basedOn w:val="Predvolenpsmoodseku"/>
    <w:uiPriority w:val="99"/>
    <w:semiHidden/>
    <w:rsid w:val="00A809E7"/>
    <w:rPr>
      <w:rFonts w:ascii="Courier New" w:hAnsi="Courier New" w:cs="Courier New"/>
      <w:lang w:val="x-none" w:eastAsia="cs-CZ"/>
    </w:rPr>
  </w:style>
  <w:style w:type="character" w:customStyle="1" w:styleId="ObyajntextChar1585">
    <w:name w:val="Obyčajný text Char1585"/>
    <w:aliases w:val="Obyčajný text Char Char Char Char1586"/>
    <w:basedOn w:val="Predvolenpsmoodseku"/>
    <w:uiPriority w:val="99"/>
    <w:semiHidden/>
    <w:rsid w:val="00A809E7"/>
    <w:rPr>
      <w:rFonts w:ascii="Courier New" w:hAnsi="Courier New" w:cs="Courier New"/>
      <w:lang w:val="x-none" w:eastAsia="cs-CZ"/>
    </w:rPr>
  </w:style>
  <w:style w:type="character" w:customStyle="1" w:styleId="ObyajntextChar1584">
    <w:name w:val="Obyčajný text Char1584"/>
    <w:aliases w:val="Obyčajný text Char Char Char Char1585"/>
    <w:basedOn w:val="Predvolenpsmoodseku"/>
    <w:uiPriority w:val="99"/>
    <w:semiHidden/>
    <w:rsid w:val="00A809E7"/>
    <w:rPr>
      <w:rFonts w:ascii="Courier New" w:hAnsi="Courier New" w:cs="Courier New"/>
      <w:lang w:val="x-none" w:eastAsia="cs-CZ"/>
    </w:rPr>
  </w:style>
  <w:style w:type="character" w:customStyle="1" w:styleId="ObyajntextChar1583">
    <w:name w:val="Obyčajný text Char1583"/>
    <w:aliases w:val="Obyčajný text Char Char Char Char1584"/>
    <w:basedOn w:val="Predvolenpsmoodseku"/>
    <w:uiPriority w:val="99"/>
    <w:semiHidden/>
    <w:rsid w:val="00A809E7"/>
    <w:rPr>
      <w:rFonts w:ascii="Courier New" w:hAnsi="Courier New" w:cs="Courier New"/>
      <w:lang w:val="x-none" w:eastAsia="cs-CZ"/>
    </w:rPr>
  </w:style>
  <w:style w:type="character" w:customStyle="1" w:styleId="ObyajntextChar1582">
    <w:name w:val="Obyčajný text Char1582"/>
    <w:aliases w:val="Obyčajný text Char Char Char Char1583"/>
    <w:basedOn w:val="Predvolenpsmoodseku"/>
    <w:uiPriority w:val="99"/>
    <w:semiHidden/>
    <w:rsid w:val="00A809E7"/>
    <w:rPr>
      <w:rFonts w:ascii="Courier New" w:hAnsi="Courier New" w:cs="Courier New"/>
      <w:lang w:val="x-none" w:eastAsia="cs-CZ"/>
    </w:rPr>
  </w:style>
  <w:style w:type="character" w:customStyle="1" w:styleId="ObyajntextChar1581">
    <w:name w:val="Obyčajný text Char1581"/>
    <w:aliases w:val="Obyčajný text Char Char Char Char1582"/>
    <w:basedOn w:val="Predvolenpsmoodseku"/>
    <w:uiPriority w:val="99"/>
    <w:semiHidden/>
    <w:rsid w:val="00A809E7"/>
    <w:rPr>
      <w:rFonts w:ascii="Courier New" w:hAnsi="Courier New" w:cs="Courier New"/>
      <w:lang w:val="x-none" w:eastAsia="cs-CZ"/>
    </w:rPr>
  </w:style>
  <w:style w:type="character" w:customStyle="1" w:styleId="ObyajntextChar1580">
    <w:name w:val="Obyčajný text Char1580"/>
    <w:aliases w:val="Obyčajný text Char Char Char Char1581"/>
    <w:basedOn w:val="Predvolenpsmoodseku"/>
    <w:uiPriority w:val="99"/>
    <w:semiHidden/>
    <w:rsid w:val="00A809E7"/>
    <w:rPr>
      <w:rFonts w:ascii="Courier New" w:hAnsi="Courier New" w:cs="Courier New"/>
      <w:lang w:val="x-none" w:eastAsia="cs-CZ"/>
    </w:rPr>
  </w:style>
  <w:style w:type="character" w:customStyle="1" w:styleId="ObyajntextChar1579">
    <w:name w:val="Obyčajný text Char1579"/>
    <w:aliases w:val="Obyčajný text Char Char Char Char1580"/>
    <w:basedOn w:val="Predvolenpsmoodseku"/>
    <w:uiPriority w:val="99"/>
    <w:semiHidden/>
    <w:rsid w:val="00A809E7"/>
    <w:rPr>
      <w:rFonts w:ascii="Courier New" w:hAnsi="Courier New" w:cs="Courier New"/>
      <w:lang w:val="x-none" w:eastAsia="cs-CZ"/>
    </w:rPr>
  </w:style>
  <w:style w:type="character" w:customStyle="1" w:styleId="ObyajntextChar1578">
    <w:name w:val="Obyčajný text Char1578"/>
    <w:aliases w:val="Obyčajný text Char Char Char Char1579"/>
    <w:basedOn w:val="Predvolenpsmoodseku"/>
    <w:uiPriority w:val="99"/>
    <w:semiHidden/>
    <w:rsid w:val="00A809E7"/>
    <w:rPr>
      <w:rFonts w:ascii="Courier New" w:hAnsi="Courier New" w:cs="Courier New"/>
      <w:lang w:val="x-none" w:eastAsia="cs-CZ"/>
    </w:rPr>
  </w:style>
  <w:style w:type="character" w:customStyle="1" w:styleId="ObyajntextChar1577">
    <w:name w:val="Obyčajný text Char1577"/>
    <w:aliases w:val="Obyčajný text Char Char Char Char1578"/>
    <w:basedOn w:val="Predvolenpsmoodseku"/>
    <w:uiPriority w:val="99"/>
    <w:semiHidden/>
    <w:rsid w:val="00A809E7"/>
    <w:rPr>
      <w:rFonts w:ascii="Courier New" w:hAnsi="Courier New" w:cs="Courier New"/>
      <w:lang w:val="x-none" w:eastAsia="cs-CZ"/>
    </w:rPr>
  </w:style>
  <w:style w:type="character" w:customStyle="1" w:styleId="ObyajntextChar1576">
    <w:name w:val="Obyčajný text Char1576"/>
    <w:aliases w:val="Obyčajný text Char Char Char Char1577"/>
    <w:basedOn w:val="Predvolenpsmoodseku"/>
    <w:uiPriority w:val="99"/>
    <w:semiHidden/>
    <w:rsid w:val="00A809E7"/>
    <w:rPr>
      <w:rFonts w:ascii="Courier New" w:hAnsi="Courier New" w:cs="Courier New"/>
      <w:lang w:val="x-none" w:eastAsia="cs-CZ"/>
    </w:rPr>
  </w:style>
  <w:style w:type="character" w:customStyle="1" w:styleId="ObyajntextChar1575">
    <w:name w:val="Obyčajný text Char1575"/>
    <w:aliases w:val="Obyčajný text Char Char Char Char1576"/>
    <w:basedOn w:val="Predvolenpsmoodseku"/>
    <w:uiPriority w:val="99"/>
    <w:semiHidden/>
    <w:rsid w:val="00A809E7"/>
    <w:rPr>
      <w:rFonts w:ascii="Courier New" w:hAnsi="Courier New" w:cs="Courier New"/>
      <w:lang w:val="x-none" w:eastAsia="cs-CZ"/>
    </w:rPr>
  </w:style>
  <w:style w:type="character" w:customStyle="1" w:styleId="ObyajntextChar1574">
    <w:name w:val="Obyčajný text Char1574"/>
    <w:aliases w:val="Obyčajný text Char Char Char Char1575"/>
    <w:basedOn w:val="Predvolenpsmoodseku"/>
    <w:uiPriority w:val="99"/>
    <w:semiHidden/>
    <w:rsid w:val="00A809E7"/>
    <w:rPr>
      <w:rFonts w:ascii="Courier New" w:hAnsi="Courier New" w:cs="Courier New"/>
      <w:lang w:val="x-none" w:eastAsia="cs-CZ"/>
    </w:rPr>
  </w:style>
  <w:style w:type="character" w:customStyle="1" w:styleId="ObyajntextChar1573">
    <w:name w:val="Obyčajný text Char1573"/>
    <w:aliases w:val="Obyčajný text Char Char Char Char1574"/>
    <w:basedOn w:val="Predvolenpsmoodseku"/>
    <w:uiPriority w:val="99"/>
    <w:semiHidden/>
    <w:rsid w:val="00A809E7"/>
    <w:rPr>
      <w:rFonts w:ascii="Courier New" w:hAnsi="Courier New" w:cs="Courier New"/>
      <w:lang w:val="x-none" w:eastAsia="cs-CZ"/>
    </w:rPr>
  </w:style>
  <w:style w:type="character" w:customStyle="1" w:styleId="ObyajntextChar1572">
    <w:name w:val="Obyčajný text Char1572"/>
    <w:aliases w:val="Obyčajný text Char Char Char Char1573"/>
    <w:basedOn w:val="Predvolenpsmoodseku"/>
    <w:uiPriority w:val="99"/>
    <w:semiHidden/>
    <w:rsid w:val="00A809E7"/>
    <w:rPr>
      <w:rFonts w:ascii="Courier New" w:hAnsi="Courier New" w:cs="Courier New"/>
      <w:lang w:val="x-none" w:eastAsia="cs-CZ"/>
    </w:rPr>
  </w:style>
  <w:style w:type="character" w:customStyle="1" w:styleId="ObyajntextChar1571">
    <w:name w:val="Obyčajný text Char1571"/>
    <w:aliases w:val="Obyčajný text Char Char Char Char1572"/>
    <w:basedOn w:val="Predvolenpsmoodseku"/>
    <w:uiPriority w:val="99"/>
    <w:semiHidden/>
    <w:rsid w:val="00A809E7"/>
    <w:rPr>
      <w:rFonts w:ascii="Courier New" w:hAnsi="Courier New" w:cs="Courier New"/>
      <w:lang w:val="x-none" w:eastAsia="cs-CZ"/>
    </w:rPr>
  </w:style>
  <w:style w:type="character" w:customStyle="1" w:styleId="ObyajntextChar1570">
    <w:name w:val="Obyčajný text Char1570"/>
    <w:aliases w:val="Obyčajný text Char Char Char Char1571"/>
    <w:basedOn w:val="Predvolenpsmoodseku"/>
    <w:uiPriority w:val="99"/>
    <w:semiHidden/>
    <w:rsid w:val="00A809E7"/>
    <w:rPr>
      <w:rFonts w:ascii="Courier New" w:hAnsi="Courier New" w:cs="Courier New"/>
      <w:lang w:val="x-none" w:eastAsia="cs-CZ"/>
    </w:rPr>
  </w:style>
  <w:style w:type="character" w:customStyle="1" w:styleId="ObyajntextChar1569">
    <w:name w:val="Obyčajný text Char1569"/>
    <w:aliases w:val="Obyčajný text Char Char Char Char1570"/>
    <w:basedOn w:val="Predvolenpsmoodseku"/>
    <w:uiPriority w:val="99"/>
    <w:semiHidden/>
    <w:rsid w:val="00A809E7"/>
    <w:rPr>
      <w:rFonts w:ascii="Courier New" w:hAnsi="Courier New" w:cs="Courier New"/>
      <w:lang w:val="x-none" w:eastAsia="cs-CZ"/>
    </w:rPr>
  </w:style>
  <w:style w:type="character" w:customStyle="1" w:styleId="ObyajntextChar1568">
    <w:name w:val="Obyčajný text Char1568"/>
    <w:aliases w:val="Obyčajný text Char Char Char Char1569"/>
    <w:basedOn w:val="Predvolenpsmoodseku"/>
    <w:uiPriority w:val="99"/>
    <w:semiHidden/>
    <w:rsid w:val="00A809E7"/>
    <w:rPr>
      <w:rFonts w:ascii="Courier New" w:hAnsi="Courier New" w:cs="Courier New"/>
      <w:lang w:val="x-none" w:eastAsia="cs-CZ"/>
    </w:rPr>
  </w:style>
  <w:style w:type="character" w:customStyle="1" w:styleId="ObyajntextChar1567">
    <w:name w:val="Obyčajný text Char1567"/>
    <w:aliases w:val="Obyčajný text Char Char Char Char1568"/>
    <w:basedOn w:val="Predvolenpsmoodseku"/>
    <w:uiPriority w:val="99"/>
    <w:semiHidden/>
    <w:rsid w:val="00A809E7"/>
    <w:rPr>
      <w:rFonts w:ascii="Courier New" w:hAnsi="Courier New" w:cs="Courier New"/>
      <w:lang w:val="x-none" w:eastAsia="cs-CZ"/>
    </w:rPr>
  </w:style>
  <w:style w:type="character" w:customStyle="1" w:styleId="ObyajntextChar1566">
    <w:name w:val="Obyčajný text Char1566"/>
    <w:aliases w:val="Obyčajný text Char Char Char Char1567"/>
    <w:basedOn w:val="Predvolenpsmoodseku"/>
    <w:uiPriority w:val="99"/>
    <w:semiHidden/>
    <w:rsid w:val="00A809E7"/>
    <w:rPr>
      <w:rFonts w:ascii="Courier New" w:hAnsi="Courier New" w:cs="Courier New"/>
      <w:lang w:val="x-none" w:eastAsia="cs-CZ"/>
    </w:rPr>
  </w:style>
  <w:style w:type="character" w:customStyle="1" w:styleId="ObyajntextChar1565">
    <w:name w:val="Obyčajný text Char1565"/>
    <w:aliases w:val="Obyčajný text Char Char Char Char1566"/>
    <w:basedOn w:val="Predvolenpsmoodseku"/>
    <w:uiPriority w:val="99"/>
    <w:semiHidden/>
    <w:rsid w:val="00A809E7"/>
    <w:rPr>
      <w:rFonts w:ascii="Courier New" w:hAnsi="Courier New" w:cs="Courier New"/>
      <w:lang w:val="x-none" w:eastAsia="cs-CZ"/>
    </w:rPr>
  </w:style>
  <w:style w:type="character" w:customStyle="1" w:styleId="ObyajntextChar1564">
    <w:name w:val="Obyčajný text Char1564"/>
    <w:aliases w:val="Obyčajný text Char Char Char Char1565"/>
    <w:basedOn w:val="Predvolenpsmoodseku"/>
    <w:uiPriority w:val="99"/>
    <w:semiHidden/>
    <w:rsid w:val="00A809E7"/>
    <w:rPr>
      <w:rFonts w:ascii="Courier New" w:hAnsi="Courier New" w:cs="Courier New"/>
      <w:lang w:val="x-none" w:eastAsia="cs-CZ"/>
    </w:rPr>
  </w:style>
  <w:style w:type="character" w:customStyle="1" w:styleId="ObyajntextChar1563">
    <w:name w:val="Obyčajný text Char1563"/>
    <w:aliases w:val="Obyčajný text Char Char Char Char1564"/>
    <w:basedOn w:val="Predvolenpsmoodseku"/>
    <w:uiPriority w:val="99"/>
    <w:semiHidden/>
    <w:rsid w:val="00A809E7"/>
    <w:rPr>
      <w:rFonts w:ascii="Courier New" w:hAnsi="Courier New" w:cs="Courier New"/>
      <w:lang w:val="x-none" w:eastAsia="cs-CZ"/>
    </w:rPr>
  </w:style>
  <w:style w:type="character" w:customStyle="1" w:styleId="ObyajntextChar1562">
    <w:name w:val="Obyčajný text Char1562"/>
    <w:aliases w:val="Obyčajný text Char Char Char Char1563"/>
    <w:basedOn w:val="Predvolenpsmoodseku"/>
    <w:uiPriority w:val="99"/>
    <w:semiHidden/>
    <w:rsid w:val="00A809E7"/>
    <w:rPr>
      <w:rFonts w:ascii="Courier New" w:hAnsi="Courier New" w:cs="Courier New"/>
      <w:lang w:val="x-none" w:eastAsia="cs-CZ"/>
    </w:rPr>
  </w:style>
  <w:style w:type="character" w:customStyle="1" w:styleId="ObyajntextChar1561">
    <w:name w:val="Obyčajný text Char1561"/>
    <w:aliases w:val="Obyčajný text Char Char Char Char1562"/>
    <w:basedOn w:val="Predvolenpsmoodseku"/>
    <w:uiPriority w:val="99"/>
    <w:semiHidden/>
    <w:rsid w:val="00A809E7"/>
    <w:rPr>
      <w:rFonts w:ascii="Courier New" w:hAnsi="Courier New" w:cs="Courier New"/>
      <w:lang w:val="x-none" w:eastAsia="cs-CZ"/>
    </w:rPr>
  </w:style>
  <w:style w:type="character" w:customStyle="1" w:styleId="ObyajntextChar1560">
    <w:name w:val="Obyčajný text Char1560"/>
    <w:aliases w:val="Obyčajný text Char Char Char Char1561"/>
    <w:basedOn w:val="Predvolenpsmoodseku"/>
    <w:uiPriority w:val="99"/>
    <w:semiHidden/>
    <w:rsid w:val="00A809E7"/>
    <w:rPr>
      <w:rFonts w:ascii="Courier New" w:hAnsi="Courier New" w:cs="Courier New"/>
      <w:lang w:val="x-none" w:eastAsia="cs-CZ"/>
    </w:rPr>
  </w:style>
  <w:style w:type="character" w:customStyle="1" w:styleId="ObyajntextChar1559">
    <w:name w:val="Obyčajný text Char1559"/>
    <w:aliases w:val="Obyčajný text Char Char Char Char1560"/>
    <w:basedOn w:val="Predvolenpsmoodseku"/>
    <w:uiPriority w:val="99"/>
    <w:semiHidden/>
    <w:rsid w:val="00A809E7"/>
    <w:rPr>
      <w:rFonts w:ascii="Courier New" w:hAnsi="Courier New" w:cs="Courier New"/>
      <w:lang w:val="x-none" w:eastAsia="cs-CZ"/>
    </w:rPr>
  </w:style>
  <w:style w:type="character" w:customStyle="1" w:styleId="ObyajntextChar1558">
    <w:name w:val="Obyčajný text Char1558"/>
    <w:aliases w:val="Obyčajný text Char Char Char Char1559"/>
    <w:basedOn w:val="Predvolenpsmoodseku"/>
    <w:uiPriority w:val="99"/>
    <w:semiHidden/>
    <w:rsid w:val="00A809E7"/>
    <w:rPr>
      <w:rFonts w:ascii="Courier New" w:hAnsi="Courier New" w:cs="Courier New"/>
      <w:lang w:val="x-none" w:eastAsia="cs-CZ"/>
    </w:rPr>
  </w:style>
  <w:style w:type="character" w:customStyle="1" w:styleId="ObyajntextChar1557">
    <w:name w:val="Obyčajný text Char1557"/>
    <w:aliases w:val="Obyčajný text Char Char Char Char1558"/>
    <w:basedOn w:val="Predvolenpsmoodseku"/>
    <w:uiPriority w:val="99"/>
    <w:semiHidden/>
    <w:rsid w:val="00A809E7"/>
    <w:rPr>
      <w:rFonts w:ascii="Courier New" w:hAnsi="Courier New" w:cs="Courier New"/>
      <w:lang w:val="x-none" w:eastAsia="cs-CZ"/>
    </w:rPr>
  </w:style>
  <w:style w:type="character" w:customStyle="1" w:styleId="ObyajntextChar1556">
    <w:name w:val="Obyčajný text Char1556"/>
    <w:aliases w:val="Obyčajný text Char Char Char Char1557"/>
    <w:basedOn w:val="Predvolenpsmoodseku"/>
    <w:uiPriority w:val="99"/>
    <w:semiHidden/>
    <w:rsid w:val="00A809E7"/>
    <w:rPr>
      <w:rFonts w:ascii="Courier New" w:hAnsi="Courier New" w:cs="Courier New"/>
      <w:lang w:val="x-none" w:eastAsia="cs-CZ"/>
    </w:rPr>
  </w:style>
  <w:style w:type="character" w:customStyle="1" w:styleId="ObyajntextChar1555">
    <w:name w:val="Obyčajný text Char1555"/>
    <w:aliases w:val="Obyčajný text Char Char Char Char1556"/>
    <w:basedOn w:val="Predvolenpsmoodseku"/>
    <w:uiPriority w:val="99"/>
    <w:semiHidden/>
    <w:rsid w:val="00A809E7"/>
    <w:rPr>
      <w:rFonts w:ascii="Courier New" w:hAnsi="Courier New" w:cs="Courier New"/>
      <w:lang w:val="x-none" w:eastAsia="cs-CZ"/>
    </w:rPr>
  </w:style>
  <w:style w:type="character" w:customStyle="1" w:styleId="ObyajntextChar1554">
    <w:name w:val="Obyčajný text Char1554"/>
    <w:aliases w:val="Obyčajný text Char Char Char Char1555"/>
    <w:basedOn w:val="Predvolenpsmoodseku"/>
    <w:uiPriority w:val="99"/>
    <w:semiHidden/>
    <w:rsid w:val="00A809E7"/>
    <w:rPr>
      <w:rFonts w:ascii="Courier New" w:hAnsi="Courier New" w:cs="Courier New"/>
      <w:lang w:val="x-none" w:eastAsia="cs-CZ"/>
    </w:rPr>
  </w:style>
  <w:style w:type="character" w:customStyle="1" w:styleId="ObyajntextChar1553">
    <w:name w:val="Obyčajný text Char1553"/>
    <w:aliases w:val="Obyčajný text Char Char Char Char1554"/>
    <w:basedOn w:val="Predvolenpsmoodseku"/>
    <w:uiPriority w:val="99"/>
    <w:semiHidden/>
    <w:rsid w:val="00A809E7"/>
    <w:rPr>
      <w:rFonts w:ascii="Courier New" w:hAnsi="Courier New" w:cs="Courier New"/>
      <w:lang w:val="x-none" w:eastAsia="cs-CZ"/>
    </w:rPr>
  </w:style>
  <w:style w:type="character" w:customStyle="1" w:styleId="ObyajntextChar1552">
    <w:name w:val="Obyčajný text Char1552"/>
    <w:aliases w:val="Obyčajný text Char Char Char Char1553"/>
    <w:basedOn w:val="Predvolenpsmoodseku"/>
    <w:uiPriority w:val="99"/>
    <w:semiHidden/>
    <w:rsid w:val="00A809E7"/>
    <w:rPr>
      <w:rFonts w:ascii="Courier New" w:hAnsi="Courier New" w:cs="Courier New"/>
      <w:lang w:val="x-none" w:eastAsia="cs-CZ"/>
    </w:rPr>
  </w:style>
  <w:style w:type="character" w:customStyle="1" w:styleId="ObyajntextChar1551">
    <w:name w:val="Obyčajný text Char1551"/>
    <w:aliases w:val="Obyčajný text Char Char Char Char1552"/>
    <w:basedOn w:val="Predvolenpsmoodseku"/>
    <w:uiPriority w:val="99"/>
    <w:semiHidden/>
    <w:rsid w:val="00A809E7"/>
    <w:rPr>
      <w:rFonts w:ascii="Courier New" w:hAnsi="Courier New" w:cs="Courier New"/>
      <w:lang w:val="x-none" w:eastAsia="cs-CZ"/>
    </w:rPr>
  </w:style>
  <w:style w:type="character" w:customStyle="1" w:styleId="ObyajntextChar1550">
    <w:name w:val="Obyčajný text Char1550"/>
    <w:aliases w:val="Obyčajný text Char Char Char Char1551"/>
    <w:basedOn w:val="Predvolenpsmoodseku"/>
    <w:uiPriority w:val="99"/>
    <w:semiHidden/>
    <w:rsid w:val="00A809E7"/>
    <w:rPr>
      <w:rFonts w:ascii="Courier New" w:hAnsi="Courier New" w:cs="Courier New"/>
      <w:lang w:val="x-none" w:eastAsia="cs-CZ"/>
    </w:rPr>
  </w:style>
  <w:style w:type="character" w:customStyle="1" w:styleId="ObyajntextChar1549">
    <w:name w:val="Obyčajný text Char1549"/>
    <w:aliases w:val="Obyčajný text Char Char Char Char1550"/>
    <w:basedOn w:val="Predvolenpsmoodseku"/>
    <w:uiPriority w:val="99"/>
    <w:semiHidden/>
    <w:rsid w:val="00A809E7"/>
    <w:rPr>
      <w:rFonts w:ascii="Courier New" w:hAnsi="Courier New" w:cs="Courier New"/>
      <w:lang w:val="x-none" w:eastAsia="cs-CZ"/>
    </w:rPr>
  </w:style>
  <w:style w:type="character" w:customStyle="1" w:styleId="ObyajntextChar1548">
    <w:name w:val="Obyčajný text Char1548"/>
    <w:aliases w:val="Obyčajný text Char Char Char Char1549"/>
    <w:basedOn w:val="Predvolenpsmoodseku"/>
    <w:uiPriority w:val="99"/>
    <w:semiHidden/>
    <w:rsid w:val="00A809E7"/>
    <w:rPr>
      <w:rFonts w:ascii="Courier New" w:hAnsi="Courier New" w:cs="Courier New"/>
      <w:lang w:val="x-none" w:eastAsia="cs-CZ"/>
    </w:rPr>
  </w:style>
  <w:style w:type="character" w:customStyle="1" w:styleId="ObyajntextChar1547">
    <w:name w:val="Obyčajný text Char1547"/>
    <w:aliases w:val="Obyčajný text Char Char Char Char1548"/>
    <w:basedOn w:val="Predvolenpsmoodseku"/>
    <w:uiPriority w:val="99"/>
    <w:semiHidden/>
    <w:rsid w:val="00A809E7"/>
    <w:rPr>
      <w:rFonts w:ascii="Courier New" w:hAnsi="Courier New" w:cs="Courier New"/>
      <w:lang w:val="x-none" w:eastAsia="cs-CZ"/>
    </w:rPr>
  </w:style>
  <w:style w:type="character" w:customStyle="1" w:styleId="ObyajntextChar1546">
    <w:name w:val="Obyčajný text Char1546"/>
    <w:aliases w:val="Obyčajný text Char Char Char Char1547"/>
    <w:basedOn w:val="Predvolenpsmoodseku"/>
    <w:uiPriority w:val="99"/>
    <w:semiHidden/>
    <w:rsid w:val="00A809E7"/>
    <w:rPr>
      <w:rFonts w:ascii="Courier New" w:hAnsi="Courier New" w:cs="Courier New"/>
      <w:lang w:val="x-none" w:eastAsia="cs-CZ"/>
    </w:rPr>
  </w:style>
  <w:style w:type="character" w:customStyle="1" w:styleId="ObyajntextChar1545">
    <w:name w:val="Obyčajný text Char1545"/>
    <w:aliases w:val="Obyčajný text Char Char Char Char1546"/>
    <w:basedOn w:val="Predvolenpsmoodseku"/>
    <w:uiPriority w:val="99"/>
    <w:semiHidden/>
    <w:rsid w:val="00A809E7"/>
    <w:rPr>
      <w:rFonts w:ascii="Courier New" w:hAnsi="Courier New" w:cs="Courier New"/>
      <w:lang w:val="x-none" w:eastAsia="cs-CZ"/>
    </w:rPr>
  </w:style>
  <w:style w:type="character" w:customStyle="1" w:styleId="ObyajntextChar1544">
    <w:name w:val="Obyčajný text Char1544"/>
    <w:aliases w:val="Obyčajný text Char Char Char Char1545"/>
    <w:basedOn w:val="Predvolenpsmoodseku"/>
    <w:uiPriority w:val="99"/>
    <w:semiHidden/>
    <w:rsid w:val="00A809E7"/>
    <w:rPr>
      <w:rFonts w:ascii="Courier New" w:hAnsi="Courier New" w:cs="Courier New"/>
      <w:lang w:val="x-none" w:eastAsia="cs-CZ"/>
    </w:rPr>
  </w:style>
  <w:style w:type="character" w:customStyle="1" w:styleId="ObyajntextChar1543">
    <w:name w:val="Obyčajný text Char1543"/>
    <w:aliases w:val="Obyčajný text Char Char Char Char1544"/>
    <w:basedOn w:val="Predvolenpsmoodseku"/>
    <w:uiPriority w:val="99"/>
    <w:semiHidden/>
    <w:rsid w:val="00A809E7"/>
    <w:rPr>
      <w:rFonts w:ascii="Courier New" w:hAnsi="Courier New" w:cs="Courier New"/>
      <w:lang w:val="x-none" w:eastAsia="cs-CZ"/>
    </w:rPr>
  </w:style>
  <w:style w:type="character" w:customStyle="1" w:styleId="ObyajntextChar1542">
    <w:name w:val="Obyčajný text Char1542"/>
    <w:aliases w:val="Obyčajný text Char Char Char Char1543"/>
    <w:basedOn w:val="Predvolenpsmoodseku"/>
    <w:uiPriority w:val="99"/>
    <w:semiHidden/>
    <w:rsid w:val="00A809E7"/>
    <w:rPr>
      <w:rFonts w:ascii="Courier New" w:hAnsi="Courier New" w:cs="Courier New"/>
      <w:lang w:val="x-none" w:eastAsia="cs-CZ"/>
    </w:rPr>
  </w:style>
  <w:style w:type="character" w:customStyle="1" w:styleId="ObyajntextChar1541">
    <w:name w:val="Obyčajný text Char1541"/>
    <w:aliases w:val="Obyčajný text Char Char Char Char1542"/>
    <w:basedOn w:val="Predvolenpsmoodseku"/>
    <w:uiPriority w:val="99"/>
    <w:semiHidden/>
    <w:rsid w:val="00A809E7"/>
    <w:rPr>
      <w:rFonts w:ascii="Courier New" w:hAnsi="Courier New" w:cs="Courier New"/>
      <w:lang w:val="x-none" w:eastAsia="cs-CZ"/>
    </w:rPr>
  </w:style>
  <w:style w:type="character" w:customStyle="1" w:styleId="ObyajntextChar1540">
    <w:name w:val="Obyčajný text Char1540"/>
    <w:aliases w:val="Obyčajný text Char Char Char Char1541"/>
    <w:basedOn w:val="Predvolenpsmoodseku"/>
    <w:uiPriority w:val="99"/>
    <w:semiHidden/>
    <w:rsid w:val="00A809E7"/>
    <w:rPr>
      <w:rFonts w:ascii="Courier New" w:hAnsi="Courier New" w:cs="Courier New"/>
      <w:lang w:val="x-none" w:eastAsia="cs-CZ"/>
    </w:rPr>
  </w:style>
  <w:style w:type="character" w:customStyle="1" w:styleId="ObyajntextChar1539">
    <w:name w:val="Obyčajný text Char1539"/>
    <w:aliases w:val="Obyčajný text Char Char Char Char1540"/>
    <w:basedOn w:val="Predvolenpsmoodseku"/>
    <w:uiPriority w:val="99"/>
    <w:semiHidden/>
    <w:rsid w:val="00A809E7"/>
    <w:rPr>
      <w:rFonts w:ascii="Courier New" w:hAnsi="Courier New" w:cs="Courier New"/>
      <w:lang w:val="x-none" w:eastAsia="cs-CZ"/>
    </w:rPr>
  </w:style>
  <w:style w:type="character" w:customStyle="1" w:styleId="ObyajntextChar1538">
    <w:name w:val="Obyčajný text Char1538"/>
    <w:aliases w:val="Obyčajný text Char Char Char Char1539"/>
    <w:basedOn w:val="Predvolenpsmoodseku"/>
    <w:uiPriority w:val="99"/>
    <w:semiHidden/>
    <w:rsid w:val="00A809E7"/>
    <w:rPr>
      <w:rFonts w:ascii="Courier New" w:hAnsi="Courier New" w:cs="Courier New"/>
      <w:lang w:val="x-none" w:eastAsia="cs-CZ"/>
    </w:rPr>
  </w:style>
  <w:style w:type="character" w:customStyle="1" w:styleId="ObyajntextChar1537">
    <w:name w:val="Obyčajný text Char1537"/>
    <w:aliases w:val="Obyčajný text Char Char Char Char1538"/>
    <w:basedOn w:val="Predvolenpsmoodseku"/>
    <w:uiPriority w:val="99"/>
    <w:semiHidden/>
    <w:rsid w:val="00A809E7"/>
    <w:rPr>
      <w:rFonts w:ascii="Courier New" w:hAnsi="Courier New" w:cs="Courier New"/>
      <w:lang w:val="x-none" w:eastAsia="cs-CZ"/>
    </w:rPr>
  </w:style>
  <w:style w:type="character" w:customStyle="1" w:styleId="ObyajntextChar1536">
    <w:name w:val="Obyčajný text Char1536"/>
    <w:aliases w:val="Obyčajný text Char Char Char Char1537"/>
    <w:basedOn w:val="Predvolenpsmoodseku"/>
    <w:uiPriority w:val="99"/>
    <w:semiHidden/>
    <w:rsid w:val="00A809E7"/>
    <w:rPr>
      <w:rFonts w:ascii="Courier New" w:hAnsi="Courier New" w:cs="Courier New"/>
      <w:lang w:val="x-none" w:eastAsia="cs-CZ"/>
    </w:rPr>
  </w:style>
  <w:style w:type="character" w:customStyle="1" w:styleId="ObyajntextChar1535">
    <w:name w:val="Obyčajný text Char1535"/>
    <w:aliases w:val="Obyčajný text Char Char Char Char1536"/>
    <w:basedOn w:val="Predvolenpsmoodseku"/>
    <w:uiPriority w:val="99"/>
    <w:semiHidden/>
    <w:rsid w:val="00A809E7"/>
    <w:rPr>
      <w:rFonts w:ascii="Courier New" w:hAnsi="Courier New" w:cs="Courier New"/>
      <w:lang w:val="x-none" w:eastAsia="cs-CZ"/>
    </w:rPr>
  </w:style>
  <w:style w:type="character" w:customStyle="1" w:styleId="ObyajntextChar1534">
    <w:name w:val="Obyčajný text Char1534"/>
    <w:aliases w:val="Obyčajný text Char Char Char Char1535"/>
    <w:basedOn w:val="Predvolenpsmoodseku"/>
    <w:uiPriority w:val="99"/>
    <w:semiHidden/>
    <w:rsid w:val="00A809E7"/>
    <w:rPr>
      <w:rFonts w:ascii="Courier New" w:hAnsi="Courier New" w:cs="Courier New"/>
      <w:lang w:val="x-none" w:eastAsia="cs-CZ"/>
    </w:rPr>
  </w:style>
  <w:style w:type="character" w:customStyle="1" w:styleId="ObyajntextChar1533">
    <w:name w:val="Obyčajný text Char1533"/>
    <w:aliases w:val="Obyčajný text Char Char Char Char1534"/>
    <w:basedOn w:val="Predvolenpsmoodseku"/>
    <w:uiPriority w:val="99"/>
    <w:semiHidden/>
    <w:rsid w:val="00A809E7"/>
    <w:rPr>
      <w:rFonts w:ascii="Courier New" w:hAnsi="Courier New" w:cs="Courier New"/>
      <w:lang w:val="x-none" w:eastAsia="cs-CZ"/>
    </w:rPr>
  </w:style>
  <w:style w:type="character" w:customStyle="1" w:styleId="ObyajntextChar1532">
    <w:name w:val="Obyčajný text Char1532"/>
    <w:aliases w:val="Obyčajný text Char Char Char Char1533"/>
    <w:basedOn w:val="Predvolenpsmoodseku"/>
    <w:uiPriority w:val="99"/>
    <w:semiHidden/>
    <w:rsid w:val="00A809E7"/>
    <w:rPr>
      <w:rFonts w:ascii="Courier New" w:hAnsi="Courier New" w:cs="Courier New"/>
      <w:lang w:val="x-none" w:eastAsia="cs-CZ"/>
    </w:rPr>
  </w:style>
  <w:style w:type="character" w:customStyle="1" w:styleId="ObyajntextChar1531">
    <w:name w:val="Obyčajný text Char1531"/>
    <w:aliases w:val="Obyčajný text Char Char Char Char1532"/>
    <w:basedOn w:val="Predvolenpsmoodseku"/>
    <w:uiPriority w:val="99"/>
    <w:semiHidden/>
    <w:rsid w:val="00A809E7"/>
    <w:rPr>
      <w:rFonts w:ascii="Courier New" w:hAnsi="Courier New" w:cs="Courier New"/>
      <w:lang w:val="x-none" w:eastAsia="cs-CZ"/>
    </w:rPr>
  </w:style>
  <w:style w:type="character" w:customStyle="1" w:styleId="ObyajntextChar1530">
    <w:name w:val="Obyčajný text Char1530"/>
    <w:aliases w:val="Obyčajný text Char Char Char Char1531"/>
    <w:basedOn w:val="Predvolenpsmoodseku"/>
    <w:uiPriority w:val="99"/>
    <w:semiHidden/>
    <w:rsid w:val="00A809E7"/>
    <w:rPr>
      <w:rFonts w:ascii="Courier New" w:hAnsi="Courier New" w:cs="Courier New"/>
      <w:lang w:val="x-none" w:eastAsia="cs-CZ"/>
    </w:rPr>
  </w:style>
  <w:style w:type="character" w:customStyle="1" w:styleId="ObyajntextChar1529">
    <w:name w:val="Obyčajný text Char1529"/>
    <w:aliases w:val="Obyčajný text Char Char Char Char1530"/>
    <w:basedOn w:val="Predvolenpsmoodseku"/>
    <w:uiPriority w:val="99"/>
    <w:semiHidden/>
    <w:rsid w:val="00A809E7"/>
    <w:rPr>
      <w:rFonts w:ascii="Courier New" w:hAnsi="Courier New" w:cs="Courier New"/>
      <w:lang w:val="x-none" w:eastAsia="cs-CZ"/>
    </w:rPr>
  </w:style>
  <w:style w:type="character" w:customStyle="1" w:styleId="ObyajntextChar1528">
    <w:name w:val="Obyčajný text Char1528"/>
    <w:aliases w:val="Obyčajný text Char Char Char Char1529"/>
    <w:basedOn w:val="Predvolenpsmoodseku"/>
    <w:uiPriority w:val="99"/>
    <w:semiHidden/>
    <w:rsid w:val="00A809E7"/>
    <w:rPr>
      <w:rFonts w:ascii="Courier New" w:hAnsi="Courier New" w:cs="Courier New"/>
      <w:lang w:val="x-none" w:eastAsia="cs-CZ"/>
    </w:rPr>
  </w:style>
  <w:style w:type="character" w:customStyle="1" w:styleId="ObyajntextChar1527">
    <w:name w:val="Obyčajný text Char1527"/>
    <w:aliases w:val="Obyčajný text Char Char Char Char1528"/>
    <w:basedOn w:val="Predvolenpsmoodseku"/>
    <w:uiPriority w:val="99"/>
    <w:semiHidden/>
    <w:rsid w:val="00A809E7"/>
    <w:rPr>
      <w:rFonts w:ascii="Courier New" w:hAnsi="Courier New" w:cs="Courier New"/>
      <w:lang w:val="x-none" w:eastAsia="cs-CZ"/>
    </w:rPr>
  </w:style>
  <w:style w:type="character" w:customStyle="1" w:styleId="ObyajntextChar1526">
    <w:name w:val="Obyčajný text Char1526"/>
    <w:aliases w:val="Obyčajný text Char Char Char Char1527"/>
    <w:basedOn w:val="Predvolenpsmoodseku"/>
    <w:uiPriority w:val="99"/>
    <w:semiHidden/>
    <w:rsid w:val="00A809E7"/>
    <w:rPr>
      <w:rFonts w:ascii="Courier New" w:hAnsi="Courier New" w:cs="Courier New"/>
      <w:lang w:val="x-none" w:eastAsia="cs-CZ"/>
    </w:rPr>
  </w:style>
  <w:style w:type="character" w:customStyle="1" w:styleId="ObyajntextChar1525">
    <w:name w:val="Obyčajný text Char1525"/>
    <w:aliases w:val="Obyčajný text Char Char Char Char1526"/>
    <w:basedOn w:val="Predvolenpsmoodseku"/>
    <w:uiPriority w:val="99"/>
    <w:semiHidden/>
    <w:rsid w:val="00A809E7"/>
    <w:rPr>
      <w:rFonts w:ascii="Courier New" w:hAnsi="Courier New" w:cs="Courier New"/>
      <w:lang w:val="x-none" w:eastAsia="cs-CZ"/>
    </w:rPr>
  </w:style>
  <w:style w:type="character" w:customStyle="1" w:styleId="ObyajntextChar1524">
    <w:name w:val="Obyčajný text Char1524"/>
    <w:aliases w:val="Obyčajný text Char Char Char Char1525"/>
    <w:basedOn w:val="Predvolenpsmoodseku"/>
    <w:uiPriority w:val="99"/>
    <w:semiHidden/>
    <w:rsid w:val="00A809E7"/>
    <w:rPr>
      <w:rFonts w:ascii="Courier New" w:hAnsi="Courier New" w:cs="Courier New"/>
      <w:lang w:val="x-none" w:eastAsia="cs-CZ"/>
    </w:rPr>
  </w:style>
  <w:style w:type="character" w:customStyle="1" w:styleId="ObyajntextChar1523">
    <w:name w:val="Obyčajný text Char1523"/>
    <w:aliases w:val="Obyčajný text Char Char Char Char1524"/>
    <w:basedOn w:val="Predvolenpsmoodseku"/>
    <w:uiPriority w:val="99"/>
    <w:semiHidden/>
    <w:rsid w:val="00A809E7"/>
    <w:rPr>
      <w:rFonts w:ascii="Courier New" w:hAnsi="Courier New" w:cs="Courier New"/>
      <w:lang w:val="x-none" w:eastAsia="cs-CZ"/>
    </w:rPr>
  </w:style>
  <w:style w:type="character" w:customStyle="1" w:styleId="ObyajntextChar1522">
    <w:name w:val="Obyčajný text Char1522"/>
    <w:aliases w:val="Obyčajný text Char Char Char Char1523"/>
    <w:basedOn w:val="Predvolenpsmoodseku"/>
    <w:uiPriority w:val="99"/>
    <w:semiHidden/>
    <w:rsid w:val="00A809E7"/>
    <w:rPr>
      <w:rFonts w:ascii="Courier New" w:hAnsi="Courier New" w:cs="Courier New"/>
      <w:lang w:val="x-none" w:eastAsia="cs-CZ"/>
    </w:rPr>
  </w:style>
  <w:style w:type="character" w:customStyle="1" w:styleId="ObyajntextChar1521">
    <w:name w:val="Obyčajný text Char1521"/>
    <w:aliases w:val="Obyčajný text Char Char Char Char1522"/>
    <w:basedOn w:val="Predvolenpsmoodseku"/>
    <w:uiPriority w:val="99"/>
    <w:semiHidden/>
    <w:rsid w:val="00A809E7"/>
    <w:rPr>
      <w:rFonts w:ascii="Courier New" w:hAnsi="Courier New" w:cs="Courier New"/>
      <w:lang w:val="x-none" w:eastAsia="cs-CZ"/>
    </w:rPr>
  </w:style>
  <w:style w:type="character" w:customStyle="1" w:styleId="ObyajntextChar1520">
    <w:name w:val="Obyčajný text Char1520"/>
    <w:aliases w:val="Obyčajný text Char Char Char Char1521"/>
    <w:basedOn w:val="Predvolenpsmoodseku"/>
    <w:uiPriority w:val="99"/>
    <w:semiHidden/>
    <w:rsid w:val="00A809E7"/>
    <w:rPr>
      <w:rFonts w:ascii="Courier New" w:hAnsi="Courier New" w:cs="Courier New"/>
      <w:lang w:val="x-none" w:eastAsia="cs-CZ"/>
    </w:rPr>
  </w:style>
  <w:style w:type="character" w:customStyle="1" w:styleId="ObyajntextChar1519">
    <w:name w:val="Obyčajný text Char1519"/>
    <w:aliases w:val="Obyčajný text Char Char Char Char1520"/>
    <w:basedOn w:val="Predvolenpsmoodseku"/>
    <w:uiPriority w:val="99"/>
    <w:semiHidden/>
    <w:rsid w:val="00A809E7"/>
    <w:rPr>
      <w:rFonts w:ascii="Courier New" w:hAnsi="Courier New" w:cs="Courier New"/>
      <w:lang w:val="x-none" w:eastAsia="cs-CZ"/>
    </w:rPr>
  </w:style>
  <w:style w:type="character" w:customStyle="1" w:styleId="ObyajntextChar1518">
    <w:name w:val="Obyčajný text Char1518"/>
    <w:aliases w:val="Obyčajný text Char Char Char Char1519"/>
    <w:basedOn w:val="Predvolenpsmoodseku"/>
    <w:uiPriority w:val="99"/>
    <w:semiHidden/>
    <w:rsid w:val="00A809E7"/>
    <w:rPr>
      <w:rFonts w:ascii="Courier New" w:hAnsi="Courier New" w:cs="Courier New"/>
      <w:lang w:val="x-none" w:eastAsia="cs-CZ"/>
    </w:rPr>
  </w:style>
  <w:style w:type="character" w:customStyle="1" w:styleId="ObyajntextChar1517">
    <w:name w:val="Obyčajný text Char1517"/>
    <w:aliases w:val="Obyčajný text Char Char Char Char1518"/>
    <w:basedOn w:val="Predvolenpsmoodseku"/>
    <w:uiPriority w:val="99"/>
    <w:semiHidden/>
    <w:rsid w:val="00A809E7"/>
    <w:rPr>
      <w:rFonts w:ascii="Courier New" w:hAnsi="Courier New" w:cs="Courier New"/>
      <w:lang w:val="x-none" w:eastAsia="cs-CZ"/>
    </w:rPr>
  </w:style>
  <w:style w:type="character" w:customStyle="1" w:styleId="ObyajntextChar1516">
    <w:name w:val="Obyčajný text Char1516"/>
    <w:aliases w:val="Obyčajný text Char Char Char Char1517"/>
    <w:basedOn w:val="Predvolenpsmoodseku"/>
    <w:uiPriority w:val="99"/>
    <w:semiHidden/>
    <w:rsid w:val="00A809E7"/>
    <w:rPr>
      <w:rFonts w:ascii="Courier New" w:hAnsi="Courier New" w:cs="Courier New"/>
      <w:lang w:val="x-none" w:eastAsia="cs-CZ"/>
    </w:rPr>
  </w:style>
  <w:style w:type="character" w:customStyle="1" w:styleId="ObyajntextChar1515">
    <w:name w:val="Obyčajný text Char1515"/>
    <w:aliases w:val="Obyčajný text Char Char Char Char1516"/>
    <w:basedOn w:val="Predvolenpsmoodseku"/>
    <w:uiPriority w:val="99"/>
    <w:semiHidden/>
    <w:rsid w:val="00A809E7"/>
    <w:rPr>
      <w:rFonts w:ascii="Courier New" w:hAnsi="Courier New" w:cs="Courier New"/>
      <w:lang w:val="x-none" w:eastAsia="cs-CZ"/>
    </w:rPr>
  </w:style>
  <w:style w:type="character" w:customStyle="1" w:styleId="ObyajntextChar1514">
    <w:name w:val="Obyčajný text Char1514"/>
    <w:aliases w:val="Obyčajný text Char Char Char Char1515"/>
    <w:basedOn w:val="Predvolenpsmoodseku"/>
    <w:uiPriority w:val="99"/>
    <w:semiHidden/>
    <w:rsid w:val="00A809E7"/>
    <w:rPr>
      <w:rFonts w:ascii="Courier New" w:hAnsi="Courier New" w:cs="Courier New"/>
      <w:lang w:val="x-none" w:eastAsia="cs-CZ"/>
    </w:rPr>
  </w:style>
  <w:style w:type="character" w:customStyle="1" w:styleId="ObyajntextChar1513">
    <w:name w:val="Obyčajný text Char1513"/>
    <w:aliases w:val="Obyčajný text Char Char Char Char1514"/>
    <w:uiPriority w:val="99"/>
    <w:semiHidden/>
    <w:rsid w:val="00A809E7"/>
    <w:rPr>
      <w:rFonts w:ascii="Courier New" w:hAnsi="Courier New"/>
      <w:lang w:val="x-none" w:eastAsia="cs-CZ"/>
    </w:rPr>
  </w:style>
  <w:style w:type="character" w:customStyle="1" w:styleId="ObyajntextChar1512">
    <w:name w:val="Obyčajný text Char1512"/>
    <w:aliases w:val="Obyčajný text Char Char Char Char1513"/>
    <w:uiPriority w:val="99"/>
    <w:semiHidden/>
    <w:rsid w:val="00A809E7"/>
    <w:rPr>
      <w:rFonts w:ascii="Courier New" w:hAnsi="Courier New"/>
      <w:lang w:val="x-none" w:eastAsia="cs-CZ"/>
    </w:rPr>
  </w:style>
  <w:style w:type="character" w:customStyle="1" w:styleId="ObyajntextChar1511">
    <w:name w:val="Obyčajný text Char1511"/>
    <w:aliases w:val="Obyčajný text Char Char Char Char1512"/>
    <w:uiPriority w:val="99"/>
    <w:semiHidden/>
    <w:rsid w:val="00A809E7"/>
    <w:rPr>
      <w:rFonts w:ascii="Courier New" w:hAnsi="Courier New"/>
      <w:lang w:val="x-none" w:eastAsia="cs-CZ"/>
    </w:rPr>
  </w:style>
  <w:style w:type="character" w:customStyle="1" w:styleId="ObyajntextChar1510">
    <w:name w:val="Obyčajný text Char1510"/>
    <w:aliases w:val="Obyčajný text Char Char Char Char1511"/>
    <w:uiPriority w:val="99"/>
    <w:semiHidden/>
    <w:rsid w:val="00A809E7"/>
    <w:rPr>
      <w:rFonts w:ascii="Courier New" w:hAnsi="Courier New"/>
      <w:lang w:val="x-none" w:eastAsia="cs-CZ"/>
    </w:rPr>
  </w:style>
  <w:style w:type="character" w:customStyle="1" w:styleId="ObyajntextChar1509">
    <w:name w:val="Obyčajný text Char1509"/>
    <w:aliases w:val="Obyčajný text Char Char Char Char1510"/>
    <w:uiPriority w:val="99"/>
    <w:semiHidden/>
    <w:rsid w:val="00A809E7"/>
    <w:rPr>
      <w:rFonts w:ascii="Courier New" w:hAnsi="Courier New"/>
      <w:lang w:val="x-none" w:eastAsia="cs-CZ"/>
    </w:rPr>
  </w:style>
  <w:style w:type="character" w:customStyle="1" w:styleId="ObyajntextChar1508">
    <w:name w:val="Obyčajný text Char1508"/>
    <w:aliases w:val="Obyčajný text Char Char Char Char1509"/>
    <w:uiPriority w:val="99"/>
    <w:semiHidden/>
    <w:rsid w:val="00A809E7"/>
    <w:rPr>
      <w:rFonts w:ascii="Courier New" w:hAnsi="Courier New"/>
      <w:lang w:val="x-none" w:eastAsia="cs-CZ"/>
    </w:rPr>
  </w:style>
  <w:style w:type="character" w:customStyle="1" w:styleId="ObyajntextChar1507">
    <w:name w:val="Obyčajný text Char1507"/>
    <w:aliases w:val="Obyčajný text Char Char Char Char1508"/>
    <w:uiPriority w:val="99"/>
    <w:semiHidden/>
    <w:rsid w:val="00A809E7"/>
    <w:rPr>
      <w:rFonts w:ascii="Courier New" w:hAnsi="Courier New"/>
      <w:lang w:val="x-none" w:eastAsia="cs-CZ"/>
    </w:rPr>
  </w:style>
  <w:style w:type="character" w:customStyle="1" w:styleId="ObyajntextChar1506">
    <w:name w:val="Obyčajný text Char1506"/>
    <w:aliases w:val="Obyčajný text Char Char Char Char1507"/>
    <w:uiPriority w:val="99"/>
    <w:semiHidden/>
    <w:rsid w:val="00A809E7"/>
    <w:rPr>
      <w:rFonts w:ascii="Courier New" w:hAnsi="Courier New"/>
      <w:lang w:val="x-none" w:eastAsia="cs-CZ"/>
    </w:rPr>
  </w:style>
  <w:style w:type="character" w:customStyle="1" w:styleId="ObyajntextChar1505">
    <w:name w:val="Obyčajný text Char1505"/>
    <w:aliases w:val="Obyčajný text Char Char Char Char1506"/>
    <w:uiPriority w:val="99"/>
    <w:semiHidden/>
    <w:rsid w:val="00A809E7"/>
    <w:rPr>
      <w:rFonts w:ascii="Courier New" w:hAnsi="Courier New"/>
      <w:lang w:val="x-none" w:eastAsia="cs-CZ"/>
    </w:rPr>
  </w:style>
  <w:style w:type="character" w:customStyle="1" w:styleId="ObyajntextChar1504">
    <w:name w:val="Obyčajný text Char1504"/>
    <w:aliases w:val="Obyčajný text Char Char Char Char1505"/>
    <w:uiPriority w:val="99"/>
    <w:semiHidden/>
    <w:rsid w:val="00A809E7"/>
    <w:rPr>
      <w:rFonts w:ascii="Courier New" w:hAnsi="Courier New"/>
      <w:lang w:val="x-none" w:eastAsia="cs-CZ"/>
    </w:rPr>
  </w:style>
  <w:style w:type="character" w:customStyle="1" w:styleId="ObyajntextChar1503">
    <w:name w:val="Obyčajný text Char1503"/>
    <w:aliases w:val="Obyčajný text Char Char Char Char1504"/>
    <w:uiPriority w:val="99"/>
    <w:semiHidden/>
    <w:rsid w:val="00A809E7"/>
    <w:rPr>
      <w:rFonts w:ascii="Courier New" w:hAnsi="Courier New"/>
      <w:lang w:val="x-none" w:eastAsia="cs-CZ"/>
    </w:rPr>
  </w:style>
  <w:style w:type="character" w:customStyle="1" w:styleId="ObyajntextChar1502">
    <w:name w:val="Obyčajný text Char1502"/>
    <w:aliases w:val="Obyčajný text Char Char Char Char1503"/>
    <w:uiPriority w:val="99"/>
    <w:semiHidden/>
    <w:rsid w:val="00A809E7"/>
    <w:rPr>
      <w:rFonts w:ascii="Courier New" w:hAnsi="Courier New"/>
      <w:lang w:val="x-none" w:eastAsia="cs-CZ"/>
    </w:rPr>
  </w:style>
  <w:style w:type="character" w:customStyle="1" w:styleId="ObyajntextChar1501">
    <w:name w:val="Obyčajný text Char1501"/>
    <w:aliases w:val="Obyčajný text Char Char Char Char1502"/>
    <w:uiPriority w:val="99"/>
    <w:semiHidden/>
    <w:rsid w:val="00A809E7"/>
    <w:rPr>
      <w:rFonts w:ascii="Courier New" w:hAnsi="Courier New"/>
      <w:lang w:val="x-none" w:eastAsia="cs-CZ"/>
    </w:rPr>
  </w:style>
  <w:style w:type="character" w:customStyle="1" w:styleId="ObyajntextChar1500">
    <w:name w:val="Obyčajný text Char1500"/>
    <w:aliases w:val="Obyčajný text Char Char Char Char1501"/>
    <w:uiPriority w:val="99"/>
    <w:semiHidden/>
    <w:rsid w:val="00A809E7"/>
    <w:rPr>
      <w:rFonts w:ascii="Courier New" w:hAnsi="Courier New"/>
      <w:lang w:val="x-none" w:eastAsia="cs-CZ"/>
    </w:rPr>
  </w:style>
  <w:style w:type="character" w:customStyle="1" w:styleId="ObyajntextChar1499">
    <w:name w:val="Obyčajný text Char1499"/>
    <w:aliases w:val="Obyčajný text Char Char Char Char1500"/>
    <w:uiPriority w:val="99"/>
    <w:semiHidden/>
    <w:rsid w:val="00A809E7"/>
    <w:rPr>
      <w:rFonts w:ascii="Courier New" w:hAnsi="Courier New"/>
      <w:lang w:val="x-none" w:eastAsia="cs-CZ"/>
    </w:rPr>
  </w:style>
  <w:style w:type="character" w:customStyle="1" w:styleId="ObyajntextChar1498">
    <w:name w:val="Obyčajný text Char1498"/>
    <w:aliases w:val="Obyčajný text Char Char Char Char1499"/>
    <w:uiPriority w:val="99"/>
    <w:semiHidden/>
    <w:rsid w:val="00A809E7"/>
    <w:rPr>
      <w:rFonts w:ascii="Courier New" w:hAnsi="Courier New"/>
      <w:lang w:val="x-none" w:eastAsia="cs-CZ"/>
    </w:rPr>
  </w:style>
  <w:style w:type="character" w:customStyle="1" w:styleId="ObyajntextChar1497">
    <w:name w:val="Obyčajný text Char1497"/>
    <w:aliases w:val="Obyčajný text Char Char Char Char1498"/>
    <w:uiPriority w:val="99"/>
    <w:semiHidden/>
    <w:rsid w:val="00A809E7"/>
    <w:rPr>
      <w:rFonts w:ascii="Courier New" w:hAnsi="Courier New"/>
      <w:lang w:val="x-none" w:eastAsia="cs-CZ"/>
    </w:rPr>
  </w:style>
  <w:style w:type="character" w:customStyle="1" w:styleId="ObyajntextChar1496">
    <w:name w:val="Obyčajný text Char1496"/>
    <w:aliases w:val="Obyčajný text Char Char Char Char1497"/>
    <w:uiPriority w:val="99"/>
    <w:semiHidden/>
    <w:rsid w:val="00A809E7"/>
    <w:rPr>
      <w:rFonts w:ascii="Courier New" w:hAnsi="Courier New"/>
      <w:lang w:val="x-none" w:eastAsia="cs-CZ"/>
    </w:rPr>
  </w:style>
  <w:style w:type="character" w:customStyle="1" w:styleId="ObyajntextChar1495">
    <w:name w:val="Obyčajný text Char1495"/>
    <w:aliases w:val="Obyčajný text Char Char Char Char1496"/>
    <w:uiPriority w:val="99"/>
    <w:semiHidden/>
    <w:rsid w:val="00A809E7"/>
    <w:rPr>
      <w:rFonts w:ascii="Courier New" w:hAnsi="Courier New"/>
      <w:lang w:val="x-none" w:eastAsia="cs-CZ"/>
    </w:rPr>
  </w:style>
  <w:style w:type="character" w:customStyle="1" w:styleId="ObyajntextChar1494">
    <w:name w:val="Obyčajný text Char1494"/>
    <w:aliases w:val="Obyčajný text Char Char Char Char1495"/>
    <w:uiPriority w:val="99"/>
    <w:semiHidden/>
    <w:rsid w:val="00A809E7"/>
    <w:rPr>
      <w:rFonts w:ascii="Courier New" w:hAnsi="Courier New"/>
      <w:lang w:val="x-none" w:eastAsia="cs-CZ"/>
    </w:rPr>
  </w:style>
  <w:style w:type="character" w:customStyle="1" w:styleId="ObyajntextChar1493">
    <w:name w:val="Obyčajný text Char1493"/>
    <w:aliases w:val="Obyčajný text Char Char Char Char1494"/>
    <w:uiPriority w:val="99"/>
    <w:semiHidden/>
    <w:rsid w:val="00A809E7"/>
    <w:rPr>
      <w:rFonts w:ascii="Courier New" w:hAnsi="Courier New"/>
      <w:lang w:val="x-none" w:eastAsia="cs-CZ"/>
    </w:rPr>
  </w:style>
  <w:style w:type="character" w:customStyle="1" w:styleId="ObyajntextChar1492">
    <w:name w:val="Obyčajný text Char1492"/>
    <w:aliases w:val="Obyčajný text Char Char Char Char1493"/>
    <w:uiPriority w:val="99"/>
    <w:semiHidden/>
    <w:rsid w:val="00A809E7"/>
    <w:rPr>
      <w:rFonts w:ascii="Courier New" w:hAnsi="Courier New"/>
      <w:lang w:val="x-none" w:eastAsia="cs-CZ"/>
    </w:rPr>
  </w:style>
  <w:style w:type="character" w:customStyle="1" w:styleId="ObyajntextChar1491">
    <w:name w:val="Obyčajný text Char1491"/>
    <w:aliases w:val="Obyčajný text Char Char Char Char1492"/>
    <w:uiPriority w:val="99"/>
    <w:semiHidden/>
    <w:rsid w:val="00A809E7"/>
    <w:rPr>
      <w:rFonts w:ascii="Courier New" w:hAnsi="Courier New"/>
      <w:lang w:val="x-none" w:eastAsia="cs-CZ"/>
    </w:rPr>
  </w:style>
  <w:style w:type="character" w:customStyle="1" w:styleId="ObyajntextChar1490">
    <w:name w:val="Obyčajný text Char1490"/>
    <w:aliases w:val="Obyčajný text Char Char Char Char1491"/>
    <w:uiPriority w:val="99"/>
    <w:semiHidden/>
    <w:rsid w:val="00A809E7"/>
    <w:rPr>
      <w:rFonts w:ascii="Courier New" w:hAnsi="Courier New"/>
      <w:lang w:val="x-none" w:eastAsia="cs-CZ"/>
    </w:rPr>
  </w:style>
  <w:style w:type="character" w:customStyle="1" w:styleId="ObyajntextChar1489">
    <w:name w:val="Obyčajný text Char1489"/>
    <w:aliases w:val="Obyčajný text Char Char Char Char1490"/>
    <w:uiPriority w:val="99"/>
    <w:semiHidden/>
    <w:rsid w:val="00A809E7"/>
    <w:rPr>
      <w:rFonts w:ascii="Courier New" w:hAnsi="Courier New"/>
      <w:lang w:val="x-none" w:eastAsia="cs-CZ"/>
    </w:rPr>
  </w:style>
  <w:style w:type="character" w:customStyle="1" w:styleId="ObyajntextChar1488">
    <w:name w:val="Obyčajný text Char1488"/>
    <w:aliases w:val="Obyčajný text Char Char Char Char1489"/>
    <w:uiPriority w:val="99"/>
    <w:semiHidden/>
    <w:rsid w:val="00A809E7"/>
    <w:rPr>
      <w:rFonts w:ascii="Courier New" w:hAnsi="Courier New"/>
      <w:lang w:val="x-none" w:eastAsia="cs-CZ"/>
    </w:rPr>
  </w:style>
  <w:style w:type="character" w:customStyle="1" w:styleId="ObyajntextChar1487">
    <w:name w:val="Obyčajný text Char1487"/>
    <w:aliases w:val="Obyčajný text Char Char Char Char1488"/>
    <w:uiPriority w:val="99"/>
    <w:semiHidden/>
    <w:rsid w:val="00A809E7"/>
    <w:rPr>
      <w:rFonts w:ascii="Courier New" w:hAnsi="Courier New"/>
      <w:lang w:val="x-none" w:eastAsia="cs-CZ"/>
    </w:rPr>
  </w:style>
  <w:style w:type="character" w:customStyle="1" w:styleId="ObyajntextChar1486">
    <w:name w:val="Obyčajný text Char1486"/>
    <w:aliases w:val="Obyčajný text Char Char Char Char1487"/>
    <w:uiPriority w:val="99"/>
    <w:semiHidden/>
    <w:rsid w:val="00A809E7"/>
    <w:rPr>
      <w:rFonts w:ascii="Courier New" w:hAnsi="Courier New"/>
      <w:lang w:val="x-none" w:eastAsia="cs-CZ"/>
    </w:rPr>
  </w:style>
  <w:style w:type="character" w:customStyle="1" w:styleId="ObyajntextChar1485">
    <w:name w:val="Obyčajný text Char1485"/>
    <w:aliases w:val="Obyčajný text Char Char Char Char1486"/>
    <w:uiPriority w:val="99"/>
    <w:semiHidden/>
    <w:rsid w:val="00A809E7"/>
    <w:rPr>
      <w:rFonts w:ascii="Courier New" w:hAnsi="Courier New"/>
      <w:lang w:val="x-none" w:eastAsia="cs-CZ"/>
    </w:rPr>
  </w:style>
  <w:style w:type="character" w:customStyle="1" w:styleId="ObyajntextChar1484">
    <w:name w:val="Obyčajný text Char1484"/>
    <w:aliases w:val="Obyčajný text Char Char Char Char1485"/>
    <w:uiPriority w:val="99"/>
    <w:semiHidden/>
    <w:rsid w:val="00A809E7"/>
    <w:rPr>
      <w:rFonts w:ascii="Courier New" w:hAnsi="Courier New"/>
      <w:lang w:val="x-none" w:eastAsia="cs-CZ"/>
    </w:rPr>
  </w:style>
  <w:style w:type="character" w:customStyle="1" w:styleId="ObyajntextChar1483">
    <w:name w:val="Obyčajný text Char1483"/>
    <w:aliases w:val="Obyčajný text Char Char Char Char1484"/>
    <w:uiPriority w:val="99"/>
    <w:semiHidden/>
    <w:rsid w:val="00A809E7"/>
    <w:rPr>
      <w:rFonts w:ascii="Courier New" w:hAnsi="Courier New"/>
      <w:lang w:val="x-none" w:eastAsia="cs-CZ"/>
    </w:rPr>
  </w:style>
  <w:style w:type="character" w:customStyle="1" w:styleId="ObyajntextChar1482">
    <w:name w:val="Obyčajný text Char1482"/>
    <w:aliases w:val="Obyčajný text Char Char Char Char1483"/>
    <w:uiPriority w:val="99"/>
    <w:semiHidden/>
    <w:rsid w:val="00A809E7"/>
    <w:rPr>
      <w:rFonts w:ascii="Courier New" w:hAnsi="Courier New"/>
      <w:lang w:val="x-none" w:eastAsia="cs-CZ"/>
    </w:rPr>
  </w:style>
  <w:style w:type="character" w:customStyle="1" w:styleId="ObyajntextChar1481">
    <w:name w:val="Obyčajný text Char1481"/>
    <w:aliases w:val="Obyčajný text Char Char Char Char1482"/>
    <w:uiPriority w:val="99"/>
    <w:semiHidden/>
    <w:rsid w:val="00A809E7"/>
    <w:rPr>
      <w:rFonts w:ascii="Courier New" w:hAnsi="Courier New"/>
      <w:lang w:val="x-none" w:eastAsia="cs-CZ"/>
    </w:rPr>
  </w:style>
  <w:style w:type="character" w:customStyle="1" w:styleId="ObyajntextChar1480">
    <w:name w:val="Obyčajný text Char1480"/>
    <w:aliases w:val="Obyčajný text Char Char Char Char1481"/>
    <w:uiPriority w:val="99"/>
    <w:semiHidden/>
    <w:rsid w:val="00A809E7"/>
    <w:rPr>
      <w:rFonts w:ascii="Courier New" w:hAnsi="Courier New"/>
      <w:lang w:val="x-none" w:eastAsia="cs-CZ"/>
    </w:rPr>
  </w:style>
  <w:style w:type="character" w:customStyle="1" w:styleId="ObyajntextChar1479">
    <w:name w:val="Obyčajný text Char1479"/>
    <w:aliases w:val="Obyčajný text Char Char Char Char1480"/>
    <w:uiPriority w:val="99"/>
    <w:semiHidden/>
    <w:rsid w:val="00A809E7"/>
    <w:rPr>
      <w:rFonts w:ascii="Courier New" w:hAnsi="Courier New"/>
      <w:lang w:val="x-none" w:eastAsia="cs-CZ"/>
    </w:rPr>
  </w:style>
  <w:style w:type="character" w:customStyle="1" w:styleId="ObyajntextChar1478">
    <w:name w:val="Obyčajný text Char1478"/>
    <w:aliases w:val="Obyčajný text Char Char Char Char1479"/>
    <w:uiPriority w:val="99"/>
    <w:semiHidden/>
    <w:rsid w:val="00A809E7"/>
    <w:rPr>
      <w:rFonts w:ascii="Courier New" w:hAnsi="Courier New"/>
      <w:lang w:val="x-none" w:eastAsia="cs-CZ"/>
    </w:rPr>
  </w:style>
  <w:style w:type="character" w:customStyle="1" w:styleId="ObyajntextChar1477">
    <w:name w:val="Obyčajný text Char1477"/>
    <w:aliases w:val="Obyčajný text Char Char Char Char1478"/>
    <w:uiPriority w:val="99"/>
    <w:semiHidden/>
    <w:rsid w:val="00A809E7"/>
    <w:rPr>
      <w:rFonts w:ascii="Courier New" w:hAnsi="Courier New"/>
      <w:lang w:val="x-none" w:eastAsia="cs-CZ"/>
    </w:rPr>
  </w:style>
  <w:style w:type="character" w:customStyle="1" w:styleId="ObyajntextChar1476">
    <w:name w:val="Obyčajný text Char1476"/>
    <w:aliases w:val="Obyčajný text Char Char Char Char1477"/>
    <w:uiPriority w:val="99"/>
    <w:semiHidden/>
    <w:rsid w:val="00A809E7"/>
    <w:rPr>
      <w:rFonts w:ascii="Courier New" w:hAnsi="Courier New"/>
      <w:lang w:val="x-none" w:eastAsia="cs-CZ"/>
    </w:rPr>
  </w:style>
  <w:style w:type="character" w:customStyle="1" w:styleId="ObyajntextChar1475">
    <w:name w:val="Obyčajný text Char1475"/>
    <w:aliases w:val="Obyčajný text Char Char Char Char1476"/>
    <w:uiPriority w:val="99"/>
    <w:semiHidden/>
    <w:rsid w:val="00A809E7"/>
    <w:rPr>
      <w:rFonts w:ascii="Courier New" w:hAnsi="Courier New"/>
      <w:lang w:val="x-none" w:eastAsia="cs-CZ"/>
    </w:rPr>
  </w:style>
  <w:style w:type="character" w:customStyle="1" w:styleId="ObyajntextChar1474">
    <w:name w:val="Obyčajný text Char1474"/>
    <w:aliases w:val="Obyčajný text Char Char Char Char1475"/>
    <w:uiPriority w:val="99"/>
    <w:semiHidden/>
    <w:rsid w:val="00A809E7"/>
    <w:rPr>
      <w:rFonts w:ascii="Courier New" w:hAnsi="Courier New"/>
      <w:lang w:val="x-none" w:eastAsia="cs-CZ"/>
    </w:rPr>
  </w:style>
  <w:style w:type="character" w:customStyle="1" w:styleId="ObyajntextChar1473">
    <w:name w:val="Obyčajný text Char1473"/>
    <w:aliases w:val="Obyčajný text Char Char Char Char1474"/>
    <w:uiPriority w:val="99"/>
    <w:semiHidden/>
    <w:rsid w:val="00A809E7"/>
    <w:rPr>
      <w:rFonts w:ascii="Courier New" w:hAnsi="Courier New"/>
      <w:lang w:val="x-none" w:eastAsia="cs-CZ"/>
    </w:rPr>
  </w:style>
  <w:style w:type="character" w:customStyle="1" w:styleId="ObyajntextChar1472">
    <w:name w:val="Obyčajný text Char1472"/>
    <w:aliases w:val="Obyčajný text Char Char Char Char1473"/>
    <w:uiPriority w:val="99"/>
    <w:semiHidden/>
    <w:rsid w:val="00A809E7"/>
    <w:rPr>
      <w:rFonts w:ascii="Courier New" w:hAnsi="Courier New"/>
      <w:lang w:val="x-none" w:eastAsia="cs-CZ"/>
    </w:rPr>
  </w:style>
  <w:style w:type="character" w:customStyle="1" w:styleId="ObyajntextChar1471">
    <w:name w:val="Obyčajný text Char1471"/>
    <w:aliases w:val="Obyčajný text Char Char Char Char1472"/>
    <w:uiPriority w:val="99"/>
    <w:semiHidden/>
    <w:rsid w:val="00A809E7"/>
    <w:rPr>
      <w:rFonts w:ascii="Courier New" w:hAnsi="Courier New"/>
      <w:lang w:val="x-none" w:eastAsia="cs-CZ"/>
    </w:rPr>
  </w:style>
  <w:style w:type="character" w:customStyle="1" w:styleId="ObyajntextChar1470">
    <w:name w:val="Obyčajný text Char1470"/>
    <w:aliases w:val="Obyčajný text Char Char Char Char1471"/>
    <w:uiPriority w:val="99"/>
    <w:semiHidden/>
    <w:rsid w:val="00A809E7"/>
    <w:rPr>
      <w:rFonts w:ascii="Courier New" w:hAnsi="Courier New"/>
      <w:lang w:val="x-none" w:eastAsia="cs-CZ"/>
    </w:rPr>
  </w:style>
  <w:style w:type="character" w:customStyle="1" w:styleId="ObyajntextChar1469">
    <w:name w:val="Obyčajný text Char1469"/>
    <w:aliases w:val="Obyčajný text Char Char Char Char1470"/>
    <w:uiPriority w:val="99"/>
    <w:semiHidden/>
    <w:rsid w:val="00A809E7"/>
    <w:rPr>
      <w:rFonts w:ascii="Courier New" w:hAnsi="Courier New"/>
      <w:lang w:val="x-none" w:eastAsia="cs-CZ"/>
    </w:rPr>
  </w:style>
  <w:style w:type="character" w:customStyle="1" w:styleId="ObyajntextChar1468">
    <w:name w:val="Obyčajný text Char1468"/>
    <w:aliases w:val="Obyčajný text Char Char Char Char1469"/>
    <w:uiPriority w:val="99"/>
    <w:semiHidden/>
    <w:rsid w:val="00A809E7"/>
    <w:rPr>
      <w:rFonts w:ascii="Courier New" w:hAnsi="Courier New"/>
      <w:lang w:val="x-none" w:eastAsia="cs-CZ"/>
    </w:rPr>
  </w:style>
  <w:style w:type="character" w:customStyle="1" w:styleId="ObyajntextChar1467">
    <w:name w:val="Obyčajný text Char1467"/>
    <w:aliases w:val="Obyčajný text Char Char Char Char1468"/>
    <w:uiPriority w:val="99"/>
    <w:semiHidden/>
    <w:rsid w:val="00A809E7"/>
    <w:rPr>
      <w:rFonts w:ascii="Courier New" w:hAnsi="Courier New"/>
      <w:lang w:val="x-none" w:eastAsia="cs-CZ"/>
    </w:rPr>
  </w:style>
  <w:style w:type="character" w:customStyle="1" w:styleId="ObyajntextChar1466">
    <w:name w:val="Obyčajný text Char1466"/>
    <w:aliases w:val="Obyčajný text Char Char Char Char1467"/>
    <w:uiPriority w:val="99"/>
    <w:semiHidden/>
    <w:rsid w:val="00A809E7"/>
    <w:rPr>
      <w:rFonts w:ascii="Courier New" w:hAnsi="Courier New"/>
      <w:lang w:val="x-none" w:eastAsia="cs-CZ"/>
    </w:rPr>
  </w:style>
  <w:style w:type="character" w:customStyle="1" w:styleId="ObyajntextChar1465">
    <w:name w:val="Obyčajný text Char1465"/>
    <w:aliases w:val="Obyčajný text Char Char Char Char1466"/>
    <w:uiPriority w:val="99"/>
    <w:semiHidden/>
    <w:rsid w:val="00A809E7"/>
    <w:rPr>
      <w:rFonts w:ascii="Courier New" w:hAnsi="Courier New"/>
      <w:lang w:val="x-none" w:eastAsia="cs-CZ"/>
    </w:rPr>
  </w:style>
  <w:style w:type="character" w:customStyle="1" w:styleId="ObyajntextChar1464">
    <w:name w:val="Obyčajný text Char1464"/>
    <w:aliases w:val="Obyčajný text Char Char Char Char1465"/>
    <w:uiPriority w:val="99"/>
    <w:semiHidden/>
    <w:rsid w:val="00A809E7"/>
    <w:rPr>
      <w:rFonts w:ascii="Courier New" w:hAnsi="Courier New"/>
      <w:lang w:val="x-none" w:eastAsia="cs-CZ"/>
    </w:rPr>
  </w:style>
  <w:style w:type="character" w:customStyle="1" w:styleId="ObyajntextChar1463">
    <w:name w:val="Obyčajný text Char1463"/>
    <w:aliases w:val="Obyčajný text Char Char Char Char1464"/>
    <w:uiPriority w:val="99"/>
    <w:semiHidden/>
    <w:rsid w:val="00A809E7"/>
    <w:rPr>
      <w:rFonts w:ascii="Courier New" w:hAnsi="Courier New"/>
      <w:lang w:val="x-none" w:eastAsia="cs-CZ"/>
    </w:rPr>
  </w:style>
  <w:style w:type="character" w:customStyle="1" w:styleId="ObyajntextChar1462">
    <w:name w:val="Obyčajný text Char1462"/>
    <w:aliases w:val="Obyčajný text Char Char Char Char1463"/>
    <w:uiPriority w:val="99"/>
    <w:semiHidden/>
    <w:rsid w:val="00A809E7"/>
    <w:rPr>
      <w:rFonts w:ascii="Courier New" w:hAnsi="Courier New"/>
      <w:lang w:val="x-none" w:eastAsia="cs-CZ"/>
    </w:rPr>
  </w:style>
  <w:style w:type="character" w:customStyle="1" w:styleId="ObyajntextChar1461">
    <w:name w:val="Obyčajný text Char1461"/>
    <w:aliases w:val="Obyčajný text Char Char Char Char1462"/>
    <w:uiPriority w:val="99"/>
    <w:semiHidden/>
    <w:rsid w:val="00A809E7"/>
    <w:rPr>
      <w:rFonts w:ascii="Courier New" w:hAnsi="Courier New"/>
      <w:lang w:val="x-none" w:eastAsia="cs-CZ"/>
    </w:rPr>
  </w:style>
  <w:style w:type="character" w:customStyle="1" w:styleId="ObyajntextChar1460">
    <w:name w:val="Obyčajný text Char1460"/>
    <w:aliases w:val="Obyčajný text Char Char Char Char1461"/>
    <w:uiPriority w:val="99"/>
    <w:semiHidden/>
    <w:rsid w:val="00A809E7"/>
    <w:rPr>
      <w:rFonts w:ascii="Courier New" w:hAnsi="Courier New"/>
      <w:lang w:val="x-none" w:eastAsia="cs-CZ"/>
    </w:rPr>
  </w:style>
  <w:style w:type="character" w:customStyle="1" w:styleId="ObyajntextChar1459">
    <w:name w:val="Obyčajný text Char1459"/>
    <w:aliases w:val="Obyčajný text Char Char Char Char1460"/>
    <w:uiPriority w:val="99"/>
    <w:semiHidden/>
    <w:rsid w:val="00A809E7"/>
    <w:rPr>
      <w:rFonts w:ascii="Courier New" w:hAnsi="Courier New"/>
      <w:lang w:val="x-none" w:eastAsia="cs-CZ"/>
    </w:rPr>
  </w:style>
  <w:style w:type="character" w:customStyle="1" w:styleId="ObyajntextChar1458">
    <w:name w:val="Obyčajný text Char1458"/>
    <w:aliases w:val="Obyčajný text Char Char Char Char1459"/>
    <w:uiPriority w:val="99"/>
    <w:semiHidden/>
    <w:rsid w:val="00A809E7"/>
    <w:rPr>
      <w:rFonts w:ascii="Courier New" w:hAnsi="Courier New"/>
      <w:lang w:val="x-none" w:eastAsia="cs-CZ"/>
    </w:rPr>
  </w:style>
  <w:style w:type="character" w:customStyle="1" w:styleId="ObyajntextChar1457">
    <w:name w:val="Obyčajný text Char1457"/>
    <w:aliases w:val="Obyčajný text Char Char Char Char1458"/>
    <w:uiPriority w:val="99"/>
    <w:semiHidden/>
    <w:rsid w:val="00A809E7"/>
    <w:rPr>
      <w:rFonts w:ascii="Courier New" w:hAnsi="Courier New"/>
      <w:lang w:val="x-none" w:eastAsia="cs-CZ"/>
    </w:rPr>
  </w:style>
  <w:style w:type="character" w:customStyle="1" w:styleId="ObyajntextChar1456">
    <w:name w:val="Obyčajný text Char1456"/>
    <w:aliases w:val="Obyčajný text Char Char Char Char1457"/>
    <w:uiPriority w:val="99"/>
    <w:semiHidden/>
    <w:rsid w:val="00A809E7"/>
    <w:rPr>
      <w:rFonts w:ascii="Courier New" w:hAnsi="Courier New"/>
      <w:lang w:val="x-none" w:eastAsia="cs-CZ"/>
    </w:rPr>
  </w:style>
  <w:style w:type="character" w:customStyle="1" w:styleId="ObyajntextChar1455">
    <w:name w:val="Obyčajný text Char1455"/>
    <w:aliases w:val="Obyčajný text Char Char Char Char1456"/>
    <w:uiPriority w:val="99"/>
    <w:semiHidden/>
    <w:rsid w:val="00A809E7"/>
    <w:rPr>
      <w:rFonts w:ascii="Courier New" w:hAnsi="Courier New"/>
      <w:lang w:val="x-none" w:eastAsia="cs-CZ"/>
    </w:rPr>
  </w:style>
  <w:style w:type="character" w:customStyle="1" w:styleId="ObyajntextChar1454">
    <w:name w:val="Obyčajný text Char1454"/>
    <w:aliases w:val="Obyčajný text Char Char Char Char1455"/>
    <w:uiPriority w:val="99"/>
    <w:semiHidden/>
    <w:rsid w:val="00A809E7"/>
    <w:rPr>
      <w:rFonts w:ascii="Courier New" w:hAnsi="Courier New"/>
      <w:lang w:val="x-none" w:eastAsia="cs-CZ"/>
    </w:rPr>
  </w:style>
  <w:style w:type="character" w:customStyle="1" w:styleId="ObyajntextChar1453">
    <w:name w:val="Obyčajný text Char1453"/>
    <w:aliases w:val="Obyčajný text Char Char Char Char1454"/>
    <w:uiPriority w:val="99"/>
    <w:semiHidden/>
    <w:rsid w:val="00A809E7"/>
    <w:rPr>
      <w:rFonts w:ascii="Courier New" w:hAnsi="Courier New"/>
      <w:lang w:val="x-none" w:eastAsia="cs-CZ"/>
    </w:rPr>
  </w:style>
  <w:style w:type="character" w:customStyle="1" w:styleId="ObyajntextChar1452">
    <w:name w:val="Obyčajný text Char1452"/>
    <w:aliases w:val="Obyčajný text Char Char Char Char1453"/>
    <w:uiPriority w:val="99"/>
    <w:semiHidden/>
    <w:rsid w:val="00A809E7"/>
    <w:rPr>
      <w:rFonts w:ascii="Courier New" w:hAnsi="Courier New"/>
      <w:lang w:val="x-none" w:eastAsia="cs-CZ"/>
    </w:rPr>
  </w:style>
  <w:style w:type="character" w:customStyle="1" w:styleId="ObyajntextChar1451">
    <w:name w:val="Obyčajný text Char1451"/>
    <w:aliases w:val="Obyčajný text Char Char Char Char1452"/>
    <w:uiPriority w:val="99"/>
    <w:semiHidden/>
    <w:rsid w:val="00A809E7"/>
    <w:rPr>
      <w:rFonts w:ascii="Courier New" w:hAnsi="Courier New"/>
      <w:lang w:val="x-none" w:eastAsia="cs-CZ"/>
    </w:rPr>
  </w:style>
  <w:style w:type="character" w:customStyle="1" w:styleId="ObyajntextChar1450">
    <w:name w:val="Obyčajný text Char1450"/>
    <w:aliases w:val="Obyčajný text Char Char Char Char1451"/>
    <w:uiPriority w:val="99"/>
    <w:semiHidden/>
    <w:rsid w:val="00A809E7"/>
    <w:rPr>
      <w:rFonts w:ascii="Courier New" w:hAnsi="Courier New"/>
      <w:lang w:val="x-none" w:eastAsia="cs-CZ"/>
    </w:rPr>
  </w:style>
  <w:style w:type="character" w:customStyle="1" w:styleId="ObyajntextChar1449">
    <w:name w:val="Obyčajný text Char1449"/>
    <w:aliases w:val="Obyčajný text Char Char Char Char1450"/>
    <w:uiPriority w:val="99"/>
    <w:semiHidden/>
    <w:rsid w:val="00A809E7"/>
    <w:rPr>
      <w:rFonts w:ascii="Courier New" w:hAnsi="Courier New"/>
      <w:lang w:val="x-none" w:eastAsia="cs-CZ"/>
    </w:rPr>
  </w:style>
  <w:style w:type="character" w:customStyle="1" w:styleId="ObyajntextChar1448">
    <w:name w:val="Obyčajný text Char1448"/>
    <w:aliases w:val="Obyčajný text Char Char Char Char1449"/>
    <w:uiPriority w:val="99"/>
    <w:semiHidden/>
    <w:rsid w:val="00A809E7"/>
    <w:rPr>
      <w:rFonts w:ascii="Courier New" w:hAnsi="Courier New"/>
      <w:lang w:val="x-none" w:eastAsia="cs-CZ"/>
    </w:rPr>
  </w:style>
  <w:style w:type="character" w:customStyle="1" w:styleId="ObyajntextChar1447">
    <w:name w:val="Obyčajný text Char1447"/>
    <w:aliases w:val="Obyčajný text Char Char Char Char1448"/>
    <w:uiPriority w:val="99"/>
    <w:semiHidden/>
    <w:rsid w:val="00A809E7"/>
    <w:rPr>
      <w:rFonts w:ascii="Courier New" w:hAnsi="Courier New"/>
      <w:lang w:val="x-none" w:eastAsia="cs-CZ"/>
    </w:rPr>
  </w:style>
  <w:style w:type="character" w:customStyle="1" w:styleId="ObyajntextChar1446">
    <w:name w:val="Obyčajný text Char1446"/>
    <w:aliases w:val="Obyčajný text Char Char Char Char1447"/>
    <w:uiPriority w:val="99"/>
    <w:semiHidden/>
    <w:rsid w:val="00A809E7"/>
    <w:rPr>
      <w:rFonts w:ascii="Courier New" w:hAnsi="Courier New"/>
      <w:lang w:val="x-none" w:eastAsia="cs-CZ"/>
    </w:rPr>
  </w:style>
  <w:style w:type="character" w:customStyle="1" w:styleId="ObyajntextChar1445">
    <w:name w:val="Obyčajný text Char1445"/>
    <w:aliases w:val="Obyčajný text Char Char Char Char1446"/>
    <w:uiPriority w:val="99"/>
    <w:semiHidden/>
    <w:rsid w:val="00A809E7"/>
    <w:rPr>
      <w:rFonts w:ascii="Courier New" w:hAnsi="Courier New"/>
      <w:lang w:val="x-none" w:eastAsia="cs-CZ"/>
    </w:rPr>
  </w:style>
  <w:style w:type="character" w:customStyle="1" w:styleId="ObyajntextChar1444">
    <w:name w:val="Obyčajný text Char1444"/>
    <w:aliases w:val="Obyčajný text Char Char Char Char1445"/>
    <w:uiPriority w:val="99"/>
    <w:semiHidden/>
    <w:rsid w:val="00A809E7"/>
    <w:rPr>
      <w:rFonts w:ascii="Courier New" w:hAnsi="Courier New"/>
      <w:lang w:val="x-none" w:eastAsia="cs-CZ"/>
    </w:rPr>
  </w:style>
  <w:style w:type="character" w:customStyle="1" w:styleId="ObyajntextChar1443">
    <w:name w:val="Obyčajný text Char1443"/>
    <w:aliases w:val="Obyčajný text Char Char Char Char1444"/>
    <w:uiPriority w:val="99"/>
    <w:semiHidden/>
    <w:rsid w:val="00A809E7"/>
    <w:rPr>
      <w:rFonts w:ascii="Courier New" w:hAnsi="Courier New"/>
      <w:lang w:val="x-none" w:eastAsia="cs-CZ"/>
    </w:rPr>
  </w:style>
  <w:style w:type="character" w:customStyle="1" w:styleId="ObyajntextChar1442">
    <w:name w:val="Obyčajný text Char1442"/>
    <w:aliases w:val="Obyčajný text Char Char Char Char1443"/>
    <w:uiPriority w:val="99"/>
    <w:semiHidden/>
    <w:rsid w:val="00A809E7"/>
    <w:rPr>
      <w:rFonts w:ascii="Courier New" w:hAnsi="Courier New"/>
      <w:lang w:val="x-none" w:eastAsia="cs-CZ"/>
    </w:rPr>
  </w:style>
  <w:style w:type="character" w:customStyle="1" w:styleId="ObyajntextChar1441">
    <w:name w:val="Obyčajný text Char1441"/>
    <w:aliases w:val="Obyčajný text Char Char Char Char1442"/>
    <w:uiPriority w:val="99"/>
    <w:semiHidden/>
    <w:rsid w:val="00A809E7"/>
    <w:rPr>
      <w:rFonts w:ascii="Courier New" w:hAnsi="Courier New"/>
      <w:lang w:val="x-none" w:eastAsia="cs-CZ"/>
    </w:rPr>
  </w:style>
  <w:style w:type="character" w:customStyle="1" w:styleId="ObyajntextChar1440">
    <w:name w:val="Obyčajný text Char1440"/>
    <w:aliases w:val="Obyčajný text Char Char Char Char1441"/>
    <w:uiPriority w:val="99"/>
    <w:semiHidden/>
    <w:rsid w:val="00A809E7"/>
    <w:rPr>
      <w:rFonts w:ascii="Courier New" w:hAnsi="Courier New"/>
      <w:lang w:val="x-none" w:eastAsia="cs-CZ"/>
    </w:rPr>
  </w:style>
  <w:style w:type="character" w:customStyle="1" w:styleId="ObyajntextChar1439">
    <w:name w:val="Obyčajný text Char1439"/>
    <w:aliases w:val="Obyčajný text Char Char Char Char1440"/>
    <w:uiPriority w:val="99"/>
    <w:semiHidden/>
    <w:rsid w:val="00A809E7"/>
    <w:rPr>
      <w:rFonts w:ascii="Courier New" w:hAnsi="Courier New"/>
      <w:lang w:val="x-none" w:eastAsia="cs-CZ"/>
    </w:rPr>
  </w:style>
  <w:style w:type="character" w:customStyle="1" w:styleId="ObyajntextChar1438">
    <w:name w:val="Obyčajný text Char1438"/>
    <w:aliases w:val="Obyčajný text Char Char Char Char1439"/>
    <w:uiPriority w:val="99"/>
    <w:semiHidden/>
    <w:rsid w:val="00A809E7"/>
    <w:rPr>
      <w:rFonts w:ascii="Courier New" w:hAnsi="Courier New"/>
      <w:lang w:val="x-none" w:eastAsia="cs-CZ"/>
    </w:rPr>
  </w:style>
  <w:style w:type="character" w:customStyle="1" w:styleId="ObyajntextChar1437">
    <w:name w:val="Obyčajný text Char1437"/>
    <w:aliases w:val="Obyčajný text Char Char Char Char1438"/>
    <w:uiPriority w:val="99"/>
    <w:semiHidden/>
    <w:rsid w:val="00A809E7"/>
    <w:rPr>
      <w:rFonts w:ascii="Courier New" w:hAnsi="Courier New"/>
      <w:lang w:val="x-none" w:eastAsia="cs-CZ"/>
    </w:rPr>
  </w:style>
  <w:style w:type="character" w:customStyle="1" w:styleId="ObyajntextChar1436">
    <w:name w:val="Obyčajný text Char1436"/>
    <w:aliases w:val="Obyčajný text Char Char Char Char1437"/>
    <w:uiPriority w:val="99"/>
    <w:semiHidden/>
    <w:rsid w:val="00A809E7"/>
    <w:rPr>
      <w:rFonts w:ascii="Courier New" w:hAnsi="Courier New"/>
      <w:lang w:val="x-none" w:eastAsia="cs-CZ"/>
    </w:rPr>
  </w:style>
  <w:style w:type="character" w:customStyle="1" w:styleId="ObyajntextChar1435">
    <w:name w:val="Obyčajný text Char1435"/>
    <w:aliases w:val="Obyčajný text Char Char Char Char1436"/>
    <w:uiPriority w:val="99"/>
    <w:semiHidden/>
    <w:rsid w:val="00A809E7"/>
    <w:rPr>
      <w:rFonts w:ascii="Courier New" w:hAnsi="Courier New"/>
      <w:lang w:val="x-none" w:eastAsia="cs-CZ"/>
    </w:rPr>
  </w:style>
  <w:style w:type="character" w:customStyle="1" w:styleId="ObyajntextChar1434">
    <w:name w:val="Obyčajný text Char1434"/>
    <w:aliases w:val="Obyčajný text Char Char Char Char1435"/>
    <w:uiPriority w:val="99"/>
    <w:semiHidden/>
    <w:rsid w:val="00A809E7"/>
    <w:rPr>
      <w:rFonts w:ascii="Courier New" w:hAnsi="Courier New"/>
      <w:lang w:val="x-none" w:eastAsia="cs-CZ"/>
    </w:rPr>
  </w:style>
  <w:style w:type="character" w:customStyle="1" w:styleId="ObyajntextChar1433">
    <w:name w:val="Obyčajný text Char1433"/>
    <w:aliases w:val="Obyčajný text Char Char Char Char1434"/>
    <w:uiPriority w:val="99"/>
    <w:semiHidden/>
    <w:rsid w:val="00A809E7"/>
    <w:rPr>
      <w:rFonts w:ascii="Courier New" w:hAnsi="Courier New"/>
      <w:lang w:val="x-none" w:eastAsia="cs-CZ"/>
    </w:rPr>
  </w:style>
  <w:style w:type="character" w:customStyle="1" w:styleId="ObyajntextChar1432">
    <w:name w:val="Obyčajný text Char1432"/>
    <w:aliases w:val="Obyčajný text Char Char Char Char1433"/>
    <w:uiPriority w:val="99"/>
    <w:semiHidden/>
    <w:rsid w:val="00A809E7"/>
    <w:rPr>
      <w:rFonts w:ascii="Courier New" w:hAnsi="Courier New"/>
      <w:lang w:val="x-none" w:eastAsia="cs-CZ"/>
    </w:rPr>
  </w:style>
  <w:style w:type="character" w:customStyle="1" w:styleId="ObyajntextChar1431">
    <w:name w:val="Obyčajný text Char1431"/>
    <w:aliases w:val="Obyčajný text Char Char Char Char1432"/>
    <w:uiPriority w:val="99"/>
    <w:semiHidden/>
    <w:rsid w:val="00A809E7"/>
    <w:rPr>
      <w:rFonts w:ascii="Courier New" w:hAnsi="Courier New"/>
      <w:lang w:val="x-none" w:eastAsia="cs-CZ"/>
    </w:rPr>
  </w:style>
  <w:style w:type="character" w:customStyle="1" w:styleId="ObyajntextChar1430">
    <w:name w:val="Obyčajný text Char1430"/>
    <w:aliases w:val="Obyčajný text Char Char Char Char1431"/>
    <w:uiPriority w:val="99"/>
    <w:semiHidden/>
    <w:rsid w:val="00A809E7"/>
    <w:rPr>
      <w:rFonts w:ascii="Courier New" w:hAnsi="Courier New"/>
      <w:lang w:val="x-none" w:eastAsia="cs-CZ"/>
    </w:rPr>
  </w:style>
  <w:style w:type="character" w:customStyle="1" w:styleId="ObyajntextChar1429">
    <w:name w:val="Obyčajný text Char1429"/>
    <w:aliases w:val="Obyčajný text Char Char Char Char1430"/>
    <w:uiPriority w:val="99"/>
    <w:semiHidden/>
    <w:rsid w:val="00A809E7"/>
    <w:rPr>
      <w:rFonts w:ascii="Courier New" w:hAnsi="Courier New"/>
      <w:lang w:val="x-none" w:eastAsia="cs-CZ"/>
    </w:rPr>
  </w:style>
  <w:style w:type="character" w:customStyle="1" w:styleId="ObyajntextChar1428">
    <w:name w:val="Obyčajný text Char1428"/>
    <w:aliases w:val="Obyčajný text Char Char Char Char1429"/>
    <w:uiPriority w:val="99"/>
    <w:semiHidden/>
    <w:rsid w:val="00A809E7"/>
    <w:rPr>
      <w:rFonts w:ascii="Courier New" w:hAnsi="Courier New"/>
      <w:lang w:val="x-none" w:eastAsia="cs-CZ"/>
    </w:rPr>
  </w:style>
  <w:style w:type="character" w:customStyle="1" w:styleId="ObyajntextChar1427">
    <w:name w:val="Obyčajný text Char1427"/>
    <w:aliases w:val="Obyčajný text Char Char Char Char1428"/>
    <w:uiPriority w:val="99"/>
    <w:semiHidden/>
    <w:rsid w:val="00A809E7"/>
    <w:rPr>
      <w:rFonts w:ascii="Courier New" w:hAnsi="Courier New"/>
      <w:lang w:val="x-none" w:eastAsia="cs-CZ"/>
    </w:rPr>
  </w:style>
  <w:style w:type="character" w:customStyle="1" w:styleId="ObyajntextChar1426">
    <w:name w:val="Obyčajný text Char1426"/>
    <w:aliases w:val="Obyčajný text Char Char Char Char1427"/>
    <w:uiPriority w:val="99"/>
    <w:semiHidden/>
    <w:rsid w:val="00A809E7"/>
    <w:rPr>
      <w:rFonts w:ascii="Courier New" w:hAnsi="Courier New"/>
      <w:lang w:val="x-none" w:eastAsia="cs-CZ"/>
    </w:rPr>
  </w:style>
  <w:style w:type="character" w:customStyle="1" w:styleId="ObyajntextChar1425">
    <w:name w:val="Obyčajný text Char1425"/>
    <w:aliases w:val="Obyčajný text Char Char Char Char1426"/>
    <w:uiPriority w:val="99"/>
    <w:semiHidden/>
    <w:rsid w:val="00A809E7"/>
    <w:rPr>
      <w:rFonts w:ascii="Courier New" w:hAnsi="Courier New"/>
      <w:lang w:val="x-none" w:eastAsia="cs-CZ"/>
    </w:rPr>
  </w:style>
  <w:style w:type="character" w:customStyle="1" w:styleId="ObyajntextChar1424">
    <w:name w:val="Obyčajný text Char1424"/>
    <w:aliases w:val="Obyčajný text Char Char Char Char1425"/>
    <w:uiPriority w:val="99"/>
    <w:semiHidden/>
    <w:rsid w:val="00A809E7"/>
    <w:rPr>
      <w:rFonts w:ascii="Courier New" w:hAnsi="Courier New"/>
      <w:lang w:val="x-none" w:eastAsia="cs-CZ"/>
    </w:rPr>
  </w:style>
  <w:style w:type="character" w:customStyle="1" w:styleId="ObyajntextChar1423">
    <w:name w:val="Obyčajný text Char1423"/>
    <w:aliases w:val="Obyčajný text Char Char Char Char1424"/>
    <w:uiPriority w:val="99"/>
    <w:semiHidden/>
    <w:rsid w:val="00A809E7"/>
    <w:rPr>
      <w:rFonts w:ascii="Courier New" w:hAnsi="Courier New"/>
      <w:lang w:val="x-none" w:eastAsia="cs-CZ"/>
    </w:rPr>
  </w:style>
  <w:style w:type="character" w:customStyle="1" w:styleId="ObyajntextChar1422">
    <w:name w:val="Obyčajný text Char1422"/>
    <w:aliases w:val="Obyčajný text Char Char Char Char1423"/>
    <w:uiPriority w:val="99"/>
    <w:semiHidden/>
    <w:rsid w:val="00A809E7"/>
    <w:rPr>
      <w:rFonts w:ascii="Courier New" w:hAnsi="Courier New"/>
      <w:lang w:val="x-none" w:eastAsia="cs-CZ"/>
    </w:rPr>
  </w:style>
  <w:style w:type="character" w:customStyle="1" w:styleId="ObyajntextChar1421">
    <w:name w:val="Obyčajný text Char1421"/>
    <w:aliases w:val="Obyčajný text Char Char Char Char1422"/>
    <w:uiPriority w:val="99"/>
    <w:semiHidden/>
    <w:rsid w:val="00A809E7"/>
    <w:rPr>
      <w:rFonts w:ascii="Courier New" w:hAnsi="Courier New"/>
      <w:lang w:val="x-none" w:eastAsia="cs-CZ"/>
    </w:rPr>
  </w:style>
  <w:style w:type="character" w:customStyle="1" w:styleId="ObyajntextChar1420">
    <w:name w:val="Obyčajný text Char1420"/>
    <w:aliases w:val="Obyčajný text Char Char Char Char1421"/>
    <w:uiPriority w:val="99"/>
    <w:semiHidden/>
    <w:rsid w:val="00A809E7"/>
    <w:rPr>
      <w:rFonts w:ascii="Courier New" w:hAnsi="Courier New"/>
      <w:lang w:val="x-none" w:eastAsia="cs-CZ"/>
    </w:rPr>
  </w:style>
  <w:style w:type="character" w:customStyle="1" w:styleId="ObyajntextChar1419">
    <w:name w:val="Obyčajný text Char1419"/>
    <w:aliases w:val="Obyčajný text Char Char Char Char1420"/>
    <w:uiPriority w:val="99"/>
    <w:semiHidden/>
    <w:rsid w:val="00A809E7"/>
    <w:rPr>
      <w:rFonts w:ascii="Courier New" w:hAnsi="Courier New"/>
      <w:lang w:val="x-none" w:eastAsia="cs-CZ"/>
    </w:rPr>
  </w:style>
  <w:style w:type="character" w:customStyle="1" w:styleId="ObyajntextChar1418">
    <w:name w:val="Obyčajný text Char1418"/>
    <w:aliases w:val="Obyčajný text Char Char Char Char1419"/>
    <w:uiPriority w:val="99"/>
    <w:semiHidden/>
    <w:rsid w:val="00A809E7"/>
    <w:rPr>
      <w:rFonts w:ascii="Courier New" w:hAnsi="Courier New"/>
      <w:lang w:val="x-none" w:eastAsia="cs-CZ"/>
    </w:rPr>
  </w:style>
  <w:style w:type="character" w:customStyle="1" w:styleId="ObyajntextChar1417">
    <w:name w:val="Obyčajný text Char1417"/>
    <w:aliases w:val="Obyčajný text Char Char Char Char1418"/>
    <w:uiPriority w:val="99"/>
    <w:semiHidden/>
    <w:rsid w:val="00A809E7"/>
    <w:rPr>
      <w:rFonts w:ascii="Courier New" w:hAnsi="Courier New"/>
      <w:lang w:val="x-none" w:eastAsia="cs-CZ"/>
    </w:rPr>
  </w:style>
  <w:style w:type="character" w:customStyle="1" w:styleId="ObyajntextChar1416">
    <w:name w:val="Obyčajný text Char1416"/>
    <w:aliases w:val="Obyčajný text Char Char Char Char1417"/>
    <w:uiPriority w:val="99"/>
    <w:semiHidden/>
    <w:rsid w:val="00A809E7"/>
    <w:rPr>
      <w:rFonts w:ascii="Courier New" w:hAnsi="Courier New"/>
      <w:lang w:val="x-none" w:eastAsia="cs-CZ"/>
    </w:rPr>
  </w:style>
  <w:style w:type="character" w:customStyle="1" w:styleId="ObyajntextChar1415">
    <w:name w:val="Obyčajný text Char1415"/>
    <w:aliases w:val="Obyčajný text Char Char Char Char1416"/>
    <w:uiPriority w:val="99"/>
    <w:semiHidden/>
    <w:rsid w:val="00A809E7"/>
    <w:rPr>
      <w:rFonts w:ascii="Courier New" w:hAnsi="Courier New"/>
      <w:lang w:val="x-none" w:eastAsia="cs-CZ"/>
    </w:rPr>
  </w:style>
  <w:style w:type="character" w:customStyle="1" w:styleId="ObyajntextChar1414">
    <w:name w:val="Obyčajný text Char1414"/>
    <w:aliases w:val="Obyčajný text Char Char Char Char1415"/>
    <w:uiPriority w:val="99"/>
    <w:semiHidden/>
    <w:rsid w:val="00A809E7"/>
    <w:rPr>
      <w:rFonts w:ascii="Courier New" w:hAnsi="Courier New"/>
      <w:lang w:val="x-none" w:eastAsia="cs-CZ"/>
    </w:rPr>
  </w:style>
  <w:style w:type="character" w:customStyle="1" w:styleId="ObyajntextChar1413">
    <w:name w:val="Obyčajný text Char1413"/>
    <w:aliases w:val="Obyčajný text Char Char Char Char1414"/>
    <w:uiPriority w:val="99"/>
    <w:semiHidden/>
    <w:rsid w:val="00A809E7"/>
    <w:rPr>
      <w:rFonts w:ascii="Courier New" w:hAnsi="Courier New"/>
      <w:lang w:val="x-none" w:eastAsia="cs-CZ"/>
    </w:rPr>
  </w:style>
  <w:style w:type="character" w:customStyle="1" w:styleId="ObyajntextChar1412">
    <w:name w:val="Obyčajný text Char1412"/>
    <w:aliases w:val="Obyčajný text Char Char Char Char1413"/>
    <w:uiPriority w:val="99"/>
    <w:semiHidden/>
    <w:rsid w:val="00A809E7"/>
    <w:rPr>
      <w:rFonts w:ascii="Courier New" w:hAnsi="Courier New"/>
      <w:lang w:val="x-none" w:eastAsia="cs-CZ"/>
    </w:rPr>
  </w:style>
  <w:style w:type="character" w:customStyle="1" w:styleId="ObyajntextChar1411">
    <w:name w:val="Obyčajný text Char1411"/>
    <w:aliases w:val="Obyčajný text Char Char Char Char1412"/>
    <w:uiPriority w:val="99"/>
    <w:semiHidden/>
    <w:rsid w:val="00A809E7"/>
    <w:rPr>
      <w:rFonts w:ascii="Courier New" w:hAnsi="Courier New"/>
      <w:lang w:val="x-none" w:eastAsia="cs-CZ"/>
    </w:rPr>
  </w:style>
  <w:style w:type="character" w:customStyle="1" w:styleId="ObyajntextChar1410">
    <w:name w:val="Obyčajný text Char1410"/>
    <w:aliases w:val="Obyčajný text Char Char Char Char1411"/>
    <w:uiPriority w:val="99"/>
    <w:semiHidden/>
    <w:rsid w:val="00A809E7"/>
    <w:rPr>
      <w:rFonts w:ascii="Courier New" w:hAnsi="Courier New"/>
      <w:lang w:val="x-none" w:eastAsia="cs-CZ"/>
    </w:rPr>
  </w:style>
  <w:style w:type="character" w:customStyle="1" w:styleId="ObyajntextChar1409">
    <w:name w:val="Obyčajný text Char1409"/>
    <w:aliases w:val="Obyčajný text Char Char Char Char1410"/>
    <w:uiPriority w:val="99"/>
    <w:semiHidden/>
    <w:rsid w:val="00A809E7"/>
    <w:rPr>
      <w:rFonts w:ascii="Courier New" w:hAnsi="Courier New"/>
      <w:lang w:val="x-none" w:eastAsia="cs-CZ"/>
    </w:rPr>
  </w:style>
  <w:style w:type="character" w:customStyle="1" w:styleId="ObyajntextChar1408">
    <w:name w:val="Obyčajný text Char1408"/>
    <w:aliases w:val="Obyčajný text Char Char Char Char1409"/>
    <w:uiPriority w:val="99"/>
    <w:semiHidden/>
    <w:rsid w:val="00A809E7"/>
    <w:rPr>
      <w:rFonts w:ascii="Courier New" w:hAnsi="Courier New"/>
      <w:lang w:val="x-none" w:eastAsia="cs-CZ"/>
    </w:rPr>
  </w:style>
  <w:style w:type="character" w:customStyle="1" w:styleId="ObyajntextChar1407">
    <w:name w:val="Obyčajný text Char1407"/>
    <w:aliases w:val="Obyčajný text Char Char Char Char1408"/>
    <w:uiPriority w:val="99"/>
    <w:semiHidden/>
    <w:rsid w:val="00A809E7"/>
    <w:rPr>
      <w:rFonts w:ascii="Courier New" w:hAnsi="Courier New"/>
      <w:lang w:val="x-none" w:eastAsia="cs-CZ"/>
    </w:rPr>
  </w:style>
  <w:style w:type="character" w:customStyle="1" w:styleId="ObyajntextChar1406">
    <w:name w:val="Obyčajný text Char1406"/>
    <w:aliases w:val="Obyčajný text Char Char Char Char1407"/>
    <w:uiPriority w:val="99"/>
    <w:semiHidden/>
    <w:rsid w:val="00A809E7"/>
    <w:rPr>
      <w:rFonts w:ascii="Courier New" w:hAnsi="Courier New"/>
      <w:lang w:val="x-none" w:eastAsia="cs-CZ"/>
    </w:rPr>
  </w:style>
  <w:style w:type="character" w:customStyle="1" w:styleId="ObyajntextChar1405">
    <w:name w:val="Obyčajný text Char1405"/>
    <w:aliases w:val="Obyčajný text Char Char Char Char1406"/>
    <w:uiPriority w:val="99"/>
    <w:semiHidden/>
    <w:rsid w:val="00A809E7"/>
    <w:rPr>
      <w:rFonts w:ascii="Courier New" w:hAnsi="Courier New"/>
      <w:lang w:val="x-none" w:eastAsia="cs-CZ"/>
    </w:rPr>
  </w:style>
  <w:style w:type="character" w:customStyle="1" w:styleId="ObyajntextChar1404">
    <w:name w:val="Obyčajný text Char1404"/>
    <w:aliases w:val="Obyčajný text Char Char Char Char1405"/>
    <w:uiPriority w:val="99"/>
    <w:semiHidden/>
    <w:rsid w:val="00A809E7"/>
    <w:rPr>
      <w:rFonts w:ascii="Courier New" w:hAnsi="Courier New"/>
      <w:lang w:val="x-none" w:eastAsia="cs-CZ"/>
    </w:rPr>
  </w:style>
  <w:style w:type="character" w:customStyle="1" w:styleId="ObyajntextChar1403">
    <w:name w:val="Obyčajný text Char1403"/>
    <w:aliases w:val="Obyčajný text Char Char Char Char1404"/>
    <w:uiPriority w:val="99"/>
    <w:semiHidden/>
    <w:rsid w:val="00A809E7"/>
    <w:rPr>
      <w:rFonts w:ascii="Courier New" w:hAnsi="Courier New"/>
      <w:lang w:val="x-none" w:eastAsia="cs-CZ"/>
    </w:rPr>
  </w:style>
  <w:style w:type="character" w:customStyle="1" w:styleId="ObyajntextChar1402">
    <w:name w:val="Obyčajný text Char1402"/>
    <w:aliases w:val="Obyčajný text Char Char Char Char1403"/>
    <w:uiPriority w:val="99"/>
    <w:semiHidden/>
    <w:rsid w:val="00A809E7"/>
    <w:rPr>
      <w:rFonts w:ascii="Courier New" w:hAnsi="Courier New"/>
      <w:lang w:val="x-none" w:eastAsia="cs-CZ"/>
    </w:rPr>
  </w:style>
  <w:style w:type="character" w:customStyle="1" w:styleId="ObyajntextChar1401">
    <w:name w:val="Obyčajný text Char1401"/>
    <w:aliases w:val="Obyčajný text Char Char Char Char1402"/>
    <w:uiPriority w:val="99"/>
    <w:semiHidden/>
    <w:rsid w:val="00A809E7"/>
    <w:rPr>
      <w:rFonts w:ascii="Courier New" w:hAnsi="Courier New"/>
      <w:lang w:val="x-none" w:eastAsia="cs-CZ"/>
    </w:rPr>
  </w:style>
  <w:style w:type="character" w:customStyle="1" w:styleId="ObyajntextChar1400">
    <w:name w:val="Obyčajný text Char1400"/>
    <w:aliases w:val="Obyčajný text Char Char Char Char1401"/>
    <w:uiPriority w:val="99"/>
    <w:semiHidden/>
    <w:rsid w:val="00A809E7"/>
    <w:rPr>
      <w:rFonts w:ascii="Courier New" w:hAnsi="Courier New"/>
      <w:lang w:val="x-none" w:eastAsia="cs-CZ"/>
    </w:rPr>
  </w:style>
  <w:style w:type="character" w:customStyle="1" w:styleId="ObyajntextChar1399">
    <w:name w:val="Obyčajný text Char1399"/>
    <w:aliases w:val="Obyčajný text Char Char Char Char1400"/>
    <w:uiPriority w:val="99"/>
    <w:semiHidden/>
    <w:rsid w:val="00A809E7"/>
    <w:rPr>
      <w:rFonts w:ascii="Courier New" w:hAnsi="Courier New"/>
      <w:lang w:val="x-none" w:eastAsia="cs-CZ"/>
    </w:rPr>
  </w:style>
  <w:style w:type="character" w:customStyle="1" w:styleId="ObyajntextChar1398">
    <w:name w:val="Obyčajný text Char1398"/>
    <w:aliases w:val="Obyčajný text Char Char Char Char1399"/>
    <w:uiPriority w:val="99"/>
    <w:semiHidden/>
    <w:rsid w:val="00A809E7"/>
    <w:rPr>
      <w:rFonts w:ascii="Courier New" w:hAnsi="Courier New"/>
      <w:lang w:val="x-none" w:eastAsia="cs-CZ"/>
    </w:rPr>
  </w:style>
  <w:style w:type="character" w:customStyle="1" w:styleId="ObyajntextChar1397">
    <w:name w:val="Obyčajný text Char1397"/>
    <w:aliases w:val="Obyčajný text Char Char Char Char1398"/>
    <w:uiPriority w:val="99"/>
    <w:semiHidden/>
    <w:rsid w:val="00A809E7"/>
    <w:rPr>
      <w:rFonts w:ascii="Courier New" w:hAnsi="Courier New"/>
      <w:lang w:val="x-none" w:eastAsia="cs-CZ"/>
    </w:rPr>
  </w:style>
  <w:style w:type="character" w:customStyle="1" w:styleId="ObyajntextChar1396">
    <w:name w:val="Obyčajný text Char1396"/>
    <w:aliases w:val="Obyčajný text Char Char Char Char1397"/>
    <w:uiPriority w:val="99"/>
    <w:semiHidden/>
    <w:rsid w:val="00A809E7"/>
    <w:rPr>
      <w:rFonts w:ascii="Courier New" w:hAnsi="Courier New"/>
      <w:lang w:val="x-none" w:eastAsia="cs-CZ"/>
    </w:rPr>
  </w:style>
  <w:style w:type="character" w:customStyle="1" w:styleId="ObyajntextChar1395">
    <w:name w:val="Obyčajný text Char1395"/>
    <w:aliases w:val="Obyčajný text Char Char Char Char1396"/>
    <w:uiPriority w:val="99"/>
    <w:semiHidden/>
    <w:rsid w:val="00A809E7"/>
    <w:rPr>
      <w:rFonts w:ascii="Courier New" w:hAnsi="Courier New"/>
      <w:lang w:val="x-none" w:eastAsia="cs-CZ"/>
    </w:rPr>
  </w:style>
  <w:style w:type="character" w:customStyle="1" w:styleId="ObyajntextChar1394">
    <w:name w:val="Obyčajný text Char1394"/>
    <w:aliases w:val="Obyčajný text Char Char Char Char1395"/>
    <w:uiPriority w:val="99"/>
    <w:semiHidden/>
    <w:rsid w:val="00A809E7"/>
    <w:rPr>
      <w:rFonts w:ascii="Courier New" w:hAnsi="Courier New"/>
      <w:lang w:val="x-none" w:eastAsia="cs-CZ"/>
    </w:rPr>
  </w:style>
  <w:style w:type="character" w:customStyle="1" w:styleId="ObyajntextChar1393">
    <w:name w:val="Obyčajný text Char1393"/>
    <w:aliases w:val="Obyčajný text Char Char Char Char1394"/>
    <w:uiPriority w:val="99"/>
    <w:semiHidden/>
    <w:rsid w:val="00A809E7"/>
    <w:rPr>
      <w:rFonts w:ascii="Courier New" w:hAnsi="Courier New"/>
      <w:lang w:val="x-none" w:eastAsia="cs-CZ"/>
    </w:rPr>
  </w:style>
  <w:style w:type="character" w:customStyle="1" w:styleId="ObyajntextChar1392">
    <w:name w:val="Obyčajný text Char1392"/>
    <w:aliases w:val="Obyčajný text Char Char Char Char1393"/>
    <w:uiPriority w:val="99"/>
    <w:semiHidden/>
    <w:rsid w:val="00A809E7"/>
    <w:rPr>
      <w:rFonts w:ascii="Courier New" w:hAnsi="Courier New"/>
      <w:lang w:val="x-none" w:eastAsia="cs-CZ"/>
    </w:rPr>
  </w:style>
  <w:style w:type="character" w:customStyle="1" w:styleId="ObyajntextChar1391">
    <w:name w:val="Obyčajný text Char1391"/>
    <w:aliases w:val="Obyčajný text Char Char Char Char1392"/>
    <w:uiPriority w:val="99"/>
    <w:semiHidden/>
    <w:rsid w:val="00A809E7"/>
    <w:rPr>
      <w:rFonts w:ascii="Courier New" w:hAnsi="Courier New"/>
      <w:lang w:val="x-none" w:eastAsia="cs-CZ"/>
    </w:rPr>
  </w:style>
  <w:style w:type="character" w:customStyle="1" w:styleId="ObyajntextChar1390">
    <w:name w:val="Obyčajný text Char1390"/>
    <w:aliases w:val="Obyčajný text Char Char Char Char1391"/>
    <w:uiPriority w:val="99"/>
    <w:semiHidden/>
    <w:rsid w:val="00A809E7"/>
    <w:rPr>
      <w:rFonts w:ascii="Courier New" w:hAnsi="Courier New"/>
      <w:lang w:val="x-none" w:eastAsia="cs-CZ"/>
    </w:rPr>
  </w:style>
  <w:style w:type="character" w:customStyle="1" w:styleId="ObyajntextChar1389">
    <w:name w:val="Obyčajný text Char1389"/>
    <w:aliases w:val="Obyčajný text Char Char Char Char1390"/>
    <w:uiPriority w:val="99"/>
    <w:semiHidden/>
    <w:rsid w:val="00A809E7"/>
    <w:rPr>
      <w:rFonts w:ascii="Courier New" w:hAnsi="Courier New"/>
      <w:lang w:val="x-none" w:eastAsia="cs-CZ"/>
    </w:rPr>
  </w:style>
  <w:style w:type="character" w:customStyle="1" w:styleId="ObyajntextChar1388">
    <w:name w:val="Obyčajný text Char1388"/>
    <w:aliases w:val="Obyčajný text Char Char Char Char1389"/>
    <w:uiPriority w:val="99"/>
    <w:semiHidden/>
    <w:rsid w:val="00A809E7"/>
    <w:rPr>
      <w:rFonts w:ascii="Courier New" w:hAnsi="Courier New"/>
      <w:lang w:val="x-none" w:eastAsia="cs-CZ"/>
    </w:rPr>
  </w:style>
  <w:style w:type="character" w:customStyle="1" w:styleId="ObyajntextChar1387">
    <w:name w:val="Obyčajný text Char1387"/>
    <w:aliases w:val="Obyčajný text Char Char Char Char1388"/>
    <w:uiPriority w:val="99"/>
    <w:semiHidden/>
    <w:rsid w:val="00A809E7"/>
    <w:rPr>
      <w:rFonts w:ascii="Courier New" w:hAnsi="Courier New"/>
      <w:lang w:val="x-none" w:eastAsia="cs-CZ"/>
    </w:rPr>
  </w:style>
  <w:style w:type="character" w:customStyle="1" w:styleId="ObyajntextChar1386">
    <w:name w:val="Obyčajný text Char1386"/>
    <w:aliases w:val="Obyčajný text Char Char Char Char1387"/>
    <w:uiPriority w:val="99"/>
    <w:semiHidden/>
    <w:rsid w:val="00A809E7"/>
    <w:rPr>
      <w:rFonts w:ascii="Courier New" w:hAnsi="Courier New"/>
      <w:lang w:val="x-none" w:eastAsia="cs-CZ"/>
    </w:rPr>
  </w:style>
  <w:style w:type="character" w:customStyle="1" w:styleId="ObyajntextChar1385">
    <w:name w:val="Obyčajný text Char1385"/>
    <w:aliases w:val="Obyčajný text Char Char Char Char1386"/>
    <w:uiPriority w:val="99"/>
    <w:semiHidden/>
    <w:rsid w:val="00A809E7"/>
    <w:rPr>
      <w:rFonts w:ascii="Courier New" w:hAnsi="Courier New"/>
      <w:lang w:val="x-none" w:eastAsia="cs-CZ"/>
    </w:rPr>
  </w:style>
  <w:style w:type="character" w:customStyle="1" w:styleId="ObyajntextChar1384">
    <w:name w:val="Obyčajný text Char1384"/>
    <w:aliases w:val="Obyčajný text Char Char Char Char1385"/>
    <w:uiPriority w:val="99"/>
    <w:semiHidden/>
    <w:rsid w:val="00A809E7"/>
    <w:rPr>
      <w:rFonts w:ascii="Courier New" w:hAnsi="Courier New"/>
      <w:lang w:val="x-none" w:eastAsia="cs-CZ"/>
    </w:rPr>
  </w:style>
  <w:style w:type="character" w:customStyle="1" w:styleId="ObyajntextChar1383">
    <w:name w:val="Obyčajný text Char1383"/>
    <w:aliases w:val="Obyčajný text Char Char Char Char1384"/>
    <w:uiPriority w:val="99"/>
    <w:semiHidden/>
    <w:rsid w:val="00A809E7"/>
    <w:rPr>
      <w:rFonts w:ascii="Courier New" w:hAnsi="Courier New"/>
      <w:lang w:val="x-none" w:eastAsia="cs-CZ"/>
    </w:rPr>
  </w:style>
  <w:style w:type="character" w:customStyle="1" w:styleId="ObyajntextChar1382">
    <w:name w:val="Obyčajný text Char1382"/>
    <w:aliases w:val="Obyčajný text Char Char Char Char1383"/>
    <w:uiPriority w:val="99"/>
    <w:semiHidden/>
    <w:rsid w:val="00A809E7"/>
    <w:rPr>
      <w:rFonts w:ascii="Courier New" w:hAnsi="Courier New"/>
      <w:lang w:val="x-none" w:eastAsia="cs-CZ"/>
    </w:rPr>
  </w:style>
  <w:style w:type="character" w:customStyle="1" w:styleId="ObyajntextChar1381">
    <w:name w:val="Obyčajný text Char1381"/>
    <w:aliases w:val="Obyčajný text Char Char Char Char1382"/>
    <w:uiPriority w:val="99"/>
    <w:semiHidden/>
    <w:rsid w:val="00A809E7"/>
    <w:rPr>
      <w:rFonts w:ascii="Courier New" w:hAnsi="Courier New"/>
      <w:lang w:val="x-none" w:eastAsia="cs-CZ"/>
    </w:rPr>
  </w:style>
  <w:style w:type="character" w:customStyle="1" w:styleId="ObyajntextChar1380">
    <w:name w:val="Obyčajný text Char1380"/>
    <w:aliases w:val="Obyčajný text Char Char Char Char1381"/>
    <w:uiPriority w:val="99"/>
    <w:semiHidden/>
    <w:rsid w:val="00A809E7"/>
    <w:rPr>
      <w:rFonts w:ascii="Courier New" w:hAnsi="Courier New"/>
      <w:lang w:val="x-none" w:eastAsia="cs-CZ"/>
    </w:rPr>
  </w:style>
  <w:style w:type="character" w:customStyle="1" w:styleId="ObyajntextChar1379">
    <w:name w:val="Obyčajný text Char1379"/>
    <w:aliases w:val="Obyčajný text Char Char Char Char1380"/>
    <w:uiPriority w:val="99"/>
    <w:semiHidden/>
    <w:rsid w:val="00A809E7"/>
    <w:rPr>
      <w:rFonts w:ascii="Courier New" w:hAnsi="Courier New"/>
      <w:lang w:val="x-none" w:eastAsia="cs-CZ"/>
    </w:rPr>
  </w:style>
  <w:style w:type="character" w:customStyle="1" w:styleId="ObyajntextChar1378">
    <w:name w:val="Obyčajný text Char1378"/>
    <w:aliases w:val="Obyčajný text Char Char Char Char1379"/>
    <w:uiPriority w:val="99"/>
    <w:semiHidden/>
    <w:rsid w:val="00A809E7"/>
    <w:rPr>
      <w:rFonts w:ascii="Courier New" w:hAnsi="Courier New"/>
      <w:lang w:val="x-none" w:eastAsia="cs-CZ"/>
    </w:rPr>
  </w:style>
  <w:style w:type="character" w:customStyle="1" w:styleId="ObyajntextChar1377">
    <w:name w:val="Obyčajný text Char1377"/>
    <w:aliases w:val="Obyčajný text Char Char Char Char1378"/>
    <w:uiPriority w:val="99"/>
    <w:semiHidden/>
    <w:rsid w:val="00A809E7"/>
    <w:rPr>
      <w:rFonts w:ascii="Courier New" w:hAnsi="Courier New"/>
      <w:lang w:val="x-none" w:eastAsia="cs-CZ"/>
    </w:rPr>
  </w:style>
  <w:style w:type="character" w:customStyle="1" w:styleId="ObyajntextChar1376">
    <w:name w:val="Obyčajný text Char1376"/>
    <w:aliases w:val="Obyčajný text Char Char Char Char1377"/>
    <w:uiPriority w:val="99"/>
    <w:semiHidden/>
    <w:rsid w:val="00A809E7"/>
    <w:rPr>
      <w:rFonts w:ascii="Courier New" w:hAnsi="Courier New"/>
      <w:lang w:val="x-none" w:eastAsia="cs-CZ"/>
    </w:rPr>
  </w:style>
  <w:style w:type="character" w:customStyle="1" w:styleId="ObyajntextChar1375">
    <w:name w:val="Obyčajný text Char1375"/>
    <w:aliases w:val="Obyčajný text Char Char Char Char1376"/>
    <w:uiPriority w:val="99"/>
    <w:semiHidden/>
    <w:rsid w:val="00A809E7"/>
    <w:rPr>
      <w:rFonts w:ascii="Courier New" w:hAnsi="Courier New"/>
      <w:lang w:val="x-none" w:eastAsia="cs-CZ"/>
    </w:rPr>
  </w:style>
  <w:style w:type="character" w:customStyle="1" w:styleId="ObyajntextChar1374">
    <w:name w:val="Obyčajný text Char1374"/>
    <w:aliases w:val="Obyčajný text Char Char Char Char1375"/>
    <w:uiPriority w:val="99"/>
    <w:semiHidden/>
    <w:rsid w:val="00A809E7"/>
    <w:rPr>
      <w:rFonts w:ascii="Courier New" w:hAnsi="Courier New"/>
      <w:lang w:val="x-none" w:eastAsia="cs-CZ"/>
    </w:rPr>
  </w:style>
  <w:style w:type="character" w:customStyle="1" w:styleId="ObyajntextChar1373">
    <w:name w:val="Obyčajný text Char1373"/>
    <w:aliases w:val="Obyčajný text Char Char Char Char1374"/>
    <w:uiPriority w:val="99"/>
    <w:semiHidden/>
    <w:rsid w:val="00A809E7"/>
    <w:rPr>
      <w:rFonts w:ascii="Courier New" w:hAnsi="Courier New"/>
      <w:lang w:val="x-none" w:eastAsia="cs-CZ"/>
    </w:rPr>
  </w:style>
  <w:style w:type="character" w:customStyle="1" w:styleId="ObyajntextChar1372">
    <w:name w:val="Obyčajný text Char1372"/>
    <w:aliases w:val="Obyčajný text Char Char Char Char1373"/>
    <w:uiPriority w:val="99"/>
    <w:semiHidden/>
    <w:rsid w:val="00A809E7"/>
    <w:rPr>
      <w:rFonts w:ascii="Courier New" w:hAnsi="Courier New"/>
      <w:lang w:val="x-none" w:eastAsia="cs-CZ"/>
    </w:rPr>
  </w:style>
  <w:style w:type="character" w:customStyle="1" w:styleId="ObyajntextChar1371">
    <w:name w:val="Obyčajný text Char1371"/>
    <w:aliases w:val="Obyčajný text Char Char Char Char1372"/>
    <w:uiPriority w:val="99"/>
    <w:semiHidden/>
    <w:rsid w:val="00A809E7"/>
    <w:rPr>
      <w:rFonts w:ascii="Courier New" w:hAnsi="Courier New"/>
      <w:lang w:val="x-none" w:eastAsia="cs-CZ"/>
    </w:rPr>
  </w:style>
  <w:style w:type="character" w:customStyle="1" w:styleId="ObyajntextChar1370">
    <w:name w:val="Obyčajný text Char1370"/>
    <w:aliases w:val="Obyčajný text Char Char Char Char1371"/>
    <w:uiPriority w:val="99"/>
    <w:semiHidden/>
    <w:rsid w:val="00A809E7"/>
    <w:rPr>
      <w:rFonts w:ascii="Courier New" w:hAnsi="Courier New"/>
      <w:lang w:val="x-none" w:eastAsia="cs-CZ"/>
    </w:rPr>
  </w:style>
  <w:style w:type="character" w:customStyle="1" w:styleId="ObyajntextChar1369">
    <w:name w:val="Obyčajný text Char1369"/>
    <w:aliases w:val="Obyčajný text Char Char Char Char1370"/>
    <w:uiPriority w:val="99"/>
    <w:semiHidden/>
    <w:rsid w:val="00A809E7"/>
    <w:rPr>
      <w:rFonts w:ascii="Courier New" w:hAnsi="Courier New"/>
      <w:lang w:val="x-none" w:eastAsia="cs-CZ"/>
    </w:rPr>
  </w:style>
  <w:style w:type="character" w:customStyle="1" w:styleId="ObyajntextChar1368">
    <w:name w:val="Obyčajný text Char1368"/>
    <w:aliases w:val="Obyčajný text Char Char Char Char1369"/>
    <w:uiPriority w:val="99"/>
    <w:semiHidden/>
    <w:rsid w:val="00A809E7"/>
    <w:rPr>
      <w:rFonts w:ascii="Courier New" w:hAnsi="Courier New"/>
      <w:lang w:val="x-none" w:eastAsia="cs-CZ"/>
    </w:rPr>
  </w:style>
  <w:style w:type="character" w:customStyle="1" w:styleId="ObyajntextChar1367">
    <w:name w:val="Obyčajný text Char1367"/>
    <w:aliases w:val="Obyčajný text Char Char Char Char1368"/>
    <w:uiPriority w:val="99"/>
    <w:semiHidden/>
    <w:rsid w:val="00A809E7"/>
    <w:rPr>
      <w:rFonts w:ascii="Courier New" w:hAnsi="Courier New"/>
      <w:lang w:val="x-none" w:eastAsia="cs-CZ"/>
    </w:rPr>
  </w:style>
  <w:style w:type="character" w:customStyle="1" w:styleId="ObyajntextChar1366">
    <w:name w:val="Obyčajný text Char1366"/>
    <w:aliases w:val="Obyčajný text Char Char Char Char1367"/>
    <w:uiPriority w:val="99"/>
    <w:semiHidden/>
    <w:rsid w:val="00A809E7"/>
    <w:rPr>
      <w:rFonts w:ascii="Courier New" w:hAnsi="Courier New"/>
      <w:lang w:val="x-none" w:eastAsia="cs-CZ"/>
    </w:rPr>
  </w:style>
  <w:style w:type="character" w:customStyle="1" w:styleId="ObyajntextChar1365">
    <w:name w:val="Obyčajný text Char1365"/>
    <w:aliases w:val="Obyčajný text Char Char Char Char1366"/>
    <w:uiPriority w:val="99"/>
    <w:semiHidden/>
    <w:rsid w:val="00A809E7"/>
    <w:rPr>
      <w:rFonts w:ascii="Courier New" w:hAnsi="Courier New"/>
      <w:lang w:val="x-none" w:eastAsia="cs-CZ"/>
    </w:rPr>
  </w:style>
  <w:style w:type="character" w:customStyle="1" w:styleId="ObyajntextChar1364">
    <w:name w:val="Obyčajný text Char1364"/>
    <w:aliases w:val="Obyčajný text Char Char Char Char1365"/>
    <w:uiPriority w:val="99"/>
    <w:semiHidden/>
    <w:rsid w:val="00A809E7"/>
    <w:rPr>
      <w:rFonts w:ascii="Courier New" w:hAnsi="Courier New"/>
      <w:lang w:val="x-none" w:eastAsia="cs-CZ"/>
    </w:rPr>
  </w:style>
  <w:style w:type="character" w:customStyle="1" w:styleId="ObyajntextChar1363">
    <w:name w:val="Obyčajný text Char1363"/>
    <w:aliases w:val="Obyčajný text Char Char Char Char1364"/>
    <w:uiPriority w:val="99"/>
    <w:semiHidden/>
    <w:rsid w:val="00A809E7"/>
    <w:rPr>
      <w:rFonts w:ascii="Courier New" w:hAnsi="Courier New"/>
      <w:lang w:val="x-none" w:eastAsia="cs-CZ"/>
    </w:rPr>
  </w:style>
  <w:style w:type="character" w:customStyle="1" w:styleId="ObyajntextChar1362">
    <w:name w:val="Obyčajný text Char1362"/>
    <w:aliases w:val="Obyčajný text Char Char Char Char1363"/>
    <w:uiPriority w:val="99"/>
    <w:semiHidden/>
    <w:rsid w:val="00A809E7"/>
    <w:rPr>
      <w:rFonts w:ascii="Courier New" w:hAnsi="Courier New"/>
      <w:lang w:val="x-none" w:eastAsia="cs-CZ"/>
    </w:rPr>
  </w:style>
  <w:style w:type="character" w:customStyle="1" w:styleId="ObyajntextChar1361">
    <w:name w:val="Obyčajný text Char1361"/>
    <w:aliases w:val="Obyčajný text Char Char Char Char1362"/>
    <w:uiPriority w:val="99"/>
    <w:semiHidden/>
    <w:rsid w:val="00A809E7"/>
    <w:rPr>
      <w:rFonts w:ascii="Courier New" w:hAnsi="Courier New"/>
      <w:lang w:val="x-none" w:eastAsia="cs-CZ"/>
    </w:rPr>
  </w:style>
  <w:style w:type="character" w:customStyle="1" w:styleId="ObyajntextChar1360">
    <w:name w:val="Obyčajný text Char1360"/>
    <w:aliases w:val="Obyčajný text Char Char Char Char1361"/>
    <w:uiPriority w:val="99"/>
    <w:semiHidden/>
    <w:rsid w:val="00A809E7"/>
    <w:rPr>
      <w:rFonts w:ascii="Courier New" w:hAnsi="Courier New"/>
      <w:lang w:val="x-none" w:eastAsia="cs-CZ"/>
    </w:rPr>
  </w:style>
  <w:style w:type="character" w:customStyle="1" w:styleId="ObyajntextChar1359">
    <w:name w:val="Obyčajný text Char1359"/>
    <w:aliases w:val="Obyčajný text Char Char Char Char1360"/>
    <w:uiPriority w:val="99"/>
    <w:semiHidden/>
    <w:rsid w:val="00A809E7"/>
    <w:rPr>
      <w:rFonts w:ascii="Courier New" w:hAnsi="Courier New"/>
      <w:lang w:val="x-none" w:eastAsia="cs-CZ"/>
    </w:rPr>
  </w:style>
  <w:style w:type="character" w:customStyle="1" w:styleId="ObyajntextChar1358">
    <w:name w:val="Obyčajný text Char1358"/>
    <w:aliases w:val="Obyčajný text Char Char Char Char1359"/>
    <w:uiPriority w:val="99"/>
    <w:semiHidden/>
    <w:rsid w:val="00A809E7"/>
    <w:rPr>
      <w:rFonts w:ascii="Courier New" w:hAnsi="Courier New"/>
      <w:lang w:val="x-none" w:eastAsia="cs-CZ"/>
    </w:rPr>
  </w:style>
  <w:style w:type="character" w:customStyle="1" w:styleId="ObyajntextChar1357">
    <w:name w:val="Obyčajný text Char1357"/>
    <w:aliases w:val="Obyčajný text Char Char Char Char1358"/>
    <w:uiPriority w:val="99"/>
    <w:semiHidden/>
    <w:rsid w:val="00A809E7"/>
    <w:rPr>
      <w:rFonts w:ascii="Courier New" w:hAnsi="Courier New"/>
      <w:lang w:val="x-none" w:eastAsia="cs-CZ"/>
    </w:rPr>
  </w:style>
  <w:style w:type="character" w:customStyle="1" w:styleId="ObyajntextChar1356">
    <w:name w:val="Obyčajný text Char1356"/>
    <w:aliases w:val="Obyčajný text Char Char Char Char1357"/>
    <w:uiPriority w:val="99"/>
    <w:semiHidden/>
    <w:rsid w:val="00A809E7"/>
    <w:rPr>
      <w:rFonts w:ascii="Courier New" w:hAnsi="Courier New"/>
      <w:lang w:val="x-none" w:eastAsia="cs-CZ"/>
    </w:rPr>
  </w:style>
  <w:style w:type="character" w:customStyle="1" w:styleId="ObyajntextChar1355">
    <w:name w:val="Obyčajný text Char1355"/>
    <w:aliases w:val="Obyčajný text Char Char Char Char1356"/>
    <w:uiPriority w:val="99"/>
    <w:semiHidden/>
    <w:rsid w:val="00A809E7"/>
    <w:rPr>
      <w:rFonts w:ascii="Courier New" w:hAnsi="Courier New"/>
      <w:lang w:val="x-none" w:eastAsia="cs-CZ"/>
    </w:rPr>
  </w:style>
  <w:style w:type="character" w:customStyle="1" w:styleId="ObyajntextChar1354">
    <w:name w:val="Obyčajný text Char1354"/>
    <w:aliases w:val="Obyčajný text Char Char Char Char1355"/>
    <w:uiPriority w:val="99"/>
    <w:semiHidden/>
    <w:rsid w:val="00A809E7"/>
    <w:rPr>
      <w:rFonts w:ascii="Courier New" w:hAnsi="Courier New"/>
      <w:lang w:val="x-none" w:eastAsia="cs-CZ"/>
    </w:rPr>
  </w:style>
  <w:style w:type="character" w:customStyle="1" w:styleId="ObyajntextChar1353">
    <w:name w:val="Obyčajný text Char1353"/>
    <w:aliases w:val="Obyčajný text Char Char Char Char1354"/>
    <w:uiPriority w:val="99"/>
    <w:semiHidden/>
    <w:rsid w:val="00A809E7"/>
    <w:rPr>
      <w:rFonts w:ascii="Courier New" w:hAnsi="Courier New"/>
      <w:lang w:val="x-none" w:eastAsia="cs-CZ"/>
    </w:rPr>
  </w:style>
  <w:style w:type="character" w:customStyle="1" w:styleId="ObyajntextChar1352">
    <w:name w:val="Obyčajný text Char1352"/>
    <w:aliases w:val="Obyčajný text Char Char Char Char1353"/>
    <w:uiPriority w:val="99"/>
    <w:semiHidden/>
    <w:rsid w:val="00A809E7"/>
    <w:rPr>
      <w:rFonts w:ascii="Courier New" w:hAnsi="Courier New"/>
      <w:lang w:val="x-none" w:eastAsia="cs-CZ"/>
    </w:rPr>
  </w:style>
  <w:style w:type="character" w:customStyle="1" w:styleId="ObyajntextChar1351">
    <w:name w:val="Obyčajný text Char1351"/>
    <w:aliases w:val="Obyčajný text Char Char Char Char1352"/>
    <w:uiPriority w:val="99"/>
    <w:semiHidden/>
    <w:rsid w:val="00A809E7"/>
    <w:rPr>
      <w:rFonts w:ascii="Courier New" w:hAnsi="Courier New"/>
      <w:lang w:val="x-none" w:eastAsia="cs-CZ"/>
    </w:rPr>
  </w:style>
  <w:style w:type="character" w:customStyle="1" w:styleId="ObyajntextChar1350">
    <w:name w:val="Obyčajný text Char1350"/>
    <w:aliases w:val="Obyčajný text Char Char Char Char1351"/>
    <w:uiPriority w:val="99"/>
    <w:semiHidden/>
    <w:rsid w:val="00A809E7"/>
    <w:rPr>
      <w:rFonts w:ascii="Courier New" w:hAnsi="Courier New"/>
      <w:lang w:val="x-none" w:eastAsia="cs-CZ"/>
    </w:rPr>
  </w:style>
  <w:style w:type="character" w:customStyle="1" w:styleId="ObyajntextChar1349">
    <w:name w:val="Obyčajný text Char1349"/>
    <w:aliases w:val="Obyčajný text Char Char Char Char1350"/>
    <w:uiPriority w:val="99"/>
    <w:semiHidden/>
    <w:rsid w:val="00A809E7"/>
    <w:rPr>
      <w:rFonts w:ascii="Courier New" w:hAnsi="Courier New"/>
      <w:lang w:val="x-none" w:eastAsia="cs-CZ"/>
    </w:rPr>
  </w:style>
  <w:style w:type="character" w:customStyle="1" w:styleId="ObyajntextChar1348">
    <w:name w:val="Obyčajný text Char1348"/>
    <w:aliases w:val="Obyčajný text Char Char Char Char1349"/>
    <w:uiPriority w:val="99"/>
    <w:semiHidden/>
    <w:rsid w:val="00A809E7"/>
    <w:rPr>
      <w:rFonts w:ascii="Courier New" w:hAnsi="Courier New"/>
      <w:lang w:val="x-none" w:eastAsia="cs-CZ"/>
    </w:rPr>
  </w:style>
  <w:style w:type="character" w:customStyle="1" w:styleId="ObyajntextChar1347">
    <w:name w:val="Obyčajný text Char1347"/>
    <w:aliases w:val="Obyčajný text Char Char Char Char1348"/>
    <w:uiPriority w:val="99"/>
    <w:semiHidden/>
    <w:rsid w:val="00A809E7"/>
    <w:rPr>
      <w:rFonts w:ascii="Courier New" w:hAnsi="Courier New"/>
      <w:lang w:val="x-none" w:eastAsia="cs-CZ"/>
    </w:rPr>
  </w:style>
  <w:style w:type="character" w:customStyle="1" w:styleId="ObyajntextChar1346">
    <w:name w:val="Obyčajný text Char1346"/>
    <w:aliases w:val="Obyčajný text Char Char Char Char1347"/>
    <w:uiPriority w:val="99"/>
    <w:semiHidden/>
    <w:rsid w:val="00A809E7"/>
    <w:rPr>
      <w:rFonts w:ascii="Courier New" w:hAnsi="Courier New"/>
      <w:lang w:val="x-none" w:eastAsia="cs-CZ"/>
    </w:rPr>
  </w:style>
  <w:style w:type="character" w:customStyle="1" w:styleId="ObyajntextChar1345">
    <w:name w:val="Obyčajný text Char1345"/>
    <w:aliases w:val="Obyčajný text Char Char Char Char1346"/>
    <w:uiPriority w:val="99"/>
    <w:semiHidden/>
    <w:rsid w:val="00A809E7"/>
    <w:rPr>
      <w:rFonts w:ascii="Courier New" w:hAnsi="Courier New"/>
      <w:lang w:val="x-none" w:eastAsia="cs-CZ"/>
    </w:rPr>
  </w:style>
  <w:style w:type="character" w:customStyle="1" w:styleId="ObyajntextChar1344">
    <w:name w:val="Obyčajný text Char1344"/>
    <w:aliases w:val="Obyčajný text Char Char Char Char1345"/>
    <w:uiPriority w:val="99"/>
    <w:semiHidden/>
    <w:rsid w:val="00A809E7"/>
    <w:rPr>
      <w:rFonts w:ascii="Courier New" w:hAnsi="Courier New"/>
      <w:lang w:val="x-none" w:eastAsia="cs-CZ"/>
    </w:rPr>
  </w:style>
  <w:style w:type="character" w:customStyle="1" w:styleId="ObyajntextChar1343">
    <w:name w:val="Obyčajný text Char1343"/>
    <w:aliases w:val="Obyčajný text Char Char Char Char1344"/>
    <w:uiPriority w:val="99"/>
    <w:semiHidden/>
    <w:rsid w:val="00A809E7"/>
    <w:rPr>
      <w:rFonts w:ascii="Courier New" w:hAnsi="Courier New"/>
      <w:lang w:val="x-none" w:eastAsia="cs-CZ"/>
    </w:rPr>
  </w:style>
  <w:style w:type="character" w:customStyle="1" w:styleId="ObyajntextChar1342">
    <w:name w:val="Obyčajný text Char1342"/>
    <w:aliases w:val="Obyčajný text Char Char Char Char1343"/>
    <w:uiPriority w:val="99"/>
    <w:semiHidden/>
    <w:rsid w:val="00A809E7"/>
    <w:rPr>
      <w:rFonts w:ascii="Courier New" w:hAnsi="Courier New"/>
      <w:lang w:val="x-none" w:eastAsia="cs-CZ"/>
    </w:rPr>
  </w:style>
  <w:style w:type="character" w:customStyle="1" w:styleId="ObyajntextChar1341">
    <w:name w:val="Obyčajný text Char1341"/>
    <w:aliases w:val="Obyčajný text Char Char Char Char1342"/>
    <w:uiPriority w:val="99"/>
    <w:semiHidden/>
    <w:rsid w:val="00A809E7"/>
    <w:rPr>
      <w:rFonts w:ascii="Courier New" w:hAnsi="Courier New"/>
      <w:lang w:val="x-none" w:eastAsia="cs-CZ"/>
    </w:rPr>
  </w:style>
  <w:style w:type="character" w:customStyle="1" w:styleId="ObyajntextChar1340">
    <w:name w:val="Obyčajný text Char1340"/>
    <w:aliases w:val="Obyčajný text Char Char Char Char1341"/>
    <w:uiPriority w:val="99"/>
    <w:semiHidden/>
    <w:rsid w:val="00A809E7"/>
    <w:rPr>
      <w:rFonts w:ascii="Courier New" w:hAnsi="Courier New"/>
      <w:lang w:val="x-none" w:eastAsia="cs-CZ"/>
    </w:rPr>
  </w:style>
  <w:style w:type="character" w:customStyle="1" w:styleId="ObyajntextChar1339">
    <w:name w:val="Obyčajný text Char1339"/>
    <w:aliases w:val="Obyčajný text Char Char Char Char1340"/>
    <w:uiPriority w:val="99"/>
    <w:semiHidden/>
    <w:rsid w:val="00A809E7"/>
    <w:rPr>
      <w:rFonts w:ascii="Courier New" w:hAnsi="Courier New"/>
      <w:lang w:val="x-none" w:eastAsia="cs-CZ"/>
    </w:rPr>
  </w:style>
  <w:style w:type="character" w:customStyle="1" w:styleId="ObyajntextChar1338">
    <w:name w:val="Obyčajný text Char1338"/>
    <w:aliases w:val="Obyčajný text Char Char Char Char1339"/>
    <w:uiPriority w:val="99"/>
    <w:semiHidden/>
    <w:rsid w:val="00A809E7"/>
    <w:rPr>
      <w:rFonts w:ascii="Courier New" w:hAnsi="Courier New"/>
      <w:lang w:val="x-none" w:eastAsia="cs-CZ"/>
    </w:rPr>
  </w:style>
  <w:style w:type="character" w:customStyle="1" w:styleId="ObyajntextChar1337">
    <w:name w:val="Obyčajný text Char1337"/>
    <w:aliases w:val="Obyčajný text Char Char Char Char1338"/>
    <w:uiPriority w:val="99"/>
    <w:semiHidden/>
    <w:rsid w:val="00A809E7"/>
    <w:rPr>
      <w:rFonts w:ascii="Courier New" w:hAnsi="Courier New"/>
      <w:lang w:val="x-none" w:eastAsia="cs-CZ"/>
    </w:rPr>
  </w:style>
  <w:style w:type="character" w:customStyle="1" w:styleId="ObyajntextChar1336">
    <w:name w:val="Obyčajný text Char1336"/>
    <w:aliases w:val="Obyčajný text Char Char Char Char1337"/>
    <w:uiPriority w:val="99"/>
    <w:semiHidden/>
    <w:rsid w:val="00A809E7"/>
    <w:rPr>
      <w:rFonts w:ascii="Courier New" w:hAnsi="Courier New"/>
      <w:lang w:val="x-none" w:eastAsia="cs-CZ"/>
    </w:rPr>
  </w:style>
  <w:style w:type="character" w:customStyle="1" w:styleId="ObyajntextChar1335">
    <w:name w:val="Obyčajný text Char1335"/>
    <w:aliases w:val="Obyčajný text Char Char Char Char1336"/>
    <w:uiPriority w:val="99"/>
    <w:semiHidden/>
    <w:rsid w:val="00A809E7"/>
    <w:rPr>
      <w:rFonts w:ascii="Courier New" w:hAnsi="Courier New"/>
      <w:lang w:val="x-none" w:eastAsia="cs-CZ"/>
    </w:rPr>
  </w:style>
  <w:style w:type="character" w:customStyle="1" w:styleId="ObyajntextChar1334">
    <w:name w:val="Obyčajný text Char1334"/>
    <w:aliases w:val="Obyčajný text Char Char Char Char1335"/>
    <w:uiPriority w:val="99"/>
    <w:semiHidden/>
    <w:rsid w:val="00A809E7"/>
    <w:rPr>
      <w:rFonts w:ascii="Courier New" w:hAnsi="Courier New"/>
      <w:lang w:val="x-none" w:eastAsia="cs-CZ"/>
    </w:rPr>
  </w:style>
  <w:style w:type="character" w:customStyle="1" w:styleId="ObyajntextChar1333">
    <w:name w:val="Obyčajný text Char1333"/>
    <w:aliases w:val="Obyčajný text Char Char Char Char1334"/>
    <w:uiPriority w:val="99"/>
    <w:semiHidden/>
    <w:rsid w:val="00A809E7"/>
    <w:rPr>
      <w:rFonts w:ascii="Courier New" w:hAnsi="Courier New"/>
      <w:lang w:val="x-none" w:eastAsia="cs-CZ"/>
    </w:rPr>
  </w:style>
  <w:style w:type="character" w:customStyle="1" w:styleId="ObyajntextChar1332">
    <w:name w:val="Obyčajný text Char1332"/>
    <w:aliases w:val="Obyčajný text Char Char Char Char1333"/>
    <w:uiPriority w:val="99"/>
    <w:semiHidden/>
    <w:rsid w:val="00A809E7"/>
    <w:rPr>
      <w:rFonts w:ascii="Courier New" w:hAnsi="Courier New"/>
      <w:lang w:val="x-none" w:eastAsia="cs-CZ"/>
    </w:rPr>
  </w:style>
  <w:style w:type="character" w:customStyle="1" w:styleId="ObyajntextChar1331">
    <w:name w:val="Obyčajný text Char1331"/>
    <w:aliases w:val="Obyčajný text Char Char Char Char1332"/>
    <w:uiPriority w:val="99"/>
    <w:semiHidden/>
    <w:rsid w:val="00A809E7"/>
    <w:rPr>
      <w:rFonts w:ascii="Courier New" w:hAnsi="Courier New"/>
      <w:lang w:val="x-none" w:eastAsia="cs-CZ"/>
    </w:rPr>
  </w:style>
  <w:style w:type="character" w:customStyle="1" w:styleId="ObyajntextChar1330">
    <w:name w:val="Obyčajný text Char1330"/>
    <w:aliases w:val="Obyčajný text Char Char Char Char1331"/>
    <w:uiPriority w:val="99"/>
    <w:semiHidden/>
    <w:rsid w:val="00A809E7"/>
    <w:rPr>
      <w:rFonts w:ascii="Courier New" w:hAnsi="Courier New"/>
      <w:lang w:val="x-none" w:eastAsia="cs-CZ"/>
    </w:rPr>
  </w:style>
  <w:style w:type="character" w:customStyle="1" w:styleId="ObyajntextChar1329">
    <w:name w:val="Obyčajný text Char1329"/>
    <w:aliases w:val="Obyčajný text Char Char Char Char1330"/>
    <w:uiPriority w:val="99"/>
    <w:semiHidden/>
    <w:rsid w:val="00A809E7"/>
    <w:rPr>
      <w:rFonts w:ascii="Courier New" w:hAnsi="Courier New"/>
      <w:lang w:val="x-none" w:eastAsia="cs-CZ"/>
    </w:rPr>
  </w:style>
  <w:style w:type="character" w:customStyle="1" w:styleId="ObyajntextChar1328">
    <w:name w:val="Obyčajný text Char1328"/>
    <w:aliases w:val="Obyčajný text Char Char Char Char1329"/>
    <w:uiPriority w:val="99"/>
    <w:semiHidden/>
    <w:rsid w:val="00A809E7"/>
    <w:rPr>
      <w:rFonts w:ascii="Courier New" w:hAnsi="Courier New"/>
      <w:lang w:val="x-none" w:eastAsia="cs-CZ"/>
    </w:rPr>
  </w:style>
  <w:style w:type="character" w:customStyle="1" w:styleId="ObyajntextChar1327">
    <w:name w:val="Obyčajný text Char1327"/>
    <w:aliases w:val="Obyčajný text Char Char Char Char1328"/>
    <w:uiPriority w:val="99"/>
    <w:semiHidden/>
    <w:rsid w:val="00A809E7"/>
    <w:rPr>
      <w:rFonts w:ascii="Courier New" w:hAnsi="Courier New"/>
      <w:lang w:val="x-none" w:eastAsia="cs-CZ"/>
    </w:rPr>
  </w:style>
  <w:style w:type="character" w:customStyle="1" w:styleId="ObyajntextChar1326">
    <w:name w:val="Obyčajný text Char1326"/>
    <w:aliases w:val="Obyčajný text Char Char Char Char1327"/>
    <w:uiPriority w:val="99"/>
    <w:semiHidden/>
    <w:rsid w:val="00A809E7"/>
    <w:rPr>
      <w:rFonts w:ascii="Courier New" w:hAnsi="Courier New"/>
      <w:lang w:val="x-none" w:eastAsia="cs-CZ"/>
    </w:rPr>
  </w:style>
  <w:style w:type="character" w:customStyle="1" w:styleId="ObyajntextChar1325">
    <w:name w:val="Obyčajný text Char1325"/>
    <w:aliases w:val="Obyčajný text Char Char Char Char1326"/>
    <w:uiPriority w:val="99"/>
    <w:semiHidden/>
    <w:rsid w:val="00A809E7"/>
    <w:rPr>
      <w:rFonts w:ascii="Courier New" w:hAnsi="Courier New"/>
      <w:lang w:val="x-none" w:eastAsia="cs-CZ"/>
    </w:rPr>
  </w:style>
  <w:style w:type="character" w:customStyle="1" w:styleId="ObyajntextChar1324">
    <w:name w:val="Obyčajný text Char1324"/>
    <w:aliases w:val="Obyčajný text Char Char Char Char1325"/>
    <w:uiPriority w:val="99"/>
    <w:semiHidden/>
    <w:rsid w:val="00A809E7"/>
    <w:rPr>
      <w:rFonts w:ascii="Courier New" w:hAnsi="Courier New"/>
      <w:lang w:val="x-none" w:eastAsia="cs-CZ"/>
    </w:rPr>
  </w:style>
  <w:style w:type="character" w:customStyle="1" w:styleId="ObyajntextChar1323">
    <w:name w:val="Obyčajný text Char1323"/>
    <w:aliases w:val="Obyčajný text Char Char Char Char1324"/>
    <w:uiPriority w:val="99"/>
    <w:semiHidden/>
    <w:rsid w:val="00A809E7"/>
    <w:rPr>
      <w:rFonts w:ascii="Courier New" w:hAnsi="Courier New"/>
      <w:lang w:val="x-none" w:eastAsia="cs-CZ"/>
    </w:rPr>
  </w:style>
  <w:style w:type="character" w:customStyle="1" w:styleId="ObyajntextChar1322">
    <w:name w:val="Obyčajný text Char1322"/>
    <w:aliases w:val="Obyčajný text Char Char Char Char1323"/>
    <w:uiPriority w:val="99"/>
    <w:semiHidden/>
    <w:rsid w:val="00A809E7"/>
    <w:rPr>
      <w:rFonts w:ascii="Courier New" w:hAnsi="Courier New"/>
      <w:lang w:val="x-none" w:eastAsia="cs-CZ"/>
    </w:rPr>
  </w:style>
  <w:style w:type="character" w:customStyle="1" w:styleId="ObyajntextChar1321">
    <w:name w:val="Obyčajný text Char1321"/>
    <w:aliases w:val="Obyčajný text Char Char Char Char1322"/>
    <w:uiPriority w:val="99"/>
    <w:semiHidden/>
    <w:rsid w:val="00A809E7"/>
    <w:rPr>
      <w:rFonts w:ascii="Courier New" w:hAnsi="Courier New"/>
      <w:lang w:val="x-none" w:eastAsia="cs-CZ"/>
    </w:rPr>
  </w:style>
  <w:style w:type="character" w:customStyle="1" w:styleId="ObyajntextChar1320">
    <w:name w:val="Obyčajný text Char1320"/>
    <w:aliases w:val="Obyčajný text Char Char Char Char1321"/>
    <w:uiPriority w:val="99"/>
    <w:semiHidden/>
    <w:rsid w:val="00A809E7"/>
    <w:rPr>
      <w:rFonts w:ascii="Courier New" w:hAnsi="Courier New"/>
      <w:lang w:val="x-none" w:eastAsia="cs-CZ"/>
    </w:rPr>
  </w:style>
  <w:style w:type="character" w:customStyle="1" w:styleId="ObyajntextChar1319">
    <w:name w:val="Obyčajný text Char1319"/>
    <w:aliases w:val="Obyčajný text Char Char Char Char1320"/>
    <w:uiPriority w:val="99"/>
    <w:semiHidden/>
    <w:rsid w:val="00A809E7"/>
    <w:rPr>
      <w:rFonts w:ascii="Courier New" w:hAnsi="Courier New"/>
      <w:lang w:val="x-none" w:eastAsia="cs-CZ"/>
    </w:rPr>
  </w:style>
  <w:style w:type="character" w:customStyle="1" w:styleId="ObyajntextChar1318">
    <w:name w:val="Obyčajný text Char1318"/>
    <w:aliases w:val="Obyčajný text Char Char Char Char1319"/>
    <w:uiPriority w:val="99"/>
    <w:semiHidden/>
    <w:rsid w:val="00A809E7"/>
    <w:rPr>
      <w:rFonts w:ascii="Courier New" w:hAnsi="Courier New"/>
      <w:lang w:val="x-none" w:eastAsia="cs-CZ"/>
    </w:rPr>
  </w:style>
  <w:style w:type="character" w:customStyle="1" w:styleId="ObyajntextChar1317">
    <w:name w:val="Obyčajný text Char1317"/>
    <w:aliases w:val="Obyčajný text Char Char Char Char1318"/>
    <w:uiPriority w:val="99"/>
    <w:semiHidden/>
    <w:rsid w:val="00A809E7"/>
    <w:rPr>
      <w:rFonts w:ascii="Courier New" w:hAnsi="Courier New"/>
      <w:lang w:val="x-none" w:eastAsia="cs-CZ"/>
    </w:rPr>
  </w:style>
  <w:style w:type="character" w:customStyle="1" w:styleId="ObyajntextChar1316">
    <w:name w:val="Obyčajný text Char1316"/>
    <w:aliases w:val="Obyčajný text Char Char Char Char1317"/>
    <w:uiPriority w:val="99"/>
    <w:semiHidden/>
    <w:rsid w:val="00A809E7"/>
    <w:rPr>
      <w:rFonts w:ascii="Courier New" w:hAnsi="Courier New"/>
      <w:lang w:val="x-none" w:eastAsia="cs-CZ"/>
    </w:rPr>
  </w:style>
  <w:style w:type="character" w:customStyle="1" w:styleId="ObyajntextChar1315">
    <w:name w:val="Obyčajný text Char1315"/>
    <w:aliases w:val="Obyčajný text Char Char Char Char1316"/>
    <w:uiPriority w:val="99"/>
    <w:semiHidden/>
    <w:rsid w:val="00A809E7"/>
    <w:rPr>
      <w:rFonts w:ascii="Courier New" w:hAnsi="Courier New"/>
      <w:lang w:val="x-none" w:eastAsia="cs-CZ"/>
    </w:rPr>
  </w:style>
  <w:style w:type="character" w:customStyle="1" w:styleId="ObyajntextChar1314">
    <w:name w:val="Obyčajný text Char1314"/>
    <w:aliases w:val="Obyčajný text Char Char Char Char1315"/>
    <w:uiPriority w:val="99"/>
    <w:semiHidden/>
    <w:rsid w:val="00A809E7"/>
    <w:rPr>
      <w:rFonts w:ascii="Courier New" w:hAnsi="Courier New"/>
      <w:lang w:val="x-none" w:eastAsia="cs-CZ"/>
    </w:rPr>
  </w:style>
  <w:style w:type="character" w:customStyle="1" w:styleId="ObyajntextChar1313">
    <w:name w:val="Obyčajný text Char1313"/>
    <w:aliases w:val="Obyčajný text Char Char Char Char1314"/>
    <w:uiPriority w:val="99"/>
    <w:semiHidden/>
    <w:rsid w:val="00A809E7"/>
    <w:rPr>
      <w:rFonts w:ascii="Courier New" w:hAnsi="Courier New"/>
      <w:lang w:val="x-none" w:eastAsia="cs-CZ"/>
    </w:rPr>
  </w:style>
  <w:style w:type="character" w:customStyle="1" w:styleId="ObyajntextChar1312">
    <w:name w:val="Obyčajný text Char1312"/>
    <w:aliases w:val="Obyčajný text Char Char Char Char1313"/>
    <w:uiPriority w:val="99"/>
    <w:semiHidden/>
    <w:rsid w:val="00A809E7"/>
    <w:rPr>
      <w:rFonts w:ascii="Courier New" w:hAnsi="Courier New"/>
      <w:lang w:val="x-none" w:eastAsia="cs-CZ"/>
    </w:rPr>
  </w:style>
  <w:style w:type="character" w:customStyle="1" w:styleId="ObyajntextChar1311">
    <w:name w:val="Obyčajný text Char1311"/>
    <w:aliases w:val="Obyčajný text Char Char Char Char1312"/>
    <w:uiPriority w:val="99"/>
    <w:semiHidden/>
    <w:rsid w:val="00A809E7"/>
    <w:rPr>
      <w:rFonts w:ascii="Courier New" w:hAnsi="Courier New"/>
      <w:lang w:val="x-none" w:eastAsia="cs-CZ"/>
    </w:rPr>
  </w:style>
  <w:style w:type="character" w:customStyle="1" w:styleId="ObyajntextChar1310">
    <w:name w:val="Obyčajný text Char1310"/>
    <w:aliases w:val="Obyčajný text Char Char Char Char1311"/>
    <w:uiPriority w:val="99"/>
    <w:semiHidden/>
    <w:rsid w:val="00A809E7"/>
    <w:rPr>
      <w:rFonts w:ascii="Courier New" w:hAnsi="Courier New"/>
      <w:lang w:val="x-none" w:eastAsia="cs-CZ"/>
    </w:rPr>
  </w:style>
  <w:style w:type="character" w:customStyle="1" w:styleId="ObyajntextChar1309">
    <w:name w:val="Obyčajný text Char1309"/>
    <w:aliases w:val="Obyčajný text Char Char Char Char1310"/>
    <w:uiPriority w:val="99"/>
    <w:semiHidden/>
    <w:rsid w:val="00A809E7"/>
    <w:rPr>
      <w:rFonts w:ascii="Courier New" w:hAnsi="Courier New"/>
      <w:lang w:val="x-none" w:eastAsia="cs-CZ"/>
    </w:rPr>
  </w:style>
  <w:style w:type="character" w:customStyle="1" w:styleId="ObyajntextChar1308">
    <w:name w:val="Obyčajný text Char1308"/>
    <w:aliases w:val="Obyčajný text Char Char Char Char1309"/>
    <w:uiPriority w:val="99"/>
    <w:semiHidden/>
    <w:rsid w:val="00A809E7"/>
    <w:rPr>
      <w:rFonts w:ascii="Courier New" w:hAnsi="Courier New"/>
      <w:lang w:val="x-none" w:eastAsia="cs-CZ"/>
    </w:rPr>
  </w:style>
  <w:style w:type="character" w:customStyle="1" w:styleId="ObyajntextChar1307">
    <w:name w:val="Obyčajný text Char1307"/>
    <w:aliases w:val="Obyčajný text Char Char Char Char1308"/>
    <w:uiPriority w:val="99"/>
    <w:semiHidden/>
    <w:rsid w:val="00A809E7"/>
    <w:rPr>
      <w:rFonts w:ascii="Courier New" w:hAnsi="Courier New"/>
      <w:lang w:val="x-none" w:eastAsia="cs-CZ"/>
    </w:rPr>
  </w:style>
  <w:style w:type="character" w:customStyle="1" w:styleId="ObyajntextChar1306">
    <w:name w:val="Obyčajný text Char1306"/>
    <w:aliases w:val="Obyčajný text Char Char Char Char1307"/>
    <w:uiPriority w:val="99"/>
    <w:semiHidden/>
    <w:rsid w:val="00A809E7"/>
    <w:rPr>
      <w:rFonts w:ascii="Courier New" w:hAnsi="Courier New"/>
      <w:lang w:val="x-none" w:eastAsia="cs-CZ"/>
    </w:rPr>
  </w:style>
  <w:style w:type="character" w:customStyle="1" w:styleId="ObyajntextChar1305">
    <w:name w:val="Obyčajný text Char1305"/>
    <w:aliases w:val="Obyčajný text Char Char Char Char1306"/>
    <w:uiPriority w:val="99"/>
    <w:semiHidden/>
    <w:rsid w:val="00A809E7"/>
    <w:rPr>
      <w:rFonts w:ascii="Courier New" w:hAnsi="Courier New"/>
      <w:lang w:val="x-none" w:eastAsia="cs-CZ"/>
    </w:rPr>
  </w:style>
  <w:style w:type="character" w:customStyle="1" w:styleId="ObyajntextChar1304">
    <w:name w:val="Obyčajný text Char1304"/>
    <w:aliases w:val="Obyčajný text Char Char Char Char1305"/>
    <w:uiPriority w:val="99"/>
    <w:semiHidden/>
    <w:rsid w:val="00A809E7"/>
    <w:rPr>
      <w:rFonts w:ascii="Courier New" w:hAnsi="Courier New"/>
      <w:lang w:val="x-none" w:eastAsia="cs-CZ"/>
    </w:rPr>
  </w:style>
  <w:style w:type="character" w:customStyle="1" w:styleId="ObyajntextChar1303">
    <w:name w:val="Obyčajný text Char1303"/>
    <w:aliases w:val="Obyčajný text Char Char Char Char1304"/>
    <w:uiPriority w:val="99"/>
    <w:semiHidden/>
    <w:rsid w:val="00A809E7"/>
    <w:rPr>
      <w:rFonts w:ascii="Courier New" w:hAnsi="Courier New"/>
      <w:lang w:val="x-none" w:eastAsia="cs-CZ"/>
    </w:rPr>
  </w:style>
  <w:style w:type="character" w:customStyle="1" w:styleId="ObyajntextChar1302">
    <w:name w:val="Obyčajný text Char1302"/>
    <w:aliases w:val="Obyčajný text Char Char Char Char1303"/>
    <w:uiPriority w:val="99"/>
    <w:semiHidden/>
    <w:rsid w:val="00A809E7"/>
    <w:rPr>
      <w:rFonts w:ascii="Courier New" w:hAnsi="Courier New"/>
      <w:lang w:val="x-none" w:eastAsia="cs-CZ"/>
    </w:rPr>
  </w:style>
  <w:style w:type="character" w:customStyle="1" w:styleId="ObyajntextChar1301">
    <w:name w:val="Obyčajný text Char1301"/>
    <w:aliases w:val="Obyčajný text Char Char Char Char1302"/>
    <w:uiPriority w:val="99"/>
    <w:semiHidden/>
    <w:rsid w:val="00A809E7"/>
    <w:rPr>
      <w:rFonts w:ascii="Courier New" w:hAnsi="Courier New"/>
      <w:lang w:val="x-none" w:eastAsia="cs-CZ"/>
    </w:rPr>
  </w:style>
  <w:style w:type="character" w:customStyle="1" w:styleId="ObyajntextChar1300">
    <w:name w:val="Obyčajný text Char1300"/>
    <w:aliases w:val="Obyčajný text Char Char Char Char1301"/>
    <w:uiPriority w:val="99"/>
    <w:semiHidden/>
    <w:rsid w:val="00A809E7"/>
    <w:rPr>
      <w:rFonts w:ascii="Courier New" w:hAnsi="Courier New"/>
      <w:lang w:val="x-none" w:eastAsia="cs-CZ"/>
    </w:rPr>
  </w:style>
  <w:style w:type="character" w:customStyle="1" w:styleId="ObyajntextChar1299">
    <w:name w:val="Obyčajný text Char1299"/>
    <w:aliases w:val="Obyčajný text Char Char Char Char1300"/>
    <w:uiPriority w:val="99"/>
    <w:semiHidden/>
    <w:rsid w:val="00A809E7"/>
    <w:rPr>
      <w:rFonts w:ascii="Courier New" w:hAnsi="Courier New"/>
      <w:lang w:val="x-none" w:eastAsia="cs-CZ"/>
    </w:rPr>
  </w:style>
  <w:style w:type="character" w:customStyle="1" w:styleId="ObyajntextChar1298">
    <w:name w:val="Obyčajný text Char1298"/>
    <w:aliases w:val="Obyčajný text Char Char Char Char1299"/>
    <w:uiPriority w:val="99"/>
    <w:semiHidden/>
    <w:rsid w:val="00A809E7"/>
    <w:rPr>
      <w:rFonts w:ascii="Courier New" w:hAnsi="Courier New"/>
      <w:lang w:val="x-none" w:eastAsia="cs-CZ"/>
    </w:rPr>
  </w:style>
  <w:style w:type="character" w:customStyle="1" w:styleId="ObyajntextChar1297">
    <w:name w:val="Obyčajný text Char1297"/>
    <w:aliases w:val="Obyčajný text Char Char Char Char1298"/>
    <w:uiPriority w:val="99"/>
    <w:semiHidden/>
    <w:rsid w:val="00A809E7"/>
    <w:rPr>
      <w:rFonts w:ascii="Courier New" w:hAnsi="Courier New"/>
      <w:lang w:val="x-none" w:eastAsia="cs-CZ"/>
    </w:rPr>
  </w:style>
  <w:style w:type="character" w:customStyle="1" w:styleId="ObyajntextChar1296">
    <w:name w:val="Obyčajný text Char1296"/>
    <w:aliases w:val="Obyčajný text Char Char Char Char1297"/>
    <w:uiPriority w:val="99"/>
    <w:semiHidden/>
    <w:rsid w:val="00A809E7"/>
    <w:rPr>
      <w:rFonts w:ascii="Courier New" w:hAnsi="Courier New"/>
      <w:lang w:val="x-none" w:eastAsia="cs-CZ"/>
    </w:rPr>
  </w:style>
  <w:style w:type="character" w:customStyle="1" w:styleId="ObyajntextChar1295">
    <w:name w:val="Obyčajný text Char1295"/>
    <w:aliases w:val="Obyčajný text Char Char Char Char1296"/>
    <w:uiPriority w:val="99"/>
    <w:semiHidden/>
    <w:rsid w:val="00A809E7"/>
    <w:rPr>
      <w:rFonts w:ascii="Courier New" w:hAnsi="Courier New"/>
      <w:lang w:val="x-none" w:eastAsia="cs-CZ"/>
    </w:rPr>
  </w:style>
  <w:style w:type="character" w:customStyle="1" w:styleId="ObyajntextChar1294">
    <w:name w:val="Obyčajný text Char1294"/>
    <w:aliases w:val="Obyčajný text Char Char Char Char1295"/>
    <w:uiPriority w:val="99"/>
    <w:semiHidden/>
    <w:rsid w:val="00A809E7"/>
    <w:rPr>
      <w:rFonts w:ascii="Courier New" w:hAnsi="Courier New"/>
      <w:lang w:val="x-none" w:eastAsia="cs-CZ"/>
    </w:rPr>
  </w:style>
  <w:style w:type="character" w:customStyle="1" w:styleId="ObyajntextChar1293">
    <w:name w:val="Obyčajný text Char1293"/>
    <w:aliases w:val="Obyčajný text Char Char Char Char1294"/>
    <w:uiPriority w:val="99"/>
    <w:semiHidden/>
    <w:rsid w:val="00A809E7"/>
    <w:rPr>
      <w:rFonts w:ascii="Courier New" w:hAnsi="Courier New"/>
      <w:lang w:val="x-none" w:eastAsia="cs-CZ"/>
    </w:rPr>
  </w:style>
  <w:style w:type="character" w:customStyle="1" w:styleId="ObyajntextChar1292">
    <w:name w:val="Obyčajný text Char1292"/>
    <w:aliases w:val="Obyčajný text Char Char Char Char1293"/>
    <w:uiPriority w:val="99"/>
    <w:semiHidden/>
    <w:rsid w:val="00A809E7"/>
    <w:rPr>
      <w:rFonts w:ascii="Courier New" w:hAnsi="Courier New"/>
      <w:lang w:val="x-none" w:eastAsia="cs-CZ"/>
    </w:rPr>
  </w:style>
  <w:style w:type="character" w:customStyle="1" w:styleId="ObyajntextChar1291">
    <w:name w:val="Obyčajný text Char1291"/>
    <w:aliases w:val="Obyčajný text Char Char Char Char1292"/>
    <w:uiPriority w:val="99"/>
    <w:semiHidden/>
    <w:rsid w:val="00A809E7"/>
    <w:rPr>
      <w:rFonts w:ascii="Courier New" w:hAnsi="Courier New"/>
      <w:lang w:val="x-none" w:eastAsia="cs-CZ"/>
    </w:rPr>
  </w:style>
  <w:style w:type="character" w:customStyle="1" w:styleId="ObyajntextChar1290">
    <w:name w:val="Obyčajný text Char1290"/>
    <w:aliases w:val="Obyčajný text Char Char Char Char1291"/>
    <w:uiPriority w:val="99"/>
    <w:semiHidden/>
    <w:rsid w:val="00A809E7"/>
    <w:rPr>
      <w:rFonts w:ascii="Courier New" w:hAnsi="Courier New"/>
      <w:lang w:val="x-none" w:eastAsia="cs-CZ"/>
    </w:rPr>
  </w:style>
  <w:style w:type="character" w:customStyle="1" w:styleId="ObyajntextChar1289">
    <w:name w:val="Obyčajný text Char1289"/>
    <w:aliases w:val="Obyčajný text Char Char Char Char1290"/>
    <w:uiPriority w:val="99"/>
    <w:semiHidden/>
    <w:rsid w:val="00A809E7"/>
    <w:rPr>
      <w:rFonts w:ascii="Courier New" w:hAnsi="Courier New"/>
      <w:lang w:val="x-none" w:eastAsia="cs-CZ"/>
    </w:rPr>
  </w:style>
  <w:style w:type="character" w:customStyle="1" w:styleId="ObyajntextChar1288">
    <w:name w:val="Obyčajný text Char1288"/>
    <w:aliases w:val="Obyčajný text Char Char Char Char1289"/>
    <w:uiPriority w:val="99"/>
    <w:semiHidden/>
    <w:rsid w:val="00A809E7"/>
    <w:rPr>
      <w:rFonts w:ascii="Courier New" w:hAnsi="Courier New"/>
      <w:lang w:val="x-none" w:eastAsia="cs-CZ"/>
    </w:rPr>
  </w:style>
  <w:style w:type="character" w:customStyle="1" w:styleId="ObyajntextChar1287">
    <w:name w:val="Obyčajný text Char1287"/>
    <w:aliases w:val="Obyčajný text Char Char Char Char1288"/>
    <w:uiPriority w:val="99"/>
    <w:semiHidden/>
    <w:rsid w:val="00A809E7"/>
    <w:rPr>
      <w:rFonts w:ascii="Courier New" w:hAnsi="Courier New"/>
      <w:lang w:val="x-none" w:eastAsia="cs-CZ"/>
    </w:rPr>
  </w:style>
  <w:style w:type="character" w:customStyle="1" w:styleId="ObyajntextChar1286">
    <w:name w:val="Obyčajný text Char1286"/>
    <w:aliases w:val="Obyčajný text Char Char Char Char1287"/>
    <w:uiPriority w:val="99"/>
    <w:semiHidden/>
    <w:rsid w:val="00A809E7"/>
    <w:rPr>
      <w:rFonts w:ascii="Courier New" w:hAnsi="Courier New"/>
      <w:lang w:val="x-none" w:eastAsia="cs-CZ"/>
    </w:rPr>
  </w:style>
  <w:style w:type="character" w:customStyle="1" w:styleId="ObyajntextChar1285">
    <w:name w:val="Obyčajný text Char1285"/>
    <w:aliases w:val="Obyčajný text Char Char Char Char1286"/>
    <w:uiPriority w:val="99"/>
    <w:semiHidden/>
    <w:rsid w:val="00A809E7"/>
    <w:rPr>
      <w:rFonts w:ascii="Courier New" w:hAnsi="Courier New"/>
      <w:lang w:val="x-none" w:eastAsia="cs-CZ"/>
    </w:rPr>
  </w:style>
  <w:style w:type="character" w:customStyle="1" w:styleId="ObyajntextChar1284">
    <w:name w:val="Obyčajný text Char1284"/>
    <w:aliases w:val="Obyčajný text Char Char Char Char1285"/>
    <w:uiPriority w:val="99"/>
    <w:semiHidden/>
    <w:rsid w:val="00A809E7"/>
    <w:rPr>
      <w:rFonts w:ascii="Courier New" w:hAnsi="Courier New"/>
      <w:lang w:val="x-none" w:eastAsia="cs-CZ"/>
    </w:rPr>
  </w:style>
  <w:style w:type="character" w:customStyle="1" w:styleId="ObyajntextChar1283">
    <w:name w:val="Obyčajný text Char1283"/>
    <w:aliases w:val="Obyčajný text Char Char Char Char1284"/>
    <w:uiPriority w:val="99"/>
    <w:semiHidden/>
    <w:rsid w:val="00A809E7"/>
    <w:rPr>
      <w:rFonts w:ascii="Courier New" w:hAnsi="Courier New"/>
      <w:lang w:val="x-none" w:eastAsia="cs-CZ"/>
    </w:rPr>
  </w:style>
  <w:style w:type="character" w:customStyle="1" w:styleId="ObyajntextChar1282">
    <w:name w:val="Obyčajný text Char1282"/>
    <w:aliases w:val="Obyčajný text Char Char Char Char1283"/>
    <w:uiPriority w:val="99"/>
    <w:semiHidden/>
    <w:rsid w:val="00A809E7"/>
    <w:rPr>
      <w:rFonts w:ascii="Courier New" w:hAnsi="Courier New"/>
      <w:lang w:val="x-none" w:eastAsia="cs-CZ"/>
    </w:rPr>
  </w:style>
  <w:style w:type="character" w:customStyle="1" w:styleId="ObyajntextChar1281">
    <w:name w:val="Obyčajný text Char1281"/>
    <w:aliases w:val="Obyčajný text Char Char Char Char1282"/>
    <w:uiPriority w:val="99"/>
    <w:semiHidden/>
    <w:rsid w:val="00A809E7"/>
    <w:rPr>
      <w:rFonts w:ascii="Courier New" w:hAnsi="Courier New"/>
      <w:lang w:val="x-none" w:eastAsia="cs-CZ"/>
    </w:rPr>
  </w:style>
  <w:style w:type="character" w:customStyle="1" w:styleId="ObyajntextChar1280">
    <w:name w:val="Obyčajný text Char1280"/>
    <w:aliases w:val="Obyčajný text Char Char Char Char1281"/>
    <w:uiPriority w:val="99"/>
    <w:semiHidden/>
    <w:rsid w:val="00A809E7"/>
    <w:rPr>
      <w:rFonts w:ascii="Courier New" w:hAnsi="Courier New"/>
      <w:lang w:val="x-none" w:eastAsia="cs-CZ"/>
    </w:rPr>
  </w:style>
  <w:style w:type="character" w:customStyle="1" w:styleId="ObyajntextChar1279">
    <w:name w:val="Obyčajný text Char1279"/>
    <w:aliases w:val="Obyčajný text Char Char Char Char1280"/>
    <w:uiPriority w:val="99"/>
    <w:semiHidden/>
    <w:rsid w:val="00A809E7"/>
    <w:rPr>
      <w:rFonts w:ascii="Courier New" w:hAnsi="Courier New"/>
      <w:lang w:val="x-none" w:eastAsia="cs-CZ"/>
    </w:rPr>
  </w:style>
  <w:style w:type="character" w:customStyle="1" w:styleId="ObyajntextChar1278">
    <w:name w:val="Obyčajný text Char1278"/>
    <w:aliases w:val="Obyčajný text Char Char Char Char1279"/>
    <w:uiPriority w:val="99"/>
    <w:semiHidden/>
    <w:rsid w:val="00A809E7"/>
    <w:rPr>
      <w:rFonts w:ascii="Courier New" w:hAnsi="Courier New"/>
      <w:lang w:val="x-none" w:eastAsia="cs-CZ"/>
    </w:rPr>
  </w:style>
  <w:style w:type="character" w:customStyle="1" w:styleId="ObyajntextChar1277">
    <w:name w:val="Obyčajný text Char1277"/>
    <w:aliases w:val="Obyčajný text Char Char Char Char1278"/>
    <w:uiPriority w:val="99"/>
    <w:semiHidden/>
    <w:rsid w:val="00A809E7"/>
    <w:rPr>
      <w:rFonts w:ascii="Courier New" w:hAnsi="Courier New"/>
      <w:lang w:val="x-none" w:eastAsia="cs-CZ"/>
    </w:rPr>
  </w:style>
  <w:style w:type="character" w:customStyle="1" w:styleId="ObyajntextChar1276">
    <w:name w:val="Obyčajný text Char1276"/>
    <w:aliases w:val="Obyčajný text Char Char Char Char1277"/>
    <w:uiPriority w:val="99"/>
    <w:semiHidden/>
    <w:rsid w:val="00A809E7"/>
    <w:rPr>
      <w:rFonts w:ascii="Courier New" w:hAnsi="Courier New"/>
      <w:lang w:val="x-none" w:eastAsia="cs-CZ"/>
    </w:rPr>
  </w:style>
  <w:style w:type="character" w:customStyle="1" w:styleId="ObyajntextChar1275">
    <w:name w:val="Obyčajný text Char1275"/>
    <w:aliases w:val="Obyčajný text Char Char Char Char1276"/>
    <w:uiPriority w:val="99"/>
    <w:semiHidden/>
    <w:rsid w:val="00A809E7"/>
    <w:rPr>
      <w:rFonts w:ascii="Courier New" w:hAnsi="Courier New"/>
      <w:lang w:val="x-none" w:eastAsia="cs-CZ"/>
    </w:rPr>
  </w:style>
  <w:style w:type="character" w:customStyle="1" w:styleId="ObyajntextChar1274">
    <w:name w:val="Obyčajný text Char1274"/>
    <w:aliases w:val="Obyčajný text Char Char Char Char1275"/>
    <w:uiPriority w:val="99"/>
    <w:semiHidden/>
    <w:rsid w:val="00A809E7"/>
    <w:rPr>
      <w:rFonts w:ascii="Courier New" w:hAnsi="Courier New"/>
      <w:lang w:val="x-none" w:eastAsia="cs-CZ"/>
    </w:rPr>
  </w:style>
  <w:style w:type="character" w:customStyle="1" w:styleId="ObyajntextChar1273">
    <w:name w:val="Obyčajný text Char1273"/>
    <w:aliases w:val="Obyčajný text Char Char Char Char1274"/>
    <w:uiPriority w:val="99"/>
    <w:semiHidden/>
    <w:rsid w:val="00A809E7"/>
    <w:rPr>
      <w:rFonts w:ascii="Courier New" w:hAnsi="Courier New"/>
      <w:lang w:val="x-none" w:eastAsia="cs-CZ"/>
    </w:rPr>
  </w:style>
  <w:style w:type="character" w:customStyle="1" w:styleId="ObyajntextChar1272">
    <w:name w:val="Obyčajný text Char1272"/>
    <w:aliases w:val="Obyčajný text Char Char Char Char1273"/>
    <w:uiPriority w:val="99"/>
    <w:semiHidden/>
    <w:rsid w:val="00A809E7"/>
    <w:rPr>
      <w:rFonts w:ascii="Courier New" w:hAnsi="Courier New"/>
      <w:lang w:val="x-none" w:eastAsia="cs-CZ"/>
    </w:rPr>
  </w:style>
  <w:style w:type="character" w:customStyle="1" w:styleId="ObyajntextChar1271">
    <w:name w:val="Obyčajný text Char1271"/>
    <w:aliases w:val="Obyčajný text Char Char Char Char1272"/>
    <w:uiPriority w:val="99"/>
    <w:semiHidden/>
    <w:rsid w:val="00A809E7"/>
    <w:rPr>
      <w:rFonts w:ascii="Courier New" w:hAnsi="Courier New"/>
      <w:lang w:val="x-none" w:eastAsia="cs-CZ"/>
    </w:rPr>
  </w:style>
  <w:style w:type="character" w:customStyle="1" w:styleId="ObyajntextChar1270">
    <w:name w:val="Obyčajný text Char1270"/>
    <w:aliases w:val="Obyčajný text Char Char Char Char1271"/>
    <w:uiPriority w:val="99"/>
    <w:semiHidden/>
    <w:rsid w:val="00A809E7"/>
    <w:rPr>
      <w:rFonts w:ascii="Courier New" w:hAnsi="Courier New"/>
      <w:lang w:val="x-none" w:eastAsia="cs-CZ"/>
    </w:rPr>
  </w:style>
  <w:style w:type="character" w:customStyle="1" w:styleId="ObyajntextChar1269">
    <w:name w:val="Obyčajný text Char1269"/>
    <w:aliases w:val="Obyčajný text Char Char Char Char1270"/>
    <w:uiPriority w:val="99"/>
    <w:semiHidden/>
    <w:rsid w:val="00A809E7"/>
    <w:rPr>
      <w:rFonts w:ascii="Courier New" w:hAnsi="Courier New"/>
      <w:lang w:val="x-none" w:eastAsia="cs-CZ"/>
    </w:rPr>
  </w:style>
  <w:style w:type="character" w:customStyle="1" w:styleId="ObyajntextChar1268">
    <w:name w:val="Obyčajný text Char1268"/>
    <w:aliases w:val="Obyčajný text Char Char Char Char1269"/>
    <w:uiPriority w:val="99"/>
    <w:semiHidden/>
    <w:rsid w:val="00A809E7"/>
    <w:rPr>
      <w:rFonts w:ascii="Courier New" w:hAnsi="Courier New"/>
      <w:lang w:val="x-none" w:eastAsia="cs-CZ"/>
    </w:rPr>
  </w:style>
  <w:style w:type="character" w:customStyle="1" w:styleId="ObyajntextChar1267">
    <w:name w:val="Obyčajný text Char1267"/>
    <w:aliases w:val="Obyčajný text Char Char Char Char1268"/>
    <w:uiPriority w:val="99"/>
    <w:semiHidden/>
    <w:rsid w:val="00A809E7"/>
    <w:rPr>
      <w:rFonts w:ascii="Courier New" w:hAnsi="Courier New"/>
      <w:lang w:val="x-none" w:eastAsia="cs-CZ"/>
    </w:rPr>
  </w:style>
  <w:style w:type="character" w:customStyle="1" w:styleId="ObyajntextChar1266">
    <w:name w:val="Obyčajný text Char1266"/>
    <w:aliases w:val="Obyčajný text Char Char Char Char1267"/>
    <w:uiPriority w:val="99"/>
    <w:semiHidden/>
    <w:rsid w:val="00A809E7"/>
    <w:rPr>
      <w:rFonts w:ascii="Courier New" w:hAnsi="Courier New"/>
      <w:lang w:val="x-none" w:eastAsia="cs-CZ"/>
    </w:rPr>
  </w:style>
  <w:style w:type="character" w:customStyle="1" w:styleId="ObyajntextChar1265">
    <w:name w:val="Obyčajný text Char1265"/>
    <w:aliases w:val="Obyčajný text Char Char Char Char1266"/>
    <w:uiPriority w:val="99"/>
    <w:semiHidden/>
    <w:rsid w:val="00A809E7"/>
    <w:rPr>
      <w:rFonts w:ascii="Courier New" w:hAnsi="Courier New"/>
      <w:lang w:val="x-none" w:eastAsia="cs-CZ"/>
    </w:rPr>
  </w:style>
  <w:style w:type="character" w:customStyle="1" w:styleId="ObyajntextChar1264">
    <w:name w:val="Obyčajný text Char1264"/>
    <w:aliases w:val="Obyčajný text Char Char Char Char1265"/>
    <w:uiPriority w:val="99"/>
    <w:semiHidden/>
    <w:rsid w:val="00A809E7"/>
    <w:rPr>
      <w:rFonts w:ascii="Courier New" w:hAnsi="Courier New"/>
      <w:lang w:val="x-none" w:eastAsia="cs-CZ"/>
    </w:rPr>
  </w:style>
  <w:style w:type="character" w:customStyle="1" w:styleId="ObyajntextChar1263">
    <w:name w:val="Obyčajný text Char1263"/>
    <w:aliases w:val="Obyčajný text Char Char Char Char1264"/>
    <w:uiPriority w:val="99"/>
    <w:semiHidden/>
    <w:rsid w:val="00A809E7"/>
    <w:rPr>
      <w:rFonts w:ascii="Courier New" w:hAnsi="Courier New"/>
      <w:lang w:val="x-none" w:eastAsia="cs-CZ"/>
    </w:rPr>
  </w:style>
  <w:style w:type="character" w:customStyle="1" w:styleId="ObyajntextChar1262">
    <w:name w:val="Obyčajný text Char1262"/>
    <w:aliases w:val="Obyčajný text Char Char Char Char1263"/>
    <w:uiPriority w:val="99"/>
    <w:semiHidden/>
    <w:rsid w:val="00A809E7"/>
    <w:rPr>
      <w:rFonts w:ascii="Courier New" w:hAnsi="Courier New"/>
      <w:lang w:val="x-none" w:eastAsia="cs-CZ"/>
    </w:rPr>
  </w:style>
  <w:style w:type="character" w:customStyle="1" w:styleId="ObyajntextChar1261">
    <w:name w:val="Obyčajný text Char1261"/>
    <w:aliases w:val="Obyčajný text Char Char Char Char1262"/>
    <w:uiPriority w:val="99"/>
    <w:semiHidden/>
    <w:rsid w:val="00A809E7"/>
    <w:rPr>
      <w:rFonts w:ascii="Courier New" w:hAnsi="Courier New"/>
      <w:lang w:val="x-none" w:eastAsia="cs-CZ"/>
    </w:rPr>
  </w:style>
  <w:style w:type="character" w:customStyle="1" w:styleId="ObyajntextChar1260">
    <w:name w:val="Obyčajný text Char1260"/>
    <w:aliases w:val="Obyčajný text Char Char Char Char1261"/>
    <w:uiPriority w:val="99"/>
    <w:semiHidden/>
    <w:rsid w:val="00A809E7"/>
    <w:rPr>
      <w:rFonts w:ascii="Courier New" w:hAnsi="Courier New"/>
      <w:lang w:val="x-none" w:eastAsia="cs-CZ"/>
    </w:rPr>
  </w:style>
  <w:style w:type="character" w:customStyle="1" w:styleId="ObyajntextChar1259">
    <w:name w:val="Obyčajný text Char1259"/>
    <w:aliases w:val="Obyčajný text Char Char Char Char1260"/>
    <w:uiPriority w:val="99"/>
    <w:semiHidden/>
    <w:rsid w:val="00A809E7"/>
    <w:rPr>
      <w:rFonts w:ascii="Courier New" w:hAnsi="Courier New"/>
      <w:lang w:val="x-none" w:eastAsia="cs-CZ"/>
    </w:rPr>
  </w:style>
  <w:style w:type="character" w:customStyle="1" w:styleId="ObyajntextChar1258">
    <w:name w:val="Obyčajný text Char1258"/>
    <w:aliases w:val="Obyčajný text Char Char Char Char1259"/>
    <w:uiPriority w:val="99"/>
    <w:semiHidden/>
    <w:rsid w:val="00A809E7"/>
    <w:rPr>
      <w:rFonts w:ascii="Courier New" w:hAnsi="Courier New"/>
      <w:lang w:val="x-none" w:eastAsia="cs-CZ"/>
    </w:rPr>
  </w:style>
  <w:style w:type="character" w:customStyle="1" w:styleId="ObyajntextChar1257">
    <w:name w:val="Obyčajný text Char1257"/>
    <w:aliases w:val="Obyčajný text Char Char Char Char1258"/>
    <w:uiPriority w:val="99"/>
    <w:semiHidden/>
    <w:rsid w:val="00A809E7"/>
    <w:rPr>
      <w:rFonts w:ascii="Courier New" w:hAnsi="Courier New"/>
      <w:lang w:val="x-none" w:eastAsia="cs-CZ"/>
    </w:rPr>
  </w:style>
  <w:style w:type="character" w:customStyle="1" w:styleId="ObyajntextChar1256">
    <w:name w:val="Obyčajný text Char1256"/>
    <w:aliases w:val="Obyčajný text Char Char Char Char1257"/>
    <w:uiPriority w:val="99"/>
    <w:semiHidden/>
    <w:rsid w:val="00A809E7"/>
    <w:rPr>
      <w:rFonts w:ascii="Courier New" w:hAnsi="Courier New"/>
      <w:lang w:val="x-none" w:eastAsia="cs-CZ"/>
    </w:rPr>
  </w:style>
  <w:style w:type="character" w:customStyle="1" w:styleId="ObyajntextChar1255">
    <w:name w:val="Obyčajný text Char1255"/>
    <w:aliases w:val="Obyčajný text Char Char Char Char1256"/>
    <w:uiPriority w:val="99"/>
    <w:semiHidden/>
    <w:rsid w:val="00A809E7"/>
    <w:rPr>
      <w:rFonts w:ascii="Courier New" w:hAnsi="Courier New"/>
      <w:lang w:val="x-none" w:eastAsia="cs-CZ"/>
    </w:rPr>
  </w:style>
  <w:style w:type="character" w:customStyle="1" w:styleId="ObyajntextChar1254">
    <w:name w:val="Obyčajný text Char1254"/>
    <w:aliases w:val="Obyčajný text Char Char Char Char1255"/>
    <w:uiPriority w:val="99"/>
    <w:semiHidden/>
    <w:rsid w:val="00A809E7"/>
    <w:rPr>
      <w:rFonts w:ascii="Courier New" w:hAnsi="Courier New"/>
      <w:lang w:val="x-none" w:eastAsia="cs-CZ"/>
    </w:rPr>
  </w:style>
  <w:style w:type="character" w:customStyle="1" w:styleId="ObyajntextChar1253">
    <w:name w:val="Obyčajný text Char1253"/>
    <w:aliases w:val="Obyčajný text Char Char Char Char1254"/>
    <w:uiPriority w:val="99"/>
    <w:semiHidden/>
    <w:rsid w:val="00A809E7"/>
    <w:rPr>
      <w:rFonts w:ascii="Courier New" w:hAnsi="Courier New"/>
      <w:lang w:val="x-none" w:eastAsia="cs-CZ"/>
    </w:rPr>
  </w:style>
  <w:style w:type="character" w:customStyle="1" w:styleId="ObyajntextChar1252">
    <w:name w:val="Obyčajný text Char1252"/>
    <w:aliases w:val="Obyčajný text Char Char Char Char1253"/>
    <w:uiPriority w:val="99"/>
    <w:semiHidden/>
    <w:rsid w:val="00A809E7"/>
    <w:rPr>
      <w:rFonts w:ascii="Courier New" w:hAnsi="Courier New"/>
      <w:lang w:val="x-none" w:eastAsia="cs-CZ"/>
    </w:rPr>
  </w:style>
  <w:style w:type="character" w:customStyle="1" w:styleId="ObyajntextChar1251">
    <w:name w:val="Obyčajný text Char1251"/>
    <w:aliases w:val="Obyčajný text Char Char Char Char1252"/>
    <w:uiPriority w:val="99"/>
    <w:semiHidden/>
    <w:rsid w:val="00A809E7"/>
    <w:rPr>
      <w:rFonts w:ascii="Courier New" w:hAnsi="Courier New"/>
      <w:lang w:val="x-none" w:eastAsia="cs-CZ"/>
    </w:rPr>
  </w:style>
  <w:style w:type="character" w:customStyle="1" w:styleId="ObyajntextChar1250">
    <w:name w:val="Obyčajný text Char1250"/>
    <w:aliases w:val="Obyčajný text Char Char Char Char1251"/>
    <w:uiPriority w:val="99"/>
    <w:semiHidden/>
    <w:rsid w:val="00A809E7"/>
    <w:rPr>
      <w:rFonts w:ascii="Courier New" w:hAnsi="Courier New"/>
      <w:lang w:val="x-none" w:eastAsia="cs-CZ"/>
    </w:rPr>
  </w:style>
  <w:style w:type="character" w:customStyle="1" w:styleId="ObyajntextChar1249">
    <w:name w:val="Obyčajný text Char1249"/>
    <w:aliases w:val="Obyčajný text Char Char Char Char1250"/>
    <w:uiPriority w:val="99"/>
    <w:semiHidden/>
    <w:rsid w:val="00A809E7"/>
    <w:rPr>
      <w:rFonts w:ascii="Courier New" w:hAnsi="Courier New"/>
      <w:lang w:val="x-none" w:eastAsia="cs-CZ"/>
    </w:rPr>
  </w:style>
  <w:style w:type="character" w:customStyle="1" w:styleId="ObyajntextChar1248">
    <w:name w:val="Obyčajný text Char1248"/>
    <w:aliases w:val="Obyčajný text Char Char Char Char1249"/>
    <w:uiPriority w:val="99"/>
    <w:semiHidden/>
    <w:rsid w:val="00A809E7"/>
    <w:rPr>
      <w:rFonts w:ascii="Courier New" w:hAnsi="Courier New"/>
      <w:lang w:val="x-none" w:eastAsia="cs-CZ"/>
    </w:rPr>
  </w:style>
  <w:style w:type="character" w:customStyle="1" w:styleId="ObyajntextChar1247">
    <w:name w:val="Obyčajný text Char1247"/>
    <w:aliases w:val="Obyčajný text Char Char Char Char1248"/>
    <w:uiPriority w:val="99"/>
    <w:semiHidden/>
    <w:rsid w:val="00A809E7"/>
    <w:rPr>
      <w:rFonts w:ascii="Courier New" w:hAnsi="Courier New"/>
      <w:lang w:val="x-none" w:eastAsia="cs-CZ"/>
    </w:rPr>
  </w:style>
  <w:style w:type="character" w:customStyle="1" w:styleId="ObyajntextChar1246">
    <w:name w:val="Obyčajný text Char1246"/>
    <w:aliases w:val="Obyčajný text Char Char Char Char1247"/>
    <w:uiPriority w:val="99"/>
    <w:semiHidden/>
    <w:rsid w:val="00A809E7"/>
    <w:rPr>
      <w:rFonts w:ascii="Courier New" w:hAnsi="Courier New"/>
      <w:lang w:val="x-none" w:eastAsia="cs-CZ"/>
    </w:rPr>
  </w:style>
  <w:style w:type="character" w:customStyle="1" w:styleId="ObyajntextChar1245">
    <w:name w:val="Obyčajný text Char1245"/>
    <w:aliases w:val="Obyčajný text Char Char Char Char1246"/>
    <w:uiPriority w:val="99"/>
    <w:semiHidden/>
    <w:rsid w:val="00A809E7"/>
    <w:rPr>
      <w:rFonts w:ascii="Courier New" w:hAnsi="Courier New"/>
      <w:lang w:val="x-none" w:eastAsia="cs-CZ"/>
    </w:rPr>
  </w:style>
  <w:style w:type="character" w:customStyle="1" w:styleId="ObyajntextChar1244">
    <w:name w:val="Obyčajný text Char1244"/>
    <w:aliases w:val="Obyčajný text Char Char Char Char1245"/>
    <w:uiPriority w:val="99"/>
    <w:semiHidden/>
    <w:rsid w:val="00A809E7"/>
    <w:rPr>
      <w:rFonts w:ascii="Courier New" w:hAnsi="Courier New"/>
      <w:lang w:val="x-none" w:eastAsia="cs-CZ"/>
    </w:rPr>
  </w:style>
  <w:style w:type="character" w:customStyle="1" w:styleId="ObyajntextChar1243">
    <w:name w:val="Obyčajný text Char1243"/>
    <w:aliases w:val="Obyčajný text Char Char Char Char1244"/>
    <w:uiPriority w:val="99"/>
    <w:semiHidden/>
    <w:rsid w:val="00A809E7"/>
    <w:rPr>
      <w:rFonts w:ascii="Courier New" w:hAnsi="Courier New"/>
      <w:lang w:val="x-none" w:eastAsia="cs-CZ"/>
    </w:rPr>
  </w:style>
  <w:style w:type="character" w:customStyle="1" w:styleId="ObyajntextChar1242">
    <w:name w:val="Obyčajný text Char1242"/>
    <w:aliases w:val="Obyčajný text Char Char Char Char1243"/>
    <w:uiPriority w:val="99"/>
    <w:semiHidden/>
    <w:rsid w:val="00A809E7"/>
    <w:rPr>
      <w:rFonts w:ascii="Courier New" w:hAnsi="Courier New"/>
      <w:lang w:val="x-none" w:eastAsia="cs-CZ"/>
    </w:rPr>
  </w:style>
  <w:style w:type="character" w:customStyle="1" w:styleId="ObyajntextChar1241">
    <w:name w:val="Obyčajný text Char1241"/>
    <w:aliases w:val="Obyčajný text Char Char Char Char1242"/>
    <w:uiPriority w:val="99"/>
    <w:semiHidden/>
    <w:rsid w:val="00A809E7"/>
    <w:rPr>
      <w:rFonts w:ascii="Courier New" w:hAnsi="Courier New"/>
      <w:lang w:val="x-none" w:eastAsia="cs-CZ"/>
    </w:rPr>
  </w:style>
  <w:style w:type="character" w:customStyle="1" w:styleId="ObyajntextChar1240">
    <w:name w:val="Obyčajný text Char1240"/>
    <w:aliases w:val="Obyčajný text Char Char Char Char1241"/>
    <w:uiPriority w:val="99"/>
    <w:semiHidden/>
    <w:rsid w:val="00A809E7"/>
    <w:rPr>
      <w:rFonts w:ascii="Courier New" w:hAnsi="Courier New"/>
      <w:lang w:val="x-none" w:eastAsia="cs-CZ"/>
    </w:rPr>
  </w:style>
  <w:style w:type="character" w:customStyle="1" w:styleId="ObyajntextChar1239">
    <w:name w:val="Obyčajný text Char1239"/>
    <w:aliases w:val="Obyčajný text Char Char Char Char1240"/>
    <w:uiPriority w:val="99"/>
    <w:semiHidden/>
    <w:rsid w:val="00A809E7"/>
    <w:rPr>
      <w:rFonts w:ascii="Courier New" w:hAnsi="Courier New"/>
      <w:lang w:val="x-none" w:eastAsia="cs-CZ"/>
    </w:rPr>
  </w:style>
  <w:style w:type="character" w:customStyle="1" w:styleId="ObyajntextChar1238">
    <w:name w:val="Obyčajný text Char1238"/>
    <w:aliases w:val="Obyčajný text Char Char Char Char1239"/>
    <w:uiPriority w:val="99"/>
    <w:semiHidden/>
    <w:rsid w:val="00A809E7"/>
    <w:rPr>
      <w:rFonts w:ascii="Courier New" w:hAnsi="Courier New"/>
      <w:lang w:val="x-none" w:eastAsia="cs-CZ"/>
    </w:rPr>
  </w:style>
  <w:style w:type="character" w:customStyle="1" w:styleId="ObyajntextChar1237">
    <w:name w:val="Obyčajný text Char1237"/>
    <w:aliases w:val="Obyčajný text Char Char Char Char1238"/>
    <w:uiPriority w:val="99"/>
    <w:semiHidden/>
    <w:rsid w:val="00A809E7"/>
    <w:rPr>
      <w:rFonts w:ascii="Courier New" w:hAnsi="Courier New"/>
      <w:lang w:val="x-none" w:eastAsia="cs-CZ"/>
    </w:rPr>
  </w:style>
  <w:style w:type="character" w:customStyle="1" w:styleId="ObyajntextChar1236">
    <w:name w:val="Obyčajný text Char1236"/>
    <w:aliases w:val="Obyčajný text Char Char Char Char1237"/>
    <w:uiPriority w:val="99"/>
    <w:semiHidden/>
    <w:rsid w:val="00A809E7"/>
    <w:rPr>
      <w:rFonts w:ascii="Courier New" w:hAnsi="Courier New"/>
      <w:lang w:val="x-none" w:eastAsia="cs-CZ"/>
    </w:rPr>
  </w:style>
  <w:style w:type="character" w:customStyle="1" w:styleId="ObyajntextChar1235">
    <w:name w:val="Obyčajný text Char1235"/>
    <w:aliases w:val="Obyčajný text Char Char Char Char1236"/>
    <w:uiPriority w:val="99"/>
    <w:semiHidden/>
    <w:rsid w:val="00A809E7"/>
    <w:rPr>
      <w:rFonts w:ascii="Courier New" w:hAnsi="Courier New"/>
      <w:lang w:val="x-none" w:eastAsia="cs-CZ"/>
    </w:rPr>
  </w:style>
  <w:style w:type="character" w:customStyle="1" w:styleId="ObyajntextChar1234">
    <w:name w:val="Obyčajný text Char1234"/>
    <w:aliases w:val="Obyčajný text Char Char Char Char1235"/>
    <w:uiPriority w:val="99"/>
    <w:semiHidden/>
    <w:rsid w:val="00A809E7"/>
    <w:rPr>
      <w:rFonts w:ascii="Courier New" w:hAnsi="Courier New"/>
      <w:lang w:val="x-none" w:eastAsia="cs-CZ"/>
    </w:rPr>
  </w:style>
  <w:style w:type="character" w:customStyle="1" w:styleId="ObyajntextChar1233">
    <w:name w:val="Obyčajný text Char1233"/>
    <w:aliases w:val="Obyčajný text Char Char Char Char1234"/>
    <w:uiPriority w:val="99"/>
    <w:semiHidden/>
    <w:rsid w:val="00A809E7"/>
    <w:rPr>
      <w:rFonts w:ascii="Courier New" w:hAnsi="Courier New"/>
      <w:lang w:val="x-none" w:eastAsia="cs-CZ"/>
    </w:rPr>
  </w:style>
  <w:style w:type="character" w:customStyle="1" w:styleId="ObyajntextChar1232">
    <w:name w:val="Obyčajný text Char1232"/>
    <w:aliases w:val="Obyčajný text Char Char Char Char1233"/>
    <w:uiPriority w:val="99"/>
    <w:semiHidden/>
    <w:rsid w:val="00A809E7"/>
    <w:rPr>
      <w:rFonts w:ascii="Courier New" w:hAnsi="Courier New"/>
      <w:lang w:val="x-none" w:eastAsia="cs-CZ"/>
    </w:rPr>
  </w:style>
  <w:style w:type="character" w:customStyle="1" w:styleId="ObyajntextChar1231">
    <w:name w:val="Obyčajný text Char1231"/>
    <w:aliases w:val="Obyčajný text Char Char Char Char1232"/>
    <w:uiPriority w:val="99"/>
    <w:semiHidden/>
    <w:rsid w:val="00A809E7"/>
    <w:rPr>
      <w:rFonts w:ascii="Courier New" w:hAnsi="Courier New"/>
      <w:lang w:val="x-none" w:eastAsia="cs-CZ"/>
    </w:rPr>
  </w:style>
  <w:style w:type="character" w:customStyle="1" w:styleId="ObyajntextChar1230">
    <w:name w:val="Obyčajný text Char1230"/>
    <w:aliases w:val="Obyčajný text Char Char Char Char1231"/>
    <w:uiPriority w:val="99"/>
    <w:semiHidden/>
    <w:rsid w:val="00A809E7"/>
    <w:rPr>
      <w:rFonts w:ascii="Courier New" w:hAnsi="Courier New"/>
      <w:lang w:val="x-none" w:eastAsia="cs-CZ"/>
    </w:rPr>
  </w:style>
  <w:style w:type="character" w:customStyle="1" w:styleId="ObyajntextChar1229">
    <w:name w:val="Obyčajný text Char1229"/>
    <w:aliases w:val="Obyčajný text Char Char Char Char1230"/>
    <w:uiPriority w:val="99"/>
    <w:semiHidden/>
    <w:rsid w:val="00A809E7"/>
    <w:rPr>
      <w:rFonts w:ascii="Courier New" w:hAnsi="Courier New"/>
      <w:lang w:val="x-none" w:eastAsia="cs-CZ"/>
    </w:rPr>
  </w:style>
  <w:style w:type="character" w:customStyle="1" w:styleId="ObyajntextChar1228">
    <w:name w:val="Obyčajný text Char1228"/>
    <w:aliases w:val="Obyčajný text Char Char Char Char1229"/>
    <w:uiPriority w:val="99"/>
    <w:semiHidden/>
    <w:rsid w:val="00A809E7"/>
    <w:rPr>
      <w:rFonts w:ascii="Courier New" w:hAnsi="Courier New"/>
      <w:lang w:val="x-none" w:eastAsia="cs-CZ"/>
    </w:rPr>
  </w:style>
  <w:style w:type="character" w:customStyle="1" w:styleId="ObyajntextChar1227">
    <w:name w:val="Obyčajný text Char1227"/>
    <w:aliases w:val="Obyčajný text Char Char Char Char1228"/>
    <w:uiPriority w:val="99"/>
    <w:semiHidden/>
    <w:rsid w:val="00A809E7"/>
    <w:rPr>
      <w:rFonts w:ascii="Courier New" w:hAnsi="Courier New"/>
      <w:lang w:val="x-none" w:eastAsia="cs-CZ"/>
    </w:rPr>
  </w:style>
  <w:style w:type="character" w:customStyle="1" w:styleId="ObyajntextChar1226">
    <w:name w:val="Obyčajný text Char1226"/>
    <w:aliases w:val="Obyčajný text Char Char Char Char1227"/>
    <w:uiPriority w:val="99"/>
    <w:semiHidden/>
    <w:rsid w:val="00A809E7"/>
    <w:rPr>
      <w:rFonts w:ascii="Courier New" w:hAnsi="Courier New"/>
      <w:lang w:val="x-none" w:eastAsia="cs-CZ"/>
    </w:rPr>
  </w:style>
  <w:style w:type="character" w:customStyle="1" w:styleId="ObyajntextChar1225">
    <w:name w:val="Obyčajný text Char1225"/>
    <w:aliases w:val="Obyčajný text Char Char Char Char1226"/>
    <w:uiPriority w:val="99"/>
    <w:semiHidden/>
    <w:rsid w:val="00A809E7"/>
    <w:rPr>
      <w:rFonts w:ascii="Courier New" w:hAnsi="Courier New"/>
      <w:lang w:val="x-none" w:eastAsia="cs-CZ"/>
    </w:rPr>
  </w:style>
  <w:style w:type="character" w:customStyle="1" w:styleId="ObyajntextChar1224">
    <w:name w:val="Obyčajný text Char1224"/>
    <w:aliases w:val="Obyčajný text Char Char Char Char1225"/>
    <w:uiPriority w:val="99"/>
    <w:semiHidden/>
    <w:rsid w:val="00A809E7"/>
    <w:rPr>
      <w:rFonts w:ascii="Courier New" w:hAnsi="Courier New"/>
      <w:lang w:val="x-none" w:eastAsia="cs-CZ"/>
    </w:rPr>
  </w:style>
  <w:style w:type="character" w:customStyle="1" w:styleId="ObyajntextChar1223">
    <w:name w:val="Obyčajný text Char1223"/>
    <w:aliases w:val="Obyčajný text Char Char Char Char1224"/>
    <w:uiPriority w:val="99"/>
    <w:semiHidden/>
    <w:rsid w:val="00A809E7"/>
    <w:rPr>
      <w:rFonts w:ascii="Courier New" w:hAnsi="Courier New"/>
      <w:lang w:val="x-none" w:eastAsia="cs-CZ"/>
    </w:rPr>
  </w:style>
  <w:style w:type="character" w:customStyle="1" w:styleId="ObyajntextChar1222">
    <w:name w:val="Obyčajný text Char1222"/>
    <w:aliases w:val="Obyčajný text Char Char Char Char1223"/>
    <w:uiPriority w:val="99"/>
    <w:semiHidden/>
    <w:rsid w:val="00A809E7"/>
    <w:rPr>
      <w:rFonts w:ascii="Courier New" w:hAnsi="Courier New"/>
      <w:lang w:val="x-none" w:eastAsia="cs-CZ"/>
    </w:rPr>
  </w:style>
  <w:style w:type="character" w:customStyle="1" w:styleId="ObyajntextChar1221">
    <w:name w:val="Obyčajný text Char1221"/>
    <w:aliases w:val="Obyčajný text Char Char Char Char1222"/>
    <w:uiPriority w:val="99"/>
    <w:semiHidden/>
    <w:rsid w:val="00A809E7"/>
    <w:rPr>
      <w:rFonts w:ascii="Courier New" w:hAnsi="Courier New"/>
      <w:lang w:val="x-none" w:eastAsia="cs-CZ"/>
    </w:rPr>
  </w:style>
  <w:style w:type="character" w:customStyle="1" w:styleId="ObyajntextChar1220">
    <w:name w:val="Obyčajný text Char1220"/>
    <w:aliases w:val="Obyčajný text Char Char Char Char1221"/>
    <w:uiPriority w:val="99"/>
    <w:semiHidden/>
    <w:rsid w:val="00A809E7"/>
    <w:rPr>
      <w:rFonts w:ascii="Courier New" w:hAnsi="Courier New"/>
      <w:lang w:val="x-none" w:eastAsia="cs-CZ"/>
    </w:rPr>
  </w:style>
  <w:style w:type="character" w:customStyle="1" w:styleId="ObyajntextChar1219">
    <w:name w:val="Obyčajný text Char1219"/>
    <w:aliases w:val="Obyčajný text Char Char Char Char1220"/>
    <w:uiPriority w:val="99"/>
    <w:semiHidden/>
    <w:rsid w:val="00A809E7"/>
    <w:rPr>
      <w:rFonts w:ascii="Courier New" w:hAnsi="Courier New"/>
      <w:lang w:val="x-none" w:eastAsia="cs-CZ"/>
    </w:rPr>
  </w:style>
  <w:style w:type="character" w:customStyle="1" w:styleId="ObyajntextChar1218">
    <w:name w:val="Obyčajný text Char1218"/>
    <w:aliases w:val="Obyčajný text Char Char Char Char1219"/>
    <w:uiPriority w:val="99"/>
    <w:semiHidden/>
    <w:rsid w:val="00A809E7"/>
    <w:rPr>
      <w:rFonts w:ascii="Courier New" w:hAnsi="Courier New"/>
      <w:lang w:val="x-none" w:eastAsia="cs-CZ"/>
    </w:rPr>
  </w:style>
  <w:style w:type="character" w:customStyle="1" w:styleId="ObyajntextChar1217">
    <w:name w:val="Obyčajný text Char1217"/>
    <w:aliases w:val="Obyčajný text Char Char Char Char1218"/>
    <w:uiPriority w:val="99"/>
    <w:semiHidden/>
    <w:rsid w:val="00A809E7"/>
    <w:rPr>
      <w:rFonts w:ascii="Courier New" w:hAnsi="Courier New"/>
      <w:lang w:val="x-none" w:eastAsia="cs-CZ"/>
    </w:rPr>
  </w:style>
  <w:style w:type="character" w:customStyle="1" w:styleId="ObyajntextChar1216">
    <w:name w:val="Obyčajný text Char1216"/>
    <w:aliases w:val="Obyčajný text Char Char Char Char1217"/>
    <w:uiPriority w:val="99"/>
    <w:semiHidden/>
    <w:rsid w:val="00A809E7"/>
    <w:rPr>
      <w:rFonts w:ascii="Courier New" w:hAnsi="Courier New"/>
      <w:lang w:val="x-none" w:eastAsia="cs-CZ"/>
    </w:rPr>
  </w:style>
  <w:style w:type="character" w:customStyle="1" w:styleId="ObyajntextChar1215">
    <w:name w:val="Obyčajný text Char1215"/>
    <w:aliases w:val="Obyčajný text Char Char Char Char1216"/>
    <w:uiPriority w:val="99"/>
    <w:semiHidden/>
    <w:rsid w:val="00A809E7"/>
    <w:rPr>
      <w:rFonts w:ascii="Courier New" w:hAnsi="Courier New"/>
      <w:lang w:val="x-none" w:eastAsia="cs-CZ"/>
    </w:rPr>
  </w:style>
  <w:style w:type="character" w:customStyle="1" w:styleId="ObyajntextChar1214">
    <w:name w:val="Obyčajný text Char1214"/>
    <w:aliases w:val="Obyčajný text Char Char Char Char1215"/>
    <w:uiPriority w:val="99"/>
    <w:semiHidden/>
    <w:rsid w:val="00A809E7"/>
    <w:rPr>
      <w:rFonts w:ascii="Courier New" w:hAnsi="Courier New"/>
      <w:lang w:val="x-none" w:eastAsia="cs-CZ"/>
    </w:rPr>
  </w:style>
  <w:style w:type="character" w:customStyle="1" w:styleId="ObyajntextChar1213">
    <w:name w:val="Obyčajný text Char1213"/>
    <w:aliases w:val="Obyčajný text Char Char Char Char1214"/>
    <w:uiPriority w:val="99"/>
    <w:semiHidden/>
    <w:rsid w:val="00A809E7"/>
    <w:rPr>
      <w:rFonts w:ascii="Courier New" w:hAnsi="Courier New"/>
      <w:lang w:val="x-none" w:eastAsia="cs-CZ"/>
    </w:rPr>
  </w:style>
  <w:style w:type="character" w:customStyle="1" w:styleId="ObyajntextChar1212">
    <w:name w:val="Obyčajný text Char1212"/>
    <w:aliases w:val="Obyčajný text Char Char Char Char1213"/>
    <w:uiPriority w:val="99"/>
    <w:semiHidden/>
    <w:rsid w:val="00A809E7"/>
    <w:rPr>
      <w:rFonts w:ascii="Courier New" w:hAnsi="Courier New"/>
      <w:lang w:val="x-none" w:eastAsia="cs-CZ"/>
    </w:rPr>
  </w:style>
  <w:style w:type="character" w:customStyle="1" w:styleId="ObyajntextChar1211">
    <w:name w:val="Obyčajný text Char1211"/>
    <w:aliases w:val="Obyčajný text Char Char Char Char1212"/>
    <w:uiPriority w:val="99"/>
    <w:semiHidden/>
    <w:rsid w:val="00A809E7"/>
    <w:rPr>
      <w:rFonts w:ascii="Courier New" w:hAnsi="Courier New"/>
      <w:lang w:val="x-none" w:eastAsia="cs-CZ"/>
    </w:rPr>
  </w:style>
  <w:style w:type="character" w:customStyle="1" w:styleId="ObyajntextChar1210">
    <w:name w:val="Obyčajný text Char1210"/>
    <w:aliases w:val="Obyčajný text Char Char Char Char1211"/>
    <w:uiPriority w:val="99"/>
    <w:semiHidden/>
    <w:rsid w:val="00A809E7"/>
    <w:rPr>
      <w:rFonts w:ascii="Courier New" w:hAnsi="Courier New"/>
      <w:lang w:val="x-none" w:eastAsia="cs-CZ"/>
    </w:rPr>
  </w:style>
  <w:style w:type="character" w:customStyle="1" w:styleId="ObyajntextChar1209">
    <w:name w:val="Obyčajný text Char1209"/>
    <w:aliases w:val="Obyčajný text Char Char Char Char1210"/>
    <w:uiPriority w:val="99"/>
    <w:semiHidden/>
    <w:rsid w:val="00A809E7"/>
    <w:rPr>
      <w:rFonts w:ascii="Courier New" w:hAnsi="Courier New"/>
      <w:lang w:val="x-none" w:eastAsia="cs-CZ"/>
    </w:rPr>
  </w:style>
  <w:style w:type="character" w:customStyle="1" w:styleId="ObyajntextChar1208">
    <w:name w:val="Obyčajný text Char1208"/>
    <w:aliases w:val="Obyčajný text Char Char Char Char1209"/>
    <w:uiPriority w:val="99"/>
    <w:semiHidden/>
    <w:rsid w:val="00A809E7"/>
    <w:rPr>
      <w:rFonts w:ascii="Courier New" w:hAnsi="Courier New"/>
      <w:lang w:val="x-none" w:eastAsia="cs-CZ"/>
    </w:rPr>
  </w:style>
  <w:style w:type="character" w:customStyle="1" w:styleId="ObyajntextChar1207">
    <w:name w:val="Obyčajný text Char1207"/>
    <w:aliases w:val="Obyčajný text Char Char Char Char1208"/>
    <w:uiPriority w:val="99"/>
    <w:semiHidden/>
    <w:rsid w:val="00A809E7"/>
    <w:rPr>
      <w:rFonts w:ascii="Courier New" w:hAnsi="Courier New"/>
      <w:lang w:val="x-none" w:eastAsia="cs-CZ"/>
    </w:rPr>
  </w:style>
  <w:style w:type="character" w:customStyle="1" w:styleId="ObyajntextChar1206">
    <w:name w:val="Obyčajný text Char1206"/>
    <w:aliases w:val="Obyčajný text Char Char Char Char1207"/>
    <w:uiPriority w:val="99"/>
    <w:semiHidden/>
    <w:rsid w:val="00A809E7"/>
    <w:rPr>
      <w:rFonts w:ascii="Courier New" w:hAnsi="Courier New"/>
      <w:lang w:val="x-none" w:eastAsia="cs-CZ"/>
    </w:rPr>
  </w:style>
  <w:style w:type="character" w:customStyle="1" w:styleId="ObyajntextChar1205">
    <w:name w:val="Obyčajný text Char1205"/>
    <w:aliases w:val="Obyčajný text Char Char Char Char1206"/>
    <w:uiPriority w:val="99"/>
    <w:semiHidden/>
    <w:rsid w:val="00A809E7"/>
    <w:rPr>
      <w:rFonts w:ascii="Courier New" w:hAnsi="Courier New"/>
      <w:lang w:val="x-none" w:eastAsia="cs-CZ"/>
    </w:rPr>
  </w:style>
  <w:style w:type="character" w:customStyle="1" w:styleId="ObyajntextChar1204">
    <w:name w:val="Obyčajný text Char1204"/>
    <w:aliases w:val="Obyčajný text Char Char Char Char1205"/>
    <w:uiPriority w:val="99"/>
    <w:semiHidden/>
    <w:rsid w:val="00A809E7"/>
    <w:rPr>
      <w:rFonts w:ascii="Courier New" w:hAnsi="Courier New"/>
      <w:lang w:val="x-none" w:eastAsia="cs-CZ"/>
    </w:rPr>
  </w:style>
  <w:style w:type="character" w:customStyle="1" w:styleId="ObyajntextChar1203">
    <w:name w:val="Obyčajný text Char1203"/>
    <w:aliases w:val="Obyčajný text Char Char Char Char1204"/>
    <w:uiPriority w:val="99"/>
    <w:semiHidden/>
    <w:rsid w:val="00A809E7"/>
    <w:rPr>
      <w:rFonts w:ascii="Courier New" w:hAnsi="Courier New"/>
      <w:lang w:val="x-none" w:eastAsia="cs-CZ"/>
    </w:rPr>
  </w:style>
  <w:style w:type="character" w:customStyle="1" w:styleId="ObyajntextChar1202">
    <w:name w:val="Obyčajný text Char1202"/>
    <w:aliases w:val="Obyčajný text Char Char Char Char1203"/>
    <w:uiPriority w:val="99"/>
    <w:semiHidden/>
    <w:rsid w:val="00A809E7"/>
    <w:rPr>
      <w:rFonts w:ascii="Courier New" w:hAnsi="Courier New"/>
      <w:lang w:val="x-none" w:eastAsia="cs-CZ"/>
    </w:rPr>
  </w:style>
  <w:style w:type="character" w:customStyle="1" w:styleId="ObyajntextChar1201">
    <w:name w:val="Obyčajný text Char1201"/>
    <w:aliases w:val="Obyčajný text Char Char Char Char1202"/>
    <w:uiPriority w:val="99"/>
    <w:semiHidden/>
    <w:rsid w:val="00A809E7"/>
    <w:rPr>
      <w:rFonts w:ascii="Courier New" w:hAnsi="Courier New"/>
      <w:lang w:val="x-none" w:eastAsia="cs-CZ"/>
    </w:rPr>
  </w:style>
  <w:style w:type="character" w:customStyle="1" w:styleId="ObyajntextChar1200">
    <w:name w:val="Obyčajný text Char1200"/>
    <w:aliases w:val="Obyčajný text Char Char Char Char1201"/>
    <w:uiPriority w:val="99"/>
    <w:semiHidden/>
    <w:rsid w:val="00A809E7"/>
    <w:rPr>
      <w:rFonts w:ascii="Courier New" w:hAnsi="Courier New"/>
      <w:lang w:val="x-none" w:eastAsia="cs-CZ"/>
    </w:rPr>
  </w:style>
  <w:style w:type="character" w:customStyle="1" w:styleId="ObyajntextChar1199">
    <w:name w:val="Obyčajný text Char1199"/>
    <w:aliases w:val="Obyčajný text Char Char Char Char1200"/>
    <w:uiPriority w:val="99"/>
    <w:semiHidden/>
    <w:rsid w:val="00A809E7"/>
    <w:rPr>
      <w:rFonts w:ascii="Courier New" w:hAnsi="Courier New"/>
      <w:lang w:val="x-none" w:eastAsia="cs-CZ"/>
    </w:rPr>
  </w:style>
  <w:style w:type="character" w:customStyle="1" w:styleId="ObyajntextChar1198">
    <w:name w:val="Obyčajný text Char1198"/>
    <w:aliases w:val="Obyčajný text Char Char Char Char1199"/>
    <w:uiPriority w:val="99"/>
    <w:semiHidden/>
    <w:rsid w:val="00A809E7"/>
    <w:rPr>
      <w:rFonts w:ascii="Courier New" w:hAnsi="Courier New"/>
      <w:lang w:val="x-none" w:eastAsia="cs-CZ"/>
    </w:rPr>
  </w:style>
  <w:style w:type="character" w:customStyle="1" w:styleId="ObyajntextChar1197">
    <w:name w:val="Obyčajný text Char1197"/>
    <w:aliases w:val="Obyčajný text Char Char Char Char1198"/>
    <w:uiPriority w:val="99"/>
    <w:semiHidden/>
    <w:rsid w:val="00A809E7"/>
    <w:rPr>
      <w:rFonts w:ascii="Courier New" w:hAnsi="Courier New"/>
      <w:lang w:val="x-none" w:eastAsia="cs-CZ"/>
    </w:rPr>
  </w:style>
  <w:style w:type="character" w:customStyle="1" w:styleId="ObyajntextChar1196">
    <w:name w:val="Obyčajný text Char1196"/>
    <w:aliases w:val="Obyčajný text Char Char Char Char1197"/>
    <w:uiPriority w:val="99"/>
    <w:semiHidden/>
    <w:rsid w:val="00A809E7"/>
    <w:rPr>
      <w:rFonts w:ascii="Courier New" w:hAnsi="Courier New"/>
      <w:lang w:val="x-none" w:eastAsia="cs-CZ"/>
    </w:rPr>
  </w:style>
  <w:style w:type="character" w:customStyle="1" w:styleId="ObyajntextChar1195">
    <w:name w:val="Obyčajný text Char1195"/>
    <w:aliases w:val="Obyčajný text Char Char Char Char1196"/>
    <w:uiPriority w:val="99"/>
    <w:semiHidden/>
    <w:rsid w:val="00A809E7"/>
    <w:rPr>
      <w:rFonts w:ascii="Courier New" w:hAnsi="Courier New"/>
      <w:lang w:val="x-none" w:eastAsia="cs-CZ"/>
    </w:rPr>
  </w:style>
  <w:style w:type="character" w:customStyle="1" w:styleId="ObyajntextChar1194">
    <w:name w:val="Obyčajný text Char1194"/>
    <w:aliases w:val="Obyčajný text Char Char Char Char1195"/>
    <w:uiPriority w:val="99"/>
    <w:semiHidden/>
    <w:rsid w:val="00A809E7"/>
    <w:rPr>
      <w:rFonts w:ascii="Courier New" w:hAnsi="Courier New"/>
      <w:lang w:val="x-none" w:eastAsia="cs-CZ"/>
    </w:rPr>
  </w:style>
  <w:style w:type="character" w:customStyle="1" w:styleId="ObyajntextChar1193">
    <w:name w:val="Obyčajný text Char1193"/>
    <w:aliases w:val="Obyčajný text Char Char Char Char1194"/>
    <w:uiPriority w:val="99"/>
    <w:semiHidden/>
    <w:rsid w:val="00A809E7"/>
    <w:rPr>
      <w:rFonts w:ascii="Courier New" w:hAnsi="Courier New"/>
      <w:lang w:val="x-none" w:eastAsia="cs-CZ"/>
    </w:rPr>
  </w:style>
  <w:style w:type="character" w:customStyle="1" w:styleId="ObyajntextChar1192">
    <w:name w:val="Obyčajný text Char1192"/>
    <w:aliases w:val="Obyčajný text Char Char Char Char1193"/>
    <w:uiPriority w:val="99"/>
    <w:semiHidden/>
    <w:rsid w:val="00A809E7"/>
    <w:rPr>
      <w:rFonts w:ascii="Courier New" w:hAnsi="Courier New"/>
      <w:lang w:val="x-none" w:eastAsia="cs-CZ"/>
    </w:rPr>
  </w:style>
  <w:style w:type="character" w:customStyle="1" w:styleId="ObyajntextChar1191">
    <w:name w:val="Obyčajný text Char1191"/>
    <w:aliases w:val="Obyčajný text Char Char Char Char1192"/>
    <w:uiPriority w:val="99"/>
    <w:semiHidden/>
    <w:rsid w:val="00A809E7"/>
    <w:rPr>
      <w:rFonts w:ascii="Courier New" w:hAnsi="Courier New"/>
      <w:lang w:val="x-none" w:eastAsia="cs-CZ"/>
    </w:rPr>
  </w:style>
  <w:style w:type="character" w:customStyle="1" w:styleId="ObyajntextChar1190">
    <w:name w:val="Obyčajný text Char1190"/>
    <w:aliases w:val="Obyčajný text Char Char Char Char1191"/>
    <w:uiPriority w:val="99"/>
    <w:semiHidden/>
    <w:rsid w:val="00A809E7"/>
    <w:rPr>
      <w:rFonts w:ascii="Courier New" w:hAnsi="Courier New"/>
      <w:lang w:val="x-none" w:eastAsia="cs-CZ"/>
    </w:rPr>
  </w:style>
  <w:style w:type="character" w:customStyle="1" w:styleId="ObyajntextChar1189">
    <w:name w:val="Obyčajný text Char1189"/>
    <w:aliases w:val="Obyčajný text Char Char Char Char1190"/>
    <w:uiPriority w:val="99"/>
    <w:semiHidden/>
    <w:rsid w:val="00A809E7"/>
    <w:rPr>
      <w:rFonts w:ascii="Courier New" w:hAnsi="Courier New"/>
      <w:lang w:val="x-none" w:eastAsia="cs-CZ"/>
    </w:rPr>
  </w:style>
  <w:style w:type="character" w:customStyle="1" w:styleId="ObyajntextChar1188">
    <w:name w:val="Obyčajný text Char1188"/>
    <w:aliases w:val="Obyčajný text Char Char Char Char1189"/>
    <w:uiPriority w:val="99"/>
    <w:semiHidden/>
    <w:rsid w:val="00A809E7"/>
    <w:rPr>
      <w:rFonts w:ascii="Courier New" w:hAnsi="Courier New"/>
      <w:lang w:val="x-none" w:eastAsia="cs-CZ"/>
    </w:rPr>
  </w:style>
  <w:style w:type="character" w:customStyle="1" w:styleId="ObyajntextChar1187">
    <w:name w:val="Obyčajný text Char1187"/>
    <w:aliases w:val="Obyčajný text Char Char Char Char1188"/>
    <w:uiPriority w:val="99"/>
    <w:semiHidden/>
    <w:rsid w:val="00A809E7"/>
    <w:rPr>
      <w:rFonts w:ascii="Courier New" w:hAnsi="Courier New"/>
      <w:lang w:val="x-none" w:eastAsia="cs-CZ"/>
    </w:rPr>
  </w:style>
  <w:style w:type="character" w:customStyle="1" w:styleId="ObyajntextChar1186">
    <w:name w:val="Obyčajný text Char1186"/>
    <w:aliases w:val="Obyčajný text Char Char Char Char1187"/>
    <w:uiPriority w:val="99"/>
    <w:semiHidden/>
    <w:rsid w:val="00A809E7"/>
    <w:rPr>
      <w:rFonts w:ascii="Courier New" w:hAnsi="Courier New"/>
      <w:lang w:val="x-none" w:eastAsia="cs-CZ"/>
    </w:rPr>
  </w:style>
  <w:style w:type="character" w:customStyle="1" w:styleId="ObyajntextChar1185">
    <w:name w:val="Obyčajný text Char1185"/>
    <w:aliases w:val="Obyčajný text Char Char Char Char1186"/>
    <w:uiPriority w:val="99"/>
    <w:semiHidden/>
    <w:rsid w:val="00A809E7"/>
    <w:rPr>
      <w:rFonts w:ascii="Courier New" w:hAnsi="Courier New"/>
      <w:lang w:val="x-none" w:eastAsia="cs-CZ"/>
    </w:rPr>
  </w:style>
  <w:style w:type="character" w:customStyle="1" w:styleId="ObyajntextChar1184">
    <w:name w:val="Obyčajný text Char1184"/>
    <w:aliases w:val="Obyčajný text Char Char Char Char1185"/>
    <w:uiPriority w:val="99"/>
    <w:semiHidden/>
    <w:rsid w:val="00A809E7"/>
    <w:rPr>
      <w:rFonts w:ascii="Courier New" w:hAnsi="Courier New"/>
      <w:lang w:val="x-none" w:eastAsia="cs-CZ"/>
    </w:rPr>
  </w:style>
  <w:style w:type="character" w:customStyle="1" w:styleId="ObyajntextChar1183">
    <w:name w:val="Obyčajný text Char1183"/>
    <w:aliases w:val="Obyčajný text Char Char Char Char1184"/>
    <w:uiPriority w:val="99"/>
    <w:semiHidden/>
    <w:rsid w:val="00A809E7"/>
    <w:rPr>
      <w:rFonts w:ascii="Courier New" w:hAnsi="Courier New"/>
      <w:lang w:val="x-none" w:eastAsia="cs-CZ"/>
    </w:rPr>
  </w:style>
  <w:style w:type="character" w:customStyle="1" w:styleId="ObyajntextChar1182">
    <w:name w:val="Obyčajný text Char1182"/>
    <w:aliases w:val="Obyčajný text Char Char Char Char1183"/>
    <w:uiPriority w:val="99"/>
    <w:semiHidden/>
    <w:rsid w:val="00A809E7"/>
    <w:rPr>
      <w:rFonts w:ascii="Courier New" w:hAnsi="Courier New"/>
      <w:lang w:val="x-none" w:eastAsia="cs-CZ"/>
    </w:rPr>
  </w:style>
  <w:style w:type="character" w:customStyle="1" w:styleId="ObyajntextChar1181">
    <w:name w:val="Obyčajný text Char1181"/>
    <w:aliases w:val="Obyčajný text Char Char Char Char1182"/>
    <w:uiPriority w:val="99"/>
    <w:semiHidden/>
    <w:rsid w:val="00A809E7"/>
    <w:rPr>
      <w:rFonts w:ascii="Courier New" w:hAnsi="Courier New"/>
      <w:lang w:val="x-none" w:eastAsia="cs-CZ"/>
    </w:rPr>
  </w:style>
  <w:style w:type="character" w:customStyle="1" w:styleId="ObyajntextChar1180">
    <w:name w:val="Obyčajný text Char1180"/>
    <w:aliases w:val="Obyčajný text Char Char Char Char1181"/>
    <w:uiPriority w:val="99"/>
    <w:semiHidden/>
    <w:rsid w:val="00A809E7"/>
    <w:rPr>
      <w:rFonts w:ascii="Courier New" w:hAnsi="Courier New"/>
      <w:lang w:val="x-none" w:eastAsia="cs-CZ"/>
    </w:rPr>
  </w:style>
  <w:style w:type="character" w:customStyle="1" w:styleId="ObyajntextChar1179">
    <w:name w:val="Obyčajný text Char1179"/>
    <w:aliases w:val="Obyčajný text Char Char Char Char1180"/>
    <w:uiPriority w:val="99"/>
    <w:semiHidden/>
    <w:rsid w:val="00A809E7"/>
    <w:rPr>
      <w:rFonts w:ascii="Courier New" w:hAnsi="Courier New"/>
      <w:lang w:val="x-none" w:eastAsia="cs-CZ"/>
    </w:rPr>
  </w:style>
  <w:style w:type="character" w:customStyle="1" w:styleId="ObyajntextChar1178">
    <w:name w:val="Obyčajný text Char1178"/>
    <w:aliases w:val="Obyčajný text Char Char Char Char1179"/>
    <w:uiPriority w:val="99"/>
    <w:semiHidden/>
    <w:rsid w:val="00A809E7"/>
    <w:rPr>
      <w:rFonts w:ascii="Courier New" w:hAnsi="Courier New"/>
      <w:lang w:val="x-none" w:eastAsia="cs-CZ"/>
    </w:rPr>
  </w:style>
  <w:style w:type="character" w:customStyle="1" w:styleId="ObyajntextChar1177">
    <w:name w:val="Obyčajný text Char1177"/>
    <w:aliases w:val="Obyčajný text Char Char Char Char1178"/>
    <w:uiPriority w:val="99"/>
    <w:semiHidden/>
    <w:rsid w:val="00A809E7"/>
    <w:rPr>
      <w:rFonts w:ascii="Courier New" w:hAnsi="Courier New"/>
      <w:lang w:val="x-none" w:eastAsia="cs-CZ"/>
    </w:rPr>
  </w:style>
  <w:style w:type="character" w:customStyle="1" w:styleId="ObyajntextChar1176">
    <w:name w:val="Obyčajný text Char1176"/>
    <w:aliases w:val="Obyčajný text Char Char Char Char1177"/>
    <w:uiPriority w:val="99"/>
    <w:semiHidden/>
    <w:rsid w:val="00A809E7"/>
    <w:rPr>
      <w:rFonts w:ascii="Courier New" w:hAnsi="Courier New"/>
      <w:lang w:val="x-none" w:eastAsia="cs-CZ"/>
    </w:rPr>
  </w:style>
  <w:style w:type="character" w:customStyle="1" w:styleId="ObyajntextChar1175">
    <w:name w:val="Obyčajný text Char1175"/>
    <w:aliases w:val="Obyčajný text Char Char Char Char1176"/>
    <w:uiPriority w:val="99"/>
    <w:semiHidden/>
    <w:rsid w:val="00A809E7"/>
    <w:rPr>
      <w:rFonts w:ascii="Courier New" w:hAnsi="Courier New"/>
      <w:lang w:val="x-none" w:eastAsia="cs-CZ"/>
    </w:rPr>
  </w:style>
  <w:style w:type="character" w:customStyle="1" w:styleId="ObyajntextChar1174">
    <w:name w:val="Obyčajný text Char1174"/>
    <w:aliases w:val="Obyčajný text Char Char Char Char1175"/>
    <w:uiPriority w:val="99"/>
    <w:semiHidden/>
    <w:rsid w:val="00A809E7"/>
    <w:rPr>
      <w:rFonts w:ascii="Courier New" w:hAnsi="Courier New"/>
      <w:lang w:val="x-none" w:eastAsia="cs-CZ"/>
    </w:rPr>
  </w:style>
  <w:style w:type="character" w:customStyle="1" w:styleId="ObyajntextChar1173">
    <w:name w:val="Obyčajný text Char1173"/>
    <w:aliases w:val="Obyčajný text Char Char Char Char1174"/>
    <w:uiPriority w:val="99"/>
    <w:semiHidden/>
    <w:rsid w:val="00A809E7"/>
    <w:rPr>
      <w:rFonts w:ascii="Courier New" w:hAnsi="Courier New"/>
      <w:lang w:val="x-none" w:eastAsia="cs-CZ"/>
    </w:rPr>
  </w:style>
  <w:style w:type="character" w:customStyle="1" w:styleId="ObyajntextChar1172">
    <w:name w:val="Obyčajný text Char1172"/>
    <w:aliases w:val="Obyčajný text Char Char Char Char1173"/>
    <w:uiPriority w:val="99"/>
    <w:semiHidden/>
    <w:rsid w:val="00A809E7"/>
    <w:rPr>
      <w:rFonts w:ascii="Courier New" w:hAnsi="Courier New"/>
      <w:lang w:val="x-none" w:eastAsia="cs-CZ"/>
    </w:rPr>
  </w:style>
  <w:style w:type="character" w:customStyle="1" w:styleId="ObyajntextChar1171">
    <w:name w:val="Obyčajný text Char1171"/>
    <w:aliases w:val="Obyčajný text Char Char Char Char1172"/>
    <w:uiPriority w:val="99"/>
    <w:semiHidden/>
    <w:rsid w:val="00A809E7"/>
    <w:rPr>
      <w:rFonts w:ascii="Courier New" w:hAnsi="Courier New"/>
      <w:lang w:val="x-none" w:eastAsia="cs-CZ"/>
    </w:rPr>
  </w:style>
  <w:style w:type="character" w:customStyle="1" w:styleId="ObyajntextChar1165">
    <w:name w:val="Obyčajný text Char1165"/>
    <w:aliases w:val="Obyčajný text Char Char Char Char1166"/>
    <w:uiPriority w:val="99"/>
    <w:semiHidden/>
    <w:rsid w:val="00A809E7"/>
    <w:rPr>
      <w:rFonts w:ascii="Courier New" w:hAnsi="Courier New"/>
      <w:lang w:val="x-none" w:eastAsia="cs-CZ"/>
    </w:rPr>
  </w:style>
  <w:style w:type="character" w:customStyle="1" w:styleId="ObyajntextChar1164">
    <w:name w:val="Obyčajný text Char1164"/>
    <w:aliases w:val="Obyčajný text Char Char Char Char1165"/>
    <w:uiPriority w:val="99"/>
    <w:semiHidden/>
    <w:rsid w:val="00A809E7"/>
    <w:rPr>
      <w:rFonts w:ascii="Courier New" w:hAnsi="Courier New"/>
      <w:lang w:val="x-none" w:eastAsia="cs-CZ"/>
    </w:rPr>
  </w:style>
  <w:style w:type="character" w:customStyle="1" w:styleId="ObyajntextChar1163">
    <w:name w:val="Obyčajný text Char1163"/>
    <w:aliases w:val="Obyčajný text Char Char Char Char1164"/>
    <w:uiPriority w:val="99"/>
    <w:semiHidden/>
    <w:rsid w:val="00A809E7"/>
    <w:rPr>
      <w:rFonts w:ascii="Courier New" w:hAnsi="Courier New"/>
      <w:lang w:val="x-none" w:eastAsia="cs-CZ"/>
    </w:rPr>
  </w:style>
  <w:style w:type="character" w:customStyle="1" w:styleId="ObyajntextChar1162">
    <w:name w:val="Obyčajný text Char1162"/>
    <w:aliases w:val="Obyčajný text Char Char Char Char1163"/>
    <w:uiPriority w:val="99"/>
    <w:semiHidden/>
    <w:rsid w:val="00A809E7"/>
    <w:rPr>
      <w:rFonts w:ascii="Courier New" w:hAnsi="Courier New"/>
      <w:lang w:val="x-none" w:eastAsia="cs-CZ"/>
    </w:rPr>
  </w:style>
  <w:style w:type="character" w:customStyle="1" w:styleId="ObyajntextChar1161">
    <w:name w:val="Obyčajný text Char1161"/>
    <w:aliases w:val="Obyčajný text Char Char Char Char1162"/>
    <w:uiPriority w:val="99"/>
    <w:semiHidden/>
    <w:rsid w:val="00A809E7"/>
    <w:rPr>
      <w:rFonts w:ascii="Courier New" w:hAnsi="Courier New"/>
      <w:lang w:val="x-none" w:eastAsia="cs-CZ"/>
    </w:rPr>
  </w:style>
  <w:style w:type="character" w:customStyle="1" w:styleId="ObyajntextChar1160">
    <w:name w:val="Obyčajný text Char1160"/>
    <w:aliases w:val="Obyčajný text Char Char Char Char1161"/>
    <w:uiPriority w:val="99"/>
    <w:semiHidden/>
    <w:rsid w:val="00A809E7"/>
    <w:rPr>
      <w:rFonts w:ascii="Courier New" w:hAnsi="Courier New"/>
      <w:lang w:val="x-none" w:eastAsia="cs-CZ"/>
    </w:rPr>
  </w:style>
  <w:style w:type="character" w:customStyle="1" w:styleId="ObyajntextChar1159">
    <w:name w:val="Obyčajný text Char1159"/>
    <w:aliases w:val="Obyčajný text Char Char Char Char1160"/>
    <w:uiPriority w:val="99"/>
    <w:semiHidden/>
    <w:rsid w:val="00A809E7"/>
    <w:rPr>
      <w:rFonts w:ascii="Courier New" w:hAnsi="Courier New"/>
      <w:lang w:val="x-none" w:eastAsia="cs-CZ"/>
    </w:rPr>
  </w:style>
  <w:style w:type="character" w:customStyle="1" w:styleId="ObyajntextChar1158">
    <w:name w:val="Obyčajný text Char1158"/>
    <w:aliases w:val="Obyčajný text Char Char Char Char1159"/>
    <w:uiPriority w:val="99"/>
    <w:semiHidden/>
    <w:rsid w:val="00A809E7"/>
    <w:rPr>
      <w:rFonts w:ascii="Courier New" w:hAnsi="Courier New"/>
      <w:lang w:val="x-none" w:eastAsia="cs-CZ"/>
    </w:rPr>
  </w:style>
  <w:style w:type="character" w:customStyle="1" w:styleId="ObyajntextChar1157">
    <w:name w:val="Obyčajný text Char1157"/>
    <w:aliases w:val="Obyčajný text Char Char Char Char1158"/>
    <w:uiPriority w:val="99"/>
    <w:semiHidden/>
    <w:rsid w:val="00A809E7"/>
    <w:rPr>
      <w:rFonts w:ascii="Courier New" w:hAnsi="Courier New"/>
      <w:lang w:val="x-none" w:eastAsia="cs-CZ"/>
    </w:rPr>
  </w:style>
  <w:style w:type="character" w:customStyle="1" w:styleId="ObyajntextChar1156">
    <w:name w:val="Obyčajný text Char1156"/>
    <w:aliases w:val="Obyčajný text Char Char Char Char1157"/>
    <w:uiPriority w:val="99"/>
    <w:semiHidden/>
    <w:rsid w:val="00A809E7"/>
    <w:rPr>
      <w:rFonts w:ascii="Courier New" w:hAnsi="Courier New"/>
      <w:lang w:val="x-none" w:eastAsia="cs-CZ"/>
    </w:rPr>
  </w:style>
  <w:style w:type="character" w:customStyle="1" w:styleId="ObyajntextChar1155">
    <w:name w:val="Obyčajný text Char1155"/>
    <w:aliases w:val="Obyčajný text Char Char Char Char1156"/>
    <w:uiPriority w:val="99"/>
    <w:semiHidden/>
    <w:rsid w:val="00A809E7"/>
    <w:rPr>
      <w:rFonts w:ascii="Courier New" w:hAnsi="Courier New"/>
      <w:lang w:val="x-none" w:eastAsia="cs-CZ"/>
    </w:rPr>
  </w:style>
  <w:style w:type="character" w:customStyle="1" w:styleId="ObyajntextChar1154">
    <w:name w:val="Obyčajný text Char1154"/>
    <w:aliases w:val="Obyčajný text Char Char Char Char1155"/>
    <w:uiPriority w:val="99"/>
    <w:semiHidden/>
    <w:rsid w:val="00A809E7"/>
    <w:rPr>
      <w:rFonts w:ascii="Courier New" w:hAnsi="Courier New"/>
      <w:lang w:val="x-none" w:eastAsia="cs-CZ"/>
    </w:rPr>
  </w:style>
  <w:style w:type="character" w:customStyle="1" w:styleId="ObyajntextChar1153">
    <w:name w:val="Obyčajný text Char1153"/>
    <w:aliases w:val="Obyčajný text Char Char Char Char1154"/>
    <w:uiPriority w:val="99"/>
    <w:semiHidden/>
    <w:rsid w:val="00A809E7"/>
    <w:rPr>
      <w:rFonts w:ascii="Courier New" w:hAnsi="Courier New"/>
      <w:lang w:val="x-none" w:eastAsia="cs-CZ"/>
    </w:rPr>
  </w:style>
  <w:style w:type="character" w:customStyle="1" w:styleId="ObyajntextChar1152">
    <w:name w:val="Obyčajný text Char1152"/>
    <w:aliases w:val="Obyčajný text Char Char Char Char1153"/>
    <w:uiPriority w:val="99"/>
    <w:semiHidden/>
    <w:rsid w:val="00A809E7"/>
    <w:rPr>
      <w:rFonts w:ascii="Courier New" w:hAnsi="Courier New"/>
      <w:lang w:val="x-none" w:eastAsia="cs-CZ"/>
    </w:rPr>
  </w:style>
  <w:style w:type="character" w:customStyle="1" w:styleId="ObyajntextChar1151">
    <w:name w:val="Obyčajný text Char1151"/>
    <w:aliases w:val="Obyčajný text Char Char Char Char1152"/>
    <w:uiPriority w:val="99"/>
    <w:semiHidden/>
    <w:rsid w:val="00A809E7"/>
    <w:rPr>
      <w:rFonts w:ascii="Courier New" w:hAnsi="Courier New"/>
      <w:lang w:val="x-none" w:eastAsia="cs-CZ"/>
    </w:rPr>
  </w:style>
  <w:style w:type="character" w:customStyle="1" w:styleId="ObyajntextChar1150">
    <w:name w:val="Obyčajný text Char1150"/>
    <w:aliases w:val="Obyčajný text Char Char Char Char1151"/>
    <w:uiPriority w:val="99"/>
    <w:semiHidden/>
    <w:rsid w:val="00A809E7"/>
    <w:rPr>
      <w:rFonts w:ascii="Courier New" w:hAnsi="Courier New"/>
      <w:lang w:val="x-none" w:eastAsia="cs-CZ"/>
    </w:rPr>
  </w:style>
  <w:style w:type="character" w:customStyle="1" w:styleId="ObyajntextChar1149">
    <w:name w:val="Obyčajný text Char1149"/>
    <w:aliases w:val="Obyčajný text Char Char Char Char1150"/>
    <w:uiPriority w:val="99"/>
    <w:semiHidden/>
    <w:rsid w:val="00A809E7"/>
    <w:rPr>
      <w:rFonts w:ascii="Courier New" w:hAnsi="Courier New"/>
      <w:lang w:val="x-none" w:eastAsia="cs-CZ"/>
    </w:rPr>
  </w:style>
  <w:style w:type="character" w:customStyle="1" w:styleId="ObyajntextChar1148">
    <w:name w:val="Obyčajný text Char1148"/>
    <w:aliases w:val="Obyčajný text Char Char Char Char1149"/>
    <w:uiPriority w:val="99"/>
    <w:semiHidden/>
    <w:rsid w:val="00A809E7"/>
    <w:rPr>
      <w:rFonts w:ascii="Courier New" w:hAnsi="Courier New"/>
      <w:lang w:val="x-none" w:eastAsia="cs-CZ"/>
    </w:rPr>
  </w:style>
  <w:style w:type="character" w:customStyle="1" w:styleId="ObyajntextChar1147">
    <w:name w:val="Obyčajný text Char1147"/>
    <w:aliases w:val="Obyčajný text Char Char Char Char1148"/>
    <w:uiPriority w:val="99"/>
    <w:semiHidden/>
    <w:rsid w:val="00A809E7"/>
    <w:rPr>
      <w:rFonts w:ascii="Courier New" w:hAnsi="Courier New"/>
      <w:lang w:val="x-none" w:eastAsia="cs-CZ"/>
    </w:rPr>
  </w:style>
  <w:style w:type="character" w:customStyle="1" w:styleId="ObyajntextChar1146">
    <w:name w:val="Obyčajný text Char1146"/>
    <w:aliases w:val="Obyčajný text Char Char Char Char1147"/>
    <w:uiPriority w:val="99"/>
    <w:semiHidden/>
    <w:rsid w:val="00A809E7"/>
    <w:rPr>
      <w:rFonts w:ascii="Courier New" w:hAnsi="Courier New"/>
      <w:lang w:val="x-none" w:eastAsia="cs-CZ"/>
    </w:rPr>
  </w:style>
  <w:style w:type="character" w:customStyle="1" w:styleId="ObyajntextChar1145">
    <w:name w:val="Obyčajný text Char1145"/>
    <w:aliases w:val="Obyčajný text Char Char Char Char1146"/>
    <w:uiPriority w:val="99"/>
    <w:semiHidden/>
    <w:rsid w:val="00A809E7"/>
    <w:rPr>
      <w:rFonts w:ascii="Courier New" w:hAnsi="Courier New"/>
      <w:lang w:val="x-none" w:eastAsia="cs-CZ"/>
    </w:rPr>
  </w:style>
  <w:style w:type="character" w:customStyle="1" w:styleId="ObyajntextChar1144">
    <w:name w:val="Obyčajný text Char1144"/>
    <w:aliases w:val="Obyčajný text Char Char Char Char1145"/>
    <w:uiPriority w:val="99"/>
    <w:semiHidden/>
    <w:rsid w:val="00A809E7"/>
    <w:rPr>
      <w:rFonts w:ascii="Courier New" w:hAnsi="Courier New"/>
      <w:lang w:val="x-none" w:eastAsia="cs-CZ"/>
    </w:rPr>
  </w:style>
  <w:style w:type="character" w:customStyle="1" w:styleId="ObyajntextChar1143">
    <w:name w:val="Obyčajný text Char1143"/>
    <w:aliases w:val="Obyčajný text Char Char Char Char1144"/>
    <w:uiPriority w:val="99"/>
    <w:semiHidden/>
    <w:rsid w:val="00A809E7"/>
    <w:rPr>
      <w:rFonts w:ascii="Courier New" w:hAnsi="Courier New"/>
      <w:lang w:val="x-none" w:eastAsia="cs-CZ"/>
    </w:rPr>
  </w:style>
  <w:style w:type="character" w:customStyle="1" w:styleId="ObyajntextChar1142">
    <w:name w:val="Obyčajný text Char1142"/>
    <w:aliases w:val="Obyčajný text Char Char Char Char1143"/>
    <w:uiPriority w:val="99"/>
    <w:semiHidden/>
    <w:rsid w:val="00A809E7"/>
    <w:rPr>
      <w:rFonts w:ascii="Courier New" w:hAnsi="Courier New"/>
      <w:lang w:val="x-none" w:eastAsia="cs-CZ"/>
    </w:rPr>
  </w:style>
  <w:style w:type="character" w:customStyle="1" w:styleId="ObyajntextChar1141">
    <w:name w:val="Obyčajný text Char1141"/>
    <w:aliases w:val="Obyčajný text Char Char Char Char1142"/>
    <w:uiPriority w:val="99"/>
    <w:semiHidden/>
    <w:rsid w:val="00A809E7"/>
    <w:rPr>
      <w:rFonts w:ascii="Courier New" w:hAnsi="Courier New"/>
      <w:lang w:val="x-none" w:eastAsia="cs-CZ"/>
    </w:rPr>
  </w:style>
  <w:style w:type="character" w:customStyle="1" w:styleId="ObyajntextChar1140">
    <w:name w:val="Obyčajný text Char1140"/>
    <w:aliases w:val="Obyčajný text Char Char Char Char1141"/>
    <w:uiPriority w:val="99"/>
    <w:semiHidden/>
    <w:rsid w:val="00A809E7"/>
    <w:rPr>
      <w:rFonts w:ascii="Courier New" w:hAnsi="Courier New"/>
      <w:lang w:val="x-none" w:eastAsia="cs-CZ"/>
    </w:rPr>
  </w:style>
  <w:style w:type="character" w:customStyle="1" w:styleId="ObyajntextChar1139">
    <w:name w:val="Obyčajný text Char1139"/>
    <w:aliases w:val="Obyčajný text Char Char Char Char1140"/>
    <w:uiPriority w:val="99"/>
    <w:semiHidden/>
    <w:rsid w:val="00A809E7"/>
    <w:rPr>
      <w:rFonts w:ascii="Courier New" w:hAnsi="Courier New"/>
      <w:lang w:val="x-none" w:eastAsia="cs-CZ"/>
    </w:rPr>
  </w:style>
  <w:style w:type="character" w:customStyle="1" w:styleId="ObyajntextChar1138">
    <w:name w:val="Obyčajný text Char1138"/>
    <w:aliases w:val="Obyčajný text Char Char Char Char1139"/>
    <w:uiPriority w:val="99"/>
    <w:semiHidden/>
    <w:rsid w:val="00A809E7"/>
    <w:rPr>
      <w:rFonts w:ascii="Courier New" w:hAnsi="Courier New"/>
      <w:lang w:val="x-none" w:eastAsia="cs-CZ"/>
    </w:rPr>
  </w:style>
  <w:style w:type="character" w:customStyle="1" w:styleId="ObyajntextChar1137">
    <w:name w:val="Obyčajný text Char1137"/>
    <w:aliases w:val="Obyčajný text Char Char Char Char1138"/>
    <w:uiPriority w:val="99"/>
    <w:semiHidden/>
    <w:rsid w:val="00A809E7"/>
    <w:rPr>
      <w:rFonts w:ascii="Courier New" w:hAnsi="Courier New"/>
      <w:lang w:val="x-none" w:eastAsia="cs-CZ"/>
    </w:rPr>
  </w:style>
  <w:style w:type="character" w:customStyle="1" w:styleId="ObyajntextChar1136">
    <w:name w:val="Obyčajný text Char1136"/>
    <w:aliases w:val="Obyčajný text Char Char Char Char1137"/>
    <w:uiPriority w:val="99"/>
    <w:semiHidden/>
    <w:rsid w:val="00A809E7"/>
    <w:rPr>
      <w:rFonts w:ascii="Courier New" w:hAnsi="Courier New"/>
      <w:lang w:val="x-none" w:eastAsia="cs-CZ"/>
    </w:rPr>
  </w:style>
  <w:style w:type="character" w:customStyle="1" w:styleId="ObyajntextChar1135">
    <w:name w:val="Obyčajný text Char1135"/>
    <w:aliases w:val="Obyčajný text Char Char Char Char1136"/>
    <w:uiPriority w:val="99"/>
    <w:semiHidden/>
    <w:rsid w:val="00A809E7"/>
    <w:rPr>
      <w:rFonts w:ascii="Courier New" w:hAnsi="Courier New"/>
      <w:lang w:val="x-none" w:eastAsia="cs-CZ"/>
    </w:rPr>
  </w:style>
  <w:style w:type="character" w:customStyle="1" w:styleId="ObyajntextChar1134">
    <w:name w:val="Obyčajný text Char1134"/>
    <w:aliases w:val="Obyčajný text Char Char Char Char1135"/>
    <w:uiPriority w:val="99"/>
    <w:semiHidden/>
    <w:rsid w:val="00A809E7"/>
    <w:rPr>
      <w:rFonts w:ascii="Courier New" w:hAnsi="Courier New"/>
      <w:lang w:val="x-none" w:eastAsia="cs-CZ"/>
    </w:rPr>
  </w:style>
  <w:style w:type="character" w:customStyle="1" w:styleId="ObyajntextChar1133">
    <w:name w:val="Obyčajný text Char1133"/>
    <w:aliases w:val="Obyčajný text Char Char Char Char1134"/>
    <w:uiPriority w:val="99"/>
    <w:semiHidden/>
    <w:rsid w:val="00A809E7"/>
    <w:rPr>
      <w:rFonts w:ascii="Courier New" w:hAnsi="Courier New"/>
      <w:lang w:val="x-none" w:eastAsia="cs-CZ"/>
    </w:rPr>
  </w:style>
  <w:style w:type="character" w:customStyle="1" w:styleId="ObyajntextChar1132">
    <w:name w:val="Obyčajný text Char1132"/>
    <w:aliases w:val="Obyčajný text Char Char Char Char1133"/>
    <w:uiPriority w:val="99"/>
    <w:semiHidden/>
    <w:rsid w:val="00A809E7"/>
    <w:rPr>
      <w:rFonts w:ascii="Courier New" w:hAnsi="Courier New"/>
      <w:lang w:val="x-none" w:eastAsia="cs-CZ"/>
    </w:rPr>
  </w:style>
  <w:style w:type="character" w:customStyle="1" w:styleId="ObyajntextChar1131">
    <w:name w:val="Obyčajný text Char1131"/>
    <w:aliases w:val="Obyčajný text Char Char Char Char1132"/>
    <w:uiPriority w:val="99"/>
    <w:semiHidden/>
    <w:rsid w:val="00A809E7"/>
    <w:rPr>
      <w:rFonts w:ascii="Courier New" w:hAnsi="Courier New"/>
      <w:lang w:val="x-none" w:eastAsia="cs-CZ"/>
    </w:rPr>
  </w:style>
  <w:style w:type="character" w:customStyle="1" w:styleId="ObyajntextChar1130">
    <w:name w:val="Obyčajný text Char1130"/>
    <w:aliases w:val="Obyčajný text Char Char Char Char1131"/>
    <w:uiPriority w:val="99"/>
    <w:semiHidden/>
    <w:rsid w:val="00A809E7"/>
    <w:rPr>
      <w:rFonts w:ascii="Courier New" w:hAnsi="Courier New"/>
      <w:lang w:val="x-none" w:eastAsia="cs-CZ"/>
    </w:rPr>
  </w:style>
  <w:style w:type="character" w:customStyle="1" w:styleId="ObyajntextChar1129">
    <w:name w:val="Obyčajný text Char1129"/>
    <w:aliases w:val="Obyčajný text Char Char Char Char1130"/>
    <w:uiPriority w:val="99"/>
    <w:semiHidden/>
    <w:rsid w:val="00A809E7"/>
    <w:rPr>
      <w:rFonts w:ascii="Courier New" w:hAnsi="Courier New"/>
      <w:lang w:val="x-none" w:eastAsia="cs-CZ"/>
    </w:rPr>
  </w:style>
  <w:style w:type="character" w:customStyle="1" w:styleId="ObyajntextChar1128">
    <w:name w:val="Obyčajný text Char1128"/>
    <w:aliases w:val="Obyčajný text Char Char Char Char1129"/>
    <w:uiPriority w:val="99"/>
    <w:semiHidden/>
    <w:rsid w:val="00A809E7"/>
    <w:rPr>
      <w:rFonts w:ascii="Courier New" w:hAnsi="Courier New"/>
      <w:lang w:val="x-none" w:eastAsia="cs-CZ"/>
    </w:rPr>
  </w:style>
  <w:style w:type="character" w:customStyle="1" w:styleId="ObyajntextChar1127">
    <w:name w:val="Obyčajný text Char1127"/>
    <w:aliases w:val="Obyčajný text Char Char Char Char1128"/>
    <w:uiPriority w:val="99"/>
    <w:semiHidden/>
    <w:rsid w:val="00A809E7"/>
    <w:rPr>
      <w:rFonts w:ascii="Courier New" w:hAnsi="Courier New"/>
      <w:lang w:val="x-none" w:eastAsia="cs-CZ"/>
    </w:rPr>
  </w:style>
  <w:style w:type="character" w:customStyle="1" w:styleId="ObyajntextChar1126">
    <w:name w:val="Obyčajný text Char1126"/>
    <w:aliases w:val="Obyčajný text Char Char Char Char1127"/>
    <w:uiPriority w:val="99"/>
    <w:semiHidden/>
    <w:rsid w:val="00A809E7"/>
    <w:rPr>
      <w:rFonts w:ascii="Courier New" w:hAnsi="Courier New"/>
      <w:lang w:val="x-none" w:eastAsia="cs-CZ"/>
    </w:rPr>
  </w:style>
  <w:style w:type="character" w:customStyle="1" w:styleId="ObyajntextChar1125">
    <w:name w:val="Obyčajný text Char1125"/>
    <w:aliases w:val="Obyčajný text Char Char Char Char1126"/>
    <w:uiPriority w:val="99"/>
    <w:semiHidden/>
    <w:rsid w:val="00A809E7"/>
    <w:rPr>
      <w:rFonts w:ascii="Courier New" w:hAnsi="Courier New"/>
      <w:lang w:val="x-none" w:eastAsia="cs-CZ"/>
    </w:rPr>
  </w:style>
  <w:style w:type="character" w:customStyle="1" w:styleId="ObyajntextChar1124">
    <w:name w:val="Obyčajný text Char1124"/>
    <w:aliases w:val="Obyčajný text Char Char Char Char1125"/>
    <w:uiPriority w:val="99"/>
    <w:semiHidden/>
    <w:rsid w:val="00A809E7"/>
    <w:rPr>
      <w:rFonts w:ascii="Courier New" w:hAnsi="Courier New"/>
      <w:lang w:val="x-none" w:eastAsia="cs-CZ"/>
    </w:rPr>
  </w:style>
  <w:style w:type="character" w:customStyle="1" w:styleId="ObyajntextChar1123">
    <w:name w:val="Obyčajný text Char1123"/>
    <w:aliases w:val="Obyčajný text Char Char Char Char1124"/>
    <w:uiPriority w:val="99"/>
    <w:semiHidden/>
    <w:rsid w:val="00A809E7"/>
    <w:rPr>
      <w:rFonts w:ascii="Courier New" w:hAnsi="Courier New"/>
      <w:lang w:val="x-none" w:eastAsia="cs-CZ"/>
    </w:rPr>
  </w:style>
  <w:style w:type="character" w:customStyle="1" w:styleId="ObyajntextChar1122">
    <w:name w:val="Obyčajný text Char1122"/>
    <w:aliases w:val="Obyčajný text Char Char Char Char1123"/>
    <w:uiPriority w:val="99"/>
    <w:semiHidden/>
    <w:rsid w:val="00A809E7"/>
    <w:rPr>
      <w:rFonts w:ascii="Courier New" w:hAnsi="Courier New"/>
      <w:lang w:val="x-none" w:eastAsia="cs-CZ"/>
    </w:rPr>
  </w:style>
  <w:style w:type="character" w:customStyle="1" w:styleId="ObyajntextChar1121">
    <w:name w:val="Obyčajný text Char1121"/>
    <w:aliases w:val="Obyčajný text Char Char Char Char1122"/>
    <w:uiPriority w:val="99"/>
    <w:semiHidden/>
    <w:rsid w:val="00A809E7"/>
    <w:rPr>
      <w:rFonts w:ascii="Courier New" w:hAnsi="Courier New"/>
      <w:lang w:val="x-none" w:eastAsia="cs-CZ"/>
    </w:rPr>
  </w:style>
  <w:style w:type="character" w:customStyle="1" w:styleId="ObyajntextChar1120">
    <w:name w:val="Obyčajný text Char1120"/>
    <w:aliases w:val="Obyčajný text Char Char Char Char1121"/>
    <w:uiPriority w:val="99"/>
    <w:semiHidden/>
    <w:rsid w:val="00A809E7"/>
    <w:rPr>
      <w:rFonts w:ascii="Courier New" w:hAnsi="Courier New"/>
      <w:lang w:val="x-none" w:eastAsia="cs-CZ"/>
    </w:rPr>
  </w:style>
  <w:style w:type="character" w:customStyle="1" w:styleId="ObyajntextChar1119">
    <w:name w:val="Obyčajný text Char1119"/>
    <w:aliases w:val="Obyčajný text Char Char Char Char1120"/>
    <w:uiPriority w:val="99"/>
    <w:semiHidden/>
    <w:rsid w:val="00A809E7"/>
    <w:rPr>
      <w:rFonts w:ascii="Courier New" w:hAnsi="Courier New"/>
      <w:lang w:val="x-none" w:eastAsia="cs-CZ"/>
    </w:rPr>
  </w:style>
  <w:style w:type="character" w:customStyle="1" w:styleId="ObyajntextChar1118">
    <w:name w:val="Obyčajný text Char1118"/>
    <w:aliases w:val="Obyčajný text Char Char Char Char1119"/>
    <w:uiPriority w:val="99"/>
    <w:semiHidden/>
    <w:rsid w:val="00A809E7"/>
    <w:rPr>
      <w:rFonts w:ascii="Courier New" w:hAnsi="Courier New"/>
      <w:lang w:val="x-none" w:eastAsia="cs-CZ"/>
    </w:rPr>
  </w:style>
  <w:style w:type="character" w:customStyle="1" w:styleId="ObyajntextChar1117">
    <w:name w:val="Obyčajný text Char1117"/>
    <w:aliases w:val="Obyčajný text Char Char Char Char1118"/>
    <w:uiPriority w:val="99"/>
    <w:semiHidden/>
    <w:rsid w:val="00A809E7"/>
    <w:rPr>
      <w:rFonts w:ascii="Courier New" w:hAnsi="Courier New"/>
      <w:lang w:val="x-none" w:eastAsia="cs-CZ"/>
    </w:rPr>
  </w:style>
  <w:style w:type="character" w:customStyle="1" w:styleId="ObyajntextChar1116">
    <w:name w:val="Obyčajný text Char1116"/>
    <w:aliases w:val="Obyčajný text Char Char Char Char1117"/>
    <w:uiPriority w:val="99"/>
    <w:semiHidden/>
    <w:rsid w:val="00A809E7"/>
    <w:rPr>
      <w:rFonts w:ascii="Courier New" w:hAnsi="Courier New"/>
      <w:lang w:val="x-none" w:eastAsia="cs-CZ"/>
    </w:rPr>
  </w:style>
  <w:style w:type="character" w:customStyle="1" w:styleId="ObyajntextChar1115">
    <w:name w:val="Obyčajný text Char1115"/>
    <w:aliases w:val="Obyčajný text Char Char Char Char1116"/>
    <w:uiPriority w:val="99"/>
    <w:semiHidden/>
    <w:rsid w:val="00A809E7"/>
    <w:rPr>
      <w:rFonts w:ascii="Courier New" w:hAnsi="Courier New"/>
      <w:lang w:val="x-none" w:eastAsia="cs-CZ"/>
    </w:rPr>
  </w:style>
  <w:style w:type="character" w:customStyle="1" w:styleId="ObyajntextChar1114">
    <w:name w:val="Obyčajný text Char1114"/>
    <w:aliases w:val="Obyčajný text Char Char Char Char1115"/>
    <w:uiPriority w:val="99"/>
    <w:semiHidden/>
    <w:rsid w:val="00A809E7"/>
    <w:rPr>
      <w:rFonts w:ascii="Courier New" w:hAnsi="Courier New"/>
      <w:lang w:val="x-none" w:eastAsia="cs-CZ"/>
    </w:rPr>
  </w:style>
  <w:style w:type="character" w:customStyle="1" w:styleId="ObyajntextChar1113">
    <w:name w:val="Obyčajný text Char1113"/>
    <w:aliases w:val="Obyčajný text Char Char Char Char1114"/>
    <w:uiPriority w:val="99"/>
    <w:semiHidden/>
    <w:rsid w:val="00A809E7"/>
    <w:rPr>
      <w:rFonts w:ascii="Courier New" w:hAnsi="Courier New"/>
      <w:lang w:val="x-none" w:eastAsia="cs-CZ"/>
    </w:rPr>
  </w:style>
  <w:style w:type="character" w:customStyle="1" w:styleId="ObyajntextChar1112">
    <w:name w:val="Obyčajný text Char1112"/>
    <w:aliases w:val="Obyčajný text Char Char Char Char1113"/>
    <w:uiPriority w:val="99"/>
    <w:semiHidden/>
    <w:rsid w:val="00A809E7"/>
    <w:rPr>
      <w:rFonts w:ascii="Courier New" w:hAnsi="Courier New"/>
      <w:lang w:val="x-none" w:eastAsia="cs-CZ"/>
    </w:rPr>
  </w:style>
  <w:style w:type="character" w:customStyle="1" w:styleId="ObyajntextChar1111">
    <w:name w:val="Obyčajný text Char1111"/>
    <w:aliases w:val="Obyčajný text Char Char Char Char1112"/>
    <w:uiPriority w:val="99"/>
    <w:semiHidden/>
    <w:rsid w:val="00A809E7"/>
    <w:rPr>
      <w:rFonts w:ascii="Courier New" w:hAnsi="Courier New"/>
      <w:lang w:val="x-none" w:eastAsia="cs-CZ"/>
    </w:rPr>
  </w:style>
  <w:style w:type="character" w:customStyle="1" w:styleId="ObyajntextChar1110">
    <w:name w:val="Obyčajný text Char1110"/>
    <w:aliases w:val="Obyčajný text Char Char Char Char1111"/>
    <w:uiPriority w:val="99"/>
    <w:semiHidden/>
    <w:rsid w:val="00A809E7"/>
    <w:rPr>
      <w:rFonts w:ascii="Courier New" w:hAnsi="Courier New"/>
      <w:lang w:val="x-none" w:eastAsia="cs-CZ"/>
    </w:rPr>
  </w:style>
  <w:style w:type="character" w:customStyle="1" w:styleId="ObyajntextChar1109">
    <w:name w:val="Obyčajný text Char1109"/>
    <w:aliases w:val="Obyčajný text Char Char Char Char1110"/>
    <w:uiPriority w:val="99"/>
    <w:semiHidden/>
    <w:rsid w:val="00A809E7"/>
    <w:rPr>
      <w:rFonts w:ascii="Courier New" w:hAnsi="Courier New"/>
      <w:lang w:val="x-none" w:eastAsia="cs-CZ"/>
    </w:rPr>
  </w:style>
  <w:style w:type="character" w:customStyle="1" w:styleId="ObyajntextChar1108">
    <w:name w:val="Obyčajný text Char1108"/>
    <w:aliases w:val="Obyčajný text Char Char Char Char1109"/>
    <w:uiPriority w:val="99"/>
    <w:semiHidden/>
    <w:rsid w:val="00A809E7"/>
    <w:rPr>
      <w:rFonts w:ascii="Courier New" w:hAnsi="Courier New"/>
      <w:lang w:val="x-none" w:eastAsia="cs-CZ"/>
    </w:rPr>
  </w:style>
  <w:style w:type="character" w:customStyle="1" w:styleId="ObyajntextChar1107">
    <w:name w:val="Obyčajný text Char1107"/>
    <w:aliases w:val="Obyčajný text Char Char Char Char1108"/>
    <w:uiPriority w:val="99"/>
    <w:semiHidden/>
    <w:rsid w:val="00A809E7"/>
    <w:rPr>
      <w:rFonts w:ascii="Courier New" w:hAnsi="Courier New"/>
      <w:lang w:val="x-none" w:eastAsia="cs-CZ"/>
    </w:rPr>
  </w:style>
  <w:style w:type="character" w:customStyle="1" w:styleId="ObyajntextChar1106">
    <w:name w:val="Obyčajný text Char1106"/>
    <w:aliases w:val="Obyčajný text Char Char Char Char1107"/>
    <w:uiPriority w:val="99"/>
    <w:semiHidden/>
    <w:rsid w:val="00A809E7"/>
    <w:rPr>
      <w:rFonts w:ascii="Courier New" w:hAnsi="Courier New"/>
      <w:lang w:val="x-none" w:eastAsia="cs-CZ"/>
    </w:rPr>
  </w:style>
  <w:style w:type="character" w:customStyle="1" w:styleId="ObyajntextChar1105">
    <w:name w:val="Obyčajný text Char1105"/>
    <w:aliases w:val="Obyčajný text Char Char Char Char1106"/>
    <w:uiPriority w:val="99"/>
    <w:semiHidden/>
    <w:rsid w:val="00A809E7"/>
    <w:rPr>
      <w:rFonts w:ascii="Courier New" w:hAnsi="Courier New"/>
      <w:lang w:val="x-none" w:eastAsia="cs-CZ"/>
    </w:rPr>
  </w:style>
  <w:style w:type="character" w:customStyle="1" w:styleId="ObyajntextChar1104">
    <w:name w:val="Obyčajný text Char1104"/>
    <w:aliases w:val="Obyčajný text Char Char Char Char1105"/>
    <w:uiPriority w:val="99"/>
    <w:semiHidden/>
    <w:rsid w:val="00A809E7"/>
    <w:rPr>
      <w:rFonts w:ascii="Courier New" w:hAnsi="Courier New"/>
      <w:lang w:val="x-none" w:eastAsia="cs-CZ"/>
    </w:rPr>
  </w:style>
  <w:style w:type="character" w:customStyle="1" w:styleId="ObyajntextChar1103">
    <w:name w:val="Obyčajný text Char1103"/>
    <w:aliases w:val="Obyčajný text Char Char Char Char1104"/>
    <w:uiPriority w:val="99"/>
    <w:semiHidden/>
    <w:rsid w:val="00A809E7"/>
    <w:rPr>
      <w:rFonts w:ascii="Courier New" w:hAnsi="Courier New"/>
      <w:lang w:val="x-none" w:eastAsia="cs-CZ"/>
    </w:rPr>
  </w:style>
  <w:style w:type="character" w:customStyle="1" w:styleId="ObyajntextChar1102">
    <w:name w:val="Obyčajný text Char1102"/>
    <w:aliases w:val="Obyčajný text Char Char Char Char1103"/>
    <w:uiPriority w:val="99"/>
    <w:semiHidden/>
    <w:rsid w:val="00A809E7"/>
    <w:rPr>
      <w:rFonts w:ascii="Courier New" w:hAnsi="Courier New"/>
      <w:lang w:val="x-none" w:eastAsia="cs-CZ"/>
    </w:rPr>
  </w:style>
  <w:style w:type="character" w:customStyle="1" w:styleId="ObyajntextChar1101">
    <w:name w:val="Obyčajný text Char1101"/>
    <w:aliases w:val="Obyčajný text Char Char Char Char1102"/>
    <w:uiPriority w:val="99"/>
    <w:semiHidden/>
    <w:rsid w:val="00A809E7"/>
    <w:rPr>
      <w:rFonts w:ascii="Courier New" w:hAnsi="Courier New"/>
      <w:lang w:val="x-none" w:eastAsia="cs-CZ"/>
    </w:rPr>
  </w:style>
  <w:style w:type="character" w:customStyle="1" w:styleId="ObyajntextChar1100">
    <w:name w:val="Obyčajný text Char1100"/>
    <w:aliases w:val="Obyčajný text Char Char Char Char1101"/>
    <w:uiPriority w:val="99"/>
    <w:semiHidden/>
    <w:rsid w:val="00A809E7"/>
    <w:rPr>
      <w:rFonts w:ascii="Courier New" w:hAnsi="Courier New"/>
      <w:lang w:val="x-none" w:eastAsia="cs-CZ"/>
    </w:rPr>
  </w:style>
  <w:style w:type="character" w:customStyle="1" w:styleId="ObyajntextChar199">
    <w:name w:val="Obyčajný text Char199"/>
    <w:aliases w:val="Obyčajný text Char Char Char Char1100"/>
    <w:uiPriority w:val="99"/>
    <w:semiHidden/>
    <w:rsid w:val="00A809E7"/>
    <w:rPr>
      <w:rFonts w:ascii="Courier New" w:hAnsi="Courier New"/>
      <w:lang w:val="x-none" w:eastAsia="cs-CZ"/>
    </w:rPr>
  </w:style>
  <w:style w:type="character" w:customStyle="1" w:styleId="ObyajntextChar198">
    <w:name w:val="Obyčajný text Char198"/>
    <w:aliases w:val="Obyčajný text Char Char Char Char199"/>
    <w:uiPriority w:val="99"/>
    <w:semiHidden/>
    <w:rsid w:val="00A809E7"/>
    <w:rPr>
      <w:rFonts w:ascii="Courier New" w:hAnsi="Courier New"/>
      <w:lang w:val="x-none" w:eastAsia="cs-CZ"/>
    </w:rPr>
  </w:style>
  <w:style w:type="character" w:customStyle="1" w:styleId="ObyajntextChar197">
    <w:name w:val="Obyčajný text Char197"/>
    <w:aliases w:val="Obyčajný text Char Char Char Char198"/>
    <w:uiPriority w:val="99"/>
    <w:semiHidden/>
    <w:rsid w:val="00A809E7"/>
    <w:rPr>
      <w:rFonts w:ascii="Courier New" w:hAnsi="Courier New"/>
      <w:lang w:val="x-none" w:eastAsia="cs-CZ"/>
    </w:rPr>
  </w:style>
  <w:style w:type="character" w:customStyle="1" w:styleId="ObyajntextChar196">
    <w:name w:val="Obyčajný text Char196"/>
    <w:aliases w:val="Obyčajný text Char Char Char Char197"/>
    <w:uiPriority w:val="99"/>
    <w:semiHidden/>
    <w:rsid w:val="00A809E7"/>
    <w:rPr>
      <w:rFonts w:ascii="Courier New" w:hAnsi="Courier New"/>
      <w:lang w:val="x-none" w:eastAsia="cs-CZ"/>
    </w:rPr>
  </w:style>
  <w:style w:type="character" w:customStyle="1" w:styleId="ObyajntextChar195">
    <w:name w:val="Obyčajný text Char195"/>
    <w:aliases w:val="Obyčajný text Char Char Char Char196"/>
    <w:uiPriority w:val="99"/>
    <w:semiHidden/>
    <w:rsid w:val="00A809E7"/>
    <w:rPr>
      <w:rFonts w:ascii="Courier New" w:hAnsi="Courier New"/>
      <w:lang w:val="x-none" w:eastAsia="cs-CZ"/>
    </w:rPr>
  </w:style>
  <w:style w:type="character" w:customStyle="1" w:styleId="ObyajntextChar194">
    <w:name w:val="Obyčajný text Char194"/>
    <w:aliases w:val="Obyčajný text Char Char Char Char195"/>
    <w:uiPriority w:val="99"/>
    <w:semiHidden/>
    <w:rsid w:val="00A809E7"/>
    <w:rPr>
      <w:rFonts w:ascii="Courier New" w:hAnsi="Courier New"/>
      <w:lang w:val="x-none" w:eastAsia="cs-CZ"/>
    </w:rPr>
  </w:style>
  <w:style w:type="character" w:customStyle="1" w:styleId="ObyajntextChar193">
    <w:name w:val="Obyčajný text Char193"/>
    <w:aliases w:val="Obyčajný text Char Char Char Char194"/>
    <w:uiPriority w:val="99"/>
    <w:semiHidden/>
    <w:rsid w:val="00A809E7"/>
    <w:rPr>
      <w:rFonts w:ascii="Courier New" w:hAnsi="Courier New"/>
      <w:lang w:val="x-none" w:eastAsia="cs-CZ"/>
    </w:rPr>
  </w:style>
  <w:style w:type="character" w:customStyle="1" w:styleId="ObyajntextChar192">
    <w:name w:val="Obyčajný text Char192"/>
    <w:aliases w:val="Obyčajný text Char Char Char Char193"/>
    <w:uiPriority w:val="99"/>
    <w:semiHidden/>
    <w:rsid w:val="00A809E7"/>
    <w:rPr>
      <w:rFonts w:ascii="Courier New" w:hAnsi="Courier New"/>
      <w:lang w:val="x-none" w:eastAsia="cs-CZ"/>
    </w:rPr>
  </w:style>
  <w:style w:type="character" w:customStyle="1" w:styleId="ObyajntextChar191">
    <w:name w:val="Obyčajný text Char191"/>
    <w:aliases w:val="Obyčajný text Char Char Char Char192"/>
    <w:uiPriority w:val="99"/>
    <w:semiHidden/>
    <w:rsid w:val="00A809E7"/>
    <w:rPr>
      <w:rFonts w:ascii="Courier New" w:hAnsi="Courier New"/>
      <w:lang w:val="x-none" w:eastAsia="cs-CZ"/>
    </w:rPr>
  </w:style>
  <w:style w:type="character" w:customStyle="1" w:styleId="ObyajntextChar190">
    <w:name w:val="Obyčajný text Char190"/>
    <w:aliases w:val="Obyčajný text Char Char Char Char191"/>
    <w:uiPriority w:val="99"/>
    <w:semiHidden/>
    <w:rsid w:val="00A809E7"/>
    <w:rPr>
      <w:rFonts w:ascii="Courier New" w:hAnsi="Courier New"/>
      <w:lang w:val="x-none" w:eastAsia="cs-CZ"/>
    </w:rPr>
  </w:style>
  <w:style w:type="character" w:customStyle="1" w:styleId="ObyajntextChar189">
    <w:name w:val="Obyčajný text Char189"/>
    <w:aliases w:val="Obyčajný text Char Char Char Char190"/>
    <w:uiPriority w:val="99"/>
    <w:semiHidden/>
    <w:rsid w:val="00A809E7"/>
    <w:rPr>
      <w:rFonts w:ascii="Courier New" w:hAnsi="Courier New"/>
      <w:lang w:val="x-none" w:eastAsia="cs-CZ"/>
    </w:rPr>
  </w:style>
  <w:style w:type="character" w:customStyle="1" w:styleId="ObyajntextChar188">
    <w:name w:val="Obyčajný text Char188"/>
    <w:aliases w:val="Obyčajný text Char Char Char Char189"/>
    <w:uiPriority w:val="99"/>
    <w:semiHidden/>
    <w:rsid w:val="00A809E7"/>
    <w:rPr>
      <w:rFonts w:ascii="Courier New" w:hAnsi="Courier New"/>
      <w:lang w:val="x-none" w:eastAsia="cs-CZ"/>
    </w:rPr>
  </w:style>
  <w:style w:type="character" w:customStyle="1" w:styleId="ObyajntextChar187">
    <w:name w:val="Obyčajný text Char187"/>
    <w:aliases w:val="Obyčajný text Char Char Char Char188"/>
    <w:uiPriority w:val="99"/>
    <w:semiHidden/>
    <w:rsid w:val="00A809E7"/>
    <w:rPr>
      <w:rFonts w:ascii="Courier New" w:hAnsi="Courier New"/>
      <w:lang w:val="x-none" w:eastAsia="cs-CZ"/>
    </w:rPr>
  </w:style>
  <w:style w:type="character" w:customStyle="1" w:styleId="ObyajntextChar186">
    <w:name w:val="Obyčajný text Char186"/>
    <w:aliases w:val="Obyčajný text Char Char Char Char187"/>
    <w:uiPriority w:val="99"/>
    <w:semiHidden/>
    <w:rsid w:val="00A809E7"/>
    <w:rPr>
      <w:rFonts w:ascii="Courier New" w:hAnsi="Courier New"/>
      <w:lang w:val="x-none" w:eastAsia="cs-CZ"/>
    </w:rPr>
  </w:style>
  <w:style w:type="character" w:customStyle="1" w:styleId="ObyajntextChar185">
    <w:name w:val="Obyčajný text Char185"/>
    <w:aliases w:val="Obyčajný text Char Char Char Char186"/>
    <w:uiPriority w:val="99"/>
    <w:semiHidden/>
    <w:rsid w:val="00A809E7"/>
    <w:rPr>
      <w:rFonts w:ascii="Courier New" w:hAnsi="Courier New"/>
      <w:lang w:val="x-none" w:eastAsia="cs-CZ"/>
    </w:rPr>
  </w:style>
  <w:style w:type="character" w:customStyle="1" w:styleId="ObyajntextChar184">
    <w:name w:val="Obyčajný text Char184"/>
    <w:aliases w:val="Obyčajný text Char Char Char Char185"/>
    <w:uiPriority w:val="99"/>
    <w:semiHidden/>
    <w:rsid w:val="00A809E7"/>
    <w:rPr>
      <w:rFonts w:ascii="Courier New" w:hAnsi="Courier New"/>
      <w:lang w:val="x-none" w:eastAsia="cs-CZ"/>
    </w:rPr>
  </w:style>
  <w:style w:type="character" w:customStyle="1" w:styleId="ObyajntextChar183">
    <w:name w:val="Obyčajný text Char183"/>
    <w:aliases w:val="Obyčajný text Char Char Char Char184"/>
    <w:uiPriority w:val="99"/>
    <w:semiHidden/>
    <w:rsid w:val="00A809E7"/>
    <w:rPr>
      <w:rFonts w:ascii="Courier New" w:hAnsi="Courier New"/>
      <w:lang w:val="x-none" w:eastAsia="cs-CZ"/>
    </w:rPr>
  </w:style>
  <w:style w:type="character" w:customStyle="1" w:styleId="ObyajntextChar182">
    <w:name w:val="Obyčajný text Char182"/>
    <w:aliases w:val="Obyčajný text Char Char Char Char183"/>
    <w:uiPriority w:val="99"/>
    <w:semiHidden/>
    <w:rsid w:val="00A809E7"/>
    <w:rPr>
      <w:rFonts w:ascii="Courier New" w:hAnsi="Courier New"/>
      <w:lang w:val="x-none" w:eastAsia="cs-CZ"/>
    </w:rPr>
  </w:style>
  <w:style w:type="character" w:customStyle="1" w:styleId="ObyajntextChar181">
    <w:name w:val="Obyčajný text Char181"/>
    <w:aliases w:val="Obyčajný text Char Char Char Char182"/>
    <w:uiPriority w:val="99"/>
    <w:semiHidden/>
    <w:rsid w:val="00A809E7"/>
    <w:rPr>
      <w:rFonts w:ascii="Courier New" w:hAnsi="Courier New"/>
      <w:lang w:val="x-none" w:eastAsia="cs-CZ"/>
    </w:rPr>
  </w:style>
  <w:style w:type="character" w:customStyle="1" w:styleId="ObyajntextChar180">
    <w:name w:val="Obyčajný text Char180"/>
    <w:aliases w:val="Obyčajný text Char Char Char Char181"/>
    <w:uiPriority w:val="99"/>
    <w:semiHidden/>
    <w:rsid w:val="00A809E7"/>
    <w:rPr>
      <w:rFonts w:ascii="Courier New" w:hAnsi="Courier New"/>
      <w:lang w:val="x-none" w:eastAsia="cs-CZ"/>
    </w:rPr>
  </w:style>
  <w:style w:type="character" w:customStyle="1" w:styleId="ObyajntextChar179">
    <w:name w:val="Obyčajný text Char179"/>
    <w:aliases w:val="Obyčajný text Char Char Char Char180"/>
    <w:uiPriority w:val="99"/>
    <w:semiHidden/>
    <w:rsid w:val="00A809E7"/>
    <w:rPr>
      <w:rFonts w:ascii="Courier New" w:hAnsi="Courier New"/>
      <w:lang w:val="x-none" w:eastAsia="cs-CZ"/>
    </w:rPr>
  </w:style>
  <w:style w:type="character" w:customStyle="1" w:styleId="ObyajntextChar178">
    <w:name w:val="Obyčajný text Char178"/>
    <w:aliases w:val="Obyčajný text Char Char Char Char179"/>
    <w:uiPriority w:val="99"/>
    <w:semiHidden/>
    <w:rsid w:val="00A809E7"/>
    <w:rPr>
      <w:rFonts w:ascii="Courier New" w:hAnsi="Courier New"/>
      <w:lang w:val="x-none" w:eastAsia="cs-CZ"/>
    </w:rPr>
  </w:style>
  <w:style w:type="character" w:customStyle="1" w:styleId="ObyajntextChar177">
    <w:name w:val="Obyčajný text Char177"/>
    <w:aliases w:val="Obyčajný text Char Char Char Char178"/>
    <w:uiPriority w:val="99"/>
    <w:semiHidden/>
    <w:rsid w:val="00A809E7"/>
    <w:rPr>
      <w:rFonts w:ascii="Courier New" w:hAnsi="Courier New"/>
      <w:lang w:val="x-none" w:eastAsia="cs-CZ"/>
    </w:rPr>
  </w:style>
  <w:style w:type="character" w:customStyle="1" w:styleId="ObyajntextChar176">
    <w:name w:val="Obyčajný text Char176"/>
    <w:aliases w:val="Obyčajný text Char Char Char Char177"/>
    <w:uiPriority w:val="99"/>
    <w:semiHidden/>
    <w:rsid w:val="00A809E7"/>
    <w:rPr>
      <w:rFonts w:ascii="Courier New" w:hAnsi="Courier New"/>
      <w:lang w:val="x-none" w:eastAsia="cs-CZ"/>
    </w:rPr>
  </w:style>
  <w:style w:type="character" w:customStyle="1" w:styleId="ObyajntextChar175">
    <w:name w:val="Obyčajný text Char175"/>
    <w:aliases w:val="Obyčajný text Char Char Char Char176"/>
    <w:uiPriority w:val="99"/>
    <w:semiHidden/>
    <w:rsid w:val="00A809E7"/>
    <w:rPr>
      <w:rFonts w:ascii="Courier New" w:hAnsi="Courier New"/>
      <w:lang w:val="x-none" w:eastAsia="cs-CZ"/>
    </w:rPr>
  </w:style>
  <w:style w:type="character" w:customStyle="1" w:styleId="ObyajntextChar174">
    <w:name w:val="Obyčajný text Char174"/>
    <w:aliases w:val="Obyčajný text Char Char Char Char175"/>
    <w:uiPriority w:val="99"/>
    <w:semiHidden/>
    <w:rsid w:val="00A809E7"/>
    <w:rPr>
      <w:rFonts w:ascii="Courier New" w:hAnsi="Courier New"/>
      <w:lang w:val="x-none" w:eastAsia="cs-CZ"/>
    </w:rPr>
  </w:style>
  <w:style w:type="character" w:customStyle="1" w:styleId="ObyajntextChar173">
    <w:name w:val="Obyčajný text Char173"/>
    <w:aliases w:val="Obyčajný text Char Char Char Char174"/>
    <w:uiPriority w:val="99"/>
    <w:semiHidden/>
    <w:rsid w:val="00A809E7"/>
    <w:rPr>
      <w:rFonts w:ascii="Courier New" w:hAnsi="Courier New"/>
      <w:lang w:val="x-none" w:eastAsia="cs-CZ"/>
    </w:rPr>
  </w:style>
  <w:style w:type="character" w:customStyle="1" w:styleId="ObyajntextChar172">
    <w:name w:val="Obyčajný text Char172"/>
    <w:aliases w:val="Obyčajný text Char Char Char Char173"/>
    <w:uiPriority w:val="99"/>
    <w:semiHidden/>
    <w:rsid w:val="00A809E7"/>
    <w:rPr>
      <w:rFonts w:ascii="Courier New" w:hAnsi="Courier New"/>
      <w:lang w:val="x-none" w:eastAsia="cs-CZ"/>
    </w:rPr>
  </w:style>
  <w:style w:type="character" w:customStyle="1" w:styleId="ObyajntextChar171">
    <w:name w:val="Obyčajný text Char171"/>
    <w:aliases w:val="Obyčajný text Char Char Char Char172"/>
    <w:uiPriority w:val="99"/>
    <w:semiHidden/>
    <w:rsid w:val="00A809E7"/>
    <w:rPr>
      <w:rFonts w:ascii="Courier New" w:hAnsi="Courier New"/>
      <w:lang w:val="x-none" w:eastAsia="cs-CZ"/>
    </w:rPr>
  </w:style>
  <w:style w:type="character" w:customStyle="1" w:styleId="ObyajntextChar170">
    <w:name w:val="Obyčajný text Char170"/>
    <w:aliases w:val="Obyčajný text Char Char Char Char171"/>
    <w:uiPriority w:val="99"/>
    <w:semiHidden/>
    <w:rsid w:val="00A809E7"/>
    <w:rPr>
      <w:rFonts w:ascii="Courier New" w:hAnsi="Courier New"/>
      <w:lang w:val="x-none" w:eastAsia="cs-CZ"/>
    </w:rPr>
  </w:style>
  <w:style w:type="character" w:customStyle="1" w:styleId="ObyajntextChar169">
    <w:name w:val="Obyčajný text Char169"/>
    <w:aliases w:val="Obyčajný text Char Char Char Char170"/>
    <w:uiPriority w:val="99"/>
    <w:semiHidden/>
    <w:rsid w:val="00A809E7"/>
    <w:rPr>
      <w:rFonts w:ascii="Courier New" w:hAnsi="Courier New"/>
      <w:lang w:val="x-none" w:eastAsia="cs-CZ"/>
    </w:rPr>
  </w:style>
  <w:style w:type="character" w:customStyle="1" w:styleId="ObyajntextChar168">
    <w:name w:val="Obyčajný text Char168"/>
    <w:aliases w:val="Obyčajný text Char Char Char Char169"/>
    <w:uiPriority w:val="99"/>
    <w:semiHidden/>
    <w:rsid w:val="00A809E7"/>
    <w:rPr>
      <w:rFonts w:ascii="Courier New" w:hAnsi="Courier New"/>
      <w:lang w:val="x-none" w:eastAsia="cs-CZ"/>
    </w:rPr>
  </w:style>
  <w:style w:type="character" w:customStyle="1" w:styleId="ObyajntextChar167">
    <w:name w:val="Obyčajný text Char167"/>
    <w:aliases w:val="Obyčajný text Char Char Char Char168"/>
    <w:uiPriority w:val="99"/>
    <w:semiHidden/>
    <w:rsid w:val="00A809E7"/>
    <w:rPr>
      <w:rFonts w:ascii="Courier New" w:hAnsi="Courier New"/>
      <w:lang w:val="x-none" w:eastAsia="cs-CZ"/>
    </w:rPr>
  </w:style>
  <w:style w:type="character" w:customStyle="1" w:styleId="ObyajntextChar166">
    <w:name w:val="Obyčajný text Char166"/>
    <w:aliases w:val="Obyčajný text Char Char Char Char167"/>
    <w:uiPriority w:val="99"/>
    <w:semiHidden/>
    <w:rsid w:val="00A809E7"/>
    <w:rPr>
      <w:rFonts w:ascii="Courier New" w:hAnsi="Courier New"/>
      <w:lang w:val="x-none" w:eastAsia="cs-CZ"/>
    </w:rPr>
  </w:style>
  <w:style w:type="character" w:customStyle="1" w:styleId="ObyajntextChar165">
    <w:name w:val="Obyčajný text Char165"/>
    <w:aliases w:val="Obyčajný text Char Char Char Char166"/>
    <w:uiPriority w:val="99"/>
    <w:semiHidden/>
    <w:rsid w:val="00A809E7"/>
    <w:rPr>
      <w:rFonts w:ascii="Courier New" w:hAnsi="Courier New"/>
      <w:lang w:val="x-none" w:eastAsia="cs-CZ"/>
    </w:rPr>
  </w:style>
  <w:style w:type="character" w:customStyle="1" w:styleId="ObyajntextChar164">
    <w:name w:val="Obyčajný text Char164"/>
    <w:aliases w:val="Obyčajný text Char Char Char Char165"/>
    <w:uiPriority w:val="99"/>
    <w:semiHidden/>
    <w:rsid w:val="00A809E7"/>
    <w:rPr>
      <w:rFonts w:ascii="Courier New" w:hAnsi="Courier New"/>
      <w:lang w:val="x-none" w:eastAsia="cs-CZ"/>
    </w:rPr>
  </w:style>
  <w:style w:type="character" w:customStyle="1" w:styleId="ObyajntextChar163">
    <w:name w:val="Obyčajný text Char163"/>
    <w:aliases w:val="Obyčajný text Char Char Char Char164"/>
    <w:uiPriority w:val="99"/>
    <w:semiHidden/>
    <w:rsid w:val="00A809E7"/>
    <w:rPr>
      <w:rFonts w:ascii="Courier New" w:hAnsi="Courier New"/>
      <w:lang w:val="x-none" w:eastAsia="cs-CZ"/>
    </w:rPr>
  </w:style>
  <w:style w:type="character" w:customStyle="1" w:styleId="ObyajntextChar162">
    <w:name w:val="Obyčajný text Char162"/>
    <w:aliases w:val="Obyčajný text Char Char Char Char163"/>
    <w:uiPriority w:val="99"/>
    <w:semiHidden/>
    <w:rsid w:val="00A809E7"/>
    <w:rPr>
      <w:rFonts w:ascii="Courier New" w:hAnsi="Courier New"/>
      <w:lang w:val="x-none" w:eastAsia="cs-CZ"/>
    </w:rPr>
  </w:style>
  <w:style w:type="character" w:customStyle="1" w:styleId="ObyajntextChar161">
    <w:name w:val="Obyčajný text Char161"/>
    <w:aliases w:val="Obyčajný text Char Char Char Char162"/>
    <w:uiPriority w:val="99"/>
    <w:semiHidden/>
    <w:rsid w:val="00A809E7"/>
    <w:rPr>
      <w:rFonts w:ascii="Courier New" w:hAnsi="Courier New"/>
      <w:lang w:val="x-none" w:eastAsia="cs-CZ"/>
    </w:rPr>
  </w:style>
  <w:style w:type="character" w:customStyle="1" w:styleId="ObyajntextChar160">
    <w:name w:val="Obyčajný text Char160"/>
    <w:aliases w:val="Obyčajný text Char Char Char Char161"/>
    <w:uiPriority w:val="99"/>
    <w:semiHidden/>
    <w:rsid w:val="00A809E7"/>
    <w:rPr>
      <w:rFonts w:ascii="Courier New" w:hAnsi="Courier New"/>
      <w:lang w:val="x-none" w:eastAsia="cs-CZ"/>
    </w:rPr>
  </w:style>
  <w:style w:type="character" w:customStyle="1" w:styleId="ObyajntextChar159">
    <w:name w:val="Obyčajný text Char159"/>
    <w:aliases w:val="Obyčajný text Char Char Char Char160"/>
    <w:uiPriority w:val="99"/>
    <w:semiHidden/>
    <w:rsid w:val="00A809E7"/>
    <w:rPr>
      <w:rFonts w:ascii="Courier New" w:hAnsi="Courier New"/>
      <w:lang w:val="x-none" w:eastAsia="cs-CZ"/>
    </w:rPr>
  </w:style>
  <w:style w:type="character" w:customStyle="1" w:styleId="ObyajntextChar158">
    <w:name w:val="Obyčajný text Char158"/>
    <w:aliases w:val="Obyčajný text Char Char Char Char159"/>
    <w:uiPriority w:val="99"/>
    <w:semiHidden/>
    <w:rsid w:val="00A809E7"/>
    <w:rPr>
      <w:rFonts w:ascii="Courier New" w:hAnsi="Courier New"/>
      <w:lang w:val="x-none" w:eastAsia="cs-CZ"/>
    </w:rPr>
  </w:style>
  <w:style w:type="character" w:customStyle="1" w:styleId="ObyajntextChar157">
    <w:name w:val="Obyčajný text Char157"/>
    <w:aliases w:val="Obyčajný text Char Char Char Char158"/>
    <w:uiPriority w:val="99"/>
    <w:semiHidden/>
    <w:rsid w:val="00A809E7"/>
    <w:rPr>
      <w:rFonts w:ascii="Courier New" w:hAnsi="Courier New"/>
      <w:lang w:val="x-none" w:eastAsia="cs-CZ"/>
    </w:rPr>
  </w:style>
  <w:style w:type="character" w:customStyle="1" w:styleId="ObyajntextChar156">
    <w:name w:val="Obyčajný text Char156"/>
    <w:aliases w:val="Obyčajný text Char Char Char Char157"/>
    <w:uiPriority w:val="99"/>
    <w:semiHidden/>
    <w:rsid w:val="00A809E7"/>
    <w:rPr>
      <w:rFonts w:ascii="Courier New" w:hAnsi="Courier New"/>
      <w:lang w:val="x-none" w:eastAsia="cs-CZ"/>
    </w:rPr>
  </w:style>
  <w:style w:type="character" w:customStyle="1" w:styleId="ObyajntextChar155">
    <w:name w:val="Obyčajný text Char155"/>
    <w:aliases w:val="Obyčajný text Char Char Char Char156"/>
    <w:uiPriority w:val="99"/>
    <w:semiHidden/>
    <w:rsid w:val="00A809E7"/>
    <w:rPr>
      <w:rFonts w:ascii="Courier New" w:hAnsi="Courier New"/>
      <w:lang w:val="x-none" w:eastAsia="cs-CZ"/>
    </w:rPr>
  </w:style>
  <w:style w:type="character" w:customStyle="1" w:styleId="ObyajntextChar154">
    <w:name w:val="Obyčajný text Char154"/>
    <w:aliases w:val="Obyčajný text Char Char Char Char155"/>
    <w:uiPriority w:val="99"/>
    <w:semiHidden/>
    <w:rsid w:val="00A809E7"/>
    <w:rPr>
      <w:rFonts w:ascii="Courier New" w:hAnsi="Courier New"/>
      <w:lang w:val="x-none" w:eastAsia="cs-CZ"/>
    </w:rPr>
  </w:style>
  <w:style w:type="character" w:customStyle="1" w:styleId="ObyajntextChar153">
    <w:name w:val="Obyčajný text Char153"/>
    <w:aliases w:val="Obyčajný text Char Char Char Char154"/>
    <w:uiPriority w:val="99"/>
    <w:semiHidden/>
    <w:rsid w:val="00A809E7"/>
    <w:rPr>
      <w:rFonts w:ascii="Courier New" w:hAnsi="Courier New"/>
      <w:lang w:val="x-none" w:eastAsia="cs-CZ"/>
    </w:rPr>
  </w:style>
  <w:style w:type="character" w:customStyle="1" w:styleId="ObyajntextChar152">
    <w:name w:val="Obyčajný text Char152"/>
    <w:aliases w:val="Obyčajný text Char Char Char Char153"/>
    <w:uiPriority w:val="99"/>
    <w:semiHidden/>
    <w:rsid w:val="00A809E7"/>
    <w:rPr>
      <w:rFonts w:ascii="Courier New" w:hAnsi="Courier New"/>
      <w:lang w:val="x-none" w:eastAsia="cs-CZ"/>
    </w:rPr>
  </w:style>
  <w:style w:type="character" w:customStyle="1" w:styleId="ObyajntextChar151">
    <w:name w:val="Obyčajný text Char151"/>
    <w:aliases w:val="Obyčajný text Char Char Char Char152"/>
    <w:uiPriority w:val="99"/>
    <w:semiHidden/>
    <w:rsid w:val="00A809E7"/>
    <w:rPr>
      <w:rFonts w:ascii="Courier New" w:hAnsi="Courier New"/>
      <w:lang w:val="x-none" w:eastAsia="cs-CZ"/>
    </w:rPr>
  </w:style>
  <w:style w:type="character" w:customStyle="1" w:styleId="ObyajntextChar150">
    <w:name w:val="Obyčajný text Char150"/>
    <w:aliases w:val="Obyčajný text Char Char Char Char151"/>
    <w:uiPriority w:val="99"/>
    <w:semiHidden/>
    <w:rsid w:val="00A809E7"/>
    <w:rPr>
      <w:rFonts w:ascii="Courier New" w:hAnsi="Courier New"/>
      <w:lang w:val="x-none" w:eastAsia="cs-CZ"/>
    </w:rPr>
  </w:style>
  <w:style w:type="character" w:customStyle="1" w:styleId="ObyajntextChar149">
    <w:name w:val="Obyčajný text Char149"/>
    <w:aliases w:val="Obyčajný text Char Char Char Char150"/>
    <w:uiPriority w:val="99"/>
    <w:semiHidden/>
    <w:rsid w:val="00A809E7"/>
    <w:rPr>
      <w:rFonts w:ascii="Courier New" w:hAnsi="Courier New"/>
      <w:lang w:val="x-none" w:eastAsia="cs-CZ"/>
    </w:rPr>
  </w:style>
  <w:style w:type="character" w:customStyle="1" w:styleId="ObyajntextChar148">
    <w:name w:val="Obyčajný text Char148"/>
    <w:aliases w:val="Obyčajný text Char Char Char Char149"/>
    <w:uiPriority w:val="99"/>
    <w:semiHidden/>
    <w:rsid w:val="00A809E7"/>
    <w:rPr>
      <w:rFonts w:ascii="Courier New" w:hAnsi="Courier New"/>
      <w:lang w:val="x-none" w:eastAsia="cs-CZ"/>
    </w:rPr>
  </w:style>
  <w:style w:type="character" w:customStyle="1" w:styleId="ObyajntextChar147">
    <w:name w:val="Obyčajný text Char147"/>
    <w:aliases w:val="Obyčajný text Char Char Char Char148"/>
    <w:uiPriority w:val="99"/>
    <w:semiHidden/>
    <w:rsid w:val="00A809E7"/>
    <w:rPr>
      <w:rFonts w:ascii="Courier New" w:hAnsi="Courier New"/>
      <w:lang w:val="x-none" w:eastAsia="cs-CZ"/>
    </w:rPr>
  </w:style>
  <w:style w:type="character" w:customStyle="1" w:styleId="ObyajntextChar146">
    <w:name w:val="Obyčajný text Char146"/>
    <w:aliases w:val="Obyčajný text Char Char Char Char147"/>
    <w:uiPriority w:val="99"/>
    <w:semiHidden/>
    <w:rsid w:val="00A809E7"/>
    <w:rPr>
      <w:rFonts w:ascii="Courier New" w:hAnsi="Courier New"/>
      <w:lang w:val="x-none" w:eastAsia="cs-CZ"/>
    </w:rPr>
  </w:style>
  <w:style w:type="character" w:customStyle="1" w:styleId="ObyajntextChar145">
    <w:name w:val="Obyčajný text Char145"/>
    <w:aliases w:val="Obyčajný text Char Char Char Char146"/>
    <w:uiPriority w:val="99"/>
    <w:semiHidden/>
    <w:rsid w:val="00A809E7"/>
    <w:rPr>
      <w:rFonts w:ascii="Courier New" w:hAnsi="Courier New"/>
      <w:lang w:val="x-none" w:eastAsia="cs-CZ"/>
    </w:rPr>
  </w:style>
  <w:style w:type="character" w:customStyle="1" w:styleId="ObyajntextChar144">
    <w:name w:val="Obyčajný text Char144"/>
    <w:aliases w:val="Obyčajný text Char Char Char Char145"/>
    <w:uiPriority w:val="99"/>
    <w:semiHidden/>
    <w:rsid w:val="00A809E7"/>
    <w:rPr>
      <w:rFonts w:ascii="Courier New" w:hAnsi="Courier New"/>
      <w:lang w:val="x-none" w:eastAsia="cs-CZ"/>
    </w:rPr>
  </w:style>
  <w:style w:type="character" w:customStyle="1" w:styleId="ObyajntextChar143">
    <w:name w:val="Obyčajný text Char143"/>
    <w:aliases w:val="Obyčajný text Char Char Char Char144"/>
    <w:uiPriority w:val="99"/>
    <w:semiHidden/>
    <w:rsid w:val="00A809E7"/>
    <w:rPr>
      <w:rFonts w:ascii="Courier New" w:hAnsi="Courier New"/>
      <w:lang w:val="x-none" w:eastAsia="cs-CZ"/>
    </w:rPr>
  </w:style>
  <w:style w:type="character" w:customStyle="1" w:styleId="ObyajntextChar142">
    <w:name w:val="Obyčajný text Char142"/>
    <w:aliases w:val="Obyčajný text Char Char Char Char143"/>
    <w:uiPriority w:val="99"/>
    <w:semiHidden/>
    <w:rsid w:val="00A809E7"/>
    <w:rPr>
      <w:rFonts w:ascii="Courier New" w:hAnsi="Courier New"/>
      <w:lang w:val="x-none" w:eastAsia="cs-CZ"/>
    </w:rPr>
  </w:style>
  <w:style w:type="character" w:customStyle="1" w:styleId="ObyajntextChar141">
    <w:name w:val="Obyčajný text Char141"/>
    <w:aliases w:val="Obyčajný text Char Char Char Char142"/>
    <w:uiPriority w:val="99"/>
    <w:semiHidden/>
    <w:rsid w:val="00A809E7"/>
    <w:rPr>
      <w:rFonts w:ascii="Courier New" w:hAnsi="Courier New"/>
      <w:lang w:val="x-none" w:eastAsia="cs-CZ"/>
    </w:rPr>
  </w:style>
  <w:style w:type="character" w:customStyle="1" w:styleId="ObyajntextChar140">
    <w:name w:val="Obyčajný text Char140"/>
    <w:aliases w:val="Obyčajný text Char Char Char Char141"/>
    <w:uiPriority w:val="99"/>
    <w:semiHidden/>
    <w:rsid w:val="00A809E7"/>
    <w:rPr>
      <w:rFonts w:ascii="Courier New" w:hAnsi="Courier New"/>
      <w:lang w:val="x-none" w:eastAsia="cs-CZ"/>
    </w:rPr>
  </w:style>
  <w:style w:type="character" w:customStyle="1" w:styleId="ObyajntextChar139">
    <w:name w:val="Obyčajný text Char139"/>
    <w:aliases w:val="Obyčajný text Char Char Char Char140"/>
    <w:uiPriority w:val="99"/>
    <w:semiHidden/>
    <w:rsid w:val="00A809E7"/>
    <w:rPr>
      <w:rFonts w:ascii="Courier New" w:hAnsi="Courier New"/>
      <w:lang w:val="x-none" w:eastAsia="cs-CZ"/>
    </w:rPr>
  </w:style>
  <w:style w:type="character" w:customStyle="1" w:styleId="ObyajntextChar138">
    <w:name w:val="Obyčajný text Char138"/>
    <w:aliases w:val="Obyčajný text Char Char Char Char139"/>
    <w:uiPriority w:val="99"/>
    <w:semiHidden/>
    <w:rsid w:val="00A809E7"/>
    <w:rPr>
      <w:rFonts w:ascii="Courier New" w:hAnsi="Courier New"/>
      <w:lang w:val="x-none" w:eastAsia="cs-CZ"/>
    </w:rPr>
  </w:style>
  <w:style w:type="character" w:customStyle="1" w:styleId="ObyajntextChar137">
    <w:name w:val="Obyčajný text Char137"/>
    <w:aliases w:val="Obyčajný text Char Char Char Char138"/>
    <w:uiPriority w:val="99"/>
    <w:semiHidden/>
    <w:rsid w:val="00A809E7"/>
    <w:rPr>
      <w:rFonts w:ascii="Courier New" w:hAnsi="Courier New"/>
      <w:lang w:val="x-none" w:eastAsia="cs-CZ"/>
    </w:rPr>
  </w:style>
  <w:style w:type="character" w:customStyle="1" w:styleId="ObyajntextChar136">
    <w:name w:val="Obyčajný text Char136"/>
    <w:aliases w:val="Obyčajný text Char Char Char Char137"/>
    <w:uiPriority w:val="99"/>
    <w:semiHidden/>
    <w:rsid w:val="00A809E7"/>
    <w:rPr>
      <w:rFonts w:ascii="Courier New" w:hAnsi="Courier New"/>
      <w:lang w:val="x-none" w:eastAsia="cs-CZ"/>
    </w:rPr>
  </w:style>
  <w:style w:type="character" w:customStyle="1" w:styleId="ObyajntextChar135">
    <w:name w:val="Obyčajný text Char135"/>
    <w:aliases w:val="Obyčajný text Char Char Char Char136"/>
    <w:uiPriority w:val="99"/>
    <w:semiHidden/>
    <w:rsid w:val="00A809E7"/>
    <w:rPr>
      <w:rFonts w:ascii="Courier New" w:hAnsi="Courier New"/>
      <w:lang w:val="x-none" w:eastAsia="cs-CZ"/>
    </w:rPr>
  </w:style>
  <w:style w:type="character" w:customStyle="1" w:styleId="ObyajntextChar134">
    <w:name w:val="Obyčajný text Char134"/>
    <w:aliases w:val="Obyčajný text Char Char Char Char135"/>
    <w:uiPriority w:val="99"/>
    <w:semiHidden/>
    <w:rsid w:val="00A809E7"/>
    <w:rPr>
      <w:rFonts w:ascii="Courier New" w:hAnsi="Courier New"/>
      <w:lang w:val="x-none" w:eastAsia="cs-CZ"/>
    </w:rPr>
  </w:style>
  <w:style w:type="character" w:customStyle="1" w:styleId="ObyajntextChar133">
    <w:name w:val="Obyčajný text Char133"/>
    <w:aliases w:val="Obyčajný text Char Char Char Char134"/>
    <w:uiPriority w:val="99"/>
    <w:semiHidden/>
    <w:rsid w:val="00A809E7"/>
    <w:rPr>
      <w:rFonts w:ascii="Courier New" w:hAnsi="Courier New"/>
      <w:lang w:val="x-none" w:eastAsia="cs-CZ"/>
    </w:rPr>
  </w:style>
  <w:style w:type="character" w:customStyle="1" w:styleId="ObyajntextChar132">
    <w:name w:val="Obyčajný text Char132"/>
    <w:aliases w:val="Obyčajný text Char Char Char Char133"/>
    <w:uiPriority w:val="99"/>
    <w:semiHidden/>
    <w:rsid w:val="00A809E7"/>
    <w:rPr>
      <w:rFonts w:ascii="Courier New" w:hAnsi="Courier New"/>
      <w:lang w:val="x-none" w:eastAsia="cs-CZ"/>
    </w:rPr>
  </w:style>
  <w:style w:type="character" w:customStyle="1" w:styleId="ObyajntextChar131">
    <w:name w:val="Obyčajný text Char131"/>
    <w:aliases w:val="Obyčajný text Char Char Char Char132"/>
    <w:uiPriority w:val="99"/>
    <w:semiHidden/>
    <w:rsid w:val="00A809E7"/>
    <w:rPr>
      <w:rFonts w:ascii="Courier New" w:hAnsi="Courier New"/>
      <w:lang w:val="x-none" w:eastAsia="cs-CZ"/>
    </w:rPr>
  </w:style>
  <w:style w:type="character" w:customStyle="1" w:styleId="ObyajntextChar130">
    <w:name w:val="Obyčajný text Char130"/>
    <w:aliases w:val="Obyčajný text Char Char Char Char131"/>
    <w:uiPriority w:val="99"/>
    <w:semiHidden/>
    <w:rsid w:val="00A809E7"/>
    <w:rPr>
      <w:rFonts w:ascii="Courier New" w:hAnsi="Courier New"/>
      <w:lang w:val="x-none" w:eastAsia="cs-CZ"/>
    </w:rPr>
  </w:style>
  <w:style w:type="character" w:customStyle="1" w:styleId="ObyajntextChar129">
    <w:name w:val="Obyčajný text Char129"/>
    <w:aliases w:val="Obyčajný text Char Char Char Char130"/>
    <w:uiPriority w:val="99"/>
    <w:semiHidden/>
    <w:rsid w:val="00A809E7"/>
    <w:rPr>
      <w:rFonts w:ascii="Courier New" w:hAnsi="Courier New"/>
      <w:lang w:val="x-none" w:eastAsia="cs-CZ"/>
    </w:rPr>
  </w:style>
  <w:style w:type="character" w:customStyle="1" w:styleId="ObyajntextChar128">
    <w:name w:val="Obyčajný text Char128"/>
    <w:aliases w:val="Obyčajný text Char Char Char Char129"/>
    <w:uiPriority w:val="99"/>
    <w:semiHidden/>
    <w:rsid w:val="00A809E7"/>
    <w:rPr>
      <w:rFonts w:ascii="Courier New" w:hAnsi="Courier New"/>
      <w:lang w:val="x-none" w:eastAsia="cs-CZ"/>
    </w:rPr>
  </w:style>
  <w:style w:type="character" w:customStyle="1" w:styleId="ObyajntextChar127">
    <w:name w:val="Obyčajný text Char127"/>
    <w:aliases w:val="Obyčajný text Char Char Char Char128"/>
    <w:uiPriority w:val="99"/>
    <w:semiHidden/>
    <w:rsid w:val="00A809E7"/>
    <w:rPr>
      <w:rFonts w:ascii="Courier New" w:hAnsi="Courier New"/>
      <w:lang w:val="x-none" w:eastAsia="cs-CZ"/>
    </w:rPr>
  </w:style>
  <w:style w:type="character" w:customStyle="1" w:styleId="ObyajntextChar126">
    <w:name w:val="Obyčajný text Char126"/>
    <w:aliases w:val="Obyčajný text Char Char Char Char127"/>
    <w:uiPriority w:val="99"/>
    <w:semiHidden/>
    <w:rsid w:val="00A809E7"/>
    <w:rPr>
      <w:rFonts w:ascii="Courier New" w:hAnsi="Courier New"/>
      <w:lang w:val="x-none" w:eastAsia="cs-CZ"/>
    </w:rPr>
  </w:style>
  <w:style w:type="character" w:customStyle="1" w:styleId="ObyajntextChar125">
    <w:name w:val="Obyčajný text Char125"/>
    <w:aliases w:val="Obyčajný text Char Char Char Char126"/>
    <w:uiPriority w:val="99"/>
    <w:semiHidden/>
    <w:rsid w:val="00A809E7"/>
    <w:rPr>
      <w:rFonts w:ascii="Courier New" w:hAnsi="Courier New"/>
      <w:lang w:val="x-none" w:eastAsia="cs-CZ"/>
    </w:rPr>
  </w:style>
  <w:style w:type="character" w:customStyle="1" w:styleId="ObyajntextChar124">
    <w:name w:val="Obyčajný text Char124"/>
    <w:aliases w:val="Obyčajný text Char Char Char Char125"/>
    <w:uiPriority w:val="99"/>
    <w:semiHidden/>
    <w:rsid w:val="00A809E7"/>
    <w:rPr>
      <w:rFonts w:ascii="Courier New" w:hAnsi="Courier New"/>
      <w:lang w:val="x-none" w:eastAsia="cs-CZ"/>
    </w:rPr>
  </w:style>
  <w:style w:type="character" w:customStyle="1" w:styleId="ObyajntextChar123">
    <w:name w:val="Obyčajný text Char123"/>
    <w:aliases w:val="Obyčajný text Char Char Char Char124"/>
    <w:uiPriority w:val="99"/>
    <w:semiHidden/>
    <w:rsid w:val="00A809E7"/>
    <w:rPr>
      <w:rFonts w:ascii="Courier New" w:hAnsi="Courier New"/>
      <w:lang w:val="x-none" w:eastAsia="cs-CZ"/>
    </w:rPr>
  </w:style>
  <w:style w:type="character" w:customStyle="1" w:styleId="ObyajntextChar122">
    <w:name w:val="Obyčajný text Char122"/>
    <w:aliases w:val="Obyčajný text Char Char Char Char123"/>
    <w:uiPriority w:val="99"/>
    <w:semiHidden/>
    <w:rsid w:val="00A809E7"/>
    <w:rPr>
      <w:rFonts w:ascii="Courier New" w:hAnsi="Courier New"/>
      <w:lang w:val="x-none" w:eastAsia="cs-CZ"/>
    </w:rPr>
  </w:style>
  <w:style w:type="character" w:customStyle="1" w:styleId="ObyajntextChar121">
    <w:name w:val="Obyčajný text Char121"/>
    <w:aliases w:val="Obyčajný text Char Char Char Char122"/>
    <w:uiPriority w:val="99"/>
    <w:semiHidden/>
    <w:rsid w:val="00A809E7"/>
    <w:rPr>
      <w:rFonts w:ascii="Courier New" w:hAnsi="Courier New"/>
      <w:lang w:val="x-none" w:eastAsia="cs-CZ"/>
    </w:rPr>
  </w:style>
  <w:style w:type="character" w:customStyle="1" w:styleId="ObyajntextChar120">
    <w:name w:val="Obyčajný text Char120"/>
    <w:aliases w:val="Obyčajný text Char Char Char Char121"/>
    <w:uiPriority w:val="99"/>
    <w:semiHidden/>
    <w:rsid w:val="00A809E7"/>
    <w:rPr>
      <w:rFonts w:ascii="Courier New" w:hAnsi="Courier New"/>
      <w:lang w:val="x-none" w:eastAsia="cs-CZ"/>
    </w:rPr>
  </w:style>
  <w:style w:type="character" w:customStyle="1" w:styleId="ObyajntextChar119">
    <w:name w:val="Obyčajný text Char119"/>
    <w:aliases w:val="Obyčajný text Char Char Char Char120"/>
    <w:uiPriority w:val="99"/>
    <w:semiHidden/>
    <w:rsid w:val="00A809E7"/>
    <w:rPr>
      <w:rFonts w:ascii="Courier New" w:hAnsi="Courier New"/>
      <w:lang w:val="x-none" w:eastAsia="cs-CZ"/>
    </w:rPr>
  </w:style>
  <w:style w:type="character" w:customStyle="1" w:styleId="ObyajntextChar118">
    <w:name w:val="Obyčajný text Char118"/>
    <w:aliases w:val="Obyčajný text Char Char Char Char119"/>
    <w:uiPriority w:val="99"/>
    <w:semiHidden/>
    <w:rsid w:val="00A809E7"/>
    <w:rPr>
      <w:rFonts w:ascii="Courier New" w:hAnsi="Courier New"/>
      <w:lang w:val="x-none" w:eastAsia="cs-CZ"/>
    </w:rPr>
  </w:style>
  <w:style w:type="character" w:customStyle="1" w:styleId="ObyajntextChar117">
    <w:name w:val="Obyčajný text Char117"/>
    <w:aliases w:val="Obyčajný text Char Char Char Char118"/>
    <w:uiPriority w:val="99"/>
    <w:semiHidden/>
    <w:rsid w:val="00A809E7"/>
    <w:rPr>
      <w:rFonts w:ascii="Courier New" w:hAnsi="Courier New"/>
      <w:lang w:val="x-none" w:eastAsia="cs-CZ"/>
    </w:rPr>
  </w:style>
  <w:style w:type="character" w:customStyle="1" w:styleId="ObyajntextChar116">
    <w:name w:val="Obyčajný text Char116"/>
    <w:aliases w:val="Obyčajný text Char Char Char Char117"/>
    <w:uiPriority w:val="99"/>
    <w:semiHidden/>
    <w:rsid w:val="00A809E7"/>
    <w:rPr>
      <w:rFonts w:ascii="Courier New" w:hAnsi="Courier New"/>
      <w:lang w:val="x-none" w:eastAsia="cs-CZ"/>
    </w:rPr>
  </w:style>
  <w:style w:type="character" w:customStyle="1" w:styleId="ObyajntextChar115">
    <w:name w:val="Obyčajný text Char115"/>
    <w:aliases w:val="Obyčajný text Char Char Char Char116"/>
    <w:uiPriority w:val="99"/>
    <w:semiHidden/>
    <w:rsid w:val="00A809E7"/>
    <w:rPr>
      <w:rFonts w:ascii="Courier New" w:hAnsi="Courier New"/>
      <w:lang w:val="x-none" w:eastAsia="cs-CZ"/>
    </w:rPr>
  </w:style>
  <w:style w:type="character" w:customStyle="1" w:styleId="ObyajntextChar114">
    <w:name w:val="Obyčajný text Char114"/>
    <w:aliases w:val="Obyčajný text Char Char Char Char115"/>
    <w:uiPriority w:val="99"/>
    <w:semiHidden/>
    <w:rsid w:val="00A809E7"/>
    <w:rPr>
      <w:rFonts w:ascii="Courier New" w:hAnsi="Courier New"/>
      <w:lang w:val="x-none" w:eastAsia="cs-CZ"/>
    </w:rPr>
  </w:style>
  <w:style w:type="character" w:customStyle="1" w:styleId="ObyajntextChar113">
    <w:name w:val="Obyčajný text Char113"/>
    <w:aliases w:val="Obyčajný text Char Char Char Char114"/>
    <w:uiPriority w:val="99"/>
    <w:semiHidden/>
    <w:rsid w:val="00A809E7"/>
    <w:rPr>
      <w:rFonts w:ascii="Courier New" w:hAnsi="Courier New"/>
      <w:lang w:val="x-none" w:eastAsia="cs-CZ"/>
    </w:rPr>
  </w:style>
  <w:style w:type="character" w:customStyle="1" w:styleId="ObyajntextChar112">
    <w:name w:val="Obyčajný text Char112"/>
    <w:aliases w:val="Obyčajný text Char Char Char Char113"/>
    <w:uiPriority w:val="99"/>
    <w:semiHidden/>
    <w:rsid w:val="00A809E7"/>
    <w:rPr>
      <w:rFonts w:ascii="Courier New" w:hAnsi="Courier New"/>
      <w:lang w:val="x-none" w:eastAsia="cs-CZ"/>
    </w:rPr>
  </w:style>
  <w:style w:type="character" w:customStyle="1" w:styleId="ObyajntextChar111">
    <w:name w:val="Obyčajný text Char111"/>
    <w:aliases w:val="Obyčajný text Char Char Char Char112"/>
    <w:uiPriority w:val="99"/>
    <w:semiHidden/>
    <w:rsid w:val="00A809E7"/>
    <w:rPr>
      <w:rFonts w:ascii="Courier New" w:hAnsi="Courier New"/>
      <w:lang w:val="x-none" w:eastAsia="cs-CZ"/>
    </w:rPr>
  </w:style>
  <w:style w:type="character" w:customStyle="1" w:styleId="ObyajntextChar110">
    <w:name w:val="Obyčajný text Char110"/>
    <w:aliases w:val="Obyčajný text Char Char Char Char110"/>
    <w:uiPriority w:val="99"/>
    <w:semiHidden/>
    <w:rsid w:val="00A809E7"/>
    <w:rPr>
      <w:rFonts w:ascii="Courier New" w:hAnsi="Courier New"/>
      <w:lang w:val="x-none" w:eastAsia="cs-CZ"/>
    </w:rPr>
  </w:style>
  <w:style w:type="character" w:customStyle="1" w:styleId="ObyajntextChar19">
    <w:name w:val="Obyčajný text Char19"/>
    <w:aliases w:val="Obyčajný text Char Char Char Char19"/>
    <w:uiPriority w:val="99"/>
    <w:semiHidden/>
    <w:rsid w:val="00A809E7"/>
    <w:rPr>
      <w:rFonts w:ascii="Courier New" w:hAnsi="Courier New"/>
      <w:lang w:val="x-none" w:eastAsia="cs-CZ"/>
    </w:rPr>
  </w:style>
  <w:style w:type="character" w:customStyle="1" w:styleId="ObyajntextChar18">
    <w:name w:val="Obyčajný text Char18"/>
    <w:aliases w:val="Obyčajný text Char Char Char Char18"/>
    <w:uiPriority w:val="99"/>
    <w:semiHidden/>
    <w:rsid w:val="00A809E7"/>
    <w:rPr>
      <w:rFonts w:ascii="Courier New" w:hAnsi="Courier New"/>
      <w:lang w:val="x-none" w:eastAsia="cs-CZ"/>
    </w:rPr>
  </w:style>
  <w:style w:type="character" w:customStyle="1" w:styleId="ObyajntextChar17">
    <w:name w:val="Obyčajný text Char17"/>
    <w:aliases w:val="Obyčajný text Char Char Char Char17"/>
    <w:uiPriority w:val="99"/>
    <w:semiHidden/>
    <w:rsid w:val="00A809E7"/>
    <w:rPr>
      <w:rFonts w:ascii="Courier New" w:hAnsi="Courier New"/>
      <w:lang w:val="x-none" w:eastAsia="cs-CZ"/>
    </w:rPr>
  </w:style>
  <w:style w:type="character" w:customStyle="1" w:styleId="ObyajntextChar16">
    <w:name w:val="Obyčajný text Char16"/>
    <w:aliases w:val="Obyčajný text Char Char Char Char16"/>
    <w:uiPriority w:val="99"/>
    <w:semiHidden/>
    <w:rsid w:val="00A809E7"/>
    <w:rPr>
      <w:rFonts w:ascii="Courier New" w:hAnsi="Courier New"/>
      <w:lang w:val="x-none" w:eastAsia="cs-CZ"/>
    </w:rPr>
  </w:style>
  <w:style w:type="character" w:customStyle="1" w:styleId="ObyajntextChar15">
    <w:name w:val="Obyčajný text Char15"/>
    <w:aliases w:val="Obyčajný text Char Char Char Char15"/>
    <w:uiPriority w:val="99"/>
    <w:semiHidden/>
    <w:rsid w:val="00A809E7"/>
    <w:rPr>
      <w:rFonts w:ascii="Courier New" w:hAnsi="Courier New"/>
      <w:lang w:val="x-none" w:eastAsia="cs-CZ"/>
    </w:rPr>
  </w:style>
  <w:style w:type="character" w:customStyle="1" w:styleId="ObyajntextChar14">
    <w:name w:val="Obyčajný text Char14"/>
    <w:aliases w:val="Obyčajný text Char Char Char Char14"/>
    <w:uiPriority w:val="99"/>
    <w:semiHidden/>
    <w:rsid w:val="00A809E7"/>
    <w:rPr>
      <w:rFonts w:ascii="Courier New" w:hAnsi="Courier New"/>
      <w:lang w:val="x-none" w:eastAsia="cs-CZ"/>
    </w:rPr>
  </w:style>
  <w:style w:type="character" w:customStyle="1" w:styleId="ObyajntextChar13">
    <w:name w:val="Obyčajný text Char13"/>
    <w:aliases w:val="Obyčajný text Char Char Char Char13"/>
    <w:uiPriority w:val="99"/>
    <w:semiHidden/>
    <w:rsid w:val="00A809E7"/>
    <w:rPr>
      <w:rFonts w:ascii="Courier New" w:hAnsi="Courier New"/>
      <w:lang w:val="x-none" w:eastAsia="cs-CZ"/>
    </w:rPr>
  </w:style>
  <w:style w:type="character" w:customStyle="1" w:styleId="ObyajntextChar12">
    <w:name w:val="Obyčajný text Char12"/>
    <w:aliases w:val="Obyčajný text Char Char Char Char12"/>
    <w:uiPriority w:val="99"/>
    <w:semiHidden/>
    <w:rsid w:val="00A809E7"/>
    <w:rPr>
      <w:rFonts w:ascii="Courier New" w:hAnsi="Courier New"/>
      <w:lang w:val="x-none" w:eastAsia="cs-CZ"/>
    </w:rPr>
  </w:style>
  <w:style w:type="character" w:customStyle="1" w:styleId="ObyajntextChar11">
    <w:name w:val="Obyčajný text Char11"/>
    <w:aliases w:val="Obyčajný text Char Char Char Char11,Obyčajný text Char Char Char Char111"/>
    <w:uiPriority w:val="99"/>
    <w:semiHidden/>
    <w:rsid w:val="00A809E7"/>
    <w:rPr>
      <w:rFonts w:ascii="Courier New" w:hAnsi="Courier New"/>
      <w:lang w:val="x-none" w:eastAsia="cs-CZ"/>
    </w:rPr>
  </w:style>
  <w:style w:type="paragraph" w:customStyle="1" w:styleId="CharCharCharCharCharCharCharCharCharCharChar">
    <w:name w:val="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styleId="Nzov">
    <w:name w:val="Title"/>
    <w:basedOn w:val="Normlny"/>
    <w:link w:val="NzovChar"/>
    <w:qFormat/>
    <w:rsid w:val="00A809E7"/>
    <w:pPr>
      <w:spacing w:after="0" w:line="240" w:lineRule="auto"/>
      <w:jc w:val="center"/>
    </w:pPr>
    <w:rPr>
      <w:rFonts w:ascii="Arial Black" w:eastAsia="Times New Roman" w:hAnsi="Arial Black" w:cs="Times New Roman"/>
      <w:b/>
      <w:bCs/>
      <w:sz w:val="24"/>
      <w:szCs w:val="24"/>
      <w:lang w:eastAsia="cs-CZ"/>
    </w:rPr>
  </w:style>
  <w:style w:type="character" w:customStyle="1" w:styleId="NzovChar">
    <w:name w:val="Názov Char"/>
    <w:basedOn w:val="Predvolenpsmoodseku"/>
    <w:link w:val="Nzov"/>
    <w:rsid w:val="00A809E7"/>
    <w:rPr>
      <w:rFonts w:ascii="Arial Black" w:eastAsia="Times New Roman" w:hAnsi="Arial Black" w:cs="Times New Roman"/>
      <w:b/>
      <w:bCs/>
      <w:sz w:val="24"/>
      <w:szCs w:val="24"/>
      <w:lang w:eastAsia="cs-CZ"/>
    </w:rPr>
  </w:style>
  <w:style w:type="paragraph" w:customStyle="1" w:styleId="CharCharCharCharChar">
    <w:name w:val="Char Char Char Char Char"/>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Heading2Char">
    <w:name w:val="Heading 2 Char"/>
    <w:uiPriority w:val="99"/>
    <w:rsid w:val="00A809E7"/>
    <w:rPr>
      <w:rFonts w:ascii="Arial" w:hAnsi="Arial"/>
      <w:b/>
      <w:i/>
      <w:sz w:val="28"/>
      <w:lang w:val="x-none" w:eastAsia="cs-CZ"/>
    </w:rPr>
  </w:style>
  <w:style w:type="character" w:customStyle="1" w:styleId="ZarkazkladnhotextuChar1">
    <w:name w:val="Zarážka základného textu Char1"/>
    <w:aliases w:val="Char8 Char Char1"/>
    <w:uiPriority w:val="99"/>
    <w:rsid w:val="00A809E7"/>
    <w:rPr>
      <w:rFonts w:ascii="Courier" w:hAnsi="Courier"/>
      <w:sz w:val="24"/>
      <w:lang w:val="x-none" w:eastAsia="cs-CZ"/>
    </w:rPr>
  </w:style>
  <w:style w:type="character" w:customStyle="1" w:styleId="TitleChar">
    <w:name w:val="Title Char"/>
    <w:uiPriority w:val="99"/>
    <w:rsid w:val="00A809E7"/>
    <w:rPr>
      <w:rFonts w:ascii="Arial Black" w:hAnsi="Arial Black"/>
      <w:b/>
      <w:sz w:val="24"/>
      <w:lang w:val="x-none" w:eastAsia="sk-SK"/>
    </w:rPr>
  </w:style>
  <w:style w:type="paragraph" w:styleId="Normlnywebov">
    <w:name w:val="Normal (Web)"/>
    <w:aliases w:val="webb"/>
    <w:basedOn w:val="Normlny"/>
    <w:uiPriority w:val="99"/>
    <w:unhideWhenUsed/>
    <w:qFormat/>
    <w:rsid w:val="00A809E7"/>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bsah2">
    <w:name w:val="toc 2"/>
    <w:basedOn w:val="Normlny"/>
    <w:next w:val="Normlny"/>
    <w:autoRedefine/>
    <w:uiPriority w:val="39"/>
    <w:unhideWhenUsed/>
    <w:rsid w:val="00A809E7"/>
    <w:pPr>
      <w:tabs>
        <w:tab w:val="right" w:leader="dot" w:pos="9062"/>
      </w:tabs>
      <w:spacing w:after="0" w:line="240" w:lineRule="auto"/>
      <w:ind w:left="240"/>
    </w:pPr>
    <w:rPr>
      <w:rFonts w:ascii="Times New Roman" w:eastAsia="Times New Roman" w:hAnsi="Times New Roman" w:cs="Times New Roman"/>
      <w:bCs/>
      <w:iCs/>
      <w:noProof/>
      <w:sz w:val="24"/>
      <w:szCs w:val="24"/>
      <w:lang w:eastAsia="cs-CZ"/>
    </w:rPr>
  </w:style>
  <w:style w:type="character" w:customStyle="1" w:styleId="spanr">
    <w:name w:val="span_r"/>
    <w:rsid w:val="00A809E7"/>
  </w:style>
  <w:style w:type="character" w:styleId="Siln">
    <w:name w:val="Strong"/>
    <w:basedOn w:val="Predvolenpsmoodseku"/>
    <w:uiPriority w:val="22"/>
    <w:qFormat/>
    <w:rsid w:val="00A809E7"/>
    <w:rPr>
      <w:rFonts w:cs="Times New Roman"/>
      <w:b/>
    </w:rPr>
  </w:style>
  <w:style w:type="paragraph" w:customStyle="1" w:styleId="Char">
    <w:name w:val="Char"/>
    <w:basedOn w:val="Normlny"/>
    <w:qFormat/>
    <w:rsid w:val="00A809E7"/>
    <w:pPr>
      <w:spacing w:line="240" w:lineRule="exact"/>
    </w:pPr>
    <w:rPr>
      <w:rFonts w:ascii="Tahoma" w:eastAsia="Times New Roman" w:hAnsi="Tahoma" w:cs="Tahoma"/>
      <w:sz w:val="20"/>
      <w:szCs w:val="20"/>
      <w:lang w:val="en-US"/>
    </w:rPr>
  </w:style>
  <w:style w:type="character" w:customStyle="1" w:styleId="st1">
    <w:name w:val="st1"/>
    <w:rsid w:val="00A809E7"/>
  </w:style>
  <w:style w:type="paragraph" w:customStyle="1" w:styleId="BodyText25">
    <w:name w:val="Body Text 25"/>
    <w:basedOn w:val="Normlny"/>
    <w:qFormat/>
    <w:rsid w:val="00A809E7"/>
    <w:pPr>
      <w:overflowPunct w:val="0"/>
      <w:autoSpaceDE w:val="0"/>
      <w:autoSpaceDN w:val="0"/>
      <w:adjustRightInd w:val="0"/>
      <w:spacing w:after="0" w:line="240" w:lineRule="auto"/>
      <w:ind w:left="4111" w:hanging="3403"/>
      <w:textAlignment w:val="baseline"/>
    </w:pPr>
    <w:rPr>
      <w:rFonts w:ascii="Times New Roman" w:eastAsia="Times New Roman" w:hAnsi="Times New Roman" w:cs="Times New Roman"/>
      <w:b/>
      <w:i/>
      <w:sz w:val="26"/>
      <w:szCs w:val="20"/>
      <w:lang w:eastAsia="sk-SK"/>
    </w:rPr>
  </w:style>
  <w:style w:type="table" w:styleId="Mriekatabuky">
    <w:name w:val="Table Grid"/>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A809E7"/>
    <w:pPr>
      <w:spacing w:after="0" w:line="240" w:lineRule="auto"/>
    </w:pPr>
    <w:rPr>
      <w:rFonts w:ascii="Arial Narrow" w:eastAsia="Times New Roman" w:hAnsi="Arial Narrow" w:cs="Times New Roman"/>
      <w:szCs w:val="36"/>
    </w:rPr>
  </w:style>
  <w:style w:type="character" w:styleId="PouitHypertextovPrepojenie">
    <w:name w:val="FollowedHyperlink"/>
    <w:basedOn w:val="Predvolenpsmoodseku"/>
    <w:uiPriority w:val="99"/>
    <w:semiHidden/>
    <w:unhideWhenUsed/>
    <w:rsid w:val="00A809E7"/>
    <w:rPr>
      <w:rFonts w:cs="Times New Roman"/>
      <w:color w:val="800080"/>
      <w:u w:val="single"/>
    </w:rPr>
  </w:style>
  <w:style w:type="character" w:customStyle="1" w:styleId="Nadpis1Char1">
    <w:name w:val="Nadpis 1 Char1"/>
    <w:aliases w:val="Char5 Char Char1,Nadpis 1 Char Char Char1,Heading 1 Char Char Char Char Char Char1,Heading 1 Char Char Char Char Char2,Heading 1 Char Char Char Char2,Čo robí (časť) Char1"/>
    <w:uiPriority w:val="99"/>
    <w:rsid w:val="00A809E7"/>
    <w:rPr>
      <w:rFonts w:ascii="Cambria" w:hAnsi="Cambria"/>
      <w:b/>
      <w:color w:val="365F91"/>
      <w:sz w:val="28"/>
      <w:lang w:val="x-none" w:eastAsia="cs-CZ"/>
    </w:rPr>
  </w:style>
  <w:style w:type="character" w:customStyle="1" w:styleId="Nadpis2Char1">
    <w:name w:val="Nadpis 2 Char1"/>
    <w:aliases w:val="Nadpis 2 Char Char Char Char2,Nadpis 2 Char Char Char Char Char1,Nadpis 2 Char Char Char2,Úloha Char1"/>
    <w:uiPriority w:val="99"/>
    <w:semiHidden/>
    <w:rsid w:val="00A809E7"/>
    <w:rPr>
      <w:rFonts w:ascii="Cambria" w:hAnsi="Cambria"/>
      <w:b/>
      <w:color w:val="4F81BD"/>
      <w:sz w:val="26"/>
      <w:lang w:val="x-none" w:eastAsia="cs-CZ"/>
    </w:rPr>
  </w:style>
  <w:style w:type="character" w:customStyle="1" w:styleId="Nadpis3Char1">
    <w:name w:val="Nadpis 3 Char1"/>
    <w:aliases w:val="Char4 Char Char1,Nadpis 3 Char Char Char1,Heading 3 Char Char Char Char1,Podúloha Char1"/>
    <w:semiHidden/>
    <w:rsid w:val="00A809E7"/>
    <w:rPr>
      <w:rFonts w:ascii="Cambria" w:hAnsi="Cambria"/>
      <w:b/>
      <w:color w:val="4F81BD"/>
      <w:sz w:val="24"/>
      <w:lang w:val="x-none" w:eastAsia="cs-CZ"/>
    </w:rPr>
  </w:style>
  <w:style w:type="character" w:customStyle="1" w:styleId="Nadpis4Char1">
    <w:name w:val="Nadpis 4 Char1"/>
    <w:aliases w:val="Char Char Char1,Nadpis 4 Char Char Char1,Heading 4 Char Char Char Char1,Termín Char1"/>
    <w:semiHidden/>
    <w:rsid w:val="00A809E7"/>
    <w:rPr>
      <w:rFonts w:ascii="Cambria" w:hAnsi="Cambria"/>
      <w:b/>
      <w:i/>
      <w:color w:val="4F81BD"/>
      <w:sz w:val="24"/>
      <w:lang w:val="x-none" w:eastAsia="cs-CZ"/>
    </w:rPr>
  </w:style>
  <w:style w:type="character" w:customStyle="1" w:styleId="TextpoznmkypodiarouChar1">
    <w:name w:val="Text poznámky pod čiarou Char1"/>
    <w:aliases w:val="Footnote Text Char2 Char1,Footnote Text Char1 Char Char1,Footnote Text Char2 Char Char Char1,Footnote Text Char1 Char Char Char Char1,Footnote Text Char2 Char Char Char Char Char1,Footnote Text Char1 Char2"/>
    <w:uiPriority w:val="99"/>
    <w:semiHidden/>
    <w:rsid w:val="00A809E7"/>
    <w:rPr>
      <w:rFonts w:ascii="Courier" w:hAnsi="Courier"/>
      <w:lang w:val="x-none" w:eastAsia="cs-CZ"/>
    </w:rPr>
  </w:style>
  <w:style w:type="character" w:customStyle="1" w:styleId="HlavikaChar1">
    <w:name w:val="Hlavička Char1"/>
    <w:aliases w:val="Hlavička Char Char Char Char1"/>
    <w:uiPriority w:val="99"/>
    <w:semiHidden/>
    <w:rsid w:val="00A809E7"/>
    <w:rPr>
      <w:rFonts w:ascii="Courier" w:hAnsi="Courier"/>
      <w:sz w:val="24"/>
      <w:lang w:val="x-none" w:eastAsia="cs-CZ"/>
    </w:rPr>
  </w:style>
  <w:style w:type="character" w:customStyle="1" w:styleId="PtaChar1">
    <w:name w:val="Päta Char1"/>
    <w:aliases w:val="Char11 Char Char1,Päta Char Char Char1,Footer Char Char Char Char1"/>
    <w:uiPriority w:val="99"/>
    <w:semiHidden/>
    <w:rsid w:val="00A809E7"/>
    <w:rPr>
      <w:rFonts w:ascii="Courier" w:hAnsi="Courier"/>
      <w:sz w:val="24"/>
      <w:lang w:val="x-none" w:eastAsia="cs-CZ"/>
    </w:rPr>
  </w:style>
  <w:style w:type="character" w:customStyle="1" w:styleId="ZkladntextChar1">
    <w:name w:val="Základný text Char1"/>
    <w:aliases w:val="Char14 Char Char Char1,Základný text Char Char Char1,Body Text Char Char Char Char Char Char1,Body Text Char Char Char Char Char2,Char14 Char Char2,Body Text Char Char Char Char2"/>
    <w:semiHidden/>
    <w:rsid w:val="00A809E7"/>
    <w:rPr>
      <w:rFonts w:ascii="Courier" w:hAnsi="Courier"/>
      <w:sz w:val="24"/>
      <w:lang w:val="x-none" w:eastAsia="cs-CZ"/>
    </w:rPr>
  </w:style>
  <w:style w:type="character" w:customStyle="1" w:styleId="Zkladntext2Char1">
    <w:name w:val="Základný text 2 Char1"/>
    <w:aliases w:val="Základný text 2 Char Char Char1,Body Text 2 Char Char Char Char1"/>
    <w:uiPriority w:val="99"/>
    <w:semiHidden/>
    <w:rsid w:val="00A809E7"/>
    <w:rPr>
      <w:rFonts w:ascii="Courier" w:hAnsi="Courier"/>
      <w:sz w:val="24"/>
      <w:lang w:val="x-none" w:eastAsia="cs-CZ"/>
    </w:rPr>
  </w:style>
  <w:style w:type="character" w:customStyle="1" w:styleId="Zarkazkladnhotextu2Char1">
    <w:name w:val="Zarážka základného textu 2 Char1"/>
    <w:aliases w:val="Char10 Char Char1,Zarážka základného textu 2 Char Char Char1,Body Text Indent 2 Char Char Char Char1"/>
    <w:uiPriority w:val="99"/>
    <w:semiHidden/>
    <w:rsid w:val="00A809E7"/>
    <w:rPr>
      <w:rFonts w:ascii="Courier" w:hAnsi="Courier"/>
      <w:sz w:val="24"/>
      <w:lang w:val="x-none" w:eastAsia="cs-CZ"/>
    </w:rPr>
  </w:style>
  <w:style w:type="character" w:customStyle="1" w:styleId="Zarkazkladnhotextu3Char1">
    <w:name w:val="Zarážka základného textu 3 Char1"/>
    <w:aliases w:val="Char2 Char Char1,Zarážka základného textu 3 Char Char Char1,Body Text Indent 3 Char Char Char Char1"/>
    <w:uiPriority w:val="99"/>
    <w:semiHidden/>
    <w:rsid w:val="00A809E7"/>
    <w:rPr>
      <w:rFonts w:ascii="Courier" w:hAnsi="Courier"/>
      <w:sz w:val="16"/>
      <w:lang w:val="x-none" w:eastAsia="cs-CZ"/>
    </w:rPr>
  </w:style>
  <w:style w:type="character" w:customStyle="1" w:styleId="TextbublinyChar1">
    <w:name w:val="Text bubliny Char1"/>
    <w:aliases w:val="Char13 Char Char1,Text bubliny Char Char Char1,Balloon Text Char Char Char1"/>
    <w:uiPriority w:val="99"/>
    <w:semiHidden/>
    <w:rsid w:val="00A809E7"/>
    <w:rPr>
      <w:rFonts w:ascii="Tahoma" w:hAnsi="Tahoma"/>
      <w:sz w:val="16"/>
      <w:lang w:val="x-none" w:eastAsia="cs-CZ"/>
    </w:rPr>
  </w:style>
  <w:style w:type="character" w:styleId="Odkaznakomentr">
    <w:name w:val="annotation reference"/>
    <w:basedOn w:val="Predvolenpsmoodseku"/>
    <w:uiPriority w:val="99"/>
    <w:unhideWhenUsed/>
    <w:qFormat/>
    <w:rsid w:val="00A809E7"/>
    <w:rPr>
      <w:rFonts w:cs="Times New Roman"/>
      <w:sz w:val="16"/>
    </w:rPr>
  </w:style>
  <w:style w:type="character" w:customStyle="1" w:styleId="NzovChar1">
    <w:name w:val="Názov Char1"/>
    <w:uiPriority w:val="99"/>
    <w:rsid w:val="00A809E7"/>
    <w:rPr>
      <w:rFonts w:ascii="Arial Black" w:hAnsi="Arial Black"/>
      <w:b/>
      <w:sz w:val="24"/>
      <w:lang w:val="x-none" w:eastAsia="sk-SK"/>
    </w:rPr>
  </w:style>
  <w:style w:type="paragraph" w:styleId="Revzia">
    <w:name w:val="Revision"/>
    <w:hidden/>
    <w:uiPriority w:val="99"/>
    <w:semiHidden/>
    <w:rsid w:val="00A809E7"/>
    <w:pPr>
      <w:spacing w:after="0" w:line="240" w:lineRule="auto"/>
    </w:pPr>
    <w:rPr>
      <w:rFonts w:ascii="Courier" w:eastAsia="Times New Roman" w:hAnsi="Courier" w:cs="Courier"/>
      <w:sz w:val="24"/>
      <w:szCs w:val="24"/>
      <w:lang w:eastAsia="cs-CZ"/>
    </w:rPr>
  </w:style>
  <w:style w:type="paragraph" w:customStyle="1" w:styleId="Par-numbera">
    <w:name w:val="Par-number (a)"/>
    <w:basedOn w:val="Normlny"/>
    <w:qFormat/>
    <w:rsid w:val="00A809E7"/>
    <w:pPr>
      <w:spacing w:after="0" w:line="360" w:lineRule="auto"/>
    </w:pPr>
    <w:rPr>
      <w:rFonts w:ascii="Times New Roman" w:eastAsia="Times New Roman" w:hAnsi="Times New Roman" w:cs="Times New Roman"/>
      <w:sz w:val="24"/>
      <w:szCs w:val="24"/>
      <w:lang w:eastAsia="fr-BE"/>
    </w:rPr>
  </w:style>
  <w:style w:type="table" w:customStyle="1" w:styleId="Mriekatabuky1">
    <w:name w:val="Mriežka tabuľky1"/>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ktradokumentuChar1170">
    <w:name w:val="Štruktúra dokumentu Char1170"/>
    <w:aliases w:val="Char9 Char Char1171,Štruktúra dokumentu Char Char Char1171,Document Map Char Char Char1171"/>
    <w:uiPriority w:val="99"/>
    <w:semiHidden/>
    <w:rsid w:val="00A809E7"/>
    <w:rPr>
      <w:rFonts w:ascii="Tahoma" w:hAnsi="Tahoma"/>
      <w:sz w:val="16"/>
      <w:lang w:val="x-none" w:eastAsia="cs-CZ"/>
    </w:rPr>
  </w:style>
  <w:style w:type="character" w:customStyle="1" w:styleId="truktradokumentuChar1169">
    <w:name w:val="Štruktúra dokumentu Char1169"/>
    <w:aliases w:val="Char9 Char Char1170,Štruktúra dokumentu Char Char Char1170,Document Map Char Char Char1170"/>
    <w:uiPriority w:val="99"/>
    <w:semiHidden/>
    <w:rsid w:val="00A809E7"/>
    <w:rPr>
      <w:rFonts w:ascii="Tahoma" w:hAnsi="Tahoma"/>
      <w:sz w:val="16"/>
      <w:lang w:val="x-none" w:eastAsia="cs-CZ"/>
    </w:rPr>
  </w:style>
  <w:style w:type="character" w:customStyle="1" w:styleId="truktradokumentuChar1168">
    <w:name w:val="Štruktúra dokumentu Char1168"/>
    <w:aliases w:val="Char9 Char Char1169,Štruktúra dokumentu Char Char Char1169,Document Map Char Char Char1169"/>
    <w:uiPriority w:val="99"/>
    <w:semiHidden/>
    <w:rsid w:val="00A809E7"/>
    <w:rPr>
      <w:rFonts w:ascii="Tahoma" w:hAnsi="Tahoma"/>
      <w:sz w:val="16"/>
      <w:lang w:val="x-none" w:eastAsia="cs-CZ"/>
    </w:rPr>
  </w:style>
  <w:style w:type="character" w:customStyle="1" w:styleId="truktradokumentuChar1167">
    <w:name w:val="Štruktúra dokumentu Char1167"/>
    <w:aliases w:val="Char9 Char Char1168,Štruktúra dokumentu Char Char Char1168,Document Map Char Char Char1168"/>
    <w:uiPriority w:val="99"/>
    <w:semiHidden/>
    <w:rsid w:val="00A809E7"/>
    <w:rPr>
      <w:rFonts w:ascii="Tahoma" w:hAnsi="Tahoma"/>
      <w:sz w:val="16"/>
      <w:lang w:val="x-none" w:eastAsia="cs-CZ"/>
    </w:rPr>
  </w:style>
  <w:style w:type="character" w:customStyle="1" w:styleId="truktradokumentuChar1166">
    <w:name w:val="Štruktúra dokumentu Char1166"/>
    <w:aliases w:val="Char9 Char Char1167,Štruktúra dokumentu Char Char Char1167,Document Map Char Char Char1167"/>
    <w:uiPriority w:val="99"/>
    <w:semiHidden/>
    <w:rsid w:val="00A809E7"/>
    <w:rPr>
      <w:rFonts w:ascii="Tahoma" w:hAnsi="Tahoma"/>
      <w:sz w:val="16"/>
      <w:lang w:val="x-none" w:eastAsia="cs-CZ"/>
    </w:rPr>
  </w:style>
  <w:style w:type="character" w:customStyle="1" w:styleId="TextkomentraChar1170">
    <w:name w:val="Text komentára Char1170"/>
    <w:aliases w:val="Char7 Char Char1171,Text komentára Char Char Char1171,Comment Text Char Char Char1171"/>
    <w:uiPriority w:val="99"/>
    <w:semiHidden/>
    <w:rsid w:val="00A809E7"/>
    <w:rPr>
      <w:rFonts w:ascii="Courier" w:hAnsi="Courier"/>
      <w:lang w:val="x-none" w:eastAsia="cs-CZ"/>
    </w:rPr>
  </w:style>
  <w:style w:type="character" w:customStyle="1" w:styleId="TextkomentraChar1169">
    <w:name w:val="Text komentára Char1169"/>
    <w:aliases w:val="Char7 Char Char1170,Text komentára Char Char Char1170,Comment Text Char Char Char1170"/>
    <w:uiPriority w:val="99"/>
    <w:semiHidden/>
    <w:rsid w:val="00A809E7"/>
    <w:rPr>
      <w:rFonts w:ascii="Courier" w:hAnsi="Courier"/>
      <w:lang w:val="x-none" w:eastAsia="cs-CZ"/>
    </w:rPr>
  </w:style>
  <w:style w:type="character" w:customStyle="1" w:styleId="TextkomentraChar1168">
    <w:name w:val="Text komentára Char1168"/>
    <w:aliases w:val="Char7 Char Char1169,Text komentára Char Char Char1169,Comment Text Char Char Char1169"/>
    <w:uiPriority w:val="99"/>
    <w:semiHidden/>
    <w:rsid w:val="00A809E7"/>
    <w:rPr>
      <w:rFonts w:ascii="Courier" w:hAnsi="Courier"/>
      <w:lang w:val="x-none" w:eastAsia="cs-CZ"/>
    </w:rPr>
  </w:style>
  <w:style w:type="character" w:customStyle="1" w:styleId="TextkomentraChar1167">
    <w:name w:val="Text komentára Char1167"/>
    <w:aliases w:val="Char7 Char Char1168,Text komentára Char Char Char1168,Comment Text Char Char Char1168"/>
    <w:uiPriority w:val="99"/>
    <w:semiHidden/>
    <w:rsid w:val="00A809E7"/>
    <w:rPr>
      <w:rFonts w:ascii="Courier" w:hAnsi="Courier"/>
      <w:lang w:val="x-none" w:eastAsia="cs-CZ"/>
    </w:rPr>
  </w:style>
  <w:style w:type="character" w:customStyle="1" w:styleId="TextkomentraChar1166">
    <w:name w:val="Text komentára Char1166"/>
    <w:aliases w:val="Char7 Char Char1167,Text komentára Char Char Char1167,Comment Text Char Char Char1167"/>
    <w:uiPriority w:val="99"/>
    <w:semiHidden/>
    <w:rsid w:val="00A809E7"/>
    <w:rPr>
      <w:rFonts w:ascii="Courier" w:hAnsi="Courier"/>
      <w:lang w:val="x-none" w:eastAsia="cs-CZ"/>
    </w:rPr>
  </w:style>
  <w:style w:type="character" w:customStyle="1" w:styleId="PredmetkomentraChar1170">
    <w:name w:val="Predmet komentára Char1170"/>
    <w:aliases w:val="Char6 Char Char1171,Predmet komentára Char Char Char1171,Comment Subject Char Char Char1171"/>
    <w:uiPriority w:val="99"/>
    <w:semiHidden/>
    <w:rsid w:val="00A809E7"/>
    <w:rPr>
      <w:rFonts w:ascii="Courier" w:hAnsi="Courier"/>
      <w:b/>
      <w:lang w:val="x-none" w:eastAsia="cs-CZ"/>
    </w:rPr>
  </w:style>
  <w:style w:type="character" w:customStyle="1" w:styleId="PredmetkomentraChar1169">
    <w:name w:val="Predmet komentára Char1169"/>
    <w:aliases w:val="Char6 Char Char1170,Predmet komentára Char Char Char1170,Comment Subject Char Char Char1170"/>
    <w:uiPriority w:val="99"/>
    <w:semiHidden/>
    <w:rsid w:val="00A809E7"/>
    <w:rPr>
      <w:rFonts w:ascii="Courier" w:hAnsi="Courier"/>
      <w:b/>
      <w:lang w:val="x-none" w:eastAsia="cs-CZ"/>
    </w:rPr>
  </w:style>
  <w:style w:type="character" w:customStyle="1" w:styleId="PredmetkomentraChar1168">
    <w:name w:val="Predmet komentára Char1168"/>
    <w:aliases w:val="Char6 Char Char1169,Predmet komentára Char Char Char1169,Comment Subject Char Char Char1169"/>
    <w:uiPriority w:val="99"/>
    <w:semiHidden/>
    <w:rsid w:val="00A809E7"/>
    <w:rPr>
      <w:rFonts w:ascii="Courier" w:hAnsi="Courier"/>
      <w:b/>
      <w:lang w:val="x-none" w:eastAsia="cs-CZ"/>
    </w:rPr>
  </w:style>
  <w:style w:type="character" w:customStyle="1" w:styleId="PredmetkomentraChar1167">
    <w:name w:val="Predmet komentára Char1167"/>
    <w:aliases w:val="Char6 Char Char1168,Predmet komentára Char Char Char1168,Comment Subject Char Char Char1168"/>
    <w:uiPriority w:val="99"/>
    <w:semiHidden/>
    <w:rsid w:val="00A809E7"/>
    <w:rPr>
      <w:rFonts w:ascii="Courier" w:hAnsi="Courier"/>
      <w:b/>
      <w:lang w:val="x-none" w:eastAsia="cs-CZ"/>
    </w:rPr>
  </w:style>
  <w:style w:type="character" w:customStyle="1" w:styleId="PredmetkomentraChar1166">
    <w:name w:val="Predmet komentára Char1166"/>
    <w:aliases w:val="Char6 Char Char1167,Predmet komentára Char Char Char1167,Comment Subject Char Char Char1167"/>
    <w:uiPriority w:val="99"/>
    <w:semiHidden/>
    <w:rsid w:val="00A809E7"/>
    <w:rPr>
      <w:rFonts w:ascii="Courier" w:hAnsi="Courier"/>
      <w:b/>
      <w:lang w:val="x-none" w:eastAsia="cs-CZ"/>
    </w:rPr>
  </w:style>
  <w:style w:type="character" w:customStyle="1" w:styleId="ObyajntextChar1170">
    <w:name w:val="Obyčajný text Char1170"/>
    <w:aliases w:val="Obyčajný text Char Char Char Char1171"/>
    <w:uiPriority w:val="99"/>
    <w:semiHidden/>
    <w:rsid w:val="00A809E7"/>
    <w:rPr>
      <w:rFonts w:ascii="Courier New" w:hAnsi="Courier New"/>
      <w:lang w:val="x-none" w:eastAsia="cs-CZ"/>
    </w:rPr>
  </w:style>
  <w:style w:type="character" w:customStyle="1" w:styleId="ObyajntextChar1169">
    <w:name w:val="Obyčajný text Char1169"/>
    <w:aliases w:val="Obyčajný text Char Char Char Char1170"/>
    <w:uiPriority w:val="99"/>
    <w:semiHidden/>
    <w:rsid w:val="00A809E7"/>
    <w:rPr>
      <w:rFonts w:ascii="Courier New" w:hAnsi="Courier New"/>
      <w:lang w:val="x-none" w:eastAsia="cs-CZ"/>
    </w:rPr>
  </w:style>
  <w:style w:type="character" w:customStyle="1" w:styleId="ObyajntextChar1168">
    <w:name w:val="Obyčajný text Char1168"/>
    <w:aliases w:val="Obyčajný text Char Char Char Char1169"/>
    <w:uiPriority w:val="99"/>
    <w:semiHidden/>
    <w:rsid w:val="00A809E7"/>
    <w:rPr>
      <w:rFonts w:ascii="Courier New" w:hAnsi="Courier New"/>
      <w:lang w:val="x-none" w:eastAsia="cs-CZ"/>
    </w:rPr>
  </w:style>
  <w:style w:type="character" w:customStyle="1" w:styleId="ObyajntextChar1167">
    <w:name w:val="Obyčajný text Char1167"/>
    <w:aliases w:val="Obyčajný text Char Char Char Char1168"/>
    <w:uiPriority w:val="99"/>
    <w:semiHidden/>
    <w:rsid w:val="00A809E7"/>
    <w:rPr>
      <w:rFonts w:ascii="Courier New" w:hAnsi="Courier New"/>
      <w:lang w:val="x-none" w:eastAsia="cs-CZ"/>
    </w:rPr>
  </w:style>
  <w:style w:type="character" w:customStyle="1" w:styleId="ObyajntextChar1166">
    <w:name w:val="Obyčajný text Char1166"/>
    <w:aliases w:val="Obyčajný text Char Char Char Char1167"/>
    <w:uiPriority w:val="99"/>
    <w:semiHidden/>
    <w:rsid w:val="00A809E7"/>
    <w:rPr>
      <w:rFonts w:ascii="Courier New" w:hAnsi="Courier New"/>
      <w:lang w:val="x-none" w:eastAsia="cs-CZ"/>
    </w:rPr>
  </w:style>
  <w:style w:type="paragraph" w:customStyle="1" w:styleId="Bulletslevel1">
    <w:name w:val="Bullets level 1"/>
    <w:basedOn w:val="Normlny"/>
    <w:link w:val="Bulletslevel1Char"/>
    <w:qFormat/>
    <w:rsid w:val="00A809E7"/>
    <w:pPr>
      <w:numPr>
        <w:numId w:val="3"/>
      </w:numPr>
      <w:spacing w:before="120" w:after="120" w:line="240" w:lineRule="auto"/>
      <w:contextualSpacing/>
      <w:jc w:val="both"/>
    </w:pPr>
    <w:rPr>
      <w:rFonts w:ascii="Arial" w:eastAsia="Times New Roman" w:hAnsi="Arial" w:cs="Times New Roman"/>
      <w:color w:val="000000"/>
      <w:sz w:val="19"/>
      <w:szCs w:val="20"/>
      <w:lang w:val="en-GB"/>
    </w:rPr>
  </w:style>
  <w:style w:type="character" w:customStyle="1" w:styleId="Bulletslevel1Char">
    <w:name w:val="Bullets level 1 Char"/>
    <w:link w:val="Bulletslevel1"/>
    <w:locked/>
    <w:rsid w:val="00A809E7"/>
    <w:rPr>
      <w:rFonts w:ascii="Arial" w:eastAsia="Times New Roman" w:hAnsi="Arial" w:cs="Times New Roman"/>
      <w:color w:val="000000"/>
      <w:sz w:val="19"/>
      <w:szCs w:val="20"/>
      <w:lang w:val="en-GB"/>
    </w:rPr>
  </w:style>
  <w:style w:type="paragraph" w:customStyle="1" w:styleId="List0">
    <w:name w:val="List 0"/>
    <w:basedOn w:val="Normlny"/>
    <w:semiHidden/>
    <w:qFormat/>
    <w:rsid w:val="00A809E7"/>
    <w:pPr>
      <w:numPr>
        <w:numId w:val="2"/>
      </w:numPr>
      <w:spacing w:after="0" w:line="240" w:lineRule="auto"/>
    </w:pPr>
    <w:rPr>
      <w:rFonts w:ascii="Times New Roman" w:eastAsia="Times New Roman" w:hAnsi="Times New Roman" w:cs="Times New Roman"/>
      <w:sz w:val="20"/>
      <w:szCs w:val="20"/>
      <w:lang w:eastAsia="sk-SK"/>
    </w:rPr>
  </w:style>
  <w:style w:type="paragraph" w:styleId="Obsah3">
    <w:name w:val="toc 3"/>
    <w:basedOn w:val="Normlny"/>
    <w:next w:val="Normlny"/>
    <w:autoRedefine/>
    <w:uiPriority w:val="39"/>
    <w:unhideWhenUsed/>
    <w:rsid w:val="00A809E7"/>
    <w:pPr>
      <w:spacing w:after="100" w:line="276" w:lineRule="auto"/>
      <w:ind w:left="440"/>
    </w:pPr>
    <w:rPr>
      <w:rFonts w:ascii="Calibri" w:eastAsia="Times New Roman" w:hAnsi="Calibri" w:cs="Times New Roman"/>
      <w:lang w:eastAsia="sk-SK"/>
    </w:rPr>
  </w:style>
  <w:style w:type="paragraph" w:styleId="Obsah4">
    <w:name w:val="toc 4"/>
    <w:basedOn w:val="Normlny"/>
    <w:next w:val="Normlny"/>
    <w:autoRedefine/>
    <w:uiPriority w:val="39"/>
    <w:unhideWhenUsed/>
    <w:rsid w:val="00A809E7"/>
    <w:pPr>
      <w:spacing w:after="100" w:line="276" w:lineRule="auto"/>
      <w:ind w:left="660"/>
    </w:pPr>
    <w:rPr>
      <w:rFonts w:ascii="Calibri" w:eastAsia="Times New Roman" w:hAnsi="Calibri" w:cs="Times New Roman"/>
      <w:lang w:eastAsia="sk-SK"/>
    </w:rPr>
  </w:style>
  <w:style w:type="paragraph" w:styleId="Obsah5">
    <w:name w:val="toc 5"/>
    <w:basedOn w:val="Normlny"/>
    <w:next w:val="Normlny"/>
    <w:autoRedefine/>
    <w:uiPriority w:val="39"/>
    <w:unhideWhenUsed/>
    <w:rsid w:val="00A809E7"/>
    <w:pPr>
      <w:spacing w:after="100" w:line="276" w:lineRule="auto"/>
      <w:ind w:left="880"/>
    </w:pPr>
    <w:rPr>
      <w:rFonts w:ascii="Calibri" w:eastAsia="Times New Roman" w:hAnsi="Calibri" w:cs="Times New Roman"/>
      <w:lang w:eastAsia="sk-SK"/>
    </w:rPr>
  </w:style>
  <w:style w:type="paragraph" w:styleId="Obsah6">
    <w:name w:val="toc 6"/>
    <w:basedOn w:val="Normlny"/>
    <w:next w:val="Normlny"/>
    <w:autoRedefine/>
    <w:uiPriority w:val="39"/>
    <w:unhideWhenUsed/>
    <w:rsid w:val="00A809E7"/>
    <w:pPr>
      <w:spacing w:after="100" w:line="276" w:lineRule="auto"/>
      <w:ind w:left="1100"/>
    </w:pPr>
    <w:rPr>
      <w:rFonts w:ascii="Calibri" w:eastAsia="Times New Roman" w:hAnsi="Calibri" w:cs="Times New Roman"/>
      <w:lang w:eastAsia="sk-SK"/>
    </w:rPr>
  </w:style>
  <w:style w:type="paragraph" w:styleId="Obsah7">
    <w:name w:val="toc 7"/>
    <w:basedOn w:val="Normlny"/>
    <w:next w:val="Normlny"/>
    <w:autoRedefine/>
    <w:uiPriority w:val="39"/>
    <w:unhideWhenUsed/>
    <w:rsid w:val="00A809E7"/>
    <w:pPr>
      <w:spacing w:after="100" w:line="276" w:lineRule="auto"/>
      <w:ind w:left="1320"/>
    </w:pPr>
    <w:rPr>
      <w:rFonts w:ascii="Calibri" w:eastAsia="Times New Roman" w:hAnsi="Calibri" w:cs="Times New Roman"/>
      <w:lang w:eastAsia="sk-SK"/>
    </w:rPr>
  </w:style>
  <w:style w:type="paragraph" w:styleId="Obsah8">
    <w:name w:val="toc 8"/>
    <w:basedOn w:val="Normlny"/>
    <w:next w:val="Normlny"/>
    <w:autoRedefine/>
    <w:uiPriority w:val="39"/>
    <w:unhideWhenUsed/>
    <w:rsid w:val="00A809E7"/>
    <w:pPr>
      <w:spacing w:after="100" w:line="276" w:lineRule="auto"/>
      <w:ind w:left="1540"/>
    </w:pPr>
    <w:rPr>
      <w:rFonts w:ascii="Calibri" w:eastAsia="Times New Roman" w:hAnsi="Calibri" w:cs="Times New Roman"/>
      <w:lang w:eastAsia="sk-SK"/>
    </w:rPr>
  </w:style>
  <w:style w:type="paragraph" w:styleId="Obsah9">
    <w:name w:val="toc 9"/>
    <w:basedOn w:val="Normlny"/>
    <w:next w:val="Normlny"/>
    <w:autoRedefine/>
    <w:uiPriority w:val="39"/>
    <w:unhideWhenUsed/>
    <w:rsid w:val="00A809E7"/>
    <w:pPr>
      <w:spacing w:after="100" w:line="276" w:lineRule="auto"/>
      <w:ind w:left="1760"/>
    </w:pPr>
    <w:rPr>
      <w:rFonts w:ascii="Calibri" w:eastAsia="Times New Roman" w:hAnsi="Calibri" w:cs="Times New Roman"/>
      <w:lang w:eastAsia="sk-SK"/>
    </w:rPr>
  </w:style>
  <w:style w:type="paragraph" w:customStyle="1" w:styleId="titulok">
    <w:name w:val="titulok"/>
    <w:basedOn w:val="Normlny"/>
    <w:qFormat/>
    <w:rsid w:val="00A809E7"/>
    <w:pPr>
      <w:spacing w:before="100" w:beforeAutospacing="1" w:after="100" w:afterAutospacing="1" w:line="240" w:lineRule="auto"/>
      <w:jc w:val="center"/>
    </w:pPr>
    <w:rPr>
      <w:rFonts w:ascii="Arial" w:eastAsia="Times New Roman" w:hAnsi="Arial" w:cs="Arial"/>
      <w:b/>
      <w:bCs/>
      <w:color w:val="007060"/>
      <w:sz w:val="24"/>
      <w:szCs w:val="24"/>
      <w:lang w:eastAsia="sk-SK"/>
    </w:rPr>
  </w:style>
  <w:style w:type="table" w:customStyle="1" w:styleId="Mriekatabuky3">
    <w:name w:val="Mriežka tabuľky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A809E7"/>
    <w:pPr>
      <w:spacing w:after="0" w:line="240" w:lineRule="auto"/>
    </w:pPr>
    <w:rPr>
      <w:rFonts w:ascii="Courier" w:eastAsia="Times New Roman" w:hAnsi="Courier" w:cs="Courier"/>
      <w:sz w:val="20"/>
      <w:szCs w:val="20"/>
      <w:lang w:eastAsia="cs-CZ"/>
    </w:rPr>
  </w:style>
  <w:style w:type="character" w:customStyle="1" w:styleId="TextvysvetlivkyChar">
    <w:name w:val="Text vysvetlivky Char"/>
    <w:basedOn w:val="Predvolenpsmoodseku"/>
    <w:link w:val="Textvysvetlivky"/>
    <w:uiPriority w:val="99"/>
    <w:semiHidden/>
    <w:rsid w:val="00A809E7"/>
    <w:rPr>
      <w:rFonts w:ascii="Courier" w:eastAsia="Times New Roman" w:hAnsi="Courier" w:cs="Courier"/>
      <w:sz w:val="20"/>
      <w:szCs w:val="20"/>
      <w:lang w:eastAsia="cs-CZ"/>
    </w:rPr>
  </w:style>
  <w:style w:type="character" w:styleId="Odkaznavysvetlivku">
    <w:name w:val="endnote reference"/>
    <w:basedOn w:val="Predvolenpsmoodseku"/>
    <w:uiPriority w:val="99"/>
    <w:semiHidden/>
    <w:unhideWhenUsed/>
    <w:rsid w:val="00A809E7"/>
    <w:rPr>
      <w:rFonts w:cs="Times New Roman"/>
      <w:vertAlign w:val="superscript"/>
    </w:rPr>
  </w:style>
  <w:style w:type="character" w:customStyle="1" w:styleId="Nadpis7Char1">
    <w:name w:val="Nadpis 7 Char1"/>
    <w:uiPriority w:val="99"/>
    <w:semiHidden/>
    <w:rsid w:val="00A809E7"/>
    <w:rPr>
      <w:rFonts w:ascii="Cambria" w:hAnsi="Cambria"/>
      <w:i/>
      <w:color w:val="404040"/>
      <w:sz w:val="24"/>
      <w:lang w:val="x-none" w:eastAsia="cs-CZ"/>
    </w:rPr>
  </w:style>
  <w:style w:type="character" w:customStyle="1" w:styleId="Nadpis8Char1">
    <w:name w:val="Nadpis 8 Char1"/>
    <w:uiPriority w:val="99"/>
    <w:semiHidden/>
    <w:rsid w:val="00A809E7"/>
    <w:rPr>
      <w:rFonts w:ascii="Cambria" w:hAnsi="Cambria"/>
      <w:color w:val="404040"/>
      <w:lang w:val="x-none" w:eastAsia="cs-CZ"/>
    </w:rPr>
  </w:style>
  <w:style w:type="character" w:customStyle="1" w:styleId="Nadpis9Char1">
    <w:name w:val="Nadpis 9 Char1"/>
    <w:uiPriority w:val="99"/>
    <w:semiHidden/>
    <w:rsid w:val="00A809E7"/>
    <w:rPr>
      <w:rFonts w:ascii="Cambria" w:hAnsi="Cambria"/>
      <w:i/>
      <w:color w:val="404040"/>
      <w:lang w:val="x-none" w:eastAsia="cs-CZ"/>
    </w:rPr>
  </w:style>
  <w:style w:type="character" w:customStyle="1" w:styleId="TextvysvetlivkyChar1">
    <w:name w:val="Text vysvetlivky Char1"/>
    <w:uiPriority w:val="99"/>
    <w:semiHidden/>
    <w:rsid w:val="00A809E7"/>
    <w:rPr>
      <w:rFonts w:ascii="Courier" w:hAnsi="Courier"/>
      <w:sz w:val="20"/>
      <w:lang w:val="x-none" w:eastAsia="cs-CZ"/>
    </w:rPr>
  </w:style>
  <w:style w:type="table" w:customStyle="1" w:styleId="Mriekatabuky4">
    <w:name w:val="Mriežka tabuľky4"/>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ktradokumentuChar1619">
    <w:name w:val="Štruktúra dokumentu Char1619"/>
    <w:aliases w:val="Char9 Char Char1620,Štruktúra dokumentu Char Char Char1620,Document Map Char Char Char1620"/>
    <w:uiPriority w:val="99"/>
    <w:semiHidden/>
    <w:rsid w:val="00A809E7"/>
    <w:rPr>
      <w:rFonts w:ascii="Tahoma" w:hAnsi="Tahoma"/>
      <w:sz w:val="16"/>
      <w:lang w:val="x-none" w:eastAsia="cs-CZ"/>
    </w:rPr>
  </w:style>
  <w:style w:type="character" w:customStyle="1" w:styleId="truktradokumentuChar1618">
    <w:name w:val="Štruktúra dokumentu Char1618"/>
    <w:aliases w:val="Char9 Char Char1619,Štruktúra dokumentu Char Char Char1619,Document Map Char Char Char1619"/>
    <w:uiPriority w:val="99"/>
    <w:semiHidden/>
    <w:rsid w:val="00A809E7"/>
    <w:rPr>
      <w:rFonts w:ascii="Tahoma" w:hAnsi="Tahoma"/>
      <w:sz w:val="16"/>
      <w:lang w:val="x-none" w:eastAsia="cs-CZ"/>
    </w:rPr>
  </w:style>
  <w:style w:type="character" w:customStyle="1" w:styleId="truktradokumentuChar1617">
    <w:name w:val="Štruktúra dokumentu Char1617"/>
    <w:aliases w:val="Char9 Char Char1618,Štruktúra dokumentu Char Char Char1618,Document Map Char Char Char1618"/>
    <w:uiPriority w:val="99"/>
    <w:semiHidden/>
    <w:rsid w:val="00A809E7"/>
    <w:rPr>
      <w:rFonts w:ascii="Tahoma" w:hAnsi="Tahoma"/>
      <w:sz w:val="16"/>
      <w:lang w:val="x-none" w:eastAsia="cs-CZ"/>
    </w:rPr>
  </w:style>
  <w:style w:type="character" w:customStyle="1" w:styleId="truktradokumentuChar1616">
    <w:name w:val="Štruktúra dokumentu Char1616"/>
    <w:aliases w:val="Char9 Char Char1617,Štruktúra dokumentu Char Char Char1617,Document Map Char Char Char1617"/>
    <w:uiPriority w:val="99"/>
    <w:semiHidden/>
    <w:rsid w:val="00A809E7"/>
    <w:rPr>
      <w:rFonts w:ascii="Tahoma" w:hAnsi="Tahoma"/>
      <w:sz w:val="16"/>
      <w:lang w:val="x-none" w:eastAsia="cs-CZ"/>
    </w:rPr>
  </w:style>
  <w:style w:type="character" w:customStyle="1" w:styleId="truktradokumentuChar1615">
    <w:name w:val="Štruktúra dokumentu Char1615"/>
    <w:aliases w:val="Char9 Char Char1616,Štruktúra dokumentu Char Char Char1616,Document Map Char Char Char1616"/>
    <w:uiPriority w:val="99"/>
    <w:semiHidden/>
    <w:rsid w:val="00A809E7"/>
    <w:rPr>
      <w:rFonts w:ascii="Tahoma" w:hAnsi="Tahoma"/>
      <w:sz w:val="16"/>
      <w:lang w:val="x-none" w:eastAsia="cs-CZ"/>
    </w:rPr>
  </w:style>
  <w:style w:type="character" w:customStyle="1" w:styleId="TextkomentraChar1619">
    <w:name w:val="Text komentára Char1619"/>
    <w:aliases w:val="Char7 Char Char1620,Text komentára Char Char Char1620,Comment Text Char Char Char1620"/>
    <w:uiPriority w:val="99"/>
    <w:semiHidden/>
    <w:rsid w:val="00A809E7"/>
    <w:rPr>
      <w:rFonts w:ascii="Courier" w:hAnsi="Courier"/>
      <w:lang w:val="x-none" w:eastAsia="cs-CZ"/>
    </w:rPr>
  </w:style>
  <w:style w:type="character" w:customStyle="1" w:styleId="TextkomentraChar1618">
    <w:name w:val="Text komentára Char1618"/>
    <w:aliases w:val="Char7 Char Char1619,Text komentára Char Char Char1619,Comment Text Char Char Char1619"/>
    <w:uiPriority w:val="99"/>
    <w:semiHidden/>
    <w:rsid w:val="00A809E7"/>
    <w:rPr>
      <w:rFonts w:ascii="Courier" w:hAnsi="Courier"/>
      <w:lang w:val="x-none" w:eastAsia="cs-CZ"/>
    </w:rPr>
  </w:style>
  <w:style w:type="character" w:customStyle="1" w:styleId="TextkomentraChar1617">
    <w:name w:val="Text komentára Char1617"/>
    <w:aliases w:val="Char7 Char Char1618,Text komentára Char Char Char1618,Comment Text Char Char Char1618"/>
    <w:uiPriority w:val="99"/>
    <w:semiHidden/>
    <w:rsid w:val="00A809E7"/>
    <w:rPr>
      <w:rFonts w:ascii="Courier" w:hAnsi="Courier"/>
      <w:lang w:val="x-none" w:eastAsia="cs-CZ"/>
    </w:rPr>
  </w:style>
  <w:style w:type="character" w:customStyle="1" w:styleId="TextkomentraChar1616">
    <w:name w:val="Text komentára Char1616"/>
    <w:aliases w:val="Char7 Char Char1617,Text komentára Char Char Char1617,Comment Text Char Char Char1617"/>
    <w:uiPriority w:val="99"/>
    <w:semiHidden/>
    <w:rsid w:val="00A809E7"/>
    <w:rPr>
      <w:rFonts w:ascii="Courier" w:hAnsi="Courier"/>
      <w:lang w:val="x-none" w:eastAsia="cs-CZ"/>
    </w:rPr>
  </w:style>
  <w:style w:type="character" w:customStyle="1" w:styleId="TextkomentraChar1615">
    <w:name w:val="Text komentára Char1615"/>
    <w:aliases w:val="Char7 Char Char1616,Text komentára Char Char Char1616,Comment Text Char Char Char1616"/>
    <w:uiPriority w:val="99"/>
    <w:semiHidden/>
    <w:rsid w:val="00A809E7"/>
    <w:rPr>
      <w:rFonts w:ascii="Courier" w:hAnsi="Courier"/>
      <w:lang w:val="x-none" w:eastAsia="cs-CZ"/>
    </w:rPr>
  </w:style>
  <w:style w:type="character" w:customStyle="1" w:styleId="PredmetkomentraChar1619">
    <w:name w:val="Predmet komentára Char1619"/>
    <w:aliases w:val="Char6 Char Char1620,Predmet komentára Char Char Char1620,Comment Subject Char Char Char1620"/>
    <w:uiPriority w:val="99"/>
    <w:semiHidden/>
    <w:rsid w:val="00A809E7"/>
    <w:rPr>
      <w:rFonts w:ascii="Courier" w:hAnsi="Courier"/>
      <w:b/>
      <w:lang w:val="x-none" w:eastAsia="cs-CZ"/>
    </w:rPr>
  </w:style>
  <w:style w:type="character" w:customStyle="1" w:styleId="PredmetkomentraChar1618">
    <w:name w:val="Predmet komentára Char1618"/>
    <w:aliases w:val="Char6 Char Char1619,Predmet komentára Char Char Char1619,Comment Subject Char Char Char1619"/>
    <w:uiPriority w:val="99"/>
    <w:semiHidden/>
    <w:rsid w:val="00A809E7"/>
    <w:rPr>
      <w:rFonts w:ascii="Courier" w:hAnsi="Courier"/>
      <w:b/>
      <w:lang w:val="x-none" w:eastAsia="cs-CZ"/>
    </w:rPr>
  </w:style>
  <w:style w:type="character" w:customStyle="1" w:styleId="PredmetkomentraChar1617">
    <w:name w:val="Predmet komentára Char1617"/>
    <w:aliases w:val="Char6 Char Char1618,Predmet komentára Char Char Char1618,Comment Subject Char Char Char1618"/>
    <w:uiPriority w:val="99"/>
    <w:semiHidden/>
    <w:rsid w:val="00A809E7"/>
    <w:rPr>
      <w:rFonts w:ascii="Courier" w:hAnsi="Courier"/>
      <w:b/>
      <w:lang w:val="x-none" w:eastAsia="cs-CZ"/>
    </w:rPr>
  </w:style>
  <w:style w:type="character" w:customStyle="1" w:styleId="PredmetkomentraChar1616">
    <w:name w:val="Predmet komentára Char1616"/>
    <w:aliases w:val="Char6 Char Char1617,Predmet komentára Char Char Char1617,Comment Subject Char Char Char1617"/>
    <w:uiPriority w:val="99"/>
    <w:semiHidden/>
    <w:rsid w:val="00A809E7"/>
    <w:rPr>
      <w:rFonts w:ascii="Courier" w:hAnsi="Courier"/>
      <w:b/>
      <w:lang w:val="x-none" w:eastAsia="cs-CZ"/>
    </w:rPr>
  </w:style>
  <w:style w:type="character" w:customStyle="1" w:styleId="PredmetkomentraChar1615">
    <w:name w:val="Predmet komentára Char1615"/>
    <w:aliases w:val="Char6 Char Char1616,Predmet komentára Char Char Char1616,Comment Subject Char Char Char1616"/>
    <w:uiPriority w:val="99"/>
    <w:semiHidden/>
    <w:rsid w:val="00A809E7"/>
    <w:rPr>
      <w:rFonts w:ascii="Courier" w:hAnsi="Courier"/>
      <w:b/>
      <w:lang w:val="x-none" w:eastAsia="cs-CZ"/>
    </w:rPr>
  </w:style>
  <w:style w:type="character" w:customStyle="1" w:styleId="ObyajntextChar1619">
    <w:name w:val="Obyčajný text Char1619"/>
    <w:aliases w:val="Obyčajný text Char Char Char Char1620"/>
    <w:uiPriority w:val="99"/>
    <w:semiHidden/>
    <w:rsid w:val="00A809E7"/>
    <w:rPr>
      <w:rFonts w:ascii="Courier New" w:hAnsi="Courier New"/>
      <w:lang w:val="x-none" w:eastAsia="cs-CZ"/>
    </w:rPr>
  </w:style>
  <w:style w:type="character" w:customStyle="1" w:styleId="ObyajntextChar1618">
    <w:name w:val="Obyčajný text Char1618"/>
    <w:aliases w:val="Obyčajný text Char Char Char Char1619"/>
    <w:uiPriority w:val="99"/>
    <w:semiHidden/>
    <w:rsid w:val="00A809E7"/>
    <w:rPr>
      <w:rFonts w:ascii="Courier New" w:hAnsi="Courier New"/>
      <w:lang w:val="x-none" w:eastAsia="cs-CZ"/>
    </w:rPr>
  </w:style>
  <w:style w:type="character" w:customStyle="1" w:styleId="ObyajntextChar1617">
    <w:name w:val="Obyčajný text Char1617"/>
    <w:aliases w:val="Obyčajný text Char Char Char Char1618"/>
    <w:uiPriority w:val="99"/>
    <w:semiHidden/>
    <w:rsid w:val="00A809E7"/>
    <w:rPr>
      <w:rFonts w:ascii="Courier New" w:hAnsi="Courier New"/>
      <w:lang w:val="x-none" w:eastAsia="cs-CZ"/>
    </w:rPr>
  </w:style>
  <w:style w:type="character" w:customStyle="1" w:styleId="ObyajntextChar1616">
    <w:name w:val="Obyčajný text Char1616"/>
    <w:aliases w:val="Obyčajný text Char Char Char Char1617"/>
    <w:uiPriority w:val="99"/>
    <w:semiHidden/>
    <w:rsid w:val="00A809E7"/>
    <w:rPr>
      <w:rFonts w:ascii="Courier New" w:hAnsi="Courier New"/>
      <w:lang w:val="x-none" w:eastAsia="cs-CZ"/>
    </w:rPr>
  </w:style>
  <w:style w:type="character" w:customStyle="1" w:styleId="ObyajntextChar1615">
    <w:name w:val="Obyčajný text Char1615"/>
    <w:aliases w:val="Obyčajný text Char Char Char Char1616"/>
    <w:uiPriority w:val="99"/>
    <w:semiHidden/>
    <w:rsid w:val="00A809E7"/>
    <w:rPr>
      <w:rFonts w:ascii="Courier New" w:hAnsi="Courier New"/>
      <w:lang w:val="x-none" w:eastAsia="cs-CZ"/>
    </w:rPr>
  </w:style>
  <w:style w:type="table" w:customStyle="1" w:styleId="Kalendr2">
    <w:name w:val="Kalendár 2"/>
    <w:basedOn w:val="Normlnatabuka"/>
    <w:uiPriority w:val="99"/>
    <w:qFormat/>
    <w:rsid w:val="00A809E7"/>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
    <w:name w:val="Bez zoznamu1"/>
    <w:next w:val="Bezzoznamu"/>
    <w:uiPriority w:val="99"/>
    <w:semiHidden/>
    <w:unhideWhenUsed/>
    <w:rsid w:val="00A809E7"/>
  </w:style>
  <w:style w:type="character" w:customStyle="1" w:styleId="truktradokumentuChar1630">
    <w:name w:val="Štruktúra dokumentu Char1630"/>
    <w:aliases w:val="Char9 Char Char1631,Štruktúra dokumentu Char Char Char1631,Document Map Char Char Char1631"/>
    <w:basedOn w:val="Predvolenpsmoodseku"/>
    <w:uiPriority w:val="99"/>
    <w:semiHidden/>
    <w:rsid w:val="00A809E7"/>
    <w:rPr>
      <w:rFonts w:ascii="Tahoma" w:hAnsi="Tahoma" w:cs="Tahoma"/>
      <w:sz w:val="16"/>
      <w:szCs w:val="16"/>
      <w:lang w:val="x-none" w:eastAsia="cs-CZ"/>
    </w:rPr>
  </w:style>
  <w:style w:type="character" w:customStyle="1" w:styleId="truktradokumentuChar1629">
    <w:name w:val="Štruktúra dokumentu Char1629"/>
    <w:aliases w:val="Char9 Char Char1630,Štruktúra dokumentu Char Char Char1630,Document Map Char Char Char1630"/>
    <w:basedOn w:val="Predvolenpsmoodseku"/>
    <w:uiPriority w:val="99"/>
    <w:semiHidden/>
    <w:rsid w:val="00A809E7"/>
    <w:rPr>
      <w:rFonts w:ascii="Tahoma" w:hAnsi="Tahoma" w:cs="Tahoma"/>
      <w:sz w:val="16"/>
      <w:szCs w:val="16"/>
      <w:lang w:val="x-none" w:eastAsia="cs-CZ"/>
    </w:rPr>
  </w:style>
  <w:style w:type="character" w:customStyle="1" w:styleId="truktradokumentuChar1628">
    <w:name w:val="Štruktúra dokumentu Char1628"/>
    <w:aliases w:val="Char9 Char Char1629,Štruktúra dokumentu Char Char Char1629,Document Map Char Char Char1629"/>
    <w:basedOn w:val="Predvolenpsmoodseku"/>
    <w:uiPriority w:val="99"/>
    <w:semiHidden/>
    <w:rsid w:val="00A809E7"/>
    <w:rPr>
      <w:rFonts w:ascii="Tahoma" w:hAnsi="Tahoma" w:cs="Tahoma"/>
      <w:sz w:val="16"/>
      <w:szCs w:val="16"/>
      <w:lang w:val="x-none" w:eastAsia="cs-CZ"/>
    </w:rPr>
  </w:style>
  <w:style w:type="character" w:customStyle="1" w:styleId="truktradokumentuChar1627">
    <w:name w:val="Štruktúra dokumentu Char1627"/>
    <w:aliases w:val="Char9 Char Char1628,Štruktúra dokumentu Char Char Char1628,Document Map Char Char Char1628"/>
    <w:basedOn w:val="Predvolenpsmoodseku"/>
    <w:uiPriority w:val="99"/>
    <w:semiHidden/>
    <w:rsid w:val="00A809E7"/>
    <w:rPr>
      <w:rFonts w:ascii="Tahoma" w:hAnsi="Tahoma" w:cs="Tahoma"/>
      <w:sz w:val="16"/>
      <w:szCs w:val="16"/>
      <w:lang w:val="x-none" w:eastAsia="cs-CZ"/>
    </w:rPr>
  </w:style>
  <w:style w:type="character" w:customStyle="1" w:styleId="truktradokumentuChar1626">
    <w:name w:val="Štruktúra dokumentu Char1626"/>
    <w:aliases w:val="Char9 Char Char1627,Štruktúra dokumentu Char Char Char1627,Document Map Char Char Char1627"/>
    <w:basedOn w:val="Predvolenpsmoodseku"/>
    <w:uiPriority w:val="99"/>
    <w:semiHidden/>
    <w:rsid w:val="00A809E7"/>
    <w:rPr>
      <w:rFonts w:ascii="Tahoma" w:hAnsi="Tahoma" w:cs="Tahoma"/>
      <w:sz w:val="16"/>
      <w:szCs w:val="16"/>
      <w:lang w:val="x-none" w:eastAsia="cs-CZ"/>
    </w:rPr>
  </w:style>
  <w:style w:type="character" w:customStyle="1" w:styleId="truktradokumentuChar1625">
    <w:name w:val="Štruktúra dokumentu Char1625"/>
    <w:aliases w:val="Char9 Char Char1626,Štruktúra dokumentu Char Char Char1626,Document Map Char Char Char1626"/>
    <w:basedOn w:val="Predvolenpsmoodseku"/>
    <w:uiPriority w:val="99"/>
    <w:semiHidden/>
    <w:rsid w:val="00A809E7"/>
    <w:rPr>
      <w:rFonts w:ascii="Tahoma" w:hAnsi="Tahoma" w:cs="Tahoma"/>
      <w:sz w:val="16"/>
      <w:szCs w:val="16"/>
      <w:lang w:val="x-none" w:eastAsia="cs-CZ"/>
    </w:rPr>
  </w:style>
  <w:style w:type="character" w:customStyle="1" w:styleId="truktradokumentuChar1624">
    <w:name w:val="Štruktúra dokumentu Char1624"/>
    <w:aliases w:val="Char9 Char Char1625,Štruktúra dokumentu Char Char Char1625,Document Map Char Char Char1625"/>
    <w:basedOn w:val="Predvolenpsmoodseku"/>
    <w:uiPriority w:val="99"/>
    <w:semiHidden/>
    <w:rsid w:val="00A809E7"/>
    <w:rPr>
      <w:rFonts w:ascii="Tahoma" w:hAnsi="Tahoma" w:cs="Tahoma"/>
      <w:sz w:val="16"/>
      <w:szCs w:val="16"/>
      <w:lang w:val="x-none" w:eastAsia="cs-CZ"/>
    </w:rPr>
  </w:style>
  <w:style w:type="character" w:customStyle="1" w:styleId="truktradokumentuChar1623">
    <w:name w:val="Štruktúra dokumentu Char1623"/>
    <w:aliases w:val="Char9 Char Char1624,Štruktúra dokumentu Char Char Char1624,Document Map Char Char Char1624"/>
    <w:basedOn w:val="Predvolenpsmoodseku"/>
    <w:uiPriority w:val="99"/>
    <w:semiHidden/>
    <w:rsid w:val="00A809E7"/>
    <w:rPr>
      <w:rFonts w:ascii="Tahoma" w:hAnsi="Tahoma" w:cs="Tahoma"/>
      <w:sz w:val="16"/>
      <w:szCs w:val="16"/>
      <w:lang w:val="x-none" w:eastAsia="cs-CZ"/>
    </w:rPr>
  </w:style>
  <w:style w:type="character" w:customStyle="1" w:styleId="truktradokumentuChar1622">
    <w:name w:val="Štruktúra dokumentu Char1622"/>
    <w:aliases w:val="Char9 Char Char1623,Štruktúra dokumentu Char Char Char1623,Document Map Char Char Char1623"/>
    <w:basedOn w:val="Predvolenpsmoodseku"/>
    <w:uiPriority w:val="99"/>
    <w:semiHidden/>
    <w:rsid w:val="00A809E7"/>
    <w:rPr>
      <w:rFonts w:ascii="Tahoma" w:hAnsi="Tahoma" w:cs="Tahoma"/>
      <w:sz w:val="16"/>
      <w:szCs w:val="16"/>
      <w:lang w:val="x-none" w:eastAsia="cs-CZ"/>
    </w:rPr>
  </w:style>
  <w:style w:type="character" w:customStyle="1" w:styleId="TextkomentraChar1630">
    <w:name w:val="Text komentára Char1630"/>
    <w:aliases w:val="Char7 Char Char1631,Text komentára Char Char Char1631,Comment Text Char Char Char1631"/>
    <w:basedOn w:val="Predvolenpsmoodseku"/>
    <w:uiPriority w:val="99"/>
    <w:semiHidden/>
    <w:rsid w:val="00A809E7"/>
    <w:rPr>
      <w:rFonts w:ascii="Courier" w:hAnsi="Courier" w:cs="Courier"/>
      <w:lang w:val="x-none" w:eastAsia="cs-CZ"/>
    </w:rPr>
  </w:style>
  <w:style w:type="character" w:customStyle="1" w:styleId="TextkomentraChar1629">
    <w:name w:val="Text komentára Char1629"/>
    <w:aliases w:val="Char7 Char Char1630,Text komentára Char Char Char1630,Comment Text Char Char Char1630"/>
    <w:basedOn w:val="Predvolenpsmoodseku"/>
    <w:uiPriority w:val="99"/>
    <w:semiHidden/>
    <w:rsid w:val="00A809E7"/>
    <w:rPr>
      <w:rFonts w:ascii="Courier" w:hAnsi="Courier" w:cs="Courier"/>
      <w:lang w:val="x-none" w:eastAsia="cs-CZ"/>
    </w:rPr>
  </w:style>
  <w:style w:type="character" w:customStyle="1" w:styleId="TextkomentraChar1628">
    <w:name w:val="Text komentára Char1628"/>
    <w:aliases w:val="Char7 Char Char1629,Text komentára Char Char Char1629,Comment Text Char Char Char1629"/>
    <w:basedOn w:val="Predvolenpsmoodseku"/>
    <w:uiPriority w:val="99"/>
    <w:semiHidden/>
    <w:rsid w:val="00A809E7"/>
    <w:rPr>
      <w:rFonts w:ascii="Courier" w:hAnsi="Courier" w:cs="Courier"/>
      <w:lang w:val="x-none" w:eastAsia="cs-CZ"/>
    </w:rPr>
  </w:style>
  <w:style w:type="character" w:customStyle="1" w:styleId="TextkomentraChar1627">
    <w:name w:val="Text komentára Char1627"/>
    <w:aliases w:val="Char7 Char Char1628,Text komentára Char Char Char1628,Comment Text Char Char Char1628"/>
    <w:basedOn w:val="Predvolenpsmoodseku"/>
    <w:uiPriority w:val="99"/>
    <w:semiHidden/>
    <w:rsid w:val="00A809E7"/>
    <w:rPr>
      <w:rFonts w:ascii="Courier" w:hAnsi="Courier" w:cs="Courier"/>
      <w:lang w:val="x-none" w:eastAsia="cs-CZ"/>
    </w:rPr>
  </w:style>
  <w:style w:type="character" w:customStyle="1" w:styleId="TextkomentraChar1626">
    <w:name w:val="Text komentára Char1626"/>
    <w:aliases w:val="Char7 Char Char1627,Text komentára Char Char Char1627,Comment Text Char Char Char1627"/>
    <w:basedOn w:val="Predvolenpsmoodseku"/>
    <w:uiPriority w:val="99"/>
    <w:semiHidden/>
    <w:rsid w:val="00A809E7"/>
    <w:rPr>
      <w:rFonts w:ascii="Courier" w:hAnsi="Courier" w:cs="Courier"/>
      <w:lang w:val="x-none" w:eastAsia="cs-CZ"/>
    </w:rPr>
  </w:style>
  <w:style w:type="character" w:customStyle="1" w:styleId="TextkomentraChar1625">
    <w:name w:val="Text komentára Char1625"/>
    <w:aliases w:val="Char7 Char Char1626,Text komentára Char Char Char1626,Comment Text Char Char Char1626"/>
    <w:basedOn w:val="Predvolenpsmoodseku"/>
    <w:uiPriority w:val="99"/>
    <w:semiHidden/>
    <w:rsid w:val="00A809E7"/>
    <w:rPr>
      <w:rFonts w:ascii="Courier" w:hAnsi="Courier" w:cs="Courier"/>
      <w:lang w:val="x-none" w:eastAsia="cs-CZ"/>
    </w:rPr>
  </w:style>
  <w:style w:type="character" w:customStyle="1" w:styleId="TextkomentraChar1624">
    <w:name w:val="Text komentára Char1624"/>
    <w:aliases w:val="Char7 Char Char1625,Text komentára Char Char Char1625,Comment Text Char Char Char1625"/>
    <w:basedOn w:val="Predvolenpsmoodseku"/>
    <w:uiPriority w:val="99"/>
    <w:semiHidden/>
    <w:rsid w:val="00A809E7"/>
    <w:rPr>
      <w:rFonts w:ascii="Courier" w:hAnsi="Courier" w:cs="Courier"/>
      <w:lang w:val="x-none" w:eastAsia="cs-CZ"/>
    </w:rPr>
  </w:style>
  <w:style w:type="character" w:customStyle="1" w:styleId="TextkomentraChar1623">
    <w:name w:val="Text komentára Char1623"/>
    <w:aliases w:val="Char7 Char Char1624,Text komentára Char Char Char1624,Comment Text Char Char Char1624"/>
    <w:basedOn w:val="Predvolenpsmoodseku"/>
    <w:uiPriority w:val="99"/>
    <w:semiHidden/>
    <w:rsid w:val="00A809E7"/>
    <w:rPr>
      <w:rFonts w:ascii="Courier" w:hAnsi="Courier" w:cs="Courier"/>
      <w:lang w:val="x-none" w:eastAsia="cs-CZ"/>
    </w:rPr>
  </w:style>
  <w:style w:type="character" w:customStyle="1" w:styleId="TextkomentraChar1622">
    <w:name w:val="Text komentára Char1622"/>
    <w:aliases w:val="Char7 Char Char1623,Text komentára Char Char Char1623,Comment Text Char Char Char1623"/>
    <w:basedOn w:val="Predvolenpsmoodseku"/>
    <w:uiPriority w:val="99"/>
    <w:semiHidden/>
    <w:rsid w:val="00A809E7"/>
    <w:rPr>
      <w:rFonts w:ascii="Courier" w:hAnsi="Courier" w:cs="Courier"/>
      <w:lang w:val="x-none" w:eastAsia="cs-CZ"/>
    </w:rPr>
  </w:style>
  <w:style w:type="character" w:customStyle="1" w:styleId="PredmetkomentraChar1630">
    <w:name w:val="Predmet komentára Char1630"/>
    <w:aliases w:val="Char6 Char Char1631,Predmet komentára Char Char Char1631,Comment Subject Char Char Char1631"/>
    <w:basedOn w:val="TextkomentraChar"/>
    <w:uiPriority w:val="99"/>
    <w:semiHidden/>
    <w:rsid w:val="00A809E7"/>
    <w:rPr>
      <w:rFonts w:ascii="Courier" w:hAnsi="Courier" w:cs="Courier"/>
      <w:b/>
      <w:bCs/>
      <w:lang w:val="x-none" w:eastAsia="cs-CZ"/>
    </w:rPr>
  </w:style>
  <w:style w:type="character" w:customStyle="1" w:styleId="PredmetkomentraChar1629">
    <w:name w:val="Predmet komentára Char1629"/>
    <w:aliases w:val="Char6 Char Char1630,Predmet komentára Char Char Char1630,Comment Subject Char Char Char1630"/>
    <w:basedOn w:val="TextkomentraChar"/>
    <w:uiPriority w:val="99"/>
    <w:semiHidden/>
    <w:rsid w:val="00A809E7"/>
    <w:rPr>
      <w:rFonts w:ascii="Courier" w:hAnsi="Courier" w:cs="Courier"/>
      <w:b/>
      <w:bCs/>
      <w:lang w:val="x-none" w:eastAsia="cs-CZ"/>
    </w:rPr>
  </w:style>
  <w:style w:type="character" w:customStyle="1" w:styleId="PredmetkomentraChar1628">
    <w:name w:val="Predmet komentára Char1628"/>
    <w:aliases w:val="Char6 Char Char1629,Predmet komentára Char Char Char1629,Comment Subject Char Char Char1629"/>
    <w:basedOn w:val="TextkomentraChar"/>
    <w:uiPriority w:val="99"/>
    <w:semiHidden/>
    <w:rsid w:val="00A809E7"/>
    <w:rPr>
      <w:rFonts w:ascii="Courier" w:hAnsi="Courier" w:cs="Courier"/>
      <w:b/>
      <w:bCs/>
      <w:lang w:val="x-none" w:eastAsia="cs-CZ"/>
    </w:rPr>
  </w:style>
  <w:style w:type="character" w:customStyle="1" w:styleId="PredmetkomentraChar1627">
    <w:name w:val="Predmet komentára Char1627"/>
    <w:aliases w:val="Char6 Char Char1628,Predmet komentára Char Char Char1628,Comment Subject Char Char Char1628"/>
    <w:basedOn w:val="TextkomentraChar"/>
    <w:uiPriority w:val="99"/>
    <w:semiHidden/>
    <w:rsid w:val="00A809E7"/>
    <w:rPr>
      <w:rFonts w:ascii="Courier" w:hAnsi="Courier" w:cs="Courier"/>
      <w:b/>
      <w:bCs/>
      <w:lang w:val="x-none" w:eastAsia="cs-CZ"/>
    </w:rPr>
  </w:style>
  <w:style w:type="character" w:customStyle="1" w:styleId="PredmetkomentraChar1626">
    <w:name w:val="Predmet komentára Char1626"/>
    <w:aliases w:val="Char6 Char Char1627,Predmet komentára Char Char Char1627,Comment Subject Char Char Char1627"/>
    <w:basedOn w:val="TextkomentraChar"/>
    <w:uiPriority w:val="99"/>
    <w:semiHidden/>
    <w:rsid w:val="00A809E7"/>
    <w:rPr>
      <w:rFonts w:ascii="Courier" w:hAnsi="Courier" w:cs="Courier"/>
      <w:b/>
      <w:bCs/>
      <w:lang w:val="x-none" w:eastAsia="cs-CZ"/>
    </w:rPr>
  </w:style>
  <w:style w:type="character" w:customStyle="1" w:styleId="PredmetkomentraChar1625">
    <w:name w:val="Predmet komentára Char1625"/>
    <w:aliases w:val="Char6 Char Char1626,Predmet komentára Char Char Char1626,Comment Subject Char Char Char1626"/>
    <w:basedOn w:val="TextkomentraChar"/>
    <w:uiPriority w:val="99"/>
    <w:semiHidden/>
    <w:rsid w:val="00A809E7"/>
    <w:rPr>
      <w:rFonts w:ascii="Courier" w:hAnsi="Courier" w:cs="Courier"/>
      <w:b/>
      <w:bCs/>
      <w:lang w:val="x-none" w:eastAsia="cs-CZ"/>
    </w:rPr>
  </w:style>
  <w:style w:type="character" w:customStyle="1" w:styleId="PredmetkomentraChar1624">
    <w:name w:val="Predmet komentára Char1624"/>
    <w:aliases w:val="Char6 Char Char1625,Predmet komentára Char Char Char1625,Comment Subject Char Char Char1625"/>
    <w:basedOn w:val="TextkomentraChar"/>
    <w:uiPriority w:val="99"/>
    <w:semiHidden/>
    <w:rsid w:val="00A809E7"/>
    <w:rPr>
      <w:rFonts w:ascii="Courier" w:hAnsi="Courier" w:cs="Courier"/>
      <w:b/>
      <w:bCs/>
      <w:lang w:val="x-none" w:eastAsia="cs-CZ"/>
    </w:rPr>
  </w:style>
  <w:style w:type="character" w:customStyle="1" w:styleId="PredmetkomentraChar1623">
    <w:name w:val="Predmet komentára Char1623"/>
    <w:aliases w:val="Char6 Char Char1624,Predmet komentára Char Char Char1624,Comment Subject Char Char Char1624"/>
    <w:basedOn w:val="TextkomentraChar"/>
    <w:uiPriority w:val="99"/>
    <w:semiHidden/>
    <w:rsid w:val="00A809E7"/>
    <w:rPr>
      <w:rFonts w:ascii="Courier" w:hAnsi="Courier" w:cs="Courier"/>
      <w:b/>
      <w:bCs/>
      <w:lang w:val="x-none" w:eastAsia="cs-CZ"/>
    </w:rPr>
  </w:style>
  <w:style w:type="character" w:customStyle="1" w:styleId="PredmetkomentraChar1622">
    <w:name w:val="Predmet komentára Char1622"/>
    <w:aliases w:val="Char6 Char Char1623,Predmet komentára Char Char Char1623,Comment Subject Char Char Char1623"/>
    <w:basedOn w:val="TextkomentraChar"/>
    <w:uiPriority w:val="99"/>
    <w:semiHidden/>
    <w:rsid w:val="00A809E7"/>
    <w:rPr>
      <w:rFonts w:ascii="Courier" w:hAnsi="Courier" w:cs="Courier"/>
      <w:b/>
      <w:bCs/>
      <w:lang w:val="x-none" w:eastAsia="cs-CZ"/>
    </w:rPr>
  </w:style>
  <w:style w:type="character" w:customStyle="1" w:styleId="ObyajntextChar1630">
    <w:name w:val="Obyčajný text Char1630"/>
    <w:aliases w:val="Obyčajný text Char Char Char Char1631"/>
    <w:basedOn w:val="Predvolenpsmoodseku"/>
    <w:uiPriority w:val="99"/>
    <w:semiHidden/>
    <w:rsid w:val="00A809E7"/>
    <w:rPr>
      <w:rFonts w:ascii="Courier New" w:hAnsi="Courier New" w:cs="Courier New"/>
      <w:lang w:val="x-none" w:eastAsia="cs-CZ"/>
    </w:rPr>
  </w:style>
  <w:style w:type="character" w:customStyle="1" w:styleId="ObyajntextChar1629">
    <w:name w:val="Obyčajný text Char1629"/>
    <w:aliases w:val="Obyčajný text Char Char Char Char1630"/>
    <w:basedOn w:val="Predvolenpsmoodseku"/>
    <w:uiPriority w:val="99"/>
    <w:semiHidden/>
    <w:rsid w:val="00A809E7"/>
    <w:rPr>
      <w:rFonts w:ascii="Courier New" w:hAnsi="Courier New" w:cs="Courier New"/>
      <w:lang w:val="x-none" w:eastAsia="cs-CZ"/>
    </w:rPr>
  </w:style>
  <w:style w:type="character" w:customStyle="1" w:styleId="ObyajntextChar1628">
    <w:name w:val="Obyčajný text Char1628"/>
    <w:aliases w:val="Obyčajný text Char Char Char Char1629"/>
    <w:basedOn w:val="Predvolenpsmoodseku"/>
    <w:uiPriority w:val="99"/>
    <w:semiHidden/>
    <w:rsid w:val="00A809E7"/>
    <w:rPr>
      <w:rFonts w:ascii="Courier New" w:hAnsi="Courier New" w:cs="Courier New"/>
      <w:lang w:val="x-none" w:eastAsia="cs-CZ"/>
    </w:rPr>
  </w:style>
  <w:style w:type="character" w:customStyle="1" w:styleId="ObyajntextChar1627">
    <w:name w:val="Obyčajný text Char1627"/>
    <w:aliases w:val="Obyčajný text Char Char Char Char1628"/>
    <w:basedOn w:val="Predvolenpsmoodseku"/>
    <w:uiPriority w:val="99"/>
    <w:semiHidden/>
    <w:rsid w:val="00A809E7"/>
    <w:rPr>
      <w:rFonts w:ascii="Courier New" w:hAnsi="Courier New" w:cs="Courier New"/>
      <w:lang w:val="x-none" w:eastAsia="cs-CZ"/>
    </w:rPr>
  </w:style>
  <w:style w:type="character" w:customStyle="1" w:styleId="ObyajntextChar1626">
    <w:name w:val="Obyčajný text Char1626"/>
    <w:aliases w:val="Obyčajný text Char Char Char Char1627"/>
    <w:basedOn w:val="Predvolenpsmoodseku"/>
    <w:uiPriority w:val="99"/>
    <w:semiHidden/>
    <w:rsid w:val="00A809E7"/>
    <w:rPr>
      <w:rFonts w:ascii="Courier New" w:hAnsi="Courier New" w:cs="Courier New"/>
      <w:lang w:val="x-none" w:eastAsia="cs-CZ"/>
    </w:rPr>
  </w:style>
  <w:style w:type="character" w:customStyle="1" w:styleId="ObyajntextChar1625">
    <w:name w:val="Obyčajný text Char1625"/>
    <w:aliases w:val="Obyčajný text Char Char Char Char1626"/>
    <w:basedOn w:val="Predvolenpsmoodseku"/>
    <w:uiPriority w:val="99"/>
    <w:semiHidden/>
    <w:rsid w:val="00A809E7"/>
    <w:rPr>
      <w:rFonts w:ascii="Courier New" w:hAnsi="Courier New" w:cs="Courier New"/>
      <w:lang w:val="x-none" w:eastAsia="cs-CZ"/>
    </w:rPr>
  </w:style>
  <w:style w:type="character" w:customStyle="1" w:styleId="ObyajntextChar1624">
    <w:name w:val="Obyčajný text Char1624"/>
    <w:aliases w:val="Obyčajný text Char Char Char Char1625"/>
    <w:basedOn w:val="Predvolenpsmoodseku"/>
    <w:uiPriority w:val="99"/>
    <w:semiHidden/>
    <w:rsid w:val="00A809E7"/>
    <w:rPr>
      <w:rFonts w:ascii="Courier New" w:hAnsi="Courier New" w:cs="Courier New"/>
      <w:lang w:val="x-none" w:eastAsia="cs-CZ"/>
    </w:rPr>
  </w:style>
  <w:style w:type="character" w:customStyle="1" w:styleId="ObyajntextChar1623">
    <w:name w:val="Obyčajný text Char1623"/>
    <w:aliases w:val="Obyčajný text Char Char Char Char1624"/>
    <w:basedOn w:val="Predvolenpsmoodseku"/>
    <w:uiPriority w:val="99"/>
    <w:semiHidden/>
    <w:rsid w:val="00A809E7"/>
    <w:rPr>
      <w:rFonts w:ascii="Courier New" w:hAnsi="Courier New" w:cs="Courier New"/>
      <w:lang w:val="x-none" w:eastAsia="cs-CZ"/>
    </w:rPr>
  </w:style>
  <w:style w:type="character" w:customStyle="1" w:styleId="ObyajntextChar1622">
    <w:name w:val="Obyčajný text Char1622"/>
    <w:aliases w:val="Obyčajný text Char Char Char Char1623"/>
    <w:basedOn w:val="Predvolenpsmoodseku"/>
    <w:uiPriority w:val="99"/>
    <w:semiHidden/>
    <w:rsid w:val="00A809E7"/>
    <w:rPr>
      <w:rFonts w:ascii="Courier New" w:hAnsi="Courier New" w:cs="Courier New"/>
      <w:lang w:val="x-none" w:eastAsia="cs-CZ"/>
    </w:rPr>
  </w:style>
  <w:style w:type="table" w:customStyle="1" w:styleId="Mriekatabuky5">
    <w:name w:val="Mriežka tabuľky5"/>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A809E7"/>
    <w:rPr>
      <w:rFonts w:ascii="Times New Roman" w:hAnsi="Times New Roman"/>
      <w:color w:val="808080"/>
    </w:rPr>
  </w:style>
  <w:style w:type="numbering" w:customStyle="1" w:styleId="Bezzoznamu2">
    <w:name w:val="Bez zoznamu2"/>
    <w:next w:val="Bezzoznamu"/>
    <w:uiPriority w:val="99"/>
    <w:semiHidden/>
    <w:unhideWhenUsed/>
    <w:rsid w:val="00A809E7"/>
  </w:style>
  <w:style w:type="table" w:customStyle="1" w:styleId="Mriekatabuky6">
    <w:name w:val="Mriežka tabuľky6"/>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21">
    <w:name w:val="Základný text 21"/>
    <w:basedOn w:val="Normlny"/>
    <w:rsid w:val="00A809E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k-SK"/>
    </w:rPr>
  </w:style>
  <w:style w:type="character" w:customStyle="1" w:styleId="Textzstupnhosymbolu1">
    <w:name w:val="Text zástupného symbolu1"/>
    <w:semiHidden/>
    <w:rsid w:val="00A809E7"/>
    <w:rPr>
      <w:rFonts w:cs="Times New Roman"/>
      <w:color w:val="808080"/>
    </w:rPr>
  </w:style>
  <w:style w:type="numbering" w:customStyle="1" w:styleId="Bezzoznamu3">
    <w:name w:val="Bez zoznamu3"/>
    <w:next w:val="Bezzoznamu"/>
    <w:uiPriority w:val="99"/>
    <w:semiHidden/>
    <w:unhideWhenUsed/>
    <w:rsid w:val="00A809E7"/>
  </w:style>
  <w:style w:type="table" w:customStyle="1" w:styleId="Mriekatabuky7">
    <w:name w:val="Mriežka tabuľky7"/>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ite">
    <w:name w:val="Nositeľ"/>
    <w:basedOn w:val="Normlny"/>
    <w:next w:val="Nadpis2"/>
    <w:rsid w:val="00A809E7"/>
    <w:pPr>
      <w:spacing w:before="240" w:after="120" w:line="240" w:lineRule="auto"/>
      <w:ind w:left="567"/>
    </w:pPr>
    <w:rPr>
      <w:rFonts w:ascii="Times New Roman" w:eastAsia="Times New Roman" w:hAnsi="Times New Roman" w:cs="Times New Roman"/>
      <w:b/>
      <w:bCs/>
      <w:sz w:val="24"/>
      <w:szCs w:val="24"/>
      <w:lang w:eastAsia="sk-SK"/>
    </w:rPr>
  </w:style>
  <w:style w:type="numbering" w:customStyle="1" w:styleId="Bezzoznamu11">
    <w:name w:val="Bez zoznamu11"/>
    <w:next w:val="Bezzoznamu"/>
    <w:uiPriority w:val="99"/>
    <w:semiHidden/>
    <w:unhideWhenUsed/>
    <w:rsid w:val="00A809E7"/>
  </w:style>
  <w:style w:type="paragraph" w:customStyle="1" w:styleId="font5">
    <w:name w:val="font5"/>
    <w:basedOn w:val="Normlny"/>
    <w:rsid w:val="00A809E7"/>
    <w:pPr>
      <w:spacing w:before="100" w:beforeAutospacing="1" w:after="100" w:afterAutospacing="1" w:line="240" w:lineRule="auto"/>
    </w:pPr>
    <w:rPr>
      <w:rFonts w:ascii="Segoe UI" w:eastAsia="Times New Roman" w:hAnsi="Segoe UI" w:cs="Segoe UI"/>
      <w:color w:val="000000"/>
      <w:sz w:val="18"/>
      <w:szCs w:val="18"/>
      <w:lang w:eastAsia="sk-SK"/>
    </w:rPr>
  </w:style>
  <w:style w:type="paragraph" w:customStyle="1" w:styleId="font6">
    <w:name w:val="font6"/>
    <w:basedOn w:val="Normlny"/>
    <w:rsid w:val="00A809E7"/>
    <w:pPr>
      <w:spacing w:before="100" w:beforeAutospacing="1" w:after="100" w:afterAutospacing="1" w:line="240" w:lineRule="auto"/>
    </w:pPr>
    <w:rPr>
      <w:rFonts w:ascii="Segoe UI" w:eastAsia="Times New Roman" w:hAnsi="Segoe UI" w:cs="Segoe UI"/>
      <w:b/>
      <w:bCs/>
      <w:color w:val="000000"/>
      <w:sz w:val="18"/>
      <w:szCs w:val="18"/>
      <w:lang w:eastAsia="sk-SK"/>
    </w:rPr>
  </w:style>
  <w:style w:type="paragraph" w:customStyle="1" w:styleId="xl204">
    <w:name w:val="xl204"/>
    <w:basedOn w:val="Normlny"/>
    <w:rsid w:val="00A809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sk-SK"/>
    </w:rPr>
  </w:style>
  <w:style w:type="paragraph" w:customStyle="1" w:styleId="xl205">
    <w:name w:val="xl205"/>
    <w:basedOn w:val="Normlny"/>
    <w:rsid w:val="00A809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14"/>
      <w:szCs w:val="14"/>
      <w:lang w:eastAsia="sk-SK"/>
    </w:rPr>
  </w:style>
  <w:style w:type="paragraph" w:customStyle="1" w:styleId="xl206">
    <w:name w:val="xl206"/>
    <w:basedOn w:val="Normlny"/>
    <w:rsid w:val="00A809E7"/>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14"/>
      <w:szCs w:val="14"/>
      <w:lang w:eastAsia="sk-SK"/>
    </w:rPr>
  </w:style>
  <w:style w:type="paragraph" w:customStyle="1" w:styleId="xl207">
    <w:name w:val="xl207"/>
    <w:basedOn w:val="Normlny"/>
    <w:rsid w:val="00A809E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08">
    <w:name w:val="xl208"/>
    <w:basedOn w:val="Normlny"/>
    <w:rsid w:val="00A809E7"/>
    <w:pPr>
      <w:pBdr>
        <w:left w:val="single" w:sz="4" w:space="0" w:color="auto"/>
        <w:right w:val="single" w:sz="4"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i/>
      <w:iCs/>
      <w:sz w:val="14"/>
      <w:szCs w:val="14"/>
      <w:lang w:eastAsia="sk-SK"/>
    </w:rPr>
  </w:style>
  <w:style w:type="paragraph" w:customStyle="1" w:styleId="xl209">
    <w:name w:val="xl209"/>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0">
    <w:name w:val="xl210"/>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11">
    <w:name w:val="xl211"/>
    <w:basedOn w:val="Normlny"/>
    <w:rsid w:val="00A809E7"/>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12">
    <w:name w:val="xl212"/>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13">
    <w:name w:val="xl213"/>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14">
    <w:name w:val="xl214"/>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5">
    <w:name w:val="xl215"/>
    <w:basedOn w:val="Normlny"/>
    <w:rsid w:val="00A809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6">
    <w:name w:val="xl216"/>
    <w:basedOn w:val="Normlny"/>
    <w:rsid w:val="00A809E7"/>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i/>
      <w:iCs/>
      <w:sz w:val="14"/>
      <w:szCs w:val="14"/>
      <w:lang w:eastAsia="sk-SK"/>
    </w:rPr>
  </w:style>
  <w:style w:type="paragraph" w:customStyle="1" w:styleId="xl217">
    <w:name w:val="xl217"/>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18">
    <w:name w:val="xl218"/>
    <w:basedOn w:val="Normlny"/>
    <w:rsid w:val="00A809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19">
    <w:name w:val="xl219"/>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0">
    <w:name w:val="xl220"/>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1">
    <w:name w:val="xl221"/>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22">
    <w:name w:val="xl222"/>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223">
    <w:name w:val="xl223"/>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24">
    <w:name w:val="xl224"/>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25">
    <w:name w:val="xl225"/>
    <w:basedOn w:val="Normlny"/>
    <w:rsid w:val="00A809E7"/>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i/>
      <w:iCs/>
      <w:sz w:val="14"/>
      <w:szCs w:val="14"/>
      <w:lang w:eastAsia="sk-SK"/>
    </w:rPr>
  </w:style>
  <w:style w:type="paragraph" w:customStyle="1" w:styleId="xl226">
    <w:name w:val="xl226"/>
    <w:basedOn w:val="Normlny"/>
    <w:rsid w:val="00A809E7"/>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7">
    <w:name w:val="xl227"/>
    <w:basedOn w:val="Normlny"/>
    <w:rsid w:val="00A809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8">
    <w:name w:val="xl228"/>
    <w:basedOn w:val="Normlny"/>
    <w:rsid w:val="00A809E7"/>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i/>
      <w:iCs/>
      <w:sz w:val="14"/>
      <w:szCs w:val="14"/>
      <w:lang w:eastAsia="sk-SK"/>
    </w:rPr>
  </w:style>
  <w:style w:type="paragraph" w:customStyle="1" w:styleId="xl229">
    <w:name w:val="xl229"/>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30">
    <w:name w:val="xl230"/>
    <w:basedOn w:val="Normlny"/>
    <w:rsid w:val="00A809E7"/>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31">
    <w:name w:val="xl231"/>
    <w:basedOn w:val="Normlny"/>
    <w:rsid w:val="00A809E7"/>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32">
    <w:name w:val="xl232"/>
    <w:basedOn w:val="Normlny"/>
    <w:rsid w:val="00A809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33">
    <w:name w:val="xl233"/>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234">
    <w:name w:val="xl234"/>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35">
    <w:name w:val="xl235"/>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36">
    <w:name w:val="xl236"/>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37">
    <w:name w:val="xl237"/>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table" w:customStyle="1" w:styleId="Mriekatabukysvetl1">
    <w:name w:val="Mriežka tabuľky – svetlá1"/>
    <w:basedOn w:val="Normlnatabuka"/>
    <w:uiPriority w:val="40"/>
    <w:rsid w:val="00A809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95pt">
    <w:name w:val="Body text (2) + 9.5 pt"/>
    <w:aliases w:val="Bold"/>
    <w:basedOn w:val="Predvolenpsmoodseku"/>
    <w:qFormat/>
    <w:rsid w:val="00A809E7"/>
    <w:rPr>
      <w:rFonts w:ascii="Arial Narrow" w:eastAsia="Arial" w:hAnsi="Arial Narrow" w:cs="Arial"/>
      <w:color w:val="000000"/>
      <w:sz w:val="20"/>
      <w:szCs w:val="19"/>
      <w:lang w:val="fr-FR" w:eastAsia="fr-FR" w:bidi="fr-FR"/>
    </w:rPr>
  </w:style>
  <w:style w:type="numbering" w:customStyle="1" w:styleId="Bezzoznamu4">
    <w:name w:val="Bez zoznamu4"/>
    <w:next w:val="Bezzoznamu"/>
    <w:uiPriority w:val="99"/>
    <w:semiHidden/>
    <w:unhideWhenUsed/>
    <w:rsid w:val="00A809E7"/>
  </w:style>
  <w:style w:type="numbering" w:customStyle="1" w:styleId="Bezzoznamu111">
    <w:name w:val="Bez zoznamu111"/>
    <w:next w:val="Bezzoznamu"/>
    <w:uiPriority w:val="99"/>
    <w:semiHidden/>
    <w:unhideWhenUsed/>
    <w:rsid w:val="00A809E7"/>
  </w:style>
  <w:style w:type="paragraph" w:customStyle="1" w:styleId="Popis1">
    <w:name w:val="Popis1"/>
    <w:basedOn w:val="Normlny"/>
    <w:next w:val="Normlny"/>
    <w:uiPriority w:val="35"/>
    <w:unhideWhenUsed/>
    <w:qFormat/>
    <w:rsid w:val="00A809E7"/>
    <w:pPr>
      <w:spacing w:after="200" w:line="240" w:lineRule="auto"/>
    </w:pPr>
    <w:rPr>
      <w:rFonts w:ascii="Arial Narrow" w:hAnsi="Arial Narrow"/>
      <w:i/>
      <w:iCs/>
      <w:color w:val="1F497D"/>
      <w:sz w:val="18"/>
      <w:szCs w:val="18"/>
    </w:rPr>
  </w:style>
  <w:style w:type="table" w:customStyle="1" w:styleId="Mriekatabuky8">
    <w:name w:val="Mriežka tabuľky8"/>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A809E7"/>
  </w:style>
  <w:style w:type="numbering" w:customStyle="1" w:styleId="Bezzoznamu12">
    <w:name w:val="Bez zoznamu12"/>
    <w:next w:val="Bezzoznamu"/>
    <w:uiPriority w:val="99"/>
    <w:semiHidden/>
    <w:unhideWhenUsed/>
    <w:rsid w:val="00A809E7"/>
  </w:style>
  <w:style w:type="table" w:customStyle="1" w:styleId="Mriekatabuky9">
    <w:name w:val="Mriežka tabuľky9"/>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
    <w:name w:val="Kalendár 21"/>
    <w:basedOn w:val="Normlnatabuka"/>
    <w:uiPriority w:val="99"/>
    <w:qFormat/>
    <w:rsid w:val="00A809E7"/>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
    <w:name w:val="Bez zoznamu112"/>
    <w:next w:val="Bezzoznamu"/>
    <w:uiPriority w:val="99"/>
    <w:semiHidden/>
    <w:unhideWhenUsed/>
    <w:rsid w:val="00A809E7"/>
  </w:style>
  <w:style w:type="table" w:customStyle="1" w:styleId="Mriekatabuky51">
    <w:name w:val="Mriežka tabuľky5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A809E7"/>
  </w:style>
  <w:style w:type="table" w:customStyle="1" w:styleId="Mriekatabuky61">
    <w:name w:val="Mriežka tabuľky61"/>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A809E7"/>
  </w:style>
  <w:style w:type="table" w:customStyle="1" w:styleId="Mriekatabuky71">
    <w:name w:val="Mriežka tabuľky71"/>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
    <w:name w:val="Bez zoznamu1111"/>
    <w:next w:val="Bezzoznamu"/>
    <w:uiPriority w:val="99"/>
    <w:semiHidden/>
    <w:unhideWhenUsed/>
    <w:rsid w:val="00A809E7"/>
  </w:style>
  <w:style w:type="table" w:customStyle="1" w:styleId="Mriekatabukysvetl11">
    <w:name w:val="Mriežka tabuľky – svetlá11"/>
    <w:basedOn w:val="Normlnatabuka"/>
    <w:uiPriority w:val="40"/>
    <w:rsid w:val="00A809E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opis2">
    <w:name w:val="Popis2"/>
    <w:basedOn w:val="Normlny"/>
    <w:next w:val="Normlny"/>
    <w:uiPriority w:val="35"/>
    <w:unhideWhenUsed/>
    <w:qFormat/>
    <w:rsid w:val="00A809E7"/>
    <w:pPr>
      <w:spacing w:after="200" w:line="240" w:lineRule="auto"/>
    </w:pPr>
    <w:rPr>
      <w:rFonts w:ascii="Arial Narrow" w:hAnsi="Arial Narrow"/>
      <w:i/>
      <w:iCs/>
      <w:color w:val="1F497D"/>
      <w:sz w:val="18"/>
      <w:szCs w:val="18"/>
    </w:rPr>
  </w:style>
  <w:style w:type="numbering" w:customStyle="1" w:styleId="Bezzoznamu6">
    <w:name w:val="Bez zoznamu6"/>
    <w:next w:val="Bezzoznamu"/>
    <w:uiPriority w:val="99"/>
    <w:semiHidden/>
    <w:unhideWhenUsed/>
    <w:rsid w:val="00A809E7"/>
  </w:style>
  <w:style w:type="table" w:customStyle="1" w:styleId="UHPGRAF11">
    <w:name w:val="UHP_GRAF11"/>
    <w:basedOn w:val="Normlnatabuka"/>
    <w:uiPriority w:val="99"/>
    <w:rsid w:val="00A809E7"/>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
    <w:name w:val="UHP_GRAF12"/>
    <w:basedOn w:val="Normlnatabuka"/>
    <w:uiPriority w:val="99"/>
    <w:rsid w:val="00A809E7"/>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ndard6za">
    <w:name w:val="štandard 6 za"/>
    <w:basedOn w:val="Zarkazkladnhotextu"/>
    <w:rsid w:val="00A809E7"/>
    <w:pPr>
      <w:spacing w:line="240" w:lineRule="auto"/>
      <w:jc w:val="both"/>
    </w:pPr>
    <w:rPr>
      <w:rFonts w:ascii="Times New Roman" w:hAnsi="Times New Roman" w:cs="Times New Roman"/>
      <w:szCs w:val="20"/>
      <w:lang w:eastAsia="sk-SK"/>
    </w:rPr>
  </w:style>
  <w:style w:type="character" w:customStyle="1" w:styleId="OdsekzoznamuChar">
    <w:name w:val="Odsek zoznamu Char"/>
    <w:aliases w:val="body Char,Odsek zoznamu2 Char,Dot pt Char,No Spacing1 Char,List Paragraph Char Char Char Char,Indicator Text Char,Numbered Para 1 Char,List Paragraph à moi Char,LISTA Char,Listaszerű bekezdés2 Char,Listaszerű bekezdés3 Char,3 Char"/>
    <w:basedOn w:val="Predvolenpsmoodseku"/>
    <w:link w:val="Odsekzoznamu"/>
    <w:uiPriority w:val="34"/>
    <w:qFormat/>
    <w:rsid w:val="00A809E7"/>
    <w:rPr>
      <w:rFonts w:ascii="Courier" w:eastAsia="Times New Roman" w:hAnsi="Courier" w:cs="Courier"/>
      <w:sz w:val="24"/>
      <w:szCs w:val="24"/>
      <w:lang w:eastAsia="cs-CZ"/>
    </w:rPr>
  </w:style>
  <w:style w:type="character" w:styleId="Jemnodkaz">
    <w:name w:val="Subtle Reference"/>
    <w:uiPriority w:val="31"/>
    <w:qFormat/>
    <w:rsid w:val="00A809E7"/>
    <w:rPr>
      <w:rFonts w:eastAsia="Times New Roman" w:cs="Times New Roman"/>
      <w:bCs/>
      <w:i/>
      <w:sz w:val="18"/>
      <w:lang w:eastAsia="zh-TW"/>
    </w:rPr>
  </w:style>
  <w:style w:type="table" w:customStyle="1" w:styleId="Mriekatabuky10">
    <w:name w:val="Mriežka tabuľky10"/>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
    <w:name w:val="Bez zoznamu11111"/>
    <w:next w:val="Bezzoznamu"/>
    <w:uiPriority w:val="99"/>
    <w:semiHidden/>
    <w:unhideWhenUsed/>
    <w:rsid w:val="00A809E7"/>
  </w:style>
  <w:style w:type="table" w:customStyle="1" w:styleId="Mriekatabuky80">
    <w:name w:val="Mriežka tabuľky80"/>
    <w:basedOn w:val="Normlnatabuka"/>
    <w:next w:val="Mriekatabuky"/>
    <w:uiPriority w:val="39"/>
    <w:rsid w:val="0005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GRAF1">
    <w:name w:val="UHP_GRAF1"/>
    <w:basedOn w:val="Normlnatabuka"/>
    <w:uiPriority w:val="99"/>
    <w:rsid w:val="00051360"/>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6">
    <w:name w:val="Mriežka tabuľky16"/>
    <w:basedOn w:val="Normlnatabuka"/>
    <w:next w:val="Mriekatabuky"/>
    <w:uiPriority w:val="59"/>
    <w:rsid w:val="00446DDA"/>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
    <w:name w:val="Graf"/>
    <w:autoRedefine/>
    <w:qFormat/>
    <w:rsid w:val="00446DDA"/>
    <w:pPr>
      <w:spacing w:before="120" w:after="120" w:line="276" w:lineRule="auto"/>
      <w:jc w:val="both"/>
    </w:pPr>
    <w:rPr>
      <w:rFonts w:ascii="Arial Narrow" w:eastAsia="Arial Narrow" w:hAnsi="Arial Narrow" w:cs="Arial Narrow"/>
      <w:b/>
      <w:bCs/>
      <w:noProof/>
      <w:color w:val="2C9ADC"/>
      <w:sz w:val="20"/>
      <w:szCs w:val="36"/>
      <w:lang w:eastAsia="sk-SK"/>
    </w:rPr>
  </w:style>
  <w:style w:type="paragraph" w:customStyle="1" w:styleId="Tabuka">
    <w:name w:val="Tabuľka"/>
    <w:basedOn w:val="Graf"/>
    <w:autoRedefine/>
    <w:qFormat/>
    <w:rsid w:val="00446DDA"/>
    <w:pPr>
      <w:pBdr>
        <w:top w:val="nil"/>
        <w:left w:val="nil"/>
        <w:bottom w:val="nil"/>
        <w:right w:val="nil"/>
        <w:between w:val="nil"/>
        <w:bar w:val="nil"/>
      </w:pBdr>
      <w:spacing w:before="0" w:after="0" w:line="240" w:lineRule="auto"/>
    </w:pPr>
    <w:rPr>
      <w:rFonts w:ascii="Times New Roman" w:hAnsi="Times New Roman" w:cs="Times New Roman"/>
      <w:szCs w:val="24"/>
      <w:bdr w:val="nil"/>
    </w:rPr>
  </w:style>
  <w:style w:type="paragraph" w:customStyle="1" w:styleId="Box">
    <w:name w:val="Box"/>
    <w:qFormat/>
    <w:rsid w:val="00446DDA"/>
    <w:pPr>
      <w:spacing w:before="120" w:after="240" w:line="240" w:lineRule="auto"/>
    </w:pPr>
    <w:rPr>
      <w:rFonts w:ascii="Arial Narrow" w:eastAsia="Times New Roman" w:hAnsi="Arial Narrow" w:cs="Times New Roman"/>
      <w:b/>
      <w:bCs/>
      <w:sz w:val="20"/>
      <w:szCs w:val="36"/>
    </w:rPr>
  </w:style>
  <w:style w:type="paragraph" w:customStyle="1" w:styleId="NRPtabulka">
    <w:name w:val="NRP tabulka"/>
    <w:basedOn w:val="Normlny"/>
    <w:link w:val="NRPtabulkaChar"/>
    <w:qFormat/>
    <w:rsid w:val="00446DDA"/>
    <w:pPr>
      <w:spacing w:after="0" w:line="276" w:lineRule="auto"/>
    </w:pPr>
    <w:rPr>
      <w:rFonts w:ascii="Arial Narrow" w:hAnsi="Arial Narrow" w:cs="Times New Roman"/>
      <w:b/>
      <w:bCs/>
      <w:color w:val="FFFFFF"/>
      <w:sz w:val="20"/>
      <w:szCs w:val="14"/>
    </w:rPr>
  </w:style>
  <w:style w:type="character" w:customStyle="1" w:styleId="NRPtabulkaChar">
    <w:name w:val="NRP tabulka Char"/>
    <w:basedOn w:val="Predvolenpsmoodseku"/>
    <w:link w:val="NRPtabulka"/>
    <w:rsid w:val="00446DDA"/>
    <w:rPr>
      <w:rFonts w:ascii="Arial Narrow" w:hAnsi="Arial Narrow" w:cs="Times New Roman"/>
      <w:b/>
      <w:bCs/>
      <w:color w:val="FFFFFF"/>
      <w:sz w:val="20"/>
      <w:szCs w:val="14"/>
    </w:rPr>
  </w:style>
  <w:style w:type="paragraph" w:customStyle="1" w:styleId="NRP2uroven">
    <w:name w:val="NRP_2uroven"/>
    <w:basedOn w:val="Nadpis2"/>
    <w:qFormat/>
    <w:rsid w:val="00446DDA"/>
    <w:pPr>
      <w:numPr>
        <w:ilvl w:val="1"/>
        <w:numId w:val="4"/>
      </w:numPr>
      <w:spacing w:before="0" w:after="120"/>
      <w:jc w:val="both"/>
    </w:pPr>
    <w:rPr>
      <w:rFonts w:ascii="Arial Narrow" w:hAnsi="Arial Narrow" w:cs="Arial Narrow"/>
      <w:bCs w:val="0"/>
      <w:i w:val="0"/>
      <w:iCs w:val="0"/>
      <w:sz w:val="24"/>
      <w:szCs w:val="24"/>
      <w:lang w:eastAsia="sk-SK"/>
    </w:rPr>
  </w:style>
  <w:style w:type="character" w:customStyle="1" w:styleId="apple-converted-space">
    <w:name w:val="apple-converted-space"/>
    <w:basedOn w:val="Predvolenpsmoodseku"/>
    <w:rsid w:val="00446DDA"/>
  </w:style>
  <w:style w:type="table" w:customStyle="1" w:styleId="Mriekatabuky17">
    <w:name w:val="Mriežka tabuľky17"/>
    <w:basedOn w:val="Normlnatabuka"/>
    <w:next w:val="Mriekatabuky"/>
    <w:uiPriority w:val="39"/>
    <w:rsid w:val="00446DDA"/>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Predvolenpsmoodseku"/>
    <w:rsid w:val="00446DDA"/>
    <w:rPr>
      <w:rFonts w:ascii="Arial Narrow" w:eastAsia="Arial Narrow" w:hAnsi="Arial Narrow" w:cs="Arial Narrow"/>
      <w:color w:val="0563C1"/>
      <w:sz w:val="16"/>
      <w:szCs w:val="16"/>
      <w:u w:val="single" w:color="0563C1"/>
    </w:rPr>
  </w:style>
  <w:style w:type="table" w:customStyle="1" w:styleId="Mriekatabuky25">
    <w:name w:val="Mriežka tabuľky25"/>
    <w:basedOn w:val="Normlnatabuka"/>
    <w:next w:val="Mriekatabuky"/>
    <w:uiPriority w:val="59"/>
    <w:rsid w:val="00446DDA"/>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46DD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character" w:customStyle="1" w:styleId="Hyperlink1">
    <w:name w:val="Hyperlink.1"/>
    <w:basedOn w:val="Predvolenpsmoodseku"/>
    <w:rsid w:val="00446DDA"/>
    <w:rPr>
      <w:rFonts w:ascii="Arial Narrow" w:eastAsia="Arial Narrow" w:hAnsi="Arial Narrow" w:cs="Arial Narrow"/>
      <w:color w:val="0000FF"/>
      <w:sz w:val="18"/>
      <w:szCs w:val="18"/>
      <w:u w:val="single" w:color="0000FF"/>
    </w:rPr>
  </w:style>
  <w:style w:type="numbering" w:customStyle="1" w:styleId="List7">
    <w:name w:val="List 7"/>
    <w:basedOn w:val="Bezzoznamu"/>
    <w:rsid w:val="00446DDA"/>
    <w:pPr>
      <w:numPr>
        <w:numId w:val="5"/>
      </w:numPr>
    </w:pPr>
  </w:style>
  <w:style w:type="numbering" w:customStyle="1" w:styleId="List17">
    <w:name w:val="List 17"/>
    <w:basedOn w:val="Bezzoznamu"/>
    <w:rsid w:val="00446DDA"/>
    <w:pPr>
      <w:numPr>
        <w:numId w:val="6"/>
      </w:numPr>
    </w:pPr>
  </w:style>
  <w:style w:type="numbering" w:customStyle="1" w:styleId="List18">
    <w:name w:val="List 18"/>
    <w:basedOn w:val="Bezzoznamu"/>
    <w:rsid w:val="00446DDA"/>
    <w:pPr>
      <w:numPr>
        <w:numId w:val="7"/>
      </w:numPr>
    </w:pPr>
  </w:style>
  <w:style w:type="table" w:customStyle="1" w:styleId="TableNormal2">
    <w:name w:val="Table Normal2"/>
    <w:rsid w:val="00446DDA"/>
    <w:pPr>
      <w:spacing w:after="200" w:line="276" w:lineRule="auto"/>
    </w:pPr>
    <w:rPr>
      <w:rFonts w:ascii="Arial Narrow" w:eastAsia="Arial Narrow" w:hAnsi="Arial Narrow" w:cs="Arial Narrow"/>
      <w:color w:val="000000"/>
      <w:lang w:val="en-US"/>
    </w:rPr>
    <w:tblPr>
      <w:tblCellMar>
        <w:top w:w="0" w:type="dxa"/>
        <w:left w:w="0" w:type="dxa"/>
        <w:bottom w:w="0" w:type="dxa"/>
        <w:right w:w="0" w:type="dxa"/>
      </w:tblCellMar>
    </w:tblPr>
  </w:style>
  <w:style w:type="paragraph" w:styleId="Podtitul">
    <w:name w:val="Subtitle"/>
    <w:basedOn w:val="Normlny"/>
    <w:next w:val="Normlny"/>
    <w:link w:val="PodtitulChar"/>
    <w:rsid w:val="00446DDA"/>
    <w:pPr>
      <w:keepNext/>
      <w:keepLines/>
      <w:spacing w:before="360" w:after="80" w:line="276" w:lineRule="auto"/>
      <w:contextualSpacing/>
    </w:pPr>
    <w:rPr>
      <w:rFonts w:ascii="Georgia" w:eastAsia="Georgia" w:hAnsi="Georgia" w:cs="Georgia"/>
      <w:i/>
      <w:color w:val="666666"/>
      <w:sz w:val="48"/>
      <w:szCs w:val="48"/>
      <w:lang w:val="en-US"/>
    </w:rPr>
  </w:style>
  <w:style w:type="character" w:customStyle="1" w:styleId="PodtitulChar">
    <w:name w:val="Podtitul Char"/>
    <w:basedOn w:val="Predvolenpsmoodseku"/>
    <w:link w:val="Podtitul"/>
    <w:rsid w:val="00446DDA"/>
    <w:rPr>
      <w:rFonts w:ascii="Georgia" w:eastAsia="Georgia" w:hAnsi="Georgia" w:cs="Georgia"/>
      <w:i/>
      <w:color w:val="666666"/>
      <w:sz w:val="48"/>
      <w:szCs w:val="48"/>
      <w:lang w:val="en-US"/>
    </w:rPr>
  </w:style>
  <w:style w:type="paragraph" w:styleId="Register1">
    <w:name w:val="index 1"/>
    <w:basedOn w:val="Normlny"/>
    <w:next w:val="Normlny"/>
    <w:autoRedefine/>
    <w:uiPriority w:val="99"/>
    <w:semiHidden/>
    <w:unhideWhenUsed/>
    <w:rsid w:val="00446DDA"/>
    <w:pPr>
      <w:spacing w:after="0" w:line="240" w:lineRule="auto"/>
      <w:ind w:left="220" w:hanging="220"/>
    </w:pPr>
    <w:rPr>
      <w:rFonts w:ascii="Arial Narrow" w:hAnsi="Arial Narrow"/>
      <w:szCs w:val="36"/>
    </w:rPr>
  </w:style>
  <w:style w:type="paragraph" w:customStyle="1" w:styleId="Odsekzoznamu1">
    <w:name w:val="Odsek zoznamu1"/>
    <w:basedOn w:val="Normlny"/>
    <w:rsid w:val="00446DDA"/>
    <w:pPr>
      <w:spacing w:after="0" w:line="240" w:lineRule="auto"/>
      <w:ind w:left="720"/>
      <w:contextualSpacing/>
    </w:pPr>
    <w:rPr>
      <w:rFonts w:ascii="Arial Narrow" w:eastAsia="Times New Roman" w:hAnsi="Arial Narrow" w:cs="Book Antiqua"/>
      <w:lang w:eastAsia="sk-SK"/>
    </w:rPr>
  </w:style>
  <w:style w:type="paragraph" w:customStyle="1" w:styleId="Normlny1">
    <w:name w:val="Normálny1"/>
    <w:rsid w:val="00446DDA"/>
    <w:pPr>
      <w:widowControl w:val="0"/>
    </w:pPr>
    <w:rPr>
      <w:rFonts w:ascii="Calibri" w:eastAsia="Calibri" w:hAnsi="Calibri" w:cs="Calibri"/>
      <w:color w:val="000000"/>
      <w:lang w:eastAsia="sk-SK"/>
    </w:rPr>
  </w:style>
  <w:style w:type="paragraph" w:customStyle="1" w:styleId="Odsek">
    <w:name w:val="Odsek"/>
    <w:basedOn w:val="Normlny"/>
    <w:link w:val="OdsekChar"/>
    <w:qFormat/>
    <w:rsid w:val="00446DDA"/>
    <w:pPr>
      <w:spacing w:after="240" w:line="240" w:lineRule="auto"/>
      <w:jc w:val="both"/>
    </w:pPr>
    <w:rPr>
      <w:rFonts w:ascii="Arial Narrow" w:eastAsia="Times New Roman" w:hAnsi="Arial Narrow" w:cs="Book Antiqua"/>
      <w:lang w:eastAsia="sk-SK"/>
    </w:rPr>
  </w:style>
  <w:style w:type="character" w:customStyle="1" w:styleId="OdsekChar">
    <w:name w:val="Odsek Char"/>
    <w:basedOn w:val="Predvolenpsmoodseku"/>
    <w:link w:val="Odsek"/>
    <w:rsid w:val="00446DDA"/>
    <w:rPr>
      <w:rFonts w:ascii="Arial Narrow" w:eastAsia="Times New Roman" w:hAnsi="Arial Narrow" w:cs="Book Antiqua"/>
      <w:lang w:eastAsia="sk-SK"/>
    </w:rPr>
  </w:style>
  <w:style w:type="table" w:customStyle="1" w:styleId="TableNormal">
    <w:name w:val="Table Normal"/>
    <w:rsid w:val="00446DDA"/>
    <w:pPr>
      <w:spacing w:after="200" w:line="276" w:lineRule="auto"/>
    </w:pPr>
    <w:rPr>
      <w:rFonts w:ascii="Arial Narrow" w:eastAsia="Arial Narrow" w:hAnsi="Arial Narrow" w:cs="Arial Narrow"/>
      <w:color w:val="000000"/>
      <w:lang w:val="en-US"/>
    </w:rPr>
    <w:tblPr>
      <w:tblCellMar>
        <w:top w:w="0" w:type="dxa"/>
        <w:left w:w="0" w:type="dxa"/>
        <w:bottom w:w="0" w:type="dxa"/>
        <w:right w:w="0" w:type="dxa"/>
      </w:tblCellMar>
    </w:tblPr>
  </w:style>
  <w:style w:type="table" w:customStyle="1" w:styleId="Tabukasmriekou1svetlzvraznenie11">
    <w:name w:val="Tabuľka s mriežkou 1 – svetlá – zvýraznenie 11"/>
    <w:basedOn w:val="Normlnatabuka"/>
    <w:next w:val="Tabukasmriekou1svetlzvraznenie1"/>
    <w:uiPriority w:val="46"/>
    <w:rsid w:val="00446DDA"/>
    <w:pPr>
      <w:spacing w:after="0" w:line="240" w:lineRule="auto"/>
    </w:pPr>
    <w:tblPr>
      <w:tblStyleRowBandSize w:val="1"/>
      <w:tblStyleColBandSize w:val="1"/>
      <w:tblBorders>
        <w:top w:val="single" w:sz="4" w:space="0" w:color="AAD6F1"/>
        <w:left w:val="single" w:sz="4" w:space="0" w:color="AAD6F1"/>
        <w:bottom w:val="single" w:sz="4" w:space="0" w:color="AAD6F1"/>
        <w:right w:val="single" w:sz="4" w:space="0" w:color="AAD6F1"/>
        <w:insideH w:val="single" w:sz="4" w:space="0" w:color="AAD6F1"/>
        <w:insideV w:val="single" w:sz="4" w:space="0" w:color="AAD6F1"/>
      </w:tblBorders>
    </w:tblPr>
    <w:tblStylePr w:type="firstRow">
      <w:rPr>
        <w:b/>
        <w:bCs/>
      </w:rPr>
      <w:tblPr/>
      <w:tcPr>
        <w:tcBorders>
          <w:bottom w:val="single" w:sz="12" w:space="0" w:color="80C2EA"/>
        </w:tcBorders>
      </w:tcPr>
    </w:tblStylePr>
    <w:tblStylePr w:type="lastRow">
      <w:rPr>
        <w:b/>
        <w:bCs/>
      </w:rPr>
      <w:tblPr/>
      <w:tcPr>
        <w:tcBorders>
          <w:top w:val="double" w:sz="2" w:space="0" w:color="80C2EA"/>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446DD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vraznenie">
    <w:name w:val="Emphasis"/>
    <w:basedOn w:val="Predvolenpsmoodseku"/>
    <w:uiPriority w:val="20"/>
    <w:qFormat/>
    <w:rsid w:val="0063035E"/>
    <w:rPr>
      <w:b/>
      <w:bCs/>
      <w:i w:val="0"/>
      <w:iCs w:val="0"/>
    </w:rPr>
  </w:style>
  <w:style w:type="table" w:customStyle="1" w:styleId="TableGrid2">
    <w:name w:val="Table Grid2"/>
    <w:basedOn w:val="Normlnatabuka"/>
    <w:uiPriority w:val="39"/>
    <w:rsid w:val="00C36E5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lnatabuka"/>
    <w:uiPriority w:val="39"/>
    <w:rsid w:val="00C36E5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lny"/>
    <w:rsid w:val="00C36E5D"/>
    <w:pPr>
      <w:spacing w:line="240" w:lineRule="exact"/>
    </w:pPr>
    <w:rPr>
      <w:rFonts w:ascii="Tahoma" w:eastAsia="Times New Roman" w:hAnsi="Tahoma" w:cs="Tahoma"/>
      <w:sz w:val="20"/>
      <w:szCs w:val="20"/>
    </w:rPr>
  </w:style>
  <w:style w:type="paragraph" w:customStyle="1" w:styleId="default0">
    <w:name w:val="default"/>
    <w:basedOn w:val="Normlny"/>
    <w:rsid w:val="00C36E5D"/>
    <w:pPr>
      <w:spacing w:before="180" w:after="0" w:line="240" w:lineRule="auto"/>
    </w:pPr>
    <w:rPr>
      <w:rFonts w:ascii="Times New Roman" w:eastAsia="Times New Roman" w:hAnsi="Times New Roman" w:cs="Times New Roman"/>
      <w:sz w:val="24"/>
      <w:szCs w:val="24"/>
      <w:lang w:eastAsia="sk-SK"/>
    </w:rPr>
  </w:style>
  <w:style w:type="table" w:styleId="Obyajntabuka4">
    <w:name w:val="Plain Table 4"/>
    <w:basedOn w:val="Normlnatabuka"/>
    <w:uiPriority w:val="44"/>
    <w:rsid w:val="00C36E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111111">
    <w:name w:val="Bez zoznamu111111"/>
    <w:next w:val="Bezzoznamu"/>
    <w:uiPriority w:val="99"/>
    <w:semiHidden/>
    <w:unhideWhenUsed/>
    <w:rsid w:val="00C36E5D"/>
  </w:style>
  <w:style w:type="numbering" w:customStyle="1" w:styleId="Bezzoznamu1111111">
    <w:name w:val="Bez zoznamu1111111"/>
    <w:next w:val="Bezzoznamu"/>
    <w:uiPriority w:val="99"/>
    <w:semiHidden/>
    <w:unhideWhenUsed/>
    <w:rsid w:val="00C36E5D"/>
  </w:style>
  <w:style w:type="character" w:customStyle="1" w:styleId="awspan1">
    <w:name w:val="awspan1"/>
    <w:basedOn w:val="Predvolenpsmoodseku"/>
    <w:rsid w:val="00C36E5D"/>
    <w:rPr>
      <w:color w:val="000000"/>
      <w:sz w:val="24"/>
      <w:szCs w:val="24"/>
    </w:rPr>
  </w:style>
  <w:style w:type="table" w:customStyle="1" w:styleId="Obyajntabuka41">
    <w:name w:val="Obyčajná tabuľka 41"/>
    <w:basedOn w:val="Normlnatabuka"/>
    <w:next w:val="Obyajntabuka4"/>
    <w:uiPriority w:val="44"/>
    <w:rsid w:val="00C36E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7">
    <w:name w:val="Bez zoznamu7"/>
    <w:next w:val="Bezzoznamu"/>
    <w:uiPriority w:val="99"/>
    <w:semiHidden/>
    <w:unhideWhenUsed/>
    <w:rsid w:val="00C36E5D"/>
  </w:style>
  <w:style w:type="table" w:customStyle="1" w:styleId="Mriekatabuky18">
    <w:name w:val="Mriežka tabuľky18"/>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next w:val="Mriekatabuky"/>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
    <w:name w:val="Mriežka tabuľky13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
    <w:name w:val="Mriežka tabuľky22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
    <w:name w:val="Mriežka tabuľky112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
    <w:name w:val="Mriežka tabuľky12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
    <w:name w:val="Mriežka tabuľky21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
    <w:name w:val="Mriežka tabuľky111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
    <w:name w:val="Kalendár 22"/>
    <w:basedOn w:val="Normlnatabuka"/>
    <w:uiPriority w:val="99"/>
    <w:qFormat/>
    <w:rsid w:val="00C36E5D"/>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3">
    <w:name w:val="Bez zoznamu13"/>
    <w:next w:val="Bezzoznamu"/>
    <w:uiPriority w:val="99"/>
    <w:semiHidden/>
    <w:unhideWhenUsed/>
    <w:rsid w:val="00C36E5D"/>
  </w:style>
  <w:style w:type="table" w:customStyle="1" w:styleId="Mriekatabuky52">
    <w:name w:val="Mriežka tabuľky5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
    <w:name w:val="Mriežka tabuľky14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
    <w:name w:val="Mriežka tabuľky23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
    <w:name w:val="Mriežka tabuľky113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
    <w:name w:val="Mriežka tabuľky3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
    <w:name w:val="Mriežka tabuľky12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
    <w:name w:val="Mriežka tabuľky21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
    <w:name w:val="Mriežka tabuľky111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C36E5D"/>
  </w:style>
  <w:style w:type="table" w:customStyle="1" w:styleId="Mriekatabuky62">
    <w:name w:val="Mriežka tabuľky62"/>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
    <w:name w:val="Bez zoznamu32"/>
    <w:next w:val="Bezzoznamu"/>
    <w:uiPriority w:val="99"/>
    <w:semiHidden/>
    <w:unhideWhenUsed/>
    <w:rsid w:val="00C36E5D"/>
  </w:style>
  <w:style w:type="table" w:customStyle="1" w:styleId="Mriekatabuky72">
    <w:name w:val="Mriežka tabuľky72"/>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3">
    <w:name w:val="Bez zoznamu113"/>
    <w:next w:val="Bezzoznamu"/>
    <w:uiPriority w:val="99"/>
    <w:semiHidden/>
    <w:unhideWhenUsed/>
    <w:rsid w:val="00C36E5D"/>
  </w:style>
  <w:style w:type="table" w:customStyle="1" w:styleId="Mriekatabukysvetl12">
    <w:name w:val="Mriežka tabuľky – svetlá12"/>
    <w:basedOn w:val="Normlnatabuka"/>
    <w:uiPriority w:val="40"/>
    <w:rsid w:val="00C36E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1">
    <w:name w:val="Bez zoznamu41"/>
    <w:next w:val="Bezzoznamu"/>
    <w:uiPriority w:val="99"/>
    <w:semiHidden/>
    <w:unhideWhenUsed/>
    <w:rsid w:val="00C36E5D"/>
  </w:style>
  <w:style w:type="numbering" w:customStyle="1" w:styleId="Bezzoznamu1112">
    <w:name w:val="Bez zoznamu1112"/>
    <w:next w:val="Bezzoznamu"/>
    <w:uiPriority w:val="99"/>
    <w:semiHidden/>
    <w:unhideWhenUsed/>
    <w:rsid w:val="00C36E5D"/>
  </w:style>
  <w:style w:type="table" w:customStyle="1" w:styleId="Mriekatabuky81">
    <w:name w:val="Mriežka tabuľky8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
    <w:name w:val="Bez zoznamu51"/>
    <w:next w:val="Bezzoznamu"/>
    <w:uiPriority w:val="99"/>
    <w:semiHidden/>
    <w:unhideWhenUsed/>
    <w:rsid w:val="00C36E5D"/>
  </w:style>
  <w:style w:type="numbering" w:customStyle="1" w:styleId="Bezzoznamu121">
    <w:name w:val="Bez zoznamu121"/>
    <w:next w:val="Bezzoznamu"/>
    <w:uiPriority w:val="99"/>
    <w:semiHidden/>
    <w:unhideWhenUsed/>
    <w:rsid w:val="00C36E5D"/>
  </w:style>
  <w:style w:type="table" w:customStyle="1" w:styleId="Mriekatabuky91">
    <w:name w:val="Mriežka tabuľky91"/>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next w:val="Mriekatabuky"/>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
    <w:name w:val="Mriežka tabuľky13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
    <w:name w:val="Mriežka tabuľky22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
    <w:name w:val="Mriežka tabuľky112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
    <w:name w:val="Mriežka tabuľky12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
    <w:name w:val="Mriežka tabuľky21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
    <w:name w:val="Mriežka tabuľky111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
    <w:name w:val="Kalendár 211"/>
    <w:basedOn w:val="Normlnatabuka"/>
    <w:uiPriority w:val="99"/>
    <w:qFormat/>
    <w:rsid w:val="00C36E5D"/>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
    <w:name w:val="Bez zoznamu1121"/>
    <w:next w:val="Bezzoznamu"/>
    <w:uiPriority w:val="99"/>
    <w:semiHidden/>
    <w:unhideWhenUsed/>
    <w:rsid w:val="00C36E5D"/>
  </w:style>
  <w:style w:type="table" w:customStyle="1" w:styleId="Mriekatabuky511">
    <w:name w:val="Mriežka tabuľky5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
    <w:name w:val="Mriežka tabuľky14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
    <w:name w:val="Mriežka tabuľky23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
    <w:name w:val="Mriežka tabuľky113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
    <w:name w:val="Mriežka tabuľky3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
    <w:name w:val="Mriežka tabuľky12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
    <w:name w:val="Mriežka tabuľky21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
    <w:name w:val="Mriežka tabuľky111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
    <w:name w:val="Bez zoznamu211"/>
    <w:next w:val="Bezzoznamu"/>
    <w:uiPriority w:val="99"/>
    <w:semiHidden/>
    <w:unhideWhenUsed/>
    <w:rsid w:val="00C36E5D"/>
  </w:style>
  <w:style w:type="table" w:customStyle="1" w:styleId="Mriekatabuky611">
    <w:name w:val="Mriežka tabuľky61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
    <w:name w:val="Bez zoznamu311"/>
    <w:next w:val="Bezzoznamu"/>
    <w:uiPriority w:val="99"/>
    <w:semiHidden/>
    <w:unhideWhenUsed/>
    <w:rsid w:val="00C36E5D"/>
  </w:style>
  <w:style w:type="table" w:customStyle="1" w:styleId="Mriekatabuky711">
    <w:name w:val="Mriežka tabuľky71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2">
    <w:name w:val="Bez zoznamu11112"/>
    <w:next w:val="Bezzoznamu"/>
    <w:uiPriority w:val="99"/>
    <w:semiHidden/>
    <w:unhideWhenUsed/>
    <w:rsid w:val="00C36E5D"/>
  </w:style>
  <w:style w:type="table" w:customStyle="1" w:styleId="Mriekatabukysvetl111">
    <w:name w:val="Mriežka tabuľky – svetlá111"/>
    <w:basedOn w:val="Normlnatabuka"/>
    <w:uiPriority w:val="40"/>
    <w:rsid w:val="00C36E5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1">
    <w:name w:val="Bez zoznamu61"/>
    <w:next w:val="Bezzoznamu"/>
    <w:uiPriority w:val="99"/>
    <w:semiHidden/>
    <w:unhideWhenUsed/>
    <w:rsid w:val="00C36E5D"/>
  </w:style>
  <w:style w:type="table" w:customStyle="1" w:styleId="UHPGRAF111">
    <w:name w:val="UHP_GRAF111"/>
    <w:basedOn w:val="Normlnatabuka"/>
    <w:uiPriority w:val="99"/>
    <w:rsid w:val="00C36E5D"/>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1">
    <w:name w:val="UHP_GRAF121"/>
    <w:basedOn w:val="Normlnatabuka"/>
    <w:uiPriority w:val="99"/>
    <w:rsid w:val="00C36E5D"/>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1">
    <w:name w:val="Mriežka tabuľky10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2">
    <w:name w:val="Bez zoznamu111112"/>
    <w:next w:val="Bezzoznamu"/>
    <w:uiPriority w:val="99"/>
    <w:semiHidden/>
    <w:unhideWhenUsed/>
    <w:rsid w:val="00C36E5D"/>
  </w:style>
  <w:style w:type="table" w:customStyle="1" w:styleId="Obyajntabuka42">
    <w:name w:val="Obyčajná tabuľka 42"/>
    <w:basedOn w:val="Normlnatabuka"/>
    <w:next w:val="Obyajntabuka4"/>
    <w:uiPriority w:val="44"/>
    <w:rsid w:val="00C36E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161">
    <w:name w:val="Mriežka tabuľky161"/>
    <w:basedOn w:val="Normlnatabuka"/>
    <w:next w:val="Mriekatabuky"/>
    <w:uiPriority w:val="59"/>
    <w:rsid w:val="00C36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
    <w:name w:val="Bez zoznamu8"/>
    <w:next w:val="Bezzoznamu"/>
    <w:uiPriority w:val="99"/>
    <w:semiHidden/>
    <w:unhideWhenUsed/>
    <w:rsid w:val="00C36E5D"/>
  </w:style>
  <w:style w:type="numbering" w:customStyle="1" w:styleId="Bezzoznamu14">
    <w:name w:val="Bez zoznamu14"/>
    <w:next w:val="Bezzoznamu"/>
    <w:uiPriority w:val="99"/>
    <w:semiHidden/>
    <w:unhideWhenUsed/>
    <w:rsid w:val="00C36E5D"/>
  </w:style>
  <w:style w:type="numbering" w:customStyle="1" w:styleId="Bezzoznamu23">
    <w:name w:val="Bez zoznamu23"/>
    <w:next w:val="Bezzoznamu"/>
    <w:uiPriority w:val="99"/>
    <w:semiHidden/>
    <w:unhideWhenUsed/>
    <w:rsid w:val="00C36E5D"/>
  </w:style>
  <w:style w:type="numbering" w:customStyle="1" w:styleId="Bezzoznamu33">
    <w:name w:val="Bez zoznamu33"/>
    <w:next w:val="Bezzoznamu"/>
    <w:uiPriority w:val="99"/>
    <w:semiHidden/>
    <w:unhideWhenUsed/>
    <w:rsid w:val="00C36E5D"/>
  </w:style>
  <w:style w:type="numbering" w:customStyle="1" w:styleId="Bezzoznamu114">
    <w:name w:val="Bez zoznamu114"/>
    <w:next w:val="Bezzoznamu"/>
    <w:uiPriority w:val="99"/>
    <w:semiHidden/>
    <w:unhideWhenUsed/>
    <w:rsid w:val="00C36E5D"/>
  </w:style>
  <w:style w:type="numbering" w:customStyle="1" w:styleId="Bezzoznamu42">
    <w:name w:val="Bez zoznamu42"/>
    <w:next w:val="Bezzoznamu"/>
    <w:uiPriority w:val="99"/>
    <w:semiHidden/>
    <w:unhideWhenUsed/>
    <w:rsid w:val="00C36E5D"/>
  </w:style>
  <w:style w:type="numbering" w:customStyle="1" w:styleId="Bezzoznamu1113">
    <w:name w:val="Bez zoznamu1113"/>
    <w:next w:val="Bezzoznamu"/>
    <w:uiPriority w:val="99"/>
    <w:semiHidden/>
    <w:unhideWhenUsed/>
    <w:rsid w:val="00C36E5D"/>
  </w:style>
  <w:style w:type="numbering" w:customStyle="1" w:styleId="Bezzoznamu52">
    <w:name w:val="Bez zoznamu52"/>
    <w:next w:val="Bezzoznamu"/>
    <w:uiPriority w:val="99"/>
    <w:semiHidden/>
    <w:unhideWhenUsed/>
    <w:rsid w:val="00C36E5D"/>
  </w:style>
  <w:style w:type="numbering" w:customStyle="1" w:styleId="Bezzoznamu122">
    <w:name w:val="Bez zoznamu122"/>
    <w:next w:val="Bezzoznamu"/>
    <w:uiPriority w:val="99"/>
    <w:semiHidden/>
    <w:unhideWhenUsed/>
    <w:rsid w:val="00C36E5D"/>
  </w:style>
  <w:style w:type="numbering" w:customStyle="1" w:styleId="Bezzoznamu1122">
    <w:name w:val="Bez zoznamu1122"/>
    <w:next w:val="Bezzoznamu"/>
    <w:uiPriority w:val="99"/>
    <w:semiHidden/>
    <w:unhideWhenUsed/>
    <w:rsid w:val="00C36E5D"/>
  </w:style>
  <w:style w:type="numbering" w:customStyle="1" w:styleId="Bezzoznamu212">
    <w:name w:val="Bez zoznamu212"/>
    <w:next w:val="Bezzoznamu"/>
    <w:uiPriority w:val="99"/>
    <w:semiHidden/>
    <w:unhideWhenUsed/>
    <w:rsid w:val="00C36E5D"/>
  </w:style>
  <w:style w:type="numbering" w:customStyle="1" w:styleId="Bezzoznamu312">
    <w:name w:val="Bez zoznamu312"/>
    <w:next w:val="Bezzoznamu"/>
    <w:uiPriority w:val="99"/>
    <w:semiHidden/>
    <w:unhideWhenUsed/>
    <w:rsid w:val="00C36E5D"/>
  </w:style>
  <w:style w:type="numbering" w:customStyle="1" w:styleId="Bezzoznamu11113">
    <w:name w:val="Bez zoznamu11113"/>
    <w:next w:val="Bezzoznamu"/>
    <w:uiPriority w:val="99"/>
    <w:semiHidden/>
    <w:unhideWhenUsed/>
    <w:rsid w:val="00C36E5D"/>
  </w:style>
  <w:style w:type="numbering" w:customStyle="1" w:styleId="Bezzoznamu62">
    <w:name w:val="Bez zoznamu62"/>
    <w:next w:val="Bezzoznamu"/>
    <w:uiPriority w:val="99"/>
    <w:semiHidden/>
    <w:unhideWhenUsed/>
    <w:rsid w:val="00C36E5D"/>
  </w:style>
  <w:style w:type="numbering" w:customStyle="1" w:styleId="Bezzoznamu111113">
    <w:name w:val="Bez zoznamu111113"/>
    <w:next w:val="Bezzoznamu"/>
    <w:uiPriority w:val="99"/>
    <w:semiHidden/>
    <w:unhideWhenUsed/>
    <w:rsid w:val="00C36E5D"/>
  </w:style>
  <w:style w:type="paragraph" w:customStyle="1" w:styleId="xl65">
    <w:name w:val="xl65"/>
    <w:basedOn w:val="Normlny"/>
    <w:rsid w:val="0024724D"/>
    <w:pPr>
      <w:spacing w:before="100" w:beforeAutospacing="1" w:after="100" w:afterAutospacing="1" w:line="240" w:lineRule="auto"/>
    </w:pPr>
    <w:rPr>
      <w:rFonts w:ascii="Times New Roman" w:eastAsia="Times New Roman" w:hAnsi="Times New Roman" w:cs="Times New Roman"/>
      <w:sz w:val="16"/>
      <w:szCs w:val="16"/>
      <w:lang w:eastAsia="sk-SK"/>
    </w:rPr>
  </w:style>
  <w:style w:type="paragraph" w:customStyle="1" w:styleId="xl66">
    <w:name w:val="xl66"/>
    <w:basedOn w:val="Normlny"/>
    <w:rsid w:val="0024724D"/>
    <w:pPr>
      <w:spacing w:before="100" w:beforeAutospacing="1" w:after="100" w:afterAutospacing="1" w:line="240" w:lineRule="auto"/>
      <w:jc w:val="right"/>
      <w:textAlignment w:val="center"/>
    </w:pPr>
    <w:rPr>
      <w:rFonts w:ascii="Times New Roman" w:eastAsia="Times New Roman" w:hAnsi="Times New Roman" w:cs="Times New Roman"/>
      <w:i/>
      <w:iCs/>
      <w:sz w:val="16"/>
      <w:szCs w:val="16"/>
      <w:lang w:eastAsia="sk-SK"/>
    </w:rPr>
  </w:style>
  <w:style w:type="paragraph" w:customStyle="1" w:styleId="xl67">
    <w:name w:val="xl67"/>
    <w:basedOn w:val="Normlny"/>
    <w:rsid w:val="0024724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k-SK"/>
    </w:rPr>
  </w:style>
  <w:style w:type="paragraph" w:customStyle="1" w:styleId="xl68">
    <w:name w:val="xl68"/>
    <w:basedOn w:val="Normlny"/>
    <w:rsid w:val="0024724D"/>
    <w:pPr>
      <w:spacing w:before="100" w:beforeAutospacing="1" w:after="100" w:afterAutospacing="1" w:line="240" w:lineRule="auto"/>
      <w:textAlignment w:val="center"/>
    </w:pPr>
    <w:rPr>
      <w:rFonts w:ascii="Times New Roman" w:eastAsia="Times New Roman" w:hAnsi="Times New Roman" w:cs="Times New Roman"/>
      <w:sz w:val="16"/>
      <w:szCs w:val="16"/>
      <w:lang w:eastAsia="sk-SK"/>
    </w:rPr>
  </w:style>
  <w:style w:type="paragraph" w:customStyle="1" w:styleId="xl69">
    <w:name w:val="xl69"/>
    <w:basedOn w:val="Normlny"/>
    <w:rsid w:val="0024724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sk-SK"/>
    </w:rPr>
  </w:style>
  <w:style w:type="paragraph" w:customStyle="1" w:styleId="xl70">
    <w:name w:val="xl70"/>
    <w:basedOn w:val="Normlny"/>
    <w:rsid w:val="0024724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sk-SK"/>
    </w:rPr>
  </w:style>
  <w:style w:type="paragraph" w:customStyle="1" w:styleId="xl71">
    <w:name w:val="xl71"/>
    <w:basedOn w:val="Normlny"/>
    <w:rsid w:val="0024724D"/>
    <w:pPr>
      <w:spacing w:before="100" w:beforeAutospacing="1" w:after="100" w:afterAutospacing="1" w:line="240" w:lineRule="auto"/>
      <w:textAlignment w:val="center"/>
    </w:pPr>
    <w:rPr>
      <w:rFonts w:ascii="Times New Roman" w:eastAsia="Times New Roman" w:hAnsi="Times New Roman" w:cs="Times New Roman"/>
      <w:sz w:val="16"/>
      <w:szCs w:val="16"/>
      <w:lang w:eastAsia="sk-SK"/>
    </w:rPr>
  </w:style>
  <w:style w:type="paragraph" w:customStyle="1" w:styleId="xl72">
    <w:name w:val="xl72"/>
    <w:basedOn w:val="Normlny"/>
    <w:rsid w:val="0024724D"/>
    <w:pPr>
      <w:spacing w:before="100" w:beforeAutospacing="1" w:after="100" w:afterAutospacing="1" w:line="240" w:lineRule="auto"/>
      <w:textAlignment w:val="center"/>
    </w:pPr>
    <w:rPr>
      <w:rFonts w:ascii="Times New Roman" w:eastAsia="Times New Roman" w:hAnsi="Times New Roman" w:cs="Times New Roman"/>
      <w:sz w:val="16"/>
      <w:szCs w:val="16"/>
      <w:lang w:eastAsia="sk-SK"/>
    </w:rPr>
  </w:style>
  <w:style w:type="paragraph" w:customStyle="1" w:styleId="xl73">
    <w:name w:val="xl73"/>
    <w:basedOn w:val="Normlny"/>
    <w:rsid w:val="0024724D"/>
    <w:pPr>
      <w:spacing w:before="100" w:beforeAutospacing="1" w:after="100" w:afterAutospacing="1" w:line="240" w:lineRule="auto"/>
      <w:textAlignment w:val="center"/>
    </w:pPr>
    <w:rPr>
      <w:rFonts w:ascii="Times New Roman" w:eastAsia="Times New Roman" w:hAnsi="Times New Roman" w:cs="Times New Roman"/>
      <w:sz w:val="16"/>
      <w:szCs w:val="16"/>
      <w:lang w:eastAsia="sk-SK"/>
    </w:rPr>
  </w:style>
  <w:style w:type="paragraph" w:customStyle="1" w:styleId="xl74">
    <w:name w:val="xl74"/>
    <w:basedOn w:val="Normlny"/>
    <w:rsid w:val="0024724D"/>
    <w:pPr>
      <w:spacing w:before="100" w:beforeAutospacing="1" w:after="100" w:afterAutospacing="1" w:line="240" w:lineRule="auto"/>
      <w:textAlignment w:val="center"/>
    </w:pPr>
    <w:rPr>
      <w:rFonts w:ascii="Times New Roman" w:eastAsia="Times New Roman" w:hAnsi="Times New Roman" w:cs="Times New Roman"/>
      <w:sz w:val="16"/>
      <w:szCs w:val="16"/>
      <w:lang w:eastAsia="sk-SK"/>
    </w:rPr>
  </w:style>
  <w:style w:type="paragraph" w:customStyle="1" w:styleId="xl75">
    <w:name w:val="xl75"/>
    <w:basedOn w:val="Normlny"/>
    <w:rsid w:val="0024724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k-SK"/>
    </w:rPr>
  </w:style>
  <w:style w:type="paragraph" w:customStyle="1" w:styleId="xl76">
    <w:name w:val="xl76"/>
    <w:basedOn w:val="Normlny"/>
    <w:rsid w:val="0024724D"/>
    <w:pPr>
      <w:spacing w:before="100" w:beforeAutospacing="1" w:after="100" w:afterAutospacing="1" w:line="240" w:lineRule="auto"/>
      <w:jc w:val="right"/>
      <w:textAlignment w:val="center"/>
    </w:pPr>
    <w:rPr>
      <w:rFonts w:ascii="Times New Roman" w:eastAsia="Times New Roman" w:hAnsi="Times New Roman" w:cs="Times New Roman"/>
      <w:sz w:val="16"/>
      <w:szCs w:val="16"/>
      <w:lang w:eastAsia="sk-SK"/>
    </w:rPr>
  </w:style>
  <w:style w:type="character" w:customStyle="1" w:styleId="s1">
    <w:name w:val="s1"/>
    <w:basedOn w:val="Predvolenpsmoodseku"/>
    <w:rsid w:val="00BA211E"/>
  </w:style>
  <w:style w:type="numbering" w:customStyle="1" w:styleId="Bezzoznamu9">
    <w:name w:val="Bez zoznamu9"/>
    <w:next w:val="Bezzoznamu"/>
    <w:uiPriority w:val="99"/>
    <w:semiHidden/>
    <w:unhideWhenUsed/>
    <w:rsid w:val="000E5938"/>
  </w:style>
  <w:style w:type="paragraph" w:customStyle="1" w:styleId="xmsonormal">
    <w:name w:val="x_msonormal"/>
    <w:basedOn w:val="Normlny"/>
    <w:uiPriority w:val="99"/>
    <w:semiHidden/>
    <w:rsid w:val="00AA17E3"/>
    <w:pPr>
      <w:spacing w:after="0" w:line="240" w:lineRule="auto"/>
    </w:pPr>
    <w:rPr>
      <w:rFonts w:ascii="Times New Roman" w:hAnsi="Times New Roman" w:cs="Times New Roman"/>
      <w:sz w:val="24"/>
      <w:szCs w:val="24"/>
      <w:lang w:eastAsia="sk-SK"/>
    </w:rPr>
  </w:style>
  <w:style w:type="table" w:customStyle="1" w:styleId="Mriekatabuky19">
    <w:name w:val="Mriežka tabuľky19"/>
    <w:basedOn w:val="Normlnatabuka"/>
    <w:next w:val="Mriekatabuky"/>
    <w:uiPriority w:val="5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7">
    <w:name w:val="xl77"/>
    <w:basedOn w:val="Normlny"/>
    <w:rsid w:val="00AA17E3"/>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pPr>
    <w:rPr>
      <w:rFonts w:ascii="Times New Roman" w:eastAsia="Times New Roman" w:hAnsi="Times New Roman" w:cs="Times New Roman"/>
      <w:color w:val="FFFFFF"/>
      <w:sz w:val="24"/>
      <w:szCs w:val="24"/>
      <w:lang w:eastAsia="sk-SK"/>
    </w:rPr>
  </w:style>
  <w:style w:type="paragraph" w:customStyle="1" w:styleId="xl78">
    <w:name w:val="xl78"/>
    <w:basedOn w:val="Normlny"/>
    <w:rsid w:val="00AA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79">
    <w:name w:val="xl79"/>
    <w:basedOn w:val="Normlny"/>
    <w:rsid w:val="00AA17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80">
    <w:name w:val="xl80"/>
    <w:basedOn w:val="Normlny"/>
    <w:rsid w:val="00AA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sk-SK"/>
    </w:rPr>
  </w:style>
  <w:style w:type="paragraph" w:customStyle="1" w:styleId="xl81">
    <w:name w:val="xl81"/>
    <w:basedOn w:val="Normlny"/>
    <w:rsid w:val="00AA17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Calibri" w:eastAsia="Times New Roman" w:hAnsi="Calibri" w:cs="Times New Roman"/>
      <w:sz w:val="24"/>
      <w:szCs w:val="24"/>
      <w:lang w:eastAsia="sk-SK"/>
    </w:rPr>
  </w:style>
  <w:style w:type="paragraph" w:customStyle="1" w:styleId="xl82">
    <w:name w:val="xl82"/>
    <w:basedOn w:val="Normlny"/>
    <w:rsid w:val="00AA17E3"/>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right"/>
    </w:pPr>
    <w:rPr>
      <w:rFonts w:ascii="Times New Roman" w:eastAsia="Times New Roman" w:hAnsi="Times New Roman" w:cs="Times New Roman"/>
      <w:color w:val="FFFFFF"/>
      <w:sz w:val="24"/>
      <w:szCs w:val="24"/>
      <w:lang w:eastAsia="sk-SK"/>
    </w:rPr>
  </w:style>
  <w:style w:type="paragraph" w:customStyle="1" w:styleId="xl83">
    <w:name w:val="xl83"/>
    <w:basedOn w:val="Normlny"/>
    <w:rsid w:val="00AA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84">
    <w:name w:val="xl84"/>
    <w:basedOn w:val="Normlny"/>
    <w:rsid w:val="00AA17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sk-SK"/>
    </w:rPr>
  </w:style>
  <w:style w:type="paragraph" w:customStyle="1" w:styleId="xl85">
    <w:name w:val="xl85"/>
    <w:basedOn w:val="Normlny"/>
    <w:rsid w:val="00AA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sk-SK"/>
    </w:rPr>
  </w:style>
  <w:style w:type="paragraph" w:customStyle="1" w:styleId="xl86">
    <w:name w:val="xl86"/>
    <w:basedOn w:val="Normlny"/>
    <w:rsid w:val="00AA17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Calibri" w:eastAsia="Times New Roman" w:hAnsi="Calibri" w:cs="Times New Roman"/>
      <w:sz w:val="24"/>
      <w:szCs w:val="24"/>
      <w:lang w:eastAsia="sk-SK"/>
    </w:rPr>
  </w:style>
  <w:style w:type="table" w:customStyle="1" w:styleId="Obyajntabuka43">
    <w:name w:val="Obyčajná tabuľka 43"/>
    <w:basedOn w:val="Normlnatabuka"/>
    <w:next w:val="Obyajntabuka4"/>
    <w:uiPriority w:val="44"/>
    <w:rsid w:val="00AA1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15">
    <w:name w:val="Bez zoznamu15"/>
    <w:next w:val="Bezzoznamu"/>
    <w:uiPriority w:val="99"/>
    <w:semiHidden/>
    <w:unhideWhenUsed/>
    <w:rsid w:val="00AA17E3"/>
  </w:style>
  <w:style w:type="table" w:customStyle="1" w:styleId="Mriekatabuky110">
    <w:name w:val="Mriežka tabuľky110"/>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
    <w:name w:val="Mriežka tabuľky26"/>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
    <w:name w:val="Mriežka tabuľky116"/>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
    <w:name w:val="Mriežka tabuľky125"/>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
    <w:name w:val="Mriežka tabuľky215"/>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
    <w:name w:val="Mriežka tabuľky1115"/>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next w:val="Mriekatabuky"/>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
    <w:name w:val="Mriežka tabuľky13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
    <w:name w:val="Mriežka tabuľky22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
    <w:name w:val="Mriežka tabuľky112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
    <w:name w:val="Mriežka tabuľky121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
    <w:name w:val="Mriežka tabuľky211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
    <w:name w:val="Mriežka tabuľky11113"/>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3">
    <w:name w:val="Kalendár 23"/>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5">
    <w:name w:val="Bez zoznamu115"/>
    <w:next w:val="Bezzoznamu"/>
    <w:uiPriority w:val="99"/>
    <w:semiHidden/>
    <w:unhideWhenUsed/>
    <w:rsid w:val="00AA17E3"/>
  </w:style>
  <w:style w:type="table" w:customStyle="1" w:styleId="Mriekatabuky53">
    <w:name w:val="Mriežka tabuľky5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
    <w:name w:val="Mriežka tabuľky14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
    <w:name w:val="Mriežka tabuľky23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
    <w:name w:val="Mriežka tabuľky113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
    <w:name w:val="Mriežka tabuľky32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
    <w:name w:val="Mriežka tabuľky122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
    <w:name w:val="Mriežka tabuľky212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
    <w:name w:val="Mriežka tabuľky1112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4">
    <w:name w:val="Bez zoznamu24"/>
    <w:next w:val="Bezzoznamu"/>
    <w:uiPriority w:val="99"/>
    <w:semiHidden/>
    <w:unhideWhenUsed/>
    <w:rsid w:val="00AA17E3"/>
  </w:style>
  <w:style w:type="table" w:customStyle="1" w:styleId="Mriekatabuky63">
    <w:name w:val="Mriežka tabuľky63"/>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4">
    <w:name w:val="Bez zoznamu34"/>
    <w:next w:val="Bezzoznamu"/>
    <w:uiPriority w:val="99"/>
    <w:semiHidden/>
    <w:unhideWhenUsed/>
    <w:rsid w:val="00AA17E3"/>
  </w:style>
  <w:style w:type="table" w:customStyle="1" w:styleId="Mriekatabuky73">
    <w:name w:val="Mriežka tabuľky73"/>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4">
    <w:name w:val="Bez zoznamu1114"/>
    <w:next w:val="Bezzoznamu"/>
    <w:uiPriority w:val="99"/>
    <w:semiHidden/>
    <w:unhideWhenUsed/>
    <w:rsid w:val="00AA17E3"/>
  </w:style>
  <w:style w:type="table" w:customStyle="1" w:styleId="Mriekatabukysvetl13">
    <w:name w:val="Mriežka tabuľky – svetlá13"/>
    <w:basedOn w:val="Normlnatabuka"/>
    <w:uiPriority w:val="40"/>
    <w:rsid w:val="00AA17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3">
    <w:name w:val="Bez zoznamu43"/>
    <w:next w:val="Bezzoznamu"/>
    <w:uiPriority w:val="99"/>
    <w:semiHidden/>
    <w:unhideWhenUsed/>
    <w:rsid w:val="00AA17E3"/>
  </w:style>
  <w:style w:type="numbering" w:customStyle="1" w:styleId="Bezzoznamu11114">
    <w:name w:val="Bez zoznamu11114"/>
    <w:next w:val="Bezzoznamu"/>
    <w:uiPriority w:val="99"/>
    <w:semiHidden/>
    <w:unhideWhenUsed/>
    <w:rsid w:val="00AA17E3"/>
  </w:style>
  <w:style w:type="table" w:customStyle="1" w:styleId="Mriekatabuky82">
    <w:name w:val="Mriežka tabuľky8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3">
    <w:name w:val="Bez zoznamu53"/>
    <w:next w:val="Bezzoznamu"/>
    <w:uiPriority w:val="99"/>
    <w:semiHidden/>
    <w:unhideWhenUsed/>
    <w:rsid w:val="00AA17E3"/>
  </w:style>
  <w:style w:type="numbering" w:customStyle="1" w:styleId="Bezzoznamu123">
    <w:name w:val="Bez zoznamu123"/>
    <w:next w:val="Bezzoznamu"/>
    <w:uiPriority w:val="99"/>
    <w:semiHidden/>
    <w:unhideWhenUsed/>
    <w:rsid w:val="00AA17E3"/>
  </w:style>
  <w:style w:type="table" w:customStyle="1" w:styleId="Mriekatabuky92">
    <w:name w:val="Mriežka tabuľky9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
    <w:name w:val="Mriežka tabuľky15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
    <w:name w:val="Mriežka tabuľky24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
    <w:name w:val="Mriežka tabuľky114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
    <w:name w:val="Mriežka tabuľky33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
    <w:name w:val="Mriežka tabuľky123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
    <w:name w:val="Mriežka tabuľky213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
    <w:name w:val="Mriežka tabuľky1113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
    <w:name w:val="Mriežka tabuľky412"/>
    <w:basedOn w:val="Normlnatabuka"/>
    <w:next w:val="Mriekatabuky"/>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
    <w:name w:val="Mriežka tabuľky13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
    <w:name w:val="Mriežka tabuľky22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
    <w:name w:val="Mriežka tabuľky112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
    <w:name w:val="Mriežka tabuľky3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
    <w:name w:val="Mriežka tabuľky12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
    <w:name w:val="Mriežka tabuľky21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
    <w:name w:val="Mriežka tabuľky111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2">
    <w:name w:val="Kalendár 212"/>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3">
    <w:name w:val="Bez zoznamu1123"/>
    <w:next w:val="Bezzoznamu"/>
    <w:uiPriority w:val="99"/>
    <w:semiHidden/>
    <w:unhideWhenUsed/>
    <w:rsid w:val="00AA17E3"/>
  </w:style>
  <w:style w:type="table" w:customStyle="1" w:styleId="Mriekatabuky512">
    <w:name w:val="Mriežka tabuľky5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
    <w:name w:val="Mriežka tabuľky14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
    <w:name w:val="Mriežka tabuľky23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
    <w:name w:val="Mriežka tabuľky113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
    <w:name w:val="Mriežka tabuľky32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
    <w:name w:val="Mriežka tabuľky122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
    <w:name w:val="Mriežka tabuľky212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
    <w:name w:val="Mriežka tabuľky1112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3">
    <w:name w:val="Bez zoznamu213"/>
    <w:next w:val="Bezzoznamu"/>
    <w:uiPriority w:val="99"/>
    <w:semiHidden/>
    <w:unhideWhenUsed/>
    <w:rsid w:val="00AA17E3"/>
  </w:style>
  <w:style w:type="table" w:customStyle="1" w:styleId="Mriekatabuky612">
    <w:name w:val="Mriežka tabuľky61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3">
    <w:name w:val="Bez zoznamu313"/>
    <w:next w:val="Bezzoznamu"/>
    <w:uiPriority w:val="99"/>
    <w:semiHidden/>
    <w:unhideWhenUsed/>
    <w:rsid w:val="00AA17E3"/>
  </w:style>
  <w:style w:type="table" w:customStyle="1" w:styleId="Mriekatabuky712">
    <w:name w:val="Mriežka tabuľky71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4">
    <w:name w:val="Bez zoznamu111114"/>
    <w:next w:val="Bezzoznamu"/>
    <w:uiPriority w:val="99"/>
    <w:semiHidden/>
    <w:unhideWhenUsed/>
    <w:rsid w:val="00AA17E3"/>
  </w:style>
  <w:style w:type="table" w:customStyle="1" w:styleId="Mriekatabukysvetl112">
    <w:name w:val="Mriežka tabuľky – svetlá112"/>
    <w:basedOn w:val="Normlnatabuka"/>
    <w:uiPriority w:val="40"/>
    <w:rsid w:val="00AA17E3"/>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3">
    <w:name w:val="Bez zoznamu63"/>
    <w:next w:val="Bezzoznamu"/>
    <w:uiPriority w:val="99"/>
    <w:semiHidden/>
    <w:unhideWhenUsed/>
    <w:rsid w:val="00AA17E3"/>
  </w:style>
  <w:style w:type="table" w:customStyle="1" w:styleId="UHPGRAF112">
    <w:name w:val="UHP_GRAF112"/>
    <w:basedOn w:val="Normlnatabuka"/>
    <w:uiPriority w:val="99"/>
    <w:rsid w:val="00AA17E3"/>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2">
    <w:name w:val="UHP_GRAF122"/>
    <w:basedOn w:val="Normlnatabuka"/>
    <w:uiPriority w:val="99"/>
    <w:rsid w:val="00AA17E3"/>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2">
    <w:name w:val="Mriežka tabuľky10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12">
    <w:name w:val="Bez zoznamu1111112"/>
    <w:next w:val="Bezzoznamu"/>
    <w:uiPriority w:val="99"/>
    <w:semiHidden/>
    <w:unhideWhenUsed/>
    <w:rsid w:val="00AA17E3"/>
  </w:style>
  <w:style w:type="table" w:customStyle="1" w:styleId="Obyajntabuka411">
    <w:name w:val="Obyčajná tabuľka 411"/>
    <w:basedOn w:val="Normlnatabuka"/>
    <w:next w:val="Obyajntabuka4"/>
    <w:uiPriority w:val="44"/>
    <w:rsid w:val="00AA1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162">
    <w:name w:val="Mriežka tabuľky162"/>
    <w:basedOn w:val="Normlnatabuka"/>
    <w:next w:val="Mriekatabuky"/>
    <w:uiPriority w:val="5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71">
    <w:name w:val="Bez zoznamu71"/>
    <w:next w:val="Bezzoznamu"/>
    <w:uiPriority w:val="99"/>
    <w:semiHidden/>
    <w:unhideWhenUsed/>
    <w:rsid w:val="00AA17E3"/>
  </w:style>
  <w:style w:type="table" w:customStyle="1" w:styleId="Mriekatabuky171">
    <w:name w:val="Mriežka tabuľky171"/>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1">
    <w:name w:val="Mriežka tabuľky181"/>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1">
    <w:name w:val="Mriežka tabuľky251"/>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1">
    <w:name w:val="Mriežka tabuľky115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1">
    <w:name w:val="Mriežka tabuľky124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1">
    <w:name w:val="Mriežka tabuľky214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1">
    <w:name w:val="Mriežka tabuľky1114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next w:val="Mriekatabuky"/>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1">
    <w:name w:val="Mriežka tabuľky13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1">
    <w:name w:val="Mriežka tabuľky22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1">
    <w:name w:val="Mriežka tabuľky112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1">
    <w:name w:val="Mriežka tabuľky121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1">
    <w:name w:val="Mriežka tabuľky211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1">
    <w:name w:val="Mriežka tabuľky11112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1">
    <w:name w:val="Kalendár 221"/>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31">
    <w:name w:val="Bez zoznamu131"/>
    <w:next w:val="Bezzoznamu"/>
    <w:uiPriority w:val="99"/>
    <w:semiHidden/>
    <w:unhideWhenUsed/>
    <w:rsid w:val="00AA17E3"/>
  </w:style>
  <w:style w:type="table" w:customStyle="1" w:styleId="Mriekatabuky521">
    <w:name w:val="Mriežka tabuľky5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1">
    <w:name w:val="Mriežka tabuľky14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1">
    <w:name w:val="Mriežka tabuľky23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1">
    <w:name w:val="Mriežka tabuľky113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1">
    <w:name w:val="Mriežka tabuľky32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1">
    <w:name w:val="Mriežka tabuľky122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1">
    <w:name w:val="Mriežka tabuľky212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1">
    <w:name w:val="Mriežka tabuľky11122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1">
    <w:name w:val="Bez zoznamu221"/>
    <w:next w:val="Bezzoznamu"/>
    <w:uiPriority w:val="99"/>
    <w:semiHidden/>
    <w:unhideWhenUsed/>
    <w:rsid w:val="00AA17E3"/>
  </w:style>
  <w:style w:type="table" w:customStyle="1" w:styleId="Mriekatabuky621">
    <w:name w:val="Mriežka tabuľky621"/>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1">
    <w:name w:val="Bez zoznamu321"/>
    <w:next w:val="Bezzoznamu"/>
    <w:uiPriority w:val="99"/>
    <w:semiHidden/>
    <w:unhideWhenUsed/>
    <w:rsid w:val="00AA17E3"/>
  </w:style>
  <w:style w:type="table" w:customStyle="1" w:styleId="Mriekatabuky721">
    <w:name w:val="Mriežka tabuľky721"/>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31">
    <w:name w:val="Bez zoznamu1131"/>
    <w:next w:val="Bezzoznamu"/>
    <w:uiPriority w:val="99"/>
    <w:semiHidden/>
    <w:unhideWhenUsed/>
    <w:rsid w:val="00AA17E3"/>
  </w:style>
  <w:style w:type="table" w:customStyle="1" w:styleId="Mriekatabukysvetl121">
    <w:name w:val="Mriežka tabuľky – svetlá121"/>
    <w:basedOn w:val="Normlnatabuka"/>
    <w:uiPriority w:val="40"/>
    <w:rsid w:val="00AA17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11">
    <w:name w:val="Bez zoznamu411"/>
    <w:next w:val="Bezzoznamu"/>
    <w:uiPriority w:val="99"/>
    <w:semiHidden/>
    <w:unhideWhenUsed/>
    <w:rsid w:val="00AA17E3"/>
  </w:style>
  <w:style w:type="numbering" w:customStyle="1" w:styleId="Bezzoznamu11121">
    <w:name w:val="Bez zoznamu11121"/>
    <w:next w:val="Bezzoznamu"/>
    <w:uiPriority w:val="99"/>
    <w:semiHidden/>
    <w:unhideWhenUsed/>
    <w:rsid w:val="00AA17E3"/>
  </w:style>
  <w:style w:type="table" w:customStyle="1" w:styleId="Mriekatabuky811">
    <w:name w:val="Mriežka tabuľky811"/>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1">
    <w:name w:val="Bez zoznamu511"/>
    <w:next w:val="Bezzoznamu"/>
    <w:uiPriority w:val="99"/>
    <w:semiHidden/>
    <w:unhideWhenUsed/>
    <w:rsid w:val="00AA17E3"/>
  </w:style>
  <w:style w:type="numbering" w:customStyle="1" w:styleId="Bezzoznamu1211">
    <w:name w:val="Bez zoznamu1211"/>
    <w:next w:val="Bezzoznamu"/>
    <w:uiPriority w:val="99"/>
    <w:semiHidden/>
    <w:unhideWhenUsed/>
    <w:rsid w:val="00AA17E3"/>
  </w:style>
  <w:style w:type="table" w:customStyle="1" w:styleId="Mriekatabuky911">
    <w:name w:val="Mriežka tabuľky911"/>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1">
    <w:name w:val="Mriežka tabuľky1511"/>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1">
    <w:name w:val="Mriežka tabuľky2411"/>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1">
    <w:name w:val="Mriežka tabuľky114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1">
    <w:name w:val="Mriežka tabuľky33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1">
    <w:name w:val="Mriežka tabuľky123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1">
    <w:name w:val="Mriežka tabuľky213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1">
    <w:name w:val="Mriežka tabuľky1113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1">
    <w:name w:val="Mriežka tabuľky4111"/>
    <w:basedOn w:val="Normlnatabuka"/>
    <w:next w:val="Mriekatabuky"/>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1">
    <w:name w:val="Mriežka tabuľky13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1">
    <w:name w:val="Mriežka tabuľky22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1">
    <w:name w:val="Mriežka tabuľky112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1">
    <w:name w:val="Mriežka tabuľky31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1">
    <w:name w:val="Mriežka tabuľky121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1">
    <w:name w:val="Mriežka tabuľky211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1">
    <w:name w:val="Mriežka tabuľky1111111"/>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1">
    <w:name w:val="Kalendár 2111"/>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1">
    <w:name w:val="Bez zoznamu11211"/>
    <w:next w:val="Bezzoznamu"/>
    <w:uiPriority w:val="99"/>
    <w:semiHidden/>
    <w:unhideWhenUsed/>
    <w:rsid w:val="00AA17E3"/>
  </w:style>
  <w:style w:type="table" w:customStyle="1" w:styleId="Mriekatabuky5111">
    <w:name w:val="Mriežka tabuľky5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1">
    <w:name w:val="Mriežka tabuľky14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1">
    <w:name w:val="Mriežka tabuľky23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1">
    <w:name w:val="Mriežka tabuľky113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1">
    <w:name w:val="Mriežka tabuľky32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1">
    <w:name w:val="Mriežka tabuľky122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1">
    <w:name w:val="Mriežka tabuľky212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1">
    <w:name w:val="Mriežka tabuľky1112111"/>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1">
    <w:name w:val="Bez zoznamu2111"/>
    <w:next w:val="Bezzoznamu"/>
    <w:uiPriority w:val="99"/>
    <w:semiHidden/>
    <w:unhideWhenUsed/>
    <w:rsid w:val="00AA17E3"/>
  </w:style>
  <w:style w:type="table" w:customStyle="1" w:styleId="Mriekatabuky6111">
    <w:name w:val="Mriežka tabuľky6111"/>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1">
    <w:name w:val="Bez zoznamu3111"/>
    <w:next w:val="Bezzoznamu"/>
    <w:uiPriority w:val="99"/>
    <w:semiHidden/>
    <w:unhideWhenUsed/>
    <w:rsid w:val="00AA17E3"/>
  </w:style>
  <w:style w:type="table" w:customStyle="1" w:styleId="Mriekatabuky7111">
    <w:name w:val="Mriežka tabuľky7111"/>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21">
    <w:name w:val="Bez zoznamu111121"/>
    <w:next w:val="Bezzoznamu"/>
    <w:uiPriority w:val="99"/>
    <w:semiHidden/>
    <w:unhideWhenUsed/>
    <w:rsid w:val="00AA17E3"/>
  </w:style>
  <w:style w:type="table" w:customStyle="1" w:styleId="Mriekatabukysvetl1111">
    <w:name w:val="Mriežka tabuľky – svetlá1111"/>
    <w:basedOn w:val="Normlnatabuka"/>
    <w:uiPriority w:val="40"/>
    <w:rsid w:val="00AA17E3"/>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11">
    <w:name w:val="Bez zoznamu611"/>
    <w:next w:val="Bezzoznamu"/>
    <w:uiPriority w:val="99"/>
    <w:semiHidden/>
    <w:unhideWhenUsed/>
    <w:rsid w:val="00AA17E3"/>
  </w:style>
  <w:style w:type="table" w:customStyle="1" w:styleId="UHPGRAF1111">
    <w:name w:val="UHP_GRAF1111"/>
    <w:basedOn w:val="Normlnatabuka"/>
    <w:uiPriority w:val="99"/>
    <w:rsid w:val="00AA17E3"/>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11">
    <w:name w:val="UHP_GRAF1211"/>
    <w:basedOn w:val="Normlnatabuka"/>
    <w:uiPriority w:val="99"/>
    <w:rsid w:val="00AA17E3"/>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11">
    <w:name w:val="Mriežka tabuľky1011"/>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21">
    <w:name w:val="Bez zoznamu1111121"/>
    <w:next w:val="Bezzoznamu"/>
    <w:uiPriority w:val="99"/>
    <w:semiHidden/>
    <w:unhideWhenUsed/>
    <w:rsid w:val="00AA17E3"/>
  </w:style>
  <w:style w:type="table" w:customStyle="1" w:styleId="Obyajntabuka421">
    <w:name w:val="Obyčajná tabuľka 421"/>
    <w:basedOn w:val="Normlnatabuka"/>
    <w:next w:val="Obyajntabuka4"/>
    <w:uiPriority w:val="44"/>
    <w:rsid w:val="00AA1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1611">
    <w:name w:val="Mriežka tabuľky1611"/>
    <w:basedOn w:val="Normlnatabuka"/>
    <w:next w:val="Mriekatabuky"/>
    <w:uiPriority w:val="5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1">
    <w:name w:val="Bez zoznamu81"/>
    <w:next w:val="Bezzoznamu"/>
    <w:uiPriority w:val="99"/>
    <w:semiHidden/>
    <w:unhideWhenUsed/>
    <w:rsid w:val="00AA17E3"/>
  </w:style>
  <w:style w:type="numbering" w:customStyle="1" w:styleId="Bezzoznamu141">
    <w:name w:val="Bez zoznamu141"/>
    <w:next w:val="Bezzoznamu"/>
    <w:uiPriority w:val="99"/>
    <w:semiHidden/>
    <w:unhideWhenUsed/>
    <w:rsid w:val="00AA17E3"/>
  </w:style>
  <w:style w:type="numbering" w:customStyle="1" w:styleId="Bezzoznamu231">
    <w:name w:val="Bez zoznamu231"/>
    <w:next w:val="Bezzoznamu"/>
    <w:uiPriority w:val="99"/>
    <w:semiHidden/>
    <w:unhideWhenUsed/>
    <w:rsid w:val="00AA17E3"/>
  </w:style>
  <w:style w:type="numbering" w:customStyle="1" w:styleId="Bezzoznamu331">
    <w:name w:val="Bez zoznamu331"/>
    <w:next w:val="Bezzoznamu"/>
    <w:uiPriority w:val="99"/>
    <w:semiHidden/>
    <w:unhideWhenUsed/>
    <w:rsid w:val="00AA17E3"/>
  </w:style>
  <w:style w:type="numbering" w:customStyle="1" w:styleId="Bezzoznamu1141">
    <w:name w:val="Bez zoznamu1141"/>
    <w:next w:val="Bezzoznamu"/>
    <w:uiPriority w:val="99"/>
    <w:semiHidden/>
    <w:unhideWhenUsed/>
    <w:rsid w:val="00AA17E3"/>
  </w:style>
  <w:style w:type="numbering" w:customStyle="1" w:styleId="Bezzoznamu421">
    <w:name w:val="Bez zoznamu421"/>
    <w:next w:val="Bezzoznamu"/>
    <w:uiPriority w:val="99"/>
    <w:semiHidden/>
    <w:unhideWhenUsed/>
    <w:rsid w:val="00AA17E3"/>
  </w:style>
  <w:style w:type="numbering" w:customStyle="1" w:styleId="Bezzoznamu11131">
    <w:name w:val="Bez zoznamu11131"/>
    <w:next w:val="Bezzoznamu"/>
    <w:uiPriority w:val="99"/>
    <w:semiHidden/>
    <w:unhideWhenUsed/>
    <w:rsid w:val="00AA17E3"/>
  </w:style>
  <w:style w:type="numbering" w:customStyle="1" w:styleId="Bezzoznamu521">
    <w:name w:val="Bez zoznamu521"/>
    <w:next w:val="Bezzoznamu"/>
    <w:uiPriority w:val="99"/>
    <w:semiHidden/>
    <w:unhideWhenUsed/>
    <w:rsid w:val="00AA17E3"/>
  </w:style>
  <w:style w:type="numbering" w:customStyle="1" w:styleId="Bezzoznamu1221">
    <w:name w:val="Bez zoznamu1221"/>
    <w:next w:val="Bezzoznamu"/>
    <w:uiPriority w:val="99"/>
    <w:semiHidden/>
    <w:unhideWhenUsed/>
    <w:rsid w:val="00AA17E3"/>
  </w:style>
  <w:style w:type="numbering" w:customStyle="1" w:styleId="Bezzoznamu11221">
    <w:name w:val="Bez zoznamu11221"/>
    <w:next w:val="Bezzoznamu"/>
    <w:uiPriority w:val="99"/>
    <w:semiHidden/>
    <w:unhideWhenUsed/>
    <w:rsid w:val="00AA17E3"/>
  </w:style>
  <w:style w:type="numbering" w:customStyle="1" w:styleId="Bezzoznamu2121">
    <w:name w:val="Bez zoznamu2121"/>
    <w:next w:val="Bezzoznamu"/>
    <w:uiPriority w:val="99"/>
    <w:semiHidden/>
    <w:unhideWhenUsed/>
    <w:rsid w:val="00AA17E3"/>
  </w:style>
  <w:style w:type="numbering" w:customStyle="1" w:styleId="Bezzoznamu3121">
    <w:name w:val="Bez zoznamu3121"/>
    <w:next w:val="Bezzoznamu"/>
    <w:uiPriority w:val="99"/>
    <w:semiHidden/>
    <w:unhideWhenUsed/>
    <w:rsid w:val="00AA17E3"/>
  </w:style>
  <w:style w:type="numbering" w:customStyle="1" w:styleId="Bezzoznamu111131">
    <w:name w:val="Bez zoznamu111131"/>
    <w:next w:val="Bezzoznamu"/>
    <w:uiPriority w:val="99"/>
    <w:semiHidden/>
    <w:unhideWhenUsed/>
    <w:rsid w:val="00AA17E3"/>
  </w:style>
  <w:style w:type="numbering" w:customStyle="1" w:styleId="Bezzoznamu621">
    <w:name w:val="Bez zoznamu621"/>
    <w:next w:val="Bezzoznamu"/>
    <w:uiPriority w:val="99"/>
    <w:semiHidden/>
    <w:unhideWhenUsed/>
    <w:rsid w:val="00AA17E3"/>
  </w:style>
  <w:style w:type="numbering" w:customStyle="1" w:styleId="Bezzoznamu1111131">
    <w:name w:val="Bez zoznamu1111131"/>
    <w:next w:val="Bezzoznamu"/>
    <w:uiPriority w:val="99"/>
    <w:semiHidden/>
    <w:unhideWhenUsed/>
    <w:rsid w:val="00AA17E3"/>
  </w:style>
  <w:style w:type="table" w:customStyle="1" w:styleId="Mriekatabuky163">
    <w:name w:val="Mriežka tabuľky163"/>
    <w:basedOn w:val="Normlnatabuka"/>
    <w:next w:val="Mriekatabuky"/>
    <w:uiPriority w:val="5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72">
    <w:name w:val="Mriežka tabuľky17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2">
    <w:name w:val="Mriežka tabuľky25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0">
    <w:name w:val="Bez zoznamu10"/>
    <w:next w:val="Bezzoznamu"/>
    <w:uiPriority w:val="99"/>
    <w:semiHidden/>
    <w:unhideWhenUsed/>
    <w:rsid w:val="00AA17E3"/>
  </w:style>
  <w:style w:type="table" w:customStyle="1" w:styleId="Mriekatabuky20">
    <w:name w:val="Mriežka tabuľky20"/>
    <w:basedOn w:val="Normlnatabuka"/>
    <w:next w:val="Mriekatabuky"/>
    <w:uiPriority w:val="3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next w:val="Mriekatabuky"/>
    <w:uiPriority w:val="3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4">
    <w:name w:val="Mriežka tabuľky64"/>
    <w:basedOn w:val="Normlnatabuka"/>
    <w:next w:val="Mriekatabuky"/>
    <w:uiPriority w:val="3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6">
    <w:name w:val="Bez zoznamu16"/>
    <w:next w:val="Bezzoznamu"/>
    <w:uiPriority w:val="99"/>
    <w:semiHidden/>
    <w:unhideWhenUsed/>
    <w:rsid w:val="00AA17E3"/>
  </w:style>
  <w:style w:type="table" w:customStyle="1" w:styleId="Mriekatabuky27">
    <w:name w:val="Mriežka tabuľky27"/>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
    <w:name w:val="Mriežka tabuľky117"/>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
    <w:name w:val="Mriežka tabuľky28"/>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8">
    <w:name w:val="Mriežka tabuľky118"/>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7">
    <w:name w:val="Mriežka tabuľky37"/>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6">
    <w:name w:val="Mriežka tabuľky126"/>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6">
    <w:name w:val="Mriežka tabuľky216"/>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6">
    <w:name w:val="Mriežka tabuľky1116"/>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4">
    <w:name w:val="Mriežka tabuľky134"/>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4">
    <w:name w:val="Mriežka tabuľky224"/>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4">
    <w:name w:val="Mriežka tabuľky1124"/>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5">
    <w:name w:val="Mriežka tabuľky315"/>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4">
    <w:name w:val="Mriežka tabuľky1214"/>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4">
    <w:name w:val="Mriežka tabuľky2114"/>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4">
    <w:name w:val="Mriežka tabuľky11114"/>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4">
    <w:name w:val="Kalendár 24"/>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7">
    <w:name w:val="Bez zoznamu17"/>
    <w:next w:val="Bezzoznamu"/>
    <w:uiPriority w:val="99"/>
    <w:semiHidden/>
    <w:unhideWhenUsed/>
    <w:rsid w:val="00AA17E3"/>
  </w:style>
  <w:style w:type="table" w:customStyle="1" w:styleId="Mriekatabuky54">
    <w:name w:val="Mriežka tabuľky5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4">
    <w:name w:val="Mriežka tabuľky14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4">
    <w:name w:val="Mriežka tabuľky23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4">
    <w:name w:val="Mriežka tabuľky113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4">
    <w:name w:val="Mriežka tabuľky32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4">
    <w:name w:val="Mriežka tabuľky122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4">
    <w:name w:val="Mriežka tabuľky212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4">
    <w:name w:val="Mriežka tabuľky11124"/>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5">
    <w:name w:val="Bez zoznamu25"/>
    <w:next w:val="Bezzoznamu"/>
    <w:uiPriority w:val="99"/>
    <w:semiHidden/>
    <w:unhideWhenUsed/>
    <w:rsid w:val="00AA17E3"/>
  </w:style>
  <w:style w:type="table" w:customStyle="1" w:styleId="Mriekatabuky65">
    <w:name w:val="Mriežka tabuľky65"/>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5">
    <w:name w:val="Bez zoznamu35"/>
    <w:next w:val="Bezzoznamu"/>
    <w:uiPriority w:val="99"/>
    <w:semiHidden/>
    <w:unhideWhenUsed/>
    <w:rsid w:val="00AA17E3"/>
  </w:style>
  <w:style w:type="table" w:customStyle="1" w:styleId="Mriekatabuky74">
    <w:name w:val="Mriežka tabuľky74"/>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6">
    <w:name w:val="Bez zoznamu116"/>
    <w:next w:val="Bezzoznamu"/>
    <w:uiPriority w:val="99"/>
    <w:semiHidden/>
    <w:unhideWhenUsed/>
    <w:rsid w:val="00AA17E3"/>
  </w:style>
  <w:style w:type="table" w:customStyle="1" w:styleId="Mriekatabukysvetl14">
    <w:name w:val="Mriežka tabuľky – svetlá14"/>
    <w:basedOn w:val="Normlnatabuka"/>
    <w:uiPriority w:val="40"/>
    <w:rsid w:val="00AA17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4">
    <w:name w:val="Bez zoznamu44"/>
    <w:next w:val="Bezzoznamu"/>
    <w:uiPriority w:val="99"/>
    <w:semiHidden/>
    <w:unhideWhenUsed/>
    <w:rsid w:val="00AA17E3"/>
  </w:style>
  <w:style w:type="numbering" w:customStyle="1" w:styleId="Bezzoznamu1115">
    <w:name w:val="Bez zoznamu1115"/>
    <w:next w:val="Bezzoznamu"/>
    <w:uiPriority w:val="99"/>
    <w:semiHidden/>
    <w:unhideWhenUsed/>
    <w:rsid w:val="00AA17E3"/>
  </w:style>
  <w:style w:type="table" w:customStyle="1" w:styleId="Mriekatabuky83">
    <w:name w:val="Mriežka tabuľky83"/>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4">
    <w:name w:val="Bez zoznamu54"/>
    <w:next w:val="Bezzoznamu"/>
    <w:uiPriority w:val="99"/>
    <w:semiHidden/>
    <w:unhideWhenUsed/>
    <w:rsid w:val="00AA17E3"/>
  </w:style>
  <w:style w:type="numbering" w:customStyle="1" w:styleId="Bezzoznamu124">
    <w:name w:val="Bez zoznamu124"/>
    <w:next w:val="Bezzoznamu"/>
    <w:uiPriority w:val="99"/>
    <w:semiHidden/>
    <w:unhideWhenUsed/>
    <w:rsid w:val="00AA17E3"/>
  </w:style>
  <w:style w:type="table" w:customStyle="1" w:styleId="Mriekatabuky93">
    <w:name w:val="Mriežka tabuľky93"/>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3">
    <w:name w:val="Mriežka tabuľky153"/>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3">
    <w:name w:val="Mriežka tabuľky243"/>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3">
    <w:name w:val="Mriežka tabuľky114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3">
    <w:name w:val="Mriežka tabuľky33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3">
    <w:name w:val="Mriežka tabuľky123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3">
    <w:name w:val="Mriežka tabuľky213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3">
    <w:name w:val="Mriežka tabuľky1113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3">
    <w:name w:val="Mriežka tabuľky4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3">
    <w:name w:val="Mriežka tabuľky13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3">
    <w:name w:val="Mriežka tabuľky22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3">
    <w:name w:val="Mriežka tabuľky112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3">
    <w:name w:val="Mriežka tabuľky31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3">
    <w:name w:val="Mriežka tabuľky121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3">
    <w:name w:val="Mriežka tabuľky211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3">
    <w:name w:val="Mriežka tabuľky111113"/>
    <w:basedOn w:val="Normlnatabuka"/>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3">
    <w:name w:val="Kalendár 213"/>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4">
    <w:name w:val="Bez zoznamu1124"/>
    <w:next w:val="Bezzoznamu"/>
    <w:uiPriority w:val="99"/>
    <w:semiHidden/>
    <w:unhideWhenUsed/>
    <w:rsid w:val="00AA17E3"/>
  </w:style>
  <w:style w:type="table" w:customStyle="1" w:styleId="Mriekatabuky513">
    <w:name w:val="Mriežka tabuľky5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3">
    <w:name w:val="Mriežka tabuľky14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3">
    <w:name w:val="Mriežka tabuľky23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3">
    <w:name w:val="Mriežka tabuľky113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3">
    <w:name w:val="Mriežka tabuľky32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3">
    <w:name w:val="Mriežka tabuľky122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3">
    <w:name w:val="Mriežka tabuľky212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3">
    <w:name w:val="Mriežka tabuľky111213"/>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4">
    <w:name w:val="Bez zoznamu214"/>
    <w:next w:val="Bezzoznamu"/>
    <w:uiPriority w:val="99"/>
    <w:semiHidden/>
    <w:unhideWhenUsed/>
    <w:rsid w:val="00AA17E3"/>
  </w:style>
  <w:style w:type="table" w:customStyle="1" w:styleId="Mriekatabuky613">
    <w:name w:val="Mriežka tabuľky613"/>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4">
    <w:name w:val="Bez zoznamu314"/>
    <w:next w:val="Bezzoznamu"/>
    <w:uiPriority w:val="99"/>
    <w:semiHidden/>
    <w:unhideWhenUsed/>
    <w:rsid w:val="00AA17E3"/>
  </w:style>
  <w:style w:type="table" w:customStyle="1" w:styleId="Mriekatabuky713">
    <w:name w:val="Mriežka tabuľky713"/>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5">
    <w:name w:val="Bez zoznamu11115"/>
    <w:next w:val="Bezzoznamu"/>
    <w:uiPriority w:val="99"/>
    <w:semiHidden/>
    <w:unhideWhenUsed/>
    <w:rsid w:val="00AA17E3"/>
  </w:style>
  <w:style w:type="table" w:customStyle="1" w:styleId="Mriekatabukysvetl113">
    <w:name w:val="Mriežka tabuľky – svetlá113"/>
    <w:basedOn w:val="Normlnatabuka"/>
    <w:uiPriority w:val="40"/>
    <w:rsid w:val="00AA17E3"/>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4">
    <w:name w:val="Bez zoznamu64"/>
    <w:next w:val="Bezzoznamu"/>
    <w:uiPriority w:val="99"/>
    <w:semiHidden/>
    <w:unhideWhenUsed/>
    <w:rsid w:val="00AA17E3"/>
  </w:style>
  <w:style w:type="table" w:customStyle="1" w:styleId="UHPGRAF113">
    <w:name w:val="UHP_GRAF113"/>
    <w:basedOn w:val="Normlnatabuka"/>
    <w:uiPriority w:val="99"/>
    <w:rsid w:val="00AA17E3"/>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3">
    <w:name w:val="UHP_GRAF123"/>
    <w:basedOn w:val="Normlnatabuka"/>
    <w:uiPriority w:val="99"/>
    <w:rsid w:val="00AA17E3"/>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3">
    <w:name w:val="Mriežka tabuľky103"/>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5">
    <w:name w:val="Bez zoznamu111115"/>
    <w:next w:val="Bezzoznamu"/>
    <w:uiPriority w:val="99"/>
    <w:semiHidden/>
    <w:unhideWhenUsed/>
    <w:rsid w:val="00AA17E3"/>
  </w:style>
  <w:style w:type="table" w:customStyle="1" w:styleId="Mriekatabuky801">
    <w:name w:val="Mriežka tabuľky801"/>
    <w:basedOn w:val="Normlnatabuka"/>
    <w:next w:val="Mriekatabuky"/>
    <w:uiPriority w:val="3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GRAF13">
    <w:name w:val="UHP_GRAF13"/>
    <w:basedOn w:val="Normlnatabuka"/>
    <w:uiPriority w:val="99"/>
    <w:rsid w:val="00AA17E3"/>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64">
    <w:name w:val="Mriežka tabuľky164"/>
    <w:basedOn w:val="Normlnatabuka"/>
    <w:next w:val="Mriekatabuky"/>
    <w:uiPriority w:val="59"/>
    <w:rsid w:val="00AA17E3"/>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73">
    <w:name w:val="Mriežka tabuľky173"/>
    <w:basedOn w:val="Normlnatabuka"/>
    <w:next w:val="Mriekatabuky"/>
    <w:uiPriority w:val="39"/>
    <w:rsid w:val="00AA17E3"/>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3">
    <w:name w:val="Mriežka tabuľky253"/>
    <w:basedOn w:val="Normlnatabuka"/>
    <w:next w:val="Mriekatabuky"/>
    <w:uiPriority w:val="59"/>
    <w:rsid w:val="00AA17E3"/>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AA17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table" w:customStyle="1" w:styleId="TableNormal21">
    <w:name w:val="Table Normal21"/>
    <w:rsid w:val="00AA17E3"/>
    <w:pPr>
      <w:spacing w:after="200" w:line="276" w:lineRule="auto"/>
    </w:pPr>
    <w:rPr>
      <w:rFonts w:ascii="Arial Narrow" w:eastAsia="Arial Narrow" w:hAnsi="Arial Narrow" w:cs="Arial Narrow"/>
      <w:color w:val="000000"/>
      <w:lang w:val="en-US"/>
    </w:rPr>
    <w:tblPr>
      <w:tblCellMar>
        <w:top w:w="0" w:type="dxa"/>
        <w:left w:w="0" w:type="dxa"/>
        <w:bottom w:w="0" w:type="dxa"/>
        <w:right w:w="0" w:type="dxa"/>
      </w:tblCellMar>
    </w:tblPr>
  </w:style>
  <w:style w:type="table" w:customStyle="1" w:styleId="TableNormal3">
    <w:name w:val="Table Normal3"/>
    <w:rsid w:val="00AA17E3"/>
    <w:pPr>
      <w:spacing w:after="200" w:line="276" w:lineRule="auto"/>
    </w:pPr>
    <w:rPr>
      <w:rFonts w:ascii="Arial Narrow" w:eastAsia="Arial Narrow" w:hAnsi="Arial Narrow" w:cs="Arial Narrow"/>
      <w:color w:val="000000"/>
      <w:lang w:val="en-US"/>
    </w:rPr>
    <w:tblPr>
      <w:tblCellMar>
        <w:top w:w="0" w:type="dxa"/>
        <w:left w:w="0" w:type="dxa"/>
        <w:bottom w:w="0" w:type="dxa"/>
        <w:right w:w="0" w:type="dxa"/>
      </w:tblCellMar>
    </w:tblPr>
  </w:style>
  <w:style w:type="table" w:customStyle="1" w:styleId="Tabukasmriekou1svetlzvraznenie111">
    <w:name w:val="Tabuľka s mriežkou 1 – svetlá – zvýraznenie 111"/>
    <w:basedOn w:val="Normlnatabuka"/>
    <w:next w:val="Tabukasmriekou1svetlzvraznenie1"/>
    <w:uiPriority w:val="46"/>
    <w:rsid w:val="00AA17E3"/>
    <w:pPr>
      <w:spacing w:after="0" w:line="240" w:lineRule="auto"/>
    </w:pPr>
    <w:tblPr>
      <w:tblStyleRowBandSize w:val="1"/>
      <w:tblStyleColBandSize w:val="1"/>
      <w:tblBorders>
        <w:top w:val="single" w:sz="4" w:space="0" w:color="AAD6F1"/>
        <w:left w:val="single" w:sz="4" w:space="0" w:color="AAD6F1"/>
        <w:bottom w:val="single" w:sz="4" w:space="0" w:color="AAD6F1"/>
        <w:right w:val="single" w:sz="4" w:space="0" w:color="AAD6F1"/>
        <w:insideH w:val="single" w:sz="4" w:space="0" w:color="AAD6F1"/>
        <w:insideV w:val="single" w:sz="4" w:space="0" w:color="AAD6F1"/>
      </w:tblBorders>
    </w:tblPr>
    <w:tblStylePr w:type="firstRow">
      <w:rPr>
        <w:b/>
        <w:bCs/>
      </w:rPr>
      <w:tblPr/>
      <w:tcPr>
        <w:tcBorders>
          <w:bottom w:val="single" w:sz="12" w:space="0" w:color="80C2EA"/>
        </w:tcBorders>
      </w:tcPr>
    </w:tblStylePr>
    <w:tblStylePr w:type="lastRow">
      <w:rPr>
        <w:b/>
        <w:bCs/>
      </w:rPr>
      <w:tblPr/>
      <w:tcPr>
        <w:tcBorders>
          <w:top w:val="double" w:sz="2" w:space="0" w:color="80C2EA"/>
        </w:tcBorders>
      </w:tcPr>
    </w:tblStylePr>
    <w:tblStylePr w:type="firstCol">
      <w:rPr>
        <w:b/>
        <w:bCs/>
      </w:rPr>
    </w:tblStylePr>
    <w:tblStylePr w:type="lastCol">
      <w:rPr>
        <w:b/>
        <w:bCs/>
      </w:rPr>
    </w:tblStylePr>
  </w:style>
  <w:style w:type="table" w:customStyle="1" w:styleId="Tabukasmriekou1svetlzvraznenie12">
    <w:name w:val="Tabuľka s mriežkou 1 – svetlá – zvýraznenie 12"/>
    <w:basedOn w:val="Normlnatabuka"/>
    <w:next w:val="Tabukasmriekou1svetlzvraznenie1"/>
    <w:uiPriority w:val="46"/>
    <w:rsid w:val="00AA17E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2">
    <w:name w:val="Table Grid22"/>
    <w:basedOn w:val="Normlnatabuka"/>
    <w:uiPriority w:val="39"/>
    <w:rsid w:val="00AA17E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Normlnatabuka"/>
    <w:uiPriority w:val="39"/>
    <w:rsid w:val="00AA17E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44">
    <w:name w:val="Obyčajná tabuľka 44"/>
    <w:basedOn w:val="Normlnatabuka"/>
    <w:next w:val="Obyajntabuka4"/>
    <w:uiPriority w:val="44"/>
    <w:rsid w:val="00AA1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1111113">
    <w:name w:val="Bez zoznamu1111113"/>
    <w:next w:val="Bezzoznamu"/>
    <w:uiPriority w:val="99"/>
    <w:semiHidden/>
    <w:unhideWhenUsed/>
    <w:rsid w:val="00AA17E3"/>
  </w:style>
  <w:style w:type="numbering" w:customStyle="1" w:styleId="Bezzoznamu11111111">
    <w:name w:val="Bez zoznamu11111111"/>
    <w:next w:val="Bezzoznamu"/>
    <w:uiPriority w:val="99"/>
    <w:semiHidden/>
    <w:unhideWhenUsed/>
    <w:rsid w:val="00AA17E3"/>
  </w:style>
  <w:style w:type="table" w:customStyle="1" w:styleId="Obyajntabuka412">
    <w:name w:val="Obyčajná tabuľka 412"/>
    <w:basedOn w:val="Normlnatabuka"/>
    <w:next w:val="Obyajntabuka4"/>
    <w:uiPriority w:val="44"/>
    <w:rsid w:val="00AA1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72">
    <w:name w:val="Bez zoznamu72"/>
    <w:next w:val="Bezzoznamu"/>
    <w:uiPriority w:val="99"/>
    <w:semiHidden/>
    <w:unhideWhenUsed/>
    <w:rsid w:val="00AA17E3"/>
  </w:style>
  <w:style w:type="table" w:customStyle="1" w:styleId="Mriekatabuky182">
    <w:name w:val="Mriežka tabuľky18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2">
    <w:name w:val="Mriežka tabuľky115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2">
    <w:name w:val="Mriežka tabuľky34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2">
    <w:name w:val="Mriežka tabuľky124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2">
    <w:name w:val="Mriežka tabuľky214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2">
    <w:name w:val="Mriežka tabuľky1114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2">
    <w:name w:val="Mriežka tabuľky422"/>
    <w:basedOn w:val="Normlnatabuka"/>
    <w:next w:val="Mriekatabuky"/>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2">
    <w:name w:val="Mriežka tabuľky13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2">
    <w:name w:val="Mriežka tabuľky22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2">
    <w:name w:val="Mriežka tabuľky112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2">
    <w:name w:val="Mriežka tabuľky31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2">
    <w:name w:val="Mriežka tabuľky121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2">
    <w:name w:val="Mriežka tabuľky211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2">
    <w:name w:val="Mriežka tabuľky11112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2">
    <w:name w:val="Kalendár 222"/>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32">
    <w:name w:val="Bez zoznamu132"/>
    <w:next w:val="Bezzoznamu"/>
    <w:uiPriority w:val="99"/>
    <w:semiHidden/>
    <w:unhideWhenUsed/>
    <w:rsid w:val="00AA17E3"/>
  </w:style>
  <w:style w:type="table" w:customStyle="1" w:styleId="Mriekatabuky522">
    <w:name w:val="Mriežka tabuľky5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2">
    <w:name w:val="Mriežka tabuľky14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2">
    <w:name w:val="Mriežka tabuľky23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2">
    <w:name w:val="Mriežka tabuľky113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2">
    <w:name w:val="Mriežka tabuľky32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2">
    <w:name w:val="Mriežka tabuľky122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2">
    <w:name w:val="Mriežka tabuľky212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2">
    <w:name w:val="Mriežka tabuľky11122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2">
    <w:name w:val="Bez zoznamu222"/>
    <w:next w:val="Bezzoznamu"/>
    <w:uiPriority w:val="99"/>
    <w:semiHidden/>
    <w:unhideWhenUsed/>
    <w:rsid w:val="00AA17E3"/>
  </w:style>
  <w:style w:type="table" w:customStyle="1" w:styleId="Mriekatabuky622">
    <w:name w:val="Mriežka tabuľky62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2">
    <w:name w:val="Bez zoznamu322"/>
    <w:next w:val="Bezzoznamu"/>
    <w:uiPriority w:val="99"/>
    <w:semiHidden/>
    <w:unhideWhenUsed/>
    <w:rsid w:val="00AA17E3"/>
  </w:style>
  <w:style w:type="table" w:customStyle="1" w:styleId="Mriekatabuky722">
    <w:name w:val="Mriežka tabuľky72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32">
    <w:name w:val="Bez zoznamu1132"/>
    <w:next w:val="Bezzoznamu"/>
    <w:uiPriority w:val="99"/>
    <w:semiHidden/>
    <w:unhideWhenUsed/>
    <w:rsid w:val="00AA17E3"/>
  </w:style>
  <w:style w:type="table" w:customStyle="1" w:styleId="Mriekatabukysvetl122">
    <w:name w:val="Mriežka tabuľky – svetlá122"/>
    <w:basedOn w:val="Normlnatabuka"/>
    <w:uiPriority w:val="40"/>
    <w:rsid w:val="00AA17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12">
    <w:name w:val="Bez zoznamu412"/>
    <w:next w:val="Bezzoznamu"/>
    <w:uiPriority w:val="99"/>
    <w:semiHidden/>
    <w:unhideWhenUsed/>
    <w:rsid w:val="00AA17E3"/>
  </w:style>
  <w:style w:type="numbering" w:customStyle="1" w:styleId="Bezzoznamu11122">
    <w:name w:val="Bez zoznamu11122"/>
    <w:next w:val="Bezzoznamu"/>
    <w:uiPriority w:val="99"/>
    <w:semiHidden/>
    <w:unhideWhenUsed/>
    <w:rsid w:val="00AA17E3"/>
  </w:style>
  <w:style w:type="table" w:customStyle="1" w:styleId="Mriekatabuky812">
    <w:name w:val="Mriežka tabuľky81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2">
    <w:name w:val="Bez zoznamu512"/>
    <w:next w:val="Bezzoznamu"/>
    <w:uiPriority w:val="99"/>
    <w:semiHidden/>
    <w:unhideWhenUsed/>
    <w:rsid w:val="00AA17E3"/>
  </w:style>
  <w:style w:type="numbering" w:customStyle="1" w:styleId="Bezzoznamu1212">
    <w:name w:val="Bez zoznamu1212"/>
    <w:next w:val="Bezzoznamu"/>
    <w:uiPriority w:val="99"/>
    <w:semiHidden/>
    <w:unhideWhenUsed/>
    <w:rsid w:val="00AA17E3"/>
  </w:style>
  <w:style w:type="table" w:customStyle="1" w:styleId="Mriekatabuky912">
    <w:name w:val="Mriežka tabuľky91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2">
    <w:name w:val="Mriežka tabuľky151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2">
    <w:name w:val="Mriežka tabuľky2412"/>
    <w:basedOn w:val="Normlnatabuka"/>
    <w:next w:val="Mriekatabuky"/>
    <w:uiPriority w:val="3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2">
    <w:name w:val="Mriežka tabuľky114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2">
    <w:name w:val="Mriežka tabuľky33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2">
    <w:name w:val="Mriežka tabuľky123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2">
    <w:name w:val="Mriežka tabuľky213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2">
    <w:name w:val="Mriežka tabuľky1113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2">
    <w:name w:val="Mriežka tabuľky4112"/>
    <w:basedOn w:val="Normlnatabuka"/>
    <w:next w:val="Mriekatabuky"/>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2">
    <w:name w:val="Mriežka tabuľky13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2">
    <w:name w:val="Mriežka tabuľky22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2">
    <w:name w:val="Mriežka tabuľky112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2">
    <w:name w:val="Mriežka tabuľky31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2">
    <w:name w:val="Mriežka tabuľky121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2">
    <w:name w:val="Mriežka tabuľky211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2">
    <w:name w:val="Mriežka tabuľky1111112"/>
    <w:basedOn w:val="Normlnatabuka"/>
    <w:uiPriority w:val="59"/>
    <w:rsid w:val="00AA17E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2">
    <w:name w:val="Kalendár 2112"/>
    <w:basedOn w:val="Normlnatabuka"/>
    <w:uiPriority w:val="99"/>
    <w:qFormat/>
    <w:rsid w:val="00AA17E3"/>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2">
    <w:name w:val="Bez zoznamu11212"/>
    <w:next w:val="Bezzoznamu"/>
    <w:uiPriority w:val="99"/>
    <w:semiHidden/>
    <w:unhideWhenUsed/>
    <w:rsid w:val="00AA17E3"/>
  </w:style>
  <w:style w:type="table" w:customStyle="1" w:styleId="Mriekatabuky5112">
    <w:name w:val="Mriežka tabuľky5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2">
    <w:name w:val="Mriežka tabuľky14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2">
    <w:name w:val="Mriežka tabuľky23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2">
    <w:name w:val="Mriežka tabuľky113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2">
    <w:name w:val="Mriežka tabuľky32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2">
    <w:name w:val="Mriežka tabuľky122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2">
    <w:name w:val="Mriežka tabuľky212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2">
    <w:name w:val="Mriežka tabuľky1112112"/>
    <w:basedOn w:val="Normlnatabuka"/>
    <w:next w:val="Mriekatabuky"/>
    <w:uiPriority w:val="59"/>
    <w:rsid w:val="00AA17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2">
    <w:name w:val="Bez zoznamu2112"/>
    <w:next w:val="Bezzoznamu"/>
    <w:uiPriority w:val="99"/>
    <w:semiHidden/>
    <w:unhideWhenUsed/>
    <w:rsid w:val="00AA17E3"/>
  </w:style>
  <w:style w:type="table" w:customStyle="1" w:styleId="Mriekatabuky6112">
    <w:name w:val="Mriežka tabuľky611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2">
    <w:name w:val="Bez zoznamu3112"/>
    <w:next w:val="Bezzoznamu"/>
    <w:uiPriority w:val="99"/>
    <w:semiHidden/>
    <w:unhideWhenUsed/>
    <w:rsid w:val="00AA17E3"/>
  </w:style>
  <w:style w:type="table" w:customStyle="1" w:styleId="Mriekatabuky7112">
    <w:name w:val="Mriežka tabuľky711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22">
    <w:name w:val="Bez zoznamu111122"/>
    <w:next w:val="Bezzoznamu"/>
    <w:uiPriority w:val="99"/>
    <w:semiHidden/>
    <w:unhideWhenUsed/>
    <w:rsid w:val="00AA17E3"/>
  </w:style>
  <w:style w:type="table" w:customStyle="1" w:styleId="Mriekatabukysvetl1112">
    <w:name w:val="Mriežka tabuľky – svetlá1112"/>
    <w:basedOn w:val="Normlnatabuka"/>
    <w:uiPriority w:val="40"/>
    <w:rsid w:val="00AA17E3"/>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12">
    <w:name w:val="Bez zoznamu612"/>
    <w:next w:val="Bezzoznamu"/>
    <w:uiPriority w:val="99"/>
    <w:semiHidden/>
    <w:unhideWhenUsed/>
    <w:rsid w:val="00AA17E3"/>
  </w:style>
  <w:style w:type="table" w:customStyle="1" w:styleId="UHPGRAF1112">
    <w:name w:val="UHP_GRAF1112"/>
    <w:basedOn w:val="Normlnatabuka"/>
    <w:uiPriority w:val="99"/>
    <w:rsid w:val="00AA17E3"/>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12">
    <w:name w:val="UHP_GRAF1212"/>
    <w:basedOn w:val="Normlnatabuka"/>
    <w:uiPriority w:val="99"/>
    <w:rsid w:val="00AA17E3"/>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12">
    <w:name w:val="Mriežka tabuľky1012"/>
    <w:basedOn w:val="Normlnatabuka"/>
    <w:next w:val="Mriekatabuky"/>
    <w:rsid w:val="00AA17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22">
    <w:name w:val="Bez zoznamu1111122"/>
    <w:next w:val="Bezzoznamu"/>
    <w:uiPriority w:val="99"/>
    <w:semiHidden/>
    <w:unhideWhenUsed/>
    <w:rsid w:val="00AA17E3"/>
  </w:style>
  <w:style w:type="table" w:customStyle="1" w:styleId="Obyajntabuka422">
    <w:name w:val="Obyčajná tabuľka 422"/>
    <w:basedOn w:val="Normlnatabuka"/>
    <w:next w:val="Obyajntabuka4"/>
    <w:uiPriority w:val="44"/>
    <w:rsid w:val="00AA1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1612">
    <w:name w:val="Mriežka tabuľky1612"/>
    <w:basedOn w:val="Normlnatabuka"/>
    <w:next w:val="Mriekatabuky"/>
    <w:uiPriority w:val="59"/>
    <w:rsid w:val="00AA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2">
    <w:name w:val="Bez zoznamu82"/>
    <w:next w:val="Bezzoznamu"/>
    <w:uiPriority w:val="99"/>
    <w:semiHidden/>
    <w:unhideWhenUsed/>
    <w:rsid w:val="00AA17E3"/>
  </w:style>
  <w:style w:type="numbering" w:customStyle="1" w:styleId="Bezzoznamu142">
    <w:name w:val="Bez zoznamu142"/>
    <w:next w:val="Bezzoznamu"/>
    <w:uiPriority w:val="99"/>
    <w:semiHidden/>
    <w:unhideWhenUsed/>
    <w:rsid w:val="00AA17E3"/>
  </w:style>
  <w:style w:type="numbering" w:customStyle="1" w:styleId="Bezzoznamu232">
    <w:name w:val="Bez zoznamu232"/>
    <w:next w:val="Bezzoznamu"/>
    <w:uiPriority w:val="99"/>
    <w:semiHidden/>
    <w:unhideWhenUsed/>
    <w:rsid w:val="00AA17E3"/>
  </w:style>
  <w:style w:type="numbering" w:customStyle="1" w:styleId="Bezzoznamu332">
    <w:name w:val="Bez zoznamu332"/>
    <w:next w:val="Bezzoznamu"/>
    <w:uiPriority w:val="99"/>
    <w:semiHidden/>
    <w:unhideWhenUsed/>
    <w:rsid w:val="00AA17E3"/>
  </w:style>
  <w:style w:type="numbering" w:customStyle="1" w:styleId="Bezzoznamu1142">
    <w:name w:val="Bez zoznamu1142"/>
    <w:next w:val="Bezzoznamu"/>
    <w:uiPriority w:val="99"/>
    <w:semiHidden/>
    <w:unhideWhenUsed/>
    <w:rsid w:val="00AA17E3"/>
  </w:style>
  <w:style w:type="numbering" w:customStyle="1" w:styleId="Bezzoznamu422">
    <w:name w:val="Bez zoznamu422"/>
    <w:next w:val="Bezzoznamu"/>
    <w:uiPriority w:val="99"/>
    <w:semiHidden/>
    <w:unhideWhenUsed/>
    <w:rsid w:val="00AA17E3"/>
  </w:style>
  <w:style w:type="numbering" w:customStyle="1" w:styleId="Bezzoznamu11132">
    <w:name w:val="Bez zoznamu11132"/>
    <w:next w:val="Bezzoznamu"/>
    <w:uiPriority w:val="99"/>
    <w:semiHidden/>
    <w:unhideWhenUsed/>
    <w:rsid w:val="00AA17E3"/>
  </w:style>
  <w:style w:type="numbering" w:customStyle="1" w:styleId="Bezzoznamu522">
    <w:name w:val="Bez zoznamu522"/>
    <w:next w:val="Bezzoznamu"/>
    <w:uiPriority w:val="99"/>
    <w:semiHidden/>
    <w:unhideWhenUsed/>
    <w:rsid w:val="00AA17E3"/>
  </w:style>
  <w:style w:type="numbering" w:customStyle="1" w:styleId="Bezzoznamu1222">
    <w:name w:val="Bez zoznamu1222"/>
    <w:next w:val="Bezzoznamu"/>
    <w:uiPriority w:val="99"/>
    <w:semiHidden/>
    <w:unhideWhenUsed/>
    <w:rsid w:val="00AA17E3"/>
  </w:style>
  <w:style w:type="numbering" w:customStyle="1" w:styleId="Bezzoznamu11222">
    <w:name w:val="Bez zoznamu11222"/>
    <w:next w:val="Bezzoznamu"/>
    <w:uiPriority w:val="99"/>
    <w:semiHidden/>
    <w:unhideWhenUsed/>
    <w:rsid w:val="00AA17E3"/>
  </w:style>
  <w:style w:type="numbering" w:customStyle="1" w:styleId="Bezzoznamu2122">
    <w:name w:val="Bez zoznamu2122"/>
    <w:next w:val="Bezzoznamu"/>
    <w:uiPriority w:val="99"/>
    <w:semiHidden/>
    <w:unhideWhenUsed/>
    <w:rsid w:val="00AA17E3"/>
  </w:style>
  <w:style w:type="numbering" w:customStyle="1" w:styleId="Bezzoznamu3122">
    <w:name w:val="Bez zoznamu3122"/>
    <w:next w:val="Bezzoznamu"/>
    <w:uiPriority w:val="99"/>
    <w:semiHidden/>
    <w:unhideWhenUsed/>
    <w:rsid w:val="00AA17E3"/>
  </w:style>
  <w:style w:type="numbering" w:customStyle="1" w:styleId="Bezzoznamu111132">
    <w:name w:val="Bez zoznamu111132"/>
    <w:next w:val="Bezzoznamu"/>
    <w:uiPriority w:val="99"/>
    <w:semiHidden/>
    <w:unhideWhenUsed/>
    <w:rsid w:val="00AA17E3"/>
  </w:style>
  <w:style w:type="numbering" w:customStyle="1" w:styleId="Bezzoznamu622">
    <w:name w:val="Bez zoznamu622"/>
    <w:next w:val="Bezzoznamu"/>
    <w:uiPriority w:val="99"/>
    <w:semiHidden/>
    <w:unhideWhenUsed/>
    <w:rsid w:val="00AA17E3"/>
  </w:style>
  <w:style w:type="numbering" w:customStyle="1" w:styleId="Bezzoznamu1111132">
    <w:name w:val="Bez zoznamu1111132"/>
    <w:next w:val="Bezzoznamu"/>
    <w:uiPriority w:val="99"/>
    <w:semiHidden/>
    <w:unhideWhenUsed/>
    <w:rsid w:val="00AA1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40304">
      <w:bodyDiv w:val="1"/>
      <w:marLeft w:val="0"/>
      <w:marRight w:val="0"/>
      <w:marTop w:val="0"/>
      <w:marBottom w:val="0"/>
      <w:divBdr>
        <w:top w:val="none" w:sz="0" w:space="0" w:color="auto"/>
        <w:left w:val="none" w:sz="0" w:space="0" w:color="auto"/>
        <w:bottom w:val="none" w:sz="0" w:space="0" w:color="auto"/>
        <w:right w:val="none" w:sz="0" w:space="0" w:color="auto"/>
      </w:divBdr>
    </w:div>
    <w:div w:id="142679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chart" Target="charts/chart42.xml"/><Relationship Id="rId76" Type="http://schemas.openxmlformats.org/officeDocument/2006/relationships/diagramData" Target="diagrams/data1.xml"/><Relationship Id="rId84" Type="http://schemas.openxmlformats.org/officeDocument/2006/relationships/diagramColors" Target="diagrams/colors2.xml"/><Relationship Id="rId89" Type="http://schemas.openxmlformats.org/officeDocument/2006/relationships/hyperlink" Target="https://www.kultminor.sk/sk/moznosti-podpory/struktura-podpory" TargetMode="External"/><Relationship Id="rId7" Type="http://schemas.openxmlformats.org/officeDocument/2006/relationships/endnotes" Target="endnotes.xml"/><Relationship Id="rId71" Type="http://schemas.openxmlformats.org/officeDocument/2006/relationships/chart" Target="charts/chart45.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9.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12.xml"/><Relationship Id="rId37" Type="http://schemas.openxmlformats.org/officeDocument/2006/relationships/hyperlink" Target="https://data.consilium.europa.eu/doc/document/ST-10156-2021-ADD-1/en/pdf" TargetMode="Externa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image" Target="media/image13.png"/><Relationship Id="rId58" Type="http://schemas.openxmlformats.org/officeDocument/2006/relationships/chart" Target="charts/chart33.xml"/><Relationship Id="rId66" Type="http://schemas.openxmlformats.org/officeDocument/2006/relationships/chart" Target="charts/chart40.xml"/><Relationship Id="rId74" Type="http://schemas.openxmlformats.org/officeDocument/2006/relationships/chart" Target="charts/chart48.xml"/><Relationship Id="rId79" Type="http://schemas.openxmlformats.org/officeDocument/2006/relationships/diagramColors" Target="diagrams/colors1.xml"/><Relationship Id="rId87" Type="http://schemas.openxmlformats.org/officeDocument/2006/relationships/hyperlink" Target="https://www.kultminor.sk/sk/moznosti-podpory/struktura-podpory" TargetMode="External"/><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diagramLayout" Target="diagrams/layout2.xml"/><Relationship Id="rId90" Type="http://schemas.openxmlformats.org/officeDocument/2006/relationships/header" Target="header1.xml"/><Relationship Id="rId19" Type="http://schemas.openxmlformats.org/officeDocument/2006/relationships/hyperlink" Target="http://eur-lex.europa.eu/legal-content/SK/TXT/PDF/?uri=CELEX:32011L0085&amp;from=SK" TargetMode="Externa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3.xml"/><Relationship Id="rId77" Type="http://schemas.openxmlformats.org/officeDocument/2006/relationships/diagramLayout" Target="diagrams/layout1.xml"/><Relationship Id="rId8" Type="http://schemas.openxmlformats.org/officeDocument/2006/relationships/chart" Target="charts/chart1.xml"/><Relationship Id="rId51" Type="http://schemas.openxmlformats.org/officeDocument/2006/relationships/image" Target="media/image12.png"/><Relationship Id="rId72" Type="http://schemas.openxmlformats.org/officeDocument/2006/relationships/chart" Target="charts/chart46.xml"/><Relationship Id="rId80" Type="http://schemas.microsoft.com/office/2007/relationships/diagramDrawing" Target="diagrams/drawing1.xml"/><Relationship Id="rId85" Type="http://schemas.microsoft.com/office/2007/relationships/diagramDrawing" Target="diagrams/drawing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chart" Target="charts/chart13.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4.xml"/><Relationship Id="rId67" Type="http://schemas.openxmlformats.org/officeDocument/2006/relationships/chart" Target="charts/chart41.xml"/><Relationship Id="rId20" Type="http://schemas.openxmlformats.org/officeDocument/2006/relationships/hyperlink" Target="http://www.rozpoctovarada.sk/images/Legislativa_SR/Zakon_493_2011_20121028.pdf" TargetMode="External"/><Relationship Id="rId41" Type="http://schemas.openxmlformats.org/officeDocument/2006/relationships/chart" Target="charts/chart19.xml"/><Relationship Id="rId54" Type="http://schemas.openxmlformats.org/officeDocument/2006/relationships/image" Target="media/image14.png"/><Relationship Id="rId62" Type="http://schemas.openxmlformats.org/officeDocument/2006/relationships/chart" Target="charts/chart37.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diagramQuickStyle" Target="diagrams/quickStyle2.xml"/><Relationship Id="rId88" Type="http://schemas.openxmlformats.org/officeDocument/2006/relationships/hyperlink" Target="https://www.kultminor.sk/sk/moznosti-podpory/struktura-podpory"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chart" Target="charts/chart8.xml"/><Relationship Id="rId36" Type="http://schemas.openxmlformats.org/officeDocument/2006/relationships/hyperlink" Target="https://data.consilium.europa.eu/doc/document/ST-10156-2021-INIT/en/pdf" TargetMode="External"/><Relationship Id="rId49" Type="http://schemas.openxmlformats.org/officeDocument/2006/relationships/chart" Target="charts/chart27.xml"/><Relationship Id="rId57" Type="http://schemas.openxmlformats.org/officeDocument/2006/relationships/chart" Target="charts/chart32.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22.xml"/><Relationship Id="rId52" Type="http://schemas.openxmlformats.org/officeDocument/2006/relationships/chart" Target="charts/chart29.xml"/><Relationship Id="rId60" Type="http://schemas.openxmlformats.org/officeDocument/2006/relationships/chart" Target="charts/chart35.xml"/><Relationship Id="rId65" Type="http://schemas.openxmlformats.org/officeDocument/2006/relationships/hyperlink" Target="file:///C:\Users\pmandzak\AppData\Local\Microsoft\Windows\Temporary%20Internet%20Files\Content.Outlook\PWXSFS16\KPIs_master_MFSR.xlsx" TargetMode="External"/><Relationship Id="rId73" Type="http://schemas.openxmlformats.org/officeDocument/2006/relationships/chart" Target="charts/chart47.xml"/><Relationship Id="rId78" Type="http://schemas.openxmlformats.org/officeDocument/2006/relationships/diagramQuickStyle" Target="diagrams/quickStyle1.xml"/><Relationship Id="rId81" Type="http://schemas.openxmlformats.org/officeDocument/2006/relationships/diagramData" Target="diagrams/data2.xml"/><Relationship Id="rId86" Type="http://schemas.openxmlformats.org/officeDocument/2006/relationships/hyperlink" Target="https://www.kultminor.sk/sk/moznosti-podpory/struktura-podpory" TargetMode="Externa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newsroom/dae/document.cfm?doc_id=66957" TargetMode="External"/><Relationship Id="rId3" Type="http://schemas.openxmlformats.org/officeDocument/2006/relationships/hyperlink" Target="https://ec.europa.eu/eurostat/web/experimental-statistics/skills" TargetMode="External"/><Relationship Id="rId7" Type="http://schemas.openxmlformats.org/officeDocument/2006/relationships/hyperlink" Target="https://www.health.gov.sk/Zdroje?/Sources/tlacove_spravy/covid-19/Strategia-ockovania-COVID-19.pdf" TargetMode="External"/><Relationship Id="rId2" Type="http://schemas.openxmlformats.org/officeDocument/2006/relationships/hyperlink" Target="https://www.mfsr.sk/sk/financie/hodnota-za-peniaze/revizia-vydavkov/revizia-vydavkov.html" TargetMode="External"/><Relationship Id="rId1" Type="http://schemas.openxmlformats.org/officeDocument/2006/relationships/hyperlink" Target="https://www.mfsr.sk/sk/financie/institut-financnej-politiky/ekonomicke-prognozy/danove-prognozy/danove-prognozy.html" TargetMode="External"/><Relationship Id="rId6" Type="http://schemas.openxmlformats.org/officeDocument/2006/relationships/hyperlink" Target="http://www.finance.gov.sk/Default.aspx?CatID=9301" TargetMode="External"/><Relationship Id="rId5" Type="http://schemas.openxmlformats.org/officeDocument/2006/relationships/hyperlink" Target="https://www.mfsr.sk/sk/financie/institut-financnej-politiky/publikacie-ifp/manualy/25-projekcia-verejnych-vydavkov-dlhodobu-starostlivost-maj-2021.html" TargetMode="External"/><Relationship Id="rId10" Type="http://schemas.openxmlformats.org/officeDocument/2006/relationships/hyperlink" Target="https://www.passportindex.org/byRank.php" TargetMode="External"/><Relationship Id="rId4" Type="http://schemas.openxmlformats.org/officeDocument/2006/relationships/hyperlink" Target="https://www.crz.gov.sk/data/att/3941462_dokument.pdf" TargetMode="External"/><Relationship Id="rId9" Type="http://schemas.openxmlformats.org/officeDocument/2006/relationships/hyperlink" Target="https://slovenskoit.sk/cenotvorba-a-cennik/"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sajtlava\Documents\ROZPOCET%202022%20-%202024\II.%20NAVRH\B_cast%202\H_06_10_21\Podklady\template_waterfal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toceny\Desktop\data%20BR\tabu&#318;ky%20do%20knihy\NRV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toceny\Desktop\data%20BR\tabu&#318;ky%20do%20knihy\NRV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mf.mfsr.sk\DfsRoot\ADRESARE\UHP\99_VSEOBECNE\00_LUDIA\Bederka\gov_10a_main%20(1)%20capex.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dhojdan\Desktop\graf.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dhojdan\Desktop\graf.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file:///\\mf.mfsr.sk\DfsRoot\ADRESARE\UHP\00_HODNOTA_ZA_PENIAZE\00_SPENDING_REVIEW\Napojenie%20na%20rozpocet\rozpo&#269;et%2022-24\07_Hlavn&#225;%20kniha\4.3.1.Vzdel&#225;vanie_veda_v&#253;skum_&#353;port\data%20new.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2-24\07_Hlavn&#225;%20kniha\4.3.1.Vzdel&#225;vanie_veda_v&#253;skum_&#353;port\data%20new.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mf.mfsr.sk\DfsRoot\ADRESARE\UHP\00_HODNOTA_ZA_PENIAZE\00_SPENDING_REVIEW\Napojenie%20na%20rozpocet\rozpo&#269;et%2022-24\07_Hlavn&#225;%20kniha\4.3.1.Vzdel&#225;vanie_veda_v&#253;skum_&#353;port\data%20new.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Navrh%20rozpoctoveho%20planu%20DBP\2021\Vstupy\Dlh\DLH_Model_2021_DBP_07102021.xlsm"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mf.mfsr.sk\DfsRoot\ADRESARE\UHP\00_HODNOTA_ZA_PENIAZE\00_SPENDING_REVIEW\Napojenie%20na%20rozpocet\rozpo&#269;et%2022-24\07_Hlavn&#225;%20kniha\4.3.1.Vzdel&#225;vanie_veda_v&#253;skum_&#353;port\data%20new.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2-24\07_Hlavn&#225;%20kniha\4.3.1.Vzdel&#225;vanie_veda_v&#253;skum_&#353;port\data%20new.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Zo&#353;it1"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mf.mfsr.sk\DfsRoot\ADRESARE\UHP\00_HODNOTA_ZA_PENIAZE\00_SPENDING_REVIEW\Napojenie%20na%20rozpocet\rozpo&#269;et%2022-24\07_Hlavn&#225;%20kniha\4.3.2.Doprava\Doprava_HK_2022%20-%2024_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mf.mfsr.sk\DfsRoot\ADRESARE\UHP\00_HODNOTA_ZA_PENIAZE\00_SPENDING_REVIEW\Napojenie%20na%20rozpocet\rozpo&#269;et%2022-24\07_Hlavn&#225;%20kniha\4.3.2.Doprava\Doprava_HK_2022%20-%2024_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mf.mfsr.sk\DfsRoot\ADRESARE\UHP\00_HODNOTA_ZA_PENIAZE\00_SPENDING_REVIEW\Napojenie%20na%20rozpocet\rozpo&#269;et%2022-24\07_Hlavn&#225;%20kniha\4.3.2.Doprava\Doprava_HK_2022%20-%2024_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mf.mfsr.sk\DfsRoot\ADRESARE\UHP\00_HODNOTA_ZA_PENIAZE\00_SPENDING_REVIEW\Napojenie%20na%20rozpocet\rozpo&#269;et%2022-24\07_Hlavn&#225;%20kniha\4.3.2.Doprava\Doprava_HK_2022%20-%2024_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mf.mfsr.sk\DfsRoot\ADRESARE\UHP\99_VSEOBECNE\00_LUDIA\Petroci\Doprava\Doprava%20rozpo&#269;et\Rozpocet%202022-2024\HK\Grafy_MP.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mf.mfsr.sk\DfsRoot\ADRESARE\UHP\99_VSEOBECNE\00_LUDIA\Petroci\Doprava\Doprava%20rozpo&#269;et\Rozpocet%202022-2024\HK\Grafy_MP.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mf.mfsr.sk\DfsRoot\ADRESARE\UHP\00_HODNOTA_ZA_PENIAZE\00_SPENDING_REVIEW\Napojenie%20na%20rozpocet\rozpo&#269;et%2022-24\07_Hlavn&#225;%20kniha\4.3.3.Soci&#225;lne_veci_podpora_zamestnanosti\Grafy%20a%20tabu&#318;ky.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Navrh%20rozpoctoveho%20planu%20DBP\2021\Vstupy\Dlh\DLH_Model_2021_DBP_07102021.xlsm"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mf.mfsr.sk\DfsRoot\ADRESARE\IFP_NEW\4_STRUKTURAL\4_6_Projekty\LTC%20projekt\final%20data_2%20(automaticky%20ulo&#382;en&#233;).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3.bin"/><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mf.mfsr.sk\DfsRoot\ADRESARE\UHP\00_HODNOTA_ZA_PENIAZE\00_SPENDING_REVIEW\Napojenie%20na%20rozpocet\rozpo&#269;et%2022-24\04_Podklady_do_vyjednavani_1.%20kolo\21_MZ\hlavn&#225;%20kniha\graf%20v&#253;voj%20v&#253;davkov_update%20graf%2011.10.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mf.mfsr.sk\DfsRoot\ADRESARE\UHP\00_HODNOTA_ZA_PENIAZE\00_SPENDING_REVIEW\12_ZDRAVOTN&#205;CTVO_2\03_OBLASTI_REV&#205;ZIE\Person&#225;l\Platy\porovnania\porovnanie_2021.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3.xml"/><Relationship Id="rId4" Type="http://schemas.openxmlformats.org/officeDocument/2006/relationships/oleObject" Target="file:///\\mf.mfsr.sk\DfsRoot\ADRESARE\UHP\00_HODNOTA_ZA_PENIAZE\00_SPENDING_REVIEW\Napojenie%20na%20rozpocet\rozpo&#269;et%2022-24\07_Hlavn&#225;%20kniha\4.3.5.P&#244;dohospod&#225;rstvo\D&#225;tov&#225;%20pr&#237;loha_hlavn&#225;%20kniha%202022.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mf.mfsr.sk\DfsRoot\ADRESARE\UHP\00_HODNOTA_ZA_PENIAZE\00_SPENDING_REVIEW\Napojenie%20na%20rozpocet\rozpo&#269;et%2022-24\07_Hlavn&#225;%20kniha\4.3.6.Bezpe&#269;nos&#357;_&#353;t&#225;tu_verejn&#225;_spr&#225;va\d&#225;tov&#225;%20pr&#237;loha%20verejn&#253;%20poriadok%20a%20bezpecnost_22-24.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5.bin"/></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6.bin"/></Relationships>
</file>

<file path=word/charts/_rels/chart4.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1-23\03_hlavna_kniha_texty\4.2.1%20Mzdy\data%20do%20grafov.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4.xml"/><Relationship Id="rId4" Type="http://schemas.openxmlformats.org/officeDocument/2006/relationships/package" Target="../embeddings/H_rok_programu_Microsoft_Excel1.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31.xml"/><Relationship Id="rId1" Type="http://schemas.microsoft.com/office/2011/relationships/chartStyle" Target="style3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mf.mfsr.sk\DfsRoot\ADRESARE\VPS_VPS\ROZPOCET_22_24\VLADA\TEXTY%20KNIHA\Parlamentn&#225;%20kniha_2022\master%20tabu&#318;ky%20kniha_Tvaroska\Master_tabu&#318;ky_parlamentn&#225;%20kniha_22_24.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phroncek\Downloads\gov_10a_exp%20(28).xls"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phroncek\Downloads\gov_10a_exp%20(28).xls"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1-23\03_hlavna_kniha_texty\4.3.9.&#381;ivotn&#233;_prostredie\D&#225;tov&#225;%20pr&#237;loha%20&#382;ivotn&#233;%20prostredie.xlsx" TargetMode="External"/><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phroncek\Downloads\T2020_RT1201632831455534.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H_rok_programu_Microsoft_Excel3.xlsx"/></Relationships>
</file>

<file path=word/charts/_rels/chart48.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2-24\07_Hlavn&#225;%20kniha\4.3.11%20Kult&#250;ra\kultura%20datova%20priloha.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2-24\07_Hlavn&#225;%20kniha\4.3.11%20Kult&#250;ra\kultura%20datova%20priloha.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mf.mfsr.sk\DfsRoot\ADRESARE\UHP\00_HODNOTA_ZA_PENIAZE\00_SPENDING_REVIEW\Napojenie%20na%20rozpocet\rozpo&#269;et%2021-23\03_hlavna_kniha_texty\4.2.1%20Mzdy\data%20do%20grafov.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toceny\Desktop\data%20BR\tabu&#318;ky%20do%20knihy\NRVS%20vr&#225;tane%20POO.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toceny\Desktop\data%20BR\tabu&#318;ky%20do%20knihy\NRVS%20vr&#225;tane%20POO.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toceny\Desktop\data%20BR\tabu&#318;ky%20do%20knihy\NRV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toceny\Desktop\data%20BR\tabu&#318;ky%20do%20knihy\NRVS%20vr&#225;tane%20PO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07851447218386"/>
          <c:y val="7.1136986201140173E-2"/>
          <c:w val="0.67153464250703598"/>
          <c:h val="0.92886313672978171"/>
        </c:manualLayout>
      </c:layout>
      <c:barChart>
        <c:barDir val="bar"/>
        <c:grouping val="stacked"/>
        <c:varyColors val="0"/>
        <c:ser>
          <c:idx val="0"/>
          <c:order val="0"/>
          <c:spPr>
            <a:solidFill>
              <a:srgbClr val="C5E0B4"/>
            </a:solidFill>
            <a:ln>
              <a:noFill/>
            </a:ln>
          </c:spPr>
          <c:invertIfNegative val="0"/>
          <c:dPt>
            <c:idx val="2"/>
            <c:invertIfNegative val="0"/>
            <c:bubble3D val="0"/>
            <c:extLst xmlns:c16r2="http://schemas.microsoft.com/office/drawing/2015/06/chart">
              <c:ext xmlns:c16="http://schemas.microsoft.com/office/drawing/2014/chart" uri="{C3380CC4-5D6E-409C-BE32-E72D297353CC}">
                <c16:uniqueId val="{00000000-E545-4B65-8913-1E2CA9C24927}"/>
              </c:ext>
            </c:extLst>
          </c:dPt>
          <c:cat>
            <c:strRef>
              <c:f>Warterfall_default!$A$25:$A$30</c:f>
              <c:strCache>
                <c:ptCount val="6"/>
                <c:pt idx="0">
                  <c:v>Schválený schodok rozpočtu verejnej správy 2021</c:v>
                </c:pt>
                <c:pt idx="1">
                  <c:v>Daňové príjmy rozpočtu verejnej správy</c:v>
                </c:pt>
                <c:pt idx="2">
                  <c:v>Čerpanie COVID-19 výdavkov novely štátneho rozpočtu</c:v>
                </c:pt>
                <c:pt idx="3">
                  <c:v>Zvýšené výdavky Sociálnej poisťovne na pandemické dávky</c:v>
                </c:pt>
                <c:pt idx="4">
                  <c:v>Ostatné</c:v>
                </c:pt>
                <c:pt idx="5">
                  <c:v>Predpoklad schodku rozpočtu verejnej správy 2021</c:v>
                </c:pt>
              </c:strCache>
            </c:strRef>
          </c:cat>
          <c:val>
            <c:numRef>
              <c:f>Warterfall_default!$D$25:$D$30</c:f>
              <c:numCache>
                <c:formatCode>#,##0</c:formatCode>
                <c:ptCount val="6"/>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5-E545-4B65-8913-1E2CA9C24927}"/>
            </c:ext>
          </c:extLst>
        </c:ser>
        <c:ser>
          <c:idx val="1"/>
          <c:order val="1"/>
          <c:spPr>
            <a:noFill/>
          </c:spPr>
          <c:invertIfNegative val="0"/>
          <c:cat>
            <c:strRef>
              <c:f>Warterfall_default!$A$25:$A$30</c:f>
              <c:strCache>
                <c:ptCount val="6"/>
                <c:pt idx="0">
                  <c:v>Schválený schodok rozpočtu verejnej správy 2021</c:v>
                </c:pt>
                <c:pt idx="1">
                  <c:v>Daňové príjmy rozpočtu verejnej správy</c:v>
                </c:pt>
                <c:pt idx="2">
                  <c:v>Čerpanie COVID-19 výdavkov novely štátneho rozpočtu</c:v>
                </c:pt>
                <c:pt idx="3">
                  <c:v>Zvýšené výdavky Sociálnej poisťovne na pandemické dávky</c:v>
                </c:pt>
                <c:pt idx="4">
                  <c:v>Ostatné</c:v>
                </c:pt>
                <c:pt idx="5">
                  <c:v>Predpoklad schodku rozpočtu verejnej správy 2021</c:v>
                </c:pt>
              </c:strCache>
            </c:strRef>
          </c:cat>
          <c:val>
            <c:numRef>
              <c:f>Warterfall_default!$E$25:$E$30</c:f>
              <c:numCache>
                <c:formatCode>#,##0</c:formatCode>
                <c:ptCount val="6"/>
                <c:pt idx="1">
                  <c:v>-6.2</c:v>
                </c:pt>
                <c:pt idx="2">
                  <c:v>-6.2</c:v>
                </c:pt>
                <c:pt idx="3">
                  <c:v>-7.9</c:v>
                </c:pt>
                <c:pt idx="4">
                  <c:v>-7.6000000000000005</c:v>
                </c:pt>
              </c:numCache>
            </c:numRef>
          </c:val>
          <c:extLst xmlns:c16r2="http://schemas.microsoft.com/office/drawing/2015/06/chart">
            <c:ext xmlns:c16="http://schemas.microsoft.com/office/drawing/2014/chart" uri="{C3380CC4-5D6E-409C-BE32-E72D297353CC}">
              <c16:uniqueId val="{00000006-E545-4B65-8913-1E2CA9C24927}"/>
            </c:ext>
          </c:extLst>
        </c:ser>
        <c:ser>
          <c:idx val="2"/>
          <c:order val="2"/>
          <c:spPr>
            <a:solidFill>
              <a:schemeClr val="bg1"/>
            </a:solidFill>
          </c:spPr>
          <c:invertIfNegative val="0"/>
          <c:dPt>
            <c:idx val="0"/>
            <c:invertIfNegative val="0"/>
            <c:bubble3D val="0"/>
            <c:spPr>
              <a:solidFill>
                <a:srgbClr val="2C9ADC"/>
              </a:solidFill>
              <a:ln>
                <a:noFill/>
              </a:ln>
            </c:spPr>
            <c:extLst xmlns:c16r2="http://schemas.microsoft.com/office/drawing/2015/06/chart">
              <c:ext xmlns:c16="http://schemas.microsoft.com/office/drawing/2014/chart" uri="{C3380CC4-5D6E-409C-BE32-E72D297353CC}">
                <c16:uniqueId val="{00000008-E545-4B65-8913-1E2CA9C24927}"/>
              </c:ext>
            </c:extLst>
          </c:dPt>
          <c:dPt>
            <c:idx val="1"/>
            <c:invertIfNegative val="0"/>
            <c:bubble3D val="0"/>
            <c:spPr>
              <a:solidFill>
                <a:srgbClr val="B0D6AF"/>
              </a:solidFill>
            </c:spPr>
            <c:extLst xmlns:c16r2="http://schemas.microsoft.com/office/drawing/2015/06/chart">
              <c:ext xmlns:c16="http://schemas.microsoft.com/office/drawing/2014/chart" uri="{C3380CC4-5D6E-409C-BE32-E72D297353CC}">
                <c16:uniqueId val="{0000000A-E545-4B65-8913-1E2CA9C24927}"/>
              </c:ext>
            </c:extLst>
          </c:dPt>
          <c:dPt>
            <c:idx val="2"/>
            <c:invertIfNegative val="0"/>
            <c:bubble3D val="0"/>
            <c:spPr>
              <a:solidFill>
                <a:srgbClr val="F9C9BA"/>
              </a:solidFill>
            </c:spPr>
            <c:extLst xmlns:c16r2="http://schemas.microsoft.com/office/drawing/2015/06/chart">
              <c:ext xmlns:c16="http://schemas.microsoft.com/office/drawing/2014/chart" uri="{C3380CC4-5D6E-409C-BE32-E72D297353CC}">
                <c16:uniqueId val="{0000000C-E545-4B65-8913-1E2CA9C24927}"/>
              </c:ext>
            </c:extLst>
          </c:dPt>
          <c:dPt>
            <c:idx val="3"/>
            <c:invertIfNegative val="0"/>
            <c:bubble3D val="0"/>
            <c:spPr>
              <a:solidFill>
                <a:srgbClr val="F9C9BA"/>
              </a:solidFill>
            </c:spPr>
            <c:extLst xmlns:c16r2="http://schemas.microsoft.com/office/drawing/2015/06/chart">
              <c:ext xmlns:c16="http://schemas.microsoft.com/office/drawing/2014/chart" uri="{C3380CC4-5D6E-409C-BE32-E72D297353CC}">
                <c16:uniqueId val="{0000000E-E545-4B65-8913-1E2CA9C24927}"/>
              </c:ext>
            </c:extLst>
          </c:dPt>
          <c:dPt>
            <c:idx val="4"/>
            <c:invertIfNegative val="0"/>
            <c:bubble3D val="0"/>
            <c:spPr>
              <a:solidFill>
                <a:srgbClr val="B0D6AF"/>
              </a:solidFill>
              <a:ln>
                <a:noFill/>
              </a:ln>
            </c:spPr>
            <c:extLst xmlns:c16r2="http://schemas.microsoft.com/office/drawing/2015/06/chart">
              <c:ext xmlns:c16="http://schemas.microsoft.com/office/drawing/2014/chart" uri="{C3380CC4-5D6E-409C-BE32-E72D297353CC}">
                <c16:uniqueId val="{0000000F-E545-4B65-8913-1E2CA9C24927}"/>
              </c:ext>
            </c:extLst>
          </c:dPt>
          <c:dPt>
            <c:idx val="5"/>
            <c:invertIfNegative val="0"/>
            <c:bubble3D val="0"/>
            <c:spPr>
              <a:solidFill>
                <a:srgbClr val="2C9ADC"/>
              </a:solidFill>
            </c:spPr>
          </c:dPt>
          <c:dLbls>
            <c:dLbl>
              <c:idx val="0"/>
              <c:tx>
                <c:rich>
                  <a:bodyPr/>
                  <a:lstStyle/>
                  <a:p>
                    <a:fld id="{00CC33FB-6457-469B-97FD-C45C24C94A78}"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E545-4B65-8913-1E2CA9C24927}"/>
                </c:ext>
                <c:ext xmlns:c15="http://schemas.microsoft.com/office/drawing/2012/chart" uri="{CE6537A1-D6FC-4f65-9D91-7224C49458BB}">
                  <c15:dlblFieldTable/>
                  <c15:showDataLabelsRange val="1"/>
                </c:ext>
              </c:extLst>
            </c:dLbl>
            <c:dLbl>
              <c:idx val="1"/>
              <c:tx>
                <c:rich>
                  <a:bodyPr/>
                  <a:lstStyle/>
                  <a:p>
                    <a:fld id="{76A2DE21-5115-4723-9C53-84618DCE963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544A894B-F0A7-466A-909C-1585DF4C507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102D3EAC-107E-4A3B-AFBA-F6263B90219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77B1FA6D-52F8-4785-A910-5F1A4C13BAE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60DECF5A-EC50-448F-A9E4-2E52B68A0AC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0" sourceLinked="0"/>
            <c:spPr>
              <a:noFill/>
              <a:ln>
                <a:noFill/>
              </a:ln>
              <a:effectLst/>
            </c:sp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ext>
            </c:extLst>
          </c:dLbls>
          <c:cat>
            <c:strRef>
              <c:f>Warterfall_default!$A$25:$A$30</c:f>
              <c:strCache>
                <c:ptCount val="6"/>
                <c:pt idx="0">
                  <c:v>Schválený schodok rozpočtu verejnej správy 2021</c:v>
                </c:pt>
                <c:pt idx="1">
                  <c:v>Daňové príjmy rozpočtu verejnej správy</c:v>
                </c:pt>
                <c:pt idx="2">
                  <c:v>Čerpanie COVID-19 výdavkov novely štátneho rozpočtu</c:v>
                </c:pt>
                <c:pt idx="3">
                  <c:v>Zvýšené výdavky Sociálnej poisťovne na pandemické dávky</c:v>
                </c:pt>
                <c:pt idx="4">
                  <c:v>Ostatné</c:v>
                </c:pt>
                <c:pt idx="5">
                  <c:v>Predpoklad schodku rozpočtu verejnej správy 2021</c:v>
                </c:pt>
              </c:strCache>
            </c:strRef>
          </c:cat>
          <c:val>
            <c:numRef>
              <c:f>Warterfall_default!$F$25:$F$30</c:f>
              <c:numCache>
                <c:formatCode>#,##0</c:formatCode>
                <c:ptCount val="6"/>
                <c:pt idx="0">
                  <c:v>-7.4</c:v>
                </c:pt>
                <c:pt idx="1">
                  <c:v>-1.2</c:v>
                </c:pt>
                <c:pt idx="2">
                  <c:v>-1.7</c:v>
                </c:pt>
                <c:pt idx="3">
                  <c:v>-0.3</c:v>
                </c:pt>
                <c:pt idx="4">
                  <c:v>-0.3</c:v>
                </c:pt>
                <c:pt idx="5">
                  <c:v>-7.9</c:v>
                </c:pt>
              </c:numCache>
            </c:numRef>
          </c:val>
          <c:extLst xmlns:c16r2="http://schemas.microsoft.com/office/drawing/2015/06/chart">
            <c:ext xmlns:c16="http://schemas.microsoft.com/office/drawing/2014/chart" uri="{C3380CC4-5D6E-409C-BE32-E72D297353CC}">
              <c16:uniqueId val="{0000001D-E545-4B65-8913-1E2CA9C24927}"/>
            </c:ext>
            <c:ext xmlns:c15="http://schemas.microsoft.com/office/drawing/2012/chart" uri="{02D57815-91ED-43cb-92C2-25804820EDAC}">
              <c15:datalabelsRange>
                <c15:f>Warterfall_default!$G$25:$G$30</c15:f>
                <c15:dlblRangeCache>
                  <c:ptCount val="6"/>
                  <c:pt idx="0">
                    <c:v>-7,4</c:v>
                  </c:pt>
                  <c:pt idx="1">
                    <c:v>1,2</c:v>
                  </c:pt>
                  <c:pt idx="2">
                    <c:v>-1,7</c:v>
                  </c:pt>
                  <c:pt idx="3">
                    <c:v>-0,3</c:v>
                  </c:pt>
                  <c:pt idx="4">
                    <c:v>0,3</c:v>
                  </c:pt>
                  <c:pt idx="5">
                    <c:v>-7,9</c:v>
                  </c:pt>
                </c15:dlblRangeCache>
              </c15:datalabelsRange>
            </c:ext>
          </c:extLst>
        </c:ser>
        <c:dLbls>
          <c:showLegendKey val="0"/>
          <c:showVal val="0"/>
          <c:showCatName val="0"/>
          <c:showSerName val="0"/>
          <c:showPercent val="0"/>
          <c:showBubbleSize val="0"/>
        </c:dLbls>
        <c:gapWidth val="60"/>
        <c:overlap val="100"/>
        <c:axId val="553550296"/>
        <c:axId val="553551864"/>
      </c:barChart>
      <c:catAx>
        <c:axId val="553550296"/>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a:pPr>
            <a:endParaRPr lang="sk-SK"/>
          </a:p>
        </c:txPr>
        <c:crossAx val="553551864"/>
        <c:crosses val="autoZero"/>
        <c:auto val="1"/>
        <c:lblAlgn val="ctr"/>
        <c:lblOffset val="100"/>
        <c:noMultiLvlLbl val="0"/>
      </c:catAx>
      <c:valAx>
        <c:axId val="553551864"/>
        <c:scaling>
          <c:orientation val="minMax"/>
        </c:scaling>
        <c:delete val="0"/>
        <c:axPos val="t"/>
        <c:numFmt formatCode="#,##0.0" sourceLinked="0"/>
        <c:majorTickMark val="out"/>
        <c:minorTickMark val="none"/>
        <c:tickLblPos val="low"/>
        <c:spPr>
          <a:ln>
            <a:solidFill>
              <a:schemeClr val="tx1"/>
            </a:solidFill>
          </a:ln>
        </c:spPr>
        <c:crossAx val="553550296"/>
        <c:crosses val="autoZero"/>
        <c:crossBetween val="between"/>
      </c:valAx>
      <c:spPr>
        <a:noFill/>
      </c:spPr>
    </c:plotArea>
    <c:plotVisOnly val="1"/>
    <c:dispBlanksAs val="gap"/>
    <c:showDLblsOverMax val="0"/>
  </c:chart>
  <c:spPr>
    <a:noFill/>
    <a:ln>
      <a:noFill/>
    </a:ln>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000" b="1" baseline="0">
                <a:latin typeface="Times New Roman" panose="02020603050405020304" pitchFamily="18" charset="0"/>
              </a:rPr>
              <a:t>Počet zamestnancov </a:t>
            </a:r>
            <a:r>
              <a:rPr lang="sk-SK" sz="1000" b="1" baseline="0">
                <a:latin typeface="Times New Roman" panose="02020603050405020304" pitchFamily="18" charset="0"/>
              </a:rPr>
              <a:t/>
            </a:r>
            <a:br>
              <a:rPr lang="sk-SK" sz="1000" b="1" baseline="0">
                <a:latin typeface="Times New Roman" panose="02020603050405020304" pitchFamily="18" charset="0"/>
              </a:rPr>
            </a:br>
            <a:r>
              <a:rPr lang="en-US" sz="1000" b="1" baseline="0">
                <a:latin typeface="Times New Roman" panose="02020603050405020304" pitchFamily="18" charset="0"/>
              </a:rPr>
              <a:t>financovaných zo štátneho rozpočtu</a:t>
            </a:r>
            <a:r>
              <a:rPr lang="sk-SK" sz="1000" b="1" baseline="0">
                <a:latin typeface="Times New Roman" panose="02020603050405020304" pitchFamily="18" charset="0"/>
              </a:rPr>
              <a:t> </a:t>
            </a:r>
            <a:br>
              <a:rPr lang="sk-SK" sz="1000" b="1" baseline="0">
                <a:latin typeface="Times New Roman" panose="02020603050405020304" pitchFamily="18" charset="0"/>
              </a:rPr>
            </a:br>
            <a:r>
              <a:rPr lang="sk-SK" sz="800" b="0" baseline="0">
                <a:latin typeface="Times New Roman" panose="02020603050405020304" pitchFamily="18" charset="0"/>
              </a:rPr>
              <a:t>(v tis. zamestnancov; NRVS 2022)</a:t>
            </a:r>
            <a:endParaRPr lang="en-US" sz="800" b="0"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sk-SK"/>
        </a:p>
      </c:txPr>
    </c:title>
    <c:autoTitleDeleted val="0"/>
    <c:plotArea>
      <c:layout/>
      <c:barChart>
        <c:barDir val="col"/>
        <c:grouping val="clustered"/>
        <c:varyColors val="0"/>
        <c:ser>
          <c:idx val="0"/>
          <c:order val="0"/>
          <c:tx>
            <c:strRef>
              <c:f>'G1 počty'!$B$1</c:f>
              <c:strCache>
                <c:ptCount val="1"/>
                <c:pt idx="0">
                  <c:v>Počet zamestnancov financovaných zo štátneho rozpočtu, vrátane prenesených kompetencií a VVŠ podľa odmeňovacích predpisov</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 počty'!$A$2:$A$10</c:f>
              <c:strCache>
                <c:ptCount val="9"/>
                <c:pt idx="0">
                  <c:v>pedagogickí a odborní zam.</c:v>
                </c:pt>
                <c:pt idx="1">
                  <c:v>verejna služba (ostatní)</c:v>
                </c:pt>
                <c:pt idx="2">
                  <c:v>štátni zamestnanci</c:v>
                </c:pt>
                <c:pt idx="3">
                  <c:v>policajti</c:v>
                </c:pt>
                <c:pt idx="4">
                  <c:v>učitelia VŠ</c:v>
                </c:pt>
                <c:pt idx="5">
                  <c:v>profesionálni vojaci</c:v>
                </c:pt>
                <c:pt idx="6">
                  <c:v>príslušníci FS</c:v>
                </c:pt>
                <c:pt idx="7">
                  <c:v>príslušníci HZZ a HZS</c:v>
                </c:pt>
                <c:pt idx="8">
                  <c:v>ústavní čin. vr. prokurátorov</c:v>
                </c:pt>
              </c:strCache>
            </c:strRef>
          </c:cat>
          <c:val>
            <c:numRef>
              <c:f>'G1 počty'!$B$2:$B$10</c:f>
              <c:numCache>
                <c:formatCode>#,##0</c:formatCode>
                <c:ptCount val="9"/>
                <c:pt idx="0">
                  <c:v>65.491</c:v>
                </c:pt>
                <c:pt idx="1">
                  <c:v>59.567999999999998</c:v>
                </c:pt>
                <c:pt idx="2">
                  <c:v>34.033999999999999</c:v>
                </c:pt>
                <c:pt idx="3">
                  <c:v>27.939</c:v>
                </c:pt>
                <c:pt idx="4">
                  <c:v>13.795999999999999</c:v>
                </c:pt>
                <c:pt idx="5">
                  <c:v>14.1</c:v>
                </c:pt>
                <c:pt idx="6">
                  <c:v>8.7230000000000008</c:v>
                </c:pt>
                <c:pt idx="7">
                  <c:v>4.609</c:v>
                </c:pt>
                <c:pt idx="8">
                  <c:v>2.7570000000000001</c:v>
                </c:pt>
              </c:numCache>
            </c:numRef>
          </c:val>
        </c:ser>
        <c:dLbls>
          <c:dLblPos val="outEnd"/>
          <c:showLegendKey val="0"/>
          <c:showVal val="1"/>
          <c:showCatName val="0"/>
          <c:showSerName val="0"/>
          <c:showPercent val="0"/>
          <c:showBubbleSize val="0"/>
        </c:dLbls>
        <c:gapWidth val="219"/>
        <c:overlap val="-27"/>
        <c:axId val="553555000"/>
        <c:axId val="553555392"/>
      </c:barChart>
      <c:catAx>
        <c:axId val="55355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55392"/>
        <c:crosses val="autoZero"/>
        <c:auto val="1"/>
        <c:lblAlgn val="ctr"/>
        <c:lblOffset val="100"/>
        <c:noMultiLvlLbl val="0"/>
      </c:catAx>
      <c:valAx>
        <c:axId val="55355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k-SK" sz="800" baseline="0">
                    <a:latin typeface="Times New Roman" panose="02020603050405020304" pitchFamily="18" charset="0"/>
                  </a:rPr>
                  <a:t>počet zamestnancov v tis.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55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000" b="1" baseline="0">
                <a:latin typeface="Times New Roman" panose="02020603050405020304" pitchFamily="18" charset="0"/>
              </a:rPr>
              <a:t>Osobné výdavky zamestnancov financovaných zo štátneho rozpočtu</a:t>
            </a:r>
            <a:r>
              <a:rPr lang="sk-SK" sz="1000" b="1" baseline="0">
                <a:latin typeface="Times New Roman" panose="02020603050405020304" pitchFamily="18" charset="0"/>
              </a:rPr>
              <a:t/>
            </a:r>
            <a:br>
              <a:rPr lang="sk-SK" sz="1000" b="1" baseline="0">
                <a:latin typeface="Times New Roman" panose="02020603050405020304" pitchFamily="18" charset="0"/>
              </a:rPr>
            </a:br>
            <a:r>
              <a:rPr lang="sk-SK" sz="800" b="0" baseline="0">
                <a:latin typeface="Times New Roman" panose="02020603050405020304" pitchFamily="18" charset="0"/>
              </a:rPr>
              <a:t>(v mil. eur; NRVS 2022)</a:t>
            </a:r>
            <a:endParaRPr lang="en-US" sz="800" b="0"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sk-SK"/>
        </a:p>
      </c:txPr>
    </c:title>
    <c:autoTitleDeleted val="0"/>
    <c:plotArea>
      <c:layout/>
      <c:barChart>
        <c:barDir val="col"/>
        <c:grouping val="clustered"/>
        <c:varyColors val="0"/>
        <c:ser>
          <c:idx val="0"/>
          <c:order val="0"/>
          <c:tx>
            <c:strRef>
              <c:f>'G2 výdavky'!$B$1</c:f>
              <c:strCache>
                <c:ptCount val="1"/>
                <c:pt idx="0">
                  <c:v>Osobné výdavky na zamestnancov financovaných zo štátneho rozpočtu, vrátane prenesených kompetencií a VVŠ podľa odmeňovacích predpisov</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 výdavky'!$A$2:$A$10</c:f>
              <c:strCache>
                <c:ptCount val="9"/>
                <c:pt idx="0">
                  <c:v>pedagogickí a odborní zam.</c:v>
                </c:pt>
                <c:pt idx="1">
                  <c:v>verejna služba (ostatní)</c:v>
                </c:pt>
                <c:pt idx="2">
                  <c:v>policajti</c:v>
                </c:pt>
                <c:pt idx="3">
                  <c:v>štátni zamestnanci</c:v>
                </c:pt>
                <c:pt idx="4">
                  <c:v>profesionálni vojaci</c:v>
                </c:pt>
                <c:pt idx="5">
                  <c:v>učitelia VŠ</c:v>
                </c:pt>
                <c:pt idx="6">
                  <c:v>príslušníci FS</c:v>
                </c:pt>
                <c:pt idx="7">
                  <c:v>ústavní čin. vr. prokurátorov</c:v>
                </c:pt>
                <c:pt idx="8">
                  <c:v>príslušníci HZZ a HZS</c:v>
                </c:pt>
              </c:strCache>
            </c:strRef>
          </c:cat>
          <c:val>
            <c:numRef>
              <c:f>'G2 výdavky'!$B$2:$B$10</c:f>
              <c:numCache>
                <c:formatCode>#,##0</c:formatCode>
                <c:ptCount val="9"/>
                <c:pt idx="0">
                  <c:v>1536.754027</c:v>
                </c:pt>
                <c:pt idx="1">
                  <c:v>1005.880586</c:v>
                </c:pt>
                <c:pt idx="2">
                  <c:v>849.85841400000004</c:v>
                </c:pt>
                <c:pt idx="3">
                  <c:v>768.74151400000005</c:v>
                </c:pt>
                <c:pt idx="4">
                  <c:v>475.57041199999998</c:v>
                </c:pt>
                <c:pt idx="5">
                  <c:v>379.37943300000001</c:v>
                </c:pt>
                <c:pt idx="6">
                  <c:v>252.26190600000001</c:v>
                </c:pt>
                <c:pt idx="7">
                  <c:v>234.13225299999999</c:v>
                </c:pt>
                <c:pt idx="8">
                  <c:v>123.07850000000001</c:v>
                </c:pt>
              </c:numCache>
            </c:numRef>
          </c:val>
        </c:ser>
        <c:dLbls>
          <c:dLblPos val="outEnd"/>
          <c:showLegendKey val="0"/>
          <c:showVal val="1"/>
          <c:showCatName val="0"/>
          <c:showSerName val="0"/>
          <c:showPercent val="0"/>
          <c:showBubbleSize val="0"/>
        </c:dLbls>
        <c:gapWidth val="219"/>
        <c:overlap val="-27"/>
        <c:axId val="554461648"/>
        <c:axId val="554461256"/>
      </c:barChart>
      <c:catAx>
        <c:axId val="55446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4461256"/>
        <c:crosses val="autoZero"/>
        <c:auto val="1"/>
        <c:lblAlgn val="ctr"/>
        <c:lblOffset val="100"/>
        <c:noMultiLvlLbl val="0"/>
      </c:catAx>
      <c:valAx>
        <c:axId val="554461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k-SK" sz="800" baseline="0">
                    <a:latin typeface="Times New Roman" panose="02020603050405020304" pitchFamily="18" charset="0"/>
                  </a:rPr>
                  <a:t>osobné výdavky v mil. eur</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446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93857385473872E-2"/>
          <c:y val="5.0925925925925923E-2"/>
          <c:w val="0.93185628267054854"/>
          <c:h val="0.84051618547681539"/>
        </c:manualLayout>
      </c:layout>
      <c:lineChart>
        <c:grouping val="standard"/>
        <c:varyColors val="0"/>
        <c:ser>
          <c:idx val="0"/>
          <c:order val="0"/>
          <c:tx>
            <c:strRef>
              <c:f>Data!$A$81</c:f>
              <c:strCache>
                <c:ptCount val="1"/>
                <c:pt idx="0">
                  <c:v>Slovensko</c:v>
                </c:pt>
              </c:strCache>
            </c:strRef>
          </c:tx>
          <c:spPr>
            <a:ln w="28575" cap="rnd">
              <a:solidFill>
                <a:schemeClr val="tx1"/>
              </a:solidFill>
              <a:prstDash val="sysDash"/>
              <a:round/>
            </a:ln>
            <a:effectLst/>
          </c:spPr>
          <c:marker>
            <c:symbol val="none"/>
          </c:marker>
          <c:cat>
            <c:strRef>
              <c:f>Data!$B$80:$K$80</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Data!$B$81:$K$81</c:f>
              <c:numCache>
                <c:formatCode>General</c:formatCode>
                <c:ptCount val="10"/>
                <c:pt idx="0">
                  <c:v>3.7</c:v>
                </c:pt>
                <c:pt idx="1">
                  <c:v>3.2</c:v>
                </c:pt>
                <c:pt idx="2">
                  <c:v>3.4</c:v>
                </c:pt>
                <c:pt idx="3">
                  <c:v>4.0999999999999996</c:v>
                </c:pt>
                <c:pt idx="4">
                  <c:v>6.4</c:v>
                </c:pt>
                <c:pt idx="5">
                  <c:v>3.4</c:v>
                </c:pt>
                <c:pt idx="6">
                  <c:v>3.4</c:v>
                </c:pt>
                <c:pt idx="7">
                  <c:v>3.7</c:v>
                </c:pt>
                <c:pt idx="8">
                  <c:v>3.6</c:v>
                </c:pt>
                <c:pt idx="9">
                  <c:v>3.5</c:v>
                </c:pt>
              </c:numCache>
            </c:numRef>
          </c:val>
          <c:smooth val="0"/>
          <c:extLst xmlns:c16r2="http://schemas.microsoft.com/office/drawing/2015/06/chart">
            <c:ext xmlns:c16="http://schemas.microsoft.com/office/drawing/2014/chart" uri="{C3380CC4-5D6E-409C-BE32-E72D297353CC}">
              <c16:uniqueId val="{00000000-B10D-4809-917A-60EFC723E14E}"/>
            </c:ext>
          </c:extLst>
        </c:ser>
        <c:ser>
          <c:idx val="1"/>
          <c:order val="1"/>
          <c:tx>
            <c:strRef>
              <c:f>Data!$A$82</c:f>
              <c:strCache>
                <c:ptCount val="1"/>
                <c:pt idx="0">
                  <c:v>Priemer EU27</c:v>
                </c:pt>
              </c:strCache>
            </c:strRef>
          </c:tx>
          <c:spPr>
            <a:ln w="28575" cap="rnd">
              <a:solidFill>
                <a:schemeClr val="accent3"/>
              </a:solidFill>
              <a:round/>
            </a:ln>
            <a:effectLst/>
          </c:spPr>
          <c:marker>
            <c:symbol val="none"/>
          </c:marker>
          <c:cat>
            <c:strRef>
              <c:f>Data!$B$80:$K$80</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Data!$B$82:$K$82</c:f>
              <c:numCache>
                <c:formatCode>General</c:formatCode>
                <c:ptCount val="10"/>
                <c:pt idx="0">
                  <c:v>3.8037037037037038</c:v>
                </c:pt>
                <c:pt idx="1">
                  <c:v>3.6148148148148156</c:v>
                </c:pt>
                <c:pt idx="2">
                  <c:v>3.5222222222222226</c:v>
                </c:pt>
                <c:pt idx="3">
                  <c:v>3.6629629629629621</c:v>
                </c:pt>
                <c:pt idx="4">
                  <c:v>3.9074074074074079</c:v>
                </c:pt>
                <c:pt idx="5">
                  <c:v>3.1185185185185187</c:v>
                </c:pt>
                <c:pt idx="6">
                  <c:v>3.2333333333333325</c:v>
                </c:pt>
                <c:pt idx="7">
                  <c:v>3.5703703703703704</c:v>
                </c:pt>
                <c:pt idx="8">
                  <c:v>3.5629629629629629</c:v>
                </c:pt>
                <c:pt idx="9">
                  <c:v>4.0185185185185182</c:v>
                </c:pt>
              </c:numCache>
            </c:numRef>
          </c:val>
          <c:smooth val="0"/>
          <c:extLst xmlns:c16r2="http://schemas.microsoft.com/office/drawing/2015/06/chart">
            <c:ext xmlns:c16="http://schemas.microsoft.com/office/drawing/2014/chart" uri="{C3380CC4-5D6E-409C-BE32-E72D297353CC}">
              <c16:uniqueId val="{00000001-B10D-4809-917A-60EFC723E14E}"/>
            </c:ext>
          </c:extLst>
        </c:ser>
        <c:ser>
          <c:idx val="2"/>
          <c:order val="2"/>
          <c:tx>
            <c:strRef>
              <c:f>Data!$A$83</c:f>
              <c:strCache>
                <c:ptCount val="1"/>
                <c:pt idx="0">
                  <c:v>štáty vstupujúce do EU pred 2004</c:v>
                </c:pt>
              </c:strCache>
            </c:strRef>
          </c:tx>
          <c:spPr>
            <a:ln w="28575" cap="rnd">
              <a:solidFill>
                <a:schemeClr val="accent5"/>
              </a:solidFill>
              <a:round/>
            </a:ln>
            <a:effectLst/>
          </c:spPr>
          <c:marker>
            <c:symbol val="none"/>
          </c:marker>
          <c:cat>
            <c:strRef>
              <c:f>Data!$B$80:$K$80</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Data!$B$83:$K$83</c:f>
              <c:numCache>
                <c:formatCode>General</c:formatCode>
                <c:ptCount val="10"/>
                <c:pt idx="0">
                  <c:v>3.3428571428571425</c:v>
                </c:pt>
                <c:pt idx="1">
                  <c:v>3.15</c:v>
                </c:pt>
                <c:pt idx="2">
                  <c:v>3.1214285714285714</c:v>
                </c:pt>
                <c:pt idx="3">
                  <c:v>3.1071428571428572</c:v>
                </c:pt>
                <c:pt idx="4">
                  <c:v>3.0642857142857141</c:v>
                </c:pt>
                <c:pt idx="5">
                  <c:v>3.0071428571428567</c:v>
                </c:pt>
                <c:pt idx="6">
                  <c:v>3.0642857142857141</c:v>
                </c:pt>
                <c:pt idx="7">
                  <c:v>3.0571428571428565</c:v>
                </c:pt>
                <c:pt idx="8">
                  <c:v>3.0785714285714287</c:v>
                </c:pt>
                <c:pt idx="9">
                  <c:v>3.3928571428571432</c:v>
                </c:pt>
              </c:numCache>
            </c:numRef>
          </c:val>
          <c:smooth val="0"/>
          <c:extLst xmlns:c16r2="http://schemas.microsoft.com/office/drawing/2015/06/chart">
            <c:ext xmlns:c16="http://schemas.microsoft.com/office/drawing/2014/chart" uri="{C3380CC4-5D6E-409C-BE32-E72D297353CC}">
              <c16:uniqueId val="{00000002-B10D-4809-917A-60EFC723E14E}"/>
            </c:ext>
          </c:extLst>
        </c:ser>
        <c:ser>
          <c:idx val="3"/>
          <c:order val="3"/>
          <c:tx>
            <c:strRef>
              <c:f>Data!$A$84</c:f>
              <c:strCache>
                <c:ptCount val="1"/>
                <c:pt idx="0">
                  <c:v>štáty vstupujúce do EU po 2004</c:v>
                </c:pt>
              </c:strCache>
            </c:strRef>
          </c:tx>
          <c:spPr>
            <a:ln w="28575" cap="rnd">
              <a:solidFill>
                <a:schemeClr val="accent1">
                  <a:lumMod val="60000"/>
                </a:schemeClr>
              </a:solidFill>
              <a:round/>
            </a:ln>
            <a:effectLst/>
          </c:spPr>
          <c:marker>
            <c:symbol val="none"/>
          </c:marker>
          <c:cat>
            <c:strRef>
              <c:f>Data!$B$80:$K$80</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Data!$B$84:$K$84</c:f>
              <c:numCache>
                <c:formatCode>General</c:formatCode>
                <c:ptCount val="10"/>
                <c:pt idx="0">
                  <c:v>4.3</c:v>
                </c:pt>
                <c:pt idx="1">
                  <c:v>4.115384615384615</c:v>
                </c:pt>
                <c:pt idx="2">
                  <c:v>3.9538461538461531</c:v>
                </c:pt>
                <c:pt idx="3">
                  <c:v>4.2615384615384615</c:v>
                </c:pt>
                <c:pt idx="4">
                  <c:v>4.8153846153846152</c:v>
                </c:pt>
                <c:pt idx="5">
                  <c:v>3.2384615384615385</c:v>
                </c:pt>
                <c:pt idx="6">
                  <c:v>3.4153846153846152</c:v>
                </c:pt>
                <c:pt idx="7">
                  <c:v>4.1230769230769235</c:v>
                </c:pt>
                <c:pt idx="8">
                  <c:v>4.0846153846153843</c:v>
                </c:pt>
                <c:pt idx="9">
                  <c:v>4.6923076923076925</c:v>
                </c:pt>
              </c:numCache>
            </c:numRef>
          </c:val>
          <c:smooth val="0"/>
          <c:extLst xmlns:c16r2="http://schemas.microsoft.com/office/drawing/2015/06/chart">
            <c:ext xmlns:c16="http://schemas.microsoft.com/office/drawing/2014/chart" uri="{C3380CC4-5D6E-409C-BE32-E72D297353CC}">
              <c16:uniqueId val="{00000003-B10D-4809-917A-60EFC723E14E}"/>
            </c:ext>
          </c:extLst>
        </c:ser>
        <c:dLbls>
          <c:showLegendKey val="0"/>
          <c:showVal val="0"/>
          <c:showCatName val="0"/>
          <c:showSerName val="0"/>
          <c:showPercent val="0"/>
          <c:showBubbleSize val="0"/>
        </c:dLbls>
        <c:smooth val="0"/>
        <c:axId val="554455768"/>
        <c:axId val="554454592"/>
      </c:lineChart>
      <c:catAx>
        <c:axId val="55445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54454592"/>
        <c:crosses val="autoZero"/>
        <c:auto val="1"/>
        <c:lblAlgn val="ctr"/>
        <c:lblOffset val="100"/>
        <c:noMultiLvlLbl val="0"/>
      </c:catAx>
      <c:valAx>
        <c:axId val="5544545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54455768"/>
        <c:crosses val="autoZero"/>
        <c:crossBetween val="between"/>
      </c:valAx>
      <c:spPr>
        <a:noFill/>
        <a:ln>
          <a:noFill/>
        </a:ln>
        <a:effectLst/>
      </c:spPr>
    </c:plotArea>
    <c:legend>
      <c:legendPos val="b"/>
      <c:layout>
        <c:manualLayout>
          <c:xMode val="edge"/>
          <c:yMode val="edge"/>
          <c:x val="8.0872537991574581E-2"/>
          <c:y val="0.68530364738890392"/>
          <c:w val="0.82032757669997136"/>
          <c:h val="0.18378948321115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0905581246789E-2"/>
          <c:y val="0.14617368873602751"/>
          <c:w val="0.89493865350164559"/>
          <c:h val="0.7198766426767591"/>
        </c:manualLayout>
      </c:layout>
      <c:barChart>
        <c:barDir val="col"/>
        <c:grouping val="stacked"/>
        <c:varyColors val="0"/>
        <c:ser>
          <c:idx val="1"/>
          <c:order val="1"/>
          <c:tx>
            <c:strRef>
              <c:f>Hárok2!$A$3</c:f>
              <c:strCache>
                <c:ptCount val="1"/>
                <c:pt idx="0">
                  <c:v>ŠR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Hárok2!$B$1:$I$1</c:f>
              <c:strCache>
                <c:ptCount val="8"/>
                <c:pt idx="0">
                  <c:v>Skutočnosť
2018</c:v>
                </c:pt>
                <c:pt idx="1">
                  <c:v>Skutočnosť 
2019</c:v>
                </c:pt>
                <c:pt idx="2">
                  <c:v>Skutočnosť 
2020</c:v>
                </c:pt>
                <c:pt idx="3">
                  <c:v>Rozpočet 
2021</c:v>
                </c:pt>
                <c:pt idx="4">
                  <c:v>Odhad 
2021</c:v>
                </c:pt>
                <c:pt idx="5">
                  <c:v>Odhad 
2022</c:v>
                </c:pt>
                <c:pt idx="6">
                  <c:v>Odhad 
2023</c:v>
                </c:pt>
                <c:pt idx="7">
                  <c:v>Odhad
 2024</c:v>
                </c:pt>
              </c:strCache>
            </c:strRef>
          </c:cat>
          <c:val>
            <c:numRef>
              <c:f>Hárok2!$B$3:$I$3</c:f>
              <c:numCache>
                <c:formatCode>0\ \ </c:formatCode>
                <c:ptCount val="8"/>
                <c:pt idx="0">
                  <c:v>1214564756.1700001</c:v>
                </c:pt>
                <c:pt idx="1">
                  <c:v>1793016270.45</c:v>
                </c:pt>
                <c:pt idx="2">
                  <c:v>1803366718.6399994</c:v>
                </c:pt>
                <c:pt idx="3">
                  <c:v>1793497019</c:v>
                </c:pt>
                <c:pt idx="4">
                  <c:v>2233000000</c:v>
                </c:pt>
                <c:pt idx="5">
                  <c:v>1490685363.6196985</c:v>
                </c:pt>
                <c:pt idx="6">
                  <c:v>1462276447.8526232</c:v>
                </c:pt>
                <c:pt idx="7">
                  <c:v>1310835758.8094523</c:v>
                </c:pt>
              </c:numCache>
            </c:numRef>
          </c:val>
          <c:extLst xmlns:c16r2="http://schemas.microsoft.com/office/drawing/2015/06/chart">
            <c:ext xmlns:c16="http://schemas.microsoft.com/office/drawing/2014/chart" uri="{C3380CC4-5D6E-409C-BE32-E72D297353CC}">
              <c16:uniqueId val="{00000000-20B7-4DA0-A510-A276D391E6AF}"/>
            </c:ext>
          </c:extLst>
        </c:ser>
        <c:ser>
          <c:idx val="2"/>
          <c:order val="2"/>
          <c:tx>
            <c:strRef>
              <c:f>Hárok2!$A$4</c:f>
              <c:strCache>
                <c:ptCount val="1"/>
                <c:pt idx="0">
                  <c:v>EU + cofin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Hárok2!$B$1:$I$1</c:f>
              <c:strCache>
                <c:ptCount val="8"/>
                <c:pt idx="0">
                  <c:v>Skutočnosť
2018</c:v>
                </c:pt>
                <c:pt idx="1">
                  <c:v>Skutočnosť 
2019</c:v>
                </c:pt>
                <c:pt idx="2">
                  <c:v>Skutočnosť 
2020</c:v>
                </c:pt>
                <c:pt idx="3">
                  <c:v>Rozpočet 
2021</c:v>
                </c:pt>
                <c:pt idx="4">
                  <c:v>Odhad 
2021</c:v>
                </c:pt>
                <c:pt idx="5">
                  <c:v>Odhad 
2022</c:v>
                </c:pt>
                <c:pt idx="6">
                  <c:v>Odhad 
2023</c:v>
                </c:pt>
                <c:pt idx="7">
                  <c:v>Odhad
 2024</c:v>
                </c:pt>
              </c:strCache>
            </c:strRef>
          </c:cat>
          <c:val>
            <c:numRef>
              <c:f>Hárok2!$B$4:$I$4</c:f>
              <c:numCache>
                <c:formatCode>0\ \ </c:formatCode>
                <c:ptCount val="8"/>
                <c:pt idx="0">
                  <c:v>1129968069.1500003</c:v>
                </c:pt>
                <c:pt idx="1">
                  <c:v>1003488337.01</c:v>
                </c:pt>
                <c:pt idx="2">
                  <c:v>917895123.43000019</c:v>
                </c:pt>
                <c:pt idx="3">
                  <c:v>1467247860.8799999</c:v>
                </c:pt>
                <c:pt idx="4">
                  <c:v>1254818065.3000004</c:v>
                </c:pt>
                <c:pt idx="5">
                  <c:v>2098201259.7409687</c:v>
                </c:pt>
                <c:pt idx="6">
                  <c:v>2098201259.7409687</c:v>
                </c:pt>
                <c:pt idx="7">
                  <c:v>2098201259.7409687</c:v>
                </c:pt>
              </c:numCache>
            </c:numRef>
          </c:val>
          <c:extLst xmlns:c16r2="http://schemas.microsoft.com/office/drawing/2015/06/chart">
            <c:ext xmlns:c16="http://schemas.microsoft.com/office/drawing/2014/chart" uri="{C3380CC4-5D6E-409C-BE32-E72D297353CC}">
              <c16:uniqueId val="{00000001-20B7-4DA0-A510-A276D391E6AF}"/>
            </c:ext>
          </c:extLst>
        </c:ser>
        <c:ser>
          <c:idx val="3"/>
          <c:order val="3"/>
          <c:tx>
            <c:strRef>
              <c:f>Hárok2!$A$5</c:f>
              <c:strCache>
                <c:ptCount val="1"/>
                <c:pt idx="0">
                  <c:v>Iné (najmä DPFO a vlastné zdroje OSVS)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Hárok2!$B$1:$I$1</c:f>
              <c:strCache>
                <c:ptCount val="8"/>
                <c:pt idx="0">
                  <c:v>Skutočnosť
2018</c:v>
                </c:pt>
                <c:pt idx="1">
                  <c:v>Skutočnosť 
2019</c:v>
                </c:pt>
                <c:pt idx="2">
                  <c:v>Skutočnosť 
2020</c:v>
                </c:pt>
                <c:pt idx="3">
                  <c:v>Rozpočet 
2021</c:v>
                </c:pt>
                <c:pt idx="4">
                  <c:v>Odhad 
2021</c:v>
                </c:pt>
                <c:pt idx="5">
                  <c:v>Odhad 
2022</c:v>
                </c:pt>
                <c:pt idx="6">
                  <c:v>Odhad 
2023</c:v>
                </c:pt>
                <c:pt idx="7">
                  <c:v>Odhad
 2024</c:v>
                </c:pt>
              </c:strCache>
            </c:strRef>
          </c:cat>
          <c:val>
            <c:numRef>
              <c:f>Hárok2!$B$5:$I$5</c:f>
              <c:numCache>
                <c:formatCode>0\ \ </c:formatCode>
                <c:ptCount val="8"/>
                <c:pt idx="0">
                  <c:v>1144258343.7800002</c:v>
                </c:pt>
                <c:pt idx="1">
                  <c:v>1183205619.3299999</c:v>
                </c:pt>
                <c:pt idx="2">
                  <c:v>931713374.07999992</c:v>
                </c:pt>
                <c:pt idx="3">
                  <c:v>1311398085.96</c:v>
                </c:pt>
                <c:pt idx="4">
                  <c:v>826613780.81000018</c:v>
                </c:pt>
                <c:pt idx="5">
                  <c:v>1159887746.6393328</c:v>
                </c:pt>
                <c:pt idx="6">
                  <c:v>871030058.96594119</c:v>
                </c:pt>
                <c:pt idx="7">
                  <c:v>844547579.20416474</c:v>
                </c:pt>
              </c:numCache>
            </c:numRef>
          </c:val>
          <c:extLst xmlns:c16r2="http://schemas.microsoft.com/office/drawing/2015/06/chart">
            <c:ext xmlns:c16="http://schemas.microsoft.com/office/drawing/2014/chart" uri="{C3380CC4-5D6E-409C-BE32-E72D297353CC}">
              <c16:uniqueId val="{00000002-20B7-4DA0-A510-A276D391E6AF}"/>
            </c:ext>
          </c:extLst>
        </c:ser>
        <c:ser>
          <c:idx val="4"/>
          <c:order val="4"/>
          <c:tx>
            <c:strRef>
              <c:f>Hárok2!$A$6</c:f>
              <c:strCache>
                <c:ptCount val="1"/>
                <c:pt idx="0">
                  <c:v>POO + platby DPH</c:v>
                </c:pt>
              </c:strCache>
            </c:strRef>
          </c:tx>
          <c:spPr>
            <a:solidFill>
              <a:schemeClr val="accent3">
                <a:lumMod val="6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20B7-4DA0-A510-A276D391E6A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20B7-4DA0-A510-A276D391E6A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20B7-4DA0-A510-A276D391E6A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20B7-4DA0-A510-A276D391E6A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20B7-4DA0-A510-A276D391E6A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Hárok2!$B$1:$I$1</c:f>
              <c:strCache>
                <c:ptCount val="8"/>
                <c:pt idx="0">
                  <c:v>Skutočnosť
2018</c:v>
                </c:pt>
                <c:pt idx="1">
                  <c:v>Skutočnosť 
2019</c:v>
                </c:pt>
                <c:pt idx="2">
                  <c:v>Skutočnosť 
2020</c:v>
                </c:pt>
                <c:pt idx="3">
                  <c:v>Rozpočet 
2021</c:v>
                </c:pt>
                <c:pt idx="4">
                  <c:v>Odhad 
2021</c:v>
                </c:pt>
                <c:pt idx="5">
                  <c:v>Odhad 
2022</c:v>
                </c:pt>
                <c:pt idx="6">
                  <c:v>Odhad 
2023</c:v>
                </c:pt>
                <c:pt idx="7">
                  <c:v>Odhad
 2024</c:v>
                </c:pt>
              </c:strCache>
            </c:strRef>
          </c:cat>
          <c:val>
            <c:numRef>
              <c:f>Hárok2!$B$6:$I$6</c:f>
              <c:numCache>
                <c:formatCode>0\ \ </c:formatCode>
                <c:ptCount val="8"/>
                <c:pt idx="0">
                  <c:v>0</c:v>
                </c:pt>
                <c:pt idx="1">
                  <c:v>0</c:v>
                </c:pt>
                <c:pt idx="2">
                  <c:v>0</c:v>
                </c:pt>
                <c:pt idx="3">
                  <c:v>0</c:v>
                </c:pt>
                <c:pt idx="4">
                  <c:v>0</c:v>
                </c:pt>
                <c:pt idx="5">
                  <c:v>1132084498</c:v>
                </c:pt>
                <c:pt idx="6">
                  <c:v>1508268077</c:v>
                </c:pt>
                <c:pt idx="7">
                  <c:v>1515069968</c:v>
                </c:pt>
              </c:numCache>
            </c:numRef>
          </c:val>
          <c:extLst xmlns:c16r2="http://schemas.microsoft.com/office/drawing/2015/06/chart">
            <c:ext xmlns:c16="http://schemas.microsoft.com/office/drawing/2014/chart" uri="{C3380CC4-5D6E-409C-BE32-E72D297353CC}">
              <c16:uniqueId val="{00000008-20B7-4DA0-A510-A276D391E6AF}"/>
            </c:ext>
          </c:extLst>
        </c:ser>
        <c:dLbls>
          <c:showLegendKey val="0"/>
          <c:showVal val="0"/>
          <c:showCatName val="0"/>
          <c:showSerName val="0"/>
          <c:showPercent val="0"/>
          <c:showBubbleSize val="0"/>
        </c:dLbls>
        <c:gapWidth val="150"/>
        <c:overlap val="100"/>
        <c:axId val="554456944"/>
        <c:axId val="554457336"/>
      </c:barChart>
      <c:lineChart>
        <c:grouping val="standard"/>
        <c:varyColors val="0"/>
        <c:ser>
          <c:idx val="0"/>
          <c:order val="0"/>
          <c:tx>
            <c:strRef>
              <c:f>Hárok2!$A$2</c:f>
              <c:strCache>
                <c:ptCount val="1"/>
                <c:pt idx="0">
                  <c:v>Spolu CAPEX</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Hárok2!$B$1:$I$1</c:f>
              <c:strCache>
                <c:ptCount val="8"/>
                <c:pt idx="0">
                  <c:v>Skutočnosť
2018</c:v>
                </c:pt>
                <c:pt idx="1">
                  <c:v>Skutočnosť 
2019</c:v>
                </c:pt>
                <c:pt idx="2">
                  <c:v>Skutočnosť 
2020</c:v>
                </c:pt>
                <c:pt idx="3">
                  <c:v>Rozpočet 
2021</c:v>
                </c:pt>
                <c:pt idx="4">
                  <c:v>Odhad 
2021</c:v>
                </c:pt>
                <c:pt idx="5">
                  <c:v>Odhad 
2022</c:v>
                </c:pt>
                <c:pt idx="6">
                  <c:v>Odhad 
2023</c:v>
                </c:pt>
                <c:pt idx="7">
                  <c:v>Odhad
 2024</c:v>
                </c:pt>
              </c:strCache>
            </c:strRef>
          </c:cat>
          <c:val>
            <c:numRef>
              <c:f>Hárok2!$B$2:$I$2</c:f>
              <c:numCache>
                <c:formatCode>0\ \ </c:formatCode>
                <c:ptCount val="8"/>
                <c:pt idx="0">
                  <c:v>3488791169.1000009</c:v>
                </c:pt>
                <c:pt idx="1">
                  <c:v>3979710226.79</c:v>
                </c:pt>
                <c:pt idx="2">
                  <c:v>3652975216.1499996</c:v>
                </c:pt>
                <c:pt idx="3">
                  <c:v>4572142965.8400002</c:v>
                </c:pt>
                <c:pt idx="4">
                  <c:v>4314431846.1100006</c:v>
                </c:pt>
                <c:pt idx="5">
                  <c:v>5880858868</c:v>
                </c:pt>
                <c:pt idx="6">
                  <c:v>5939775843.5595331</c:v>
                </c:pt>
                <c:pt idx="7">
                  <c:v>5768654565.7545853</c:v>
                </c:pt>
              </c:numCache>
            </c:numRef>
          </c:val>
          <c:smooth val="0"/>
          <c:extLst xmlns:c16r2="http://schemas.microsoft.com/office/drawing/2015/06/chart">
            <c:ext xmlns:c16="http://schemas.microsoft.com/office/drawing/2014/chart" uri="{C3380CC4-5D6E-409C-BE32-E72D297353CC}">
              <c16:uniqueId val="{00000009-20B7-4DA0-A510-A276D391E6AF}"/>
            </c:ext>
          </c:extLst>
        </c:ser>
        <c:dLbls>
          <c:showLegendKey val="0"/>
          <c:showVal val="0"/>
          <c:showCatName val="0"/>
          <c:showSerName val="0"/>
          <c:showPercent val="0"/>
          <c:showBubbleSize val="0"/>
        </c:dLbls>
        <c:marker val="1"/>
        <c:smooth val="0"/>
        <c:axId val="554456944"/>
        <c:axId val="554457336"/>
        <c:extLst xmlns:c16r2="http://schemas.microsoft.com/office/drawing/2015/06/chart">
          <c:ext xmlns:c15="http://schemas.microsoft.com/office/drawing/2012/chart" uri="{02D57815-91ED-43cb-92C2-25804820EDAC}">
            <c15:filteredLineSeries>
              <c15:ser>
                <c:idx val="5"/>
                <c:order val="5"/>
                <c:tx>
                  <c:strRef>
                    <c:extLst xmlns:c16r2="http://schemas.microsoft.com/office/drawing/2015/06/chart">
                      <c:ext uri="{02D57815-91ED-43cb-92C2-25804820EDAC}">
                        <c15:formulaRef>
                          <c15:sqref>Hárok2!$A$7:$I$7</c15:sqref>
                        </c15:formulaRef>
                      </c:ext>
                    </c:extLst>
                    <c:strCache>
                      <c:ptCount val="9"/>
                      <c:pt idx="0">
                        <c:v>Priemer </c:v>
                      </c:pt>
                      <c:pt idx="1">
                        <c:v>3859</c:v>
                      </c:pt>
                      <c:pt idx="2">
                        <c:v>3859</c:v>
                      </c:pt>
                      <c:pt idx="3">
                        <c:v>3859</c:v>
                      </c:pt>
                      <c:pt idx="4">
                        <c:v>3859</c:v>
                      </c:pt>
                      <c:pt idx="5">
                        <c:v>3859</c:v>
                      </c:pt>
                    </c:strCache>
                  </c:strRef>
                </c:tx>
                <c:spPr>
                  <a:ln w="28575" cap="rnd">
                    <a:solidFill>
                      <a:sysClr val="windowText" lastClr="000000"/>
                    </a:solidFill>
                    <a:round/>
                  </a:ln>
                  <a:effectLst/>
                </c:spPr>
                <c:marker>
                  <c:symbol val="none"/>
                </c:marker>
                <c:val>
                  <c:numRef>
                    <c:extLst xmlns:c16r2="http://schemas.microsoft.com/office/drawing/2015/06/chart">
                      <c:ext uri="{02D57815-91ED-43cb-92C2-25804820EDAC}">
                        <c15:formulaRef>
                          <c15:sqref>Hárok2!$B$7:$F$7</c15:sqref>
                        </c15:formulaRef>
                      </c:ext>
                    </c:extLst>
                    <c:numCache>
                      <c:formatCode>0\ \ </c:formatCode>
                      <c:ptCount val="5"/>
                      <c:pt idx="0">
                        <c:v>3858977114.5375004</c:v>
                      </c:pt>
                      <c:pt idx="1">
                        <c:v>3858977114.5375004</c:v>
                      </c:pt>
                      <c:pt idx="2">
                        <c:v>3858977114.5375004</c:v>
                      </c:pt>
                      <c:pt idx="3">
                        <c:v>3858977114.5375004</c:v>
                      </c:pt>
                      <c:pt idx="4">
                        <c:v>3858977114.5375004</c:v>
                      </c:pt>
                    </c:numCache>
                  </c:numRef>
                </c:val>
                <c:smooth val="0"/>
                <c:extLst xmlns:c16r2="http://schemas.microsoft.com/office/drawing/2015/06/chart">
                  <c:ext xmlns:c16="http://schemas.microsoft.com/office/drawing/2014/chart" uri="{C3380CC4-5D6E-409C-BE32-E72D297353CC}">
                    <c16:uniqueId val="{0000000A-20B7-4DA0-A510-A276D391E6AF}"/>
                  </c:ext>
                </c:extLst>
              </c15:ser>
            </c15:filteredLineSeries>
          </c:ext>
        </c:extLst>
      </c:lineChart>
      <c:catAx>
        <c:axId val="554456944"/>
        <c:scaling>
          <c:orientation val="minMax"/>
        </c:scaling>
        <c:delete val="0"/>
        <c:axPos val="b"/>
        <c:numFmt formatCode="General" sourceLinked="1"/>
        <c:majorTickMark val="none"/>
        <c:minorTickMark val="none"/>
        <c:tickLblPos val="nextTo"/>
        <c:spPr>
          <a:noFill/>
          <a:ln w="1587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54457336"/>
        <c:crosses val="autoZero"/>
        <c:auto val="1"/>
        <c:lblAlgn val="ctr"/>
        <c:lblOffset val="100"/>
        <c:noMultiLvlLbl val="0"/>
      </c:catAx>
      <c:valAx>
        <c:axId val="5544573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 "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54456944"/>
        <c:crosses val="autoZero"/>
        <c:crossBetween val="between"/>
        <c:dispUnits>
          <c:builtInUnit val="millions"/>
        </c:dispUnits>
      </c:valAx>
      <c:spPr>
        <a:noFill/>
        <a:ln>
          <a:noFill/>
        </a:ln>
        <a:effectLst/>
      </c:spPr>
    </c:plotArea>
    <c:legend>
      <c:legendPos val="b"/>
      <c:legendEntry>
        <c:idx val="4"/>
        <c:delete val="1"/>
      </c:legendEntry>
      <c:layout>
        <c:manualLayout>
          <c:xMode val="edge"/>
          <c:yMode val="edge"/>
          <c:x val="7.9080392728686694E-2"/>
          <c:y val="2.3083797672324494E-2"/>
          <c:w val="0.91899970836978706"/>
          <c:h val="0.117070974468690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330537728287599E-2"/>
          <c:y val="4.2884990253411304E-2"/>
          <c:w val="0.85236719643173453"/>
          <c:h val="0.85615508587742317"/>
        </c:manualLayout>
      </c:layout>
      <c:lineChart>
        <c:grouping val="standard"/>
        <c:varyColors val="0"/>
        <c:ser>
          <c:idx val="0"/>
          <c:order val="0"/>
          <c:tx>
            <c:strRef>
              <c:f>rocne!$A$24</c:f>
              <c:strCache>
                <c:ptCount val="1"/>
                <c:pt idx="0">
                  <c:v>Február 2020</c:v>
                </c:pt>
              </c:strCache>
            </c:strRef>
          </c:tx>
          <c:spPr>
            <a:ln w="19050" cap="rnd">
              <a:solidFill>
                <a:srgbClr val="686767"/>
              </a:solidFill>
              <a:round/>
            </a:ln>
            <a:effectLst/>
          </c:spPr>
          <c:marker>
            <c:symbol val="none"/>
          </c:marker>
          <c:cat>
            <c:numRef>
              <c:f>rocne!$B$23:$J$23</c:f>
              <c:numCache>
                <c:formatCode>0</c:formatCode>
                <c:ptCount val="9"/>
                <c:pt idx="0">
                  <c:v>2018</c:v>
                </c:pt>
                <c:pt idx="1">
                  <c:v>2019</c:v>
                </c:pt>
                <c:pt idx="2">
                  <c:v>2020</c:v>
                </c:pt>
                <c:pt idx="3">
                  <c:v>2021</c:v>
                </c:pt>
                <c:pt idx="4">
                  <c:v>2022</c:v>
                </c:pt>
                <c:pt idx="5">
                  <c:v>2023</c:v>
                </c:pt>
                <c:pt idx="6">
                  <c:v>2024</c:v>
                </c:pt>
                <c:pt idx="7">
                  <c:v>2025</c:v>
                </c:pt>
                <c:pt idx="8">
                  <c:v>2026</c:v>
                </c:pt>
              </c:numCache>
            </c:numRef>
          </c:cat>
          <c:val>
            <c:numRef>
              <c:f>rocne!$B$24:$G$24</c:f>
              <c:numCache>
                <c:formatCode>0.0</c:formatCode>
                <c:ptCount val="6"/>
                <c:pt idx="0">
                  <c:v>97.73459488149534</c:v>
                </c:pt>
                <c:pt idx="1">
                  <c:v>100</c:v>
                </c:pt>
                <c:pt idx="2">
                  <c:v>102.2021846369048</c:v>
                </c:pt>
                <c:pt idx="3">
                  <c:v>104.93790922539593</c:v>
                </c:pt>
                <c:pt idx="4">
                  <c:v>107.75619791943055</c:v>
                </c:pt>
                <c:pt idx="5">
                  <c:v>111.60228072844421</c:v>
                </c:pt>
              </c:numCache>
            </c:numRef>
          </c:val>
          <c:smooth val="0"/>
          <c:extLst xmlns:c16r2="http://schemas.microsoft.com/office/drawing/2015/06/chart">
            <c:ext xmlns:c16="http://schemas.microsoft.com/office/drawing/2014/chart" uri="{C3380CC4-5D6E-409C-BE32-E72D297353CC}">
              <c16:uniqueId val="{00000000-B762-4A6D-B8B1-DC67CD24C2F6}"/>
            </c:ext>
          </c:extLst>
        </c:ser>
        <c:ser>
          <c:idx val="1"/>
          <c:order val="1"/>
          <c:tx>
            <c:strRef>
              <c:f>rocne!$A$25</c:f>
              <c:strCache>
                <c:ptCount val="1"/>
                <c:pt idx="0">
                  <c:v>September 2021 bez PO</c:v>
                </c:pt>
              </c:strCache>
            </c:strRef>
          </c:tx>
          <c:spPr>
            <a:ln w="19050" cap="rnd">
              <a:solidFill>
                <a:srgbClr val="2EAAE1"/>
              </a:solidFill>
              <a:round/>
            </a:ln>
            <a:effectLst/>
          </c:spPr>
          <c:marker>
            <c:symbol val="none"/>
          </c:marker>
          <c:cat>
            <c:numRef>
              <c:f>rocne!$B$23:$J$23</c:f>
              <c:numCache>
                <c:formatCode>0</c:formatCode>
                <c:ptCount val="9"/>
                <c:pt idx="0">
                  <c:v>2018</c:v>
                </c:pt>
                <c:pt idx="1">
                  <c:v>2019</c:v>
                </c:pt>
                <c:pt idx="2">
                  <c:v>2020</c:v>
                </c:pt>
                <c:pt idx="3">
                  <c:v>2021</c:v>
                </c:pt>
                <c:pt idx="4">
                  <c:v>2022</c:v>
                </c:pt>
                <c:pt idx="5">
                  <c:v>2023</c:v>
                </c:pt>
                <c:pt idx="6">
                  <c:v>2024</c:v>
                </c:pt>
                <c:pt idx="7">
                  <c:v>2025</c:v>
                </c:pt>
                <c:pt idx="8">
                  <c:v>2026</c:v>
                </c:pt>
              </c:numCache>
            </c:numRef>
          </c:cat>
          <c:val>
            <c:numRef>
              <c:f>rocne!$B$25:$J$25</c:f>
              <c:numCache>
                <c:formatCode>0.0</c:formatCode>
                <c:ptCount val="9"/>
                <c:pt idx="0">
                  <c:v>97.488411859009474</c:v>
                </c:pt>
                <c:pt idx="1">
                  <c:v>100</c:v>
                </c:pt>
                <c:pt idx="2">
                  <c:v>95.245674658899887</c:v>
                </c:pt>
                <c:pt idx="3">
                  <c:v>98.742951474408002</c:v>
                </c:pt>
                <c:pt idx="4">
                  <c:v>102.89575989424766</c:v>
                </c:pt>
                <c:pt idx="5">
                  <c:v>108.0379136022032</c:v>
                </c:pt>
                <c:pt idx="6">
                  <c:v>108.80884350290557</c:v>
                </c:pt>
                <c:pt idx="7">
                  <c:v>111.03363221955351</c:v>
                </c:pt>
                <c:pt idx="8">
                  <c:v>111.93607186019571</c:v>
                </c:pt>
              </c:numCache>
            </c:numRef>
          </c:val>
          <c:smooth val="0"/>
          <c:extLst xmlns:c16r2="http://schemas.microsoft.com/office/drawing/2015/06/chart">
            <c:ext xmlns:c16="http://schemas.microsoft.com/office/drawing/2014/chart" uri="{C3380CC4-5D6E-409C-BE32-E72D297353CC}">
              <c16:uniqueId val="{00000001-B762-4A6D-B8B1-DC67CD24C2F6}"/>
            </c:ext>
          </c:extLst>
        </c:ser>
        <c:ser>
          <c:idx val="2"/>
          <c:order val="2"/>
          <c:tx>
            <c:strRef>
              <c:f>rocne!$A$26</c:f>
              <c:strCache>
                <c:ptCount val="1"/>
                <c:pt idx="0">
                  <c:v>September 2021 s PO</c:v>
                </c:pt>
              </c:strCache>
            </c:strRef>
          </c:tx>
          <c:spPr>
            <a:ln w="19050" cap="rnd">
              <a:solidFill>
                <a:srgbClr val="2EAAE1"/>
              </a:solidFill>
              <a:prstDash val="dash"/>
              <a:round/>
            </a:ln>
            <a:effectLst/>
          </c:spPr>
          <c:marker>
            <c:symbol val="none"/>
          </c:marker>
          <c:cat>
            <c:numRef>
              <c:f>rocne!$B$23:$J$23</c:f>
              <c:numCache>
                <c:formatCode>0</c:formatCode>
                <c:ptCount val="9"/>
                <c:pt idx="0">
                  <c:v>2018</c:v>
                </c:pt>
                <c:pt idx="1">
                  <c:v>2019</c:v>
                </c:pt>
                <c:pt idx="2">
                  <c:v>2020</c:v>
                </c:pt>
                <c:pt idx="3">
                  <c:v>2021</c:v>
                </c:pt>
                <c:pt idx="4">
                  <c:v>2022</c:v>
                </c:pt>
                <c:pt idx="5">
                  <c:v>2023</c:v>
                </c:pt>
                <c:pt idx="6">
                  <c:v>2024</c:v>
                </c:pt>
                <c:pt idx="7">
                  <c:v>2025</c:v>
                </c:pt>
                <c:pt idx="8">
                  <c:v>2026</c:v>
                </c:pt>
              </c:numCache>
            </c:numRef>
          </c:cat>
          <c:val>
            <c:numRef>
              <c:f>rocne!$B$26:$J$26</c:f>
              <c:numCache>
                <c:formatCode>0.0</c:formatCode>
                <c:ptCount val="9"/>
                <c:pt idx="0">
                  <c:v>97.488411859009474</c:v>
                </c:pt>
                <c:pt idx="1">
                  <c:v>100</c:v>
                </c:pt>
                <c:pt idx="2">
                  <c:v>95.245674658899887</c:v>
                </c:pt>
                <c:pt idx="3">
                  <c:v>98.604764685838902</c:v>
                </c:pt>
                <c:pt idx="4">
                  <c:v>100.92654144471136</c:v>
                </c:pt>
                <c:pt idx="5">
                  <c:v>105.26851378740346</c:v>
                </c:pt>
                <c:pt idx="6">
                  <c:v>105.42542764922182</c:v>
                </c:pt>
                <c:pt idx="7">
                  <c:v>107.32952488436759</c:v>
                </c:pt>
                <c:pt idx="8">
                  <c:v>108.28631481053687</c:v>
                </c:pt>
              </c:numCache>
            </c:numRef>
          </c:val>
          <c:smooth val="0"/>
          <c:extLst xmlns:c16r2="http://schemas.microsoft.com/office/drawing/2015/06/chart">
            <c:ext xmlns:c16="http://schemas.microsoft.com/office/drawing/2014/chart" uri="{C3380CC4-5D6E-409C-BE32-E72D297353CC}">
              <c16:uniqueId val="{00000002-B762-4A6D-B8B1-DC67CD24C2F6}"/>
            </c:ext>
          </c:extLst>
        </c:ser>
        <c:dLbls>
          <c:showLegendKey val="0"/>
          <c:showVal val="0"/>
          <c:showCatName val="0"/>
          <c:showSerName val="0"/>
          <c:showPercent val="0"/>
          <c:showBubbleSize val="0"/>
        </c:dLbls>
        <c:smooth val="0"/>
        <c:axId val="554459296"/>
        <c:axId val="554458120"/>
      </c:lineChart>
      <c:catAx>
        <c:axId val="554459296"/>
        <c:scaling>
          <c:orientation val="minMax"/>
        </c:scaling>
        <c:delete val="0"/>
        <c:axPos val="b"/>
        <c:numFmt formatCode="0" sourceLinked="1"/>
        <c:majorTickMark val="out"/>
        <c:minorTickMark val="none"/>
        <c:tickLblPos val="nextTo"/>
        <c:spPr>
          <a:noFill/>
          <a:ln w="9525" cap="flat" cmpd="sng" algn="ctr">
            <a:solidFill>
              <a:schemeClr val="tx1">
                <a:lumMod val="50000"/>
                <a:lumOff val="50000"/>
              </a:schemeClr>
            </a:solidFill>
            <a:round/>
          </a:ln>
          <a:effectLst/>
        </c:spPr>
        <c:txPr>
          <a:bodyPr rot="0" spcFirstLastPara="1" vertOverflow="ellipsis"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4458120"/>
        <c:crosses val="autoZero"/>
        <c:auto val="1"/>
        <c:lblAlgn val="ctr"/>
        <c:lblOffset val="100"/>
        <c:noMultiLvlLbl val="0"/>
      </c:catAx>
      <c:valAx>
        <c:axId val="554458120"/>
        <c:scaling>
          <c:orientation val="minMax"/>
          <c:max val="120"/>
          <c:min val="90"/>
        </c:scaling>
        <c:delete val="0"/>
        <c:axPos val="l"/>
        <c:majorGridlines>
          <c:spPr>
            <a:ln w="9525" cap="flat" cmpd="sng" algn="ctr">
              <a:solidFill>
                <a:schemeClr val="bg1">
                  <a:lumMod val="75000"/>
                </a:schemeClr>
              </a:solidFill>
              <a:prstDash val="solid"/>
              <a:round/>
            </a:ln>
            <a:effectLst/>
          </c:spPr>
        </c:majorGridlines>
        <c:numFmt formatCode="#\ ##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4459296"/>
        <c:crosses val="autoZero"/>
        <c:crossBetween val="between"/>
        <c:majorUnit val="5"/>
      </c:valAx>
      <c:spPr>
        <a:noFill/>
        <a:ln>
          <a:noFill/>
        </a:ln>
        <a:effectLst/>
      </c:spPr>
    </c:plotArea>
    <c:legend>
      <c:legendPos val="b"/>
      <c:layout>
        <c:manualLayout>
          <c:xMode val="edge"/>
          <c:yMode val="edge"/>
          <c:x val="0.12090041938665373"/>
          <c:y val="3.726775744500354E-2"/>
          <c:w val="0.5231783171909149"/>
          <c:h val="0.246406524861176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330537728287599E-2"/>
          <c:y val="4.2884990253411304E-2"/>
          <c:w val="0.85236719643173453"/>
          <c:h val="0.85615508587742317"/>
        </c:manualLayout>
      </c:layout>
      <c:barChart>
        <c:barDir val="col"/>
        <c:grouping val="stacked"/>
        <c:varyColors val="0"/>
        <c:ser>
          <c:idx val="2"/>
          <c:order val="1"/>
          <c:tx>
            <c:strRef>
              <c:f>zamestnanost!$A$14</c:f>
              <c:strCache>
                <c:ptCount val="1"/>
                <c:pt idx="0">
                  <c:v>Ostatné vplyvy</c:v>
                </c:pt>
              </c:strCache>
            </c:strRef>
          </c:tx>
          <c:spPr>
            <a:solidFill>
              <a:srgbClr val="2EAAE1"/>
            </a:solidFill>
            <a:ln>
              <a:noFill/>
            </a:ln>
            <a:effectLst/>
          </c:spPr>
          <c:invertIfNegative val="0"/>
          <c:val>
            <c:numRef>
              <c:f>zamestnanost!$B$14:$J$14</c:f>
              <c:numCache>
                <c:formatCode>0.0%</c:formatCode>
                <c:ptCount val="9"/>
                <c:pt idx="0">
                  <c:v>2.008467888794474E-2</c:v>
                </c:pt>
                <c:pt idx="1">
                  <c:v>1.0450009959080964E-2</c:v>
                </c:pt>
                <c:pt idx="2">
                  <c:v>-1.8861519963683793E-2</c:v>
                </c:pt>
                <c:pt idx="3">
                  <c:v>-8.3074904025310925E-3</c:v>
                </c:pt>
                <c:pt idx="4">
                  <c:v>5.0644179415590962E-3</c:v>
                </c:pt>
                <c:pt idx="5">
                  <c:v>2.7817372828036202E-3</c:v>
                </c:pt>
                <c:pt idx="6">
                  <c:v>-2.7180182448695023E-3</c:v>
                </c:pt>
                <c:pt idx="7">
                  <c:v>-6.5705522745249656E-3</c:v>
                </c:pt>
                <c:pt idx="8">
                  <c:v>-9.0277693704973183E-3</c:v>
                </c:pt>
              </c:numCache>
            </c:numRef>
          </c:val>
          <c:extLst xmlns:c16r2="http://schemas.microsoft.com/office/drawing/2015/06/chart">
            <c:ext xmlns:c16="http://schemas.microsoft.com/office/drawing/2014/chart" uri="{C3380CC4-5D6E-409C-BE32-E72D297353CC}">
              <c16:uniqueId val="{00000000-4813-4624-A613-74854566DFA1}"/>
            </c:ext>
          </c:extLst>
        </c:ser>
        <c:ser>
          <c:idx val="1"/>
          <c:order val="2"/>
          <c:tx>
            <c:strRef>
              <c:f>zamestnanost!$A$13</c:f>
              <c:strCache>
                <c:ptCount val="1"/>
                <c:pt idx="0">
                  <c:v>Vplyv PO</c:v>
                </c:pt>
              </c:strCache>
            </c:strRef>
          </c:tx>
          <c:spPr>
            <a:solidFill>
              <a:srgbClr val="686767"/>
            </a:solidFill>
            <a:ln>
              <a:noFill/>
            </a:ln>
            <a:effectLst/>
          </c:spPr>
          <c:invertIfNegative val="0"/>
          <c:val>
            <c:numRef>
              <c:f>zamestnanost!$B$13:$J$13</c:f>
              <c:numCache>
                <c:formatCode>0.0%</c:formatCode>
                <c:ptCount val="9"/>
                <c:pt idx="0">
                  <c:v>0</c:v>
                </c:pt>
                <c:pt idx="1">
                  <c:v>0</c:v>
                </c:pt>
                <c:pt idx="2">
                  <c:v>0</c:v>
                </c:pt>
                <c:pt idx="3">
                  <c:v>1.1382628188139066E-4</c:v>
                </c:pt>
                <c:pt idx="4">
                  <c:v>2.4772338942355976E-3</c:v>
                </c:pt>
                <c:pt idx="5">
                  <c:v>7.1946686768895596E-3</c:v>
                </c:pt>
                <c:pt idx="6">
                  <c:v>6.2180839810571653E-3</c:v>
                </c:pt>
                <c:pt idx="7">
                  <c:v>2.4255507839036072E-3</c:v>
                </c:pt>
                <c:pt idx="8">
                  <c:v>-1.9040057691463996E-3</c:v>
                </c:pt>
              </c:numCache>
            </c:numRef>
          </c:val>
          <c:extLst xmlns:c16r2="http://schemas.microsoft.com/office/drawing/2015/06/chart">
            <c:ext xmlns:c16="http://schemas.microsoft.com/office/drawing/2014/chart" uri="{C3380CC4-5D6E-409C-BE32-E72D297353CC}">
              <c16:uniqueId val="{00000001-4813-4624-A613-74854566DFA1}"/>
            </c:ext>
          </c:extLst>
        </c:ser>
        <c:dLbls>
          <c:showLegendKey val="0"/>
          <c:showVal val="0"/>
          <c:showCatName val="0"/>
          <c:showSerName val="0"/>
          <c:showPercent val="0"/>
          <c:showBubbleSize val="0"/>
        </c:dLbls>
        <c:gapWidth val="150"/>
        <c:overlap val="100"/>
        <c:axId val="554460864"/>
        <c:axId val="554460472"/>
      </c:barChart>
      <c:lineChart>
        <c:grouping val="standard"/>
        <c:varyColors val="0"/>
        <c:ser>
          <c:idx val="0"/>
          <c:order val="0"/>
          <c:tx>
            <c:strRef>
              <c:f>zamestnanost!$A$12</c:f>
              <c:strCache>
                <c:ptCount val="1"/>
                <c:pt idx="0">
                  <c:v>Zamestnanosť</c:v>
                </c:pt>
              </c:strCache>
            </c:strRef>
          </c:tx>
          <c:spPr>
            <a:ln w="28575" cap="rnd">
              <a:noFill/>
              <a:round/>
            </a:ln>
            <a:effectLst/>
          </c:spPr>
          <c:marker>
            <c:symbol val="diamond"/>
            <c:size val="6"/>
            <c:spPr>
              <a:solidFill>
                <a:srgbClr val="FF0000"/>
              </a:solidFill>
              <a:ln w="9525">
                <a:solidFill>
                  <a:srgbClr val="FF0000"/>
                </a:solidFill>
              </a:ln>
              <a:effectLst/>
            </c:spPr>
          </c:marker>
          <c:cat>
            <c:numRef>
              <c:f>zamestnanost!$B$11:$J$11</c:f>
              <c:numCache>
                <c:formatCode>0</c:formatCode>
                <c:ptCount val="9"/>
                <c:pt idx="0">
                  <c:v>2018</c:v>
                </c:pt>
                <c:pt idx="1">
                  <c:v>2019</c:v>
                </c:pt>
                <c:pt idx="2">
                  <c:v>2020</c:v>
                </c:pt>
                <c:pt idx="3">
                  <c:v>2021</c:v>
                </c:pt>
                <c:pt idx="4">
                  <c:v>2022</c:v>
                </c:pt>
                <c:pt idx="5">
                  <c:v>2023</c:v>
                </c:pt>
                <c:pt idx="6">
                  <c:v>2024</c:v>
                </c:pt>
                <c:pt idx="7">
                  <c:v>2025</c:v>
                </c:pt>
                <c:pt idx="8">
                  <c:v>2026</c:v>
                </c:pt>
              </c:numCache>
            </c:numRef>
          </c:cat>
          <c:val>
            <c:numRef>
              <c:f>zamestnanost!$B$12:$J$12</c:f>
              <c:numCache>
                <c:formatCode>0.0%</c:formatCode>
                <c:ptCount val="9"/>
                <c:pt idx="0">
                  <c:v>2.008467888794474E-2</c:v>
                </c:pt>
                <c:pt idx="1">
                  <c:v>1.0450009959080964E-2</c:v>
                </c:pt>
                <c:pt idx="2">
                  <c:v>-1.8861519963683793E-2</c:v>
                </c:pt>
                <c:pt idx="3">
                  <c:v>-8.1936641206497018E-3</c:v>
                </c:pt>
                <c:pt idx="4">
                  <c:v>7.5416518357946938E-3</c:v>
                </c:pt>
                <c:pt idx="5">
                  <c:v>9.9764059596931798E-3</c:v>
                </c:pt>
                <c:pt idx="6">
                  <c:v>3.500065736187663E-3</c:v>
                </c:pt>
                <c:pt idx="7">
                  <c:v>-4.1450014906213584E-3</c:v>
                </c:pt>
                <c:pt idx="8">
                  <c:v>-1.0931775139643718E-2</c:v>
                </c:pt>
              </c:numCache>
            </c:numRef>
          </c:val>
          <c:smooth val="0"/>
          <c:extLst xmlns:c16r2="http://schemas.microsoft.com/office/drawing/2015/06/chart">
            <c:ext xmlns:c16="http://schemas.microsoft.com/office/drawing/2014/chart" uri="{C3380CC4-5D6E-409C-BE32-E72D297353CC}">
              <c16:uniqueId val="{00000002-4813-4624-A613-74854566DFA1}"/>
            </c:ext>
          </c:extLst>
        </c:ser>
        <c:dLbls>
          <c:showLegendKey val="0"/>
          <c:showVal val="0"/>
          <c:showCatName val="0"/>
          <c:showSerName val="0"/>
          <c:showPercent val="0"/>
          <c:showBubbleSize val="0"/>
        </c:dLbls>
        <c:marker val="1"/>
        <c:smooth val="0"/>
        <c:axId val="554460864"/>
        <c:axId val="554460472"/>
      </c:lineChart>
      <c:catAx>
        <c:axId val="554460864"/>
        <c:scaling>
          <c:orientation val="minMax"/>
        </c:scaling>
        <c:delete val="0"/>
        <c:axPos val="b"/>
        <c:numFmt formatCode="0" sourceLinked="1"/>
        <c:majorTickMark val="out"/>
        <c:minorTickMark val="none"/>
        <c:tickLblPos val="low"/>
        <c:spPr>
          <a:noFill/>
          <a:ln w="9525" cap="flat" cmpd="sng" algn="ctr">
            <a:solidFill>
              <a:schemeClr val="tx1">
                <a:lumMod val="50000"/>
                <a:lumOff val="50000"/>
              </a:schemeClr>
            </a:solidFill>
            <a:round/>
          </a:ln>
          <a:effectLst/>
        </c:spPr>
        <c:txPr>
          <a:bodyPr rot="0" spcFirstLastPara="1" vertOverflow="ellipsis"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4460472"/>
        <c:crosses val="autoZero"/>
        <c:auto val="1"/>
        <c:lblAlgn val="ctr"/>
        <c:lblOffset val="100"/>
        <c:noMultiLvlLbl val="0"/>
      </c:catAx>
      <c:valAx>
        <c:axId val="554460472"/>
        <c:scaling>
          <c:orientation val="minMax"/>
        </c:scaling>
        <c:delete val="0"/>
        <c:axPos val="l"/>
        <c:majorGridlines>
          <c:spPr>
            <a:ln w="9525" cap="flat" cmpd="sng" algn="ctr">
              <a:solidFill>
                <a:schemeClr val="bg1">
                  <a:lumMod val="75000"/>
                </a:schemeClr>
              </a:solidFill>
              <a:prstDash val="solid"/>
              <a:round/>
            </a:ln>
            <a:effectLst/>
          </c:spPr>
        </c:majorGridlines>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4460864"/>
        <c:crosses val="autoZero"/>
        <c:crossBetween val="between"/>
        <c:majorUnit val="5.000000000000001E-3"/>
      </c:valAx>
      <c:spPr>
        <a:noFill/>
        <a:ln w="12700">
          <a:noFill/>
        </a:ln>
        <a:effectLst/>
      </c:spPr>
    </c:plotArea>
    <c:legend>
      <c:legendPos val="b"/>
      <c:layout>
        <c:manualLayout>
          <c:xMode val="edge"/>
          <c:yMode val="edge"/>
          <c:x val="0.30410836920509671"/>
          <c:y val="4.1030135041858429E-2"/>
          <c:w val="0.36386221501357235"/>
          <c:h val="0.22037160853656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14753857064107E-2"/>
          <c:y val="3.3314398735912923E-2"/>
          <c:w val="0.92889466057012682"/>
          <c:h val="0.79840567828068132"/>
        </c:manualLayout>
      </c:layout>
      <c:barChart>
        <c:barDir val="col"/>
        <c:grouping val="stacked"/>
        <c:varyColors val="0"/>
        <c:ser>
          <c:idx val="0"/>
          <c:order val="0"/>
          <c:tx>
            <c:strRef>
              <c:f>'graf 1 COFOG porovnanie'!$B$105</c:f>
              <c:strCache>
                <c:ptCount val="1"/>
                <c:pt idx="0">
                  <c:v>Vzdelávanie</c:v>
                </c:pt>
              </c:strCache>
            </c:strRef>
          </c:tx>
          <c:spPr>
            <a:solidFill>
              <a:schemeClr val="accent1"/>
            </a:solidFill>
            <a:ln>
              <a:noFill/>
            </a:ln>
            <a:effectLst/>
          </c:spPr>
          <c:invertIfNegative val="0"/>
          <c:cat>
            <c:strRef>
              <c:f>'graf 1 COFOG porovnanie'!$A$105:$A$133</c:f>
              <c:strCache>
                <c:ptCount val="29"/>
                <c:pt idx="1">
                  <c:v>Estónsko</c:v>
                </c:pt>
                <c:pt idx="2">
                  <c:v>Švédsko</c:v>
                </c:pt>
                <c:pt idx="3">
                  <c:v>Dánsko</c:v>
                </c:pt>
                <c:pt idx="4">
                  <c:v>Lotyšsko</c:v>
                </c:pt>
                <c:pt idx="5">
                  <c:v>Holandsko</c:v>
                </c:pt>
                <c:pt idx="6">
                  <c:v>Cyprus</c:v>
                </c:pt>
                <c:pt idx="7">
                  <c:v>Belgicko</c:v>
                </c:pt>
                <c:pt idx="8">
                  <c:v>Česko</c:v>
                </c:pt>
                <c:pt idx="9">
                  <c:v>Slovinsko</c:v>
                </c:pt>
                <c:pt idx="10">
                  <c:v>Litva</c:v>
                </c:pt>
                <c:pt idx="11">
                  <c:v>Luxembursko</c:v>
                </c:pt>
                <c:pt idx="12">
                  <c:v>Malta</c:v>
                </c:pt>
                <c:pt idx="13">
                  <c:v>Rakúsko</c:v>
                </c:pt>
                <c:pt idx="14">
                  <c:v>Fínsko</c:v>
                </c:pt>
                <c:pt idx="15">
                  <c:v>Írsko</c:v>
                </c:pt>
                <c:pt idx="16">
                  <c:v>Maďarsko</c:v>
                </c:pt>
                <c:pt idx="17">
                  <c:v>Poľsko</c:v>
                </c:pt>
                <c:pt idx="18">
                  <c:v>Portugalsko</c:v>
                </c:pt>
                <c:pt idx="19">
                  <c:v>EU27</c:v>
                </c:pt>
                <c:pt idx="20">
                  <c:v>Nemecko</c:v>
                </c:pt>
                <c:pt idx="21">
                  <c:v>Španielsko</c:v>
                </c:pt>
                <c:pt idx="22">
                  <c:v>Francúzsko</c:v>
                </c:pt>
                <c:pt idx="23">
                  <c:v>Rumunsko</c:v>
                </c:pt>
                <c:pt idx="24">
                  <c:v>Bulharsko</c:v>
                </c:pt>
                <c:pt idx="25">
                  <c:v>Slovensko</c:v>
                </c:pt>
                <c:pt idx="26">
                  <c:v>Chorvátsko</c:v>
                </c:pt>
                <c:pt idx="27">
                  <c:v>Taliansko</c:v>
                </c:pt>
                <c:pt idx="28">
                  <c:v>Grécko</c:v>
                </c:pt>
              </c:strCache>
            </c:strRef>
          </c:cat>
          <c:val>
            <c:numRef>
              <c:f>'graf 1 COFOG porovnanie'!$B$105:$B$133</c:f>
              <c:numCache>
                <c:formatCode>0.0%</c:formatCode>
                <c:ptCount val="29"/>
                <c:pt idx="0" formatCode="General">
                  <c:v>0</c:v>
                </c:pt>
                <c:pt idx="1">
                  <c:v>0.15516185916470984</c:v>
                </c:pt>
                <c:pt idx="2">
                  <c:v>0.14066740618674806</c:v>
                </c:pt>
                <c:pt idx="3">
                  <c:v>0.12741044998529333</c:v>
                </c:pt>
                <c:pt idx="4">
                  <c:v>0.15012183131706067</c:v>
                </c:pt>
                <c:pt idx="5">
                  <c:v>0.11795290578807605</c:v>
                </c:pt>
                <c:pt idx="6">
                  <c:v>0.13385455809936175</c:v>
                </c:pt>
                <c:pt idx="7">
                  <c:v>0.1182983530171153</c:v>
                </c:pt>
                <c:pt idx="8">
                  <c:v>0.11841547681850023</c:v>
                </c:pt>
                <c:pt idx="9">
                  <c:v>0.12597421811986045</c:v>
                </c:pt>
                <c:pt idx="10">
                  <c:v>0.13315974790661891</c:v>
                </c:pt>
                <c:pt idx="11">
                  <c:v>0.11031789546710827</c:v>
                </c:pt>
                <c:pt idx="12">
                  <c:v>0.14164612517284916</c:v>
                </c:pt>
                <c:pt idx="13">
                  <c:v>9.8552117534599554E-2</c:v>
                </c:pt>
                <c:pt idx="14">
                  <c:v>0.10555172206302157</c:v>
                </c:pt>
                <c:pt idx="15">
                  <c:v>0.12786618548433293</c:v>
                </c:pt>
                <c:pt idx="16">
                  <c:v>0.10328405029363996</c:v>
                </c:pt>
                <c:pt idx="17">
                  <c:v>0.12005468360888465</c:v>
                </c:pt>
                <c:pt idx="18">
                  <c:v>0.10342322420107183</c:v>
                </c:pt>
                <c:pt idx="19">
                  <c:v>0.10044514223475332</c:v>
                </c:pt>
                <c:pt idx="20">
                  <c:v>9.5758909947435647E-2</c:v>
                </c:pt>
                <c:pt idx="21">
                  <c:v>9.5172139744498424E-2</c:v>
                </c:pt>
                <c:pt idx="22">
                  <c:v>9.5027263622537925E-2</c:v>
                </c:pt>
                <c:pt idx="23">
                  <c:v>0.10078827573047462</c:v>
                </c:pt>
                <c:pt idx="24">
                  <c:v>0.10693949937658387</c:v>
                </c:pt>
                <c:pt idx="25">
                  <c:v>9.847861739620252E-2</c:v>
                </c:pt>
                <c:pt idx="26">
                  <c:v>0.10241630870954824</c:v>
                </c:pt>
                <c:pt idx="27">
                  <c:v>8.0414091754921993E-2</c:v>
                </c:pt>
                <c:pt idx="28">
                  <c:v>8.3270136734459377E-2</c:v>
                </c:pt>
              </c:numCache>
            </c:numRef>
          </c:val>
          <c:extLst xmlns:c16r2="http://schemas.microsoft.com/office/drawing/2015/06/chart">
            <c:ext xmlns:c16="http://schemas.microsoft.com/office/drawing/2014/chart" uri="{C3380CC4-5D6E-409C-BE32-E72D297353CC}">
              <c16:uniqueId val="{00000000-AE9E-4BD2-B50F-EE17D1EE9170}"/>
            </c:ext>
          </c:extLst>
        </c:ser>
        <c:ser>
          <c:idx val="1"/>
          <c:order val="1"/>
          <c:tx>
            <c:strRef>
              <c:f>'graf 1 COFOG porovnanie'!$C$105</c:f>
              <c:strCache>
                <c:ptCount val="1"/>
                <c:pt idx="0">
                  <c:v>Veda a výskum</c:v>
                </c:pt>
              </c:strCache>
            </c:strRef>
          </c:tx>
          <c:spPr>
            <a:solidFill>
              <a:schemeClr val="bg2">
                <a:lumMod val="75000"/>
              </a:schemeClr>
            </a:solidFill>
            <a:ln>
              <a:noFill/>
            </a:ln>
            <a:effectLst/>
          </c:spPr>
          <c:invertIfNegative val="0"/>
          <c:cat>
            <c:strRef>
              <c:f>'graf 1 COFOG porovnanie'!$A$105:$A$133</c:f>
              <c:strCache>
                <c:ptCount val="29"/>
                <c:pt idx="1">
                  <c:v>Estónsko</c:v>
                </c:pt>
                <c:pt idx="2">
                  <c:v>Švédsko</c:v>
                </c:pt>
                <c:pt idx="3">
                  <c:v>Dánsko</c:v>
                </c:pt>
                <c:pt idx="4">
                  <c:v>Lotyšsko</c:v>
                </c:pt>
                <c:pt idx="5">
                  <c:v>Holandsko</c:v>
                </c:pt>
                <c:pt idx="6">
                  <c:v>Cyprus</c:v>
                </c:pt>
                <c:pt idx="7">
                  <c:v>Belgicko</c:v>
                </c:pt>
                <c:pt idx="8">
                  <c:v>Česko</c:v>
                </c:pt>
                <c:pt idx="9">
                  <c:v>Slovinsko</c:v>
                </c:pt>
                <c:pt idx="10">
                  <c:v>Litva</c:v>
                </c:pt>
                <c:pt idx="11">
                  <c:v>Luxembursko</c:v>
                </c:pt>
                <c:pt idx="12">
                  <c:v>Malta</c:v>
                </c:pt>
                <c:pt idx="13">
                  <c:v>Rakúsko</c:v>
                </c:pt>
                <c:pt idx="14">
                  <c:v>Fínsko</c:v>
                </c:pt>
                <c:pt idx="15">
                  <c:v>Írsko</c:v>
                </c:pt>
                <c:pt idx="16">
                  <c:v>Maďarsko</c:v>
                </c:pt>
                <c:pt idx="17">
                  <c:v>Poľsko</c:v>
                </c:pt>
                <c:pt idx="18">
                  <c:v>Portugalsko</c:v>
                </c:pt>
                <c:pt idx="19">
                  <c:v>EU27</c:v>
                </c:pt>
                <c:pt idx="20">
                  <c:v>Nemecko</c:v>
                </c:pt>
                <c:pt idx="21">
                  <c:v>Španielsko</c:v>
                </c:pt>
                <c:pt idx="22">
                  <c:v>Francúzsko</c:v>
                </c:pt>
                <c:pt idx="23">
                  <c:v>Rumunsko</c:v>
                </c:pt>
                <c:pt idx="24">
                  <c:v>Bulharsko</c:v>
                </c:pt>
                <c:pt idx="25">
                  <c:v>Slovensko</c:v>
                </c:pt>
                <c:pt idx="26">
                  <c:v>Chorvátsko</c:v>
                </c:pt>
                <c:pt idx="27">
                  <c:v>Taliansko</c:v>
                </c:pt>
                <c:pt idx="28">
                  <c:v>Grécko</c:v>
                </c:pt>
              </c:strCache>
            </c:strRef>
          </c:cat>
          <c:val>
            <c:numRef>
              <c:f>'graf 1 COFOG porovnanie'!$C$105:$C$133</c:f>
              <c:numCache>
                <c:formatCode>0.0%</c:formatCode>
                <c:ptCount val="29"/>
                <c:pt idx="0" formatCode="General">
                  <c:v>0</c:v>
                </c:pt>
                <c:pt idx="1">
                  <c:v>2.7638948532166252E-2</c:v>
                </c:pt>
                <c:pt idx="2">
                  <c:v>3.7827093365478945E-2</c:v>
                </c:pt>
                <c:pt idx="3">
                  <c:v>3.7910756130865385E-2</c:v>
                </c:pt>
                <c:pt idx="4">
                  <c:v>1.1918095156670796E-2</c:v>
                </c:pt>
                <c:pt idx="5">
                  <c:v>3.401934058703264E-2</c:v>
                </c:pt>
                <c:pt idx="6">
                  <c:v>1.7240799111599685E-2</c:v>
                </c:pt>
                <c:pt idx="7">
                  <c:v>2.9634799447307646E-2</c:v>
                </c:pt>
                <c:pt idx="8">
                  <c:v>2.6053783155036276E-2</c:v>
                </c:pt>
                <c:pt idx="9">
                  <c:v>2.2794198361070408E-2</c:v>
                </c:pt>
                <c:pt idx="10">
                  <c:v>1.1462555848152202E-2</c:v>
                </c:pt>
                <c:pt idx="11">
                  <c:v>2.6411097061993905E-2</c:v>
                </c:pt>
                <c:pt idx="12">
                  <c:v>1.1823884246177278E-3</c:v>
                </c:pt>
                <c:pt idx="13">
                  <c:v>4.1574020198661736E-2</c:v>
                </c:pt>
                <c:pt idx="14">
                  <c:v>2.8742076978440317E-2</c:v>
                </c:pt>
                <c:pt idx="15">
                  <c:v>1.238127971587329E-2</c:v>
                </c:pt>
                <c:pt idx="16">
                  <c:v>1.2979052329363548E-2</c:v>
                </c:pt>
                <c:pt idx="17">
                  <c:v>9.7438861560557727E-3</c:v>
                </c:pt>
                <c:pt idx="18">
                  <c:v>2.509660996830226E-2</c:v>
                </c:pt>
                <c:pt idx="19">
                  <c:v>2.6800266449125087E-2</c:v>
                </c:pt>
                <c:pt idx="20">
                  <c:v>3.2951883395696012E-2</c:v>
                </c:pt>
                <c:pt idx="21">
                  <c:v>2.7151102034422218E-2</c:v>
                </c:pt>
                <c:pt idx="22">
                  <c:v>2.2730071590192514E-2</c:v>
                </c:pt>
                <c:pt idx="23">
                  <c:v>9.7165329745080402E-3</c:v>
                </c:pt>
                <c:pt idx="24">
                  <c:v>6.6347681657161622E-3</c:v>
                </c:pt>
                <c:pt idx="25">
                  <c:v>1.1754325621738025E-2</c:v>
                </c:pt>
                <c:pt idx="26">
                  <c:v>5.8856788358998928E-3</c:v>
                </c:pt>
                <c:pt idx="27">
                  <c:v>2.2726802821107766E-2</c:v>
                </c:pt>
                <c:pt idx="28">
                  <c:v>1.0904285878432724E-2</c:v>
                </c:pt>
              </c:numCache>
            </c:numRef>
          </c:val>
          <c:extLst xmlns:c16r2="http://schemas.microsoft.com/office/drawing/2015/06/chart">
            <c:ext xmlns:c16="http://schemas.microsoft.com/office/drawing/2014/chart" uri="{C3380CC4-5D6E-409C-BE32-E72D297353CC}">
              <c16:uniqueId val="{00000001-AE9E-4BD2-B50F-EE17D1EE9170}"/>
            </c:ext>
          </c:extLst>
        </c:ser>
        <c:ser>
          <c:idx val="2"/>
          <c:order val="2"/>
          <c:tx>
            <c:strRef>
              <c:f>'graf 1 COFOG porovnanie'!$D$105</c:f>
              <c:strCache>
                <c:ptCount val="1"/>
                <c:pt idx="0">
                  <c:v>Šport</c:v>
                </c:pt>
              </c:strCache>
            </c:strRef>
          </c:tx>
          <c:spPr>
            <a:solidFill>
              <a:schemeClr val="tx1"/>
            </a:solidFill>
            <a:ln>
              <a:noFill/>
            </a:ln>
            <a:effectLst/>
          </c:spPr>
          <c:invertIfNegative val="0"/>
          <c:cat>
            <c:strRef>
              <c:f>'graf 1 COFOG porovnanie'!$A$105:$A$133</c:f>
              <c:strCache>
                <c:ptCount val="29"/>
                <c:pt idx="1">
                  <c:v>Estónsko</c:v>
                </c:pt>
                <c:pt idx="2">
                  <c:v>Švédsko</c:v>
                </c:pt>
                <c:pt idx="3">
                  <c:v>Dánsko</c:v>
                </c:pt>
                <c:pt idx="4">
                  <c:v>Lotyšsko</c:v>
                </c:pt>
                <c:pt idx="5">
                  <c:v>Holandsko</c:v>
                </c:pt>
                <c:pt idx="6">
                  <c:v>Cyprus</c:v>
                </c:pt>
                <c:pt idx="7">
                  <c:v>Belgicko</c:v>
                </c:pt>
                <c:pt idx="8">
                  <c:v>Česko</c:v>
                </c:pt>
                <c:pt idx="9">
                  <c:v>Slovinsko</c:v>
                </c:pt>
                <c:pt idx="10">
                  <c:v>Litva</c:v>
                </c:pt>
                <c:pt idx="11">
                  <c:v>Luxembursko</c:v>
                </c:pt>
                <c:pt idx="12">
                  <c:v>Malta</c:v>
                </c:pt>
                <c:pt idx="13">
                  <c:v>Rakúsko</c:v>
                </c:pt>
                <c:pt idx="14">
                  <c:v>Fínsko</c:v>
                </c:pt>
                <c:pt idx="15">
                  <c:v>Írsko</c:v>
                </c:pt>
                <c:pt idx="16">
                  <c:v>Maďarsko</c:v>
                </c:pt>
                <c:pt idx="17">
                  <c:v>Poľsko</c:v>
                </c:pt>
                <c:pt idx="18">
                  <c:v>Portugalsko</c:v>
                </c:pt>
                <c:pt idx="19">
                  <c:v>EU27</c:v>
                </c:pt>
                <c:pt idx="20">
                  <c:v>Nemecko</c:v>
                </c:pt>
                <c:pt idx="21">
                  <c:v>Španielsko</c:v>
                </c:pt>
                <c:pt idx="22">
                  <c:v>Francúzsko</c:v>
                </c:pt>
                <c:pt idx="23">
                  <c:v>Rumunsko</c:v>
                </c:pt>
                <c:pt idx="24">
                  <c:v>Bulharsko</c:v>
                </c:pt>
                <c:pt idx="25">
                  <c:v>Slovensko</c:v>
                </c:pt>
                <c:pt idx="26">
                  <c:v>Chorvátsko</c:v>
                </c:pt>
                <c:pt idx="27">
                  <c:v>Taliansko</c:v>
                </c:pt>
                <c:pt idx="28">
                  <c:v>Grécko</c:v>
                </c:pt>
              </c:strCache>
            </c:strRef>
          </c:cat>
          <c:val>
            <c:numRef>
              <c:f>'graf 1 COFOG porovnanie'!$D$105:$D$133</c:f>
              <c:numCache>
                <c:formatCode>0.0%</c:formatCode>
                <c:ptCount val="29"/>
                <c:pt idx="0" formatCode="General">
                  <c:v>0</c:v>
                </c:pt>
                <c:pt idx="1">
                  <c:v>1.4883916416164902E-2</c:v>
                </c:pt>
                <c:pt idx="2">
                  <c:v>1.1739133222619054E-2</c:v>
                </c:pt>
                <c:pt idx="3">
                  <c:v>7.8968026455132952E-3</c:v>
                </c:pt>
                <c:pt idx="4">
                  <c:v>6.5062198093446752E-3</c:v>
                </c:pt>
                <c:pt idx="5">
                  <c:v>1.1047987215942471E-2</c:v>
                </c:pt>
                <c:pt idx="6">
                  <c:v>9.2653871608206484E-3</c:v>
                </c:pt>
                <c:pt idx="7">
                  <c:v>7.7292210870288751E-3</c:v>
                </c:pt>
                <c:pt idx="8">
                  <c:v>1.1147529641705079E-2</c:v>
                </c:pt>
                <c:pt idx="9">
                  <c:v>6.4239930891961412E-3</c:v>
                </c:pt>
                <c:pt idx="10">
                  <c:v>7.2609994969967751E-3</c:v>
                </c:pt>
                <c:pt idx="11">
                  <c:v>1.1901964514167852E-2</c:v>
                </c:pt>
                <c:pt idx="12">
                  <c:v>5.5912944147177299E-3</c:v>
                </c:pt>
                <c:pt idx="13">
                  <c:v>5.7198370807530858E-3</c:v>
                </c:pt>
                <c:pt idx="14">
                  <c:v>1.0705993871795333E-2</c:v>
                </c:pt>
                <c:pt idx="15">
                  <c:v>3.8013404365011172E-3</c:v>
                </c:pt>
                <c:pt idx="16">
                  <c:v>2.4024542863624546E-2</c:v>
                </c:pt>
                <c:pt idx="17">
                  <c:v>1.0326381562785326E-2</c:v>
                </c:pt>
                <c:pt idx="18">
                  <c:v>7.7639683286365576E-3</c:v>
                </c:pt>
                <c:pt idx="19">
                  <c:v>8.2037903475015387E-3</c:v>
                </c:pt>
                <c:pt idx="20">
                  <c:v>5.7692431117586278E-3</c:v>
                </c:pt>
                <c:pt idx="21">
                  <c:v>9.6534279890188191E-3</c:v>
                </c:pt>
                <c:pt idx="22">
                  <c:v>1.0188063355465708E-2</c:v>
                </c:pt>
                <c:pt idx="23">
                  <c:v>8.1974728588810504E-3</c:v>
                </c:pt>
                <c:pt idx="24">
                  <c:v>3.7540004411175582E-3</c:v>
                </c:pt>
                <c:pt idx="25">
                  <c:v>5.4409866056518465E-3</c:v>
                </c:pt>
                <c:pt idx="26">
                  <c:v>7.008630234877457E-3</c:v>
                </c:pt>
                <c:pt idx="27">
                  <c:v>5.4363757495003336E-3</c:v>
                </c:pt>
                <c:pt idx="28">
                  <c:v>8.9854073308054689E-3</c:v>
                </c:pt>
              </c:numCache>
            </c:numRef>
          </c:val>
          <c:extLst xmlns:c16r2="http://schemas.microsoft.com/office/drawing/2015/06/chart">
            <c:ext xmlns:c16="http://schemas.microsoft.com/office/drawing/2014/chart" uri="{C3380CC4-5D6E-409C-BE32-E72D297353CC}">
              <c16:uniqueId val="{00000002-AE9E-4BD2-B50F-EE17D1EE9170}"/>
            </c:ext>
          </c:extLst>
        </c:ser>
        <c:dLbls>
          <c:showLegendKey val="0"/>
          <c:showVal val="0"/>
          <c:showCatName val="0"/>
          <c:showSerName val="0"/>
          <c:showPercent val="0"/>
          <c:showBubbleSize val="0"/>
        </c:dLbls>
        <c:gapWidth val="100"/>
        <c:overlap val="100"/>
        <c:axId val="554459688"/>
        <c:axId val="554456160"/>
      </c:barChart>
      <c:catAx>
        <c:axId val="55445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crossAx val="554456160"/>
        <c:crosses val="autoZero"/>
        <c:auto val="1"/>
        <c:lblAlgn val="ctr"/>
        <c:lblOffset val="100"/>
        <c:noMultiLvlLbl val="0"/>
      </c:catAx>
      <c:valAx>
        <c:axId val="554456160"/>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54459688"/>
        <c:crosses val="autoZero"/>
        <c:crossBetween val="between"/>
      </c:valAx>
      <c:spPr>
        <a:noFill/>
        <a:ln>
          <a:noFill/>
        </a:ln>
        <a:effectLst/>
      </c:spPr>
    </c:plotArea>
    <c:legend>
      <c:legendPos val="b"/>
      <c:layout>
        <c:manualLayout>
          <c:xMode val="edge"/>
          <c:yMode val="edge"/>
          <c:x val="0.46546950476751991"/>
          <c:y val="3.0576318805219764E-2"/>
          <c:w val="0.43340575648382934"/>
          <c:h val="0.192699222456347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874203224596929E-2"/>
          <c:y val="3.0660848922547102E-2"/>
          <c:w val="0.82682658045227786"/>
          <c:h val="0.80046174164535167"/>
        </c:manualLayout>
      </c:layout>
      <c:lineChart>
        <c:grouping val="standard"/>
        <c:varyColors val="0"/>
        <c:ser>
          <c:idx val="0"/>
          <c:order val="0"/>
          <c:tx>
            <c:strRef>
              <c:f>'COFOG vyvoj'!$A$12</c:f>
              <c:strCache>
                <c:ptCount val="1"/>
                <c:pt idx="0">
                  <c:v>SK</c:v>
                </c:pt>
              </c:strCache>
            </c:strRef>
          </c:tx>
          <c:spPr>
            <a:ln w="25400">
              <a:solidFill>
                <a:srgbClr val="0070C0"/>
              </a:solidFill>
              <a:prstDash val="solid"/>
            </a:ln>
          </c:spPr>
          <c:marker>
            <c:symbol val="none"/>
          </c:marker>
          <c:dPt>
            <c:idx val="5"/>
            <c:bubble3D val="0"/>
            <c:extLst xmlns:c16r2="http://schemas.microsoft.com/office/drawing/2015/06/chart">
              <c:ext xmlns:c16="http://schemas.microsoft.com/office/drawing/2014/chart" uri="{C3380CC4-5D6E-409C-BE32-E72D297353CC}">
                <c16:uniqueId val="{00000001-6CC2-4842-B957-D0DEE6DA683A}"/>
              </c:ext>
            </c:extLst>
          </c:dPt>
          <c:dPt>
            <c:idx val="6"/>
            <c:bubble3D val="0"/>
            <c:extLst xmlns:c16r2="http://schemas.microsoft.com/office/drawing/2015/06/chart">
              <c:ext xmlns:c16="http://schemas.microsoft.com/office/drawing/2014/chart" uri="{C3380CC4-5D6E-409C-BE32-E72D297353CC}">
                <c16:uniqueId val="{00000003-6CC2-4842-B957-D0DEE6DA683A}"/>
              </c:ext>
            </c:extLst>
          </c:dPt>
          <c:dPt>
            <c:idx val="7"/>
            <c:bubble3D val="0"/>
            <c:extLst xmlns:c16r2="http://schemas.microsoft.com/office/drawing/2015/06/chart">
              <c:ext xmlns:c16="http://schemas.microsoft.com/office/drawing/2014/chart" uri="{C3380CC4-5D6E-409C-BE32-E72D297353CC}">
                <c16:uniqueId val="{00000005-6CC2-4842-B957-D0DEE6DA683A}"/>
              </c:ext>
            </c:extLst>
          </c:dPt>
          <c:dPt>
            <c:idx val="8"/>
            <c:bubble3D val="0"/>
            <c:extLst xmlns:c16r2="http://schemas.microsoft.com/office/drawing/2015/06/chart">
              <c:ext xmlns:c16="http://schemas.microsoft.com/office/drawing/2014/chart" uri="{C3380CC4-5D6E-409C-BE32-E72D297353CC}">
                <c16:uniqueId val="{00000007-6CC2-4842-B957-D0DEE6DA683A}"/>
              </c:ext>
            </c:extLst>
          </c:dPt>
          <c:dPt>
            <c:idx val="9"/>
            <c:bubble3D val="0"/>
            <c:extLst xmlns:c16r2="http://schemas.microsoft.com/office/drawing/2015/06/chart">
              <c:ext xmlns:c16="http://schemas.microsoft.com/office/drawing/2014/chart" uri="{C3380CC4-5D6E-409C-BE32-E72D297353CC}">
                <c16:uniqueId val="{00000009-6CC2-4842-B957-D0DEE6DA683A}"/>
              </c:ext>
            </c:extLst>
          </c:dPt>
          <c:dPt>
            <c:idx val="10"/>
            <c:bubble3D val="0"/>
            <c:spPr>
              <a:ln w="25400">
                <a:solidFill>
                  <a:srgbClr val="0070C0"/>
                </a:solidFill>
                <a:prstDash val="sysDash"/>
              </a:ln>
            </c:spPr>
            <c:extLst xmlns:c16r2="http://schemas.microsoft.com/office/drawing/2015/06/chart">
              <c:ext xmlns:c16="http://schemas.microsoft.com/office/drawing/2014/chart" uri="{C3380CC4-5D6E-409C-BE32-E72D297353CC}">
                <c16:uniqueId val="{00000009-86BE-420F-8CFD-51CA250CE86C}"/>
              </c:ext>
            </c:extLst>
          </c:dPt>
          <c:dPt>
            <c:idx val="11"/>
            <c:bubble3D val="0"/>
            <c:spPr>
              <a:ln w="25400">
                <a:solidFill>
                  <a:srgbClr val="0070C0"/>
                </a:solidFill>
                <a:prstDash val="sysDash"/>
              </a:ln>
            </c:spPr>
            <c:extLst xmlns:c16r2="http://schemas.microsoft.com/office/drawing/2015/06/chart">
              <c:ext xmlns:c16="http://schemas.microsoft.com/office/drawing/2014/chart" uri="{C3380CC4-5D6E-409C-BE32-E72D297353CC}">
                <c16:uniqueId val="{00000008-86BE-420F-8CFD-51CA250CE86C}"/>
              </c:ext>
            </c:extLst>
          </c:dPt>
          <c:dPt>
            <c:idx val="12"/>
            <c:bubble3D val="0"/>
            <c:spPr>
              <a:ln w="25400">
                <a:solidFill>
                  <a:srgbClr val="0070C0"/>
                </a:solidFill>
                <a:prstDash val="sysDot"/>
              </a:ln>
            </c:spPr>
            <c:extLst xmlns:c16r2="http://schemas.microsoft.com/office/drawing/2015/06/chart">
              <c:ext xmlns:c16="http://schemas.microsoft.com/office/drawing/2014/chart" uri="{C3380CC4-5D6E-409C-BE32-E72D297353CC}">
                <c16:uniqueId val="{00000007-86BE-420F-8CFD-51CA250CE86C}"/>
              </c:ext>
            </c:extLst>
          </c:dPt>
          <c:dPt>
            <c:idx val="13"/>
            <c:bubble3D val="0"/>
            <c:spPr>
              <a:ln w="25400">
                <a:solidFill>
                  <a:srgbClr val="0070C0"/>
                </a:solidFill>
                <a:prstDash val="sysDot"/>
              </a:ln>
            </c:spPr>
            <c:extLst xmlns:c16r2="http://schemas.microsoft.com/office/drawing/2015/06/chart">
              <c:ext xmlns:c16="http://schemas.microsoft.com/office/drawing/2014/chart" uri="{C3380CC4-5D6E-409C-BE32-E72D297353CC}">
                <c16:uniqueId val="{00000006-86BE-420F-8CFD-51CA250CE86C}"/>
              </c:ext>
            </c:extLst>
          </c:dPt>
          <c:dPt>
            <c:idx val="14"/>
            <c:bubble3D val="0"/>
            <c:spPr>
              <a:ln w="25400">
                <a:solidFill>
                  <a:srgbClr val="0070C0"/>
                </a:solidFill>
                <a:prstDash val="sysDot"/>
              </a:ln>
            </c:spPr>
            <c:extLst xmlns:c16r2="http://schemas.microsoft.com/office/drawing/2015/06/chart">
              <c:ext xmlns:c16="http://schemas.microsoft.com/office/drawing/2014/chart" uri="{C3380CC4-5D6E-409C-BE32-E72D297353CC}">
                <c16:uniqueId val="{00000005-86BE-420F-8CFD-51CA250CE86C}"/>
              </c:ext>
            </c:extLst>
          </c:dPt>
          <c:dLbls>
            <c:spPr>
              <a:noFill/>
              <a:ln>
                <a:noFill/>
              </a:ln>
              <a:effectLst/>
            </c:spPr>
            <c:txPr>
              <a:bodyPr wrap="square" lIns="38100" tIns="19050" rIns="38100" bIns="19050" anchor="ctr">
                <a:spAutoFit/>
              </a:bodyPr>
              <a:lstStyle/>
              <a:p>
                <a:pPr>
                  <a:defRPr sz="600"/>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'COFOG vyvoj'!$D$7:$R$7</c:f>
              <c:strCache>
                <c:ptCount val="15"/>
                <c:pt idx="0">
                  <c:v>2010</c:v>
                </c:pt>
                <c:pt idx="1">
                  <c:v>2011</c:v>
                </c:pt>
                <c:pt idx="2">
                  <c:v>2012</c:v>
                </c:pt>
                <c:pt idx="3">
                  <c:v>2013</c:v>
                </c:pt>
                <c:pt idx="4">
                  <c:v>2014</c:v>
                </c:pt>
                <c:pt idx="5">
                  <c:v>2015</c:v>
                </c:pt>
                <c:pt idx="6">
                  <c:v>2016</c:v>
                </c:pt>
                <c:pt idx="7">
                  <c:v>2017</c:v>
                </c:pt>
                <c:pt idx="8">
                  <c:v>2018</c:v>
                </c:pt>
                <c:pt idx="9">
                  <c:v>2019</c:v>
                </c:pt>
                <c:pt idx="10">
                  <c:v>2020OS</c:v>
                </c:pt>
                <c:pt idx="11">
                  <c:v>2021OS</c:v>
                </c:pt>
                <c:pt idx="12">
                  <c:v>2022R</c:v>
                </c:pt>
                <c:pt idx="13">
                  <c:v>2023R</c:v>
                </c:pt>
                <c:pt idx="14">
                  <c:v>2024R</c:v>
                </c:pt>
              </c:strCache>
            </c:strRef>
          </c:cat>
          <c:val>
            <c:numRef>
              <c:f>'COFOG vyvoj'!$D$12:$R$12</c:f>
              <c:numCache>
                <c:formatCode>#\ ##0.0</c:formatCode>
                <c:ptCount val="15"/>
                <c:pt idx="0">
                  <c:v>10.7</c:v>
                </c:pt>
                <c:pt idx="1">
                  <c:v>10.3</c:v>
                </c:pt>
                <c:pt idx="2">
                  <c:v>9.8000000000000007</c:v>
                </c:pt>
                <c:pt idx="3">
                  <c:v>9.6999999999999993</c:v>
                </c:pt>
                <c:pt idx="4">
                  <c:v>9.3000000000000007</c:v>
                </c:pt>
                <c:pt idx="5">
                  <c:v>9.1</c:v>
                </c:pt>
                <c:pt idx="6">
                  <c:v>9.1</c:v>
                </c:pt>
                <c:pt idx="7">
                  <c:v>9.4</c:v>
                </c:pt>
                <c:pt idx="8">
                  <c:v>9.5</c:v>
                </c:pt>
                <c:pt idx="9">
                  <c:v>9.8000000000000007</c:v>
                </c:pt>
                <c:pt idx="10" formatCode="0.0">
                  <c:v>9.4369240160363912</c:v>
                </c:pt>
                <c:pt idx="11" formatCode="0.0">
                  <c:v>9.6376290781951042</c:v>
                </c:pt>
                <c:pt idx="12" formatCode="0.0">
                  <c:v>9.5138699259838937</c:v>
                </c:pt>
                <c:pt idx="13" formatCode="0.0">
                  <c:v>9.1223956141592435</c:v>
                </c:pt>
                <c:pt idx="14" formatCode="0.0">
                  <c:v>8.5251882141029043</c:v>
                </c:pt>
              </c:numCache>
            </c:numRef>
          </c:val>
          <c:smooth val="0"/>
          <c:extLst xmlns:c16r2="http://schemas.microsoft.com/office/drawing/2015/06/chart">
            <c:ext xmlns:c16="http://schemas.microsoft.com/office/drawing/2014/chart" uri="{C3380CC4-5D6E-409C-BE32-E72D297353CC}">
              <c16:uniqueId val="{0000000A-6CC2-4842-B957-D0DEE6DA683A}"/>
            </c:ext>
          </c:extLst>
        </c:ser>
        <c:ser>
          <c:idx val="1"/>
          <c:order val="1"/>
          <c:tx>
            <c:strRef>
              <c:f>'COFOG vyvoj'!$A$8</c:f>
              <c:strCache>
                <c:ptCount val="1"/>
                <c:pt idx="0">
                  <c:v>EÚ</c:v>
                </c:pt>
              </c:strCache>
            </c:strRef>
          </c:tx>
          <c:spPr>
            <a:ln w="28575">
              <a:solidFill>
                <a:schemeClr val="tx1"/>
              </a:solidFill>
              <a:prstDash val="solid"/>
            </a:ln>
          </c:spPr>
          <c:marker>
            <c:symbol val="none"/>
          </c:marker>
          <c:dLbls>
            <c:spPr>
              <a:noFill/>
              <a:ln>
                <a:noFill/>
              </a:ln>
              <a:effectLst/>
            </c:spPr>
            <c:txPr>
              <a:bodyPr wrap="square" lIns="38100" tIns="19050" rIns="38100" bIns="19050" anchor="ctr">
                <a:spAutoFit/>
              </a:bodyPr>
              <a:lstStyle/>
              <a:p>
                <a:pPr>
                  <a:defRPr sz="600"/>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'COFOG vyvoj'!$D$7:$R$7</c:f>
              <c:strCache>
                <c:ptCount val="15"/>
                <c:pt idx="0">
                  <c:v>2010</c:v>
                </c:pt>
                <c:pt idx="1">
                  <c:v>2011</c:v>
                </c:pt>
                <c:pt idx="2">
                  <c:v>2012</c:v>
                </c:pt>
                <c:pt idx="3">
                  <c:v>2013</c:v>
                </c:pt>
                <c:pt idx="4">
                  <c:v>2014</c:v>
                </c:pt>
                <c:pt idx="5">
                  <c:v>2015</c:v>
                </c:pt>
                <c:pt idx="6">
                  <c:v>2016</c:v>
                </c:pt>
                <c:pt idx="7">
                  <c:v>2017</c:v>
                </c:pt>
                <c:pt idx="8">
                  <c:v>2018</c:v>
                </c:pt>
                <c:pt idx="9">
                  <c:v>2019</c:v>
                </c:pt>
                <c:pt idx="10">
                  <c:v>2020OS</c:v>
                </c:pt>
                <c:pt idx="11">
                  <c:v>2021OS</c:v>
                </c:pt>
                <c:pt idx="12">
                  <c:v>2022R</c:v>
                </c:pt>
                <c:pt idx="13">
                  <c:v>2023R</c:v>
                </c:pt>
                <c:pt idx="14">
                  <c:v>2024R</c:v>
                </c:pt>
              </c:strCache>
            </c:strRef>
          </c:cat>
          <c:val>
            <c:numRef>
              <c:f>'COFOG vyvoj'!$D$8:$R$8</c:f>
              <c:numCache>
                <c:formatCode>#\ ##0.0</c:formatCode>
                <c:ptCount val="15"/>
                <c:pt idx="0">
                  <c:v>10</c:v>
                </c:pt>
                <c:pt idx="1">
                  <c:v>10</c:v>
                </c:pt>
                <c:pt idx="2">
                  <c:v>9.8000000000000007</c:v>
                </c:pt>
                <c:pt idx="3">
                  <c:v>9.9</c:v>
                </c:pt>
                <c:pt idx="4">
                  <c:v>9.9</c:v>
                </c:pt>
                <c:pt idx="5">
                  <c:v>9.9</c:v>
                </c:pt>
                <c:pt idx="6">
                  <c:v>9.9</c:v>
                </c:pt>
                <c:pt idx="7">
                  <c:v>10</c:v>
                </c:pt>
                <c:pt idx="8">
                  <c:v>10</c:v>
                </c:pt>
                <c:pt idx="9">
                  <c:v>10</c:v>
                </c:pt>
              </c:numCache>
            </c:numRef>
          </c:val>
          <c:smooth val="0"/>
          <c:extLst xmlns:c16r2="http://schemas.microsoft.com/office/drawing/2015/06/chart">
            <c:ext xmlns:c16="http://schemas.microsoft.com/office/drawing/2014/chart" uri="{C3380CC4-5D6E-409C-BE32-E72D297353CC}">
              <c16:uniqueId val="{0000000B-6CC2-4842-B957-D0DEE6DA683A}"/>
            </c:ext>
          </c:extLst>
        </c:ser>
        <c:ser>
          <c:idx val="2"/>
          <c:order val="2"/>
          <c:tx>
            <c:strRef>
              <c:f>'COFOG vyvoj'!$A$13</c:f>
              <c:strCache>
                <c:ptCount val="1"/>
                <c:pt idx="0">
                  <c:v>V3</c:v>
                </c:pt>
              </c:strCache>
            </c:strRef>
          </c:tx>
          <c:spPr>
            <a:ln w="25400"/>
          </c:spPr>
          <c:marker>
            <c:symbol val="none"/>
          </c:marker>
          <c:dLbls>
            <c:spPr>
              <a:noFill/>
              <a:ln>
                <a:noFill/>
              </a:ln>
              <a:effectLst/>
            </c:spPr>
            <c:txPr>
              <a:bodyPr wrap="square" lIns="38100" tIns="19050" rIns="38100" bIns="19050" anchor="ctr">
                <a:spAutoFit/>
              </a:bodyPr>
              <a:lstStyle/>
              <a:p>
                <a:pPr>
                  <a:defRPr sz="700"/>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'COFOG vyvoj'!$D$7:$R$7</c:f>
              <c:strCache>
                <c:ptCount val="15"/>
                <c:pt idx="0">
                  <c:v>2010</c:v>
                </c:pt>
                <c:pt idx="1">
                  <c:v>2011</c:v>
                </c:pt>
                <c:pt idx="2">
                  <c:v>2012</c:v>
                </c:pt>
                <c:pt idx="3">
                  <c:v>2013</c:v>
                </c:pt>
                <c:pt idx="4">
                  <c:v>2014</c:v>
                </c:pt>
                <c:pt idx="5">
                  <c:v>2015</c:v>
                </c:pt>
                <c:pt idx="6">
                  <c:v>2016</c:v>
                </c:pt>
                <c:pt idx="7">
                  <c:v>2017</c:v>
                </c:pt>
                <c:pt idx="8">
                  <c:v>2018</c:v>
                </c:pt>
                <c:pt idx="9">
                  <c:v>2019</c:v>
                </c:pt>
                <c:pt idx="10">
                  <c:v>2020OS</c:v>
                </c:pt>
                <c:pt idx="11">
                  <c:v>2021OS</c:v>
                </c:pt>
                <c:pt idx="12">
                  <c:v>2022R</c:v>
                </c:pt>
                <c:pt idx="13">
                  <c:v>2023R</c:v>
                </c:pt>
                <c:pt idx="14">
                  <c:v>2024R</c:v>
                </c:pt>
              </c:strCache>
            </c:strRef>
          </c:cat>
          <c:val>
            <c:numRef>
              <c:f>'COFOG vyvoj'!$D$13:$R$13</c:f>
              <c:numCache>
                <c:formatCode>#\ ##0.0</c:formatCode>
                <c:ptCount val="15"/>
                <c:pt idx="0">
                  <c:v>11.299999999999999</c:v>
                </c:pt>
                <c:pt idx="1">
                  <c:v>11.066666666666668</c:v>
                </c:pt>
                <c:pt idx="2">
                  <c:v>10.733333333333334</c:v>
                </c:pt>
                <c:pt idx="3">
                  <c:v>10.766666666666666</c:v>
                </c:pt>
                <c:pt idx="4">
                  <c:v>11.133333333333333</c:v>
                </c:pt>
                <c:pt idx="5">
                  <c:v>11.166666666666666</c:v>
                </c:pt>
                <c:pt idx="6">
                  <c:v>10.866666666666667</c:v>
                </c:pt>
                <c:pt idx="7">
                  <c:v>11.066666666666668</c:v>
                </c:pt>
                <c:pt idx="8">
                  <c:v>11.4</c:v>
                </c:pt>
                <c:pt idx="9">
                  <c:v>11.366666666666667</c:v>
                </c:pt>
              </c:numCache>
            </c:numRef>
          </c:val>
          <c:smooth val="0"/>
          <c:extLst xmlns:c16r2="http://schemas.microsoft.com/office/drawing/2015/06/chart">
            <c:ext xmlns:c16="http://schemas.microsoft.com/office/drawing/2014/chart" uri="{C3380CC4-5D6E-409C-BE32-E72D297353CC}">
              <c16:uniqueId val="{0000000C-6CC2-4842-B957-D0DEE6DA683A}"/>
            </c:ext>
          </c:extLst>
        </c:ser>
        <c:dLbls>
          <c:showLegendKey val="0"/>
          <c:showVal val="0"/>
          <c:showCatName val="0"/>
          <c:showSerName val="0"/>
          <c:showPercent val="0"/>
          <c:showBubbleSize val="0"/>
        </c:dLbls>
        <c:smooth val="0"/>
        <c:axId val="554450280"/>
        <c:axId val="554449888"/>
        <c:extLst xmlns:c16r2="http://schemas.microsoft.com/office/drawing/2015/06/chart"/>
      </c:lineChart>
      <c:catAx>
        <c:axId val="55445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800"/>
            </a:pPr>
            <a:endParaRPr lang="sk-SK"/>
          </a:p>
        </c:txPr>
        <c:crossAx val="554449888"/>
        <c:crosses val="autoZero"/>
        <c:auto val="1"/>
        <c:lblAlgn val="ctr"/>
        <c:lblOffset val="100"/>
        <c:tickLblSkip val="1"/>
        <c:noMultiLvlLbl val="0"/>
      </c:catAx>
      <c:valAx>
        <c:axId val="554449888"/>
        <c:scaling>
          <c:orientation val="minMax"/>
          <c:min val="8"/>
        </c:scaling>
        <c:delete val="0"/>
        <c:axPos val="l"/>
        <c:majorGridlines>
          <c:spPr>
            <a:ln w="9525" cap="flat" cmpd="sng" algn="ctr">
              <a:solidFill>
                <a:schemeClr val="tx1">
                  <a:lumMod val="15000"/>
                  <a:lumOff val="85000"/>
                </a:schemeClr>
              </a:solidFill>
              <a:prstDash val="dash"/>
              <a:round/>
            </a:ln>
            <a:effectLst/>
          </c:spPr>
        </c:majorGridlines>
        <c:numFmt formatCode="#,##0.0&quot; %&quot;" sourceLinked="0"/>
        <c:majorTickMark val="none"/>
        <c:minorTickMark val="none"/>
        <c:tickLblPos val="nextTo"/>
        <c:spPr>
          <a:noFill/>
          <a:ln>
            <a:solidFill>
              <a:schemeClr val="bg1">
                <a:lumMod val="75000"/>
              </a:schemeClr>
            </a:solidFill>
          </a:ln>
          <a:effectLst/>
        </c:spPr>
        <c:txPr>
          <a:bodyPr rot="-60000000" vert="horz"/>
          <a:lstStyle/>
          <a:p>
            <a:pPr>
              <a:defRPr sz="800"/>
            </a:pPr>
            <a:endParaRPr lang="sk-SK"/>
          </a:p>
        </c:txPr>
        <c:crossAx val="554450280"/>
        <c:crosses val="autoZero"/>
        <c:crossBetween val="between"/>
      </c:valAx>
      <c:spPr>
        <a:noFill/>
        <a:ln>
          <a:noFill/>
        </a:ln>
        <a:effectLst/>
      </c:spPr>
    </c:plotArea>
    <c:legend>
      <c:legendPos val="r"/>
      <c:layout>
        <c:manualLayout>
          <c:xMode val="edge"/>
          <c:yMode val="edge"/>
          <c:x val="0.14436471422596425"/>
          <c:y val="0.74232752155980497"/>
          <c:w val="0.77115537710104121"/>
          <c:h val="6.2853862017247825E-2"/>
        </c:manualLayout>
      </c:layou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0339724305321"/>
          <c:y val="4.954954954954955E-2"/>
          <c:w val="0.8434469975936828"/>
          <c:h val="0.76563914308008796"/>
        </c:manualLayout>
      </c:layout>
      <c:barChart>
        <c:barDir val="col"/>
        <c:grouping val="clustered"/>
        <c:varyColors val="0"/>
        <c:ser>
          <c:idx val="0"/>
          <c:order val="0"/>
          <c:tx>
            <c:strRef>
              <c:f>'vydavky na studenta 2020'!$A$82</c:f>
              <c:strCache>
                <c:ptCount val="1"/>
                <c:pt idx="0">
                  <c:v>SK</c:v>
                </c:pt>
              </c:strCache>
            </c:strRef>
          </c:tx>
          <c:spPr>
            <a:solidFill>
              <a:srgbClr val="0070C0"/>
            </a:solidFill>
            <a:ln>
              <a:solidFill>
                <a:schemeClr val="bg1">
                  <a:lumMod val="50000"/>
                </a:schemeClr>
              </a:solidFill>
            </a:ln>
            <a:effectLst/>
          </c:spPr>
          <c:invertIfNegative val="0"/>
          <c:dLbls>
            <c:dLbl>
              <c:idx val="0"/>
              <c:layout>
                <c:manualLayout>
                  <c:x val="-2.2040300009075245E-17"/>
                  <c:y val="-4.4886181468419425E-2"/>
                </c:manualLayout>
              </c:layout>
              <c:tx>
                <c:rich>
                  <a:bodyPr/>
                  <a:lstStyle/>
                  <a:p>
                    <a:fld id="{1B54F02E-8A98-4FF9-A996-8A75BD2436A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521D-4786-9D6F-DDE43B3FC8F2}"/>
                </c:ext>
                <c:ext xmlns:c15="http://schemas.microsoft.com/office/drawing/2012/chart" uri="{CE6537A1-D6FC-4f65-9D91-7224C49458BB}">
                  <c15:dlblFieldTable/>
                  <c15:showDataLabelsRange val="1"/>
                </c:ext>
              </c:extLst>
            </c:dLbl>
            <c:dLbl>
              <c:idx val="1"/>
              <c:tx>
                <c:rich>
                  <a:bodyPr/>
                  <a:lstStyle/>
                  <a:p>
                    <a:fld id="{C75FF91B-8F81-4DA4-827F-9772B8B25DB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F6EE0586-2278-48AF-9AF3-FACECE43EFE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23F13239-FE6A-47AF-A8C2-8AA858FCBA10}"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multiLvlStrRef>
              <c:f>'vydavky na studenta 2020'!$B$80:$E$81</c:f>
              <c:multiLvlStrCache>
                <c:ptCount val="4"/>
                <c:lvl>
                  <c:pt idx="0">
                    <c:v>primárne</c:v>
                  </c:pt>
                  <c:pt idx="1">
                    <c:v>nižšie sekundárne</c:v>
                  </c:pt>
                  <c:pt idx="2">
                    <c:v>všeobecné</c:v>
                  </c:pt>
                  <c:pt idx="3">
                    <c:v>odborné</c:v>
                  </c:pt>
                </c:lvl>
                <c:lvl>
                  <c:pt idx="2">
                    <c:v>vyššie sekundárne</c:v>
                  </c:pt>
                </c:lvl>
              </c:multiLvlStrCache>
            </c:multiLvlStrRef>
          </c:cat>
          <c:val>
            <c:numRef>
              <c:f>'vydavky na studenta 2020'!$B$82:$E$82</c:f>
              <c:numCache>
                <c:formatCode>#,##0</c:formatCode>
                <c:ptCount val="4"/>
                <c:pt idx="0">
                  <c:v>7305.4229999999998</c:v>
                </c:pt>
                <c:pt idx="1">
                  <c:v>6561.5129999999999</c:v>
                </c:pt>
                <c:pt idx="2">
                  <c:v>6987.5079999999998</c:v>
                </c:pt>
                <c:pt idx="3">
                  <c:v>7461.2839999999997</c:v>
                </c:pt>
              </c:numCache>
            </c:numRef>
          </c:val>
          <c:extLst xmlns:c16r2="http://schemas.microsoft.com/office/drawing/2015/06/chart">
            <c:ext xmlns:c16="http://schemas.microsoft.com/office/drawing/2014/chart" uri="{C3380CC4-5D6E-409C-BE32-E72D297353CC}">
              <c16:uniqueId val="{00000004-521D-4786-9D6F-DDE43B3FC8F2}"/>
            </c:ext>
            <c:ext xmlns:c15="http://schemas.microsoft.com/office/drawing/2012/chart" uri="{02D57815-91ED-43cb-92C2-25804820EDAC}">
              <c15:datalabelsRange>
                <c15:f>'vydavky na studenta 2020'!$B$87:$E$87</c15:f>
                <c15:dlblRangeCache>
                  <c:ptCount val="4"/>
                  <c:pt idx="0">
                    <c:v>76%</c:v>
                  </c:pt>
                  <c:pt idx="1">
                    <c:v>59%</c:v>
                  </c:pt>
                  <c:pt idx="2">
                    <c:v>66%</c:v>
                  </c:pt>
                  <c:pt idx="3">
                    <c:v>61%</c:v>
                  </c:pt>
                </c15:dlblRangeCache>
              </c15:datalabelsRange>
            </c:ext>
          </c:extLst>
        </c:ser>
        <c:ser>
          <c:idx val="1"/>
          <c:order val="1"/>
          <c:tx>
            <c:strRef>
              <c:f>'vydavky na studenta 2020'!$A$83</c:f>
              <c:strCache>
                <c:ptCount val="1"/>
                <c:pt idx="0">
                  <c:v>V3</c:v>
                </c:pt>
              </c:strCache>
            </c:strRef>
          </c:tx>
          <c:spPr>
            <a:solidFill>
              <a:schemeClr val="bg1">
                <a:lumMod val="75000"/>
              </a:schemeClr>
            </a:solidFill>
            <a:ln>
              <a:noFill/>
            </a:ln>
            <a:effectLst/>
          </c:spPr>
          <c:invertIfNegative val="0"/>
          <c:dLbls>
            <c:dLbl>
              <c:idx val="0"/>
              <c:tx>
                <c:rich>
                  <a:bodyPr/>
                  <a:lstStyle/>
                  <a:p>
                    <a:fld id="{2923497C-A9E8-497E-B296-716ECA782754}"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521D-4786-9D6F-DDE43B3FC8F2}"/>
                </c:ext>
                <c:ext xmlns:c15="http://schemas.microsoft.com/office/drawing/2012/chart" uri="{CE6537A1-D6FC-4f65-9D91-7224C49458BB}">
                  <c15:dlblFieldTable/>
                  <c15:showDataLabelsRange val="1"/>
                </c:ext>
              </c:extLst>
            </c:dLbl>
            <c:dLbl>
              <c:idx val="1"/>
              <c:tx>
                <c:rich>
                  <a:bodyPr/>
                  <a:lstStyle/>
                  <a:p>
                    <a:fld id="{9A25C203-C7DB-4C1D-B069-31AA81FCB2F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604DDC0-8B9E-48BB-BF66-485F82B7B7C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9252F7EE-49A7-4E0B-9A84-3303A01EF17F}"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'vydavky na studenta 2020'!$B$80:$E$81</c:f>
              <c:multiLvlStrCache>
                <c:ptCount val="4"/>
                <c:lvl>
                  <c:pt idx="0">
                    <c:v>primárne</c:v>
                  </c:pt>
                  <c:pt idx="1">
                    <c:v>nižšie sekundárne</c:v>
                  </c:pt>
                  <c:pt idx="2">
                    <c:v>všeobecné</c:v>
                  </c:pt>
                  <c:pt idx="3">
                    <c:v>odborné</c:v>
                  </c:pt>
                </c:lvl>
                <c:lvl>
                  <c:pt idx="2">
                    <c:v>vyššie sekundárne</c:v>
                  </c:pt>
                </c:lvl>
              </c:multiLvlStrCache>
            </c:multiLvlStrRef>
          </c:cat>
          <c:val>
            <c:numRef>
              <c:f>'vydavky na studenta 2020'!$B$83:$E$83</c:f>
              <c:numCache>
                <c:formatCode>#,##0</c:formatCode>
                <c:ptCount val="4"/>
                <c:pt idx="0">
                  <c:v>6986.5749999999998</c:v>
                </c:pt>
                <c:pt idx="1">
                  <c:v>8404.1949999999997</c:v>
                </c:pt>
                <c:pt idx="2">
                  <c:v>8598.7090000000007</c:v>
                </c:pt>
                <c:pt idx="3">
                  <c:v>9872.5306666666656</c:v>
                </c:pt>
              </c:numCache>
            </c:numRef>
          </c:val>
          <c:extLst xmlns:c16r2="http://schemas.microsoft.com/office/drawing/2015/06/chart">
            <c:ext xmlns:c16="http://schemas.microsoft.com/office/drawing/2014/chart" uri="{C3380CC4-5D6E-409C-BE32-E72D297353CC}">
              <c16:uniqueId val="{00000009-521D-4786-9D6F-DDE43B3FC8F2}"/>
            </c:ext>
            <c:ext xmlns:c15="http://schemas.microsoft.com/office/drawing/2012/chart" uri="{02D57815-91ED-43cb-92C2-25804820EDAC}">
              <c15:datalabelsRange>
                <c15:f>'vydavky na studenta 2020'!$B$88:$E$88</c15:f>
                <c15:dlblRangeCache>
                  <c:ptCount val="4"/>
                  <c:pt idx="0">
                    <c:v>73%</c:v>
                  </c:pt>
                  <c:pt idx="1">
                    <c:v>76%</c:v>
                  </c:pt>
                  <c:pt idx="2">
                    <c:v>81%</c:v>
                  </c:pt>
                  <c:pt idx="3">
                    <c:v>80%</c:v>
                  </c:pt>
                </c15:dlblRangeCache>
              </c15:datalabelsRange>
            </c:ext>
          </c:extLst>
        </c:ser>
        <c:ser>
          <c:idx val="2"/>
          <c:order val="2"/>
          <c:tx>
            <c:strRef>
              <c:f>'vydavky na studenta 2020'!$A$84</c:f>
              <c:strCache>
                <c:ptCount val="1"/>
                <c:pt idx="0">
                  <c:v>OECD</c:v>
                </c:pt>
              </c:strCache>
            </c:strRef>
          </c:tx>
          <c:spPr>
            <a:solidFill>
              <a:schemeClr val="tx1">
                <a:lumMod val="65000"/>
                <a:lumOff val="35000"/>
              </a:schemeClr>
            </a:solidFill>
            <a:ln>
              <a:noFill/>
            </a:ln>
            <a:effectLst/>
          </c:spPr>
          <c:invertIfNegative val="0"/>
          <c:dLbls>
            <c:dLbl>
              <c:idx val="0"/>
              <c:tx>
                <c:rich>
                  <a:bodyPr/>
                  <a:lstStyle/>
                  <a:p>
                    <a:fld id="{AC4C9AF7-C3A8-46AF-9D03-9672509F27C6}"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521D-4786-9D6F-DDE43B3FC8F2}"/>
                </c:ext>
                <c:ext xmlns:c15="http://schemas.microsoft.com/office/drawing/2012/chart" uri="{CE6537A1-D6FC-4f65-9D91-7224C49458BB}">
                  <c15:dlblFieldTable/>
                  <c15:showDataLabelsRange val="1"/>
                </c:ext>
              </c:extLst>
            </c:dLbl>
            <c:dLbl>
              <c:idx val="1"/>
              <c:tx>
                <c:rich>
                  <a:bodyPr/>
                  <a:lstStyle/>
                  <a:p>
                    <a:fld id="{6ECD41AC-0E7D-4F66-98FF-D77A83804B7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BA3C17EF-9DCF-493C-9B46-C55EFE9420D7}"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2E5B8BD-5D07-4147-BF83-12F75C1770C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'vydavky na studenta 2020'!$B$80:$E$81</c:f>
              <c:multiLvlStrCache>
                <c:ptCount val="4"/>
                <c:lvl>
                  <c:pt idx="0">
                    <c:v>primárne</c:v>
                  </c:pt>
                  <c:pt idx="1">
                    <c:v>nižšie sekundárne</c:v>
                  </c:pt>
                  <c:pt idx="2">
                    <c:v>všeobecné</c:v>
                  </c:pt>
                  <c:pt idx="3">
                    <c:v>odborné</c:v>
                  </c:pt>
                </c:lvl>
                <c:lvl>
                  <c:pt idx="2">
                    <c:v>vyššie sekundárne</c:v>
                  </c:pt>
                </c:lvl>
              </c:multiLvlStrCache>
            </c:multiLvlStrRef>
          </c:cat>
          <c:val>
            <c:numRef>
              <c:f>'vydavky na studenta 2020'!$B$84:$E$84</c:f>
              <c:numCache>
                <c:formatCode>#,##0</c:formatCode>
                <c:ptCount val="4"/>
                <c:pt idx="0">
                  <c:v>9549.8739999999998</c:v>
                </c:pt>
                <c:pt idx="1">
                  <c:v>11090.53</c:v>
                </c:pt>
                <c:pt idx="2">
                  <c:v>10580.87</c:v>
                </c:pt>
                <c:pt idx="3">
                  <c:v>12304.18</c:v>
                </c:pt>
              </c:numCache>
            </c:numRef>
          </c:val>
          <c:extLst xmlns:c16r2="http://schemas.microsoft.com/office/drawing/2015/06/chart">
            <c:ext xmlns:c16="http://schemas.microsoft.com/office/drawing/2014/chart" uri="{C3380CC4-5D6E-409C-BE32-E72D297353CC}">
              <c16:uniqueId val="{0000000E-521D-4786-9D6F-DDE43B3FC8F2}"/>
            </c:ext>
            <c:ext xmlns:c15="http://schemas.microsoft.com/office/drawing/2012/chart" uri="{02D57815-91ED-43cb-92C2-25804820EDAC}">
              <c15:datalabelsRange>
                <c15:f>'vydavky na studenta 2020'!$B$89:$E$89</c15:f>
                <c15:dlblRangeCache>
                  <c:ptCount val="4"/>
                  <c:pt idx="0">
                    <c:v>100%</c:v>
                  </c:pt>
                  <c:pt idx="1">
                    <c:v>100%</c:v>
                  </c:pt>
                  <c:pt idx="2">
                    <c:v>100%</c:v>
                  </c:pt>
                  <c:pt idx="3">
                    <c:v>100%</c:v>
                  </c:pt>
                </c15:dlblRangeCache>
              </c15:datalabelsRange>
            </c:ext>
          </c:extLst>
        </c:ser>
        <c:dLbls>
          <c:showLegendKey val="0"/>
          <c:showVal val="0"/>
          <c:showCatName val="0"/>
          <c:showSerName val="0"/>
          <c:showPercent val="0"/>
          <c:showBubbleSize val="0"/>
        </c:dLbls>
        <c:gapWidth val="219"/>
        <c:overlap val="-27"/>
        <c:axId val="554448712"/>
        <c:axId val="554448320"/>
      </c:barChart>
      <c:catAx>
        <c:axId val="5544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54448320"/>
        <c:crosses val="autoZero"/>
        <c:auto val="1"/>
        <c:lblAlgn val="ctr"/>
        <c:lblOffset val="100"/>
        <c:noMultiLvlLbl val="0"/>
      </c:catAx>
      <c:valAx>
        <c:axId val="55444832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r>
                  <a:rPr lang="sk-SK"/>
                  <a:t>Tisíce PPP USD</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54448712"/>
        <c:crosses val="autoZero"/>
        <c:crossBetween val="between"/>
        <c:dispUnits>
          <c:builtInUnit val="thousands"/>
        </c:dispUnits>
      </c:valAx>
      <c:spPr>
        <a:noFill/>
        <a:ln>
          <a:noFill/>
        </a:ln>
        <a:effectLst/>
      </c:spPr>
    </c:plotArea>
    <c:legend>
      <c:legendPos val="b"/>
      <c:layout>
        <c:manualLayout>
          <c:xMode val="edge"/>
          <c:yMode val="edge"/>
          <c:x val="0.13220054033279499"/>
          <c:y val="9.9900785886855494E-3"/>
          <c:w val="0.51641312929175509"/>
          <c:h val="9.72172082208864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09098356925038"/>
          <c:y val="4.954954954954955E-2"/>
          <c:w val="0.8172150562104592"/>
          <c:h val="0.83771121515216007"/>
        </c:manualLayout>
      </c:layout>
      <c:barChart>
        <c:barDir val="col"/>
        <c:grouping val="stacked"/>
        <c:varyColors val="0"/>
        <c:ser>
          <c:idx val="0"/>
          <c:order val="0"/>
          <c:tx>
            <c:strRef>
              <c:f>'vydavky na studenta 2020'!$G$81</c:f>
              <c:strCache>
                <c:ptCount val="1"/>
                <c:pt idx="0">
                  <c:v>VŠ vzdelávanie</c:v>
                </c:pt>
              </c:strCache>
            </c:strRef>
          </c:tx>
          <c:spPr>
            <a:solidFill>
              <a:srgbClr val="0070C0"/>
            </a:solidFill>
            <a:ln>
              <a:noFill/>
            </a:ln>
            <a:effectLst/>
          </c:spPr>
          <c:invertIfNegative val="0"/>
          <c:dLbls>
            <c:dLbl>
              <c:idx val="0"/>
              <c:tx>
                <c:rich>
                  <a:bodyPr/>
                  <a:lstStyle/>
                  <a:p>
                    <a:fld id="{5AB81E6C-36C8-4C45-BDEE-0784AEF1014A}"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A4E7496C-FA78-4CAF-B582-3676D22B089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114150A8-5F73-4497-81AC-DF50E8FB4D34}"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'vydavky na studenta 2020'!$A$82:$A$84</c:f>
              <c:strCache>
                <c:ptCount val="3"/>
                <c:pt idx="0">
                  <c:v>SK</c:v>
                </c:pt>
                <c:pt idx="1">
                  <c:v>V3</c:v>
                </c:pt>
                <c:pt idx="2">
                  <c:v>OECD</c:v>
                </c:pt>
              </c:strCache>
            </c:strRef>
          </c:cat>
          <c:val>
            <c:numRef>
              <c:f>'vydavky na studenta 2020'!$G$82:$G$84</c:f>
              <c:numCache>
                <c:formatCode>#,##0</c:formatCode>
                <c:ptCount val="3"/>
                <c:pt idx="0">
                  <c:v>6979.3793999999998</c:v>
                </c:pt>
                <c:pt idx="1">
                  <c:v>8162.8928999999989</c:v>
                </c:pt>
                <c:pt idx="2">
                  <c:v>11313.357</c:v>
                </c:pt>
              </c:numCache>
            </c:numRef>
          </c:val>
          <c:extLst xmlns:c16r2="http://schemas.microsoft.com/office/drawing/2015/06/chart">
            <c:ext xmlns:c16="http://schemas.microsoft.com/office/drawing/2014/chart" uri="{C3380CC4-5D6E-409C-BE32-E72D297353CC}">
              <c16:uniqueId val="{00000003-688D-4F37-A3A5-7E5C302EE45A}"/>
            </c:ext>
            <c:ext xmlns:c15="http://schemas.microsoft.com/office/drawing/2012/chart" uri="{02D57815-91ED-43cb-92C2-25804820EDAC}">
              <c15:datalabelsRange>
                <c15:f>'vydavky na studenta 2020'!$G$82:$G$84</c15:f>
                <c15:dlblRangeCache>
                  <c:ptCount val="3"/>
                  <c:pt idx="0">
                    <c:v>6 979</c:v>
                  </c:pt>
                  <c:pt idx="1">
                    <c:v>8 163</c:v>
                  </c:pt>
                  <c:pt idx="2">
                    <c:v>11 313</c:v>
                  </c:pt>
                </c15:dlblRangeCache>
              </c15:datalabelsRange>
            </c:ext>
          </c:extLst>
        </c:ser>
        <c:ser>
          <c:idx val="1"/>
          <c:order val="1"/>
          <c:tx>
            <c:strRef>
              <c:f>'vydavky na studenta 2020'!$H$81</c:f>
              <c:strCache>
                <c:ptCount val="1"/>
                <c:pt idx="0">
                  <c:v>VŠ služby študentom</c:v>
                </c:pt>
              </c:strCache>
            </c:strRef>
          </c:tx>
          <c:spPr>
            <a:solidFill>
              <a:schemeClr val="bg1">
                <a:lumMod val="85000"/>
              </a:schemeClr>
            </a:solidFill>
            <a:ln>
              <a:noFill/>
            </a:ln>
            <a:effectLst/>
          </c:spPr>
          <c:invertIfNegative val="0"/>
          <c:dLbls>
            <c:dLbl>
              <c:idx val="0"/>
              <c:tx>
                <c:rich>
                  <a:bodyPr/>
                  <a:lstStyle/>
                  <a:p>
                    <a:fld id="{F29CF339-E8D9-4B43-B9C2-32E8AABD713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EE9B3202-2FD4-44FF-9A4F-CDC4D6C16FA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F372F7B6-FEB0-4406-B8A9-E0378C581DA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'vydavky na studenta 2020'!$A$82:$A$84</c:f>
              <c:strCache>
                <c:ptCount val="3"/>
                <c:pt idx="0">
                  <c:v>SK</c:v>
                </c:pt>
                <c:pt idx="1">
                  <c:v>V3</c:v>
                </c:pt>
                <c:pt idx="2">
                  <c:v>OECD</c:v>
                </c:pt>
              </c:strCache>
            </c:strRef>
          </c:cat>
          <c:val>
            <c:numRef>
              <c:f>'vydavky na studenta 2020'!$H$82:$H$84</c:f>
              <c:numCache>
                <c:formatCode>#,##0</c:formatCode>
                <c:ptCount val="3"/>
                <c:pt idx="0">
                  <c:v>2095.6577000000002</c:v>
                </c:pt>
                <c:pt idx="1">
                  <c:v>469.54832333333337</c:v>
                </c:pt>
                <c:pt idx="2">
                  <c:v>808.53326000000004</c:v>
                </c:pt>
              </c:numCache>
            </c:numRef>
          </c:val>
          <c:extLst xmlns:c16r2="http://schemas.microsoft.com/office/drawing/2015/06/chart">
            <c:ext xmlns:c16="http://schemas.microsoft.com/office/drawing/2014/chart" uri="{C3380CC4-5D6E-409C-BE32-E72D297353CC}">
              <c16:uniqueId val="{00000007-688D-4F37-A3A5-7E5C302EE45A}"/>
            </c:ext>
            <c:ext xmlns:c15="http://schemas.microsoft.com/office/drawing/2012/chart" uri="{02D57815-91ED-43cb-92C2-25804820EDAC}">
              <c15:datalabelsRange>
                <c15:f>'vydavky na studenta 2020'!$H$82:$H$84</c15:f>
                <c15:dlblRangeCache>
                  <c:ptCount val="3"/>
                  <c:pt idx="0">
                    <c:v>2 096</c:v>
                  </c:pt>
                  <c:pt idx="1">
                    <c:v>470</c:v>
                  </c:pt>
                  <c:pt idx="2">
                    <c:v>809</c:v>
                  </c:pt>
                </c15:dlblRangeCache>
              </c15:datalabelsRange>
            </c:ext>
          </c:extLst>
        </c:ser>
        <c:ser>
          <c:idx val="2"/>
          <c:order val="2"/>
          <c:tx>
            <c:strRef>
              <c:f>'vydavky na studenta 2020'!$I$81</c:f>
              <c:strCache>
                <c:ptCount val="1"/>
                <c:pt idx="0">
                  <c:v>VŠ veda</c:v>
                </c:pt>
              </c:strCache>
            </c:strRef>
          </c:tx>
          <c:spPr>
            <a:solidFill>
              <a:schemeClr val="accent3"/>
            </a:solidFill>
            <a:ln>
              <a:noFill/>
            </a:ln>
            <a:effectLst/>
          </c:spPr>
          <c:invertIfNegative val="0"/>
          <c:dLbls>
            <c:dLbl>
              <c:idx val="0"/>
              <c:tx>
                <c:rich>
                  <a:bodyPr/>
                  <a:lstStyle/>
                  <a:p>
                    <a:fld id="{5EEC467A-886D-4838-A7CE-F7DBA1B15E7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191B778B-A717-4707-BE16-B268052B9598}"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E09100E4-0404-42CD-92AB-A93D23BE954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'vydavky na studenta 2020'!$A$82:$A$84</c:f>
              <c:strCache>
                <c:ptCount val="3"/>
                <c:pt idx="0">
                  <c:v>SK</c:v>
                </c:pt>
                <c:pt idx="1">
                  <c:v>V3</c:v>
                </c:pt>
                <c:pt idx="2">
                  <c:v>OECD</c:v>
                </c:pt>
              </c:strCache>
            </c:strRef>
          </c:cat>
          <c:val>
            <c:numRef>
              <c:f>'vydavky na studenta 2020'!$I$82:$I$84</c:f>
              <c:numCache>
                <c:formatCode>#,##0</c:formatCode>
                <c:ptCount val="3"/>
                <c:pt idx="0">
                  <c:v>2639.5554000000002</c:v>
                </c:pt>
                <c:pt idx="1">
                  <c:v>2836.3812333333335</c:v>
                </c:pt>
                <c:pt idx="2">
                  <c:v>4205.4077400000006</c:v>
                </c:pt>
              </c:numCache>
            </c:numRef>
          </c:val>
          <c:extLst xmlns:c16r2="http://schemas.microsoft.com/office/drawing/2015/06/chart">
            <c:ext xmlns:c16="http://schemas.microsoft.com/office/drawing/2014/chart" uri="{C3380CC4-5D6E-409C-BE32-E72D297353CC}">
              <c16:uniqueId val="{0000000B-688D-4F37-A3A5-7E5C302EE45A}"/>
            </c:ext>
            <c:ext xmlns:c15="http://schemas.microsoft.com/office/drawing/2012/chart" uri="{02D57815-91ED-43cb-92C2-25804820EDAC}">
              <c15:datalabelsRange>
                <c15:f>'vydavky na studenta 2020'!$I$82:$I$84</c15:f>
                <c15:dlblRangeCache>
                  <c:ptCount val="3"/>
                  <c:pt idx="0">
                    <c:v>2 640</c:v>
                  </c:pt>
                  <c:pt idx="1">
                    <c:v>2 836</c:v>
                  </c:pt>
                  <c:pt idx="2">
                    <c:v>4 205</c:v>
                  </c:pt>
                </c15:dlblRangeCache>
              </c15:datalabelsRange>
            </c:ext>
          </c:extLst>
        </c:ser>
        <c:dLbls>
          <c:showLegendKey val="0"/>
          <c:showVal val="0"/>
          <c:showCatName val="0"/>
          <c:showSerName val="0"/>
          <c:showPercent val="0"/>
          <c:showBubbleSize val="0"/>
        </c:dLbls>
        <c:gapWidth val="219"/>
        <c:overlap val="100"/>
        <c:axId val="554447536"/>
        <c:axId val="554447144"/>
        <c:extLst xmlns:c16r2="http://schemas.microsoft.com/office/drawing/2015/06/chart">
          <c:ext xmlns:c15="http://schemas.microsoft.com/office/drawing/2012/chart" uri="{02D57815-91ED-43cb-92C2-25804820EDAC}">
            <c15:filteredBarSeries>
              <c15:ser>
                <c:idx val="8"/>
                <c:order val="3"/>
                <c:tx>
                  <c:strRef>
                    <c:extLst xmlns:c16r2="http://schemas.microsoft.com/office/drawing/2015/06/chart">
                      <c:ext uri="{02D57815-91ED-43cb-92C2-25804820EDAC}">
                        <c15:formulaRef>
                          <c15:sqref>'vydavky na studenta 2020'!$K$81</c15:sqref>
                        </c15:formulaRef>
                      </c:ext>
                    </c:extLst>
                    <c:strCache>
                      <c:ptCount val="1"/>
                    </c:strCache>
                  </c:strRef>
                </c:tx>
                <c:spPr>
                  <a:noFill/>
                  <a:ln>
                    <a:noFill/>
                  </a:ln>
                  <a:effectLst/>
                </c:spPr>
                <c:invertIfNegative val="0"/>
                <c:cat>
                  <c:strRef>
                    <c:extLst xmlns:c16r2="http://schemas.microsoft.com/office/drawing/2015/06/chart">
                      <c:ext uri="{02D57815-91ED-43cb-92C2-25804820EDAC}">
                        <c15:formulaRef>
                          <c15:sqref>'vydavky na studenta 2020'!$A$82:$A$84</c15:sqref>
                        </c15:formulaRef>
                      </c:ext>
                    </c:extLst>
                    <c:strCache>
                      <c:ptCount val="3"/>
                      <c:pt idx="0">
                        <c:v>SK</c:v>
                      </c:pt>
                      <c:pt idx="1">
                        <c:v>V3</c:v>
                      </c:pt>
                      <c:pt idx="2">
                        <c:v>OECD</c:v>
                      </c:pt>
                    </c:strCache>
                  </c:strRef>
                </c:cat>
                <c:val>
                  <c:numRef>
                    <c:extLst xmlns:c16r2="http://schemas.microsoft.com/office/drawing/2015/06/chart">
                      <c:ext uri="{02D57815-91ED-43cb-92C2-25804820EDAC}">
                        <c15:formulaRef>
                          <c15:sqref>'vydavky na studenta 2020'!$K$82:$K$84</c15:sqref>
                        </c15:formulaRef>
                      </c:ext>
                    </c:extLst>
                    <c:numCache>
                      <c:formatCode>General</c:formatCode>
                      <c:ptCount val="3"/>
                      <c:pt idx="0">
                        <c:v>1000</c:v>
                      </c:pt>
                      <c:pt idx="1">
                        <c:v>1000</c:v>
                      </c:pt>
                      <c:pt idx="2">
                        <c:v>1000</c:v>
                      </c:pt>
                    </c:numCache>
                  </c:numRef>
                </c:val>
                <c:extLst xmlns:c16r2="http://schemas.microsoft.com/office/drawing/2015/06/chart">
                  <c:ext xmlns:c16="http://schemas.microsoft.com/office/drawing/2014/chart" uri="{C3380CC4-5D6E-409C-BE32-E72D297353CC}">
                    <c16:uniqueId val="{0000000C-688D-4F37-A3A5-7E5C302EE45A}"/>
                  </c:ext>
                </c:extLst>
              </c15:ser>
            </c15:filteredBarSeries>
          </c:ext>
        </c:extLst>
      </c:barChart>
      <c:catAx>
        <c:axId val="554447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4447144"/>
        <c:crosses val="autoZero"/>
        <c:auto val="1"/>
        <c:lblAlgn val="ctr"/>
        <c:lblOffset val="100"/>
        <c:noMultiLvlLbl val="0"/>
      </c:catAx>
      <c:valAx>
        <c:axId val="554447144"/>
        <c:scaling>
          <c:orientation val="minMax"/>
          <c:max val="16000"/>
        </c:scaling>
        <c:delete val="0"/>
        <c:axPos val="l"/>
        <c:majorGridlines>
          <c:spPr>
            <a:ln w="9525" cap="flat" cmpd="sng" algn="ctr">
              <a:solidFill>
                <a:schemeClr val="tx1">
                  <a:lumMod val="15000"/>
                  <a:lumOff val="85000"/>
                </a:schemeClr>
              </a:solidFill>
              <a:prstDash val="dash"/>
              <a:round/>
            </a:ln>
            <a:effectLst/>
          </c:spPr>
        </c:majorGridlines>
        <c:numFmt formatCode="#,##0\ "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4447536"/>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ispUnitsLbl>
        </c:dispUnits>
      </c:valAx>
      <c:spPr>
        <a:noFill/>
        <a:ln>
          <a:noFill/>
        </a:ln>
        <a:effectLst/>
      </c:spPr>
    </c:plotArea>
    <c:legend>
      <c:legendPos val="b"/>
      <c:layout>
        <c:manualLayout>
          <c:xMode val="edge"/>
          <c:yMode val="edge"/>
          <c:x val="0.15991880205725731"/>
          <c:y val="4.9152656593601476E-2"/>
          <c:w val="0.54898366027945933"/>
          <c:h val="0.1865028651523271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46330720175949E-3"/>
          <c:y val="7.5419860133994585E-2"/>
          <c:w val="0.91221194404932704"/>
          <c:h val="0.79118571563374807"/>
        </c:manualLayout>
      </c:layout>
      <c:areaChart>
        <c:grouping val="stacked"/>
        <c:varyColors val="0"/>
        <c:ser>
          <c:idx val="2"/>
          <c:order val="0"/>
          <c:tx>
            <c:strRef>
              <c:f>'Prognoza hrubého dlhu'!$AQ$11</c:f>
              <c:strCache>
                <c:ptCount val="1"/>
                <c:pt idx="0">
                  <c:v>Čistý dlh VS</c:v>
                </c:pt>
              </c:strCache>
            </c:strRef>
          </c:tx>
          <c:spPr>
            <a:solidFill>
              <a:srgbClr val="2C9ADC"/>
            </a:solidFill>
            <a:ln>
              <a:solidFill>
                <a:srgbClr val="AAD3F2"/>
              </a:solidFill>
            </a:ln>
          </c:spP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dlhu'!$BF$11:$BV$11</c:f>
              <c:numCache>
                <c:formatCode>0.0</c:formatCode>
                <c:ptCount val="15"/>
                <c:pt idx="0">
                  <c:v>37.357310514490159</c:v>
                </c:pt>
                <c:pt idx="1">
                  <c:v>41.200523147099474</c:v>
                </c:pt>
                <c:pt idx="2">
                  <c:v>45.400060982130192</c:v>
                </c:pt>
                <c:pt idx="3">
                  <c:v>47.889145623261001</c:v>
                </c:pt>
                <c:pt idx="4">
                  <c:v>49.588322764352675</c:v>
                </c:pt>
                <c:pt idx="5">
                  <c:v>47.489162179917855</c:v>
                </c:pt>
                <c:pt idx="6">
                  <c:v>47.056008180675356</c:v>
                </c:pt>
                <c:pt idx="7">
                  <c:v>45.905535062080141</c:v>
                </c:pt>
                <c:pt idx="8">
                  <c:v>43.603528640369625</c:v>
                </c:pt>
                <c:pt idx="9">
                  <c:v>43.289922926936711</c:v>
                </c:pt>
                <c:pt idx="10">
                  <c:v>49.667590157361516</c:v>
                </c:pt>
                <c:pt idx="11">
                  <c:v>55.539639120867143</c:v>
                </c:pt>
                <c:pt idx="12">
                  <c:v>56.266498444765055</c:v>
                </c:pt>
                <c:pt idx="13">
                  <c:v>54.855306549053758</c:v>
                </c:pt>
                <c:pt idx="14">
                  <c:v>55.813826783905583</c:v>
                </c:pt>
              </c:numCache>
            </c:numRef>
          </c:val>
          <c:extLst xmlns:c16r2="http://schemas.microsoft.com/office/drawing/2015/06/chart">
            <c:ext xmlns:c16="http://schemas.microsoft.com/office/drawing/2014/chart" uri="{C3380CC4-5D6E-409C-BE32-E72D297353CC}">
              <c16:uniqueId val="{00000000-1A6F-4026-83FA-D98D7F469C7E}"/>
            </c:ext>
          </c:extLst>
        </c:ser>
        <c:ser>
          <c:idx val="1"/>
          <c:order val="1"/>
          <c:tx>
            <c:strRef>
              <c:f>'Prognoza hrubého dlhu'!$AQ$12</c:f>
              <c:strCache>
                <c:ptCount val="1"/>
                <c:pt idx="0">
                  <c:v>Likvidné finančné aktíva</c:v>
                </c:pt>
              </c:strCache>
            </c:strRef>
          </c:tx>
          <c:spPr>
            <a:solidFill>
              <a:srgbClr val="AAD3F2"/>
            </a:solidFill>
            <a:ln w="25400">
              <a:noFill/>
            </a:ln>
          </c:spP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dlhu'!$BF$12:$BV$12</c:f>
              <c:numCache>
                <c:formatCode>0.0</c:formatCode>
                <c:ptCount val="15"/>
                <c:pt idx="0">
                  <c:v>3.6583809158314793</c:v>
                </c:pt>
                <c:pt idx="1">
                  <c:v>2.3017820823199671</c:v>
                </c:pt>
                <c:pt idx="2">
                  <c:v>6.4455003442798571</c:v>
                </c:pt>
                <c:pt idx="3">
                  <c:v>6.9048627564215863</c:v>
                </c:pt>
                <c:pt idx="4">
                  <c:v>3.973465329665963</c:v>
                </c:pt>
                <c:pt idx="5">
                  <c:v>4.4345284731733798</c:v>
                </c:pt>
                <c:pt idx="6">
                  <c:v>5.3567177085768662</c:v>
                </c:pt>
                <c:pt idx="7">
                  <c:v>5.6943828232260927</c:v>
                </c:pt>
                <c:pt idx="8">
                  <c:v>6.0260521449473785</c:v>
                </c:pt>
                <c:pt idx="9">
                  <c:v>4.8525204136911597</c:v>
                </c:pt>
                <c:pt idx="10">
                  <c:v>10.074147756172607</c:v>
                </c:pt>
                <c:pt idx="11">
                  <c:v>5.9992241889249058</c:v>
                </c:pt>
                <c:pt idx="12">
                  <c:v>5.2144803359998591</c:v>
                </c:pt>
                <c:pt idx="13">
                  <c:v>3.7509634105293799</c:v>
                </c:pt>
                <c:pt idx="14">
                  <c:v>2.874670195155872</c:v>
                </c:pt>
              </c:numCache>
            </c:numRef>
          </c:val>
          <c:extLst xmlns:c16r2="http://schemas.microsoft.com/office/drawing/2015/06/chart">
            <c:ext xmlns:c16="http://schemas.microsoft.com/office/drawing/2014/chart" uri="{C3380CC4-5D6E-409C-BE32-E72D297353CC}">
              <c16:uniqueId val="{00000003-2AA4-4255-A189-000C806B559A}"/>
            </c:ext>
          </c:extLst>
        </c:ser>
        <c:dLbls>
          <c:showLegendKey val="0"/>
          <c:showVal val="0"/>
          <c:showCatName val="0"/>
          <c:showSerName val="0"/>
          <c:showPercent val="0"/>
          <c:showBubbleSize val="0"/>
        </c:dLbls>
        <c:axId val="553546376"/>
        <c:axId val="553549904"/>
      </c:areaChart>
      <c:lineChart>
        <c:grouping val="standard"/>
        <c:varyColors val="0"/>
        <c:ser>
          <c:idx val="4"/>
          <c:order val="2"/>
          <c:tx>
            <c:strRef>
              <c:f>'Prognoza hrubého dlhu'!$AQ$31</c:f>
              <c:strCache>
                <c:ptCount val="1"/>
                <c:pt idx="0">
                  <c:v>Sankčné pásma (hrubý dlh)</c:v>
                </c:pt>
              </c:strCache>
            </c:strRef>
          </c:tx>
          <c:spPr>
            <a:ln w="19050">
              <a:solidFill>
                <a:srgbClr val="FF0000"/>
              </a:solidFill>
              <a:prstDash val="sysDot"/>
            </a:ln>
          </c:spPr>
          <c:marker>
            <c:symbol val="none"/>
          </c:marke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dlhu'!$BF$30:$BV$30</c:f>
              <c:numCache>
                <c:formatCode>General</c:formatCode>
                <c:ptCount val="15"/>
                <c:pt idx="2">
                  <c:v>50</c:v>
                </c:pt>
                <c:pt idx="3">
                  <c:v>50</c:v>
                </c:pt>
                <c:pt idx="4">
                  <c:v>50</c:v>
                </c:pt>
                <c:pt idx="5">
                  <c:v>50</c:v>
                </c:pt>
                <c:pt idx="6">
                  <c:v>50</c:v>
                </c:pt>
                <c:pt idx="7">
                  <c:v>50</c:v>
                </c:pt>
                <c:pt idx="8">
                  <c:v>49</c:v>
                </c:pt>
                <c:pt idx="9">
                  <c:v>48</c:v>
                </c:pt>
                <c:pt idx="10">
                  <c:v>47</c:v>
                </c:pt>
                <c:pt idx="11">
                  <c:v>46</c:v>
                </c:pt>
                <c:pt idx="12">
                  <c:v>45</c:v>
                </c:pt>
                <c:pt idx="13">
                  <c:v>44</c:v>
                </c:pt>
                <c:pt idx="14">
                  <c:v>43</c:v>
                </c:pt>
              </c:numCache>
            </c:numRef>
          </c:val>
          <c:smooth val="0"/>
          <c:extLst xmlns:c16r2="http://schemas.microsoft.com/office/drawing/2015/06/chart">
            <c:ext xmlns:c16="http://schemas.microsoft.com/office/drawing/2014/chart" uri="{C3380CC4-5D6E-409C-BE32-E72D297353CC}">
              <c16:uniqueId val="{00000003-FE00-499E-BB05-62ECB20CEBE0}"/>
            </c:ext>
          </c:extLst>
        </c:ser>
        <c:ser>
          <c:idx val="5"/>
          <c:order val="3"/>
          <c:tx>
            <c:strRef>
              <c:f>'Prognoza hrubého dlhu'!$AQ$31</c:f>
              <c:strCache>
                <c:ptCount val="1"/>
                <c:pt idx="0">
                  <c:v>Sankčné pásma (hrubý dlh)</c:v>
                </c:pt>
              </c:strCache>
            </c:strRef>
          </c:tx>
          <c:spPr>
            <a:ln w="19050">
              <a:solidFill>
                <a:srgbClr val="FF0000"/>
              </a:solidFill>
              <a:prstDash val="sysDot"/>
            </a:ln>
          </c:spPr>
          <c:marker>
            <c:symbol val="none"/>
          </c:marke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dlhu'!$BF$31:$BV$31</c:f>
              <c:numCache>
                <c:formatCode>General</c:formatCode>
                <c:ptCount val="15"/>
                <c:pt idx="2">
                  <c:v>53</c:v>
                </c:pt>
                <c:pt idx="3">
                  <c:v>53</c:v>
                </c:pt>
                <c:pt idx="4">
                  <c:v>53</c:v>
                </c:pt>
                <c:pt idx="5">
                  <c:v>53</c:v>
                </c:pt>
                <c:pt idx="6">
                  <c:v>53</c:v>
                </c:pt>
                <c:pt idx="7">
                  <c:v>53</c:v>
                </c:pt>
                <c:pt idx="8">
                  <c:v>52</c:v>
                </c:pt>
                <c:pt idx="9">
                  <c:v>51</c:v>
                </c:pt>
                <c:pt idx="10">
                  <c:v>50</c:v>
                </c:pt>
                <c:pt idx="11">
                  <c:v>49</c:v>
                </c:pt>
                <c:pt idx="12">
                  <c:v>48</c:v>
                </c:pt>
                <c:pt idx="13">
                  <c:v>47</c:v>
                </c:pt>
                <c:pt idx="14">
                  <c:v>46</c:v>
                </c:pt>
              </c:numCache>
            </c:numRef>
          </c:val>
          <c:smooth val="0"/>
          <c:extLst xmlns:c16r2="http://schemas.microsoft.com/office/drawing/2015/06/chart">
            <c:ext xmlns:c16="http://schemas.microsoft.com/office/drawing/2014/chart" uri="{C3380CC4-5D6E-409C-BE32-E72D297353CC}">
              <c16:uniqueId val="{00000004-FE00-499E-BB05-62ECB20CEBE0}"/>
            </c:ext>
          </c:extLst>
        </c:ser>
        <c:ser>
          <c:idx val="6"/>
          <c:order val="4"/>
          <c:tx>
            <c:strRef>
              <c:f>'Prognoza hrubého dlhu'!$AQ$32</c:f>
              <c:strCache>
                <c:ptCount val="1"/>
                <c:pt idx="0">
                  <c:v>Sankčné pásma</c:v>
                </c:pt>
              </c:strCache>
            </c:strRef>
          </c:tx>
          <c:spPr>
            <a:ln w="19050">
              <a:solidFill>
                <a:srgbClr val="FF0000"/>
              </a:solidFill>
              <a:prstDash val="sysDot"/>
            </a:ln>
          </c:spPr>
          <c:marker>
            <c:symbol val="none"/>
          </c:marke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dlhu'!$BF$32:$BV$32</c:f>
              <c:numCache>
                <c:formatCode>General</c:formatCode>
                <c:ptCount val="15"/>
                <c:pt idx="2">
                  <c:v>55</c:v>
                </c:pt>
                <c:pt idx="3">
                  <c:v>55</c:v>
                </c:pt>
                <c:pt idx="4">
                  <c:v>55</c:v>
                </c:pt>
                <c:pt idx="5">
                  <c:v>55</c:v>
                </c:pt>
                <c:pt idx="6">
                  <c:v>55</c:v>
                </c:pt>
                <c:pt idx="7">
                  <c:v>55</c:v>
                </c:pt>
                <c:pt idx="8">
                  <c:v>54</c:v>
                </c:pt>
                <c:pt idx="9">
                  <c:v>53</c:v>
                </c:pt>
                <c:pt idx="10">
                  <c:v>52</c:v>
                </c:pt>
                <c:pt idx="11">
                  <c:v>51</c:v>
                </c:pt>
                <c:pt idx="12">
                  <c:v>50</c:v>
                </c:pt>
                <c:pt idx="13">
                  <c:v>49</c:v>
                </c:pt>
                <c:pt idx="14">
                  <c:v>48</c:v>
                </c:pt>
              </c:numCache>
            </c:numRef>
          </c:val>
          <c:smooth val="0"/>
          <c:extLst xmlns:c16r2="http://schemas.microsoft.com/office/drawing/2015/06/chart">
            <c:ext xmlns:c16="http://schemas.microsoft.com/office/drawing/2014/chart" uri="{C3380CC4-5D6E-409C-BE32-E72D297353CC}">
              <c16:uniqueId val="{00000005-FE00-499E-BB05-62ECB20CEBE0}"/>
            </c:ext>
          </c:extLst>
        </c:ser>
        <c:ser>
          <c:idx val="7"/>
          <c:order val="5"/>
          <c:tx>
            <c:strRef>
              <c:f>'Prognoza hrubého dlhu'!$AQ$33</c:f>
              <c:strCache>
                <c:ptCount val="1"/>
                <c:pt idx="0">
                  <c:v>Sankčné pásma</c:v>
                </c:pt>
              </c:strCache>
            </c:strRef>
          </c:tx>
          <c:spPr>
            <a:ln w="19050">
              <a:solidFill>
                <a:srgbClr val="FF0000"/>
              </a:solidFill>
              <a:prstDash val="sysDot"/>
            </a:ln>
          </c:spPr>
          <c:marker>
            <c:symbol val="none"/>
          </c:marke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dlhu'!$BF$33:$BV$33</c:f>
              <c:numCache>
                <c:formatCode>General</c:formatCode>
                <c:ptCount val="15"/>
                <c:pt idx="2">
                  <c:v>57</c:v>
                </c:pt>
                <c:pt idx="3">
                  <c:v>57</c:v>
                </c:pt>
                <c:pt idx="4">
                  <c:v>57</c:v>
                </c:pt>
                <c:pt idx="5">
                  <c:v>57</c:v>
                </c:pt>
                <c:pt idx="6">
                  <c:v>57</c:v>
                </c:pt>
                <c:pt idx="7">
                  <c:v>57</c:v>
                </c:pt>
                <c:pt idx="8">
                  <c:v>56</c:v>
                </c:pt>
                <c:pt idx="9">
                  <c:v>55</c:v>
                </c:pt>
                <c:pt idx="10">
                  <c:v>54</c:v>
                </c:pt>
                <c:pt idx="11">
                  <c:v>53</c:v>
                </c:pt>
                <c:pt idx="12">
                  <c:v>52</c:v>
                </c:pt>
                <c:pt idx="13">
                  <c:v>51</c:v>
                </c:pt>
                <c:pt idx="14">
                  <c:v>50</c:v>
                </c:pt>
              </c:numCache>
            </c:numRef>
          </c:val>
          <c:smooth val="0"/>
          <c:extLst xmlns:c16r2="http://schemas.microsoft.com/office/drawing/2015/06/chart">
            <c:ext xmlns:c16="http://schemas.microsoft.com/office/drawing/2014/chart" uri="{C3380CC4-5D6E-409C-BE32-E72D297353CC}">
              <c16:uniqueId val="{00000006-FE00-499E-BB05-62ECB20CEBE0}"/>
            </c:ext>
          </c:extLst>
        </c:ser>
        <c:ser>
          <c:idx val="8"/>
          <c:order val="6"/>
          <c:tx>
            <c:strRef>
              <c:f>'Prognoza hrubého dlhu'!$AQ$34</c:f>
              <c:strCache>
                <c:ptCount val="1"/>
                <c:pt idx="0">
                  <c:v>Sankčné pásma</c:v>
                </c:pt>
              </c:strCache>
            </c:strRef>
          </c:tx>
          <c:spPr>
            <a:ln w="19050">
              <a:solidFill>
                <a:srgbClr val="FF0000"/>
              </a:solidFill>
              <a:prstDash val="sysDot"/>
            </a:ln>
          </c:spPr>
          <c:marker>
            <c:symbol val="none"/>
          </c:marker>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dlhu'!$BF$34:$BV$34</c:f>
              <c:numCache>
                <c:formatCode>General</c:formatCode>
                <c:ptCount val="15"/>
                <c:pt idx="2">
                  <c:v>60</c:v>
                </c:pt>
                <c:pt idx="3">
                  <c:v>60</c:v>
                </c:pt>
                <c:pt idx="4">
                  <c:v>60</c:v>
                </c:pt>
                <c:pt idx="5">
                  <c:v>60</c:v>
                </c:pt>
                <c:pt idx="6">
                  <c:v>60</c:v>
                </c:pt>
                <c:pt idx="7">
                  <c:v>60</c:v>
                </c:pt>
                <c:pt idx="8">
                  <c:v>59</c:v>
                </c:pt>
                <c:pt idx="9">
                  <c:v>58</c:v>
                </c:pt>
                <c:pt idx="10">
                  <c:v>57</c:v>
                </c:pt>
                <c:pt idx="11">
                  <c:v>56</c:v>
                </c:pt>
                <c:pt idx="12">
                  <c:v>55</c:v>
                </c:pt>
                <c:pt idx="13">
                  <c:v>54</c:v>
                </c:pt>
                <c:pt idx="14">
                  <c:v>53</c:v>
                </c:pt>
              </c:numCache>
            </c:numRef>
          </c:val>
          <c:smooth val="0"/>
          <c:extLst xmlns:c16r2="http://schemas.microsoft.com/office/drawing/2015/06/chart">
            <c:ext xmlns:c16="http://schemas.microsoft.com/office/drawing/2014/chart" uri="{C3380CC4-5D6E-409C-BE32-E72D297353CC}">
              <c16:uniqueId val="{00000007-FE00-499E-BB05-62ECB20CEBE0}"/>
            </c:ext>
          </c:extLst>
        </c:ser>
        <c:ser>
          <c:idx val="3"/>
          <c:order val="8"/>
          <c:tx>
            <c:strRef>
              <c:f>'Prognoza hrubého dlhu'!$AQ$7</c:f>
              <c:strCache>
                <c:ptCount val="1"/>
                <c:pt idx="0">
                  <c:v>Hrubý dlh VS</c:v>
                </c:pt>
              </c:strCache>
            </c:strRef>
          </c:tx>
          <c:spPr>
            <a:ln>
              <a:noFill/>
            </a:ln>
          </c:spPr>
          <c:marker>
            <c:symbol val="circle"/>
            <c:size val="5"/>
            <c:spPr>
              <a:solidFill>
                <a:sysClr val="windowText" lastClr="000000"/>
              </a:solidFill>
              <a:ln>
                <a:noFill/>
              </a:ln>
            </c:spPr>
          </c:marker>
          <c:dLbls>
            <c:dLbl>
              <c:idx val="0"/>
              <c:delete val="1"/>
              <c:extLst xmlns:c16r2="http://schemas.microsoft.com/office/drawing/2015/06/chart">
                <c:ext xmlns:c16="http://schemas.microsoft.com/office/drawing/2014/chart" uri="{C3380CC4-5D6E-409C-BE32-E72D297353CC}">
                  <c16:uniqueId val="{00000000-CDC1-4DF3-A0E1-DE7ABDB1818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CDC1-4DF3-A0E1-DE7ABDB1818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CDC1-4DF3-A0E1-DE7ABDB1818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CDC1-4DF3-A0E1-DE7ABDB1818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CDC1-4DF3-A0E1-DE7ABDB1818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CDC1-4DF3-A0E1-DE7ABDB1818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CDC1-4DF3-A0E1-DE7ABDB1818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CDC1-4DF3-A0E1-DE7ABDB1818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CDC1-4DF3-A0E1-DE7ABDB18187}"/>
                </c:ext>
                <c:ext xmlns:c15="http://schemas.microsoft.com/office/drawing/2012/chart" uri="{CE6537A1-D6FC-4f65-9D91-7224C49458BB}"/>
              </c:extLst>
            </c:dLbl>
            <c:dLbl>
              <c:idx val="9"/>
              <c:layout>
                <c:manualLayout>
                  <c:x val="-5.9058585384941867E-2"/>
                  <c:y val="-3.20504943539848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DC1-4DF3-A0E1-DE7ABDB18187}"/>
                </c:ext>
                <c:ext xmlns:c15="http://schemas.microsoft.com/office/drawing/2012/chart" uri="{CE6537A1-D6FC-4f65-9D91-7224C49458BB}"/>
              </c:extLst>
            </c:dLbl>
            <c:spPr>
              <a:noFill/>
              <a:ln w="3175">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dlhu'!$BF$7:$BV$7</c:f>
              <c:numCache>
                <c:formatCode>0.0</c:formatCode>
                <c:ptCount val="15"/>
                <c:pt idx="0">
                  <c:v>41.015691430321638</c:v>
                </c:pt>
                <c:pt idx="1">
                  <c:v>43.502305229419441</c:v>
                </c:pt>
                <c:pt idx="2">
                  <c:v>51.845561326410049</c:v>
                </c:pt>
                <c:pt idx="3">
                  <c:v>54.794008379682587</c:v>
                </c:pt>
                <c:pt idx="4">
                  <c:v>53.561788094018638</c:v>
                </c:pt>
                <c:pt idx="5">
                  <c:v>51.923690653091235</c:v>
                </c:pt>
                <c:pt idx="6">
                  <c:v>52.412725889252222</c:v>
                </c:pt>
                <c:pt idx="7">
                  <c:v>51.599917885306233</c:v>
                </c:pt>
                <c:pt idx="8">
                  <c:v>49.629580785317003</c:v>
                </c:pt>
                <c:pt idx="9">
                  <c:v>48.142443340627871</c:v>
                </c:pt>
                <c:pt idx="10">
                  <c:v>59.741737913534124</c:v>
                </c:pt>
                <c:pt idx="11">
                  <c:v>61.538863309792049</c:v>
                </c:pt>
                <c:pt idx="12">
                  <c:v>61.480978780764914</c:v>
                </c:pt>
                <c:pt idx="13">
                  <c:v>58.606269959583138</c:v>
                </c:pt>
                <c:pt idx="14">
                  <c:v>58.688496979061455</c:v>
                </c:pt>
              </c:numCache>
            </c:numRef>
          </c:val>
          <c:smooth val="0"/>
          <c:extLst xmlns:c16r2="http://schemas.microsoft.com/office/drawing/2015/06/chart">
            <c:ext xmlns:c16="http://schemas.microsoft.com/office/drawing/2014/chart" uri="{C3380CC4-5D6E-409C-BE32-E72D297353CC}">
              <c16:uniqueId val="{00000002-1A6F-4026-83FA-D98D7F469C7E}"/>
            </c:ext>
          </c:extLst>
        </c:ser>
        <c:ser>
          <c:idx val="9"/>
          <c:order val="9"/>
          <c:tx>
            <c:strRef>
              <c:f>'Prognoza hrubého dlhu'!$AQ$11</c:f>
              <c:strCache>
                <c:ptCount val="1"/>
                <c:pt idx="0">
                  <c:v>Čistý dlh VS</c:v>
                </c:pt>
              </c:strCache>
            </c:strRef>
          </c:tx>
          <c:spPr>
            <a:ln>
              <a:noFill/>
            </a:ln>
          </c:spPr>
          <c:marker>
            <c:symbol val="circle"/>
            <c:size val="5"/>
            <c:spPr>
              <a:solidFill>
                <a:srgbClr val="2C9ADC"/>
              </a:solidFill>
              <a:ln w="3175">
                <a:solidFill>
                  <a:sysClr val="windowText" lastClr="000000"/>
                </a:solidFill>
              </a:ln>
            </c:spPr>
          </c:marker>
          <c:dLbls>
            <c:dLbl>
              <c:idx val="9"/>
              <c:layout>
                <c:manualLayout>
                  <c:x val="-5.769875326708087E-2"/>
                  <c:y val="-4.80291894272203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DC1-4DF3-A0E1-DE7ABDB18187}"/>
                </c:ext>
                <c:ext xmlns:c15="http://schemas.microsoft.com/office/drawing/2012/chart" uri="{CE6537A1-D6FC-4f65-9D91-7224C49458BB}"/>
              </c:extLst>
            </c:dLbl>
            <c:dLbl>
              <c:idx val="10"/>
              <c:layout>
                <c:manualLayout>
                  <c:x val="-5.3505014000909464E-2"/>
                  <c:y val="-4.8029189427220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DC1-4DF3-A0E1-DE7ABDB18187}"/>
                </c:ext>
                <c:ext xmlns:c15="http://schemas.microsoft.com/office/drawing/2012/chart" uri="{CE6537A1-D6FC-4f65-9D91-7224C49458BB}"/>
              </c:extLst>
            </c:dLbl>
            <c:dLbl>
              <c:idx val="11"/>
              <c:layout>
                <c:manualLayout>
                  <c:x val="-5.3505014000909325E-2"/>
                  <c:y val="-4.80291894272203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6F-4026-83FA-D98D7F469C7E}"/>
                </c:ext>
                <c:ext xmlns:c15="http://schemas.microsoft.com/office/drawing/2012/chart" uri="{CE6537A1-D6FC-4f65-9D91-7224C49458BB}"/>
              </c:extLst>
            </c:dLbl>
            <c:dLbl>
              <c:idx val="12"/>
              <c:layout>
                <c:manualLayout>
                  <c:x val="-5.3505014000909602E-2"/>
                  <c:y val="-3.7376726045063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6F-4026-83FA-D98D7F469C7E}"/>
                </c:ext>
                <c:ext xmlns:c15="http://schemas.microsoft.com/office/drawing/2012/chart" uri="{CE6537A1-D6FC-4f65-9D91-7224C49458BB}"/>
              </c:extLst>
            </c:dLbl>
            <c:dLbl>
              <c:idx val="13"/>
              <c:layout>
                <c:manualLayout>
                  <c:x val="-5.3505014000909602E-2"/>
                  <c:y val="-3.7376726045063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6F-4026-83FA-D98D7F469C7E}"/>
                </c:ext>
                <c:ext xmlns:c15="http://schemas.microsoft.com/office/drawing/2012/chart" uri="{CE6537A1-D6FC-4f65-9D91-7224C49458BB}"/>
              </c:extLst>
            </c:dLbl>
            <c:dLbl>
              <c:idx val="14"/>
              <c:layout>
                <c:manualLayout>
                  <c:x val="-5.3402400497810115E-2"/>
                  <c:y val="-2.6724262662906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6F-4026-83FA-D98D7F469C7E}"/>
                </c:ext>
                <c:ext xmlns:c15="http://schemas.microsoft.com/office/drawing/2012/chart" uri="{CE6537A1-D6FC-4f65-9D91-7224C49458BB}"/>
              </c:extLst>
            </c:dLbl>
            <c:dLbl>
              <c:idx val="2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6F-4026-83FA-D98D7F469C7E}"/>
                </c:ext>
                <c:ext xmlns:c15="http://schemas.microsoft.com/office/drawing/2012/chart" uri="{CE6537A1-D6FC-4f65-9D91-7224C49458BB}"/>
              </c:extLst>
            </c:dLbl>
            <c:dLbl>
              <c:idx val="26"/>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6F-4026-83FA-D98D7F469C7E}"/>
                </c:ext>
                <c:ext xmlns:c15="http://schemas.microsoft.com/office/drawing/2012/chart" uri="{CE6537A1-D6FC-4f65-9D91-7224C49458BB}"/>
              </c:extLst>
            </c:dLbl>
            <c:dLbl>
              <c:idx val="27"/>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6F-4026-83FA-D98D7F469C7E}"/>
                </c:ext>
                <c:ext xmlns:c15="http://schemas.microsoft.com/office/drawing/2012/chart" uri="{CE6537A1-D6FC-4f65-9D91-7224C49458BB}"/>
              </c:extLst>
            </c:dLbl>
            <c:dLbl>
              <c:idx val="2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6F-4026-83FA-D98D7F469C7E}"/>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'Prognoza hrubého dlhu'!$BF$14:$BV$14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'Prognoza hrubého dlhu'!$BF$11:$BV$11</c:f>
              <c:numCache>
                <c:formatCode>0.0</c:formatCode>
                <c:ptCount val="15"/>
                <c:pt idx="0">
                  <c:v>37.357310514490159</c:v>
                </c:pt>
                <c:pt idx="1">
                  <c:v>41.200523147099474</c:v>
                </c:pt>
                <c:pt idx="2">
                  <c:v>45.400060982130192</c:v>
                </c:pt>
                <c:pt idx="3">
                  <c:v>47.889145623261001</c:v>
                </c:pt>
                <c:pt idx="4">
                  <c:v>49.588322764352675</c:v>
                </c:pt>
                <c:pt idx="5">
                  <c:v>47.489162179917855</c:v>
                </c:pt>
                <c:pt idx="6">
                  <c:v>47.056008180675356</c:v>
                </c:pt>
                <c:pt idx="7">
                  <c:v>45.905535062080141</c:v>
                </c:pt>
                <c:pt idx="8">
                  <c:v>43.603528640369625</c:v>
                </c:pt>
                <c:pt idx="9">
                  <c:v>43.289922926936711</c:v>
                </c:pt>
                <c:pt idx="10">
                  <c:v>49.667590157361516</c:v>
                </c:pt>
                <c:pt idx="11">
                  <c:v>55.539639120867143</c:v>
                </c:pt>
                <c:pt idx="12">
                  <c:v>56.266498444765055</c:v>
                </c:pt>
                <c:pt idx="13">
                  <c:v>54.855306549053758</c:v>
                </c:pt>
                <c:pt idx="14">
                  <c:v>55.813826783905583</c:v>
                </c:pt>
              </c:numCache>
            </c:numRef>
          </c:val>
          <c:smooth val="0"/>
          <c:extLst xmlns:c16r2="http://schemas.microsoft.com/office/drawing/2015/06/chart">
            <c:ext xmlns:c16="http://schemas.microsoft.com/office/drawing/2014/chart" uri="{C3380CC4-5D6E-409C-BE32-E72D297353CC}">
              <c16:uniqueId val="{0000000B-1A6F-4026-83FA-D98D7F469C7E}"/>
            </c:ext>
          </c:extLst>
        </c:ser>
        <c:dLbls>
          <c:showLegendKey val="0"/>
          <c:showVal val="0"/>
          <c:showCatName val="0"/>
          <c:showSerName val="0"/>
          <c:showPercent val="0"/>
          <c:showBubbleSize val="0"/>
        </c:dLbls>
        <c:marker val="1"/>
        <c:smooth val="0"/>
        <c:axId val="553546376"/>
        <c:axId val="553549904"/>
        <c:extLst xmlns:c16r2="http://schemas.microsoft.com/office/drawing/2015/06/chart">
          <c:ext xmlns:c15="http://schemas.microsoft.com/office/drawing/2012/chart" uri="{02D57815-91ED-43cb-92C2-25804820EDAC}">
            <c15:filteredLineSeries>
              <c15:ser>
                <c:idx val="0"/>
                <c:order val="7"/>
                <c:tx>
                  <c:strRef>
                    <c:extLst xmlns:c16r2="http://schemas.microsoft.com/office/drawing/2015/06/chart">
                      <c:ext uri="{02D57815-91ED-43cb-92C2-25804820EDAC}">
                        <c15:formulaRef>
                          <c15:sqref>'Prognoza hrubého dlhu'!$AQ$20</c15:sqref>
                        </c15:formulaRef>
                      </c:ext>
                    </c:extLst>
                    <c:strCache>
                      <c:ptCount val="1"/>
                      <c:pt idx="0">
                        <c:v>Maastrichtská hranica</c:v>
                      </c:pt>
                    </c:strCache>
                  </c:strRef>
                </c:tx>
                <c:spPr>
                  <a:ln w="19050">
                    <a:solidFill>
                      <a:srgbClr val="FF0000"/>
                    </a:solidFill>
                    <a:prstDash val="lgDash"/>
                  </a:ln>
                </c:spPr>
                <c:marker>
                  <c:symbol val="none"/>
                </c:marker>
                <c:cat>
                  <c:numRef>
                    <c:extLst xmlns:c16r2="http://schemas.microsoft.com/office/drawing/2015/06/chart">
                      <c:ext uri="{02D57815-91ED-43cb-92C2-25804820EDAC}">
                        <c15:formulaRef>
                          <c15:sqref>'Prognoza hrubého dlhu'!$BF$14:$BV$14</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6r2="http://schemas.microsoft.com/office/drawing/2015/06/chart">
                      <c:ext uri="{02D57815-91ED-43cb-92C2-25804820EDAC}">
                        <c15:formulaRef>
                          <c15:sqref>'Prognoza hrubého dlhu'!$BF$20:$BV$20</c15:sqref>
                        </c15:formulaRef>
                      </c:ext>
                    </c:extLst>
                    <c:numCache>
                      <c:formatCode>General</c:formatCode>
                      <c:ptCount val="15"/>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numCache>
                  </c:numRef>
                </c:val>
                <c:smooth val="0"/>
                <c:extLst xmlns:c16r2="http://schemas.microsoft.com/office/drawing/2015/06/chart">
                  <c:ext xmlns:c16="http://schemas.microsoft.com/office/drawing/2014/chart" uri="{C3380CC4-5D6E-409C-BE32-E72D297353CC}">
                    <c16:uniqueId val="{00000001-1A6F-4026-83FA-D98D7F469C7E}"/>
                  </c:ext>
                </c:extLst>
              </c15:ser>
            </c15:filteredLineSeries>
          </c:ext>
        </c:extLst>
      </c:lineChart>
      <c:dateAx>
        <c:axId val="55354637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553549904"/>
        <c:crosses val="autoZero"/>
        <c:auto val="0"/>
        <c:lblOffset val="100"/>
        <c:baseTimeUnit val="days"/>
      </c:dateAx>
      <c:valAx>
        <c:axId val="553549904"/>
        <c:scaling>
          <c:orientation val="minMax"/>
          <c:max val="70"/>
          <c:min val="30"/>
        </c:scaling>
        <c:delete val="0"/>
        <c:axPos val="r"/>
        <c:majorGridlines>
          <c:spPr>
            <a:ln>
              <a:solidFill>
                <a:schemeClr val="bg1">
                  <a:lumMod val="95000"/>
                </a:schemeClr>
              </a:solidFill>
              <a:prstDash val="sysDot"/>
            </a:ln>
          </c:spPr>
        </c:majorGridlines>
        <c:numFmt formatCode="0" sourceLinked="0"/>
        <c:majorTickMark val="out"/>
        <c:minorTickMark val="none"/>
        <c:tickLblPos val="nextTo"/>
        <c:crossAx val="553546376"/>
        <c:crosses val="max"/>
        <c:crossBetween val="between"/>
      </c:valAx>
      <c:spPr>
        <a:noFill/>
      </c:spPr>
    </c:plotArea>
    <c:legend>
      <c:legendPos val="b"/>
      <c:legendEntry>
        <c:idx val="3"/>
        <c:delete val="1"/>
      </c:legendEntry>
      <c:legendEntry>
        <c:idx val="4"/>
        <c:delete val="1"/>
      </c:legendEntry>
      <c:legendEntry>
        <c:idx val="5"/>
        <c:delete val="1"/>
      </c:legendEntry>
      <c:legendEntry>
        <c:idx val="6"/>
        <c:delete val="1"/>
      </c:legendEntry>
      <c:legendEntry>
        <c:idx val="8"/>
        <c:delete val="1"/>
      </c:legendEntry>
      <c:layout>
        <c:manualLayout>
          <c:xMode val="edge"/>
          <c:yMode val="edge"/>
          <c:x val="3.3548705067009452E-2"/>
          <c:y val="2.7782779130287618E-2"/>
          <c:w val="0.89188072727272727"/>
          <c:h val="0.12287036369984096"/>
        </c:manualLayout>
      </c:layout>
      <c:overlay val="0"/>
    </c:legend>
    <c:plotVisOnly val="1"/>
    <c:dispBlanksAs val="gap"/>
    <c:showDLblsOverMax val="0"/>
  </c:chart>
  <c:spPr>
    <a:noFill/>
    <a:ln>
      <a:noFill/>
    </a:ln>
  </c:spPr>
  <c:txPr>
    <a:bodyPr/>
    <a:lstStyle/>
    <a:p>
      <a:pPr>
        <a:defRPr sz="700">
          <a:solidFill>
            <a:schemeClr val="tx1"/>
          </a:solidFill>
          <a:latin typeface="Arial Narrow" pitchFamily="34" charset="0"/>
        </a:defRPr>
      </a:pPr>
      <a:endParaRPr lang="sk-SK"/>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1">
                <a:lumMod val="75000"/>
              </a:schemeClr>
            </a:solidFill>
            <a:ln>
              <a:noFill/>
            </a:ln>
            <a:effectLst/>
          </c:spPr>
          <c:invertIfNegative val="0"/>
          <c:dPt>
            <c:idx val="1"/>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1-53D5-4E4D-8707-5558037557BF}"/>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53D5-4E4D-8707-5558037557BF}"/>
              </c:ext>
            </c:extLst>
          </c:dPt>
          <c:dPt>
            <c:idx val="7"/>
            <c:invertIfNegative val="0"/>
            <c:bubble3D val="0"/>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5-53D5-4E4D-8707-5558037557BF}"/>
              </c:ext>
            </c:extLst>
          </c:dPt>
          <c:dPt>
            <c:idx val="9"/>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7-53D5-4E4D-8707-5558037557BF}"/>
              </c:ext>
            </c:extLst>
          </c:dPt>
          <c:dLbls>
            <c:dLbl>
              <c:idx val="0"/>
              <c:tx>
                <c:rich>
                  <a:bodyPr/>
                  <a:lstStyle/>
                  <a:p>
                    <a:fld id="{EC359BEE-709C-48D0-9028-BA42B2DEE358}" type="CELLRANGE">
                      <a:rPr lang="en-US"/>
                      <a:pPr/>
                      <a:t>[CELLRANGE]</a:t>
                    </a:fld>
                    <a:endParaRPr lang="sk-SK"/>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3D5-4E4D-8707-5558037557BF}"/>
                </c:ext>
                <c:ext xmlns:c15="http://schemas.microsoft.com/office/drawing/2012/chart" uri="{CE6537A1-D6FC-4f65-9D91-7224C49458BB}">
                  <c15:dlblFieldTable/>
                  <c15:showDataLabelsRange val="1"/>
                </c:ext>
              </c:extLst>
            </c:dLbl>
            <c:dLbl>
              <c:idx val="1"/>
              <c:tx>
                <c:rich>
                  <a:bodyPr/>
                  <a:lstStyle/>
                  <a:p>
                    <a:fld id="{048C7FA5-8E0F-4F40-9232-07BD458F6F4C}"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8B06ED0-20C6-45B8-A9F1-C3BFF4083949}"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C4420E3F-B7F2-4775-AEDF-B89429BE01B1}"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82C6D49E-9E9D-458A-A52E-BAD84EFAB366}"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996A7CB6-00B1-4C1F-AE7D-3F1F66888F2B}"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E7CF55BF-2C09-4E83-AA8F-C4B6834C0373}"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E4C05E4B-B870-40C1-99B5-E29E4E712412}" type="CELLRANGE">
                      <a:rPr lang="sk-SK"/>
                      <a:pPr/>
                      <a:t>[CELLRANGE]</a:t>
                    </a:fld>
                    <a:endParaRPr lang="sk-SK"/>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'platy ucitelov oproti VS vzdel'!$A$81:$A$88</c:f>
              <c:strCache>
                <c:ptCount val="8"/>
                <c:pt idx="0">
                  <c:v>FI</c:v>
                </c:pt>
                <c:pt idx="1">
                  <c:v>EE</c:v>
                </c:pt>
                <c:pt idx="2">
                  <c:v>EU23</c:v>
                </c:pt>
                <c:pt idx="3">
                  <c:v>OECD</c:v>
                </c:pt>
                <c:pt idx="4">
                  <c:v>CZ</c:v>
                </c:pt>
                <c:pt idx="5">
                  <c:v>SK</c:v>
                </c:pt>
                <c:pt idx="6">
                  <c:v>IT</c:v>
                </c:pt>
                <c:pt idx="7">
                  <c:v>HU</c:v>
                </c:pt>
              </c:strCache>
            </c:strRef>
          </c:cat>
          <c:val>
            <c:numRef>
              <c:f>'platy ucitelov oproti VS vzdel'!$B$81:$B$88</c:f>
              <c:numCache>
                <c:formatCode>0%</c:formatCode>
                <c:ptCount val="8"/>
                <c:pt idx="0">
                  <c:v>0.98396996188800401</c:v>
                </c:pt>
                <c:pt idx="1">
                  <c:v>0.95196166437581797</c:v>
                </c:pt>
                <c:pt idx="2">
                  <c:v>0.901866974605952</c:v>
                </c:pt>
                <c:pt idx="3">
                  <c:v>0.901866974605952</c:v>
                </c:pt>
                <c:pt idx="4">
                  <c:v>0.73278282124479399</c:v>
                </c:pt>
                <c:pt idx="5">
                  <c:v>0.71584292910786096</c:v>
                </c:pt>
                <c:pt idx="6">
                  <c:v>0.71015726837889104</c:v>
                </c:pt>
                <c:pt idx="7">
                  <c:v>0.61060593023243603</c:v>
                </c:pt>
              </c:numCache>
            </c:numRef>
          </c:val>
          <c:extLst xmlns:c16r2="http://schemas.microsoft.com/office/drawing/2015/06/chart">
            <c:ext xmlns:c16="http://schemas.microsoft.com/office/drawing/2014/chart" uri="{C3380CC4-5D6E-409C-BE32-E72D297353CC}">
              <c16:uniqueId val="{0000000D-53D5-4E4D-8707-5558037557BF}"/>
            </c:ext>
            <c:ext xmlns:c15="http://schemas.microsoft.com/office/drawing/2012/chart" uri="{02D57815-91ED-43cb-92C2-25804820EDAC}">
              <c15:datalabelsRange>
                <c15:f>'platy ucitelov oproti VS vzdel'!$D$81:$D$88</c15:f>
                <c15:dlblRangeCache>
                  <c:ptCount val="8"/>
                  <c:pt idx="0">
                    <c:v>98</c:v>
                  </c:pt>
                  <c:pt idx="1">
                    <c:v>95</c:v>
                  </c:pt>
                  <c:pt idx="2">
                    <c:v>90</c:v>
                  </c:pt>
                  <c:pt idx="3">
                    <c:v>90</c:v>
                  </c:pt>
                  <c:pt idx="4">
                    <c:v>73</c:v>
                  </c:pt>
                  <c:pt idx="5">
                    <c:v>72</c:v>
                  </c:pt>
                  <c:pt idx="6">
                    <c:v>71</c:v>
                  </c:pt>
                  <c:pt idx="7">
                    <c:v>61</c:v>
                  </c:pt>
                </c15:dlblRangeCache>
              </c15:datalabelsRange>
            </c:ext>
          </c:extLst>
        </c:ser>
        <c:dLbls>
          <c:showLegendKey val="0"/>
          <c:showVal val="0"/>
          <c:showCatName val="0"/>
          <c:showSerName val="0"/>
          <c:showPercent val="0"/>
          <c:showBubbleSize val="0"/>
        </c:dLbls>
        <c:gapWidth val="99"/>
        <c:overlap val="-27"/>
        <c:axId val="547869112"/>
        <c:axId val="547868720"/>
      </c:barChart>
      <c:catAx>
        <c:axId val="547869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47868720"/>
        <c:crosses val="autoZero"/>
        <c:auto val="1"/>
        <c:lblAlgn val="ctr"/>
        <c:lblOffset val="100"/>
        <c:noMultiLvlLbl val="0"/>
      </c:catAx>
      <c:valAx>
        <c:axId val="547868720"/>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47869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82705339338525474"/>
          <c:h val="0.83474044343678833"/>
        </c:manualLayout>
      </c:layout>
      <c:lineChart>
        <c:grouping val="standard"/>
        <c:varyColors val="0"/>
        <c:ser>
          <c:idx val="4"/>
          <c:order val="0"/>
          <c:tx>
            <c:strRef>
              <c:f>'RandD cele'!$A$37</c:f>
              <c:strCache>
                <c:ptCount val="1"/>
                <c:pt idx="0">
                  <c:v>SK</c:v>
                </c:pt>
              </c:strCache>
            </c:strRef>
          </c:tx>
          <c:spPr>
            <a:ln>
              <a:solidFill>
                <a:srgbClr val="0070C0"/>
              </a:solidFill>
            </a:ln>
          </c:spPr>
          <c:marker>
            <c:symbol val="none"/>
          </c:marker>
          <c:dLbls>
            <c:numFmt formatCode="#,##0.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'RandD cele'!$P$13:$Y$13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'RandD cele'!$P$41:$Y$41</c:f>
              <c:numCache>
                <c:formatCode>#,##0.00</c:formatCode>
                <c:ptCount val="10"/>
                <c:pt idx="0">
                  <c:v>0.61</c:v>
                </c:pt>
                <c:pt idx="1">
                  <c:v>0.66</c:v>
                </c:pt>
                <c:pt idx="2" formatCode="#\ ##0.0">
                  <c:v>0.8</c:v>
                </c:pt>
                <c:pt idx="3">
                  <c:v>0.82</c:v>
                </c:pt>
                <c:pt idx="4">
                  <c:v>0.88</c:v>
                </c:pt>
                <c:pt idx="5">
                  <c:v>1.1599999999999999</c:v>
                </c:pt>
                <c:pt idx="6">
                  <c:v>0.79</c:v>
                </c:pt>
                <c:pt idx="7">
                  <c:v>0.89</c:v>
                </c:pt>
                <c:pt idx="8">
                  <c:v>0.84</c:v>
                </c:pt>
                <c:pt idx="9">
                  <c:v>0.83</c:v>
                </c:pt>
              </c:numCache>
            </c:numRef>
          </c:val>
          <c:smooth val="0"/>
          <c:extLst xmlns:c16r2="http://schemas.microsoft.com/office/drawing/2015/06/chart">
            <c:ext xmlns:c16="http://schemas.microsoft.com/office/drawing/2014/chart" uri="{C3380CC4-5D6E-409C-BE32-E72D297353CC}">
              <c16:uniqueId val="{00000000-1635-4246-B688-514D073915B6}"/>
            </c:ext>
          </c:extLst>
        </c:ser>
        <c:ser>
          <c:idx val="0"/>
          <c:order val="1"/>
          <c:tx>
            <c:strRef>
              <c:f>'RandD cele'!$C$55</c:f>
              <c:strCache>
                <c:ptCount val="1"/>
                <c:pt idx="0">
                  <c:v>V3</c:v>
                </c:pt>
              </c:strCache>
            </c:strRef>
          </c:tx>
          <c:spPr>
            <a:ln>
              <a:solidFill>
                <a:sysClr val="window" lastClr="FFFFFF">
                  <a:lumMod val="65000"/>
                </a:sysClr>
              </a:solidFill>
            </a:ln>
          </c:spPr>
          <c:marker>
            <c:symbol val="none"/>
          </c:marker>
          <c:dLbls>
            <c:numFmt formatCode="#,##0.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'RandD cele'!$P$13:$Y$13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'RandD cele'!$P$63:$Y$63</c:f>
              <c:numCache>
                <c:formatCode>#,##0.00</c:formatCode>
                <c:ptCount val="10"/>
                <c:pt idx="0">
                  <c:v>1.0599999999999998</c:v>
                </c:pt>
                <c:pt idx="1">
                  <c:v>1.1566666666666665</c:v>
                </c:pt>
                <c:pt idx="2">
                  <c:v>1.3033333333333335</c:v>
                </c:pt>
                <c:pt idx="3">
                  <c:v>1.3833333333333331</c:v>
                </c:pt>
                <c:pt idx="4">
                  <c:v>1.4166666666666667</c:v>
                </c:pt>
                <c:pt idx="5">
                  <c:v>1.42</c:v>
                </c:pt>
                <c:pt idx="6">
                  <c:v>1.2699999999999998</c:v>
                </c:pt>
                <c:pt idx="7">
                  <c:v>1.3733333333333333</c:v>
                </c:pt>
                <c:pt idx="8">
                  <c:v>1.54</c:v>
                </c:pt>
                <c:pt idx="9">
                  <c:v>1.58</c:v>
                </c:pt>
              </c:numCache>
            </c:numRef>
          </c:val>
          <c:smooth val="0"/>
          <c:extLst xmlns:c16r2="http://schemas.microsoft.com/office/drawing/2015/06/chart">
            <c:ext xmlns:c16="http://schemas.microsoft.com/office/drawing/2014/chart" uri="{C3380CC4-5D6E-409C-BE32-E72D297353CC}">
              <c16:uniqueId val="{00000001-1635-4246-B688-514D073915B6}"/>
            </c:ext>
          </c:extLst>
        </c:ser>
        <c:ser>
          <c:idx val="1"/>
          <c:order val="2"/>
          <c:tx>
            <c:strRef>
              <c:f>'RandD cele'!$C$56</c:f>
              <c:strCache>
                <c:ptCount val="1"/>
                <c:pt idx="0">
                  <c:v>EÚ-27</c:v>
                </c:pt>
              </c:strCache>
            </c:strRef>
          </c:tx>
          <c:spPr>
            <a:ln>
              <a:solidFill>
                <a:sysClr val="windowText" lastClr="000000"/>
              </a:solidFill>
            </a:ln>
          </c:spPr>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'RandD cele'!$P$13:$Y$13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'RandD cele'!$P$64:$Y$64</c:f>
              <c:numCache>
                <c:formatCode>#,##0.00</c:formatCode>
                <c:ptCount val="10"/>
                <c:pt idx="0">
                  <c:v>1.5040740740740741</c:v>
                </c:pt>
                <c:pt idx="1">
                  <c:v>1.5729629629629627</c:v>
                </c:pt>
                <c:pt idx="2">
                  <c:v>1.6044444444444448</c:v>
                </c:pt>
                <c:pt idx="3">
                  <c:v>1.6103703703703702</c:v>
                </c:pt>
                <c:pt idx="4">
                  <c:v>1.5992592592592596</c:v>
                </c:pt>
                <c:pt idx="5">
                  <c:v>1.6092592592592592</c:v>
                </c:pt>
                <c:pt idx="6">
                  <c:v>1.5422222222222219</c:v>
                </c:pt>
                <c:pt idx="7">
                  <c:v>1.5740740740740737</c:v>
                </c:pt>
                <c:pt idx="8">
                  <c:v>1.6185185185185189</c:v>
                </c:pt>
                <c:pt idx="9">
                  <c:v>1.6503703703703698</c:v>
                </c:pt>
              </c:numCache>
            </c:numRef>
          </c:val>
          <c:smooth val="0"/>
          <c:extLst xmlns:c16r2="http://schemas.microsoft.com/office/drawing/2015/06/chart">
            <c:ext xmlns:c16="http://schemas.microsoft.com/office/drawing/2014/chart" uri="{C3380CC4-5D6E-409C-BE32-E72D297353CC}">
              <c16:uniqueId val="{00000002-1635-4246-B688-514D073915B6}"/>
            </c:ext>
          </c:extLst>
        </c:ser>
        <c:dLbls>
          <c:showLegendKey val="0"/>
          <c:showVal val="0"/>
          <c:showCatName val="0"/>
          <c:showSerName val="0"/>
          <c:showPercent val="0"/>
          <c:showBubbleSize val="0"/>
        </c:dLbls>
        <c:smooth val="0"/>
        <c:axId val="547865976"/>
        <c:axId val="547864408"/>
      </c:lineChart>
      <c:catAx>
        <c:axId val="547865976"/>
        <c:scaling>
          <c:orientation val="minMax"/>
        </c:scaling>
        <c:delete val="0"/>
        <c:axPos val="b"/>
        <c:numFmt formatCode="General" sourceLinked="0"/>
        <c:majorTickMark val="out"/>
        <c:minorTickMark val="none"/>
        <c:tickLblPos val="low"/>
        <c:txPr>
          <a:bodyPr rot="0" vert="horz"/>
          <a:lstStyle/>
          <a:p>
            <a:pPr>
              <a:defRPr/>
            </a:pPr>
            <a:endParaRPr lang="sk-SK"/>
          </a:p>
        </c:txPr>
        <c:crossAx val="547864408"/>
        <c:crosses val="autoZero"/>
        <c:auto val="1"/>
        <c:lblAlgn val="ctr"/>
        <c:lblOffset val="100"/>
        <c:noMultiLvlLbl val="0"/>
      </c:catAx>
      <c:valAx>
        <c:axId val="547864408"/>
        <c:scaling>
          <c:orientation val="minMax"/>
          <c:max val="2"/>
          <c:min val="0"/>
        </c:scaling>
        <c:delete val="0"/>
        <c:axPos val="l"/>
        <c:majorGridlines>
          <c:spPr>
            <a:ln>
              <a:solidFill>
                <a:schemeClr val="bg1">
                  <a:lumMod val="75000"/>
                </a:schemeClr>
              </a:solidFill>
              <a:prstDash val="sysDash"/>
            </a:ln>
          </c:spPr>
        </c:majorGridlines>
        <c:numFmt formatCode="#,##0.0&quot;%&quot;" sourceLinked="0"/>
        <c:majorTickMark val="out"/>
        <c:minorTickMark val="none"/>
        <c:tickLblPos val="nextTo"/>
        <c:txPr>
          <a:bodyPr rot="0" vert="horz"/>
          <a:lstStyle/>
          <a:p>
            <a:pPr>
              <a:defRPr/>
            </a:pPr>
            <a:endParaRPr lang="sk-SK"/>
          </a:p>
        </c:txPr>
        <c:crossAx val="547865976"/>
        <c:crosses val="autoZero"/>
        <c:crossBetween val="between"/>
        <c:majorUnit val="0.5"/>
        <c:minorUnit val="0.1"/>
      </c:valAx>
    </c:plotArea>
    <c:legend>
      <c:legendPos val="l"/>
      <c:layout>
        <c:manualLayout>
          <c:xMode val="edge"/>
          <c:yMode val="edge"/>
          <c:x val="0.41255679574169812"/>
          <c:y val="0.70943268278235638"/>
          <c:w val="0.38886358703580487"/>
          <c:h val="0.17804875557870442"/>
        </c:manualLayout>
      </c:layout>
      <c:overlay val="1"/>
    </c:legend>
    <c:plotVisOnly val="1"/>
    <c:dispBlanksAs val="gap"/>
    <c:showDLblsOverMax val="0"/>
  </c:chart>
  <c:spPr>
    <a:noFill/>
    <a:ln>
      <a:noFill/>
    </a:ln>
  </c:spPr>
  <c:txPr>
    <a:bodyPr/>
    <a:lstStyle/>
    <a:p>
      <a:pPr>
        <a:defRPr sz="7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sk-SK"/>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96199856206092"/>
          <c:y val="5.4320987654320987E-2"/>
          <c:w val="0.79183008064585991"/>
          <c:h val="0.81984573767359548"/>
        </c:manualLayout>
      </c:layout>
      <c:barChart>
        <c:barDir val="col"/>
        <c:grouping val="clustered"/>
        <c:varyColors val="0"/>
        <c:ser>
          <c:idx val="0"/>
          <c:order val="0"/>
          <c:tx>
            <c:strRef>
              <c:f>Hárok1!$B$1</c:f>
              <c:strCache>
                <c:ptCount val="1"/>
                <c:pt idx="0">
                  <c:v>kilometre najazdené vlakom ročne na 1 obyvateľa</c:v>
                </c:pt>
              </c:strCache>
            </c:strRef>
          </c:tx>
          <c:spPr>
            <a:solidFill>
              <a:srgbClr val="00B0F0"/>
            </a:solidFill>
            <a:ln>
              <a:noFill/>
            </a:ln>
            <a:effectLst/>
          </c:spPr>
          <c:invertIfNegative val="0"/>
          <c:cat>
            <c:strRef>
              <c:f>Hárok1!$A$2:$A$15</c:f>
              <c:strCache>
                <c:ptCount val="14"/>
                <c:pt idx="0">
                  <c:v>CH</c:v>
                </c:pt>
                <c:pt idx="1">
                  <c:v>FR</c:v>
                </c:pt>
                <c:pt idx="2">
                  <c:v>AT</c:v>
                </c:pt>
                <c:pt idx="3">
                  <c:v>DE</c:v>
                </c:pt>
                <c:pt idx="4">
                  <c:v>UK</c:v>
                </c:pt>
                <c:pt idx="5">
                  <c:v>DK</c:v>
                </c:pt>
                <c:pt idx="6">
                  <c:v>CZ</c:v>
                </c:pt>
                <c:pt idx="7">
                  <c:v>SK</c:v>
                </c:pt>
                <c:pt idx="8">
                  <c:v>NO</c:v>
                </c:pt>
                <c:pt idx="9">
                  <c:v>ES</c:v>
                </c:pt>
                <c:pt idx="10">
                  <c:v>PL</c:v>
                </c:pt>
                <c:pt idx="11">
                  <c:v>IE</c:v>
                </c:pt>
                <c:pt idx="12">
                  <c:v>SI</c:v>
                </c:pt>
                <c:pt idx="13">
                  <c:v>HR</c:v>
                </c:pt>
              </c:strCache>
            </c:strRef>
          </c:cat>
          <c:val>
            <c:numRef>
              <c:f>Hárok1!$B$2:$B$15</c:f>
              <c:numCache>
                <c:formatCode>0</c:formatCode>
                <c:ptCount val="14"/>
                <c:pt idx="0">
                  <c:v>2377.5452988796219</c:v>
                </c:pt>
                <c:pt idx="1">
                  <c:v>1464.1777510598913</c:v>
                </c:pt>
                <c:pt idx="2">
                  <c:v>1440.4926189004686</c:v>
                </c:pt>
                <c:pt idx="3">
                  <c:v>1207.575889691944</c:v>
                </c:pt>
                <c:pt idx="4">
                  <c:v>1077.661099553721</c:v>
                </c:pt>
                <c:pt idx="5">
                  <c:v>1063.3678724082561</c:v>
                </c:pt>
                <c:pt idx="6">
                  <c:v>1019.3618659505343</c:v>
                </c:pt>
                <c:pt idx="7">
                  <c:v>725.99896411671682</c:v>
                </c:pt>
                <c:pt idx="8">
                  <c:v>697.2320170443669</c:v>
                </c:pt>
                <c:pt idx="9">
                  <c:v>611.52104541699032</c:v>
                </c:pt>
                <c:pt idx="10">
                  <c:v>574.99033782380934</c:v>
                </c:pt>
                <c:pt idx="11">
                  <c:v>489.16855618811479</c:v>
                </c:pt>
                <c:pt idx="12">
                  <c:v>274.88000430581263</c:v>
                </c:pt>
                <c:pt idx="13">
                  <c:v>177.61440305614528</c:v>
                </c:pt>
              </c:numCache>
            </c:numRef>
          </c:val>
          <c:extLst xmlns:c16r2="http://schemas.microsoft.com/office/drawing/2015/06/chart">
            <c:ext xmlns:c16="http://schemas.microsoft.com/office/drawing/2014/chart" uri="{C3380CC4-5D6E-409C-BE32-E72D297353CC}">
              <c16:uniqueId val="{00000000-D08C-4DF9-9DAD-5140A5BF239C}"/>
            </c:ext>
          </c:extLst>
        </c:ser>
        <c:dLbls>
          <c:showLegendKey val="0"/>
          <c:showVal val="0"/>
          <c:showCatName val="0"/>
          <c:showSerName val="0"/>
          <c:showPercent val="0"/>
          <c:showBubbleSize val="0"/>
        </c:dLbls>
        <c:gapWidth val="219"/>
        <c:overlap val="-27"/>
        <c:axId val="547862840"/>
        <c:axId val="547862448"/>
      </c:barChart>
      <c:lineChart>
        <c:grouping val="standard"/>
        <c:varyColors val="0"/>
        <c:ser>
          <c:idx val="1"/>
          <c:order val="1"/>
          <c:tx>
            <c:strRef>
              <c:f>Hárok1!$C$1</c:f>
              <c:strCache>
                <c:ptCount val="1"/>
                <c:pt idx="0">
                  <c:v>priemer EÚ</c:v>
                </c:pt>
              </c:strCache>
            </c:strRef>
          </c:tx>
          <c:spPr>
            <a:ln w="28575" cap="rnd">
              <a:solidFill>
                <a:srgbClr val="002060"/>
              </a:solidFill>
              <a:round/>
            </a:ln>
            <a:effectLst/>
          </c:spPr>
          <c:marker>
            <c:symbol val="none"/>
          </c:marker>
          <c:dLbls>
            <c:dLbl>
              <c:idx val="11"/>
              <c:layout>
                <c:manualLayout>
                  <c:x val="0"/>
                  <c:y val="-3.9506172839506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8C-4DF9-9DAD-5140A5BF23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Hárok1!$A$2:$A$15</c:f>
              <c:strCache>
                <c:ptCount val="14"/>
                <c:pt idx="0">
                  <c:v>CH</c:v>
                </c:pt>
                <c:pt idx="1">
                  <c:v>FR</c:v>
                </c:pt>
                <c:pt idx="2">
                  <c:v>AT</c:v>
                </c:pt>
                <c:pt idx="3">
                  <c:v>DE</c:v>
                </c:pt>
                <c:pt idx="4">
                  <c:v>UK</c:v>
                </c:pt>
                <c:pt idx="5">
                  <c:v>DK</c:v>
                </c:pt>
                <c:pt idx="6">
                  <c:v>CZ</c:v>
                </c:pt>
                <c:pt idx="7">
                  <c:v>SK</c:v>
                </c:pt>
                <c:pt idx="8">
                  <c:v>NO</c:v>
                </c:pt>
                <c:pt idx="9">
                  <c:v>ES</c:v>
                </c:pt>
                <c:pt idx="10">
                  <c:v>PL</c:v>
                </c:pt>
                <c:pt idx="11">
                  <c:v>IE</c:v>
                </c:pt>
                <c:pt idx="12">
                  <c:v>SI</c:v>
                </c:pt>
                <c:pt idx="13">
                  <c:v>HR</c:v>
                </c:pt>
              </c:strCache>
            </c:strRef>
          </c:cat>
          <c:val>
            <c:numRef>
              <c:f>Hárok1!$C$2:$C$15</c:f>
              <c:numCache>
                <c:formatCode>#,##0</c:formatCode>
                <c:ptCount val="14"/>
                <c:pt idx="0">
                  <c:v>695</c:v>
                </c:pt>
                <c:pt idx="1">
                  <c:v>695</c:v>
                </c:pt>
                <c:pt idx="2">
                  <c:v>695</c:v>
                </c:pt>
                <c:pt idx="3">
                  <c:v>695</c:v>
                </c:pt>
                <c:pt idx="4">
                  <c:v>695</c:v>
                </c:pt>
                <c:pt idx="5">
                  <c:v>695</c:v>
                </c:pt>
                <c:pt idx="6">
                  <c:v>695</c:v>
                </c:pt>
                <c:pt idx="7">
                  <c:v>695</c:v>
                </c:pt>
                <c:pt idx="8">
                  <c:v>695</c:v>
                </c:pt>
                <c:pt idx="9">
                  <c:v>695</c:v>
                </c:pt>
                <c:pt idx="10">
                  <c:v>695</c:v>
                </c:pt>
                <c:pt idx="11">
                  <c:v>695</c:v>
                </c:pt>
                <c:pt idx="12">
                  <c:v>695</c:v>
                </c:pt>
                <c:pt idx="13">
                  <c:v>695</c:v>
                </c:pt>
              </c:numCache>
            </c:numRef>
          </c:val>
          <c:smooth val="0"/>
          <c:extLst xmlns:c16r2="http://schemas.microsoft.com/office/drawing/2015/06/chart">
            <c:ext xmlns:c16="http://schemas.microsoft.com/office/drawing/2014/chart" uri="{C3380CC4-5D6E-409C-BE32-E72D297353CC}">
              <c16:uniqueId val="{00000002-D08C-4DF9-9DAD-5140A5BF239C}"/>
            </c:ext>
          </c:extLst>
        </c:ser>
        <c:dLbls>
          <c:showLegendKey val="0"/>
          <c:showVal val="0"/>
          <c:showCatName val="0"/>
          <c:showSerName val="0"/>
          <c:showPercent val="0"/>
          <c:showBubbleSize val="0"/>
        </c:dLbls>
        <c:marker val="1"/>
        <c:smooth val="0"/>
        <c:axId val="547862840"/>
        <c:axId val="547862448"/>
      </c:lineChart>
      <c:catAx>
        <c:axId val="54786284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47862448"/>
        <c:crosses val="autoZero"/>
        <c:auto val="1"/>
        <c:lblAlgn val="ctr"/>
        <c:lblOffset val="100"/>
        <c:noMultiLvlLbl val="0"/>
      </c:catAx>
      <c:valAx>
        <c:axId val="54786244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47862840"/>
        <c:crosses val="autoZero"/>
        <c:crossBetween val="between"/>
      </c:valAx>
      <c:spPr>
        <a:noFill/>
        <a:ln>
          <a:noFill/>
        </a:ln>
        <a:effectLst/>
      </c:spPr>
    </c:plotArea>
    <c:legend>
      <c:legendPos val="b"/>
      <c:layout>
        <c:manualLayout>
          <c:xMode val="edge"/>
          <c:yMode val="edge"/>
          <c:x val="0.34260163024176432"/>
          <c:y val="8.8541265675123937E-2"/>
          <c:w val="0.63438682233686305"/>
          <c:h val="0.2818292505103528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5.0925925925925923E-2"/>
          <c:w val="0.87683784092205863"/>
          <c:h val="0.8160267315983093"/>
        </c:manualLayout>
      </c:layout>
      <c:barChart>
        <c:barDir val="col"/>
        <c:grouping val="stacked"/>
        <c:varyColors val="0"/>
        <c:ser>
          <c:idx val="0"/>
          <c:order val="0"/>
          <c:tx>
            <c:strRef>
              <c:f>'Graf stav cesty I. triedy'!$T$5</c:f>
              <c:strCache>
                <c:ptCount val="1"/>
                <c:pt idx="0">
                  <c:v>Nevyhovujúci (%)</c:v>
                </c:pt>
              </c:strCache>
            </c:strRef>
          </c:tx>
          <c:spPr>
            <a:solidFill>
              <a:srgbClr val="00B0F0"/>
            </a:solidFill>
            <a:ln>
              <a:noFill/>
            </a:ln>
            <a:effectLst/>
          </c:spPr>
          <c:invertIfNegative val="0"/>
          <c:cat>
            <c:numRef>
              <c:f>'Graf stav cesty I. triedy'!$S$6:$S$26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extLst xmlns:c16r2="http://schemas.microsoft.com/office/drawing/2015/06/chart"/>
            </c:numRef>
          </c:cat>
          <c:val>
            <c:numRef>
              <c:f>'Graf stav cesty I. triedy'!$T$6:$T$26</c:f>
              <c:numCache>
                <c:formatCode>0.0</c:formatCode>
                <c:ptCount val="16"/>
                <c:pt idx="0">
                  <c:v>19.3</c:v>
                </c:pt>
                <c:pt idx="1">
                  <c:v>23.5</c:v>
                </c:pt>
                <c:pt idx="2">
                  <c:v>25.6</c:v>
                </c:pt>
                <c:pt idx="3">
                  <c:v>30.099999999999998</c:v>
                </c:pt>
                <c:pt idx="4">
                  <c:v>32.199999999999996</c:v>
                </c:pt>
                <c:pt idx="5">
                  <c:v>35.6</c:v>
                </c:pt>
                <c:pt idx="6">
                  <c:v>47.1</c:v>
                </c:pt>
                <c:pt idx="7">
                  <c:v>47.199999999999996</c:v>
                </c:pt>
                <c:pt idx="8">
                  <c:v>38.900000000000006</c:v>
                </c:pt>
                <c:pt idx="9">
                  <c:v>35.6</c:v>
                </c:pt>
                <c:pt idx="10">
                  <c:v>35.9</c:v>
                </c:pt>
                <c:pt idx="11">
                  <c:v>30.290000000000003</c:v>
                </c:pt>
                <c:pt idx="12">
                  <c:v>32.4</c:v>
                </c:pt>
                <c:pt idx="13">
                  <c:v>32.65</c:v>
                </c:pt>
                <c:pt idx="14">
                  <c:v>32.800000000000004</c:v>
                </c:pt>
                <c:pt idx="15">
                  <c:v>31.800000000000004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3C8-407C-81D5-095DCD5BB44C}"/>
            </c:ext>
          </c:extLst>
        </c:ser>
        <c:ser>
          <c:idx val="1"/>
          <c:order val="1"/>
          <c:tx>
            <c:strRef>
              <c:f>'Graf stav cesty I. triedy'!$U$5</c:f>
              <c:strCache>
                <c:ptCount val="1"/>
                <c:pt idx="0">
                  <c:v>Havarijný (%)</c:v>
                </c:pt>
              </c:strCache>
            </c:strRef>
          </c:tx>
          <c:spPr>
            <a:solidFill>
              <a:schemeClr val="accent3"/>
            </a:solidFill>
            <a:ln>
              <a:noFill/>
            </a:ln>
            <a:effectLst/>
          </c:spPr>
          <c:invertIfNegative val="0"/>
          <c:cat>
            <c:numRef>
              <c:f>'Graf stav cesty I. triedy'!$S$6:$S$26</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extLst xmlns:c16r2="http://schemas.microsoft.com/office/drawing/2015/06/chart"/>
            </c:numRef>
          </c:cat>
          <c:val>
            <c:numRef>
              <c:f>'Graf stav cesty I. triedy'!$U$6:$U$26</c:f>
              <c:numCache>
                <c:formatCode>General</c:formatCode>
                <c:ptCount val="16"/>
                <c:pt idx="0">
                  <c:v>3.7</c:v>
                </c:pt>
                <c:pt idx="1">
                  <c:v>5.3</c:v>
                </c:pt>
                <c:pt idx="2">
                  <c:v>5.2</c:v>
                </c:pt>
                <c:pt idx="3">
                  <c:v>4.2</c:v>
                </c:pt>
                <c:pt idx="4">
                  <c:v>5.6</c:v>
                </c:pt>
                <c:pt idx="5">
                  <c:v>5.8</c:v>
                </c:pt>
                <c:pt idx="6">
                  <c:v>5.6</c:v>
                </c:pt>
                <c:pt idx="7">
                  <c:v>6.2</c:v>
                </c:pt>
                <c:pt idx="8">
                  <c:v>8.1999999999999993</c:v>
                </c:pt>
                <c:pt idx="9">
                  <c:v>5.5</c:v>
                </c:pt>
                <c:pt idx="10">
                  <c:v>8.9</c:v>
                </c:pt>
                <c:pt idx="11">
                  <c:v>7.41</c:v>
                </c:pt>
                <c:pt idx="12">
                  <c:v>7</c:v>
                </c:pt>
                <c:pt idx="13">
                  <c:v>8.11</c:v>
                </c:pt>
                <c:pt idx="14">
                  <c:v>7.9</c:v>
                </c:pt>
                <c:pt idx="15" formatCode="0.0">
                  <c:v>7.4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3C8-407C-81D5-095DCD5BB44C}"/>
            </c:ext>
          </c:extLst>
        </c:ser>
        <c:dLbls>
          <c:showLegendKey val="0"/>
          <c:showVal val="0"/>
          <c:showCatName val="0"/>
          <c:showSerName val="0"/>
          <c:showPercent val="0"/>
          <c:showBubbleSize val="0"/>
        </c:dLbls>
        <c:gapWidth val="150"/>
        <c:overlap val="100"/>
        <c:axId val="547861664"/>
        <c:axId val="547861272"/>
      </c:barChart>
      <c:catAx>
        <c:axId val="5478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47861272"/>
        <c:crosses val="autoZero"/>
        <c:auto val="1"/>
        <c:lblAlgn val="ctr"/>
        <c:lblOffset val="100"/>
        <c:noMultiLvlLbl val="0"/>
      </c:catAx>
      <c:valAx>
        <c:axId val="54786127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47861664"/>
        <c:crosses val="autoZero"/>
        <c:crossBetween val="between"/>
      </c:valAx>
      <c:spPr>
        <a:noFill/>
        <a:ln>
          <a:noFill/>
        </a:ln>
        <a:effectLst/>
      </c:spPr>
    </c:plotArea>
    <c:legend>
      <c:legendPos val="b"/>
      <c:layout>
        <c:manualLayout>
          <c:xMode val="edge"/>
          <c:yMode val="edge"/>
          <c:x val="5.8041005743847233E-2"/>
          <c:y val="5.4966193741911293E-2"/>
          <c:w val="0.38649206892616683"/>
          <c:h val="0.21424338086771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5326641862074"/>
          <c:y val="0.19000703729767771"/>
          <c:w val="0.83439508522973094"/>
          <c:h val="0.68881069669247008"/>
        </c:manualLayout>
      </c:layout>
      <c:barChart>
        <c:barDir val="col"/>
        <c:grouping val="stacked"/>
        <c:varyColors val="0"/>
        <c:ser>
          <c:idx val="1"/>
          <c:order val="0"/>
          <c:tx>
            <c:strRef>
              <c:f>'struktura nakladov ZSR'!$B$13</c:f>
              <c:strCache>
                <c:ptCount val="1"/>
                <c:pt idx="0">
                  <c:v>Personálne</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nakladov ZSR'!$C$11:$F$11</c:f>
              <c:strCache>
                <c:ptCount val="4"/>
                <c:pt idx="0">
                  <c:v>SK</c:v>
                </c:pt>
                <c:pt idx="1">
                  <c:v>CZ</c:v>
                </c:pt>
                <c:pt idx="2">
                  <c:v>HU</c:v>
                </c:pt>
                <c:pt idx="3">
                  <c:v>PL</c:v>
                </c:pt>
              </c:strCache>
            </c:strRef>
          </c:cat>
          <c:val>
            <c:numRef>
              <c:f>'struktura nakladov ZSR'!$C$13:$F$13</c:f>
              <c:numCache>
                <c:formatCode>0</c:formatCode>
                <c:ptCount val="4"/>
                <c:pt idx="0">
                  <c:v>58.874488697524221</c:v>
                </c:pt>
                <c:pt idx="1">
                  <c:v>38.694494169585617</c:v>
                </c:pt>
                <c:pt idx="2">
                  <c:v>36.493720461862353</c:v>
                </c:pt>
                <c:pt idx="3">
                  <c:v>23.799772354557177</c:v>
                </c:pt>
              </c:numCache>
            </c:numRef>
          </c:val>
          <c:extLst xmlns:c16r2="http://schemas.microsoft.com/office/drawing/2015/06/chart">
            <c:ext xmlns:c16="http://schemas.microsoft.com/office/drawing/2014/chart" uri="{C3380CC4-5D6E-409C-BE32-E72D297353CC}">
              <c16:uniqueId val="{00000000-E5DF-4DF1-9EEC-7714120B7C3C}"/>
            </c:ext>
          </c:extLst>
        </c:ser>
        <c:ser>
          <c:idx val="0"/>
          <c:order val="1"/>
          <c:tx>
            <c:strRef>
              <c:f>'struktura nakladov ZSR'!$B$12</c:f>
              <c:strCache>
                <c:ptCount val="1"/>
                <c:pt idx="0">
                  <c:v>Materiál, energie, služby</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nakladov ZSR'!$C$11:$F$11</c:f>
              <c:strCache>
                <c:ptCount val="4"/>
                <c:pt idx="0">
                  <c:v>SK</c:v>
                </c:pt>
                <c:pt idx="1">
                  <c:v>CZ</c:v>
                </c:pt>
                <c:pt idx="2">
                  <c:v>HU</c:v>
                </c:pt>
                <c:pt idx="3">
                  <c:v>PL</c:v>
                </c:pt>
              </c:strCache>
            </c:strRef>
          </c:cat>
          <c:val>
            <c:numRef>
              <c:f>'struktura nakladov ZSR'!$C$12:$F$12</c:f>
              <c:numCache>
                <c:formatCode>0</c:formatCode>
                <c:ptCount val="4"/>
                <c:pt idx="0">
                  <c:v>33.902045209903122</c:v>
                </c:pt>
                <c:pt idx="1">
                  <c:v>68.133642150246487</c:v>
                </c:pt>
                <c:pt idx="2">
                  <c:v>45.686740862368566</c:v>
                </c:pt>
                <c:pt idx="3">
                  <c:v>18.564283262000398</c:v>
                </c:pt>
              </c:numCache>
            </c:numRef>
          </c:val>
          <c:extLst xmlns:c16r2="http://schemas.microsoft.com/office/drawing/2015/06/chart">
            <c:ext xmlns:c16="http://schemas.microsoft.com/office/drawing/2014/chart" uri="{C3380CC4-5D6E-409C-BE32-E72D297353CC}">
              <c16:uniqueId val="{00000001-E5DF-4DF1-9EEC-7714120B7C3C}"/>
            </c:ext>
          </c:extLst>
        </c:ser>
        <c:ser>
          <c:idx val="2"/>
          <c:order val="2"/>
          <c:tx>
            <c:strRef>
              <c:f>'struktura nakladov ZSR'!$B$14</c:f>
              <c:strCache>
                <c:ptCount val="1"/>
                <c:pt idx="0">
                  <c:v>Odpisy</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nakladov ZSR'!$C$11:$F$11</c:f>
              <c:strCache>
                <c:ptCount val="4"/>
                <c:pt idx="0">
                  <c:v>SK</c:v>
                </c:pt>
                <c:pt idx="1">
                  <c:v>CZ</c:v>
                </c:pt>
                <c:pt idx="2">
                  <c:v>HU</c:v>
                </c:pt>
                <c:pt idx="3">
                  <c:v>PL</c:v>
                </c:pt>
              </c:strCache>
            </c:strRef>
          </c:cat>
          <c:val>
            <c:numRef>
              <c:f>'struktura nakladov ZSR'!$C$14:$F$14</c:f>
              <c:numCache>
                <c:formatCode>0</c:formatCode>
                <c:ptCount val="4"/>
                <c:pt idx="0">
                  <c:v>16.827987082884821</c:v>
                </c:pt>
                <c:pt idx="1">
                  <c:v>13.928702982557009</c:v>
                </c:pt>
                <c:pt idx="2">
                  <c:v>21.684096059486894</c:v>
                </c:pt>
                <c:pt idx="3">
                  <c:v>14.433262428555786</c:v>
                </c:pt>
              </c:numCache>
            </c:numRef>
          </c:val>
          <c:extLst xmlns:c16r2="http://schemas.microsoft.com/office/drawing/2015/06/chart">
            <c:ext xmlns:c16="http://schemas.microsoft.com/office/drawing/2014/chart" uri="{C3380CC4-5D6E-409C-BE32-E72D297353CC}">
              <c16:uniqueId val="{00000002-E5DF-4DF1-9EEC-7714120B7C3C}"/>
            </c:ext>
          </c:extLst>
        </c:ser>
        <c:dLbls>
          <c:showLegendKey val="0"/>
          <c:showVal val="0"/>
          <c:showCatName val="0"/>
          <c:showSerName val="0"/>
          <c:showPercent val="0"/>
          <c:showBubbleSize val="0"/>
        </c:dLbls>
        <c:gapWidth val="150"/>
        <c:overlap val="100"/>
        <c:axId val="547860488"/>
        <c:axId val="547860096"/>
      </c:barChart>
      <c:catAx>
        <c:axId val="54786048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47860096"/>
        <c:crosses val="autoZero"/>
        <c:auto val="1"/>
        <c:lblAlgn val="ctr"/>
        <c:lblOffset val="100"/>
        <c:noMultiLvlLbl val="0"/>
      </c:catAx>
      <c:valAx>
        <c:axId val="547860096"/>
        <c:scaling>
          <c:orientation val="minMax"/>
          <c:max val="125"/>
          <c:min val="0"/>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47860488"/>
        <c:crosses val="autoZero"/>
        <c:crossBetween val="between"/>
        <c:majorUnit val="25"/>
      </c:valAx>
      <c:spPr>
        <a:noFill/>
        <a:ln>
          <a:solidFill>
            <a:schemeClr val="bg1">
              <a:lumMod val="75000"/>
            </a:schemeClr>
          </a:solidFill>
        </a:ln>
        <a:effectLst/>
      </c:spPr>
    </c:plotArea>
    <c:legend>
      <c:legendPos val="b"/>
      <c:layout>
        <c:manualLayout>
          <c:xMode val="edge"/>
          <c:yMode val="edge"/>
          <c:x val="7.2965994635285983E-2"/>
          <c:y val="5.8863947425291047E-3"/>
          <c:w val="0.87317712209050791"/>
          <c:h val="0.16707458442694664"/>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4036963430689E-2"/>
          <c:y val="5.0925925925925923E-2"/>
          <c:w val="0.8545012704082916"/>
          <c:h val="0.82645060505292423"/>
        </c:manualLayout>
      </c:layout>
      <c:lineChart>
        <c:grouping val="standard"/>
        <c:varyColors val="0"/>
        <c:ser>
          <c:idx val="0"/>
          <c:order val="0"/>
          <c:tx>
            <c:strRef>
              <c:f>'graf stav tratí ZSR (ZSR)'!$B$1</c:f>
              <c:strCache>
                <c:ptCount val="1"/>
                <c:pt idx="0">
                  <c:v>nevyhovujúci (ACK &gt; 4,5)</c:v>
                </c:pt>
              </c:strCache>
            </c:strRef>
          </c:tx>
          <c:spPr>
            <a:ln w="28575" cap="rnd">
              <a:solidFill>
                <a:srgbClr val="00B0F0"/>
              </a:solidFill>
              <a:round/>
            </a:ln>
            <a:effectLst/>
          </c:spPr>
          <c:marker>
            <c:symbol val="none"/>
          </c:marker>
          <c:dLbls>
            <c:dLbl>
              <c:idx val="7"/>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3D-4B4E-B9DC-667C2493DF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stav tratí ZSR (ZSR)'!$A$2:$A$9</c:f>
              <c:numCache>
                <c:formatCode>General</c:formatCode>
                <c:ptCount val="8"/>
                <c:pt idx="0">
                  <c:v>2012</c:v>
                </c:pt>
                <c:pt idx="1">
                  <c:v>2013</c:v>
                </c:pt>
                <c:pt idx="2">
                  <c:v>2014</c:v>
                </c:pt>
                <c:pt idx="3">
                  <c:v>2015</c:v>
                </c:pt>
                <c:pt idx="4">
                  <c:v>2016</c:v>
                </c:pt>
                <c:pt idx="5">
                  <c:v>2017</c:v>
                </c:pt>
                <c:pt idx="6">
                  <c:v>2018</c:v>
                </c:pt>
                <c:pt idx="7">
                  <c:v>2019</c:v>
                </c:pt>
              </c:numCache>
            </c:numRef>
          </c:cat>
          <c:val>
            <c:numRef>
              <c:f>'graf stav tratí ZSR (ZSR)'!$B$2:$B$9</c:f>
              <c:numCache>
                <c:formatCode>General</c:formatCode>
                <c:ptCount val="8"/>
                <c:pt idx="0">
                  <c:v>23</c:v>
                </c:pt>
                <c:pt idx="1">
                  <c:v>21.8</c:v>
                </c:pt>
                <c:pt idx="2">
                  <c:v>24.5</c:v>
                </c:pt>
                <c:pt idx="3">
                  <c:v>23.7</c:v>
                </c:pt>
                <c:pt idx="4">
                  <c:v>27.6</c:v>
                </c:pt>
                <c:pt idx="5">
                  <c:v>28</c:v>
                </c:pt>
                <c:pt idx="6">
                  <c:v>33.4</c:v>
                </c:pt>
                <c:pt idx="7">
                  <c:v>34.5</c:v>
                </c:pt>
              </c:numCache>
            </c:numRef>
          </c:val>
          <c:smooth val="0"/>
          <c:extLst xmlns:c16r2="http://schemas.microsoft.com/office/drawing/2015/06/chart">
            <c:ext xmlns:c16="http://schemas.microsoft.com/office/drawing/2014/chart" uri="{C3380CC4-5D6E-409C-BE32-E72D297353CC}">
              <c16:uniqueId val="{00000001-8C3D-4B4E-B9DC-667C2493DFDD}"/>
            </c:ext>
          </c:extLst>
        </c:ser>
        <c:ser>
          <c:idx val="1"/>
          <c:order val="1"/>
          <c:tx>
            <c:strRef>
              <c:f>'graf stav tratí ZSR (ZSR)'!$C$1</c:f>
              <c:strCache>
                <c:ptCount val="1"/>
                <c:pt idx="0">
                  <c:v>veľmi dobrý  (ACK &lt; 2,3)</c:v>
                </c:pt>
              </c:strCache>
            </c:strRef>
          </c:tx>
          <c:spPr>
            <a:ln w="28575" cap="rnd">
              <a:solidFill>
                <a:schemeClr val="accent3"/>
              </a:solidFill>
              <a:round/>
            </a:ln>
            <a:effectLst/>
          </c:spPr>
          <c:marker>
            <c:symbol val="none"/>
          </c:marker>
          <c:dLbls>
            <c:dLbl>
              <c:idx val="7"/>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3D-4B4E-B9DC-667C2493DF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stav tratí ZSR (ZSR)'!$A$2:$A$9</c:f>
              <c:numCache>
                <c:formatCode>General</c:formatCode>
                <c:ptCount val="8"/>
                <c:pt idx="0">
                  <c:v>2012</c:v>
                </c:pt>
                <c:pt idx="1">
                  <c:v>2013</c:v>
                </c:pt>
                <c:pt idx="2">
                  <c:v>2014</c:v>
                </c:pt>
                <c:pt idx="3">
                  <c:v>2015</c:v>
                </c:pt>
                <c:pt idx="4">
                  <c:v>2016</c:v>
                </c:pt>
                <c:pt idx="5">
                  <c:v>2017</c:v>
                </c:pt>
                <c:pt idx="6">
                  <c:v>2018</c:v>
                </c:pt>
                <c:pt idx="7">
                  <c:v>2019</c:v>
                </c:pt>
              </c:numCache>
            </c:numRef>
          </c:cat>
          <c:val>
            <c:numRef>
              <c:f>'graf stav tratí ZSR (ZSR)'!$C$2:$C$9</c:f>
              <c:numCache>
                <c:formatCode>General</c:formatCode>
                <c:ptCount val="8"/>
                <c:pt idx="0">
                  <c:v>19.2</c:v>
                </c:pt>
                <c:pt idx="1">
                  <c:v>20.2</c:v>
                </c:pt>
                <c:pt idx="2">
                  <c:v>19.3</c:v>
                </c:pt>
                <c:pt idx="3">
                  <c:v>18</c:v>
                </c:pt>
                <c:pt idx="4">
                  <c:v>16.600000000000001</c:v>
                </c:pt>
                <c:pt idx="5">
                  <c:v>14.5</c:v>
                </c:pt>
                <c:pt idx="6">
                  <c:v>11.4</c:v>
                </c:pt>
                <c:pt idx="7">
                  <c:v>12.4</c:v>
                </c:pt>
              </c:numCache>
            </c:numRef>
          </c:val>
          <c:smooth val="0"/>
          <c:extLst xmlns:c16r2="http://schemas.microsoft.com/office/drawing/2015/06/chart">
            <c:ext xmlns:c16="http://schemas.microsoft.com/office/drawing/2014/chart" uri="{C3380CC4-5D6E-409C-BE32-E72D297353CC}">
              <c16:uniqueId val="{00000003-8C3D-4B4E-B9DC-667C2493DFDD}"/>
            </c:ext>
          </c:extLst>
        </c:ser>
        <c:dLbls>
          <c:showLegendKey val="0"/>
          <c:showVal val="0"/>
          <c:showCatName val="0"/>
          <c:showSerName val="0"/>
          <c:showPercent val="0"/>
          <c:showBubbleSize val="0"/>
        </c:dLbls>
        <c:smooth val="0"/>
        <c:axId val="547859312"/>
        <c:axId val="547858920"/>
      </c:lineChart>
      <c:catAx>
        <c:axId val="5478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47858920"/>
        <c:crosses val="autoZero"/>
        <c:auto val="1"/>
        <c:lblAlgn val="ctr"/>
        <c:lblOffset val="100"/>
        <c:noMultiLvlLbl val="0"/>
      </c:catAx>
      <c:valAx>
        <c:axId val="54785892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47859312"/>
        <c:crosses val="autoZero"/>
        <c:crossBetween val="between"/>
      </c:valAx>
      <c:spPr>
        <a:noFill/>
        <a:ln>
          <a:noFill/>
        </a:ln>
        <a:effectLst/>
      </c:spPr>
    </c:plotArea>
    <c:legend>
      <c:legendPos val="b"/>
      <c:layout>
        <c:manualLayout>
          <c:xMode val="edge"/>
          <c:yMode val="edge"/>
          <c:x val="0.11009534351337073"/>
          <c:y val="0.70191891038250764"/>
          <c:w val="0.58385617133321599"/>
          <c:h val="0.161068782658325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12691508849579E-2"/>
          <c:y val="0.11731287400297798"/>
          <c:w val="0.86993893914572451"/>
          <c:h val="0.7619707770067502"/>
        </c:manualLayout>
      </c:layout>
      <c:barChart>
        <c:barDir val="col"/>
        <c:grouping val="stacked"/>
        <c:varyColors val="0"/>
        <c:ser>
          <c:idx val="1"/>
          <c:order val="1"/>
          <c:tx>
            <c:strRef>
              <c:f>'SSC_cesty I. triedy (RIS) (2)'!$A$68</c:f>
              <c:strCache>
                <c:ptCount val="1"/>
                <c:pt idx="0">
                  <c:v>Bežné výdavky SSC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'SSC_cesty I. triedy (RIS) (2)'!$B$66:$K$66</c:f>
              <c:strCache>
                <c:ptCount val="10"/>
                <c:pt idx="0">
                  <c:v>2015 S</c:v>
                </c:pt>
                <c:pt idx="1">
                  <c:v>2016 S</c:v>
                </c:pt>
                <c:pt idx="2">
                  <c:v>2017 S</c:v>
                </c:pt>
                <c:pt idx="3">
                  <c:v>2018 S</c:v>
                </c:pt>
                <c:pt idx="4">
                  <c:v>2019 S</c:v>
                </c:pt>
                <c:pt idx="5">
                  <c:v>2020 S</c:v>
                </c:pt>
                <c:pt idx="6">
                  <c:v>2021 OS</c:v>
                </c:pt>
                <c:pt idx="7">
                  <c:v>2022 N</c:v>
                </c:pt>
                <c:pt idx="8">
                  <c:v>2023 N</c:v>
                </c:pt>
                <c:pt idx="9">
                  <c:v>2024 N</c:v>
                </c:pt>
              </c:strCache>
            </c:strRef>
          </c:cat>
          <c:val>
            <c:numRef>
              <c:f>'SSC_cesty I. triedy (RIS) (2)'!$B$68:$K$68</c:f>
              <c:numCache>
                <c:formatCode>#,##0</c:formatCode>
                <c:ptCount val="10"/>
                <c:pt idx="0">
                  <c:v>38859294.449999996</c:v>
                </c:pt>
                <c:pt idx="1">
                  <c:v>32529233</c:v>
                </c:pt>
                <c:pt idx="2">
                  <c:v>41015977.539999992</c:v>
                </c:pt>
                <c:pt idx="3">
                  <c:v>55208263.044175148</c:v>
                </c:pt>
                <c:pt idx="4">
                  <c:v>58679773.752571106</c:v>
                </c:pt>
                <c:pt idx="5">
                  <c:v>57618952.844138801</c:v>
                </c:pt>
                <c:pt idx="6">
                  <c:v>49131872</c:v>
                </c:pt>
                <c:pt idx="7">
                  <c:v>49131876</c:v>
                </c:pt>
                <c:pt idx="8">
                  <c:v>49131876</c:v>
                </c:pt>
                <c:pt idx="9">
                  <c:v>49131876</c:v>
                </c:pt>
              </c:numCache>
            </c:numRef>
          </c:val>
          <c:extLst xmlns:c16r2="http://schemas.microsoft.com/office/drawing/2015/06/chart">
            <c:ext xmlns:c16="http://schemas.microsoft.com/office/drawing/2014/chart" uri="{C3380CC4-5D6E-409C-BE32-E72D297353CC}">
              <c16:uniqueId val="{00000000-8A36-4F9C-9A7B-AC66A3C0A418}"/>
            </c:ext>
          </c:extLst>
        </c:ser>
        <c:ser>
          <c:idx val="2"/>
          <c:order val="2"/>
          <c:tx>
            <c:strRef>
              <c:f>'SSC_cesty I. triedy (RIS) (2)'!$A$69</c:f>
              <c:strCache>
                <c:ptCount val="1"/>
                <c:pt idx="0">
                  <c:v>Bežné výdavky SSC cez Rámcovú zmluvu</c:v>
                </c:pt>
              </c:strCache>
            </c:strRef>
          </c:tx>
          <c:spPr>
            <a:solidFill>
              <a:srgbClr val="00B0F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1-8A36-4F9C-9A7B-AC66A3C0A41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8A36-4F9C-9A7B-AC66A3C0A41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8A36-4F9C-9A7B-AC66A3C0A41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4-8A36-4F9C-9A7B-AC66A3C0A41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5-8A36-4F9C-9A7B-AC66A3C0A41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6-8A36-4F9C-9A7B-AC66A3C0A41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'SSC_cesty I. triedy (RIS) (2)'!$B$66:$K$66</c:f>
              <c:strCache>
                <c:ptCount val="10"/>
                <c:pt idx="0">
                  <c:v>2015 S</c:v>
                </c:pt>
                <c:pt idx="1">
                  <c:v>2016 S</c:v>
                </c:pt>
                <c:pt idx="2">
                  <c:v>2017 S</c:v>
                </c:pt>
                <c:pt idx="3">
                  <c:v>2018 S</c:v>
                </c:pt>
                <c:pt idx="4">
                  <c:v>2019 S</c:v>
                </c:pt>
                <c:pt idx="5">
                  <c:v>2020 S</c:v>
                </c:pt>
                <c:pt idx="6">
                  <c:v>2021 OS</c:v>
                </c:pt>
                <c:pt idx="7">
                  <c:v>2022 N</c:v>
                </c:pt>
                <c:pt idx="8">
                  <c:v>2023 N</c:v>
                </c:pt>
                <c:pt idx="9">
                  <c:v>2024 N</c:v>
                </c:pt>
              </c:strCache>
            </c:strRef>
          </c:cat>
          <c:val>
            <c:numRef>
              <c:f>'SSC_cesty I. triedy (RIS) (2)'!$B$69:$K$69</c:f>
              <c:numCache>
                <c:formatCode>#,##0</c:formatCode>
                <c:ptCount val="10"/>
                <c:pt idx="0">
                  <c:v>0</c:v>
                </c:pt>
                <c:pt idx="1">
                  <c:v>0</c:v>
                </c:pt>
                <c:pt idx="2">
                  <c:v>0</c:v>
                </c:pt>
                <c:pt idx="3">
                  <c:v>0</c:v>
                </c:pt>
                <c:pt idx="4">
                  <c:v>0</c:v>
                </c:pt>
                <c:pt idx="5">
                  <c:v>0</c:v>
                </c:pt>
                <c:pt idx="6">
                  <c:v>60000000</c:v>
                </c:pt>
                <c:pt idx="7">
                  <c:v>50000000</c:v>
                </c:pt>
                <c:pt idx="8">
                  <c:v>50000000</c:v>
                </c:pt>
                <c:pt idx="9">
                  <c:v>40000000</c:v>
                </c:pt>
              </c:numCache>
            </c:numRef>
          </c:val>
          <c:extLst xmlns:c16r2="http://schemas.microsoft.com/office/drawing/2015/06/chart">
            <c:ext xmlns:c16="http://schemas.microsoft.com/office/drawing/2014/chart" uri="{C3380CC4-5D6E-409C-BE32-E72D297353CC}">
              <c16:uniqueId val="{00000007-8A36-4F9C-9A7B-AC66A3C0A418}"/>
            </c:ext>
          </c:extLst>
        </c:ser>
        <c:dLbls>
          <c:showLegendKey val="0"/>
          <c:showVal val="0"/>
          <c:showCatName val="0"/>
          <c:showSerName val="0"/>
          <c:showPercent val="0"/>
          <c:showBubbleSize val="0"/>
        </c:dLbls>
        <c:gapWidth val="150"/>
        <c:overlap val="100"/>
        <c:axId val="547858136"/>
        <c:axId val="547857744"/>
      </c:barChart>
      <c:lineChart>
        <c:grouping val="standard"/>
        <c:varyColors val="0"/>
        <c:ser>
          <c:idx val="0"/>
          <c:order val="0"/>
          <c:tx>
            <c:strRef>
              <c:f>'SSC_cesty I. triedy (RIS) (2)'!$A$67</c:f>
              <c:strCache>
                <c:ptCount val="1"/>
                <c:pt idx="0">
                  <c:v>Výdavky na údržbu ciest I. triedy, toho</c:v>
                </c:pt>
              </c:strCache>
            </c:strRef>
          </c:tx>
          <c:spPr>
            <a:ln w="28575" cap="rnd">
              <a:no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8-8A36-4F9C-9A7B-AC66A3C0A41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9-8A36-4F9C-9A7B-AC66A3C0A41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A-8A36-4F9C-9A7B-AC66A3C0A41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B-8A36-4F9C-9A7B-AC66A3C0A41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C-8A36-4F9C-9A7B-AC66A3C0A41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D-8A36-4F9C-9A7B-AC66A3C0A4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'SSC_cesty I. triedy (RIS) (2)'!$B$66:$K$66</c:f>
              <c:strCache>
                <c:ptCount val="10"/>
                <c:pt idx="0">
                  <c:v>2015 S</c:v>
                </c:pt>
                <c:pt idx="1">
                  <c:v>2016 S</c:v>
                </c:pt>
                <c:pt idx="2">
                  <c:v>2017 S</c:v>
                </c:pt>
                <c:pt idx="3">
                  <c:v>2018 S</c:v>
                </c:pt>
                <c:pt idx="4">
                  <c:v>2019 S</c:v>
                </c:pt>
                <c:pt idx="5">
                  <c:v>2020 S</c:v>
                </c:pt>
                <c:pt idx="6">
                  <c:v>2021 OS</c:v>
                </c:pt>
                <c:pt idx="7">
                  <c:v>2022 N</c:v>
                </c:pt>
                <c:pt idx="8">
                  <c:v>2023 N</c:v>
                </c:pt>
                <c:pt idx="9">
                  <c:v>2024 N</c:v>
                </c:pt>
              </c:strCache>
            </c:strRef>
          </c:cat>
          <c:val>
            <c:numRef>
              <c:f>'SSC_cesty I. triedy (RIS) (2)'!$B$67:$K$67</c:f>
              <c:numCache>
                <c:formatCode>#,##0</c:formatCode>
                <c:ptCount val="10"/>
                <c:pt idx="0">
                  <c:v>38859294.449999996</c:v>
                </c:pt>
                <c:pt idx="1">
                  <c:v>32529233</c:v>
                </c:pt>
                <c:pt idx="2">
                  <c:v>41015977.539999992</c:v>
                </c:pt>
                <c:pt idx="3">
                  <c:v>55208263.044175148</c:v>
                </c:pt>
                <c:pt idx="4">
                  <c:v>58679773.752571106</c:v>
                </c:pt>
                <c:pt idx="5">
                  <c:v>57618952.844138801</c:v>
                </c:pt>
                <c:pt idx="6">
                  <c:v>109131872</c:v>
                </c:pt>
                <c:pt idx="7">
                  <c:v>99131872</c:v>
                </c:pt>
                <c:pt idx="8">
                  <c:v>99131872</c:v>
                </c:pt>
                <c:pt idx="9">
                  <c:v>89131872</c:v>
                </c:pt>
              </c:numCache>
            </c:numRef>
          </c:val>
          <c:smooth val="0"/>
          <c:extLst xmlns:c16r2="http://schemas.microsoft.com/office/drawing/2015/06/chart">
            <c:ext xmlns:c16="http://schemas.microsoft.com/office/drawing/2014/chart" uri="{C3380CC4-5D6E-409C-BE32-E72D297353CC}">
              <c16:uniqueId val="{0000000E-8A36-4F9C-9A7B-AC66A3C0A418}"/>
            </c:ext>
          </c:extLst>
        </c:ser>
        <c:ser>
          <c:idx val="3"/>
          <c:order val="3"/>
          <c:tx>
            <c:strRef>
              <c:f>'SSC_cesty I. triedy (RIS) (2)'!$A$70</c:f>
              <c:strCache>
                <c:ptCount val="1"/>
                <c:pt idx="0">
                  <c:v>Cieľ (revízia  2016)</c:v>
                </c:pt>
              </c:strCache>
            </c:strRef>
          </c:tx>
          <c:spPr>
            <a:ln w="28575" cap="rnd">
              <a:solidFill>
                <a:schemeClr val="tx1"/>
              </a:solidFill>
              <a:prstDash val="sysDot"/>
              <a:round/>
            </a:ln>
            <a:effectLst/>
          </c:spPr>
          <c:marker>
            <c:symbol val="none"/>
          </c:marker>
          <c:dLbls>
            <c:dLbl>
              <c:idx val="0"/>
              <c:layout>
                <c:manualLayout>
                  <c:x val="-3.055555555555555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A36-4F9C-9A7B-AC66A3C0A4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'SSC_cesty I. triedy (RIS) (2)'!$B$66:$K$66</c:f>
              <c:strCache>
                <c:ptCount val="10"/>
                <c:pt idx="0">
                  <c:v>2015 S</c:v>
                </c:pt>
                <c:pt idx="1">
                  <c:v>2016 S</c:v>
                </c:pt>
                <c:pt idx="2">
                  <c:v>2017 S</c:v>
                </c:pt>
                <c:pt idx="3">
                  <c:v>2018 S</c:v>
                </c:pt>
                <c:pt idx="4">
                  <c:v>2019 S</c:v>
                </c:pt>
                <c:pt idx="5">
                  <c:v>2020 S</c:v>
                </c:pt>
                <c:pt idx="6">
                  <c:v>2021 OS</c:v>
                </c:pt>
                <c:pt idx="7">
                  <c:v>2022 N</c:v>
                </c:pt>
                <c:pt idx="8">
                  <c:v>2023 N</c:v>
                </c:pt>
                <c:pt idx="9">
                  <c:v>2024 N</c:v>
                </c:pt>
              </c:strCache>
            </c:strRef>
          </c:cat>
          <c:val>
            <c:numRef>
              <c:f>'SSC_cesty I. triedy (RIS) (2)'!$B$70:$K$70</c:f>
              <c:numCache>
                <c:formatCode>#,##0</c:formatCode>
                <c:ptCount val="10"/>
                <c:pt idx="0">
                  <c:v>64000000</c:v>
                </c:pt>
                <c:pt idx="1">
                  <c:v>64000000</c:v>
                </c:pt>
                <c:pt idx="2">
                  <c:v>64000000</c:v>
                </c:pt>
                <c:pt idx="3">
                  <c:v>64000000</c:v>
                </c:pt>
                <c:pt idx="4">
                  <c:v>64000000</c:v>
                </c:pt>
                <c:pt idx="5">
                  <c:v>64000000</c:v>
                </c:pt>
                <c:pt idx="6">
                  <c:v>64000000</c:v>
                </c:pt>
                <c:pt idx="7">
                  <c:v>64000000</c:v>
                </c:pt>
                <c:pt idx="8">
                  <c:v>64000000</c:v>
                </c:pt>
                <c:pt idx="9">
                  <c:v>64000000</c:v>
                </c:pt>
              </c:numCache>
            </c:numRef>
          </c:val>
          <c:smooth val="0"/>
          <c:extLst xmlns:c16r2="http://schemas.microsoft.com/office/drawing/2015/06/chart">
            <c:ext xmlns:c16="http://schemas.microsoft.com/office/drawing/2014/chart" uri="{C3380CC4-5D6E-409C-BE32-E72D297353CC}">
              <c16:uniqueId val="{00000010-8A36-4F9C-9A7B-AC66A3C0A418}"/>
            </c:ext>
          </c:extLst>
        </c:ser>
        <c:ser>
          <c:idx val="4"/>
          <c:order val="4"/>
          <c:tx>
            <c:strRef>
              <c:f>'SSC_cesty I. triedy (RIS) (2)'!$A$71</c:f>
              <c:strCache>
                <c:ptCount val="1"/>
                <c:pt idx="0">
                  <c:v>Cieľ (odhad MDV SR)</c:v>
                </c:pt>
              </c:strCache>
            </c:strRef>
          </c:tx>
          <c:spPr>
            <a:ln w="28575" cap="rnd">
              <a:solidFill>
                <a:schemeClr val="accent3">
                  <a:lumMod val="60000"/>
                </a:schemeClr>
              </a:solidFill>
              <a:round/>
            </a:ln>
            <a:effectLst/>
          </c:spPr>
          <c:marker>
            <c:symbol val="none"/>
          </c:marker>
          <c:dLbls>
            <c:dLbl>
              <c:idx val="0"/>
              <c:layout>
                <c:manualLayout>
                  <c:x val="-2.777777777777779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A36-4F9C-9A7B-AC66A3C0A4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'SSC_cesty I. triedy (RIS) (2)'!$B$66:$K$66</c:f>
              <c:strCache>
                <c:ptCount val="10"/>
                <c:pt idx="0">
                  <c:v>2015 S</c:v>
                </c:pt>
                <c:pt idx="1">
                  <c:v>2016 S</c:v>
                </c:pt>
                <c:pt idx="2">
                  <c:v>2017 S</c:v>
                </c:pt>
                <c:pt idx="3">
                  <c:v>2018 S</c:v>
                </c:pt>
                <c:pt idx="4">
                  <c:v>2019 S</c:v>
                </c:pt>
                <c:pt idx="5">
                  <c:v>2020 S</c:v>
                </c:pt>
                <c:pt idx="6">
                  <c:v>2021 OS</c:v>
                </c:pt>
                <c:pt idx="7">
                  <c:v>2022 N</c:v>
                </c:pt>
                <c:pt idx="8">
                  <c:v>2023 N</c:v>
                </c:pt>
                <c:pt idx="9">
                  <c:v>2024 N</c:v>
                </c:pt>
              </c:strCache>
            </c:strRef>
          </c:cat>
          <c:val>
            <c:numRef>
              <c:f>'SSC_cesty I. triedy (RIS) (2)'!$B$71:$K$71</c:f>
              <c:numCache>
                <c:formatCode>#,##0</c:formatCode>
                <c:ptCount val="10"/>
                <c:pt idx="0">
                  <c:v>85000000</c:v>
                </c:pt>
                <c:pt idx="1">
                  <c:v>85000000</c:v>
                </c:pt>
                <c:pt idx="2">
                  <c:v>85000000</c:v>
                </c:pt>
                <c:pt idx="3">
                  <c:v>85000000</c:v>
                </c:pt>
                <c:pt idx="4">
                  <c:v>85000000</c:v>
                </c:pt>
                <c:pt idx="5">
                  <c:v>85000000</c:v>
                </c:pt>
                <c:pt idx="6">
                  <c:v>85000000</c:v>
                </c:pt>
                <c:pt idx="7">
                  <c:v>85000000</c:v>
                </c:pt>
                <c:pt idx="8">
                  <c:v>85000000</c:v>
                </c:pt>
                <c:pt idx="9">
                  <c:v>85000000</c:v>
                </c:pt>
              </c:numCache>
            </c:numRef>
          </c:val>
          <c:smooth val="0"/>
          <c:extLst xmlns:c16r2="http://schemas.microsoft.com/office/drawing/2015/06/chart">
            <c:ext xmlns:c16="http://schemas.microsoft.com/office/drawing/2014/chart" uri="{C3380CC4-5D6E-409C-BE32-E72D297353CC}">
              <c16:uniqueId val="{00000012-8A36-4F9C-9A7B-AC66A3C0A418}"/>
            </c:ext>
          </c:extLst>
        </c:ser>
        <c:dLbls>
          <c:showLegendKey val="0"/>
          <c:showVal val="0"/>
          <c:showCatName val="0"/>
          <c:showSerName val="0"/>
          <c:showPercent val="0"/>
          <c:showBubbleSize val="0"/>
        </c:dLbls>
        <c:marker val="1"/>
        <c:smooth val="0"/>
        <c:axId val="547858136"/>
        <c:axId val="547857744"/>
      </c:lineChart>
      <c:catAx>
        <c:axId val="54785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47857744"/>
        <c:crosses val="autoZero"/>
        <c:auto val="1"/>
        <c:lblAlgn val="ctr"/>
        <c:lblOffset val="100"/>
        <c:noMultiLvlLbl val="0"/>
      </c:catAx>
      <c:valAx>
        <c:axId val="5478577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47858136"/>
        <c:crosses val="autoZero"/>
        <c:crossBetween val="between"/>
        <c:dispUnits>
          <c:builtInUnit val="millions"/>
        </c:dispUnits>
      </c:valAx>
      <c:spPr>
        <a:noFill/>
        <a:ln>
          <a:noFill/>
        </a:ln>
        <a:effectLst/>
      </c:spPr>
    </c:plotArea>
    <c:legend>
      <c:legendPos val="b"/>
      <c:legendEntry>
        <c:idx val="2"/>
        <c:delete val="1"/>
      </c:legendEntry>
      <c:layout>
        <c:manualLayout>
          <c:xMode val="edge"/>
          <c:yMode val="edge"/>
          <c:x val="0.13342233236073917"/>
          <c:y val="5.0789767565112054E-2"/>
          <c:w val="0.47975627412055732"/>
          <c:h val="0.202180969866747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869034601051"/>
          <c:y val="9.878760664571172E-2"/>
          <c:w val="0.80721095998624881"/>
          <c:h val="0.54019390084382768"/>
        </c:manualLayout>
      </c:layout>
      <c:lineChart>
        <c:grouping val="standard"/>
        <c:varyColors val="0"/>
        <c:ser>
          <c:idx val="0"/>
          <c:order val="0"/>
          <c:tx>
            <c:strRef>
              <c:f>'Graf vyvoj dotacie'!$B$53</c:f>
              <c:strCache>
                <c:ptCount val="1"/>
                <c:pt idx="0">
                  <c:v>Ekonomicky oprávnené náklady</c:v>
                </c:pt>
              </c:strCache>
            </c:strRef>
          </c:tx>
          <c:spPr>
            <a:ln w="28575" cap="rnd">
              <a:solidFill>
                <a:srgbClr val="002060"/>
              </a:solidFill>
              <a:round/>
            </a:ln>
            <a:effectLst/>
          </c:spPr>
          <c:marker>
            <c:symbol val="none"/>
          </c:marker>
          <c:cat>
            <c:numRef>
              <c:f>'Graf vyvoj dotacie'!$C$52:$H$52</c:f>
              <c:numCache>
                <c:formatCode>General</c:formatCode>
                <c:ptCount val="6"/>
                <c:pt idx="0">
                  <c:v>2015</c:v>
                </c:pt>
                <c:pt idx="1">
                  <c:v>2016</c:v>
                </c:pt>
                <c:pt idx="2">
                  <c:v>2017</c:v>
                </c:pt>
                <c:pt idx="3">
                  <c:v>2018</c:v>
                </c:pt>
                <c:pt idx="4">
                  <c:v>2019</c:v>
                </c:pt>
                <c:pt idx="5">
                  <c:v>2020</c:v>
                </c:pt>
              </c:numCache>
            </c:numRef>
          </c:cat>
          <c:val>
            <c:numRef>
              <c:f>'Graf vyvoj dotacie'!$C$53:$H$53</c:f>
              <c:numCache>
                <c:formatCode>#\ ##0\ \ </c:formatCode>
                <c:ptCount val="6"/>
                <c:pt idx="0">
                  <c:v>327372069</c:v>
                </c:pt>
                <c:pt idx="1">
                  <c:v>331702179.97183508</c:v>
                </c:pt>
                <c:pt idx="2">
                  <c:v>338432822.18989426</c:v>
                </c:pt>
                <c:pt idx="3">
                  <c:v>354603289.56282777</c:v>
                </c:pt>
                <c:pt idx="4">
                  <c:v>387507032.90419137</c:v>
                </c:pt>
                <c:pt idx="5">
                  <c:v>390125248.05795306</c:v>
                </c:pt>
              </c:numCache>
            </c:numRef>
          </c:val>
          <c:smooth val="0"/>
          <c:extLst xmlns:c16r2="http://schemas.microsoft.com/office/drawing/2015/06/chart">
            <c:ext xmlns:c16="http://schemas.microsoft.com/office/drawing/2014/chart" uri="{C3380CC4-5D6E-409C-BE32-E72D297353CC}">
              <c16:uniqueId val="{00000000-3A8E-4BF0-BE67-15457A9CAAD6}"/>
            </c:ext>
          </c:extLst>
        </c:ser>
        <c:ser>
          <c:idx val="1"/>
          <c:order val="1"/>
          <c:tx>
            <c:strRef>
              <c:f>'Graf vyvoj dotacie'!$B$54</c:f>
              <c:strCache>
                <c:ptCount val="1"/>
                <c:pt idx="0">
                  <c:v>Ekonomicky oprávnené výnosy</c:v>
                </c:pt>
              </c:strCache>
            </c:strRef>
          </c:tx>
          <c:spPr>
            <a:ln w="28575" cap="rnd">
              <a:solidFill>
                <a:schemeClr val="bg1">
                  <a:lumMod val="65000"/>
                </a:schemeClr>
              </a:solidFill>
              <a:round/>
            </a:ln>
            <a:effectLst/>
          </c:spPr>
          <c:marker>
            <c:symbol val="none"/>
          </c:marker>
          <c:cat>
            <c:numRef>
              <c:f>'Graf vyvoj dotacie'!$C$52:$H$52</c:f>
              <c:numCache>
                <c:formatCode>General</c:formatCode>
                <c:ptCount val="6"/>
                <c:pt idx="0">
                  <c:v>2015</c:v>
                </c:pt>
                <c:pt idx="1">
                  <c:v>2016</c:v>
                </c:pt>
                <c:pt idx="2">
                  <c:v>2017</c:v>
                </c:pt>
                <c:pt idx="3">
                  <c:v>2018</c:v>
                </c:pt>
                <c:pt idx="4">
                  <c:v>2019</c:v>
                </c:pt>
                <c:pt idx="5">
                  <c:v>2020</c:v>
                </c:pt>
              </c:numCache>
            </c:numRef>
          </c:cat>
          <c:val>
            <c:numRef>
              <c:f>'Graf vyvoj dotacie'!$C$54:$H$54</c:f>
              <c:numCache>
                <c:formatCode>#\ ##0\ \ </c:formatCode>
                <c:ptCount val="6"/>
                <c:pt idx="0">
                  <c:v>89062267.91675508</c:v>
                </c:pt>
                <c:pt idx="1">
                  <c:v>87746259.870000005</c:v>
                </c:pt>
                <c:pt idx="2">
                  <c:v>90744466.178749174</c:v>
                </c:pt>
                <c:pt idx="3">
                  <c:v>91483792.061938897</c:v>
                </c:pt>
                <c:pt idx="4">
                  <c:v>97256355</c:v>
                </c:pt>
                <c:pt idx="5">
                  <c:v>56248879.619999997</c:v>
                </c:pt>
              </c:numCache>
            </c:numRef>
          </c:val>
          <c:smooth val="0"/>
          <c:extLst xmlns:c16r2="http://schemas.microsoft.com/office/drawing/2015/06/chart">
            <c:ext xmlns:c16="http://schemas.microsoft.com/office/drawing/2014/chart" uri="{C3380CC4-5D6E-409C-BE32-E72D297353CC}">
              <c16:uniqueId val="{00000001-3A8E-4BF0-BE67-15457A9CAAD6}"/>
            </c:ext>
          </c:extLst>
        </c:ser>
        <c:ser>
          <c:idx val="2"/>
          <c:order val="2"/>
          <c:tx>
            <c:strRef>
              <c:f>'Graf vyvoj dotacie'!$B$55</c:f>
              <c:strCache>
                <c:ptCount val="1"/>
                <c:pt idx="0">
                  <c:v>Úhrada zo ŠR</c:v>
                </c:pt>
              </c:strCache>
            </c:strRef>
          </c:tx>
          <c:spPr>
            <a:ln w="28575" cap="rnd">
              <a:solidFill>
                <a:srgbClr val="00B0F0"/>
              </a:solidFill>
              <a:round/>
            </a:ln>
            <a:effectLst/>
          </c:spPr>
          <c:marker>
            <c:symbol val="none"/>
          </c:marker>
          <c:cat>
            <c:numRef>
              <c:f>'Graf vyvoj dotacie'!$C$52:$H$52</c:f>
              <c:numCache>
                <c:formatCode>General</c:formatCode>
                <c:ptCount val="6"/>
                <c:pt idx="0">
                  <c:v>2015</c:v>
                </c:pt>
                <c:pt idx="1">
                  <c:v>2016</c:v>
                </c:pt>
                <c:pt idx="2">
                  <c:v>2017</c:v>
                </c:pt>
                <c:pt idx="3">
                  <c:v>2018</c:v>
                </c:pt>
                <c:pt idx="4">
                  <c:v>2019</c:v>
                </c:pt>
                <c:pt idx="5">
                  <c:v>2020</c:v>
                </c:pt>
              </c:numCache>
            </c:numRef>
          </c:cat>
          <c:val>
            <c:numRef>
              <c:f>'Graf vyvoj dotacie'!$C$55:$H$55</c:f>
              <c:numCache>
                <c:formatCode>#\ ##0\ \ </c:formatCode>
                <c:ptCount val="6"/>
                <c:pt idx="0">
                  <c:v>238309801.08324492</c:v>
                </c:pt>
                <c:pt idx="1">
                  <c:v>243955920.10183507</c:v>
                </c:pt>
                <c:pt idx="2">
                  <c:v>247688356.01114509</c:v>
                </c:pt>
                <c:pt idx="3">
                  <c:v>263119497.50088888</c:v>
                </c:pt>
                <c:pt idx="4">
                  <c:v>290250677.90419137</c:v>
                </c:pt>
                <c:pt idx="5">
                  <c:v>333876368.43795305</c:v>
                </c:pt>
              </c:numCache>
            </c:numRef>
          </c:val>
          <c:smooth val="0"/>
          <c:extLst xmlns:c16r2="http://schemas.microsoft.com/office/drawing/2015/06/chart">
            <c:ext xmlns:c16="http://schemas.microsoft.com/office/drawing/2014/chart" uri="{C3380CC4-5D6E-409C-BE32-E72D297353CC}">
              <c16:uniqueId val="{00000002-3A8E-4BF0-BE67-15457A9CAAD6}"/>
            </c:ext>
          </c:extLst>
        </c:ser>
        <c:dLbls>
          <c:showLegendKey val="0"/>
          <c:showVal val="0"/>
          <c:showCatName val="0"/>
          <c:showSerName val="0"/>
          <c:showPercent val="0"/>
          <c:showBubbleSize val="0"/>
        </c:dLbls>
        <c:smooth val="0"/>
        <c:axId val="547856960"/>
        <c:axId val="547856568"/>
      </c:lineChart>
      <c:catAx>
        <c:axId val="54785696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47856568"/>
        <c:crosses val="autoZero"/>
        <c:auto val="1"/>
        <c:lblAlgn val="ctr"/>
        <c:lblOffset val="100"/>
        <c:noMultiLvlLbl val="0"/>
      </c:catAx>
      <c:valAx>
        <c:axId val="547856568"/>
        <c:scaling>
          <c:orientation val="minMax"/>
          <c:max val="400000000"/>
        </c:scaling>
        <c:delete val="0"/>
        <c:axPos val="l"/>
        <c:majorGridlines>
          <c:spPr>
            <a:ln w="9525" cap="flat" cmpd="sng" algn="ctr">
              <a:solidFill>
                <a:schemeClr val="bg1">
                  <a:lumMod val="75000"/>
                </a:schemeClr>
              </a:solidFill>
              <a:prstDash val="dash"/>
              <a:round/>
            </a:ln>
            <a:effectLst/>
          </c:spPr>
        </c:majorGridlines>
        <c:numFmt formatCode="#\ ##0\ \ "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47856960"/>
        <c:crosses val="autoZero"/>
        <c:crossBetween val="between"/>
        <c:dispUnits>
          <c:builtInUnit val="millions"/>
        </c:dispUnits>
      </c:valAx>
      <c:spPr>
        <a:noFill/>
        <a:ln>
          <a:noFill/>
        </a:ln>
        <a:effectLst/>
      </c:spPr>
    </c:plotArea>
    <c:legend>
      <c:legendPos val="b"/>
      <c:layout>
        <c:manualLayout>
          <c:xMode val="edge"/>
          <c:yMode val="edge"/>
          <c:x val="1.8666135149269833E-2"/>
          <c:y val="0.78611505809330839"/>
          <c:w val="0.90831763772213103"/>
          <c:h val="0.18234544171760697"/>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'Odpisy '!$E$3</c:f>
              <c:strCache>
                <c:ptCount val="1"/>
                <c:pt idx="0">
                  <c:v>Odpisy/vlkm</c:v>
                </c:pt>
              </c:strCache>
            </c:strRef>
          </c:tx>
          <c:spPr>
            <a:solidFill>
              <a:srgbClr val="00B0F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'Odpisy '!$B$4:$B$5</c:f>
              <c:strCache>
                <c:ptCount val="2"/>
                <c:pt idx="0">
                  <c:v>ZSSK</c:v>
                </c:pt>
                <c:pt idx="1">
                  <c:v>ČD</c:v>
                </c:pt>
              </c:strCache>
            </c:strRef>
          </c:cat>
          <c:val>
            <c:numRef>
              <c:f>'Odpisy '!$E$4:$E$5</c:f>
              <c:numCache>
                <c:formatCode>General</c:formatCode>
                <c:ptCount val="2"/>
                <c:pt idx="0">
                  <c:v>2.8818362142249931</c:v>
                </c:pt>
                <c:pt idx="1">
                  <c:v>1.5402241941831385</c:v>
                </c:pt>
              </c:numCache>
            </c:numRef>
          </c:val>
          <c:extLst xmlns:c16r2="http://schemas.microsoft.com/office/drawing/2015/06/chart">
            <c:ext xmlns:c16="http://schemas.microsoft.com/office/drawing/2014/chart" uri="{C3380CC4-5D6E-409C-BE32-E72D297353CC}">
              <c16:uniqueId val="{00000000-4FA8-4340-8C51-68220891A28D}"/>
            </c:ext>
          </c:extLst>
        </c:ser>
        <c:dLbls>
          <c:showLegendKey val="0"/>
          <c:showVal val="0"/>
          <c:showCatName val="0"/>
          <c:showSerName val="0"/>
          <c:showPercent val="0"/>
          <c:showBubbleSize val="0"/>
        </c:dLbls>
        <c:gapWidth val="219"/>
        <c:overlap val="-27"/>
        <c:axId val="554690632"/>
        <c:axId val="554691024"/>
      </c:barChart>
      <c:catAx>
        <c:axId val="55469063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4691024"/>
        <c:crosses val="autoZero"/>
        <c:auto val="1"/>
        <c:lblAlgn val="ctr"/>
        <c:lblOffset val="100"/>
        <c:noMultiLvlLbl val="0"/>
      </c:catAx>
      <c:valAx>
        <c:axId val="554691024"/>
        <c:scaling>
          <c:orientation val="minMax"/>
        </c:scaling>
        <c:delete val="0"/>
        <c:axPos val="l"/>
        <c:majorGridlines>
          <c:spPr>
            <a:ln w="9525" cap="flat" cmpd="sng" algn="ctr">
              <a:solidFill>
                <a:schemeClr val="bg1">
                  <a:lumMod val="75000"/>
                </a:schemeClr>
              </a:solidFill>
              <a:prstDash val="dash"/>
              <a:round/>
            </a:ln>
            <a:effectLst/>
          </c:spPr>
        </c:majorGridlines>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4690632"/>
        <c:crosses val="autoZero"/>
        <c:crossBetween val="between"/>
        <c:majorUnit val="1"/>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146667188560438"/>
          <c:y val="3.2824074074074075E-2"/>
          <c:w val="0.45058285141087129"/>
          <c:h val="0.88745370370370369"/>
        </c:manualLayout>
      </c:layout>
      <c:barChart>
        <c:barDir val="col"/>
        <c:grouping val="stacked"/>
        <c:varyColors val="0"/>
        <c:ser>
          <c:idx val="0"/>
          <c:order val="0"/>
          <c:tx>
            <c:strRef>
              <c:f>'COFOG comp'!$P$13</c:f>
              <c:strCache>
                <c:ptCount val="1"/>
                <c:pt idx="0">
                  <c:v>Choroba, invalidita a ťažké zdravotné postihnutie</c:v>
                </c:pt>
              </c:strCache>
            </c:strRef>
          </c:tx>
          <c:spPr>
            <a:solidFill>
              <a:schemeClr val="accent1"/>
            </a:solidFill>
            <a:ln>
              <a:noFill/>
            </a:ln>
            <a:effectLst/>
          </c:spPr>
          <c:invertIfNegative val="0"/>
          <c:cat>
            <c:strRef>
              <c:f>'COFOG comp'!$O$14:$O$17</c:f>
              <c:strCache>
                <c:ptCount val="4"/>
                <c:pt idx="0">
                  <c:v>SK</c:v>
                </c:pt>
                <c:pt idx="1">
                  <c:v>V3</c:v>
                </c:pt>
                <c:pt idx="2">
                  <c:v>EÚ27</c:v>
                </c:pt>
                <c:pt idx="3">
                  <c:v>EÚ15</c:v>
                </c:pt>
              </c:strCache>
            </c:strRef>
          </c:cat>
          <c:val>
            <c:numRef>
              <c:f>'COFOG comp'!$P$14:$P$17</c:f>
              <c:numCache>
                <c:formatCode>#\ ##0.0</c:formatCode>
                <c:ptCount val="4"/>
                <c:pt idx="0">
                  <c:v>22.11616195328898</c:v>
                </c:pt>
                <c:pt idx="1">
                  <c:v>15.663075855974022</c:v>
                </c:pt>
                <c:pt idx="2">
                  <c:v>14.346062417066905</c:v>
                </c:pt>
                <c:pt idx="3">
                  <c:v>14.935162877877739</c:v>
                </c:pt>
              </c:numCache>
            </c:numRef>
          </c:val>
          <c:extLst xmlns:c16r2="http://schemas.microsoft.com/office/drawing/2015/06/chart">
            <c:ext xmlns:c16="http://schemas.microsoft.com/office/drawing/2014/chart" uri="{C3380CC4-5D6E-409C-BE32-E72D297353CC}">
              <c16:uniqueId val="{00000000-6069-4204-86A9-9E03F447D605}"/>
            </c:ext>
          </c:extLst>
        </c:ser>
        <c:ser>
          <c:idx val="1"/>
          <c:order val="1"/>
          <c:tx>
            <c:strRef>
              <c:f>'COFOG comp'!$Q$13</c:f>
              <c:strCache>
                <c:ptCount val="1"/>
                <c:pt idx="0">
                  <c:v>Staroba</c:v>
                </c:pt>
              </c:strCache>
            </c:strRef>
          </c:tx>
          <c:spPr>
            <a:solidFill>
              <a:schemeClr val="tx1">
                <a:lumMod val="65000"/>
                <a:lumOff val="35000"/>
              </a:schemeClr>
            </a:solidFill>
            <a:ln>
              <a:noFill/>
            </a:ln>
            <a:effectLst/>
          </c:spPr>
          <c:invertIfNegative val="0"/>
          <c:cat>
            <c:strRef>
              <c:f>'COFOG comp'!$O$14:$O$17</c:f>
              <c:strCache>
                <c:ptCount val="4"/>
                <c:pt idx="0">
                  <c:v>SK</c:v>
                </c:pt>
                <c:pt idx="1">
                  <c:v>V3</c:v>
                </c:pt>
                <c:pt idx="2">
                  <c:v>EÚ27</c:v>
                </c:pt>
                <c:pt idx="3">
                  <c:v>EÚ15</c:v>
                </c:pt>
              </c:strCache>
            </c:strRef>
          </c:cat>
          <c:val>
            <c:numRef>
              <c:f>'COFOG comp'!$Q$14:$Q$17</c:f>
              <c:numCache>
                <c:formatCode>#\ ##0.0</c:formatCode>
                <c:ptCount val="4"/>
                <c:pt idx="0">
                  <c:v>53.412099770820817</c:v>
                </c:pt>
                <c:pt idx="1">
                  <c:v>55.254898402610024</c:v>
                </c:pt>
                <c:pt idx="2">
                  <c:v>55.609743795800718</c:v>
                </c:pt>
                <c:pt idx="3">
                  <c:v>53.639439742863864</c:v>
                </c:pt>
              </c:numCache>
            </c:numRef>
          </c:val>
          <c:extLst xmlns:c16r2="http://schemas.microsoft.com/office/drawing/2015/06/chart">
            <c:ext xmlns:c16="http://schemas.microsoft.com/office/drawing/2014/chart" uri="{C3380CC4-5D6E-409C-BE32-E72D297353CC}">
              <c16:uniqueId val="{00000001-6069-4204-86A9-9E03F447D605}"/>
            </c:ext>
          </c:extLst>
        </c:ser>
        <c:ser>
          <c:idx val="2"/>
          <c:order val="2"/>
          <c:tx>
            <c:strRef>
              <c:f>'COFOG comp'!$R$13</c:f>
              <c:strCache>
                <c:ptCount val="1"/>
                <c:pt idx="0">
                  <c:v>Pozostalí</c:v>
                </c:pt>
              </c:strCache>
            </c:strRef>
          </c:tx>
          <c:spPr>
            <a:solidFill>
              <a:schemeClr val="accent1">
                <a:lumMod val="75000"/>
              </a:schemeClr>
            </a:solidFill>
            <a:ln>
              <a:noFill/>
            </a:ln>
            <a:effectLst/>
          </c:spPr>
          <c:invertIfNegative val="0"/>
          <c:cat>
            <c:strRef>
              <c:f>'COFOG comp'!$O$14:$O$17</c:f>
              <c:strCache>
                <c:ptCount val="4"/>
                <c:pt idx="0">
                  <c:v>SK</c:v>
                </c:pt>
                <c:pt idx="1">
                  <c:v>V3</c:v>
                </c:pt>
                <c:pt idx="2">
                  <c:v>EÚ27</c:v>
                </c:pt>
                <c:pt idx="3">
                  <c:v>EÚ15</c:v>
                </c:pt>
              </c:strCache>
            </c:strRef>
          </c:cat>
          <c:val>
            <c:numRef>
              <c:f>'COFOG comp'!$R$14:$R$17</c:f>
              <c:numCache>
                <c:formatCode>#\ ##0.0</c:formatCode>
                <c:ptCount val="4"/>
                <c:pt idx="0">
                  <c:v>5.3489976192065507</c:v>
                </c:pt>
                <c:pt idx="1">
                  <c:v>6.7412298689672001</c:v>
                </c:pt>
                <c:pt idx="2">
                  <c:v>5.7925299030476136</c:v>
                </c:pt>
                <c:pt idx="3">
                  <c:v>5.8220254365872988</c:v>
                </c:pt>
              </c:numCache>
            </c:numRef>
          </c:val>
          <c:extLst xmlns:c16r2="http://schemas.microsoft.com/office/drawing/2015/06/chart">
            <c:ext xmlns:c16="http://schemas.microsoft.com/office/drawing/2014/chart" uri="{C3380CC4-5D6E-409C-BE32-E72D297353CC}">
              <c16:uniqueId val="{00000002-6069-4204-86A9-9E03F447D605}"/>
            </c:ext>
          </c:extLst>
        </c:ser>
        <c:ser>
          <c:idx val="3"/>
          <c:order val="3"/>
          <c:tx>
            <c:strRef>
              <c:f>'COFOG comp'!$S$13</c:f>
              <c:strCache>
                <c:ptCount val="1"/>
                <c:pt idx="0">
                  <c:v>Rodina a deti</c:v>
                </c:pt>
              </c:strCache>
            </c:strRef>
          </c:tx>
          <c:spPr>
            <a:solidFill>
              <a:schemeClr val="tx1"/>
            </a:solidFill>
            <a:ln>
              <a:noFill/>
            </a:ln>
            <a:effectLst/>
          </c:spPr>
          <c:invertIfNegative val="0"/>
          <c:cat>
            <c:strRef>
              <c:f>'COFOG comp'!$O$14:$O$17</c:f>
              <c:strCache>
                <c:ptCount val="4"/>
                <c:pt idx="0">
                  <c:v>SK</c:v>
                </c:pt>
                <c:pt idx="1">
                  <c:v>V3</c:v>
                </c:pt>
                <c:pt idx="2">
                  <c:v>EÚ27</c:v>
                </c:pt>
                <c:pt idx="3">
                  <c:v>EÚ15</c:v>
                </c:pt>
              </c:strCache>
            </c:strRef>
          </c:cat>
          <c:val>
            <c:numRef>
              <c:f>'COFOG comp'!$S$14:$S$17</c:f>
              <c:numCache>
                <c:formatCode>#\ ##0.0</c:formatCode>
                <c:ptCount val="4"/>
                <c:pt idx="0">
                  <c:v>7.5725548657929673</c:v>
                </c:pt>
                <c:pt idx="1">
                  <c:v>15.290850776759603</c:v>
                </c:pt>
                <c:pt idx="2">
                  <c:v>12.146496672920511</c:v>
                </c:pt>
                <c:pt idx="3">
                  <c:v>10.472509450486168</c:v>
                </c:pt>
              </c:numCache>
            </c:numRef>
          </c:val>
          <c:extLst xmlns:c16r2="http://schemas.microsoft.com/office/drawing/2015/06/chart">
            <c:ext xmlns:c16="http://schemas.microsoft.com/office/drawing/2014/chart" uri="{C3380CC4-5D6E-409C-BE32-E72D297353CC}">
              <c16:uniqueId val="{00000003-6069-4204-86A9-9E03F447D605}"/>
            </c:ext>
          </c:extLst>
        </c:ser>
        <c:ser>
          <c:idx val="4"/>
          <c:order val="4"/>
          <c:tx>
            <c:strRef>
              <c:f>'COFOG comp'!$T$13</c:f>
              <c:strCache>
                <c:ptCount val="1"/>
                <c:pt idx="0">
                  <c:v>Nezamestnanosť</c:v>
                </c:pt>
              </c:strCache>
            </c:strRef>
          </c:tx>
          <c:spPr>
            <a:solidFill>
              <a:schemeClr val="accent1">
                <a:lumMod val="40000"/>
                <a:lumOff val="60000"/>
              </a:schemeClr>
            </a:solidFill>
            <a:ln>
              <a:noFill/>
            </a:ln>
            <a:effectLst/>
          </c:spPr>
          <c:invertIfNegative val="0"/>
          <c:cat>
            <c:strRef>
              <c:f>'COFOG comp'!$O$14:$O$17</c:f>
              <c:strCache>
                <c:ptCount val="4"/>
                <c:pt idx="0">
                  <c:v>SK</c:v>
                </c:pt>
                <c:pt idx="1">
                  <c:v>V3</c:v>
                </c:pt>
                <c:pt idx="2">
                  <c:v>EÚ27</c:v>
                </c:pt>
                <c:pt idx="3">
                  <c:v>EÚ15</c:v>
                </c:pt>
              </c:strCache>
            </c:strRef>
          </c:cat>
          <c:val>
            <c:numRef>
              <c:f>'COFOG comp'!$T$14:$T$17</c:f>
              <c:numCache>
                <c:formatCode>#\ ##0.0</c:formatCode>
                <c:ptCount val="4"/>
                <c:pt idx="0">
                  <c:v>1.6205712420918348</c:v>
                </c:pt>
                <c:pt idx="1">
                  <c:v>1.5719575728361586</c:v>
                </c:pt>
                <c:pt idx="2">
                  <c:v>5.0352074400479516</c:v>
                </c:pt>
                <c:pt idx="3">
                  <c:v>6.3336290443781111</c:v>
                </c:pt>
              </c:numCache>
            </c:numRef>
          </c:val>
          <c:extLst xmlns:c16r2="http://schemas.microsoft.com/office/drawing/2015/06/chart">
            <c:ext xmlns:c16="http://schemas.microsoft.com/office/drawing/2014/chart" uri="{C3380CC4-5D6E-409C-BE32-E72D297353CC}">
              <c16:uniqueId val="{00000004-6069-4204-86A9-9E03F447D605}"/>
            </c:ext>
          </c:extLst>
        </c:ser>
        <c:ser>
          <c:idx val="5"/>
          <c:order val="5"/>
          <c:tx>
            <c:strRef>
              <c:f>'COFOG comp'!$U$13</c:f>
              <c:strCache>
                <c:ptCount val="1"/>
                <c:pt idx="0">
                  <c:v>Bývanie</c:v>
                </c:pt>
              </c:strCache>
            </c:strRef>
          </c:tx>
          <c:spPr>
            <a:solidFill>
              <a:schemeClr val="bg1">
                <a:lumMod val="85000"/>
              </a:schemeClr>
            </a:solidFill>
            <a:ln>
              <a:noFill/>
            </a:ln>
            <a:effectLst/>
          </c:spPr>
          <c:invertIfNegative val="0"/>
          <c:cat>
            <c:strRef>
              <c:f>'COFOG comp'!$O$14:$O$17</c:f>
              <c:strCache>
                <c:ptCount val="4"/>
                <c:pt idx="0">
                  <c:v>SK</c:v>
                </c:pt>
                <c:pt idx="1">
                  <c:v>V3</c:v>
                </c:pt>
                <c:pt idx="2">
                  <c:v>EÚ27</c:v>
                </c:pt>
                <c:pt idx="3">
                  <c:v>EÚ15</c:v>
                </c:pt>
              </c:strCache>
            </c:strRef>
          </c:cat>
          <c:val>
            <c:numRef>
              <c:f>'COFOG comp'!$U$14:$U$17</c:f>
              <c:numCache>
                <c:formatCode>#\ ##0.0</c:formatCode>
                <c:ptCount val="4"/>
                <c:pt idx="0">
                  <c:v>4.4500812139821556E-3</c:v>
                </c:pt>
                <c:pt idx="1">
                  <c:v>0.6707724633625024</c:v>
                </c:pt>
                <c:pt idx="2">
                  <c:v>1.4048444825003419</c:v>
                </c:pt>
                <c:pt idx="3">
                  <c:v>2.5428876686864084</c:v>
                </c:pt>
              </c:numCache>
            </c:numRef>
          </c:val>
          <c:extLst xmlns:c16r2="http://schemas.microsoft.com/office/drawing/2015/06/chart">
            <c:ext xmlns:c16="http://schemas.microsoft.com/office/drawing/2014/chart" uri="{C3380CC4-5D6E-409C-BE32-E72D297353CC}">
              <c16:uniqueId val="{00000005-6069-4204-86A9-9E03F447D605}"/>
            </c:ext>
          </c:extLst>
        </c:ser>
        <c:ser>
          <c:idx val="6"/>
          <c:order val="6"/>
          <c:tx>
            <c:strRef>
              <c:f>'COFOG comp'!$V$13</c:f>
              <c:strCache>
                <c:ptCount val="1"/>
                <c:pt idx="0">
                  <c:v>Sociálna pomoc občanom v hmotnej a sociálnej núdzi</c:v>
                </c:pt>
              </c:strCache>
            </c:strRef>
          </c:tx>
          <c:spPr>
            <a:solidFill>
              <a:schemeClr val="accent1">
                <a:lumMod val="50000"/>
              </a:schemeClr>
            </a:solidFill>
            <a:ln>
              <a:noFill/>
            </a:ln>
            <a:effectLst/>
          </c:spPr>
          <c:invertIfNegative val="0"/>
          <c:cat>
            <c:strRef>
              <c:f>'COFOG comp'!$O$14:$O$17</c:f>
              <c:strCache>
                <c:ptCount val="4"/>
                <c:pt idx="0">
                  <c:v>SK</c:v>
                </c:pt>
                <c:pt idx="1">
                  <c:v>V3</c:v>
                </c:pt>
                <c:pt idx="2">
                  <c:v>EÚ27</c:v>
                </c:pt>
                <c:pt idx="3">
                  <c:v>EÚ15</c:v>
                </c:pt>
              </c:strCache>
            </c:strRef>
          </c:cat>
          <c:val>
            <c:numRef>
              <c:f>'COFOG comp'!$V$14:$V$17</c:f>
              <c:numCache>
                <c:formatCode>#\ ##0.0</c:formatCode>
                <c:ptCount val="4"/>
                <c:pt idx="0">
                  <c:v>1.6287297243174688</c:v>
                </c:pt>
                <c:pt idx="1">
                  <c:v>3.5873849326262643</c:v>
                </c:pt>
                <c:pt idx="2">
                  <c:v>3.8397465619937314</c:v>
                </c:pt>
                <c:pt idx="3">
                  <c:v>5.0782560891157562</c:v>
                </c:pt>
              </c:numCache>
            </c:numRef>
          </c:val>
          <c:extLst xmlns:c16r2="http://schemas.microsoft.com/office/drawing/2015/06/chart">
            <c:ext xmlns:c16="http://schemas.microsoft.com/office/drawing/2014/chart" uri="{C3380CC4-5D6E-409C-BE32-E72D297353CC}">
              <c16:uniqueId val="{00000006-6069-4204-86A9-9E03F447D605}"/>
            </c:ext>
          </c:extLst>
        </c:ser>
        <c:ser>
          <c:idx val="7"/>
          <c:order val="7"/>
          <c:tx>
            <c:strRef>
              <c:f>'COFOG comp'!$W$13</c:f>
              <c:strCache>
                <c:ptCount val="1"/>
                <c:pt idx="0">
                  <c:v>Výskum a vývoj v oblasti sociálneho zabezpečenia</c:v>
                </c:pt>
              </c:strCache>
            </c:strRef>
          </c:tx>
          <c:spPr>
            <a:solidFill>
              <a:schemeClr val="accent3">
                <a:lumMod val="60000"/>
                <a:lumOff val="40000"/>
              </a:schemeClr>
            </a:solidFill>
            <a:ln>
              <a:noFill/>
            </a:ln>
            <a:effectLst/>
          </c:spPr>
          <c:invertIfNegative val="0"/>
          <c:cat>
            <c:strRef>
              <c:f>'COFOG comp'!$O$14:$O$17</c:f>
              <c:strCache>
                <c:ptCount val="4"/>
                <c:pt idx="0">
                  <c:v>SK</c:v>
                </c:pt>
                <c:pt idx="1">
                  <c:v>V3</c:v>
                </c:pt>
                <c:pt idx="2">
                  <c:v>EÚ27</c:v>
                </c:pt>
                <c:pt idx="3">
                  <c:v>EÚ15</c:v>
                </c:pt>
              </c:strCache>
            </c:strRef>
          </c:cat>
          <c:val>
            <c:numRef>
              <c:f>'COFOG comp'!$W$14:$W$17</c:f>
              <c:numCache>
                <c:formatCode>#\ ##0.0</c:formatCode>
                <c:ptCount val="4"/>
                <c:pt idx="0">
                  <c:v>1.0383522832625029E-2</c:v>
                </c:pt>
                <c:pt idx="1">
                  <c:v>3.0439025619983438E-2</c:v>
                </c:pt>
                <c:pt idx="2">
                  <c:v>2.5523706421124174E-2</c:v>
                </c:pt>
                <c:pt idx="3">
                  <c:v>3.0802692124150162E-2</c:v>
                </c:pt>
              </c:numCache>
            </c:numRef>
          </c:val>
          <c:extLst xmlns:c16r2="http://schemas.microsoft.com/office/drawing/2015/06/chart">
            <c:ext xmlns:c16="http://schemas.microsoft.com/office/drawing/2014/chart" uri="{C3380CC4-5D6E-409C-BE32-E72D297353CC}">
              <c16:uniqueId val="{00000007-6069-4204-86A9-9E03F447D605}"/>
            </c:ext>
          </c:extLst>
        </c:ser>
        <c:ser>
          <c:idx val="8"/>
          <c:order val="8"/>
          <c:tx>
            <c:strRef>
              <c:f>'COFOG comp'!$X$13</c:f>
              <c:strCache>
                <c:ptCount val="1"/>
                <c:pt idx="0">
                  <c:v>Sociálne zabezpečenie inde neklasifikované</c:v>
                </c:pt>
              </c:strCache>
            </c:strRef>
          </c:tx>
          <c:spPr>
            <a:solidFill>
              <a:schemeClr val="accent1">
                <a:lumMod val="20000"/>
                <a:lumOff val="80000"/>
              </a:schemeClr>
            </a:solidFill>
            <a:ln>
              <a:noFill/>
            </a:ln>
            <a:effectLst/>
          </c:spPr>
          <c:invertIfNegative val="0"/>
          <c:cat>
            <c:strRef>
              <c:f>'COFOG comp'!$O$14:$O$17</c:f>
              <c:strCache>
                <c:ptCount val="4"/>
                <c:pt idx="0">
                  <c:v>SK</c:v>
                </c:pt>
                <c:pt idx="1">
                  <c:v>V3</c:v>
                </c:pt>
                <c:pt idx="2">
                  <c:v>EÚ27</c:v>
                </c:pt>
                <c:pt idx="3">
                  <c:v>EÚ15</c:v>
                </c:pt>
              </c:strCache>
            </c:strRef>
          </c:cat>
          <c:val>
            <c:numRef>
              <c:f>'COFOG comp'!$X$14:$X$17</c:f>
              <c:numCache>
                <c:formatCode>#\ ##0.0</c:formatCode>
                <c:ptCount val="4"/>
                <c:pt idx="0">
                  <c:v>8.2875345808394343</c:v>
                </c:pt>
                <c:pt idx="1">
                  <c:v>1.1896079763094201</c:v>
                </c:pt>
                <c:pt idx="2">
                  <c:v>1.7997636310033234</c:v>
                </c:pt>
                <c:pt idx="3">
                  <c:v>1.145281871399239</c:v>
                </c:pt>
              </c:numCache>
            </c:numRef>
          </c:val>
          <c:extLst xmlns:c16r2="http://schemas.microsoft.com/office/drawing/2015/06/chart">
            <c:ext xmlns:c16="http://schemas.microsoft.com/office/drawing/2014/chart" uri="{C3380CC4-5D6E-409C-BE32-E72D297353CC}">
              <c16:uniqueId val="{00000008-6069-4204-86A9-9E03F447D605}"/>
            </c:ext>
          </c:extLst>
        </c:ser>
        <c:dLbls>
          <c:showLegendKey val="0"/>
          <c:showVal val="0"/>
          <c:showCatName val="0"/>
          <c:showSerName val="0"/>
          <c:showPercent val="0"/>
          <c:showBubbleSize val="0"/>
        </c:dLbls>
        <c:gapWidth val="150"/>
        <c:overlap val="100"/>
        <c:axId val="554691808"/>
        <c:axId val="554688672"/>
      </c:barChart>
      <c:catAx>
        <c:axId val="5546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4688672"/>
        <c:crosses val="autoZero"/>
        <c:auto val="1"/>
        <c:lblAlgn val="ctr"/>
        <c:lblOffset val="100"/>
        <c:noMultiLvlLbl val="0"/>
      </c:catAx>
      <c:valAx>
        <c:axId val="554688672"/>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4691808"/>
        <c:crosses val="autoZero"/>
        <c:crossBetween val="between"/>
        <c:majorUnit val="10"/>
      </c:valAx>
      <c:spPr>
        <a:noFill/>
        <a:ln>
          <a:noFill/>
        </a:ln>
        <a:effectLst/>
      </c:spPr>
    </c:plotArea>
    <c:legend>
      <c:legendPos val="l"/>
      <c:layout>
        <c:manualLayout>
          <c:xMode val="edge"/>
          <c:yMode val="edge"/>
          <c:x val="2.5276465487673243E-2"/>
          <c:y val="1.0829323417906097E-2"/>
          <c:w val="0.43443908471331116"/>
          <c:h val="0.987600247885681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87773402629306E-2"/>
          <c:y val="3.7486892271914186E-2"/>
          <c:w val="0.93410895782899028"/>
          <c:h val="0.86963562935721861"/>
        </c:manualLayout>
      </c:layout>
      <c:barChart>
        <c:barDir val="col"/>
        <c:grouping val="stacked"/>
        <c:varyColors val="0"/>
        <c:ser>
          <c:idx val="2"/>
          <c:order val="0"/>
          <c:tx>
            <c:strRef>
              <c:f>'Súhrnná tabuľka'!$A$37</c:f>
              <c:strCache>
                <c:ptCount val="1"/>
                <c:pt idx="0">
                  <c:v>Primárne saldo</c:v>
                </c:pt>
              </c:strCache>
            </c:strRef>
          </c:tx>
          <c:spPr>
            <a:solidFill>
              <a:sysClr val="window" lastClr="FFFFFF">
                <a:lumMod val="50000"/>
              </a:sysClr>
            </a:solidFill>
            <a:ln w="12700">
              <a:noFill/>
              <a:prstDash val="solid"/>
            </a:ln>
          </c:spPr>
          <c:invertIfNegative val="0"/>
          <c:cat>
            <c:numRef>
              <c:f>'Súhrnná tabuľka'!$AD$63:$AH$63</c:f>
              <c:numCache>
                <c:formatCode>General</c:formatCode>
                <c:ptCount val="5"/>
                <c:pt idx="0">
                  <c:v>2020</c:v>
                </c:pt>
                <c:pt idx="1">
                  <c:v>2021</c:v>
                </c:pt>
                <c:pt idx="2">
                  <c:v>2022</c:v>
                </c:pt>
                <c:pt idx="3">
                  <c:v>2023</c:v>
                </c:pt>
                <c:pt idx="4">
                  <c:v>2024</c:v>
                </c:pt>
              </c:numCache>
            </c:numRef>
          </c:cat>
          <c:val>
            <c:numRef>
              <c:f>'Súhrnná tabuľka'!$AD$37:$AH$37</c:f>
              <c:numCache>
                <c:formatCode>#\ ##0.0</c:formatCode>
                <c:ptCount val="5"/>
                <c:pt idx="0">
                  <c:v>4.8911365516833509</c:v>
                </c:pt>
                <c:pt idx="1">
                  <c:v>6.9718196682844278</c:v>
                </c:pt>
                <c:pt idx="2">
                  <c:v>4.0221202234524673</c:v>
                </c:pt>
                <c:pt idx="3">
                  <c:v>2.1374590842701875</c:v>
                </c:pt>
                <c:pt idx="4">
                  <c:v>1.9081915144426289</c:v>
                </c:pt>
              </c:numCache>
            </c:numRef>
          </c:val>
          <c:extLst xmlns:c16r2="http://schemas.microsoft.com/office/drawing/2015/06/chart">
            <c:ext xmlns:c16="http://schemas.microsoft.com/office/drawing/2014/chart" uri="{C3380CC4-5D6E-409C-BE32-E72D297353CC}">
              <c16:uniqueId val="{00000000-BFDC-48D8-915B-B0C3705EC2CF}"/>
            </c:ext>
          </c:extLst>
        </c:ser>
        <c:ser>
          <c:idx val="4"/>
          <c:order val="2"/>
          <c:tx>
            <c:strRef>
              <c:f>'Súhrnná tabuľka'!$A$39</c:f>
              <c:strCache>
                <c:ptCount val="1"/>
                <c:pt idx="0">
                  <c:v>Úroky</c:v>
                </c:pt>
              </c:strCache>
            </c:strRef>
          </c:tx>
          <c:spPr>
            <a:solidFill>
              <a:sysClr val="window" lastClr="FFFFFF">
                <a:lumMod val="65000"/>
              </a:sysClr>
            </a:solidFill>
            <a:ln w="12700">
              <a:noFill/>
              <a:prstDash val="solid"/>
            </a:ln>
          </c:spPr>
          <c:invertIfNegative val="0"/>
          <c:cat>
            <c:numRef>
              <c:f>'Súhrnná tabuľka'!$AD$63:$AH$63</c:f>
              <c:numCache>
                <c:formatCode>General</c:formatCode>
                <c:ptCount val="5"/>
                <c:pt idx="0">
                  <c:v>2020</c:v>
                </c:pt>
                <c:pt idx="1">
                  <c:v>2021</c:v>
                </c:pt>
                <c:pt idx="2">
                  <c:v>2022</c:v>
                </c:pt>
                <c:pt idx="3">
                  <c:v>2023</c:v>
                </c:pt>
                <c:pt idx="4">
                  <c:v>2024</c:v>
                </c:pt>
              </c:numCache>
            </c:numRef>
          </c:cat>
          <c:val>
            <c:numRef>
              <c:f>'Súhrnná tabuľka'!$AD$39:$AH$39</c:f>
              <c:numCache>
                <c:formatCode>#\ ##0.0</c:formatCode>
                <c:ptCount val="5"/>
                <c:pt idx="0">
                  <c:v>1.2001009608537985</c:v>
                </c:pt>
                <c:pt idx="1">
                  <c:v>0.94907497748297243</c:v>
                </c:pt>
                <c:pt idx="2">
                  <c:v>0.91788014148963193</c:v>
                </c:pt>
                <c:pt idx="3">
                  <c:v>0.89906833063713543</c:v>
                </c:pt>
                <c:pt idx="4">
                  <c:v>1.0195837325108665</c:v>
                </c:pt>
              </c:numCache>
            </c:numRef>
          </c:val>
          <c:extLst xmlns:c16r2="http://schemas.microsoft.com/office/drawing/2015/06/chart">
            <c:ext xmlns:c16="http://schemas.microsoft.com/office/drawing/2014/chart" uri="{C3380CC4-5D6E-409C-BE32-E72D297353CC}">
              <c16:uniqueId val="{00000001-BFDC-48D8-915B-B0C3705EC2CF}"/>
            </c:ext>
          </c:extLst>
        </c:ser>
        <c:ser>
          <c:idx val="6"/>
          <c:order val="4"/>
          <c:tx>
            <c:strRef>
              <c:f>'Súhrnná tabuľka'!$AK$56</c:f>
              <c:strCache>
                <c:ptCount val="1"/>
                <c:pt idx="0">
                  <c:v>Zosúladenie deficitu a dlhu - bez hotovosti VS</c:v>
                </c:pt>
              </c:strCache>
            </c:strRef>
          </c:tx>
          <c:spPr>
            <a:solidFill>
              <a:srgbClr val="4472C4">
                <a:lumMod val="50000"/>
              </a:srgbClr>
            </a:solidFill>
            <a:ln w="12700">
              <a:noFill/>
              <a:prstDash val="solid"/>
            </a:ln>
          </c:spPr>
          <c:invertIfNegative val="0"/>
          <c:cat>
            <c:numRef>
              <c:f>'Súhrnná tabuľka'!$AD$63:$AH$63</c:f>
              <c:numCache>
                <c:formatCode>General</c:formatCode>
                <c:ptCount val="5"/>
                <c:pt idx="0">
                  <c:v>2020</c:v>
                </c:pt>
                <c:pt idx="1">
                  <c:v>2021</c:v>
                </c:pt>
                <c:pt idx="2">
                  <c:v>2022</c:v>
                </c:pt>
                <c:pt idx="3">
                  <c:v>2023</c:v>
                </c:pt>
                <c:pt idx="4">
                  <c:v>2024</c:v>
                </c:pt>
              </c:numCache>
            </c:numRef>
          </c:cat>
          <c:val>
            <c:numRef>
              <c:f>'Súhrnná tabuľka'!$AM$58:$AQ$58</c:f>
              <c:numCache>
                <c:formatCode>#\ ##0.0</c:formatCode>
                <c:ptCount val="5"/>
                <c:pt idx="0">
                  <c:v>-0.67499244373755207</c:v>
                </c:pt>
                <c:pt idx="1">
                  <c:v>0.68347466334392859</c:v>
                </c:pt>
                <c:pt idx="2">
                  <c:v>4.7419045548193262E-2</c:v>
                </c:pt>
                <c:pt idx="3">
                  <c:v>-0.32047064407661896</c:v>
                </c:pt>
                <c:pt idx="4">
                  <c:v>-0.423912598021153</c:v>
                </c:pt>
              </c:numCache>
            </c:numRef>
          </c:val>
          <c:extLst xmlns:c16r2="http://schemas.microsoft.com/office/drawing/2015/06/chart">
            <c:ext xmlns:c16="http://schemas.microsoft.com/office/drawing/2014/chart" uri="{C3380CC4-5D6E-409C-BE32-E72D297353CC}">
              <c16:uniqueId val="{00000002-BFDC-48D8-915B-B0C3705EC2CF}"/>
            </c:ext>
          </c:extLst>
        </c:ser>
        <c:ser>
          <c:idx val="1"/>
          <c:order val="5"/>
          <c:tx>
            <c:strRef>
              <c:f>'Súhrnná tabuľka'!$A$42</c:f>
              <c:strCache>
                <c:ptCount val="1"/>
                <c:pt idx="0">
                  <c:v>Rast reálneho HDP</c:v>
                </c:pt>
              </c:strCache>
            </c:strRef>
          </c:tx>
          <c:spPr>
            <a:solidFill>
              <a:srgbClr val="5B9BD5">
                <a:lumMod val="75000"/>
              </a:srgbClr>
            </a:solidFill>
          </c:spPr>
          <c:invertIfNegative val="0"/>
          <c:cat>
            <c:numRef>
              <c:f>'Súhrnná tabuľka'!$AD$63:$AH$63</c:f>
              <c:numCache>
                <c:formatCode>General</c:formatCode>
                <c:ptCount val="5"/>
                <c:pt idx="0">
                  <c:v>2020</c:v>
                </c:pt>
                <c:pt idx="1">
                  <c:v>2021</c:v>
                </c:pt>
                <c:pt idx="2">
                  <c:v>2022</c:v>
                </c:pt>
                <c:pt idx="3">
                  <c:v>2023</c:v>
                </c:pt>
                <c:pt idx="4">
                  <c:v>2024</c:v>
                </c:pt>
              </c:numCache>
            </c:numRef>
          </c:cat>
          <c:val>
            <c:numRef>
              <c:f>'Súhrnná tabuľka'!$AD$42:$AH$42</c:f>
              <c:numCache>
                <c:formatCode>#\ ##0.0</c:formatCode>
                <c:ptCount val="5"/>
                <c:pt idx="0">
                  <c:v>2.2489204732087344</c:v>
                </c:pt>
                <c:pt idx="1">
                  <c:v>-2.158220743057079</c:v>
                </c:pt>
                <c:pt idx="2">
                  <c:v>-2.5773640841051439</c:v>
                </c:pt>
                <c:pt idx="3">
                  <c:v>-3.0035985438948316</c:v>
                </c:pt>
                <c:pt idx="4">
                  <c:v>-0.42418007915058337</c:v>
                </c:pt>
              </c:numCache>
            </c:numRef>
          </c:val>
          <c:extLst xmlns:c16r2="http://schemas.microsoft.com/office/drawing/2015/06/chart">
            <c:ext xmlns:c16="http://schemas.microsoft.com/office/drawing/2014/chart" uri="{C3380CC4-5D6E-409C-BE32-E72D297353CC}">
              <c16:uniqueId val="{00000003-BFDC-48D8-915B-B0C3705EC2CF}"/>
            </c:ext>
          </c:extLst>
        </c:ser>
        <c:ser>
          <c:idx val="7"/>
          <c:order val="6"/>
          <c:tx>
            <c:strRef>
              <c:f>'Súhrnná tabuľka'!$AK$60</c:f>
              <c:strCache>
                <c:ptCount val="1"/>
                <c:pt idx="0">
                  <c:v>Zmena hotovosti VS</c:v>
                </c:pt>
              </c:strCache>
            </c:strRef>
          </c:tx>
          <c:spPr>
            <a:solidFill>
              <a:srgbClr val="4472C4">
                <a:lumMod val="75000"/>
              </a:srgbClr>
            </a:solidFill>
            <a:ln w="28575">
              <a:noFill/>
            </a:ln>
          </c:spPr>
          <c:invertIfNegative val="0"/>
          <c:cat>
            <c:numRef>
              <c:f>'Súhrnná tabuľka'!$AD$63:$AH$63</c:f>
              <c:numCache>
                <c:formatCode>General</c:formatCode>
                <c:ptCount val="5"/>
                <c:pt idx="0">
                  <c:v>2020</c:v>
                </c:pt>
                <c:pt idx="1">
                  <c:v>2021</c:v>
                </c:pt>
                <c:pt idx="2">
                  <c:v>2022</c:v>
                </c:pt>
                <c:pt idx="3">
                  <c:v>2023</c:v>
                </c:pt>
                <c:pt idx="4">
                  <c:v>2024</c:v>
                </c:pt>
              </c:numCache>
            </c:numRef>
          </c:cat>
          <c:val>
            <c:numRef>
              <c:f>'Súhrnná tabuľka'!$AM$61:$AQ$61</c:f>
              <c:numCache>
                <c:formatCode>#\ ##0.0</c:formatCode>
                <c:ptCount val="5"/>
                <c:pt idx="0">
                  <c:v>5.1536984123882936</c:v>
                </c:pt>
                <c:pt idx="1">
                  <c:v>-3.5207231562428913</c:v>
                </c:pt>
                <c:pt idx="2">
                  <c:v>-0.32453101153030234</c:v>
                </c:pt>
                <c:pt idx="3">
                  <c:v>-1.0810254321604473</c:v>
                </c:pt>
                <c:pt idx="4">
                  <c:v>-0.77062389700461098</c:v>
                </c:pt>
              </c:numCache>
            </c:numRef>
          </c:val>
          <c:extLst xmlns:c16r2="http://schemas.microsoft.com/office/drawing/2015/06/chart">
            <c:ext xmlns:c16="http://schemas.microsoft.com/office/drawing/2014/chart" uri="{C3380CC4-5D6E-409C-BE32-E72D297353CC}">
              <c16:uniqueId val="{00000000-F7BE-4996-9B2A-839DB59124D6}"/>
            </c:ext>
          </c:extLst>
        </c:ser>
        <c:ser>
          <c:idx val="3"/>
          <c:order val="7"/>
          <c:tx>
            <c:strRef>
              <c:f>'Súhrnná tabuľka'!$A$44</c:f>
              <c:strCache>
                <c:ptCount val="1"/>
                <c:pt idx="0">
                  <c:v>Deflátor HDP</c:v>
                </c:pt>
              </c:strCache>
            </c:strRef>
          </c:tx>
          <c:spPr>
            <a:solidFill>
              <a:srgbClr val="5B9BD5">
                <a:lumMod val="60000"/>
                <a:lumOff val="40000"/>
              </a:srgbClr>
            </a:solidFill>
          </c:spPr>
          <c:invertIfNegative val="0"/>
          <c:cat>
            <c:numRef>
              <c:f>'Súhrnná tabuľka'!$AD$63:$AH$63</c:f>
              <c:numCache>
                <c:formatCode>General</c:formatCode>
                <c:ptCount val="5"/>
                <c:pt idx="0">
                  <c:v>2020</c:v>
                </c:pt>
                <c:pt idx="1">
                  <c:v>2021</c:v>
                </c:pt>
                <c:pt idx="2">
                  <c:v>2022</c:v>
                </c:pt>
                <c:pt idx="3">
                  <c:v>2023</c:v>
                </c:pt>
                <c:pt idx="4">
                  <c:v>2024</c:v>
                </c:pt>
              </c:numCache>
            </c:numRef>
          </c:cat>
          <c:val>
            <c:numRef>
              <c:f>'Súhrnná tabuľka'!$AD$43:$AH$43</c:f>
              <c:numCache>
                <c:formatCode>#\ ##0.0</c:formatCode>
                <c:ptCount val="5"/>
                <c:pt idx="0">
                  <c:v>-1.219569381490373</c:v>
                </c:pt>
                <c:pt idx="1">
                  <c:v>-1.1283000135534329</c:v>
                </c:pt>
                <c:pt idx="2">
                  <c:v>-2.1434088438819807</c:v>
                </c:pt>
                <c:pt idx="3">
                  <c:v>-1.5061416159572012</c:v>
                </c:pt>
                <c:pt idx="4">
                  <c:v>-1.2268316532988308</c:v>
                </c:pt>
              </c:numCache>
            </c:numRef>
          </c:val>
          <c:extLst xmlns:c16r2="http://schemas.microsoft.com/office/drawing/2015/06/chart">
            <c:ext xmlns:c16="http://schemas.microsoft.com/office/drawing/2014/chart" uri="{C3380CC4-5D6E-409C-BE32-E72D297353CC}">
              <c16:uniqueId val="{00000004-BFDC-48D8-915B-B0C3705EC2CF}"/>
            </c:ext>
          </c:extLst>
        </c:ser>
        <c:dLbls>
          <c:showLegendKey val="0"/>
          <c:showVal val="0"/>
          <c:showCatName val="0"/>
          <c:showSerName val="0"/>
          <c:showPercent val="0"/>
          <c:showBubbleSize val="0"/>
        </c:dLbls>
        <c:gapWidth val="150"/>
        <c:overlap val="100"/>
        <c:axId val="553544024"/>
        <c:axId val="553545592"/>
        <c:extLst xmlns:c16r2="http://schemas.microsoft.com/office/drawing/2015/06/chart">
          <c:ext xmlns:c15="http://schemas.microsoft.com/office/drawing/2012/chart" uri="{02D57815-91ED-43cb-92C2-25804820EDAC}">
            <c15:filteredBarSeries>
              <c15:ser>
                <c:idx val="5"/>
                <c:order val="3"/>
                <c:tx>
                  <c:strRef>
                    <c:extLst xmlns:c16r2="http://schemas.microsoft.com/office/drawing/2015/06/chart">
                      <c:ext uri="{02D57815-91ED-43cb-92C2-25804820EDAC}">
                        <c15:formulaRef>
                          <c15:sqref>'Súhrnná tabuľka'!$A$40</c15:sqref>
                        </c15:formulaRef>
                      </c:ext>
                    </c:extLst>
                    <c:strCache>
                      <c:ptCount val="1"/>
                      <c:pt idx="0">
                        <c:v>Rast nominálneho HDP</c:v>
                      </c:pt>
                    </c:strCache>
                  </c:strRef>
                </c:tx>
                <c:spPr>
                  <a:solidFill>
                    <a:srgbClr val="D3BEDE"/>
                  </a:solidFill>
                  <a:ln w="12700">
                    <a:noFill/>
                    <a:prstDash val="solid"/>
                  </a:ln>
                </c:spPr>
                <c:invertIfNegative val="0"/>
                <c:cat>
                  <c:numRef>
                    <c:extLst xmlns:c16r2="http://schemas.microsoft.com/office/drawing/2015/06/chart">
                      <c:ext uri="{02D57815-91ED-43cb-92C2-25804820EDAC}">
                        <c15:formulaRef>
                          <c15:sqref>'Súhrnná tabuľka'!$AD$63:$AH$63</c15:sqref>
                        </c15:formulaRef>
                      </c:ext>
                    </c:extLst>
                    <c:numCache>
                      <c:formatCode>General</c:formatCode>
                      <c:ptCount val="5"/>
                      <c:pt idx="0">
                        <c:v>2020</c:v>
                      </c:pt>
                      <c:pt idx="1">
                        <c:v>2021</c:v>
                      </c:pt>
                      <c:pt idx="2">
                        <c:v>2022</c:v>
                      </c:pt>
                      <c:pt idx="3">
                        <c:v>2023</c:v>
                      </c:pt>
                      <c:pt idx="4">
                        <c:v>2024</c:v>
                      </c:pt>
                    </c:numCache>
                  </c:numRef>
                </c:cat>
                <c:val>
                  <c:numRef>
                    <c:extLst xmlns:c16r2="http://schemas.microsoft.com/office/drawing/2015/06/chart">
                      <c:ext uri="{02D57815-91ED-43cb-92C2-25804820EDAC}">
                        <c15:formulaRef>
                          <c15:sqref>'Súhrnná tabuľka'!$AD$40:$AH$40</c15:sqref>
                        </c15:formulaRef>
                      </c:ext>
                    </c:extLst>
                    <c:numCache>
                      <c:formatCode>#\ ##0.0</c:formatCode>
                      <c:ptCount val="5"/>
                      <c:pt idx="0">
                        <c:v>1.0293510917183615</c:v>
                      </c:pt>
                      <c:pt idx="1">
                        <c:v>-3.2865207566105119</c:v>
                      </c:pt>
                      <c:pt idx="2">
                        <c:v>-4.7207729279871247</c:v>
                      </c:pt>
                      <c:pt idx="3">
                        <c:v>-4.5097401598520328</c:v>
                      </c:pt>
                      <c:pt idx="4">
                        <c:v>-1.6510117324494142</c:v>
                      </c:pt>
                    </c:numCache>
                  </c:numRef>
                </c:val>
                <c:extLst xmlns:c16r2="http://schemas.microsoft.com/office/drawing/2015/06/chart">
                  <c:ext xmlns:c16="http://schemas.microsoft.com/office/drawing/2014/chart" uri="{C3380CC4-5D6E-409C-BE32-E72D297353CC}">
                    <c16:uniqueId val="{00000006-BFDC-48D8-915B-B0C3705EC2CF}"/>
                  </c:ext>
                </c:extLst>
              </c15:ser>
            </c15:filteredBarSeries>
          </c:ext>
        </c:extLst>
      </c:barChart>
      <c:lineChart>
        <c:grouping val="standard"/>
        <c:varyColors val="0"/>
        <c:ser>
          <c:idx val="0"/>
          <c:order val="1"/>
          <c:tx>
            <c:strRef>
              <c:f>'Súhrnná tabuľka'!$A$34</c:f>
              <c:strCache>
                <c:ptCount val="1"/>
                <c:pt idx="0">
                  <c:v>Zmena hrubého dlhu VS</c:v>
                </c:pt>
              </c:strCache>
            </c:strRef>
          </c:tx>
          <c:spPr>
            <a:ln w="25400" cmpd="sng">
              <a:noFill/>
              <a:prstDash val="solid"/>
            </a:ln>
          </c:spPr>
          <c:marker>
            <c:symbol val="circle"/>
            <c:size val="7"/>
            <c:spPr>
              <a:solidFill>
                <a:sysClr val="windowText" lastClr="000000"/>
              </a:solidFill>
              <a:ln w="9525">
                <a:solidFill>
                  <a:sysClr val="window" lastClr="FFFFFF"/>
                </a:solidFill>
              </a:ln>
            </c:spPr>
          </c:marker>
          <c:dPt>
            <c:idx val="12"/>
            <c:bubble3D val="0"/>
            <c:extLst xmlns:c16r2="http://schemas.microsoft.com/office/drawing/2015/06/chart">
              <c:ext xmlns:c16="http://schemas.microsoft.com/office/drawing/2014/chart" uri="{C3380CC4-5D6E-409C-BE32-E72D297353CC}">
                <c16:uniqueId val="{00000001-F7BE-4996-9B2A-839DB59124D6}"/>
              </c:ext>
            </c:extLst>
          </c:dPt>
          <c:dLbls>
            <c:numFmt formatCode="#,##0.0" sourceLinked="0"/>
            <c:spPr>
              <a:solidFill>
                <a:sysClr val="window" lastClr="FFFFFF"/>
              </a:solidFill>
              <a:ln>
                <a:solidFill>
                  <a:sysClr val="windowText" lastClr="000000"/>
                </a:solid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'Súhrnná tabuľka'!$AD$1:$AH$1</c:f>
              <c:numCache>
                <c:formatCode>General</c:formatCode>
                <c:ptCount val="5"/>
                <c:pt idx="0">
                  <c:v>2020</c:v>
                </c:pt>
                <c:pt idx="1">
                  <c:v>2021</c:v>
                </c:pt>
                <c:pt idx="2">
                  <c:v>2022</c:v>
                </c:pt>
                <c:pt idx="3">
                  <c:v>2023</c:v>
                </c:pt>
                <c:pt idx="4">
                  <c:v>2024</c:v>
                </c:pt>
              </c:numCache>
            </c:numRef>
          </c:cat>
          <c:val>
            <c:numRef>
              <c:f>'Súhrnná tabuľka'!$AD$34:$AH$34</c:f>
              <c:numCache>
                <c:formatCode>#\ ##0.0</c:formatCode>
                <c:ptCount val="5"/>
                <c:pt idx="0">
                  <c:v>11.599294572906253</c:v>
                </c:pt>
                <c:pt idx="1">
                  <c:v>1.7971253962579254</c:v>
                </c:pt>
                <c:pt idx="2">
                  <c:v>-5.788452902713459E-2</c:v>
                </c:pt>
                <c:pt idx="3">
                  <c:v>-2.8747088211817768</c:v>
                </c:pt>
                <c:pt idx="4">
                  <c:v>8.2227019478317231E-2</c:v>
                </c:pt>
              </c:numCache>
            </c:numRef>
          </c:val>
          <c:smooth val="0"/>
          <c:extLst xmlns:c16r2="http://schemas.microsoft.com/office/drawing/2015/06/chart">
            <c:ext xmlns:c16="http://schemas.microsoft.com/office/drawing/2014/chart" uri="{C3380CC4-5D6E-409C-BE32-E72D297353CC}">
              <c16:uniqueId val="{00000005-BFDC-48D8-915B-B0C3705EC2CF}"/>
            </c:ext>
          </c:extLst>
        </c:ser>
        <c:dLbls>
          <c:showLegendKey val="0"/>
          <c:showVal val="0"/>
          <c:showCatName val="0"/>
          <c:showSerName val="0"/>
          <c:showPercent val="0"/>
          <c:showBubbleSize val="0"/>
        </c:dLbls>
        <c:marker val="1"/>
        <c:smooth val="0"/>
        <c:axId val="553544024"/>
        <c:axId val="553545592"/>
      </c:lineChart>
      <c:catAx>
        <c:axId val="553544024"/>
        <c:scaling>
          <c:orientation val="minMax"/>
        </c:scaling>
        <c:delete val="0"/>
        <c:axPos val="b"/>
        <c:numFmt formatCode="General" sourceLinked="1"/>
        <c:majorTickMark val="none"/>
        <c:minorTickMark val="none"/>
        <c:tickLblPos val="low"/>
        <c:spPr>
          <a:ln w="3175">
            <a:solidFill>
              <a:sysClr val="windowText" lastClr="000000"/>
            </a:solidFill>
            <a:prstDash val="solid"/>
          </a:ln>
        </c:spPr>
        <c:txPr>
          <a:bodyPr rot="0" vert="horz"/>
          <a:lstStyle/>
          <a:p>
            <a:pPr>
              <a:defRPr/>
            </a:pPr>
            <a:endParaRPr lang="sk-SK"/>
          </a:p>
        </c:txPr>
        <c:crossAx val="553545592"/>
        <c:crosses val="autoZero"/>
        <c:auto val="1"/>
        <c:lblAlgn val="ctr"/>
        <c:lblOffset val="100"/>
        <c:tickLblSkip val="1"/>
        <c:tickMarkSkip val="1"/>
        <c:noMultiLvlLbl val="0"/>
      </c:catAx>
      <c:valAx>
        <c:axId val="553545592"/>
        <c:scaling>
          <c:orientation val="minMax"/>
          <c:min val="-10"/>
        </c:scaling>
        <c:delete val="0"/>
        <c:axPos val="l"/>
        <c:majorGridlines>
          <c:spPr>
            <a:ln w="3175">
              <a:solidFill>
                <a:sysClr val="window" lastClr="FFFFFF">
                  <a:lumMod val="75000"/>
                </a:sysClr>
              </a:solidFill>
              <a:prstDash val="sysDot"/>
            </a:ln>
          </c:spPr>
        </c:majorGridlines>
        <c:numFmt formatCode="#,##0.0" sourceLinked="0"/>
        <c:majorTickMark val="out"/>
        <c:minorTickMark val="none"/>
        <c:tickLblPos val="nextTo"/>
        <c:spPr>
          <a:ln w="3175">
            <a:solidFill>
              <a:srgbClr val="000000"/>
            </a:solidFill>
            <a:prstDash val="solid"/>
          </a:ln>
        </c:spPr>
        <c:txPr>
          <a:bodyPr rot="0" vert="horz"/>
          <a:lstStyle/>
          <a:p>
            <a:pPr>
              <a:defRPr/>
            </a:pPr>
            <a:endParaRPr lang="sk-SK"/>
          </a:p>
        </c:txPr>
        <c:crossAx val="553544024"/>
        <c:crosses val="autoZero"/>
        <c:crossBetween val="between"/>
      </c:valAx>
      <c:spPr>
        <a:noFill/>
        <a:ln w="25400">
          <a:noFill/>
        </a:ln>
      </c:spPr>
    </c:plotArea>
    <c:legend>
      <c:legendPos val="r"/>
      <c:layout>
        <c:manualLayout>
          <c:xMode val="edge"/>
          <c:yMode val="edge"/>
          <c:x val="0.40106715892773032"/>
          <c:y val="4.0114613180515762E-2"/>
          <c:w val="0.59097301018530346"/>
          <c:h val="0.246483315660041"/>
        </c:manualLayout>
      </c:layout>
      <c:overlay val="0"/>
      <c:spPr>
        <a:noFill/>
        <a:ln w="25400">
          <a:noFill/>
        </a:ln>
      </c:spPr>
      <c:txPr>
        <a:bodyPr/>
        <a:lstStyle/>
        <a:p>
          <a:pPr>
            <a:defRPr sz="600"/>
          </a:pPr>
          <a:endParaRPr lang="sk-SK"/>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Narrow" panose="020B0606020202030204" pitchFamily="34" charset="0"/>
          <a:ea typeface="Arial"/>
          <a:cs typeface="Arial"/>
        </a:defRPr>
      </a:pPr>
      <a:endParaRPr lang="sk-SK"/>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2C9ADC"/>
              </a:solidFill>
              <a:ln w="19050">
                <a:solidFill>
                  <a:schemeClr val="lt1"/>
                </a:solidFill>
              </a:ln>
              <a:effectLst/>
            </c:spPr>
            <c:extLst xmlns:c16r2="http://schemas.microsoft.com/office/drawing/2015/06/chart">
              <c:ext xmlns:c16="http://schemas.microsoft.com/office/drawing/2014/chart" uri="{C3380CC4-5D6E-409C-BE32-E72D297353CC}">
                <c16:uniqueId val="{00000001-BFE9-4AE4-BE10-AB11F00A0151}"/>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BFE9-4AE4-BE10-AB11F00A0151}"/>
              </c:ext>
            </c:extLst>
          </c:dPt>
          <c:dPt>
            <c:idx val="2"/>
            <c:bubble3D val="0"/>
            <c:spPr>
              <a:solidFill>
                <a:srgbClr val="818386"/>
              </a:solidFill>
              <a:ln w="19050">
                <a:solidFill>
                  <a:schemeClr val="lt1"/>
                </a:solidFill>
              </a:ln>
              <a:effectLst/>
            </c:spPr>
            <c:extLst xmlns:c16r2="http://schemas.microsoft.com/office/drawing/2015/06/chart">
              <c:ext xmlns:c16="http://schemas.microsoft.com/office/drawing/2014/chart" uri="{C3380CC4-5D6E-409C-BE32-E72D297353CC}">
                <c16:uniqueId val="{00000005-BFE9-4AE4-BE10-AB11F00A0151}"/>
              </c:ext>
            </c:extLst>
          </c:dPt>
          <c:dLbls>
            <c:dLbl>
              <c:idx val="0"/>
              <c:layout>
                <c:manualLayout>
                  <c:x val="-2.2886898863043416E-3"/>
                  <c:y val="-0.29086906254183453"/>
                </c:manualLayout>
              </c:layout>
              <c:tx>
                <c:rich>
                  <a:bodyPr/>
                  <a:lstStyle/>
                  <a:p>
                    <a:fld id="{D12D6094-CA93-4F3D-8978-C97BD929D3AF}" type="CATEGORYNAME">
                      <a:rPr lang="en-US"/>
                      <a:pPr/>
                      <a:t>[NÁZOV KATEGÓRIE]</a:t>
                    </a:fld>
                    <a:r>
                      <a:rPr lang="en-US" baseline="0"/>
                      <a:t>; </a:t>
                    </a:r>
                  </a:p>
                  <a:p>
                    <a:fld id="{90545628-9D49-41F5-9929-B7BB67465ADF}" type="VALUE">
                      <a:rPr lang="en-US" baseline="0"/>
                      <a:pPr/>
                      <a:t>[HODNOTA]</a:t>
                    </a:fld>
                    <a:endParaRPr lang="sk-SK"/>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FE9-4AE4-BE10-AB11F00A0151}"/>
                </c:ext>
                <c:ext xmlns:c15="http://schemas.microsoft.com/office/drawing/2012/chart" uri="{CE6537A1-D6FC-4f65-9D91-7224C49458BB}">
                  <c15:layout>
                    <c:manualLayout>
                      <c:w val="0.29254076650029731"/>
                      <c:h val="0.28207134077328427"/>
                    </c:manualLayout>
                  </c15:layout>
                  <c15:dlblFieldTable/>
                  <c15:showDataLabelsRange val="0"/>
                </c:ext>
              </c:extLst>
            </c:dLbl>
            <c:dLbl>
              <c:idx val="1"/>
              <c:layout>
                <c:manualLayout>
                  <c:x val="-1.4500717594977411E-2"/>
                  <c:y val="-2.7150385181759659E-2"/>
                </c:manualLayout>
              </c:layout>
              <c:tx>
                <c:rich>
                  <a:bodyPr/>
                  <a:lstStyle/>
                  <a:p>
                    <a:fld id="{5F4236F6-94F6-4FAF-A085-2671068419DA}" type="CATEGORYNAME">
                      <a:rPr lang="en-US"/>
                      <a:pPr/>
                      <a:t>[NÁZOV KATEGÓRIE]</a:t>
                    </a:fld>
                    <a:r>
                      <a:rPr lang="en-US" baseline="0"/>
                      <a:t>; </a:t>
                    </a:r>
                  </a:p>
                  <a:p>
                    <a:fld id="{EA15B128-F7E9-41CC-99FF-177FCEA4E66D}" type="VALUE">
                      <a:rPr lang="en-US" baseline="0"/>
                      <a:pPr/>
                      <a:t>[HODNOTA]</a:t>
                    </a:fld>
                    <a:endParaRPr lang="sk-SK"/>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FE9-4AE4-BE10-AB11F00A0151}"/>
                </c:ext>
                <c:ext xmlns:c15="http://schemas.microsoft.com/office/drawing/2012/chart" uri="{CE6537A1-D6FC-4f65-9D91-7224C49458BB}">
                  <c15:layout>
                    <c:manualLayout>
                      <c:w val="0.28455395592713378"/>
                      <c:h val="0.2100466112524188"/>
                    </c:manualLayout>
                  </c15:layout>
                  <c15:dlblFieldTable/>
                  <c15:showDataLabelsRange val="0"/>
                </c:ext>
              </c:extLst>
            </c:dLbl>
            <c:dLbl>
              <c:idx val="2"/>
              <c:layout>
                <c:manualLayout>
                  <c:x val="1.1746157588425005E-3"/>
                  <c:y val="-9.3978994511312058E-2"/>
                </c:manualLayout>
              </c:layout>
              <c:tx>
                <c:rich>
                  <a:bodyPr/>
                  <a:lstStyle/>
                  <a:p>
                    <a:fld id="{012D7C42-6988-4F17-BF71-6E4EE782461F}" type="CATEGORYNAME">
                      <a:rPr lang="en-US"/>
                      <a:pPr/>
                      <a:t>[NÁZOV KATEGÓRIE]</a:t>
                    </a:fld>
                    <a:r>
                      <a:rPr lang="en-US" baseline="0"/>
                      <a:t>;</a:t>
                    </a:r>
                  </a:p>
                  <a:p>
                    <a:fld id="{8C7A8C81-ACF4-4A18-B73D-05F03BD1DE6C}" type="VALUE">
                      <a:rPr lang="en-US" baseline="0"/>
                      <a:pPr/>
                      <a:t>[HODNOTA]</a:t>
                    </a:fld>
                    <a:endParaRPr lang="sk-SK"/>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FE9-4AE4-BE10-AB11F00A0151}"/>
                </c:ext>
                <c:ext xmlns:c15="http://schemas.microsoft.com/office/drawing/2012/chart" uri="{CE6537A1-D6FC-4f65-9D91-7224C49458BB}">
                  <c15:layout>
                    <c:manualLayout>
                      <c:w val="0.32204580262707433"/>
                      <c:h val="0.30195134418089548"/>
                    </c:manualLayout>
                  </c15:layout>
                  <c15:dlblFieldTable/>
                  <c15:showDataLabelsRange val="0"/>
                </c:ext>
              </c:extLst>
            </c:dLbl>
            <c:numFmt formatCode="#,##0\ _€"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25000"/>
                      </a:schemeClr>
                    </a:solidFill>
                    <a:latin typeface="Arial Narrow" panose="020B0606020202030204" pitchFamily="34" charset="0"/>
                    <a:ea typeface="+mn-ea"/>
                    <a:cs typeface="+mn-cs"/>
                  </a:defRPr>
                </a:pPr>
                <a:endParaRPr lang="sk-SK"/>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Sumár!$B$80:$B$82</c:f>
              <c:strCache>
                <c:ptCount val="3"/>
                <c:pt idx="0">
                  <c:v>Inštitucionálna starostlivosť</c:v>
                </c:pt>
                <c:pt idx="1">
                  <c:v>Formálna DS</c:v>
                </c:pt>
                <c:pt idx="2">
                  <c:v>Neformálna DS - peňažné príspevky</c:v>
                </c:pt>
              </c:strCache>
            </c:strRef>
          </c:cat>
          <c:val>
            <c:numRef>
              <c:f>Sumár!$C$80:$C$82</c:f>
              <c:numCache>
                <c:formatCode>"€"#,##0_);\("€"#,##0\)</c:formatCode>
                <c:ptCount val="3"/>
                <c:pt idx="0">
                  <c:v>365.70934900000003</c:v>
                </c:pt>
                <c:pt idx="1">
                  <c:v>69.431815840000056</c:v>
                </c:pt>
                <c:pt idx="2">
                  <c:v>250.51424539499999</c:v>
                </c:pt>
              </c:numCache>
            </c:numRef>
          </c:val>
          <c:extLst xmlns:c16r2="http://schemas.microsoft.com/office/drawing/2015/06/chart">
            <c:ext xmlns:c16="http://schemas.microsoft.com/office/drawing/2014/chart" uri="{C3380CC4-5D6E-409C-BE32-E72D297353CC}">
              <c16:uniqueId val="{00000006-BFE9-4AE4-BE10-AB11F00A015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bg2">
              <a:lumMod val="25000"/>
            </a:schemeClr>
          </a:solidFill>
          <a:latin typeface="Arial Narrow" panose="020B0606020202030204" pitchFamily="34" charset="0"/>
        </a:defRPr>
      </a:pPr>
      <a:endParaRPr lang="sk-SK"/>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17436997626964E-2"/>
          <c:y val="5.5989236111111111E-2"/>
          <c:w val="0.93616132135261021"/>
          <c:h val="0.86336284722222201"/>
        </c:manualLayout>
      </c:layout>
      <c:barChart>
        <c:barDir val="col"/>
        <c:grouping val="clustered"/>
        <c:varyColors val="0"/>
        <c:ser>
          <c:idx val="0"/>
          <c:order val="0"/>
          <c:spPr>
            <a:solidFill>
              <a:srgbClr val="2C9ADC"/>
            </a:solidFill>
          </c:spPr>
          <c:invertIfNegative val="0"/>
          <c:cat>
            <c:strRef>
              <c:f>'Celkové náklady'!$C$39:$C$42</c:f>
              <c:strCache>
                <c:ptCount val="4"/>
                <c:pt idx="0">
                  <c:v>Inštitucionálna starostlivosť</c:v>
                </c:pt>
                <c:pt idx="1">
                  <c:v>Formálna DS</c:v>
                </c:pt>
                <c:pt idx="2">
                  <c:v>Formálna DS a peňažné príspevky</c:v>
                </c:pt>
                <c:pt idx="3">
                  <c:v>Neformálna DS - Peňažné príspevky</c:v>
                </c:pt>
              </c:strCache>
            </c:strRef>
          </c:cat>
          <c:val>
            <c:numRef>
              <c:f>'Celkové náklady'!$D$39:$D$42</c:f>
              <c:numCache>
                <c:formatCode>0%</c:formatCode>
                <c:ptCount val="4"/>
                <c:pt idx="0">
                  <c:v>0.28267665966208683</c:v>
                </c:pt>
                <c:pt idx="1">
                  <c:v>0.20070840312215865</c:v>
                </c:pt>
                <c:pt idx="2">
                  <c:v>6.1423451278421505E-2</c:v>
                </c:pt>
                <c:pt idx="3">
                  <c:v>0.455191485937333</c:v>
                </c:pt>
              </c:numCache>
            </c:numRef>
          </c:val>
          <c:extLst xmlns:c16r2="http://schemas.microsoft.com/office/drawing/2015/06/chart">
            <c:ext xmlns:c16="http://schemas.microsoft.com/office/drawing/2014/chart" uri="{C3380CC4-5D6E-409C-BE32-E72D297353CC}">
              <c16:uniqueId val="{00000000-7019-4576-A1AA-2CA32D8F98FD}"/>
            </c:ext>
          </c:extLst>
        </c:ser>
        <c:dLbls>
          <c:showLegendKey val="0"/>
          <c:showVal val="0"/>
          <c:showCatName val="0"/>
          <c:showSerName val="0"/>
          <c:showPercent val="0"/>
          <c:showBubbleSize val="0"/>
        </c:dLbls>
        <c:gapWidth val="150"/>
        <c:axId val="554684752"/>
        <c:axId val="554684360"/>
      </c:barChart>
      <c:catAx>
        <c:axId val="554684752"/>
        <c:scaling>
          <c:orientation val="minMax"/>
        </c:scaling>
        <c:delete val="0"/>
        <c:axPos val="b"/>
        <c:numFmt formatCode="General" sourceLinked="1"/>
        <c:majorTickMark val="out"/>
        <c:minorTickMark val="none"/>
        <c:tickLblPos val="nextTo"/>
        <c:crossAx val="554684360"/>
        <c:crosses val="autoZero"/>
        <c:auto val="1"/>
        <c:lblAlgn val="ctr"/>
        <c:lblOffset val="100"/>
        <c:noMultiLvlLbl val="0"/>
      </c:catAx>
      <c:valAx>
        <c:axId val="554684360"/>
        <c:scaling>
          <c:orientation val="minMax"/>
        </c:scaling>
        <c:delete val="0"/>
        <c:axPos val="l"/>
        <c:majorGridlines>
          <c:spPr>
            <a:ln>
              <a:solidFill>
                <a:schemeClr val="bg1">
                  <a:lumMod val="75000"/>
                </a:schemeClr>
              </a:solidFill>
              <a:prstDash val="sysDash"/>
            </a:ln>
          </c:spPr>
        </c:majorGridlines>
        <c:numFmt formatCode="0%" sourceLinked="0"/>
        <c:majorTickMark val="out"/>
        <c:minorTickMark val="none"/>
        <c:tickLblPos val="nextTo"/>
        <c:crossAx val="554684752"/>
        <c:crosses val="autoZero"/>
        <c:crossBetween val="between"/>
      </c:valAx>
    </c:plotArea>
    <c:plotVisOnly val="1"/>
    <c:dispBlanksAs val="gap"/>
    <c:showDLblsOverMax val="0"/>
  </c:chart>
  <c:spPr>
    <a:ln>
      <a:noFill/>
    </a:ln>
  </c:spPr>
  <c:txPr>
    <a:bodyPr/>
    <a:lstStyle/>
    <a:p>
      <a:pPr>
        <a:defRPr sz="800">
          <a:solidFill>
            <a:schemeClr val="bg2">
              <a:lumMod val="25000"/>
            </a:schemeClr>
          </a:solidFill>
          <a:latin typeface="Arial Narrow" panose="020B0606020202030204" pitchFamily="34" charset="0"/>
        </a:defRPr>
      </a:pPr>
      <a:endParaRPr lang="sk-SK"/>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4.2754251951456927E-2"/>
          <c:w val="0.83783660375786362"/>
          <c:h val="0.88268415463005423"/>
        </c:manualLayout>
      </c:layout>
      <c:lineChart>
        <c:grouping val="standard"/>
        <c:varyColors val="0"/>
        <c:ser>
          <c:idx val="3"/>
          <c:order val="0"/>
          <c:tx>
            <c:strRef>
              <c:f>Final!$A$7</c:f>
              <c:strCache>
                <c:ptCount val="1"/>
                <c:pt idx="0">
                  <c:v>SK</c:v>
                </c:pt>
              </c:strCache>
            </c:strRef>
          </c:tx>
          <c:spPr>
            <a:ln w="19050">
              <a:solidFill>
                <a:srgbClr val="0070C0"/>
              </a:solidFill>
              <a:prstDash val="solid"/>
            </a:ln>
          </c:spPr>
          <c:marker>
            <c:symbol val="none"/>
          </c:marker>
          <c:cat>
            <c:numRef>
              <c:f>Final!$B$6:$U$6</c:f>
              <c:numCache>
                <c:formatCode>0</c:formatCode>
                <c:ptCount val="8"/>
                <c:pt idx="0">
                  <c:v>2011</c:v>
                </c:pt>
                <c:pt idx="1">
                  <c:v>2012</c:v>
                </c:pt>
                <c:pt idx="2">
                  <c:v>2013</c:v>
                </c:pt>
                <c:pt idx="3">
                  <c:v>2014</c:v>
                </c:pt>
                <c:pt idx="4">
                  <c:v>2015</c:v>
                </c:pt>
                <c:pt idx="5">
                  <c:v>2016</c:v>
                </c:pt>
                <c:pt idx="6">
                  <c:v>2017</c:v>
                </c:pt>
                <c:pt idx="7">
                  <c:v>2018</c:v>
                </c:pt>
              </c:numCache>
            </c:numRef>
          </c:cat>
          <c:val>
            <c:numRef>
              <c:f>Final!$B$7:$U$7</c:f>
              <c:numCache>
                <c:formatCode>_-* #\ ##0\ _€_-;\-* #\ ##0\ _€_-;_-* "-"??\ _€_-;_-@_-</c:formatCode>
                <c:ptCount val="8"/>
                <c:pt idx="0">
                  <c:v>181.97</c:v>
                </c:pt>
                <c:pt idx="1">
                  <c:v>182.3</c:v>
                </c:pt>
                <c:pt idx="2">
                  <c:v>183.31</c:v>
                </c:pt>
                <c:pt idx="3">
                  <c:v>170.9</c:v>
                </c:pt>
                <c:pt idx="4">
                  <c:v>176.93</c:v>
                </c:pt>
                <c:pt idx="5">
                  <c:v>168.31</c:v>
                </c:pt>
                <c:pt idx="6">
                  <c:v>173.71</c:v>
                </c:pt>
                <c:pt idx="7">
                  <c:v>165.32</c:v>
                </c:pt>
              </c:numCache>
            </c:numRef>
          </c:val>
          <c:smooth val="0"/>
          <c:extLst xmlns:c16r2="http://schemas.microsoft.com/office/drawing/2015/06/chart">
            <c:ext xmlns:c16="http://schemas.microsoft.com/office/drawing/2014/chart" uri="{C3380CC4-5D6E-409C-BE32-E72D297353CC}">
              <c16:uniqueId val="{00000000-6D02-4136-8999-316827533667}"/>
            </c:ext>
          </c:extLst>
        </c:ser>
        <c:ser>
          <c:idx val="5"/>
          <c:order val="1"/>
          <c:tx>
            <c:strRef>
              <c:f>Final!$A$8</c:f>
              <c:strCache>
                <c:ptCount val="1"/>
                <c:pt idx="0">
                  <c:v>V3</c:v>
                </c:pt>
              </c:strCache>
            </c:strRef>
          </c:tx>
          <c:spPr>
            <a:ln w="19050">
              <a:solidFill>
                <a:srgbClr val="00B0F0"/>
              </a:solidFill>
              <a:prstDash val="solid"/>
            </a:ln>
          </c:spPr>
          <c:marker>
            <c:symbol val="none"/>
          </c:marker>
          <c:cat>
            <c:numRef>
              <c:f>Final!$B$6:$U$6</c:f>
              <c:numCache>
                <c:formatCode>0</c:formatCode>
                <c:ptCount val="8"/>
                <c:pt idx="0">
                  <c:v>2011</c:v>
                </c:pt>
                <c:pt idx="1">
                  <c:v>2012</c:v>
                </c:pt>
                <c:pt idx="2">
                  <c:v>2013</c:v>
                </c:pt>
                <c:pt idx="3">
                  <c:v>2014</c:v>
                </c:pt>
                <c:pt idx="4">
                  <c:v>2015</c:v>
                </c:pt>
                <c:pt idx="5">
                  <c:v>2016</c:v>
                </c:pt>
                <c:pt idx="6">
                  <c:v>2017</c:v>
                </c:pt>
                <c:pt idx="7">
                  <c:v>2018</c:v>
                </c:pt>
              </c:numCache>
            </c:numRef>
          </c:cat>
          <c:val>
            <c:numRef>
              <c:f>Final!$B$8:$U$8</c:f>
              <c:numCache>
                <c:formatCode>_-* #\ ##0\ _€_-;\-* #\ ##0\ _€_-;_-* "-"??\ _€_-;_-@_-</c:formatCode>
                <c:ptCount val="8"/>
                <c:pt idx="0">
                  <c:v>164.79</c:v>
                </c:pt>
                <c:pt idx="1">
                  <c:v>161.63</c:v>
                </c:pt>
                <c:pt idx="2">
                  <c:v>156.71333333333334</c:v>
                </c:pt>
                <c:pt idx="3">
                  <c:v>148.48000000000002</c:v>
                </c:pt>
                <c:pt idx="4">
                  <c:v>150.12666666666667</c:v>
                </c:pt>
                <c:pt idx="5">
                  <c:v>144.65</c:v>
                </c:pt>
                <c:pt idx="6">
                  <c:v>146.06333333333333</c:v>
                </c:pt>
                <c:pt idx="7">
                  <c:v>144.4</c:v>
                </c:pt>
              </c:numCache>
            </c:numRef>
          </c:val>
          <c:smooth val="0"/>
          <c:extLst xmlns:c16r2="http://schemas.microsoft.com/office/drawing/2015/06/chart">
            <c:ext xmlns:c16="http://schemas.microsoft.com/office/drawing/2014/chart" uri="{C3380CC4-5D6E-409C-BE32-E72D297353CC}">
              <c16:uniqueId val="{00000001-6D02-4136-8999-316827533667}"/>
            </c:ext>
          </c:extLst>
        </c:ser>
        <c:ser>
          <c:idx val="0"/>
          <c:order val="2"/>
          <c:tx>
            <c:strRef>
              <c:f>Final!$A$9</c:f>
              <c:strCache>
                <c:ptCount val="1"/>
                <c:pt idx="0">
                  <c:v>EU27</c:v>
                </c:pt>
              </c:strCache>
            </c:strRef>
          </c:tx>
          <c:spPr>
            <a:ln w="19050">
              <a:solidFill>
                <a:srgbClr val="002060"/>
              </a:solidFill>
              <a:prstDash val="dash"/>
            </a:ln>
          </c:spPr>
          <c:marker>
            <c:symbol val="none"/>
          </c:marker>
          <c:dPt>
            <c:idx val="2"/>
            <c:bubble3D val="0"/>
            <c:extLst xmlns:c16r2="http://schemas.microsoft.com/office/drawing/2015/06/chart">
              <c:ext xmlns:c16="http://schemas.microsoft.com/office/drawing/2014/chart" uri="{C3380CC4-5D6E-409C-BE32-E72D297353CC}">
                <c16:uniqueId val="{00000002-6D02-4136-8999-316827533667}"/>
              </c:ext>
            </c:extLst>
          </c:dPt>
          <c:cat>
            <c:numRef>
              <c:f>Final!$B$6:$U$6</c:f>
              <c:numCache>
                <c:formatCode>0</c:formatCode>
                <c:ptCount val="8"/>
                <c:pt idx="0">
                  <c:v>2011</c:v>
                </c:pt>
                <c:pt idx="1">
                  <c:v>2012</c:v>
                </c:pt>
                <c:pt idx="2">
                  <c:v>2013</c:v>
                </c:pt>
                <c:pt idx="3">
                  <c:v>2014</c:v>
                </c:pt>
                <c:pt idx="4">
                  <c:v>2015</c:v>
                </c:pt>
                <c:pt idx="5">
                  <c:v>2016</c:v>
                </c:pt>
                <c:pt idx="6">
                  <c:v>2017</c:v>
                </c:pt>
                <c:pt idx="7">
                  <c:v>2018</c:v>
                </c:pt>
              </c:numCache>
            </c:numRef>
          </c:cat>
          <c:val>
            <c:numRef>
              <c:f>Final!$B$9:$U$9</c:f>
              <c:numCache>
                <c:formatCode>_-* #\ ##0\ _€_-;\-* #\ ##0\ _€_-;_-* "-"??\ _€_-;_-@_-</c:formatCode>
                <c:ptCount val="8"/>
                <c:pt idx="0">
                  <c:v>123.40666666666668</c:v>
                </c:pt>
                <c:pt idx="1">
                  <c:v>121.79518518518518</c:v>
                </c:pt>
                <c:pt idx="2">
                  <c:v>117.37629629629627</c:v>
                </c:pt>
                <c:pt idx="3">
                  <c:v>113.30444444444444</c:v>
                </c:pt>
                <c:pt idx="4">
                  <c:v>114.32259259259257</c:v>
                </c:pt>
                <c:pt idx="5">
                  <c:v>110.76185185185184</c:v>
                </c:pt>
                <c:pt idx="6">
                  <c:v>110.57307692307693</c:v>
                </c:pt>
                <c:pt idx="7">
                  <c:v>109.42846153846155</c:v>
                </c:pt>
              </c:numCache>
            </c:numRef>
          </c:val>
          <c:smooth val="0"/>
          <c:extLst xmlns:c16r2="http://schemas.microsoft.com/office/drawing/2015/06/chart">
            <c:ext xmlns:c16="http://schemas.microsoft.com/office/drawing/2014/chart" uri="{C3380CC4-5D6E-409C-BE32-E72D297353CC}">
              <c16:uniqueId val="{00000003-6D02-4136-8999-316827533667}"/>
            </c:ext>
          </c:extLst>
        </c:ser>
        <c:ser>
          <c:idx val="1"/>
          <c:order val="3"/>
          <c:tx>
            <c:strRef>
              <c:f>Final!$A$10</c:f>
              <c:strCache>
                <c:ptCount val="1"/>
                <c:pt idx="0">
                  <c:v>EU14</c:v>
                </c:pt>
              </c:strCache>
            </c:strRef>
          </c:tx>
          <c:spPr>
            <a:ln w="19050">
              <a:solidFill>
                <a:sysClr val="window" lastClr="FFFFFF">
                  <a:lumMod val="75000"/>
                </a:sysClr>
              </a:solidFill>
            </a:ln>
          </c:spPr>
          <c:marker>
            <c:symbol val="none"/>
          </c:marker>
          <c:cat>
            <c:numRef>
              <c:f>Final!$B$6:$U$6</c:f>
              <c:numCache>
                <c:formatCode>0</c:formatCode>
                <c:ptCount val="8"/>
                <c:pt idx="0">
                  <c:v>2011</c:v>
                </c:pt>
                <c:pt idx="1">
                  <c:v>2012</c:v>
                </c:pt>
                <c:pt idx="2">
                  <c:v>2013</c:v>
                </c:pt>
                <c:pt idx="3">
                  <c:v>2014</c:v>
                </c:pt>
                <c:pt idx="4">
                  <c:v>2015</c:v>
                </c:pt>
                <c:pt idx="5">
                  <c:v>2016</c:v>
                </c:pt>
                <c:pt idx="6">
                  <c:v>2017</c:v>
                </c:pt>
                <c:pt idx="7">
                  <c:v>2018</c:v>
                </c:pt>
              </c:numCache>
            </c:numRef>
          </c:cat>
          <c:val>
            <c:numRef>
              <c:f>Final!$B$10:$U$10</c:f>
              <c:numCache>
                <c:formatCode>_-* #\ ##0\ _€_-;\-* #\ ##0\ _€_-;_-* "-"??\ _€_-;_-@_-</c:formatCode>
                <c:ptCount val="8"/>
                <c:pt idx="0">
                  <c:v>78.371333333333325</c:v>
                </c:pt>
                <c:pt idx="1">
                  <c:v>76.616</c:v>
                </c:pt>
                <c:pt idx="2">
                  <c:v>74.647333333333336</c:v>
                </c:pt>
                <c:pt idx="3">
                  <c:v>71.283333333333331</c:v>
                </c:pt>
                <c:pt idx="4">
                  <c:v>71.8</c:v>
                </c:pt>
                <c:pt idx="5">
                  <c:v>70.431333333333342</c:v>
                </c:pt>
                <c:pt idx="6">
                  <c:v>64.577333333333343</c:v>
                </c:pt>
                <c:pt idx="7">
                  <c:v>63.423999999999999</c:v>
                </c:pt>
              </c:numCache>
            </c:numRef>
          </c:val>
          <c:smooth val="0"/>
          <c:extLst xmlns:c16r2="http://schemas.microsoft.com/office/drawing/2015/06/chart">
            <c:ext xmlns:c16="http://schemas.microsoft.com/office/drawing/2014/chart" uri="{C3380CC4-5D6E-409C-BE32-E72D297353CC}">
              <c16:uniqueId val="{00000004-6D02-4136-8999-316827533667}"/>
            </c:ext>
          </c:extLst>
        </c:ser>
        <c:dLbls>
          <c:showLegendKey val="0"/>
          <c:showVal val="0"/>
          <c:showCatName val="0"/>
          <c:showSerName val="0"/>
          <c:showPercent val="0"/>
          <c:showBubbleSize val="0"/>
        </c:dLbls>
        <c:smooth val="0"/>
        <c:axId val="554683968"/>
        <c:axId val="554683184"/>
        <c:extLst xmlns:c16r2="http://schemas.microsoft.com/office/drawing/2015/06/chart">
          <c:ext xmlns:c15="http://schemas.microsoft.com/office/drawing/2012/chart" uri="{02D57815-91ED-43cb-92C2-25804820EDAC}">
            <c15:filteredLineSeries>
              <c15:ser>
                <c:idx val="2"/>
                <c:order val="4"/>
                <c:tx>
                  <c:strRef>
                    <c:extLst xmlns:c16r2="http://schemas.microsoft.com/office/drawing/2015/06/chart">
                      <c:ext uri="{02D57815-91ED-43cb-92C2-25804820EDAC}">
                        <c15:formulaRef>
                          <c15:sqref>Final!$A$11</c15:sqref>
                        </c15:formulaRef>
                      </c:ext>
                    </c:extLst>
                    <c:strCache>
                      <c:ptCount val="1"/>
                      <c:pt idx="0">
                        <c:v>cieľ</c:v>
                      </c:pt>
                    </c:strCache>
                  </c:strRef>
                </c:tx>
                <c:marker>
                  <c:symbol val="none"/>
                </c:marker>
                <c:cat>
                  <c:numRef>
                    <c:extLst xmlns:c16r2="http://schemas.microsoft.com/office/drawing/2015/06/chart">
                      <c:ext uri="{02D57815-91ED-43cb-92C2-25804820EDAC}">
                        <c15:formulaRef>
                          <c15:sqref>Final!$B$6:$U$6</c15:sqref>
                        </c15:formulaRef>
                      </c:ext>
                    </c:extLst>
                    <c:numCache>
                      <c:formatCode>0</c:formatCode>
                      <c:ptCount val="8"/>
                      <c:pt idx="0">
                        <c:v>2011</c:v>
                      </c:pt>
                      <c:pt idx="1">
                        <c:v>2012</c:v>
                      </c:pt>
                      <c:pt idx="2">
                        <c:v>2013</c:v>
                      </c:pt>
                      <c:pt idx="3">
                        <c:v>2014</c:v>
                      </c:pt>
                      <c:pt idx="4">
                        <c:v>2015</c:v>
                      </c:pt>
                      <c:pt idx="5">
                        <c:v>2016</c:v>
                      </c:pt>
                      <c:pt idx="6">
                        <c:v>2017</c:v>
                      </c:pt>
                      <c:pt idx="7">
                        <c:v>2018</c:v>
                      </c:pt>
                    </c:numCache>
                  </c:numRef>
                </c:cat>
                <c:val>
                  <c:numRef>
                    <c:extLst xmlns:c16r2="http://schemas.microsoft.com/office/drawing/2015/06/chart">
                      <c:ext uri="{02D57815-91ED-43cb-92C2-25804820EDAC}">
                        <c15:formulaRef>
                          <c15:sqref>Final!$B$11:$U$11</c15:sqref>
                        </c15:formulaRef>
                      </c:ext>
                    </c:extLst>
                    <c:numCache>
                      <c:formatCode>General</c:formatCode>
                      <c:ptCount val="8"/>
                    </c:numCache>
                  </c:numRef>
                </c:val>
                <c:smooth val="0"/>
                <c:extLst xmlns:c16r2="http://schemas.microsoft.com/office/drawing/2015/06/chart">
                  <c:ext xmlns:c16="http://schemas.microsoft.com/office/drawing/2014/chart" uri="{C3380CC4-5D6E-409C-BE32-E72D297353CC}">
                    <c16:uniqueId val="{00000005-6D02-4136-8999-316827533667}"/>
                  </c:ext>
                </c:extLst>
              </c15:ser>
            </c15:filteredLineSeries>
          </c:ext>
        </c:extLst>
      </c:lineChart>
      <c:catAx>
        <c:axId val="554683968"/>
        <c:scaling>
          <c:orientation val="minMax"/>
        </c:scaling>
        <c:delete val="0"/>
        <c:axPos val="b"/>
        <c:numFmt formatCode="General" sourceLinked="0"/>
        <c:majorTickMark val="out"/>
        <c:minorTickMark val="none"/>
        <c:tickLblPos val="low"/>
        <c:spPr>
          <a:ln>
            <a:solidFill>
              <a:srgbClr val="D9D9D9"/>
            </a:solidFill>
          </a:ln>
        </c:spPr>
        <c:txPr>
          <a:bodyPr rot="0" vert="horz"/>
          <a:lstStyle/>
          <a:p>
            <a:pPr>
              <a:defRPr/>
            </a:pPr>
            <a:endParaRPr lang="sk-SK"/>
          </a:p>
        </c:txPr>
        <c:crossAx val="554683184"/>
        <c:crosses val="autoZero"/>
        <c:auto val="1"/>
        <c:lblAlgn val="ctr"/>
        <c:lblOffset val="100"/>
        <c:noMultiLvlLbl val="0"/>
      </c:catAx>
      <c:valAx>
        <c:axId val="554683184"/>
        <c:scaling>
          <c:orientation val="minMax"/>
          <c:min val="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pPr>
            <a:endParaRPr lang="sk-SK"/>
          </a:p>
        </c:txPr>
        <c:crossAx val="554683968"/>
        <c:crosses val="autoZero"/>
        <c:crossBetween val="between"/>
        <c:majorUnit val="40"/>
      </c:valAx>
    </c:plotArea>
    <c:legend>
      <c:legendPos val="r"/>
      <c:layout>
        <c:manualLayout>
          <c:xMode val="edge"/>
          <c:yMode val="edge"/>
          <c:x val="9.2209331503405295E-2"/>
          <c:y val="0.71457108585408735"/>
          <c:w val="0.90280686789151365"/>
          <c:h val="0.15832822980460776"/>
        </c:manualLayout>
      </c:layout>
      <c:overlay val="1"/>
    </c:legend>
    <c:plotVisOnly val="1"/>
    <c:dispBlanksAs val="gap"/>
    <c:showDLblsOverMax val="0"/>
  </c:chart>
  <c:spPr>
    <a:ln>
      <a:noFill/>
    </a:ln>
  </c:spPr>
  <c:txPr>
    <a:bodyPr/>
    <a:lstStyle/>
    <a:p>
      <a:pPr>
        <a:defRPr sz="900" b="0" i="0" u="none" strike="noStrike" baseline="0">
          <a:solidFill>
            <a:srgbClr val="000000"/>
          </a:solidFill>
          <a:latin typeface="Times New Roman" panose="02020603050405020304" pitchFamily="18" charset="0"/>
          <a:ea typeface="Arial Narrow"/>
          <a:cs typeface="Times New Roman" panose="02020603050405020304" pitchFamily="18" charset="0"/>
        </a:defRPr>
      </a:pPr>
      <a:endParaRPr lang="sk-SK"/>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03334938162311E-2"/>
          <c:y val="3.870967741935484E-2"/>
          <c:w val="0.88366832844119336"/>
          <c:h val="0.8571182795698925"/>
        </c:manualLayout>
      </c:layout>
      <c:lineChart>
        <c:grouping val="standard"/>
        <c:varyColors val="0"/>
        <c:ser>
          <c:idx val="0"/>
          <c:order val="0"/>
          <c:tx>
            <c:strRef>
              <c:f>'rast 15-24 do HK'!$A$19</c:f>
              <c:strCache>
                <c:ptCount val="1"/>
                <c:pt idx="0">
                  <c:v>Verejné výdavky na zdravotníctvo</c:v>
                </c:pt>
              </c:strCache>
            </c:strRef>
          </c:tx>
          <c:spPr>
            <a:ln w="19050" cap="rnd">
              <a:solidFill>
                <a:srgbClr val="00B0F0"/>
              </a:solidFill>
              <a:round/>
            </a:ln>
            <a:effectLst/>
          </c:spPr>
          <c:marker>
            <c:symbol val="none"/>
          </c:marker>
          <c:dPt>
            <c:idx val="7"/>
            <c:marker>
              <c:symbol val="none"/>
            </c:marker>
            <c:bubble3D val="0"/>
            <c:spPr>
              <a:ln w="19050" cap="rnd">
                <a:solidFill>
                  <a:srgbClr val="00B0F0"/>
                </a:solidFill>
                <a:prstDash val="dash"/>
                <a:round/>
              </a:ln>
              <a:effectLst/>
            </c:spPr>
            <c:extLst xmlns:c16r2="http://schemas.microsoft.com/office/drawing/2015/06/chart">
              <c:ext xmlns:c16="http://schemas.microsoft.com/office/drawing/2014/chart" uri="{C3380CC4-5D6E-409C-BE32-E72D297353CC}">
                <c16:uniqueId val="{00000001-97D8-496A-A7B5-1229E3DE17E8}"/>
              </c:ext>
            </c:extLst>
          </c:dPt>
          <c:dPt>
            <c:idx val="8"/>
            <c:marker>
              <c:symbol val="none"/>
            </c:marker>
            <c:bubble3D val="0"/>
            <c:spPr>
              <a:ln w="19050" cap="rnd">
                <a:solidFill>
                  <a:srgbClr val="00B0F0"/>
                </a:solidFill>
                <a:prstDash val="dash"/>
                <a:round/>
              </a:ln>
              <a:effectLst/>
            </c:spPr>
            <c:extLst xmlns:c16r2="http://schemas.microsoft.com/office/drawing/2015/06/chart">
              <c:ext xmlns:c16="http://schemas.microsoft.com/office/drawing/2014/chart" uri="{C3380CC4-5D6E-409C-BE32-E72D297353CC}">
                <c16:uniqueId val="{00000003-97D8-496A-A7B5-1229E3DE17E8}"/>
              </c:ext>
            </c:extLst>
          </c:dPt>
          <c:dPt>
            <c:idx val="9"/>
            <c:marker>
              <c:symbol val="none"/>
            </c:marker>
            <c:bubble3D val="0"/>
            <c:spPr>
              <a:ln w="19050" cap="rnd">
                <a:solidFill>
                  <a:srgbClr val="00B0F0"/>
                </a:solidFill>
                <a:prstDash val="dash"/>
                <a:round/>
              </a:ln>
              <a:effectLst/>
            </c:spPr>
            <c:extLst xmlns:c16r2="http://schemas.microsoft.com/office/drawing/2015/06/chart">
              <c:ext xmlns:c16="http://schemas.microsoft.com/office/drawing/2014/chart" uri="{C3380CC4-5D6E-409C-BE32-E72D297353CC}">
                <c16:uniqueId val="{00000005-97D8-496A-A7B5-1229E3DE17E8}"/>
              </c:ext>
            </c:extLst>
          </c:dPt>
          <c:cat>
            <c:strRef>
              <c:f>'rast 15-24 do HK'!$C$10:$L$10</c:f>
              <c:strCache>
                <c:ptCount val="10"/>
                <c:pt idx="0">
                  <c:v>2015</c:v>
                </c:pt>
                <c:pt idx="1">
                  <c:v>2016</c:v>
                </c:pt>
                <c:pt idx="2">
                  <c:v>2017</c:v>
                </c:pt>
                <c:pt idx="3">
                  <c:v>2018</c:v>
                </c:pt>
                <c:pt idx="4">
                  <c:v>2019</c:v>
                </c:pt>
                <c:pt idx="5">
                  <c:v>2020</c:v>
                </c:pt>
                <c:pt idx="6">
                  <c:v>2021 OS</c:v>
                </c:pt>
                <c:pt idx="7">
                  <c:v>2022 N</c:v>
                </c:pt>
                <c:pt idx="8">
                  <c:v>2023N</c:v>
                </c:pt>
                <c:pt idx="9">
                  <c:v>2024 N</c:v>
                </c:pt>
              </c:strCache>
            </c:strRef>
          </c:cat>
          <c:val>
            <c:numRef>
              <c:f>'rast 15-24 do HK'!$C$22:$L$22</c:f>
              <c:numCache>
                <c:formatCode>0.00</c:formatCode>
                <c:ptCount val="10"/>
                <c:pt idx="0">
                  <c:v>1</c:v>
                </c:pt>
                <c:pt idx="1">
                  <c:v>1.0751363042818232</c:v>
                </c:pt>
                <c:pt idx="2">
                  <c:v>1.0813139988947142</c:v>
                </c:pt>
                <c:pt idx="3">
                  <c:v>1.1944430817387044</c:v>
                </c:pt>
                <c:pt idx="4">
                  <c:v>1.2659153133438636</c:v>
                </c:pt>
                <c:pt idx="5">
                  <c:v>1.300880541866329</c:v>
                </c:pt>
                <c:pt idx="6">
                  <c:v>1.4868752644891126</c:v>
                </c:pt>
                <c:pt idx="7">
                  <c:v>1.4805685221069305</c:v>
                </c:pt>
                <c:pt idx="8">
                  <c:v>1.5967126824026669</c:v>
                </c:pt>
                <c:pt idx="9">
                  <c:v>1.65718579144732</c:v>
                </c:pt>
              </c:numCache>
            </c:numRef>
          </c:val>
          <c:smooth val="0"/>
          <c:extLst xmlns:c16r2="http://schemas.microsoft.com/office/drawing/2015/06/chart">
            <c:ext xmlns:c16="http://schemas.microsoft.com/office/drawing/2014/chart" uri="{C3380CC4-5D6E-409C-BE32-E72D297353CC}">
              <c16:uniqueId val="{00000006-97D8-496A-A7B5-1229E3DE17E8}"/>
            </c:ext>
          </c:extLst>
        </c:ser>
        <c:ser>
          <c:idx val="1"/>
          <c:order val="1"/>
          <c:tx>
            <c:strRef>
              <c:f>'rast 15-24 do HK'!$A$20</c:f>
              <c:strCache>
                <c:ptCount val="1"/>
                <c:pt idx="0">
                  <c:v>HDP (bežné ceny)</c:v>
                </c:pt>
              </c:strCache>
            </c:strRef>
          </c:tx>
          <c:spPr>
            <a:ln w="19050" cap="rnd">
              <a:solidFill>
                <a:sysClr val="windowText" lastClr="000000">
                  <a:lumMod val="50000"/>
                  <a:lumOff val="50000"/>
                </a:sysClr>
              </a:solidFill>
              <a:round/>
            </a:ln>
            <a:effectLst/>
          </c:spPr>
          <c:marker>
            <c:symbol val="none"/>
          </c:marker>
          <c:dPt>
            <c:idx val="6"/>
            <c:marker>
              <c:symbol val="none"/>
            </c:marker>
            <c:bubble3D val="0"/>
            <c:spPr>
              <a:ln w="19050" cap="rnd">
                <a:solidFill>
                  <a:sysClr val="windowText" lastClr="000000">
                    <a:lumMod val="50000"/>
                    <a:lumOff val="50000"/>
                  </a:sysClr>
                </a:solidFill>
                <a:prstDash val="solid"/>
                <a:round/>
              </a:ln>
              <a:effectLst/>
            </c:spPr>
            <c:extLst xmlns:c16r2="http://schemas.microsoft.com/office/drawing/2015/06/chart">
              <c:ext xmlns:c16="http://schemas.microsoft.com/office/drawing/2014/chart" uri="{C3380CC4-5D6E-409C-BE32-E72D297353CC}">
                <c16:uniqueId val="{00000008-97D8-496A-A7B5-1229E3DE17E8}"/>
              </c:ext>
            </c:extLst>
          </c:dPt>
          <c:dPt>
            <c:idx val="7"/>
            <c:marker>
              <c:symbol val="none"/>
            </c:marker>
            <c:bubble3D val="0"/>
            <c:spPr>
              <a:ln w="19050" cap="rnd">
                <a:solidFill>
                  <a:sysClr val="windowText" lastClr="000000">
                    <a:lumMod val="50000"/>
                    <a:lumOff val="50000"/>
                  </a:sysClr>
                </a:solidFill>
                <a:prstDash val="sysDot"/>
                <a:round/>
              </a:ln>
              <a:effectLst/>
            </c:spPr>
            <c:extLst xmlns:c16r2="http://schemas.microsoft.com/office/drawing/2015/06/chart">
              <c:ext xmlns:c16="http://schemas.microsoft.com/office/drawing/2014/chart" uri="{C3380CC4-5D6E-409C-BE32-E72D297353CC}">
                <c16:uniqueId val="{0000000A-97D8-496A-A7B5-1229E3DE17E8}"/>
              </c:ext>
            </c:extLst>
          </c:dPt>
          <c:dPt>
            <c:idx val="8"/>
            <c:marker>
              <c:symbol val="none"/>
            </c:marker>
            <c:bubble3D val="0"/>
            <c:spPr>
              <a:ln w="19050" cap="rnd">
                <a:solidFill>
                  <a:sysClr val="windowText" lastClr="000000">
                    <a:lumMod val="50000"/>
                    <a:lumOff val="50000"/>
                  </a:sysClr>
                </a:solidFill>
                <a:prstDash val="sysDot"/>
                <a:round/>
              </a:ln>
              <a:effectLst/>
            </c:spPr>
            <c:extLst xmlns:c16r2="http://schemas.microsoft.com/office/drawing/2015/06/chart">
              <c:ext xmlns:c16="http://schemas.microsoft.com/office/drawing/2014/chart" uri="{C3380CC4-5D6E-409C-BE32-E72D297353CC}">
                <c16:uniqueId val="{0000000C-97D8-496A-A7B5-1229E3DE17E8}"/>
              </c:ext>
            </c:extLst>
          </c:dPt>
          <c:dPt>
            <c:idx val="9"/>
            <c:marker>
              <c:symbol val="none"/>
            </c:marker>
            <c:bubble3D val="0"/>
            <c:spPr>
              <a:ln w="19050" cap="rnd">
                <a:solidFill>
                  <a:sysClr val="windowText" lastClr="000000">
                    <a:lumMod val="50000"/>
                    <a:lumOff val="50000"/>
                  </a:sysClr>
                </a:solidFill>
                <a:prstDash val="sysDot"/>
                <a:round/>
              </a:ln>
              <a:effectLst/>
            </c:spPr>
            <c:extLst xmlns:c16r2="http://schemas.microsoft.com/office/drawing/2015/06/chart">
              <c:ext xmlns:c16="http://schemas.microsoft.com/office/drawing/2014/chart" uri="{C3380CC4-5D6E-409C-BE32-E72D297353CC}">
                <c16:uniqueId val="{0000000E-97D8-496A-A7B5-1229E3DE17E8}"/>
              </c:ext>
            </c:extLst>
          </c:dPt>
          <c:cat>
            <c:strRef>
              <c:f>'rast 15-24 do HK'!$C$10:$L$10</c:f>
              <c:strCache>
                <c:ptCount val="10"/>
                <c:pt idx="0">
                  <c:v>2015</c:v>
                </c:pt>
                <c:pt idx="1">
                  <c:v>2016</c:v>
                </c:pt>
                <c:pt idx="2">
                  <c:v>2017</c:v>
                </c:pt>
                <c:pt idx="3">
                  <c:v>2018</c:v>
                </c:pt>
                <c:pt idx="4">
                  <c:v>2019</c:v>
                </c:pt>
                <c:pt idx="5">
                  <c:v>2020</c:v>
                </c:pt>
                <c:pt idx="6">
                  <c:v>2021 OS</c:v>
                </c:pt>
                <c:pt idx="7">
                  <c:v>2022 N</c:v>
                </c:pt>
                <c:pt idx="8">
                  <c:v>2023N</c:v>
                </c:pt>
                <c:pt idx="9">
                  <c:v>2024 N</c:v>
                </c:pt>
              </c:strCache>
            </c:strRef>
          </c:cat>
          <c:val>
            <c:numRef>
              <c:f>'rast 15-24 do HK'!$C$20:$L$20</c:f>
              <c:numCache>
                <c:formatCode>0.00</c:formatCode>
                <c:ptCount val="10"/>
                <c:pt idx="0">
                  <c:v>1</c:v>
                </c:pt>
                <c:pt idx="1">
                  <c:v>1.0160959534880618</c:v>
                </c:pt>
                <c:pt idx="2">
                  <c:v>1.0591853475680919</c:v>
                </c:pt>
                <c:pt idx="3">
                  <c:v>1.1202133112652157</c:v>
                </c:pt>
                <c:pt idx="4">
                  <c:v>1.1771758505750534</c:v>
                </c:pt>
                <c:pt idx="5">
                  <c:v>1.1477764821801504</c:v>
                </c:pt>
                <c:pt idx="6">
                  <c:v>1.2145938893676778</c:v>
                </c:pt>
                <c:pt idx="7">
                  <c:v>1.3155093181139719</c:v>
                </c:pt>
                <c:pt idx="8">
                  <c:v>1.4196426553235375</c:v>
                </c:pt>
                <c:pt idx="9">
                  <c:v>1.46079507483286</c:v>
                </c:pt>
              </c:numCache>
            </c:numRef>
          </c:val>
          <c:smooth val="0"/>
          <c:extLst xmlns:c16r2="http://schemas.microsoft.com/office/drawing/2015/06/chart">
            <c:ext xmlns:c16="http://schemas.microsoft.com/office/drawing/2014/chart" uri="{C3380CC4-5D6E-409C-BE32-E72D297353CC}">
              <c16:uniqueId val="{0000000F-97D8-496A-A7B5-1229E3DE17E8}"/>
            </c:ext>
          </c:extLst>
        </c:ser>
        <c:dLbls>
          <c:showLegendKey val="0"/>
          <c:showVal val="0"/>
          <c:showCatName val="0"/>
          <c:showSerName val="0"/>
          <c:showPercent val="0"/>
          <c:showBubbleSize val="0"/>
        </c:dLbls>
        <c:smooth val="0"/>
        <c:axId val="554682400"/>
        <c:axId val="554682008"/>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'rast 15-24 do HK'!$A$21</c15:sqref>
                        </c15:formulaRef>
                      </c:ext>
                    </c:extLst>
                    <c:strCache>
                      <c:ptCount val="1"/>
                      <c:pt idx="0">
                        <c:v>N 2022 (Verejné výdavky bez rezervy na COVID-19)</c:v>
                      </c:pt>
                    </c:strCache>
                  </c:strRef>
                </c:tx>
                <c:spPr>
                  <a:ln w="28575" cap="rnd">
                    <a:noFill/>
                    <a:prstDash val="sysDash"/>
                    <a:round/>
                  </a:ln>
                  <a:effectLst/>
                </c:spPr>
                <c:marker>
                  <c:symbol val="none"/>
                </c:marker>
                <c:dPt>
                  <c:idx val="2"/>
                  <c:marker>
                    <c:symbol val="none"/>
                  </c:marker>
                  <c:bubble3D val="0"/>
                  <c:extLst xmlns:c16r2="http://schemas.microsoft.com/office/drawing/2015/06/chart">
                    <c:ext xmlns:c16="http://schemas.microsoft.com/office/drawing/2014/chart" uri="{C3380CC4-5D6E-409C-BE32-E72D297353CC}">
                      <c16:uniqueId val="{00000010-97D8-496A-A7B5-1229E3DE17E8}"/>
                    </c:ext>
                  </c:extLst>
                </c:dPt>
                <c:dPt>
                  <c:idx val="3"/>
                  <c:marker>
                    <c:symbol val="none"/>
                  </c:marker>
                  <c:bubble3D val="0"/>
                  <c:extLst xmlns:c16r2="http://schemas.microsoft.com/office/drawing/2015/06/chart">
                    <c:ext xmlns:c16="http://schemas.microsoft.com/office/drawing/2014/chart" uri="{C3380CC4-5D6E-409C-BE32-E72D297353CC}">
                      <c16:uniqueId val="{00000011-97D8-496A-A7B5-1229E3DE17E8}"/>
                    </c:ext>
                  </c:extLst>
                </c:dPt>
                <c:dPt>
                  <c:idx val="5"/>
                  <c:marker>
                    <c:symbol val="none"/>
                  </c:marker>
                  <c:bubble3D val="0"/>
                  <c:extLst xmlns:c16r2="http://schemas.microsoft.com/office/drawing/2015/06/chart">
                    <c:ext xmlns:c16="http://schemas.microsoft.com/office/drawing/2014/chart" uri="{C3380CC4-5D6E-409C-BE32-E72D297353CC}">
                      <c16:uniqueId val="{00000012-97D8-496A-A7B5-1229E3DE17E8}"/>
                    </c:ext>
                  </c:extLst>
                </c:dPt>
                <c:dPt>
                  <c:idx val="6"/>
                  <c:marker>
                    <c:symbol val="none"/>
                  </c:marker>
                  <c:bubble3D val="0"/>
                  <c:extLst xmlns:c16r2="http://schemas.microsoft.com/office/drawing/2015/06/chart">
                    <c:ext xmlns:c16="http://schemas.microsoft.com/office/drawing/2014/chart" uri="{C3380CC4-5D6E-409C-BE32-E72D297353CC}">
                      <c16:uniqueId val="{00000013-97D8-496A-A7B5-1229E3DE17E8}"/>
                    </c:ext>
                  </c:extLst>
                </c:dPt>
                <c:dPt>
                  <c:idx val="8"/>
                  <c:marker>
                    <c:symbol val="none"/>
                  </c:marker>
                  <c:bubble3D val="0"/>
                  <c:spPr>
                    <a:ln w="19050" cap="rnd">
                      <a:noFill/>
                      <a:prstDash val="dash"/>
                      <a:round/>
                    </a:ln>
                    <a:effectLst/>
                  </c:spPr>
                  <c:extLst xmlns:c16r2="http://schemas.microsoft.com/office/drawing/2015/06/chart">
                    <c:ext xmlns:c16="http://schemas.microsoft.com/office/drawing/2014/chart" uri="{C3380CC4-5D6E-409C-BE32-E72D297353CC}">
                      <c16:uniqueId val="{00000015-97D8-496A-A7B5-1229E3DE17E8}"/>
                    </c:ext>
                  </c:extLst>
                </c:dPt>
                <c:cat>
                  <c:strRef>
                    <c:extLst xmlns:c16r2="http://schemas.microsoft.com/office/drawing/2015/06/chart">
                      <c:ext uri="{02D57815-91ED-43cb-92C2-25804820EDAC}">
                        <c15:formulaRef>
                          <c15:sqref>'rast 15-24 do HK'!$C$10:$L$10</c15:sqref>
                        </c15:formulaRef>
                      </c:ext>
                    </c:extLst>
                    <c:strCache>
                      <c:ptCount val="10"/>
                      <c:pt idx="0">
                        <c:v>2015</c:v>
                      </c:pt>
                      <c:pt idx="1">
                        <c:v>2016</c:v>
                      </c:pt>
                      <c:pt idx="2">
                        <c:v>2017</c:v>
                      </c:pt>
                      <c:pt idx="3">
                        <c:v>2018</c:v>
                      </c:pt>
                      <c:pt idx="4">
                        <c:v>2019</c:v>
                      </c:pt>
                      <c:pt idx="5">
                        <c:v>2020</c:v>
                      </c:pt>
                      <c:pt idx="6">
                        <c:v>2021 OS</c:v>
                      </c:pt>
                      <c:pt idx="7">
                        <c:v>2022 N</c:v>
                      </c:pt>
                      <c:pt idx="8">
                        <c:v>2023N</c:v>
                      </c:pt>
                      <c:pt idx="9">
                        <c:v>2024 N</c:v>
                      </c:pt>
                    </c:strCache>
                  </c:strRef>
                </c:cat>
                <c:val>
                  <c:numRef>
                    <c:extLst xmlns:c16r2="http://schemas.microsoft.com/office/drawing/2015/06/chart">
                      <c:ext uri="{02D57815-91ED-43cb-92C2-25804820EDAC}">
                        <c15:formulaRef>
                          <c15:sqref>'rast 15-24 do HK'!$C$21:$L$21</c15:sqref>
                        </c15:formulaRef>
                      </c:ext>
                    </c:extLst>
                    <c:numCache>
                      <c:formatCode>0.00</c:formatCode>
                      <c:ptCount val="10"/>
                      <c:pt idx="0" formatCode="General">
                        <c:v>1</c:v>
                      </c:pt>
                      <c:pt idx="1">
                        <c:v>1.0751363042818232</c:v>
                      </c:pt>
                      <c:pt idx="2">
                        <c:v>1.0813139988947142</c:v>
                      </c:pt>
                      <c:pt idx="3">
                        <c:v>1.1944430817387044</c:v>
                      </c:pt>
                      <c:pt idx="4">
                        <c:v>1.2659153133438636</c:v>
                      </c:pt>
                      <c:pt idx="5">
                        <c:v>1.300880541866329</c:v>
                      </c:pt>
                      <c:pt idx="6">
                        <c:v>1.4868752644891126</c:v>
                      </c:pt>
                      <c:pt idx="7">
                        <c:v>1.4805685221069305</c:v>
                      </c:pt>
                      <c:pt idx="8">
                        <c:v>1.5967126824026669</c:v>
                      </c:pt>
                      <c:pt idx="9">
                        <c:v>1.65718579144732</c:v>
                      </c:pt>
                    </c:numCache>
                  </c:numRef>
                </c:val>
                <c:smooth val="0"/>
                <c:extLst xmlns:c16r2="http://schemas.microsoft.com/office/drawing/2015/06/chart">
                  <c:ext xmlns:c16="http://schemas.microsoft.com/office/drawing/2014/chart" uri="{C3380CC4-5D6E-409C-BE32-E72D297353CC}">
                    <c16:uniqueId val="{00000016-97D8-496A-A7B5-1229E3DE17E8}"/>
                  </c:ext>
                </c:extLst>
              </c15:ser>
            </c15:filteredLineSeries>
          </c:ext>
        </c:extLst>
      </c:lineChart>
      <c:catAx>
        <c:axId val="5546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54682008"/>
        <c:crosses val="autoZero"/>
        <c:auto val="1"/>
        <c:lblAlgn val="ctr"/>
        <c:lblOffset val="100"/>
        <c:noMultiLvlLbl val="0"/>
      </c:catAx>
      <c:valAx>
        <c:axId val="55468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54682400"/>
        <c:crosses val="autoZero"/>
        <c:crossBetween val="between"/>
      </c:valAx>
      <c:spPr>
        <a:noFill/>
        <a:ln>
          <a:noFill/>
        </a:ln>
        <a:effectLst/>
      </c:spPr>
    </c:plotArea>
    <c:legend>
      <c:legendPos val="r"/>
      <c:layout>
        <c:manualLayout>
          <c:xMode val="edge"/>
          <c:yMode val="edge"/>
          <c:x val="0.25612478755908652"/>
          <c:y val="0.49004669775351412"/>
          <c:w val="0.56341989867622966"/>
          <c:h val="0.30297934366712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09317585301844E-2"/>
          <c:y val="2.8871026538349373E-2"/>
          <c:w val="0.91336930105958991"/>
          <c:h val="0.88794058351401728"/>
        </c:manualLayout>
      </c:layout>
      <c:barChart>
        <c:barDir val="col"/>
        <c:grouping val="stacked"/>
        <c:varyColors val="0"/>
        <c:ser>
          <c:idx val="0"/>
          <c:order val="0"/>
          <c:tx>
            <c:strRef>
              <c:f>Hárok2!$M$56</c:f>
              <c:strCache>
                <c:ptCount val="1"/>
                <c:pt idx="0">
                  <c:v>UZS</c:v>
                </c:pt>
              </c:strCache>
            </c:strRef>
          </c:tx>
          <c:spPr>
            <a:solidFill>
              <a:srgbClr val="00B0F0"/>
            </a:solidFill>
            <a:ln>
              <a:solidFill>
                <a:srgbClr val="00B0F0"/>
              </a:solidFill>
            </a:ln>
          </c:spPr>
          <c:invertIfNegative val="0"/>
          <c:dPt>
            <c:idx val="1"/>
            <c:invertIfNegative val="0"/>
            <c:bubble3D val="0"/>
            <c:spPr>
              <a:solidFill>
                <a:sysClr val="window" lastClr="FFFFFF">
                  <a:lumMod val="75000"/>
                </a:sysClr>
              </a:solidFill>
              <a:ln>
                <a:solidFill>
                  <a:sysClr val="window" lastClr="FFFFFF">
                    <a:lumMod val="75000"/>
                  </a:sysClr>
                </a:solidFill>
              </a:ln>
            </c:spPr>
            <c:extLst xmlns:c16r2="http://schemas.microsoft.com/office/drawing/2015/06/chart">
              <c:ext xmlns:c16="http://schemas.microsoft.com/office/drawing/2014/chart" uri="{C3380CC4-5D6E-409C-BE32-E72D297353CC}">
                <c16:uniqueId val="{00000001-DB84-4A16-99DC-D381123D4D64}"/>
              </c:ext>
            </c:extLst>
          </c:dPt>
          <c:dLbls>
            <c:numFmt formatCode="#,##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Hárok2!$N$55:$O$55</c:f>
              <c:numCache>
                <c:formatCode>General</c:formatCode>
                <c:ptCount val="2"/>
                <c:pt idx="0">
                  <c:v>2017</c:v>
                </c:pt>
                <c:pt idx="1">
                  <c:v>2030</c:v>
                </c:pt>
              </c:numCache>
            </c:numRef>
          </c:cat>
          <c:val>
            <c:numRef>
              <c:f>Hárok2!$N$56:$O$56</c:f>
              <c:numCache>
                <c:formatCode>General</c:formatCode>
                <c:ptCount val="2"/>
                <c:pt idx="0">
                  <c:v>1020</c:v>
                </c:pt>
                <c:pt idx="1">
                  <c:v>9934</c:v>
                </c:pt>
              </c:numCache>
            </c:numRef>
          </c:val>
          <c:extLst xmlns:c16r2="http://schemas.microsoft.com/office/drawing/2015/06/chart">
            <c:ext xmlns:c16="http://schemas.microsoft.com/office/drawing/2014/chart" uri="{C3380CC4-5D6E-409C-BE32-E72D297353CC}">
              <c16:uniqueId val="{00000002-DB84-4A16-99DC-D381123D4D64}"/>
            </c:ext>
          </c:extLst>
        </c:ser>
        <c:ser>
          <c:idx val="2"/>
          <c:order val="1"/>
          <c:tx>
            <c:strRef>
              <c:f>Hárok2!$M$57</c:f>
              <c:strCache>
                <c:ptCount val="1"/>
                <c:pt idx="0">
                  <c:v> AZS</c:v>
                </c:pt>
              </c:strCache>
            </c:strRef>
          </c:tx>
          <c:spPr>
            <a:solidFill>
              <a:srgbClr val="0070C0"/>
            </a:solidFill>
            <a:ln>
              <a:solidFill>
                <a:srgbClr val="0070C0"/>
              </a:solidFill>
            </a:ln>
          </c:spPr>
          <c:invertIfNegative val="0"/>
          <c:dLbls>
            <c:numFmt formatCode="#,##0" sourceLinked="0"/>
            <c:spPr>
              <a:noFill/>
              <a:ln>
                <a:noFill/>
              </a:ln>
              <a:effectLst/>
            </c:spPr>
            <c:txPr>
              <a:bodyPr wrap="square" lIns="38100" tIns="19050" rIns="38100" bIns="19050" anchor="ctr">
                <a:spAutoFit/>
              </a:bodyPr>
              <a:lstStyle/>
              <a:p>
                <a:pPr>
                  <a:defRPr>
                    <a:solidFill>
                      <a:schemeClr val="bg1"/>
                    </a:solidFill>
                    <a:latin typeface="Times New Roman" panose="02020603050405020304" pitchFamily="18" charset="0"/>
                    <a:cs typeface="Times New Roman" panose="02020603050405020304" pitchFamily="18" charset="0"/>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Hárok2!$N$55:$O$55</c:f>
              <c:numCache>
                <c:formatCode>General</c:formatCode>
                <c:ptCount val="2"/>
                <c:pt idx="0">
                  <c:v>2017</c:v>
                </c:pt>
                <c:pt idx="1">
                  <c:v>2030</c:v>
                </c:pt>
              </c:numCache>
            </c:numRef>
          </c:cat>
          <c:val>
            <c:numRef>
              <c:f>Hárok2!$N$57:$O$57</c:f>
              <c:numCache>
                <c:formatCode>General</c:formatCode>
                <c:ptCount val="2"/>
                <c:pt idx="0" formatCode="#,##0">
                  <c:v>2530</c:v>
                </c:pt>
              </c:numCache>
            </c:numRef>
          </c:val>
          <c:extLst xmlns:c16r2="http://schemas.microsoft.com/office/drawing/2015/06/chart">
            <c:ext xmlns:c16="http://schemas.microsoft.com/office/drawing/2014/chart" uri="{C3380CC4-5D6E-409C-BE32-E72D297353CC}">
              <c16:uniqueId val="{00000003-DB84-4A16-99DC-D381123D4D64}"/>
            </c:ext>
          </c:extLst>
        </c:ser>
        <c:dLbls>
          <c:showLegendKey val="0"/>
          <c:showVal val="0"/>
          <c:showCatName val="0"/>
          <c:showSerName val="0"/>
          <c:showPercent val="0"/>
          <c:showBubbleSize val="0"/>
        </c:dLbls>
        <c:gapWidth val="76"/>
        <c:overlap val="100"/>
        <c:axId val="554681224"/>
        <c:axId val="554680832"/>
      </c:barChart>
      <c:catAx>
        <c:axId val="554681224"/>
        <c:scaling>
          <c:orientation val="minMax"/>
        </c:scaling>
        <c:delete val="0"/>
        <c:axPos val="b"/>
        <c:numFmt formatCode="General" sourceLinked="1"/>
        <c:majorTickMark val="out"/>
        <c:minorTickMark val="none"/>
        <c:tickLblPos val="nextTo"/>
        <c:txPr>
          <a:bodyPr rot="0" vert="horz"/>
          <a:lstStyle/>
          <a:p>
            <a:pPr>
              <a:defRPr>
                <a:latin typeface="Times New Roman" panose="02020603050405020304" pitchFamily="18" charset="0"/>
                <a:cs typeface="Times New Roman" panose="02020603050405020304" pitchFamily="18" charset="0"/>
              </a:defRPr>
            </a:pPr>
            <a:endParaRPr lang="sk-SK"/>
          </a:p>
        </c:txPr>
        <c:crossAx val="554680832"/>
        <c:crosses val="autoZero"/>
        <c:auto val="1"/>
        <c:lblAlgn val="ctr"/>
        <c:lblOffset val="100"/>
        <c:noMultiLvlLbl val="0"/>
      </c:catAx>
      <c:valAx>
        <c:axId val="554680832"/>
        <c:scaling>
          <c:orientation val="minMax"/>
          <c:max val="10000"/>
        </c:scaling>
        <c:delete val="0"/>
        <c:axPos val="l"/>
        <c:majorGridlines>
          <c:spPr>
            <a:ln>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txPr>
          <a:bodyPr rot="0" vert="horz"/>
          <a:lstStyle/>
          <a:p>
            <a:pPr>
              <a:defRPr>
                <a:latin typeface="Times New Roman" panose="02020603050405020304" pitchFamily="18" charset="0"/>
                <a:cs typeface="Times New Roman" panose="02020603050405020304" pitchFamily="18" charset="0"/>
              </a:defRPr>
            </a:pPr>
            <a:endParaRPr lang="sk-SK"/>
          </a:p>
        </c:txPr>
        <c:crossAx val="554681224"/>
        <c:crosses val="autoZero"/>
        <c:crossBetween val="between"/>
        <c:majorUnit val="2000"/>
      </c:valAx>
    </c:plotArea>
    <c:legend>
      <c:legendPos val="r"/>
      <c:layout>
        <c:manualLayout>
          <c:xMode val="edge"/>
          <c:yMode val="edge"/>
          <c:x val="0.11292847769028873"/>
          <c:y val="0.19156897054534849"/>
          <c:w val="0.51610796494233147"/>
          <c:h val="0.10832743733120316"/>
        </c:manualLayout>
      </c:layout>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spPr>
    <a:noFill/>
    <a:ln>
      <a:noFill/>
    </a:ln>
  </c:spPr>
  <c:txPr>
    <a:bodyPr/>
    <a:lstStyle/>
    <a:p>
      <a:pPr>
        <a:defRPr sz="900" b="0" i="0" u="none" strike="noStrike" baseline="0">
          <a:solidFill>
            <a:srgbClr val="000000"/>
          </a:solidFill>
          <a:latin typeface="Arial Narrow" panose="020B0606020202030204" pitchFamily="34" charset="0"/>
          <a:ea typeface="Arial Narrow"/>
          <a:cs typeface="Arial Narrow"/>
        </a:defRPr>
      </a:pPr>
      <a:endParaRPr lang="sk-SK"/>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1834664283986"/>
          <c:y val="4.6296392656737552E-2"/>
          <c:w val="0.89358165335716011"/>
          <c:h val="0.77670426029404604"/>
        </c:manualLayout>
      </c:layout>
      <c:barChart>
        <c:barDir val="col"/>
        <c:grouping val="clustered"/>
        <c:varyColors val="0"/>
        <c:ser>
          <c:idx val="0"/>
          <c:order val="0"/>
          <c:spPr>
            <a:solidFill>
              <a:srgbClr val="00B0F0"/>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B071-437D-9460-EEAE877104C8}"/>
              </c:ext>
            </c:extLst>
          </c:dPt>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3-B071-437D-9460-EEAE877104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OECD_sestryvUZS_V2_HK12.10.vece!$Q$4:$Q$8</c:f>
              <c:strCache>
                <c:ptCount val="5"/>
                <c:pt idx="0">
                  <c:v>SK (2019 a 2021)</c:v>
                </c:pt>
                <c:pt idx="1">
                  <c:v>HU</c:v>
                </c:pt>
                <c:pt idx="2">
                  <c:v>CZ</c:v>
                </c:pt>
                <c:pt idx="3">
                  <c:v>EU-28</c:v>
                </c:pt>
                <c:pt idx="4">
                  <c:v>EU-14</c:v>
                </c:pt>
              </c:strCache>
            </c:strRef>
          </c:cat>
          <c:val>
            <c:numRef>
              <c:f>OECD_sestryvUZS_V2_HK12.10.vece!$T$4:$T$8</c:f>
              <c:numCache>
                <c:formatCode>0.00</c:formatCode>
                <c:ptCount val="5"/>
                <c:pt idx="0">
                  <c:v>1.096795952782462</c:v>
                </c:pt>
                <c:pt idx="1">
                  <c:v>1.0900000000000001</c:v>
                </c:pt>
                <c:pt idx="2">
                  <c:v>1.27</c:v>
                </c:pt>
                <c:pt idx="3">
                  <c:v>1.1461538461538461</c:v>
                </c:pt>
                <c:pt idx="4">
                  <c:v>1.2012499999999999</c:v>
                </c:pt>
              </c:numCache>
            </c:numRef>
          </c:val>
          <c:extLst xmlns:c16r2="http://schemas.microsoft.com/office/drawing/2015/06/chart">
            <c:ext xmlns:c16="http://schemas.microsoft.com/office/drawing/2014/chart" uri="{C3380CC4-5D6E-409C-BE32-E72D297353CC}">
              <c16:uniqueId val="{00000004-B071-437D-9460-EEAE877104C8}"/>
            </c:ext>
          </c:extLst>
        </c:ser>
        <c:ser>
          <c:idx val="1"/>
          <c:order val="1"/>
          <c:tx>
            <c:v>SK - 2021</c:v>
          </c:tx>
          <c:spPr>
            <a:solidFill>
              <a:srgbClr val="FFC000"/>
            </a:solidFill>
            <a:ln>
              <a:noFill/>
            </a:ln>
            <a:effectLst/>
          </c:spPr>
          <c:invertIfNegative val="0"/>
          <c:dLbls>
            <c:dLbl>
              <c:idx val="0"/>
              <c:layout>
                <c:manualLayout>
                  <c:x val="-1.9482594630763856E-17"/>
                  <c:y val="-1.32538104705102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71-437D-9460-EEAE877104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OECD_sestryvUZS_V2_HK12.10.vece!$U$10:$U$14</c:f>
              <c:numCache>
                <c:formatCode>General</c:formatCode>
                <c:ptCount val="5"/>
                <c:pt idx="0" formatCode="0.00">
                  <c:v>1.1665077572835107</c:v>
                </c:pt>
              </c:numCache>
            </c:numRef>
          </c:val>
          <c:extLst xmlns:c16r2="http://schemas.microsoft.com/office/drawing/2015/06/chart">
            <c:ext xmlns:c16="http://schemas.microsoft.com/office/drawing/2014/chart" uri="{C3380CC4-5D6E-409C-BE32-E72D297353CC}">
              <c16:uniqueId val="{00000005-B071-437D-9460-EEAE877104C8}"/>
            </c:ext>
          </c:extLst>
        </c:ser>
        <c:dLbls>
          <c:dLblPos val="outEnd"/>
          <c:showLegendKey val="0"/>
          <c:showVal val="1"/>
          <c:showCatName val="0"/>
          <c:showSerName val="0"/>
          <c:showPercent val="0"/>
          <c:showBubbleSize val="0"/>
        </c:dLbls>
        <c:gapWidth val="118"/>
        <c:overlap val="9"/>
        <c:axId val="554680048"/>
        <c:axId val="554679656"/>
      </c:barChart>
      <c:catAx>
        <c:axId val="5546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54679656"/>
        <c:crosses val="autoZero"/>
        <c:auto val="0"/>
        <c:lblAlgn val="ctr"/>
        <c:lblOffset val="100"/>
        <c:noMultiLvlLbl val="0"/>
      </c:catAx>
      <c:valAx>
        <c:axId val="554679656"/>
        <c:scaling>
          <c:orientation val="minMax"/>
          <c:min val="0"/>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5468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225402567922257E-2"/>
          <c:y val="4.468708853253809E-2"/>
          <c:w val="0.90499982265730294"/>
          <c:h val="0.70576608156538567"/>
        </c:manualLayout>
      </c:layout>
      <c:barChart>
        <c:barDir val="col"/>
        <c:grouping val="stacked"/>
        <c:varyColors val="0"/>
        <c:ser>
          <c:idx val="5"/>
          <c:order val="3"/>
          <c:tx>
            <c:strRef>
              <c:f>graf!$I$2</c:f>
              <c:strCache>
                <c:ptCount val="1"/>
                <c:pt idx="0">
                  <c:v>Poľnohospodárstvo, lesníctvo, rybolov</c:v>
                </c:pt>
              </c:strCache>
            </c:strRef>
          </c:tx>
          <c:spPr>
            <a:solidFill>
              <a:srgbClr val="00B0F0"/>
            </a:solidFill>
            <a:ln>
              <a:noFill/>
            </a:ln>
            <a:effectLst/>
          </c:spPr>
          <c:invertIfNegative val="0"/>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graf!$I$3:$I$29</c:f>
              <c:numCache>
                <c:formatCode>0.0%</c:formatCode>
                <c:ptCount val="27"/>
                <c:pt idx="0">
                  <c:v>7.1555123735497512E-3</c:v>
                </c:pt>
                <c:pt idx="1">
                  <c:v>4.1780486441886991E-3</c:v>
                </c:pt>
                <c:pt idx="2">
                  <c:v>7.551998348000361E-3</c:v>
                </c:pt>
                <c:pt idx="3">
                  <c:v>5.9852662091430583E-3</c:v>
                </c:pt>
                <c:pt idx="4">
                  <c:v>4.92536151415939E-3</c:v>
                </c:pt>
                <c:pt idx="5">
                  <c:v>4.5991346590212919E-3</c:v>
                </c:pt>
                <c:pt idx="6">
                  <c:v>2.3934988427787487E-3</c:v>
                </c:pt>
                <c:pt idx="7">
                  <c:v>4.3703551454441214E-3</c:v>
                </c:pt>
                <c:pt idx="8">
                  <c:v>4.7378194786018507E-3</c:v>
                </c:pt>
                <c:pt idx="9">
                  <c:v>5.5065737953207553E-3</c:v>
                </c:pt>
                <c:pt idx="10">
                  <c:v>5.2077260719239861E-3</c:v>
                </c:pt>
                <c:pt idx="11">
                  <c:v>6.8888824100259479E-3</c:v>
                </c:pt>
                <c:pt idx="12">
                  <c:v>2.5558969334561585E-3</c:v>
                </c:pt>
                <c:pt idx="13">
                  <c:v>3.9578101456554495E-3</c:v>
                </c:pt>
                <c:pt idx="14">
                  <c:v>5.8105361397400293E-3</c:v>
                </c:pt>
                <c:pt idx="15">
                  <c:v>2.6556317772721207E-3</c:v>
                </c:pt>
                <c:pt idx="16">
                  <c:v>2.5148214872226819E-3</c:v>
                </c:pt>
                <c:pt idx="17">
                  <c:v>3.3090586864928479E-3</c:v>
                </c:pt>
                <c:pt idx="18">
                  <c:v>2.0335283994527484E-3</c:v>
                </c:pt>
                <c:pt idx="19">
                  <c:v>3.6945812807881772E-3</c:v>
                </c:pt>
                <c:pt idx="20">
                  <c:v>2.3669673185863415E-3</c:v>
                </c:pt>
                <c:pt idx="21">
                  <c:v>1.7550493500938561E-3</c:v>
                </c:pt>
                <c:pt idx="22">
                  <c:v>3.0999916556852334E-3</c:v>
                </c:pt>
                <c:pt idx="23">
                  <c:v>1.9373227575683418E-3</c:v>
                </c:pt>
                <c:pt idx="24">
                  <c:v>1.4289024565420937E-3</c:v>
                </c:pt>
                <c:pt idx="25">
                  <c:v>1.2323889527768724E-3</c:v>
                </c:pt>
                <c:pt idx="26">
                  <c:v>7.1712939987017782E-4</c:v>
                </c:pt>
              </c:numCache>
            </c:numRef>
          </c:val>
          <c:extLst xmlns:c16r2="http://schemas.microsoft.com/office/drawing/2015/06/chart">
            <c:ext xmlns:c16="http://schemas.microsoft.com/office/drawing/2014/chart" uri="{C3380CC4-5D6E-409C-BE32-E72D297353CC}">
              <c16:uniqueId val="{00000000-C179-4765-BB79-ED4D82763B7E}"/>
            </c:ext>
          </c:extLst>
        </c:ser>
        <c:ser>
          <c:idx val="3"/>
          <c:order val="4"/>
          <c:tx>
            <c:strRef>
              <c:f>graf!$G$2</c:f>
              <c:strCache>
                <c:ptCount val="1"/>
                <c:pt idx="0">
                  <c:v>Priame platby (EÚ fondy)</c:v>
                </c:pt>
              </c:strCache>
            </c:strRef>
          </c:tx>
          <c:spPr>
            <a:solidFill>
              <a:schemeClr val="bg1">
                <a:lumMod val="75000"/>
              </a:schemeClr>
            </a:solidFill>
            <a:ln>
              <a:noFill/>
            </a:ln>
            <a:effectLst/>
          </c:spPr>
          <c:invertIfNegative val="0"/>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graf!$G$3:$G$29</c:f>
              <c:numCache>
                <c:formatCode>0.0%</c:formatCode>
                <c:ptCount val="27"/>
                <c:pt idx="0">
                  <c:v>1.3180613529992896E-2</c:v>
                </c:pt>
                <c:pt idx="1">
                  <c:v>8.3643304994263819E-3</c:v>
                </c:pt>
                <c:pt idx="2">
                  <c:v>5.3204798601700302E-3</c:v>
                </c:pt>
                <c:pt idx="3">
                  <c:v>8.4893510914467243E-3</c:v>
                </c:pt>
                <c:pt idx="4">
                  <c:v>9.6339649254434685E-3</c:v>
                </c:pt>
                <c:pt idx="5">
                  <c:v>8.9298572859561071E-3</c:v>
                </c:pt>
                <c:pt idx="6">
                  <c:v>1.1120879690044624E-2</c:v>
                </c:pt>
                <c:pt idx="7">
                  <c:v>4.8508953188159658E-3</c:v>
                </c:pt>
                <c:pt idx="8">
                  <c:v>6.4090398652061212E-3</c:v>
                </c:pt>
                <c:pt idx="9">
                  <c:v>2.9442905921271498E-3</c:v>
                </c:pt>
                <c:pt idx="10">
                  <c:v>3.8811031171434693E-3</c:v>
                </c:pt>
                <c:pt idx="11">
                  <c:v>2.1990910643198375E-3</c:v>
                </c:pt>
                <c:pt idx="12">
                  <c:v>4.8590653605678344E-3</c:v>
                </c:pt>
                <c:pt idx="13">
                  <c:v>4.4712001444902052E-3</c:v>
                </c:pt>
                <c:pt idx="14">
                  <c:v>2.4960971970332613E-3</c:v>
                </c:pt>
                <c:pt idx="15">
                  <c:v>3.6161140560961977E-3</c:v>
                </c:pt>
                <c:pt idx="16">
                  <c:v>3.3582385280412686E-3</c:v>
                </c:pt>
                <c:pt idx="17">
                  <c:v>1.8031201458189173E-3</c:v>
                </c:pt>
                <c:pt idx="18">
                  <c:v>3.066645490227208E-3</c:v>
                </c:pt>
                <c:pt idx="19">
                  <c:v>4.1623415672428023E-4</c:v>
                </c:pt>
                <c:pt idx="20">
                  <c:v>2.1642503977042245E-3</c:v>
                </c:pt>
                <c:pt idx="21">
                  <c:v>2.6780992289249139E-3</c:v>
                </c:pt>
                <c:pt idx="22">
                  <c:v>6.2993976443841972E-4</c:v>
                </c:pt>
                <c:pt idx="23">
                  <c:v>1.4162984382714097E-3</c:v>
                </c:pt>
                <c:pt idx="24">
                  <c:v>1.485924047648256E-3</c:v>
                </c:pt>
                <c:pt idx="25">
                  <c:v>8.6205617377668178E-4</c:v>
                </c:pt>
                <c:pt idx="26">
                  <c:v>1.0884146456675392E-3</c:v>
                </c:pt>
              </c:numCache>
            </c:numRef>
          </c:val>
          <c:extLst xmlns:c16r2="http://schemas.microsoft.com/office/drawing/2015/06/chart">
            <c:ext xmlns:c16="http://schemas.microsoft.com/office/drawing/2014/chart" uri="{C3380CC4-5D6E-409C-BE32-E72D297353CC}">
              <c16:uniqueId val="{00000001-C179-4765-BB79-ED4D82763B7E}"/>
            </c:ext>
          </c:extLst>
        </c:ser>
        <c:ser>
          <c:idx val="4"/>
          <c:order val="5"/>
          <c:tx>
            <c:strRef>
              <c:f>graf!$H$2</c:f>
              <c:strCache>
                <c:ptCount val="1"/>
                <c:pt idx="0">
                  <c:v>Rozvoj vidieka (EÚ fondy)</c:v>
                </c:pt>
              </c:strCache>
            </c:strRef>
          </c:tx>
          <c:spPr>
            <a:solidFill>
              <a:srgbClr val="002060"/>
            </a:solidFill>
            <a:ln>
              <a:noFill/>
            </a:ln>
            <a:effectLst/>
          </c:spPr>
          <c:invertIfNegative val="0"/>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graf!$H$3:$H$29</c:f>
              <c:numCache>
                <c:formatCode>0.0%</c:formatCode>
                <c:ptCount val="27"/>
                <c:pt idx="0">
                  <c:v>5.0398281060426682E-3</c:v>
                </c:pt>
                <c:pt idx="1">
                  <c:v>6.7876608430388324E-3</c:v>
                </c:pt>
                <c:pt idx="2">
                  <c:v>5.5246610756803892E-3</c:v>
                </c:pt>
                <c:pt idx="3">
                  <c:v>3.5107063196195836E-3</c:v>
                </c:pt>
                <c:pt idx="4">
                  <c:v>3.3957245895224831E-3</c:v>
                </c:pt>
                <c:pt idx="5">
                  <c:v>3.5003656867865405E-3</c:v>
                </c:pt>
                <c:pt idx="6">
                  <c:v>2.2434721567660691E-3</c:v>
                </c:pt>
                <c:pt idx="7">
                  <c:v>4.5044730159416995E-3</c:v>
                </c:pt>
                <c:pt idx="8">
                  <c:v>2.0470385554232674E-3</c:v>
                </c:pt>
                <c:pt idx="9">
                  <c:v>2.4815242123946467E-3</c:v>
                </c:pt>
                <c:pt idx="10">
                  <c:v>1.7459749502036408E-3</c:v>
                </c:pt>
                <c:pt idx="11">
                  <c:v>1.4629078590736244E-3</c:v>
                </c:pt>
                <c:pt idx="12">
                  <c:v>2.2297984716733222E-3</c:v>
                </c:pt>
                <c:pt idx="13">
                  <c:v>9.2985629418841881E-4</c:v>
                </c:pt>
                <c:pt idx="14">
                  <c:v>9.4019386820178496E-4</c:v>
                </c:pt>
                <c:pt idx="15">
                  <c:v>2.1942943420069356E-3</c:v>
                </c:pt>
                <c:pt idx="16">
                  <c:v>9.1022209118934571E-4</c:v>
                </c:pt>
                <c:pt idx="17">
                  <c:v>1.3586367276840388E-3</c:v>
                </c:pt>
                <c:pt idx="18">
                  <c:v>8.4848752600368807E-4</c:v>
                </c:pt>
                <c:pt idx="19">
                  <c:v>1.3834579714684357E-3</c:v>
                </c:pt>
                <c:pt idx="20">
                  <c:v>8.0961373383691738E-4</c:v>
                </c:pt>
                <c:pt idx="21">
                  <c:v>3.2849323676321105E-4</c:v>
                </c:pt>
                <c:pt idx="22">
                  <c:v>3.0720133776684097E-4</c:v>
                </c:pt>
                <c:pt idx="23">
                  <c:v>3.3498427056998366E-4</c:v>
                </c:pt>
                <c:pt idx="24">
                  <c:v>4.7511688252236729E-4</c:v>
                </c:pt>
                <c:pt idx="25">
                  <c:v>1.1179692719609063E-4</c:v>
                </c:pt>
                <c:pt idx="26">
                  <c:v>1.9336586407497778E-4</c:v>
                </c:pt>
              </c:numCache>
            </c:numRef>
          </c:val>
          <c:extLst xmlns:c16r2="http://schemas.microsoft.com/office/drawing/2015/06/chart">
            <c:ext xmlns:c16="http://schemas.microsoft.com/office/drawing/2014/chart" uri="{C3380CC4-5D6E-409C-BE32-E72D297353CC}">
              <c16:uniqueId val="{00000002-C179-4765-BB79-ED4D82763B7E}"/>
            </c:ext>
          </c:extLst>
        </c:ser>
        <c:dLbls>
          <c:showLegendKey val="0"/>
          <c:showVal val="0"/>
          <c:showCatName val="0"/>
          <c:showSerName val="0"/>
          <c:showPercent val="0"/>
          <c:showBubbleSize val="0"/>
        </c:dLbls>
        <c:gapWidth val="219"/>
        <c:overlap val="100"/>
        <c:axId val="554678872"/>
        <c:axId val="554678480"/>
      </c:barChart>
      <c:barChart>
        <c:barDir val="col"/>
        <c:grouping val="clustered"/>
        <c:varyColors val="0"/>
        <c:ser>
          <c:idx val="0"/>
          <c:order val="0"/>
          <c:tx>
            <c:strRef>
              <c:f>graf!$D$2</c:f>
              <c:strCache>
                <c:ptCount val="1"/>
                <c:pt idx="0">
                  <c:v>Priame platby</c:v>
                </c:pt>
              </c:strCache>
            </c:strRef>
          </c:tx>
          <c:spPr>
            <a:solidFill>
              <a:schemeClr val="accent1"/>
            </a:solidFill>
            <a:ln>
              <a:noFill/>
            </a:ln>
            <a:effectLst/>
          </c:spPr>
          <c:invertIfNegative val="0"/>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graf!$D$3:$D$29</c:f>
            </c:numRef>
          </c:val>
          <c:extLst xmlns:c16r2="http://schemas.microsoft.com/office/drawing/2015/06/chart">
            <c:ext xmlns:c16="http://schemas.microsoft.com/office/drawing/2014/chart" uri="{C3380CC4-5D6E-409C-BE32-E72D297353CC}">
              <c16:uniqueId val="{00000003-C179-4765-BB79-ED4D82763B7E}"/>
            </c:ext>
          </c:extLst>
        </c:ser>
        <c:ser>
          <c:idx val="1"/>
          <c:order val="1"/>
          <c:tx>
            <c:strRef>
              <c:f>graf!$E$2</c:f>
              <c:strCache>
                <c:ptCount val="1"/>
                <c:pt idx="0">
                  <c:v>Rozvoj vidieka</c:v>
                </c:pt>
              </c:strCache>
            </c:strRef>
          </c:tx>
          <c:spPr>
            <a:solidFill>
              <a:schemeClr val="accent2"/>
            </a:solidFill>
            <a:ln>
              <a:noFill/>
            </a:ln>
            <a:effectLst/>
          </c:spPr>
          <c:invertIfNegative val="0"/>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graf!$E$3:$E$29</c:f>
            </c:numRef>
          </c:val>
          <c:extLst xmlns:c16r2="http://schemas.microsoft.com/office/drawing/2015/06/chart">
            <c:ext xmlns:c16="http://schemas.microsoft.com/office/drawing/2014/chart" uri="{C3380CC4-5D6E-409C-BE32-E72D297353CC}">
              <c16:uniqueId val="{00000004-C179-4765-BB79-ED4D82763B7E}"/>
            </c:ext>
          </c:extLst>
        </c:ser>
        <c:ser>
          <c:idx val="2"/>
          <c:order val="2"/>
          <c:tx>
            <c:strRef>
              <c:f>graf!$F$2</c:f>
              <c:strCache>
                <c:ptCount val="1"/>
                <c:pt idx="0">
                  <c:v>Poľnohospodárstvo, lesníctvo, rybolov</c:v>
                </c:pt>
              </c:strCache>
            </c:strRef>
          </c:tx>
          <c:spPr>
            <a:solidFill>
              <a:schemeClr val="accent3"/>
            </a:solidFill>
            <a:ln>
              <a:noFill/>
            </a:ln>
            <a:effectLst/>
          </c:spPr>
          <c:invertIfNegative val="0"/>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graf!$F$3:$F$29</c:f>
            </c:numRef>
          </c:val>
          <c:extLst xmlns:c16r2="http://schemas.microsoft.com/office/drawing/2015/06/chart">
            <c:ext xmlns:c16="http://schemas.microsoft.com/office/drawing/2014/chart" uri="{C3380CC4-5D6E-409C-BE32-E72D297353CC}">
              <c16:uniqueId val="{00000005-C179-4765-BB79-ED4D82763B7E}"/>
            </c:ext>
          </c:extLst>
        </c:ser>
        <c:dLbls>
          <c:showLegendKey val="0"/>
          <c:showVal val="0"/>
          <c:showCatName val="0"/>
          <c:showSerName val="0"/>
          <c:showPercent val="0"/>
          <c:showBubbleSize val="0"/>
        </c:dLbls>
        <c:gapWidth val="219"/>
        <c:axId val="554678872"/>
        <c:axId val="554678480"/>
      </c:barChart>
      <c:lineChart>
        <c:grouping val="standard"/>
        <c:varyColors val="0"/>
        <c:ser>
          <c:idx val="6"/>
          <c:order val="6"/>
          <c:tx>
            <c:strRef>
              <c:f>graf!$J$2</c:f>
              <c:strCache>
                <c:ptCount val="1"/>
                <c:pt idx="0">
                  <c:v>priemer EÚ</c:v>
                </c:pt>
              </c:strCache>
            </c:strRef>
          </c:tx>
          <c:spPr>
            <a:ln w="28575" cap="rnd">
              <a:solidFill>
                <a:schemeClr val="tx1"/>
              </a:solidFill>
              <a:prstDash val="dash"/>
              <a:round/>
            </a:ln>
            <a:effectLst/>
          </c:spPr>
          <c:marker>
            <c:symbol val="none"/>
          </c:marker>
          <c:cat>
            <c:strRef>
              <c:f>graf!$C$3:$C$29</c:f>
              <c:strCache>
                <c:ptCount val="27"/>
                <c:pt idx="0">
                  <c:v>Bulharsko</c:v>
                </c:pt>
                <c:pt idx="1">
                  <c:v>Lotyšsko</c:v>
                </c:pt>
                <c:pt idx="2">
                  <c:v>Chorvátsko</c:v>
                </c:pt>
                <c:pt idx="3">
                  <c:v>Rumunsko</c:v>
                </c:pt>
                <c:pt idx="4">
                  <c:v>Litva</c:v>
                </c:pt>
                <c:pt idx="5">
                  <c:v>Maďarsko</c:v>
                </c:pt>
                <c:pt idx="6">
                  <c:v>Grécko</c:v>
                </c:pt>
                <c:pt idx="7">
                  <c:v>Estónsko</c:v>
                </c:pt>
                <c:pt idx="8">
                  <c:v>Poľsko</c:v>
                </c:pt>
                <c:pt idx="9">
                  <c:v>Slovinsko</c:v>
                </c:pt>
                <c:pt idx="10">
                  <c:v>Česko</c:v>
                </c:pt>
                <c:pt idx="11">
                  <c:v>Fínsko</c:v>
                </c:pt>
                <c:pt idx="12">
                  <c:v>Slovensko</c:v>
                </c:pt>
                <c:pt idx="13">
                  <c:v>Španielsko</c:v>
                </c:pt>
                <c:pt idx="14">
                  <c:v>Cyprus</c:v>
                </c:pt>
                <c:pt idx="15">
                  <c:v>Portugalsko</c:v>
                </c:pt>
                <c:pt idx="16">
                  <c:v>Írsko</c:v>
                </c:pt>
                <c:pt idx="17">
                  <c:v>Rakúsko</c:v>
                </c:pt>
                <c:pt idx="18">
                  <c:v>Francúzsko</c:v>
                </c:pt>
                <c:pt idx="19">
                  <c:v>Malta</c:v>
                </c:pt>
                <c:pt idx="20">
                  <c:v>Taliansko</c:v>
                </c:pt>
                <c:pt idx="21">
                  <c:v>Dánsko</c:v>
                </c:pt>
                <c:pt idx="22">
                  <c:v>Luxembursko</c:v>
                </c:pt>
                <c:pt idx="23">
                  <c:v>Nemecko</c:v>
                </c:pt>
                <c:pt idx="24">
                  <c:v>Švédsko</c:v>
                </c:pt>
                <c:pt idx="25">
                  <c:v>Holandsko</c:v>
                </c:pt>
                <c:pt idx="26">
                  <c:v>Belgicko</c:v>
                </c:pt>
              </c:strCache>
            </c:strRef>
          </c:cat>
          <c:val>
            <c:numRef>
              <c:f>graf!$J$3:$J$29</c:f>
              <c:numCache>
                <c:formatCode>0.0%</c:formatCode>
                <c:ptCount val="27"/>
                <c:pt idx="0">
                  <c:v>1.0292786880167567E-2</c:v>
                </c:pt>
                <c:pt idx="1">
                  <c:v>1.0292786880167567E-2</c:v>
                </c:pt>
                <c:pt idx="2">
                  <c:v>1.0292786880167567E-2</c:v>
                </c:pt>
                <c:pt idx="3">
                  <c:v>1.0292786880167567E-2</c:v>
                </c:pt>
                <c:pt idx="4">
                  <c:v>1.0292786880167567E-2</c:v>
                </c:pt>
                <c:pt idx="5">
                  <c:v>1.0292786880167567E-2</c:v>
                </c:pt>
                <c:pt idx="6">
                  <c:v>1.0292786880167567E-2</c:v>
                </c:pt>
                <c:pt idx="7">
                  <c:v>1.0292786880167567E-2</c:v>
                </c:pt>
                <c:pt idx="8">
                  <c:v>1.0292786880167567E-2</c:v>
                </c:pt>
                <c:pt idx="9">
                  <c:v>1.0292786880167567E-2</c:v>
                </c:pt>
                <c:pt idx="10">
                  <c:v>1.0292786880167567E-2</c:v>
                </c:pt>
                <c:pt idx="11">
                  <c:v>1.0292786880167567E-2</c:v>
                </c:pt>
                <c:pt idx="12" formatCode="0.00%">
                  <c:v>1.0292786880167567E-2</c:v>
                </c:pt>
                <c:pt idx="13">
                  <c:v>1.0292786880167567E-2</c:v>
                </c:pt>
                <c:pt idx="14">
                  <c:v>1.0292786880167567E-2</c:v>
                </c:pt>
                <c:pt idx="15">
                  <c:v>1.0292786880167567E-2</c:v>
                </c:pt>
                <c:pt idx="16">
                  <c:v>1.0292786880167567E-2</c:v>
                </c:pt>
                <c:pt idx="17">
                  <c:v>1.0292786880167567E-2</c:v>
                </c:pt>
                <c:pt idx="18">
                  <c:v>1.0292786880167567E-2</c:v>
                </c:pt>
                <c:pt idx="19">
                  <c:v>1.0292786880167567E-2</c:v>
                </c:pt>
                <c:pt idx="20">
                  <c:v>1.0292786880167567E-2</c:v>
                </c:pt>
                <c:pt idx="21">
                  <c:v>1.0292786880167567E-2</c:v>
                </c:pt>
                <c:pt idx="22">
                  <c:v>1.0292786880167567E-2</c:v>
                </c:pt>
                <c:pt idx="23">
                  <c:v>1.0292786880167567E-2</c:v>
                </c:pt>
                <c:pt idx="24">
                  <c:v>1.0292786880167567E-2</c:v>
                </c:pt>
                <c:pt idx="25">
                  <c:v>1.0292786880167567E-2</c:v>
                </c:pt>
                <c:pt idx="26">
                  <c:v>1.0292786880167567E-2</c:v>
                </c:pt>
              </c:numCache>
            </c:numRef>
          </c:val>
          <c:smooth val="0"/>
          <c:extLst xmlns:c16r2="http://schemas.microsoft.com/office/drawing/2015/06/chart">
            <c:ext xmlns:c16="http://schemas.microsoft.com/office/drawing/2014/chart" uri="{C3380CC4-5D6E-409C-BE32-E72D297353CC}">
              <c16:uniqueId val="{00000006-C179-4765-BB79-ED4D82763B7E}"/>
            </c:ext>
          </c:extLst>
        </c:ser>
        <c:dLbls>
          <c:showLegendKey val="0"/>
          <c:showVal val="0"/>
          <c:showCatName val="0"/>
          <c:showSerName val="0"/>
          <c:showPercent val="0"/>
          <c:showBubbleSize val="0"/>
        </c:dLbls>
        <c:marker val="1"/>
        <c:smooth val="0"/>
        <c:axId val="554678872"/>
        <c:axId val="554678480"/>
      </c:lineChart>
      <c:catAx>
        <c:axId val="55467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4678480"/>
        <c:crosses val="autoZero"/>
        <c:auto val="1"/>
        <c:lblAlgn val="ctr"/>
        <c:lblOffset val="100"/>
        <c:noMultiLvlLbl val="0"/>
      </c:catAx>
      <c:valAx>
        <c:axId val="554678480"/>
        <c:scaling>
          <c:orientation val="minMax"/>
        </c:scaling>
        <c:delete val="0"/>
        <c:axPos val="l"/>
        <c:majorGridlines>
          <c:spPr>
            <a:ln w="9525" cap="flat" cmpd="sng" algn="ctr">
              <a:solidFill>
                <a:schemeClr val="bg1">
                  <a:lumMod val="7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4678872"/>
        <c:crosses val="autoZero"/>
        <c:crossBetween val="between"/>
      </c:valAx>
      <c:spPr>
        <a:noFill/>
        <a:ln>
          <a:noFill/>
        </a:ln>
        <a:effectLst/>
      </c:spPr>
    </c:plotArea>
    <c:legend>
      <c:legendPos val="t"/>
      <c:legendEntry>
        <c:idx val="3"/>
        <c:delete val="1"/>
      </c:legendEntry>
      <c:layout>
        <c:manualLayout>
          <c:xMode val="edge"/>
          <c:yMode val="edge"/>
          <c:x val="0.6288584450592325"/>
          <c:y val="7.0722817329743573E-2"/>
          <c:w val="0.30985050010640564"/>
          <c:h val="0.22917566807511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4">
    <c:autoUpdate val="0"/>
  </c:externalData>
  <c:userShapes r:id="rId5"/>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'graf_1 (2019)'!$B$53</c:f>
              <c:strCache>
                <c:ptCount val="1"/>
                <c:pt idx="0">
                  <c:v>polícia</c:v>
                </c:pt>
              </c:strCache>
            </c:strRef>
          </c:tx>
          <c:spPr>
            <a:solidFill>
              <a:srgbClr val="00B0F0"/>
            </a:solidFill>
            <a:ln>
              <a:solidFill>
                <a:srgbClr val="00B0F0"/>
              </a:solidFill>
            </a:ln>
            <a:effectLst/>
          </c:spPr>
          <c:invertIfNegative val="0"/>
          <c:cat>
            <c:strRef>
              <c:f>'graf_1 (2019)'!$A$54:$A$84</c:f>
              <c:strCache>
                <c:ptCount val="31"/>
                <c:pt idx="0">
                  <c:v>Bulharsko</c:v>
                </c:pt>
                <c:pt idx="1">
                  <c:v>Lotyšsko</c:v>
                </c:pt>
                <c:pt idx="2">
                  <c:v>Slovensko</c:v>
                </c:pt>
                <c:pt idx="3">
                  <c:v>Rumunsko</c:v>
                </c:pt>
                <c:pt idx="4">
                  <c:v>Grécko</c:v>
                </c:pt>
                <c:pt idx="5">
                  <c:v>Poľsko</c:v>
                </c:pt>
                <c:pt idx="6">
                  <c:v>Maďarsko</c:v>
                </c:pt>
                <c:pt idx="7">
                  <c:v>Chorvátsko</c:v>
                </c:pt>
                <c:pt idx="8">
                  <c:v>Holandsko</c:v>
                </c:pt>
                <c:pt idx="9">
                  <c:v>Česko</c:v>
                </c:pt>
                <c:pt idx="10">
                  <c:v>UK</c:v>
                </c:pt>
                <c:pt idx="11">
                  <c:v>Estónsko</c:v>
                </c:pt>
                <c:pt idx="12">
                  <c:v>Taliansko</c:v>
                </c:pt>
                <c:pt idx="13">
                  <c:v>EÚ28</c:v>
                </c:pt>
                <c:pt idx="14">
                  <c:v>Nemecko</c:v>
                </c:pt>
                <c:pt idx="15">
                  <c:v>Cyprus</c:v>
                </c:pt>
                <c:pt idx="16">
                  <c:v>Španielsko</c:v>
                </c:pt>
                <c:pt idx="17">
                  <c:v>Portugalsko</c:v>
                </c:pt>
                <c:pt idx="18">
                  <c:v>Belgicko</c:v>
                </c:pt>
                <c:pt idx="19">
                  <c:v>Slovinsko</c:v>
                </c:pt>
                <c:pt idx="20">
                  <c:v>Francúzsko</c:v>
                </c:pt>
                <c:pt idx="21">
                  <c:v>Island</c:v>
                </c:pt>
                <c:pt idx="22">
                  <c:v>Litva</c:v>
                </c:pt>
                <c:pt idx="23">
                  <c:v>Rakúsko</c:v>
                </c:pt>
                <c:pt idx="24">
                  <c:v>Švédsko</c:v>
                </c:pt>
                <c:pt idx="25">
                  <c:v>Malta</c:v>
                </c:pt>
                <c:pt idx="26">
                  <c:v>Fínsko</c:v>
                </c:pt>
                <c:pt idx="27">
                  <c:v>Nórsko</c:v>
                </c:pt>
                <c:pt idx="28">
                  <c:v>Luxembursko</c:v>
                </c:pt>
                <c:pt idx="29">
                  <c:v>Dánsko</c:v>
                </c:pt>
                <c:pt idx="30">
                  <c:v>Írsko</c:v>
                </c:pt>
              </c:strCache>
            </c:strRef>
          </c:cat>
          <c:val>
            <c:numRef>
              <c:f>'graf_1 (2019)'!$B$54:$B$84</c:f>
              <c:numCache>
                <c:formatCode>#\ ##0.0</c:formatCode>
                <c:ptCount val="31"/>
                <c:pt idx="0">
                  <c:v>1.4</c:v>
                </c:pt>
                <c:pt idx="1">
                  <c:v>1.3</c:v>
                </c:pt>
                <c:pt idx="2">
                  <c:v>1</c:v>
                </c:pt>
                <c:pt idx="3">
                  <c:v>1.2</c:v>
                </c:pt>
                <c:pt idx="4">
                  <c:v>1.4</c:v>
                </c:pt>
                <c:pt idx="5">
                  <c:v>1.1000000000000001</c:v>
                </c:pt>
                <c:pt idx="6">
                  <c:v>1.3</c:v>
                </c:pt>
                <c:pt idx="7">
                  <c:v>1.2</c:v>
                </c:pt>
                <c:pt idx="8">
                  <c:v>0.9</c:v>
                </c:pt>
                <c:pt idx="9">
                  <c:v>1</c:v>
                </c:pt>
                <c:pt idx="10">
                  <c:v>1</c:v>
                </c:pt>
                <c:pt idx="11">
                  <c:v>0.9</c:v>
                </c:pt>
                <c:pt idx="12">
                  <c:v>1.1000000000000001</c:v>
                </c:pt>
                <c:pt idx="13">
                  <c:v>0.9</c:v>
                </c:pt>
                <c:pt idx="14">
                  <c:v>0.8</c:v>
                </c:pt>
                <c:pt idx="15">
                  <c:v>1.3</c:v>
                </c:pt>
                <c:pt idx="16">
                  <c:v>1.1000000000000001</c:v>
                </c:pt>
                <c:pt idx="17">
                  <c:v>0.9</c:v>
                </c:pt>
                <c:pt idx="18">
                  <c:v>1</c:v>
                </c:pt>
                <c:pt idx="19">
                  <c:v>0.8</c:v>
                </c:pt>
                <c:pt idx="20">
                  <c:v>0.9</c:v>
                </c:pt>
                <c:pt idx="21">
                  <c:v>0.8</c:v>
                </c:pt>
                <c:pt idx="22">
                  <c:v>0.5</c:v>
                </c:pt>
                <c:pt idx="23">
                  <c:v>0.7</c:v>
                </c:pt>
                <c:pt idx="24">
                  <c:v>0.6</c:v>
                </c:pt>
                <c:pt idx="25">
                  <c:v>0.7</c:v>
                </c:pt>
                <c:pt idx="26">
                  <c:v>0.5</c:v>
                </c:pt>
                <c:pt idx="27">
                  <c:v>0.6</c:v>
                </c:pt>
                <c:pt idx="28">
                  <c:v>0.5</c:v>
                </c:pt>
                <c:pt idx="29">
                  <c:v>0.6</c:v>
                </c:pt>
                <c:pt idx="30">
                  <c:v>0.5</c:v>
                </c:pt>
              </c:numCache>
            </c:numRef>
          </c:val>
          <c:extLst xmlns:c16r2="http://schemas.microsoft.com/office/drawing/2015/06/chart">
            <c:ext xmlns:c16="http://schemas.microsoft.com/office/drawing/2014/chart" uri="{C3380CC4-5D6E-409C-BE32-E72D297353CC}">
              <c16:uniqueId val="{00000000-D406-4419-91D2-263FCD1586F5}"/>
            </c:ext>
          </c:extLst>
        </c:ser>
        <c:ser>
          <c:idx val="1"/>
          <c:order val="1"/>
          <c:tx>
            <c:strRef>
              <c:f>'graf_1 (2019)'!$C$53</c:f>
              <c:strCache>
                <c:ptCount val="1"/>
                <c:pt idx="0">
                  <c:v>hasiči</c:v>
                </c:pt>
              </c:strCache>
            </c:strRef>
          </c:tx>
          <c:spPr>
            <a:solidFill>
              <a:schemeClr val="bg1">
                <a:lumMod val="75000"/>
              </a:schemeClr>
            </a:solidFill>
            <a:ln>
              <a:solidFill>
                <a:schemeClr val="bg1">
                  <a:lumMod val="75000"/>
                </a:schemeClr>
              </a:solidFill>
            </a:ln>
            <a:effectLst/>
          </c:spPr>
          <c:invertIfNegative val="0"/>
          <c:cat>
            <c:strRef>
              <c:f>'graf_1 (2019)'!$A$54:$A$84</c:f>
              <c:strCache>
                <c:ptCount val="31"/>
                <c:pt idx="0">
                  <c:v>Bulharsko</c:v>
                </c:pt>
                <c:pt idx="1">
                  <c:v>Lotyšsko</c:v>
                </c:pt>
                <c:pt idx="2">
                  <c:v>Slovensko</c:v>
                </c:pt>
                <c:pt idx="3">
                  <c:v>Rumunsko</c:v>
                </c:pt>
                <c:pt idx="4">
                  <c:v>Grécko</c:v>
                </c:pt>
                <c:pt idx="5">
                  <c:v>Poľsko</c:v>
                </c:pt>
                <c:pt idx="6">
                  <c:v>Maďarsko</c:v>
                </c:pt>
                <c:pt idx="7">
                  <c:v>Chorvátsko</c:v>
                </c:pt>
                <c:pt idx="8">
                  <c:v>Holandsko</c:v>
                </c:pt>
                <c:pt idx="9">
                  <c:v>Česko</c:v>
                </c:pt>
                <c:pt idx="10">
                  <c:v>UK</c:v>
                </c:pt>
                <c:pt idx="11">
                  <c:v>Estónsko</c:v>
                </c:pt>
                <c:pt idx="12">
                  <c:v>Taliansko</c:v>
                </c:pt>
                <c:pt idx="13">
                  <c:v>EÚ28</c:v>
                </c:pt>
                <c:pt idx="14">
                  <c:v>Nemecko</c:v>
                </c:pt>
                <c:pt idx="15">
                  <c:v>Cyprus</c:v>
                </c:pt>
                <c:pt idx="16">
                  <c:v>Španielsko</c:v>
                </c:pt>
                <c:pt idx="17">
                  <c:v>Portugalsko</c:v>
                </c:pt>
                <c:pt idx="18">
                  <c:v>Belgicko</c:v>
                </c:pt>
                <c:pt idx="19">
                  <c:v>Slovinsko</c:v>
                </c:pt>
                <c:pt idx="20">
                  <c:v>Francúzsko</c:v>
                </c:pt>
                <c:pt idx="21">
                  <c:v>Island</c:v>
                </c:pt>
                <c:pt idx="22">
                  <c:v>Litva</c:v>
                </c:pt>
                <c:pt idx="23">
                  <c:v>Rakúsko</c:v>
                </c:pt>
                <c:pt idx="24">
                  <c:v>Švédsko</c:v>
                </c:pt>
                <c:pt idx="25">
                  <c:v>Malta</c:v>
                </c:pt>
                <c:pt idx="26">
                  <c:v>Fínsko</c:v>
                </c:pt>
                <c:pt idx="27">
                  <c:v>Nórsko</c:v>
                </c:pt>
                <c:pt idx="28">
                  <c:v>Luxembursko</c:v>
                </c:pt>
                <c:pt idx="29">
                  <c:v>Dánsko</c:v>
                </c:pt>
                <c:pt idx="30">
                  <c:v>Írsko</c:v>
                </c:pt>
              </c:strCache>
            </c:strRef>
          </c:cat>
          <c:val>
            <c:numRef>
              <c:f>'graf_1 (2019)'!$C$54:$C$84</c:f>
              <c:numCache>
                <c:formatCode>#\ ##0.0</c:formatCode>
                <c:ptCount val="31"/>
                <c:pt idx="0">
                  <c:v>0.3</c:v>
                </c:pt>
                <c:pt idx="1">
                  <c:v>0.2</c:v>
                </c:pt>
                <c:pt idx="2">
                  <c:v>0.3</c:v>
                </c:pt>
                <c:pt idx="3">
                  <c:v>0.3</c:v>
                </c:pt>
                <c:pt idx="4">
                  <c:v>0.3</c:v>
                </c:pt>
                <c:pt idx="5">
                  <c:v>0.2</c:v>
                </c:pt>
                <c:pt idx="6">
                  <c:v>0.2</c:v>
                </c:pt>
                <c:pt idx="7">
                  <c:v>0.2</c:v>
                </c:pt>
                <c:pt idx="8">
                  <c:v>0.2</c:v>
                </c:pt>
                <c:pt idx="9">
                  <c:v>0.3</c:v>
                </c:pt>
                <c:pt idx="10">
                  <c:v>0.2</c:v>
                </c:pt>
                <c:pt idx="11">
                  <c:v>0.3</c:v>
                </c:pt>
                <c:pt idx="12">
                  <c:v>0.2</c:v>
                </c:pt>
                <c:pt idx="13">
                  <c:v>0.2</c:v>
                </c:pt>
                <c:pt idx="14">
                  <c:v>0.3</c:v>
                </c:pt>
                <c:pt idx="15">
                  <c:v>0.2</c:v>
                </c:pt>
                <c:pt idx="16">
                  <c:v>0.2</c:v>
                </c:pt>
                <c:pt idx="17">
                  <c:v>0.2</c:v>
                </c:pt>
                <c:pt idx="18">
                  <c:v>0.2</c:v>
                </c:pt>
                <c:pt idx="19">
                  <c:v>0.1</c:v>
                </c:pt>
                <c:pt idx="20">
                  <c:v>0.3</c:v>
                </c:pt>
                <c:pt idx="21">
                  <c:v>0.1</c:v>
                </c:pt>
                <c:pt idx="22">
                  <c:v>0.2</c:v>
                </c:pt>
                <c:pt idx="23">
                  <c:v>0.2</c:v>
                </c:pt>
                <c:pt idx="24">
                  <c:v>0.2</c:v>
                </c:pt>
                <c:pt idx="25">
                  <c:v>0.1</c:v>
                </c:pt>
                <c:pt idx="26">
                  <c:v>0.3</c:v>
                </c:pt>
                <c:pt idx="27">
                  <c:v>0.3</c:v>
                </c:pt>
                <c:pt idx="28">
                  <c:v>0.2</c:v>
                </c:pt>
                <c:pt idx="29">
                  <c:v>0.1</c:v>
                </c:pt>
                <c:pt idx="30">
                  <c:v>0.1</c:v>
                </c:pt>
              </c:numCache>
            </c:numRef>
          </c:val>
          <c:extLst xmlns:c16r2="http://schemas.microsoft.com/office/drawing/2015/06/chart">
            <c:ext xmlns:c16="http://schemas.microsoft.com/office/drawing/2014/chart" uri="{C3380CC4-5D6E-409C-BE32-E72D297353CC}">
              <c16:uniqueId val="{00000001-D406-4419-91D2-263FCD1586F5}"/>
            </c:ext>
          </c:extLst>
        </c:ser>
        <c:ser>
          <c:idx val="2"/>
          <c:order val="2"/>
          <c:tx>
            <c:strRef>
              <c:f>'graf_1 (2019)'!$D$53</c:f>
              <c:strCache>
                <c:ptCount val="1"/>
                <c:pt idx="0">
                  <c:v>súdnictvo</c:v>
                </c:pt>
              </c:strCache>
            </c:strRef>
          </c:tx>
          <c:spPr>
            <a:solidFill>
              <a:srgbClr val="002060"/>
            </a:solidFill>
            <a:ln>
              <a:solidFill>
                <a:srgbClr val="002060"/>
              </a:solidFill>
            </a:ln>
            <a:effectLst/>
          </c:spPr>
          <c:invertIfNegative val="0"/>
          <c:cat>
            <c:strRef>
              <c:f>'graf_1 (2019)'!$A$54:$A$84</c:f>
              <c:strCache>
                <c:ptCount val="31"/>
                <c:pt idx="0">
                  <c:v>Bulharsko</c:v>
                </c:pt>
                <c:pt idx="1">
                  <c:v>Lotyšsko</c:v>
                </c:pt>
                <c:pt idx="2">
                  <c:v>Slovensko</c:v>
                </c:pt>
                <c:pt idx="3">
                  <c:v>Rumunsko</c:v>
                </c:pt>
                <c:pt idx="4">
                  <c:v>Grécko</c:v>
                </c:pt>
                <c:pt idx="5">
                  <c:v>Poľsko</c:v>
                </c:pt>
                <c:pt idx="6">
                  <c:v>Maďarsko</c:v>
                </c:pt>
                <c:pt idx="7">
                  <c:v>Chorvátsko</c:v>
                </c:pt>
                <c:pt idx="8">
                  <c:v>Holandsko</c:v>
                </c:pt>
                <c:pt idx="9">
                  <c:v>Česko</c:v>
                </c:pt>
                <c:pt idx="10">
                  <c:v>UK</c:v>
                </c:pt>
                <c:pt idx="11">
                  <c:v>Estónsko</c:v>
                </c:pt>
                <c:pt idx="12">
                  <c:v>Taliansko</c:v>
                </c:pt>
                <c:pt idx="13">
                  <c:v>EÚ28</c:v>
                </c:pt>
                <c:pt idx="14">
                  <c:v>Nemecko</c:v>
                </c:pt>
                <c:pt idx="15">
                  <c:v>Cyprus</c:v>
                </c:pt>
                <c:pt idx="16">
                  <c:v>Španielsko</c:v>
                </c:pt>
                <c:pt idx="17">
                  <c:v>Portugalsko</c:v>
                </c:pt>
                <c:pt idx="18">
                  <c:v>Belgicko</c:v>
                </c:pt>
                <c:pt idx="19">
                  <c:v>Slovinsko</c:v>
                </c:pt>
                <c:pt idx="20">
                  <c:v>Francúzsko</c:v>
                </c:pt>
                <c:pt idx="21">
                  <c:v>Island</c:v>
                </c:pt>
                <c:pt idx="22">
                  <c:v>Litva</c:v>
                </c:pt>
                <c:pt idx="23">
                  <c:v>Rakúsko</c:v>
                </c:pt>
                <c:pt idx="24">
                  <c:v>Švédsko</c:v>
                </c:pt>
                <c:pt idx="25">
                  <c:v>Malta</c:v>
                </c:pt>
                <c:pt idx="26">
                  <c:v>Fínsko</c:v>
                </c:pt>
                <c:pt idx="27">
                  <c:v>Nórsko</c:v>
                </c:pt>
                <c:pt idx="28">
                  <c:v>Luxembursko</c:v>
                </c:pt>
                <c:pt idx="29">
                  <c:v>Dánsko</c:v>
                </c:pt>
                <c:pt idx="30">
                  <c:v>Írsko</c:v>
                </c:pt>
              </c:strCache>
            </c:strRef>
          </c:cat>
          <c:val>
            <c:numRef>
              <c:f>'graf_1 (2019)'!$D$54:$D$84</c:f>
              <c:numCache>
                <c:formatCode>#\ ##0.0</c:formatCode>
                <c:ptCount val="31"/>
                <c:pt idx="0">
                  <c:v>0.7</c:v>
                </c:pt>
                <c:pt idx="1">
                  <c:v>0.4</c:v>
                </c:pt>
                <c:pt idx="2">
                  <c:v>0.3</c:v>
                </c:pt>
                <c:pt idx="3">
                  <c:v>0.4</c:v>
                </c:pt>
                <c:pt idx="4">
                  <c:v>0.4</c:v>
                </c:pt>
                <c:pt idx="5">
                  <c:v>0.5</c:v>
                </c:pt>
                <c:pt idx="6">
                  <c:v>0.4</c:v>
                </c:pt>
                <c:pt idx="7">
                  <c:v>0.4</c:v>
                </c:pt>
                <c:pt idx="8">
                  <c:v>0.3</c:v>
                </c:pt>
                <c:pt idx="9">
                  <c:v>0.3</c:v>
                </c:pt>
                <c:pt idx="10">
                  <c:v>0.4</c:v>
                </c:pt>
                <c:pt idx="11">
                  <c:v>0.3</c:v>
                </c:pt>
                <c:pt idx="12">
                  <c:v>0.3</c:v>
                </c:pt>
                <c:pt idx="13">
                  <c:v>0.3</c:v>
                </c:pt>
                <c:pt idx="14">
                  <c:v>0.4</c:v>
                </c:pt>
                <c:pt idx="15">
                  <c:v>0.1</c:v>
                </c:pt>
                <c:pt idx="16">
                  <c:v>0.3</c:v>
                </c:pt>
                <c:pt idx="17">
                  <c:v>0.3</c:v>
                </c:pt>
                <c:pt idx="18">
                  <c:v>0.2</c:v>
                </c:pt>
                <c:pt idx="19">
                  <c:v>0.5</c:v>
                </c:pt>
                <c:pt idx="20">
                  <c:v>0.2</c:v>
                </c:pt>
                <c:pt idx="21">
                  <c:v>0.2</c:v>
                </c:pt>
                <c:pt idx="22">
                  <c:v>0.3</c:v>
                </c:pt>
                <c:pt idx="23">
                  <c:v>0.3</c:v>
                </c:pt>
                <c:pt idx="24">
                  <c:v>0.3</c:v>
                </c:pt>
                <c:pt idx="25">
                  <c:v>0.3</c:v>
                </c:pt>
                <c:pt idx="26">
                  <c:v>0.3</c:v>
                </c:pt>
                <c:pt idx="27">
                  <c:v>0.2</c:v>
                </c:pt>
                <c:pt idx="28">
                  <c:v>0.2</c:v>
                </c:pt>
                <c:pt idx="29">
                  <c:v>0.2</c:v>
                </c:pt>
                <c:pt idx="30">
                  <c:v>0.2</c:v>
                </c:pt>
              </c:numCache>
            </c:numRef>
          </c:val>
          <c:extLst xmlns:c16r2="http://schemas.microsoft.com/office/drawing/2015/06/chart">
            <c:ext xmlns:c16="http://schemas.microsoft.com/office/drawing/2014/chart" uri="{C3380CC4-5D6E-409C-BE32-E72D297353CC}">
              <c16:uniqueId val="{00000002-D406-4419-91D2-263FCD1586F5}"/>
            </c:ext>
          </c:extLst>
        </c:ser>
        <c:ser>
          <c:idx val="3"/>
          <c:order val="3"/>
          <c:tx>
            <c:strRef>
              <c:f>'graf_1 (2019)'!$E$53</c:f>
              <c:strCache>
                <c:ptCount val="1"/>
                <c:pt idx="0">
                  <c:v>väzenstvo</c:v>
                </c:pt>
              </c:strCache>
            </c:strRef>
          </c:tx>
          <c:spPr>
            <a:solidFill>
              <a:schemeClr val="bg1">
                <a:lumMod val="50000"/>
              </a:schemeClr>
            </a:solidFill>
            <a:ln>
              <a:solidFill>
                <a:schemeClr val="bg1">
                  <a:lumMod val="50000"/>
                </a:schemeClr>
              </a:solidFill>
            </a:ln>
            <a:effectLst/>
          </c:spPr>
          <c:invertIfNegative val="0"/>
          <c:cat>
            <c:strRef>
              <c:f>'graf_1 (2019)'!$A$54:$A$84</c:f>
              <c:strCache>
                <c:ptCount val="31"/>
                <c:pt idx="0">
                  <c:v>Bulharsko</c:v>
                </c:pt>
                <c:pt idx="1">
                  <c:v>Lotyšsko</c:v>
                </c:pt>
                <c:pt idx="2">
                  <c:v>Slovensko</c:v>
                </c:pt>
                <c:pt idx="3">
                  <c:v>Rumunsko</c:v>
                </c:pt>
                <c:pt idx="4">
                  <c:v>Grécko</c:v>
                </c:pt>
                <c:pt idx="5">
                  <c:v>Poľsko</c:v>
                </c:pt>
                <c:pt idx="6">
                  <c:v>Maďarsko</c:v>
                </c:pt>
                <c:pt idx="7">
                  <c:v>Chorvátsko</c:v>
                </c:pt>
                <c:pt idx="8">
                  <c:v>Holandsko</c:v>
                </c:pt>
                <c:pt idx="9">
                  <c:v>Česko</c:v>
                </c:pt>
                <c:pt idx="10">
                  <c:v>UK</c:v>
                </c:pt>
                <c:pt idx="11">
                  <c:v>Estónsko</c:v>
                </c:pt>
                <c:pt idx="12">
                  <c:v>Taliansko</c:v>
                </c:pt>
                <c:pt idx="13">
                  <c:v>EÚ28</c:v>
                </c:pt>
                <c:pt idx="14">
                  <c:v>Nemecko</c:v>
                </c:pt>
                <c:pt idx="15">
                  <c:v>Cyprus</c:v>
                </c:pt>
                <c:pt idx="16">
                  <c:v>Španielsko</c:v>
                </c:pt>
                <c:pt idx="17">
                  <c:v>Portugalsko</c:v>
                </c:pt>
                <c:pt idx="18">
                  <c:v>Belgicko</c:v>
                </c:pt>
                <c:pt idx="19">
                  <c:v>Slovinsko</c:v>
                </c:pt>
                <c:pt idx="20">
                  <c:v>Francúzsko</c:v>
                </c:pt>
                <c:pt idx="21">
                  <c:v>Island</c:v>
                </c:pt>
                <c:pt idx="22">
                  <c:v>Litva</c:v>
                </c:pt>
                <c:pt idx="23">
                  <c:v>Rakúsko</c:v>
                </c:pt>
                <c:pt idx="24">
                  <c:v>Švédsko</c:v>
                </c:pt>
                <c:pt idx="25">
                  <c:v>Malta</c:v>
                </c:pt>
                <c:pt idx="26">
                  <c:v>Fínsko</c:v>
                </c:pt>
                <c:pt idx="27">
                  <c:v>Nórsko</c:v>
                </c:pt>
                <c:pt idx="28">
                  <c:v>Luxembursko</c:v>
                </c:pt>
                <c:pt idx="29">
                  <c:v>Dánsko</c:v>
                </c:pt>
                <c:pt idx="30">
                  <c:v>Írsko</c:v>
                </c:pt>
              </c:strCache>
            </c:strRef>
          </c:cat>
          <c:val>
            <c:numRef>
              <c:f>'graf_1 (2019)'!$E$54:$E$84</c:f>
              <c:numCache>
                <c:formatCode>#\ ##0.0</c:formatCode>
                <c:ptCount val="31"/>
                <c:pt idx="0">
                  <c:v>0.2</c:v>
                </c:pt>
                <c:pt idx="1">
                  <c:v>0.2</c:v>
                </c:pt>
                <c:pt idx="2">
                  <c:v>0.2</c:v>
                </c:pt>
                <c:pt idx="3">
                  <c:v>0.1</c:v>
                </c:pt>
                <c:pt idx="4">
                  <c:v>0.1</c:v>
                </c:pt>
                <c:pt idx="5">
                  <c:v>0.2</c:v>
                </c:pt>
                <c:pt idx="6">
                  <c:v>0.2</c:v>
                </c:pt>
                <c:pt idx="7">
                  <c:v>0.1</c:v>
                </c:pt>
                <c:pt idx="8">
                  <c:v>0.3</c:v>
                </c:pt>
                <c:pt idx="9">
                  <c:v>0.2</c:v>
                </c:pt>
                <c:pt idx="10">
                  <c:v>0.2</c:v>
                </c:pt>
                <c:pt idx="11">
                  <c:v>0.2</c:v>
                </c:pt>
                <c:pt idx="12">
                  <c:v>0.2</c:v>
                </c:pt>
                <c:pt idx="13">
                  <c:v>0.2</c:v>
                </c:pt>
                <c:pt idx="14">
                  <c:v>0.1</c:v>
                </c:pt>
                <c:pt idx="15">
                  <c:v>0.1</c:v>
                </c:pt>
                <c:pt idx="16">
                  <c:v>0.1</c:v>
                </c:pt>
                <c:pt idx="17">
                  <c:v>0.1</c:v>
                </c:pt>
                <c:pt idx="18">
                  <c:v>0.1</c:v>
                </c:pt>
                <c:pt idx="19">
                  <c:v>0.1</c:v>
                </c:pt>
                <c:pt idx="20">
                  <c:v>0.2</c:v>
                </c:pt>
                <c:pt idx="21">
                  <c:v>0.1</c:v>
                </c:pt>
                <c:pt idx="22">
                  <c:v>0.1</c:v>
                </c:pt>
                <c:pt idx="23">
                  <c:v>0.1</c:v>
                </c:pt>
                <c:pt idx="24">
                  <c:v>0.2</c:v>
                </c:pt>
                <c:pt idx="25">
                  <c:v>0.2</c:v>
                </c:pt>
                <c:pt idx="26">
                  <c:v>0.1</c:v>
                </c:pt>
                <c:pt idx="27">
                  <c:v>0.1</c:v>
                </c:pt>
                <c:pt idx="28">
                  <c:v>0.2</c:v>
                </c:pt>
                <c:pt idx="29">
                  <c:v>0.2</c:v>
                </c:pt>
                <c:pt idx="30">
                  <c:v>0.1</c:v>
                </c:pt>
              </c:numCache>
            </c:numRef>
          </c:val>
          <c:extLst xmlns:c16r2="http://schemas.microsoft.com/office/drawing/2015/06/chart">
            <c:ext xmlns:c16="http://schemas.microsoft.com/office/drawing/2014/chart" uri="{C3380CC4-5D6E-409C-BE32-E72D297353CC}">
              <c16:uniqueId val="{00000003-D406-4419-91D2-263FCD1586F5}"/>
            </c:ext>
          </c:extLst>
        </c:ser>
        <c:ser>
          <c:idx val="5"/>
          <c:order val="4"/>
          <c:tx>
            <c:strRef>
              <c:f>'graf_1 (2019)'!$F$53</c:f>
              <c:strCache>
                <c:ptCount val="1"/>
                <c:pt idx="0">
                  <c:v>inde neklasifikované</c:v>
                </c:pt>
              </c:strCache>
            </c:strRef>
          </c:tx>
          <c:spPr>
            <a:solidFill>
              <a:srgbClr val="0070C0"/>
            </a:solidFill>
            <a:ln>
              <a:solidFill>
                <a:srgbClr val="0070C0"/>
              </a:solidFill>
            </a:ln>
            <a:effectLst/>
          </c:spPr>
          <c:invertIfNegative val="0"/>
          <c:cat>
            <c:strRef>
              <c:f>'graf_1 (2019)'!$A$54:$A$84</c:f>
              <c:strCache>
                <c:ptCount val="31"/>
                <c:pt idx="0">
                  <c:v>Bulharsko</c:v>
                </c:pt>
                <c:pt idx="1">
                  <c:v>Lotyšsko</c:v>
                </c:pt>
                <c:pt idx="2">
                  <c:v>Slovensko</c:v>
                </c:pt>
                <c:pt idx="3">
                  <c:v>Rumunsko</c:v>
                </c:pt>
                <c:pt idx="4">
                  <c:v>Grécko</c:v>
                </c:pt>
                <c:pt idx="5">
                  <c:v>Poľsko</c:v>
                </c:pt>
                <c:pt idx="6">
                  <c:v>Maďarsko</c:v>
                </c:pt>
                <c:pt idx="7">
                  <c:v>Chorvátsko</c:v>
                </c:pt>
                <c:pt idx="8">
                  <c:v>Holandsko</c:v>
                </c:pt>
                <c:pt idx="9">
                  <c:v>Česko</c:v>
                </c:pt>
                <c:pt idx="10">
                  <c:v>UK</c:v>
                </c:pt>
                <c:pt idx="11">
                  <c:v>Estónsko</c:v>
                </c:pt>
                <c:pt idx="12">
                  <c:v>Taliansko</c:v>
                </c:pt>
                <c:pt idx="13">
                  <c:v>EÚ28</c:v>
                </c:pt>
                <c:pt idx="14">
                  <c:v>Nemecko</c:v>
                </c:pt>
                <c:pt idx="15">
                  <c:v>Cyprus</c:v>
                </c:pt>
                <c:pt idx="16">
                  <c:v>Španielsko</c:v>
                </c:pt>
                <c:pt idx="17">
                  <c:v>Portugalsko</c:v>
                </c:pt>
                <c:pt idx="18">
                  <c:v>Belgicko</c:v>
                </c:pt>
                <c:pt idx="19">
                  <c:v>Slovinsko</c:v>
                </c:pt>
                <c:pt idx="20">
                  <c:v>Francúzsko</c:v>
                </c:pt>
                <c:pt idx="21">
                  <c:v>Island</c:v>
                </c:pt>
                <c:pt idx="22">
                  <c:v>Litva</c:v>
                </c:pt>
                <c:pt idx="23">
                  <c:v>Rakúsko</c:v>
                </c:pt>
                <c:pt idx="24">
                  <c:v>Švédsko</c:v>
                </c:pt>
                <c:pt idx="25">
                  <c:v>Malta</c:v>
                </c:pt>
                <c:pt idx="26">
                  <c:v>Fínsko</c:v>
                </c:pt>
                <c:pt idx="27">
                  <c:v>Nórsko</c:v>
                </c:pt>
                <c:pt idx="28">
                  <c:v>Luxembursko</c:v>
                </c:pt>
                <c:pt idx="29">
                  <c:v>Dánsko</c:v>
                </c:pt>
                <c:pt idx="30">
                  <c:v>Írsko</c:v>
                </c:pt>
              </c:strCache>
            </c:strRef>
          </c:cat>
          <c:val>
            <c:numRef>
              <c:f>'graf_1 (2019)'!$F$54:$F$84</c:f>
              <c:numCache>
                <c:formatCode>#\ ##0.0</c:formatCode>
                <c:ptCount val="31"/>
                <c:pt idx="0">
                  <c:v>0.2</c:v>
                </c:pt>
                <c:pt idx="1">
                  <c:v>0.2</c:v>
                </c:pt>
                <c:pt idx="2">
                  <c:v>0.5</c:v>
                </c:pt>
                <c:pt idx="3">
                  <c:v>0.3</c:v>
                </c:pt>
                <c:pt idx="4">
                  <c:v>0</c:v>
                </c:pt>
                <c:pt idx="5">
                  <c:v>0.1</c:v>
                </c:pt>
                <c:pt idx="6">
                  <c:v>0</c:v>
                </c:pt>
                <c:pt idx="7">
                  <c:v>0.1</c:v>
                </c:pt>
                <c:pt idx="8">
                  <c:v>0.2</c:v>
                </c:pt>
                <c:pt idx="9">
                  <c:v>0.1</c:v>
                </c:pt>
                <c:pt idx="10">
                  <c:v>0.1</c:v>
                </c:pt>
                <c:pt idx="11">
                  <c:v>0.1</c:v>
                </c:pt>
                <c:pt idx="12">
                  <c:v>0</c:v>
                </c:pt>
                <c:pt idx="13">
                  <c:v>0.1</c:v>
                </c:pt>
                <c:pt idx="14">
                  <c:v>0.1</c:v>
                </c:pt>
                <c:pt idx="15">
                  <c:v>0</c:v>
                </c:pt>
                <c:pt idx="16">
                  <c:v>0</c:v>
                </c:pt>
                <c:pt idx="17">
                  <c:v>0.1</c:v>
                </c:pt>
                <c:pt idx="18">
                  <c:v>0.1</c:v>
                </c:pt>
                <c:pt idx="19">
                  <c:v>0.1</c:v>
                </c:pt>
                <c:pt idx="20">
                  <c:v>0</c:v>
                </c:pt>
                <c:pt idx="21">
                  <c:v>0.3</c:v>
                </c:pt>
                <c:pt idx="22">
                  <c:v>0.3</c:v>
                </c:pt>
                <c:pt idx="23">
                  <c:v>0.1</c:v>
                </c:pt>
                <c:pt idx="24">
                  <c:v>0</c:v>
                </c:pt>
                <c:pt idx="25">
                  <c:v>0</c:v>
                </c:pt>
                <c:pt idx="26">
                  <c:v>0</c:v>
                </c:pt>
                <c:pt idx="27">
                  <c:v>0</c:v>
                </c:pt>
                <c:pt idx="28">
                  <c:v>0</c:v>
                </c:pt>
                <c:pt idx="29">
                  <c:v>0</c:v>
                </c:pt>
                <c:pt idx="30">
                  <c:v>0.1</c:v>
                </c:pt>
              </c:numCache>
            </c:numRef>
          </c:val>
          <c:extLst xmlns:c16r2="http://schemas.microsoft.com/office/drawing/2015/06/chart">
            <c:ext xmlns:c16="http://schemas.microsoft.com/office/drawing/2014/chart" uri="{C3380CC4-5D6E-409C-BE32-E72D297353CC}">
              <c16:uniqueId val="{00000004-D406-4419-91D2-263FCD1586F5}"/>
            </c:ext>
          </c:extLst>
        </c:ser>
        <c:dLbls>
          <c:showLegendKey val="0"/>
          <c:showVal val="0"/>
          <c:showCatName val="0"/>
          <c:showSerName val="0"/>
          <c:showPercent val="0"/>
          <c:showBubbleSize val="0"/>
        </c:dLbls>
        <c:gapWidth val="150"/>
        <c:overlap val="100"/>
        <c:axId val="553602976"/>
        <c:axId val="553603368"/>
      </c:barChart>
      <c:catAx>
        <c:axId val="55360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3603368"/>
        <c:crosses val="autoZero"/>
        <c:auto val="1"/>
        <c:lblAlgn val="ctr"/>
        <c:lblOffset val="100"/>
        <c:noMultiLvlLbl val="0"/>
      </c:catAx>
      <c:valAx>
        <c:axId val="553603368"/>
        <c:scaling>
          <c:orientation val="minMax"/>
          <c:max val="2.5"/>
        </c:scaling>
        <c:delete val="0"/>
        <c:axPos val="l"/>
        <c:majorGridlines>
          <c:spPr>
            <a:ln w="9525" cap="flat" cmpd="sng" algn="ctr">
              <a:solidFill>
                <a:schemeClr val="bg1">
                  <a:lumMod val="75000"/>
                </a:schemeClr>
              </a:solidFill>
              <a:prstDash val="dash"/>
              <a:round/>
            </a:ln>
            <a:effectLst/>
          </c:spPr>
        </c:majorGridlines>
        <c:numFmt formatCode="#\ ##0.0" sourceLinked="1"/>
        <c:majorTickMark val="none"/>
        <c:minorTickMark val="none"/>
        <c:tickLblPos val="nextTo"/>
        <c:spPr>
          <a:noFill/>
          <a:ln>
            <a:solidFill>
              <a:schemeClr val="bg1">
                <a:lumMod val="75000"/>
              </a:schemeClr>
            </a:solidFill>
            <a:prstDash val="das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3602976"/>
        <c:crosses val="autoZero"/>
        <c:crossBetween val="between"/>
      </c:valAx>
      <c:spPr>
        <a:noFill/>
        <a:ln>
          <a:noFill/>
        </a:ln>
        <a:effectLst/>
      </c:spPr>
    </c:plotArea>
    <c:legend>
      <c:legendPos val="t"/>
      <c:layout>
        <c:manualLayout>
          <c:xMode val="edge"/>
          <c:yMode val="edge"/>
          <c:x val="0.38600608951658821"/>
          <c:y val="5.3446091459202053E-2"/>
          <c:w val="0.5897434695663043"/>
          <c:h val="0.15774630771896586"/>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18285214348207"/>
          <c:y val="5.0925925925925923E-2"/>
          <c:w val="0.85026159230096232"/>
          <c:h val="0.74686570428696408"/>
        </c:manualLayout>
      </c:layout>
      <c:barChart>
        <c:barDir val="col"/>
        <c:grouping val="stacked"/>
        <c:varyColors val="0"/>
        <c:ser>
          <c:idx val="0"/>
          <c:order val="0"/>
          <c:tx>
            <c:strRef>
              <c:f>'obranne vydavky spolu'!$S$10</c:f>
              <c:strCache>
                <c:ptCount val="1"/>
                <c:pt idx="0">
                  <c:v>kapitola Ministerstva obrany SR</c:v>
                </c:pt>
              </c:strCache>
            </c:strRef>
          </c:tx>
          <c:spPr>
            <a:solidFill>
              <a:srgbClr val="0070C0"/>
            </a:solidFill>
            <a:ln>
              <a:noFill/>
            </a:ln>
            <a:effectLst/>
          </c:spPr>
          <c:invertIfNegative val="0"/>
          <c:cat>
            <c:strRef>
              <c:f>'obranne vydavky spolu'!$T$9:$Z$9</c:f>
              <c:strCache>
                <c:ptCount val="7"/>
                <c:pt idx="0">
                  <c:v>2019 S</c:v>
                </c:pt>
                <c:pt idx="1">
                  <c:v>2020 S</c:v>
                </c:pt>
                <c:pt idx="2">
                  <c:v>2021 R</c:v>
                </c:pt>
                <c:pt idx="3">
                  <c:v>2021 OS</c:v>
                </c:pt>
                <c:pt idx="4">
                  <c:v>2022 N</c:v>
                </c:pt>
                <c:pt idx="5">
                  <c:v>2023 N</c:v>
                </c:pt>
                <c:pt idx="6">
                  <c:v>2024 N</c:v>
                </c:pt>
              </c:strCache>
            </c:strRef>
          </c:cat>
          <c:val>
            <c:numRef>
              <c:f>'obranne vydavky spolu'!$T$10:$Z$10</c:f>
              <c:numCache>
                <c:formatCode>#,##0</c:formatCode>
                <c:ptCount val="7"/>
                <c:pt idx="0">
                  <c:v>1606316125</c:v>
                </c:pt>
                <c:pt idx="1">
                  <c:v>1792845537</c:v>
                </c:pt>
                <c:pt idx="2">
                  <c:v>1226714431</c:v>
                </c:pt>
                <c:pt idx="3">
                  <c:v>1554418069</c:v>
                </c:pt>
                <c:pt idx="4">
                  <c:v>1333185559</c:v>
                </c:pt>
                <c:pt idx="5">
                  <c:v>1482154382</c:v>
                </c:pt>
                <c:pt idx="6">
                  <c:v>1648054774</c:v>
                </c:pt>
              </c:numCache>
            </c:numRef>
          </c:val>
          <c:extLst xmlns:c16r2="http://schemas.microsoft.com/office/drawing/2015/06/chart">
            <c:ext xmlns:c16="http://schemas.microsoft.com/office/drawing/2014/chart" uri="{C3380CC4-5D6E-409C-BE32-E72D297353CC}">
              <c16:uniqueId val="{00000000-B77A-49CE-AAA0-B31549C6DD41}"/>
            </c:ext>
          </c:extLst>
        </c:ser>
        <c:ser>
          <c:idx val="1"/>
          <c:order val="1"/>
          <c:tx>
            <c:strRef>
              <c:f>'obranne vydavky spolu'!$S$11</c:f>
              <c:strCache>
                <c:ptCount val="1"/>
                <c:pt idx="0">
                  <c:v>kapitálové výdavky vo VPS</c:v>
                </c:pt>
              </c:strCache>
            </c:strRef>
          </c:tx>
          <c:spPr>
            <a:solidFill>
              <a:schemeClr val="tx2">
                <a:lumMod val="40000"/>
                <a:lumOff val="60000"/>
              </a:schemeClr>
            </a:solidFill>
            <a:ln>
              <a:noFill/>
            </a:ln>
            <a:effectLst/>
          </c:spPr>
          <c:invertIfNegative val="0"/>
          <c:cat>
            <c:strRef>
              <c:f>'obranne vydavky spolu'!$T$9:$Z$9</c:f>
              <c:strCache>
                <c:ptCount val="7"/>
                <c:pt idx="0">
                  <c:v>2019 S</c:v>
                </c:pt>
                <c:pt idx="1">
                  <c:v>2020 S</c:v>
                </c:pt>
                <c:pt idx="2">
                  <c:v>2021 R</c:v>
                </c:pt>
                <c:pt idx="3">
                  <c:v>2021 OS</c:v>
                </c:pt>
                <c:pt idx="4">
                  <c:v>2022 N</c:v>
                </c:pt>
                <c:pt idx="5">
                  <c:v>2023 N</c:v>
                </c:pt>
                <c:pt idx="6">
                  <c:v>2024 N</c:v>
                </c:pt>
              </c:strCache>
            </c:strRef>
          </c:cat>
          <c:val>
            <c:numRef>
              <c:f>'obranne vydavky spolu'!$T$11:$Z$11</c:f>
              <c:numCache>
                <c:formatCode>#,##0</c:formatCode>
                <c:ptCount val="7"/>
                <c:pt idx="0">
                  <c:v>0</c:v>
                </c:pt>
                <c:pt idx="1">
                  <c:v>0</c:v>
                </c:pt>
                <c:pt idx="2">
                  <c:v>447366125</c:v>
                </c:pt>
                <c:pt idx="3">
                  <c:v>123816498</c:v>
                </c:pt>
                <c:pt idx="4">
                  <c:v>504333148</c:v>
                </c:pt>
                <c:pt idx="5">
                  <c:v>541143330</c:v>
                </c:pt>
                <c:pt idx="6">
                  <c:v>433444354</c:v>
                </c:pt>
              </c:numCache>
            </c:numRef>
          </c:val>
          <c:extLst xmlns:c16r2="http://schemas.microsoft.com/office/drawing/2015/06/chart">
            <c:ext xmlns:c16="http://schemas.microsoft.com/office/drawing/2014/chart" uri="{C3380CC4-5D6E-409C-BE32-E72D297353CC}">
              <c16:uniqueId val="{00000001-B77A-49CE-AAA0-B31549C6DD41}"/>
            </c:ext>
          </c:extLst>
        </c:ser>
        <c:ser>
          <c:idx val="2"/>
          <c:order val="2"/>
          <c:tx>
            <c:strRef>
              <c:f>'obranne vydavky spolu'!$S$12</c:f>
              <c:strCache>
                <c:ptCount val="1"/>
                <c:pt idx="0">
                  <c:v>ostatné obranné výdavky</c:v>
                </c:pt>
              </c:strCache>
            </c:strRef>
          </c:tx>
          <c:spPr>
            <a:solidFill>
              <a:schemeClr val="bg1">
                <a:lumMod val="50000"/>
              </a:schemeClr>
            </a:solidFill>
            <a:ln>
              <a:noFill/>
            </a:ln>
            <a:effectLst/>
          </c:spPr>
          <c:invertIfNegative val="0"/>
          <c:dLbls>
            <c:dLbl>
              <c:idx val="0"/>
              <c:tx>
                <c:rich>
                  <a:bodyPr/>
                  <a:lstStyle/>
                  <a:p>
                    <a:fld id="{E6D7985A-DCCD-4ACC-A63C-DBBB4A518CA2}" type="CELLRANGE">
                      <a:rPr lang="en-US"/>
                      <a:pPr/>
                      <a:t>[CELLRANGE]</a:t>
                    </a:fld>
                    <a:endParaRPr lang="sk-SK"/>
                  </a:p>
                </c:rich>
              </c:tx>
              <c:dLblPos val="inBase"/>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B77A-49CE-AAA0-B31549C6DD41}"/>
                </c:ext>
                <c:ext xmlns:c15="http://schemas.microsoft.com/office/drawing/2012/chart" uri="{CE6537A1-D6FC-4f65-9D91-7224C49458BB}">
                  <c15:dlblFieldTable/>
                  <c15:showDataLabelsRange val="1"/>
                </c:ext>
              </c:extLst>
            </c:dLbl>
            <c:dLbl>
              <c:idx val="1"/>
              <c:tx>
                <c:rich>
                  <a:bodyPr/>
                  <a:lstStyle/>
                  <a:p>
                    <a:fld id="{E898ADCB-DACC-4DB7-8D57-1331652FDE93}"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0A95988D-8315-4CFA-A444-0478F6B92C52}"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layout>
                <c:manualLayout>
                  <c:x val="0"/>
                  <c:y val="-4.2310075823855355E-2"/>
                </c:manualLayout>
              </c:layout>
              <c:tx>
                <c:rich>
                  <a:bodyPr/>
                  <a:lstStyle/>
                  <a:p>
                    <a:fld id="{D904DE6E-6C2F-4016-BE9B-3614FFFA1895}" type="CELLRANGE">
                      <a:rPr lang="en-US"/>
                      <a:pPr/>
                      <a:t>[CELLRANGE]</a:t>
                    </a:fld>
                    <a:endParaRPr lang="sk-SK"/>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B77A-49CE-AAA0-B31549C6DD41}"/>
                </c:ext>
                <c:ext xmlns:c15="http://schemas.microsoft.com/office/drawing/2012/chart" uri="{CE6537A1-D6FC-4f65-9D91-7224C49458BB}">
                  <c15:dlblFieldTable/>
                  <c15:showDataLabelsRange val="1"/>
                </c:ext>
              </c:extLst>
            </c:dLbl>
            <c:dLbl>
              <c:idx val="4"/>
              <c:tx>
                <c:rich>
                  <a:bodyPr/>
                  <a:lstStyle/>
                  <a:p>
                    <a:fld id="{8F01AA99-EB1A-4487-AE4C-5141F65391BC}"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9AC24941-6E96-4C42-935E-B58198CFE7B9}"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DBB1A23A-A290-419D-A1E1-0F3180137DA4}" type="CELLRANGE">
                      <a:rPr lang="sk-SK"/>
                      <a:pPr/>
                      <a:t>[CELLRANGE]</a:t>
                    </a:fld>
                    <a:endParaRPr lang="sk-SK"/>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inBase"/>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'obranne vydavky spolu'!$T$9:$Z$9</c:f>
              <c:strCache>
                <c:ptCount val="7"/>
                <c:pt idx="0">
                  <c:v>2019 S</c:v>
                </c:pt>
                <c:pt idx="1">
                  <c:v>2020 S</c:v>
                </c:pt>
                <c:pt idx="2">
                  <c:v>2021 R</c:v>
                </c:pt>
                <c:pt idx="3">
                  <c:v>2021 OS</c:v>
                </c:pt>
                <c:pt idx="4">
                  <c:v>2022 N</c:v>
                </c:pt>
                <c:pt idx="5">
                  <c:v>2023 N</c:v>
                </c:pt>
                <c:pt idx="6">
                  <c:v>2024 N</c:v>
                </c:pt>
              </c:strCache>
            </c:strRef>
          </c:cat>
          <c:val>
            <c:numRef>
              <c:f>'obranne vydavky spolu'!$T$12:$Z$12</c:f>
              <c:numCache>
                <c:formatCode>#,##0</c:formatCode>
                <c:ptCount val="7"/>
                <c:pt idx="0">
                  <c:v>11897362.52</c:v>
                </c:pt>
                <c:pt idx="1">
                  <c:v>48270282.049999997</c:v>
                </c:pt>
                <c:pt idx="2">
                  <c:v>8801573</c:v>
                </c:pt>
                <c:pt idx="3">
                  <c:v>153759468</c:v>
                </c:pt>
                <c:pt idx="4">
                  <c:v>62119519</c:v>
                </c:pt>
                <c:pt idx="5">
                  <c:v>26712442</c:v>
                </c:pt>
                <c:pt idx="6">
                  <c:v>27936442</c:v>
                </c:pt>
              </c:numCache>
            </c:numRef>
          </c:val>
          <c:extLst xmlns:c16r2="http://schemas.microsoft.com/office/drawing/2015/06/chart">
            <c:ext xmlns:c16="http://schemas.microsoft.com/office/drawing/2014/chart" uri="{C3380CC4-5D6E-409C-BE32-E72D297353CC}">
              <c16:uniqueId val="{00000009-B77A-49CE-AAA0-B31549C6DD41}"/>
            </c:ext>
            <c:ext xmlns:c15="http://schemas.microsoft.com/office/drawing/2012/chart" uri="{02D57815-91ED-43cb-92C2-25804820EDAC}">
              <c15:datalabelsRange>
                <c15:f>'obranne vydavky spolu'!$T$13:$Z$13</c15:f>
                <c15:dlblRangeCache>
                  <c:ptCount val="7"/>
                  <c:pt idx="0">
                    <c:v>1 618</c:v>
                  </c:pt>
                  <c:pt idx="1">
                    <c:v>1 841</c:v>
                  </c:pt>
                  <c:pt idx="2">
                    <c:v>1 683</c:v>
                  </c:pt>
                  <c:pt idx="3">
                    <c:v>1 832</c:v>
                  </c:pt>
                  <c:pt idx="4">
                    <c:v>1 900</c:v>
                  </c:pt>
                  <c:pt idx="5">
                    <c:v>2 050</c:v>
                  </c:pt>
                  <c:pt idx="6">
                    <c:v>2 109</c:v>
                  </c:pt>
                </c15:dlblRangeCache>
              </c15:datalabelsRange>
            </c:ext>
          </c:extLst>
        </c:ser>
        <c:dLbls>
          <c:showLegendKey val="0"/>
          <c:showVal val="0"/>
          <c:showCatName val="0"/>
          <c:showSerName val="0"/>
          <c:showPercent val="0"/>
          <c:showBubbleSize val="0"/>
        </c:dLbls>
        <c:gapWidth val="150"/>
        <c:overlap val="100"/>
        <c:axId val="553602584"/>
        <c:axId val="553602192"/>
      </c:barChart>
      <c:lineChart>
        <c:grouping val="stacked"/>
        <c:varyColors val="0"/>
        <c:ser>
          <c:idx val="3"/>
          <c:order val="3"/>
          <c:tx>
            <c:strRef>
              <c:f>'obranne vydavky spolu'!$S$19</c:f>
              <c:strCache>
                <c:ptCount val="1"/>
                <c:pt idx="0">
                  <c:v>MO SR + VPS</c:v>
                </c:pt>
              </c:strCache>
            </c:strRef>
          </c:tx>
          <c:spPr>
            <a:ln w="28575" cap="rnd">
              <a:solidFill>
                <a:schemeClr val="tx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'obranne vydavky spolu'!$T$4:$Z$4</c:f>
              <c:numCache>
                <c:formatCode>#,##0</c:formatCode>
                <c:ptCount val="7"/>
                <c:pt idx="0">
                  <c:v>1606316125</c:v>
                </c:pt>
                <c:pt idx="1">
                  <c:v>1792845537</c:v>
                </c:pt>
                <c:pt idx="2">
                  <c:v>1674080556</c:v>
                </c:pt>
                <c:pt idx="3">
                  <c:v>1678234567</c:v>
                </c:pt>
                <c:pt idx="4">
                  <c:v>1837518707</c:v>
                </c:pt>
                <c:pt idx="5">
                  <c:v>2023297712</c:v>
                </c:pt>
                <c:pt idx="6">
                  <c:v>2081499128</c:v>
                </c:pt>
              </c:numCache>
            </c:numRef>
          </c:val>
          <c:smooth val="0"/>
          <c:extLst xmlns:c16r2="http://schemas.microsoft.com/office/drawing/2015/06/chart">
            <c:ext xmlns:c16="http://schemas.microsoft.com/office/drawing/2014/chart" uri="{C3380CC4-5D6E-409C-BE32-E72D297353CC}">
              <c16:uniqueId val="{0000000A-B77A-49CE-AAA0-B31549C6DD41}"/>
            </c:ext>
          </c:extLst>
        </c:ser>
        <c:dLbls>
          <c:showLegendKey val="0"/>
          <c:showVal val="0"/>
          <c:showCatName val="0"/>
          <c:showSerName val="0"/>
          <c:showPercent val="0"/>
          <c:showBubbleSize val="0"/>
        </c:dLbls>
        <c:marker val="1"/>
        <c:smooth val="0"/>
        <c:axId val="553602584"/>
        <c:axId val="553602192"/>
      </c:lineChart>
      <c:catAx>
        <c:axId val="55360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3602192"/>
        <c:crosses val="autoZero"/>
        <c:auto val="1"/>
        <c:lblAlgn val="ctr"/>
        <c:lblOffset val="100"/>
        <c:noMultiLvlLbl val="0"/>
      </c:catAx>
      <c:valAx>
        <c:axId val="5536021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3602584"/>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k-SK"/>
                    <a:t>mil. eur</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ispUnitsLbl>
        </c:dispUnits>
      </c:valAx>
      <c:spPr>
        <a:noFill/>
        <a:ln>
          <a:noFill/>
        </a:ln>
        <a:effectLst/>
      </c:spPr>
    </c:plotArea>
    <c:legend>
      <c:legendPos val="b"/>
      <c:layout>
        <c:manualLayout>
          <c:xMode val="edge"/>
          <c:yMode val="edge"/>
          <c:x val="0.18458289588801399"/>
          <c:y val="0.89795129775444738"/>
          <c:w val="0.74472309711286089"/>
          <c:h val="7.427092446777486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 HDP NATO'!$A$15</c:f>
              <c:strCache>
                <c:ptCount val="1"/>
                <c:pt idx="0">
                  <c:v>cieľ NATO</c:v>
                </c:pt>
              </c:strCache>
            </c:strRef>
          </c:tx>
          <c:spPr>
            <a:ln w="28575" cap="rnd">
              <a:solidFill>
                <a:sysClr val="windowText" lastClr="000000"/>
              </a:solidFill>
              <a:prstDash val="dash"/>
              <a:round/>
            </a:ln>
            <a:effectLst/>
          </c:spPr>
          <c:marker>
            <c:symbol val="none"/>
          </c:marker>
          <c:cat>
            <c:strRef>
              <c:f>'% HDP NATO'!$B$14:$N$14</c:f>
              <c:strCache>
                <c:ptCount val="13"/>
                <c:pt idx="0">
                  <c:v>2012 S</c:v>
                </c:pt>
                <c:pt idx="1">
                  <c:v>2013 S</c:v>
                </c:pt>
                <c:pt idx="2">
                  <c:v>2014 S</c:v>
                </c:pt>
                <c:pt idx="3">
                  <c:v>2015 S</c:v>
                </c:pt>
                <c:pt idx="4">
                  <c:v>2016 S</c:v>
                </c:pt>
                <c:pt idx="5">
                  <c:v>2017 S</c:v>
                </c:pt>
                <c:pt idx="6">
                  <c:v>2018 S</c:v>
                </c:pt>
                <c:pt idx="7">
                  <c:v>2019 S</c:v>
                </c:pt>
                <c:pt idx="8">
                  <c:v>2020 S</c:v>
                </c:pt>
                <c:pt idx="9">
                  <c:v>2021 OS</c:v>
                </c:pt>
                <c:pt idx="10">
                  <c:v>2022 N</c:v>
                </c:pt>
                <c:pt idx="11">
                  <c:v>2023 N</c:v>
                </c:pt>
                <c:pt idx="12">
                  <c:v>2024 N</c:v>
                </c:pt>
              </c:strCache>
            </c:strRef>
          </c:cat>
          <c:val>
            <c:numRef>
              <c:f>'% HDP NATO'!$B$15:$N$15</c:f>
              <c:numCache>
                <c:formatCode>0.00%</c:formatCode>
                <c:ptCount val="13"/>
                <c:pt idx="0">
                  <c:v>0.02</c:v>
                </c:pt>
                <c:pt idx="1">
                  <c:v>0.02</c:v>
                </c:pt>
                <c:pt idx="2">
                  <c:v>0.02</c:v>
                </c:pt>
                <c:pt idx="3">
                  <c:v>0.02</c:v>
                </c:pt>
                <c:pt idx="4">
                  <c:v>0.02</c:v>
                </c:pt>
                <c:pt idx="5">
                  <c:v>0.02</c:v>
                </c:pt>
                <c:pt idx="6">
                  <c:v>0.02</c:v>
                </c:pt>
                <c:pt idx="7">
                  <c:v>0.02</c:v>
                </c:pt>
                <c:pt idx="8">
                  <c:v>0.02</c:v>
                </c:pt>
                <c:pt idx="9">
                  <c:v>0.02</c:v>
                </c:pt>
                <c:pt idx="10">
                  <c:v>0.02</c:v>
                </c:pt>
                <c:pt idx="11">
                  <c:v>0.02</c:v>
                </c:pt>
                <c:pt idx="12">
                  <c:v>0.02</c:v>
                </c:pt>
              </c:numCache>
            </c:numRef>
          </c:val>
          <c:smooth val="0"/>
          <c:extLst xmlns:c16r2="http://schemas.microsoft.com/office/drawing/2015/06/chart">
            <c:ext xmlns:c16="http://schemas.microsoft.com/office/drawing/2014/chart" uri="{C3380CC4-5D6E-409C-BE32-E72D297353CC}">
              <c16:uniqueId val="{00000000-98D7-47AF-B7B0-EC2A07349F46}"/>
            </c:ext>
          </c:extLst>
        </c:ser>
        <c:ser>
          <c:idx val="2"/>
          <c:order val="1"/>
          <c:tx>
            <c:strRef>
              <c:f>'% HDP NATO'!$A$16</c:f>
              <c:strCache>
                <c:ptCount val="1"/>
                <c:pt idx="0">
                  <c:v>NATO v EÚ</c:v>
                </c:pt>
              </c:strCache>
            </c:strRef>
          </c:tx>
          <c:spPr>
            <a:ln w="28575" cap="rnd">
              <a:solidFill>
                <a:srgbClr val="002060"/>
              </a:solidFill>
              <a:round/>
            </a:ln>
            <a:effectLst/>
          </c:spPr>
          <c:marker>
            <c:symbol val="none"/>
          </c:marker>
          <c:cat>
            <c:strRef>
              <c:f>'% HDP NATO'!$B$14:$N$14</c:f>
              <c:strCache>
                <c:ptCount val="13"/>
                <c:pt idx="0">
                  <c:v>2012 S</c:v>
                </c:pt>
                <c:pt idx="1">
                  <c:v>2013 S</c:v>
                </c:pt>
                <c:pt idx="2">
                  <c:v>2014 S</c:v>
                </c:pt>
                <c:pt idx="3">
                  <c:v>2015 S</c:v>
                </c:pt>
                <c:pt idx="4">
                  <c:v>2016 S</c:v>
                </c:pt>
                <c:pt idx="5">
                  <c:v>2017 S</c:v>
                </c:pt>
                <c:pt idx="6">
                  <c:v>2018 S</c:v>
                </c:pt>
                <c:pt idx="7">
                  <c:v>2019 S</c:v>
                </c:pt>
                <c:pt idx="8">
                  <c:v>2020 S</c:v>
                </c:pt>
                <c:pt idx="9">
                  <c:v>2021 OS</c:v>
                </c:pt>
                <c:pt idx="10">
                  <c:v>2022 N</c:v>
                </c:pt>
                <c:pt idx="11">
                  <c:v>2023 N</c:v>
                </c:pt>
                <c:pt idx="12">
                  <c:v>2024 N</c:v>
                </c:pt>
              </c:strCache>
            </c:strRef>
          </c:cat>
          <c:val>
            <c:numRef>
              <c:f>'% HDP NATO'!$B$16:$N$16</c:f>
              <c:numCache>
                <c:formatCode>0.00%</c:formatCode>
                <c:ptCount val="13"/>
                <c:pt idx="0">
                  <c:v>1.2840662477170547E-2</c:v>
                </c:pt>
                <c:pt idx="1">
                  <c:v>1.2502334723278809E-2</c:v>
                </c:pt>
                <c:pt idx="2">
                  <c:v>1.2841791405077135E-2</c:v>
                </c:pt>
                <c:pt idx="3">
                  <c:v>1.3215614307367986E-2</c:v>
                </c:pt>
                <c:pt idx="4">
                  <c:v>1.3468780306055745E-2</c:v>
                </c:pt>
                <c:pt idx="5">
                  <c:v>1.3923656571764399E-2</c:v>
                </c:pt>
                <c:pt idx="6">
                  <c:v>1.4693740149988376E-2</c:v>
                </c:pt>
                <c:pt idx="7">
                  <c:v>1.5934816816752725E-2</c:v>
                </c:pt>
                <c:pt idx="8">
                  <c:v>1.6658166207282089E-2</c:v>
                </c:pt>
                <c:pt idx="9">
                  <c:v>1.7591029058912237E-2</c:v>
                </c:pt>
              </c:numCache>
            </c:numRef>
          </c:val>
          <c:smooth val="0"/>
          <c:extLst xmlns:c16r2="http://schemas.microsoft.com/office/drawing/2015/06/chart">
            <c:ext xmlns:c16="http://schemas.microsoft.com/office/drawing/2014/chart" uri="{C3380CC4-5D6E-409C-BE32-E72D297353CC}">
              <c16:uniqueId val="{00000001-98D7-47AF-B7B0-EC2A07349F46}"/>
            </c:ext>
          </c:extLst>
        </c:ser>
        <c:ser>
          <c:idx val="3"/>
          <c:order val="2"/>
          <c:tx>
            <c:strRef>
              <c:f>'% HDP NATO'!$A$17</c:f>
              <c:strCache>
                <c:ptCount val="1"/>
                <c:pt idx="0">
                  <c:v>F3</c:v>
                </c:pt>
              </c:strCache>
            </c:strRef>
          </c:tx>
          <c:spPr>
            <a:ln w="28575" cap="rnd">
              <a:solidFill>
                <a:sysClr val="window" lastClr="FFFFFF">
                  <a:lumMod val="50000"/>
                </a:sysClr>
              </a:solidFill>
              <a:prstDash val="sysDash"/>
              <a:round/>
            </a:ln>
            <a:effectLst/>
          </c:spPr>
          <c:marker>
            <c:symbol val="none"/>
          </c:marker>
          <c:cat>
            <c:strRef>
              <c:f>'% HDP NATO'!$B$14:$N$14</c:f>
              <c:strCache>
                <c:ptCount val="13"/>
                <c:pt idx="0">
                  <c:v>2012 S</c:v>
                </c:pt>
                <c:pt idx="1">
                  <c:v>2013 S</c:v>
                </c:pt>
                <c:pt idx="2">
                  <c:v>2014 S</c:v>
                </c:pt>
                <c:pt idx="3">
                  <c:v>2015 S</c:v>
                </c:pt>
                <c:pt idx="4">
                  <c:v>2016 S</c:v>
                </c:pt>
                <c:pt idx="5">
                  <c:v>2017 S</c:v>
                </c:pt>
                <c:pt idx="6">
                  <c:v>2018 S</c:v>
                </c:pt>
                <c:pt idx="7">
                  <c:v>2019 S</c:v>
                </c:pt>
                <c:pt idx="8">
                  <c:v>2020 S</c:v>
                </c:pt>
                <c:pt idx="9">
                  <c:v>2021 OS</c:v>
                </c:pt>
                <c:pt idx="10">
                  <c:v>2022 N</c:v>
                </c:pt>
                <c:pt idx="11">
                  <c:v>2023 N</c:v>
                </c:pt>
                <c:pt idx="12">
                  <c:v>2024 N</c:v>
                </c:pt>
              </c:strCache>
            </c:strRef>
          </c:cat>
          <c:val>
            <c:numRef>
              <c:f>'% HDP NATO'!$B$17:$N$17</c:f>
              <c:numCache>
                <c:formatCode>0.00%</c:formatCode>
                <c:ptCount val="13"/>
                <c:pt idx="0">
                  <c:v>1.2097618657154321E-2</c:v>
                </c:pt>
                <c:pt idx="1">
                  <c:v>1.134578350320751E-2</c:v>
                </c:pt>
                <c:pt idx="2">
                  <c:v>1.0906719306395888E-2</c:v>
                </c:pt>
                <c:pt idx="3">
                  <c:v>1.05109232608176E-2</c:v>
                </c:pt>
                <c:pt idx="4">
                  <c:v>1.0667618963280862E-2</c:v>
                </c:pt>
                <c:pt idx="5">
                  <c:v>1.0567616892043163E-2</c:v>
                </c:pt>
                <c:pt idx="6">
                  <c:v>1.1283418924504629E-2</c:v>
                </c:pt>
                <c:pt idx="7">
                  <c:v>1.1810963618291695E-2</c:v>
                </c:pt>
                <c:pt idx="8">
                  <c:v>1.3097401905397056E-2</c:v>
                </c:pt>
                <c:pt idx="9">
                  <c:v>1.3261301504500687E-2</c:v>
                </c:pt>
              </c:numCache>
            </c:numRef>
          </c:val>
          <c:smooth val="0"/>
          <c:extLst xmlns:c16r2="http://schemas.microsoft.com/office/drawing/2015/06/chart">
            <c:ext xmlns:c16="http://schemas.microsoft.com/office/drawing/2014/chart" uri="{C3380CC4-5D6E-409C-BE32-E72D297353CC}">
              <c16:uniqueId val="{00000002-98D7-47AF-B7B0-EC2A07349F46}"/>
            </c:ext>
          </c:extLst>
        </c:ser>
        <c:ser>
          <c:idx val="4"/>
          <c:order val="3"/>
          <c:tx>
            <c:strRef>
              <c:f>'% HDP NATO'!$A$18</c:f>
              <c:strCache>
                <c:ptCount val="1"/>
                <c:pt idx="0">
                  <c:v>C3</c:v>
                </c:pt>
              </c:strCache>
            </c:strRef>
          </c:tx>
          <c:spPr>
            <a:ln w="28575" cap="rnd">
              <a:solidFill>
                <a:schemeClr val="accent1">
                  <a:lumMod val="60000"/>
                  <a:lumOff val="40000"/>
                </a:schemeClr>
              </a:solidFill>
              <a:prstDash val="sysDash"/>
              <a:round/>
            </a:ln>
            <a:effectLst/>
          </c:spPr>
          <c:marker>
            <c:symbol val="none"/>
          </c:marker>
          <c:cat>
            <c:strRef>
              <c:f>'% HDP NATO'!$B$14:$N$14</c:f>
              <c:strCache>
                <c:ptCount val="13"/>
                <c:pt idx="0">
                  <c:v>2012 S</c:v>
                </c:pt>
                <c:pt idx="1">
                  <c:v>2013 S</c:v>
                </c:pt>
                <c:pt idx="2">
                  <c:v>2014 S</c:v>
                </c:pt>
                <c:pt idx="3">
                  <c:v>2015 S</c:v>
                </c:pt>
                <c:pt idx="4">
                  <c:v>2016 S</c:v>
                </c:pt>
                <c:pt idx="5">
                  <c:v>2017 S</c:v>
                </c:pt>
                <c:pt idx="6">
                  <c:v>2018 S</c:v>
                </c:pt>
                <c:pt idx="7">
                  <c:v>2019 S</c:v>
                </c:pt>
                <c:pt idx="8">
                  <c:v>2020 S</c:v>
                </c:pt>
                <c:pt idx="9">
                  <c:v>2021 OS</c:v>
                </c:pt>
                <c:pt idx="10">
                  <c:v>2022 N</c:v>
                </c:pt>
                <c:pt idx="11">
                  <c:v>2023 N</c:v>
                </c:pt>
                <c:pt idx="12">
                  <c:v>2024 N</c:v>
                </c:pt>
              </c:strCache>
            </c:strRef>
          </c:cat>
          <c:val>
            <c:numRef>
              <c:f>'% HDP NATO'!$B$18:$N$18</c:f>
              <c:numCache>
                <c:formatCode>0.00%</c:formatCode>
                <c:ptCount val="13"/>
                <c:pt idx="0">
                  <c:v>9.4796514009963164E-3</c:v>
                </c:pt>
                <c:pt idx="1">
                  <c:v>9.1242332194886987E-3</c:v>
                </c:pt>
                <c:pt idx="2">
                  <c:v>8.9429594674180976E-3</c:v>
                </c:pt>
                <c:pt idx="3">
                  <c:v>1.0216517427808098E-2</c:v>
                </c:pt>
                <c:pt idx="4">
                  <c:v>1.1438808850306438E-2</c:v>
                </c:pt>
                <c:pt idx="5">
                  <c:v>1.3129409485636267E-2</c:v>
                </c:pt>
                <c:pt idx="6">
                  <c:v>1.3588842752385763E-2</c:v>
                </c:pt>
                <c:pt idx="7">
                  <c:v>1.4718521567147707E-2</c:v>
                </c:pt>
                <c:pt idx="8">
                  <c:v>1.7354615980283799E-2</c:v>
                </c:pt>
                <c:pt idx="9">
                  <c:v>1.6813308382152493E-2</c:v>
                </c:pt>
              </c:numCache>
            </c:numRef>
          </c:val>
          <c:smooth val="0"/>
          <c:extLst xmlns:c16r2="http://schemas.microsoft.com/office/drawing/2015/06/chart">
            <c:ext xmlns:c16="http://schemas.microsoft.com/office/drawing/2014/chart" uri="{C3380CC4-5D6E-409C-BE32-E72D297353CC}">
              <c16:uniqueId val="{00000003-98D7-47AF-B7B0-EC2A07349F46}"/>
            </c:ext>
          </c:extLst>
        </c:ser>
        <c:ser>
          <c:idx val="5"/>
          <c:order val="4"/>
          <c:tx>
            <c:strRef>
              <c:f>'% HDP NATO'!$A$19</c:f>
              <c:strCache>
                <c:ptCount val="1"/>
                <c:pt idx="0">
                  <c:v>Slovensko</c:v>
                </c:pt>
              </c:strCache>
            </c:strRef>
          </c:tx>
          <c:spPr>
            <a:ln w="28575" cap="rnd">
              <a:solidFill>
                <a:srgbClr val="00B0F0"/>
              </a:solidFill>
              <a:prstDash val="solid"/>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4-98D7-47AF-B7B0-EC2A07349F4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98D7-47AF-B7B0-EC2A07349F4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98D7-47AF-B7B0-EC2A07349F4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98D7-47AF-B7B0-EC2A07349F4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98D7-47AF-B7B0-EC2A07349F4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98D7-47AF-B7B0-EC2A07349F46}"/>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98D7-47AF-B7B0-EC2A07349F46}"/>
                </c:ext>
                <c:ext xmlns:c15="http://schemas.microsoft.com/office/drawing/2012/chart" uri="{CE6537A1-D6FC-4f65-9D91-7224C49458BB}"/>
              </c:extLst>
            </c:dLbl>
            <c:dLbl>
              <c:idx val="7"/>
              <c:layout>
                <c:manualLayout>
                  <c:x val="-0.1989395422794373"/>
                  <c:y val="-3.5170826955860629E-2"/>
                </c:manualLayout>
              </c:layout>
              <c:tx>
                <c:rich>
                  <a:bodyPr/>
                  <a:lstStyle/>
                  <a:p>
                    <a:fld id="{D7EB4F76-02DC-4786-A0BB-B5DC50E4873C}" type="CELLRANGE">
                      <a:rPr lang="en-US" baseline="0"/>
                      <a:pPr/>
                      <a:t>[CELLRANGE]</a:t>
                    </a:fld>
                    <a:r>
                      <a:rPr lang="en-US" baseline="0"/>
                      <a:t>; </a:t>
                    </a:r>
                    <a:fld id="{2698969A-C191-4FDB-8598-726E40980B16}" type="VALUE">
                      <a:rPr lang="en-US" baseline="0"/>
                      <a:pPr/>
                      <a:t>[HODNOTA]</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8D7-47AF-B7B0-EC2A07349F46}"/>
                </c:ext>
                <c:ext xmlns:c15="http://schemas.microsoft.com/office/drawing/2012/chart" uri="{CE6537A1-D6FC-4f65-9D91-7224C49458BB}">
                  <c15:dlblFieldTable/>
                  <c15:showDataLabelsRange val="1"/>
                </c:ext>
              </c:extLst>
            </c:dLbl>
            <c:dLbl>
              <c:idx val="8"/>
              <c:layout>
                <c:manualLayout>
                  <c:x val="-0.16549441736449619"/>
                  <c:y val="-7.2518311859252393E-2"/>
                </c:manualLayout>
              </c:layout>
              <c:tx>
                <c:rich>
                  <a:bodyPr/>
                  <a:lstStyle/>
                  <a:p>
                    <a:fld id="{97536CCC-4E14-48D1-91FD-FB0956DD56A7}" type="CELLRANGE">
                      <a:rPr lang="en-US" baseline="0"/>
                      <a:pPr/>
                      <a:t>[CELLRANGE]</a:t>
                    </a:fld>
                    <a:r>
                      <a:rPr lang="en-US" baseline="0"/>
                      <a:t>; </a:t>
                    </a:r>
                    <a:fld id="{9EA83F27-0495-4B2D-BCAC-E17AC08C26D2}" type="VALUE">
                      <a:rPr lang="en-US" baseline="0"/>
                      <a:pPr/>
                      <a:t>[HODNOTA]</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8D7-47AF-B7B0-EC2A07349F46}"/>
                </c:ext>
                <c:ext xmlns:c15="http://schemas.microsoft.com/office/drawing/2012/chart" uri="{CE6537A1-D6FC-4f65-9D91-7224C49458BB}">
                  <c15:dlblFieldTable/>
                  <c15:showDataLabelsRange val="1"/>
                </c:ext>
              </c:extLst>
            </c:dLbl>
            <c:dLbl>
              <c:idx val="9"/>
              <c:layout>
                <c:manualLayout>
                  <c:x val="-6.8901283172936714E-2"/>
                  <c:y val="-0.11245943257518161"/>
                </c:manualLayout>
              </c:layout>
              <c:tx>
                <c:rich>
                  <a:bodyPr/>
                  <a:lstStyle/>
                  <a:p>
                    <a:fld id="{98BE06AF-6614-4AA9-B7F9-455683A1E6FB}" type="CELLRANGE">
                      <a:rPr lang="en-US" baseline="0"/>
                      <a:pPr/>
                      <a:t>[CELLRANGE]</a:t>
                    </a:fld>
                    <a:r>
                      <a:rPr lang="en-US" baseline="0"/>
                      <a:t>; </a:t>
                    </a:r>
                    <a:fld id="{A8C8FA79-F998-4762-87DA-0AF835DCCE21}" type="VALUE">
                      <a:rPr lang="en-US" baseline="0"/>
                      <a:pPr/>
                      <a:t>[HODNOTA]</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8D7-47AF-B7B0-EC2A07349F46}"/>
                </c:ext>
                <c:ext xmlns:c15="http://schemas.microsoft.com/office/drawing/2012/chart" uri="{CE6537A1-D6FC-4f65-9D91-7224C49458BB}">
                  <c15:dlblFieldTable/>
                  <c15:showDataLabelsRange val="1"/>
                </c:ext>
              </c:extLst>
            </c:dLbl>
            <c:dLbl>
              <c:idx val="10"/>
              <c:layout>
                <c:manualLayout>
                  <c:x val="1.0668110930578123E-2"/>
                  <c:y val="-0.15128157895618219"/>
                </c:manualLayout>
              </c:layout>
              <c:tx>
                <c:rich>
                  <a:bodyPr/>
                  <a:lstStyle/>
                  <a:p>
                    <a:fld id="{42237D5E-8B76-42E2-B57C-D0447383F2C0}" type="CELLRANGE">
                      <a:rPr lang="en-US" baseline="0"/>
                      <a:pPr/>
                      <a:t>[CELLRANGE]</a:t>
                    </a:fld>
                    <a:r>
                      <a:rPr lang="en-US" baseline="0"/>
                      <a:t>; </a:t>
                    </a:r>
                    <a:fld id="{029E28B9-DBF4-4E1E-9310-0C598B321A58}" type="VALUE">
                      <a:rPr lang="en-US" baseline="0"/>
                      <a:pPr/>
                      <a:t>[HODNOTA]</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8D7-47AF-B7B0-EC2A07349F46}"/>
                </c:ext>
                <c:ext xmlns:c15="http://schemas.microsoft.com/office/drawing/2012/chart" uri="{CE6537A1-D6FC-4f65-9D91-7224C49458BB}">
                  <c15:dlblFieldTable/>
                  <c15:showDataLabelsRange val="1"/>
                </c:ext>
              </c:extLst>
            </c:dLbl>
            <c:dLbl>
              <c:idx val="11"/>
              <c:layout>
                <c:manualLayout>
                  <c:x val="-0.11812273465816774"/>
                  <c:y val="6.4921946432578537E-2"/>
                </c:manualLayout>
              </c:layout>
              <c:tx>
                <c:rich>
                  <a:bodyPr/>
                  <a:lstStyle/>
                  <a:p>
                    <a:fld id="{6C94356C-0D73-4125-A446-AF6915553275}" type="CELLRANGE">
                      <a:rPr lang="en-US" baseline="0"/>
                      <a:pPr/>
                      <a:t>[CELLRANGE]</a:t>
                    </a:fld>
                    <a:r>
                      <a:rPr lang="en-US" baseline="0"/>
                      <a:t>; </a:t>
                    </a:r>
                    <a:fld id="{00F81FF0-024F-49C7-B679-E5E7922DA188}" type="VALUE">
                      <a:rPr lang="en-US" baseline="0"/>
                      <a:pPr/>
                      <a:t>[HODNOTA]</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8D7-47AF-B7B0-EC2A07349F46}"/>
                </c:ext>
                <c:ext xmlns:c15="http://schemas.microsoft.com/office/drawing/2012/chart" uri="{CE6537A1-D6FC-4f65-9D91-7224C49458BB}">
                  <c15:dlblFieldTable/>
                  <c15:showDataLabelsRange val="1"/>
                </c:ext>
              </c:extLst>
            </c:dLbl>
            <c:dLbl>
              <c:idx val="12"/>
              <c:layout>
                <c:manualLayout>
                  <c:x val="-8.1300601313724682E-3"/>
                  <c:y val="0.14972184729567248"/>
                </c:manualLayout>
              </c:layout>
              <c:tx>
                <c:rich>
                  <a:bodyPr/>
                  <a:lstStyle/>
                  <a:p>
                    <a:fld id="{D6704E9D-97B2-45AF-BB13-A2E438AB3046}" type="CELLRANGE">
                      <a:rPr lang="en-US" baseline="0"/>
                      <a:pPr/>
                      <a:t>[CELLRANGE]</a:t>
                    </a:fld>
                    <a:r>
                      <a:rPr lang="en-US" baseline="0"/>
                      <a:t>; </a:t>
                    </a:r>
                    <a:fld id="{3D6278DD-9442-47FD-A80A-3CA8D68F8907}" type="VALUE">
                      <a:rPr lang="en-US" baseline="0"/>
                      <a:pPr/>
                      <a:t>[HODNOTA]</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8D7-47AF-B7B0-EC2A07349F46}"/>
                </c:ext>
                <c:ext xmlns:c15="http://schemas.microsoft.com/office/drawing/2012/chart" uri="{CE6537A1-D6FC-4f65-9D91-7224C49458BB}">
                  <c15:dlblFieldTable/>
                  <c15:showDataLabelsRange val="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strRef>
              <c:f>'% HDP NATO'!$B$14:$N$14</c:f>
              <c:strCache>
                <c:ptCount val="13"/>
                <c:pt idx="0">
                  <c:v>2012 S</c:v>
                </c:pt>
                <c:pt idx="1">
                  <c:v>2013 S</c:v>
                </c:pt>
                <c:pt idx="2">
                  <c:v>2014 S</c:v>
                </c:pt>
                <c:pt idx="3">
                  <c:v>2015 S</c:v>
                </c:pt>
                <c:pt idx="4">
                  <c:v>2016 S</c:v>
                </c:pt>
                <c:pt idx="5">
                  <c:v>2017 S</c:v>
                </c:pt>
                <c:pt idx="6">
                  <c:v>2018 S</c:v>
                </c:pt>
                <c:pt idx="7">
                  <c:v>2019 S</c:v>
                </c:pt>
                <c:pt idx="8">
                  <c:v>2020 S</c:v>
                </c:pt>
                <c:pt idx="9">
                  <c:v>2021 OS</c:v>
                </c:pt>
                <c:pt idx="10">
                  <c:v>2022 N</c:v>
                </c:pt>
                <c:pt idx="11">
                  <c:v>2023 N</c:v>
                </c:pt>
                <c:pt idx="12">
                  <c:v>2024 N</c:v>
                </c:pt>
              </c:strCache>
            </c:strRef>
          </c:cat>
          <c:val>
            <c:numRef>
              <c:f>'% HDP NATO'!$B$19:$N$19</c:f>
              <c:numCache>
                <c:formatCode>0.00%</c:formatCode>
                <c:ptCount val="13"/>
                <c:pt idx="0">
                  <c:v>1.089293176630435E-2</c:v>
                </c:pt>
                <c:pt idx="1">
                  <c:v>9.8997541666666668E-3</c:v>
                </c:pt>
                <c:pt idx="2">
                  <c:v>9.9788944036697247E-3</c:v>
                </c:pt>
                <c:pt idx="3">
                  <c:v>1.122671620300752E-2</c:v>
                </c:pt>
                <c:pt idx="4">
                  <c:v>1.1269540579531443E-2</c:v>
                </c:pt>
                <c:pt idx="5">
                  <c:v>1.1151997602165679E-2</c:v>
                </c:pt>
                <c:pt idx="6">
                  <c:v>1.2364739634538404E-2</c:v>
                </c:pt>
                <c:pt idx="7">
                  <c:v>1.720624489318134E-2</c:v>
                </c:pt>
                <c:pt idx="8">
                  <c:v>1.9994903944865847E-2</c:v>
                </c:pt>
                <c:pt idx="9">
                  <c:v>1.880132669859174E-2</c:v>
                </c:pt>
                <c:pt idx="10">
                  <c:v>1.7999999999999999E-2</c:v>
                </c:pt>
                <c:pt idx="11">
                  <c:v>1.7999999999999999E-2</c:v>
                </c:pt>
                <c:pt idx="12">
                  <c:v>1.7999999999999999E-2</c:v>
                </c:pt>
              </c:numCache>
            </c:numRef>
          </c:val>
          <c:smooth val="0"/>
          <c:extLst xmlns:c16r2="http://schemas.microsoft.com/office/drawing/2015/06/chart">
            <c:ext xmlns:c16="http://schemas.microsoft.com/office/drawing/2014/chart" uri="{C3380CC4-5D6E-409C-BE32-E72D297353CC}">
              <c16:uniqueId val="{00000011-98D7-47AF-B7B0-EC2A07349F46}"/>
            </c:ext>
            <c:ext xmlns:c15="http://schemas.microsoft.com/office/drawing/2012/chart" uri="{02D57815-91ED-43cb-92C2-25804820EDAC}">
              <c15:datalabelsRange>
                <c15:f>'% HDP NATO'!$B$20:$N$20</c15:f>
                <c15:dlblRangeCache>
                  <c:ptCount val="13"/>
                  <c:pt idx="7">
                    <c:v>1,62mld. €</c:v>
                  </c:pt>
                  <c:pt idx="8">
                    <c:v>1,84mld. €</c:v>
                  </c:pt>
                  <c:pt idx="9">
                    <c:v>1,83mld. €</c:v>
                  </c:pt>
                  <c:pt idx="10">
                    <c:v>1,90mld. €</c:v>
                  </c:pt>
                  <c:pt idx="11">
                    <c:v>2,05mld. €</c:v>
                  </c:pt>
                  <c:pt idx="12">
                    <c:v>2,11mld. €</c:v>
                  </c:pt>
                </c15:dlblRangeCache>
              </c15:datalabelsRange>
            </c:ext>
          </c:extLst>
        </c:ser>
        <c:dLbls>
          <c:showLegendKey val="0"/>
          <c:showVal val="0"/>
          <c:showCatName val="0"/>
          <c:showSerName val="0"/>
          <c:showPercent val="0"/>
          <c:showBubbleSize val="0"/>
        </c:dLbls>
        <c:smooth val="0"/>
        <c:axId val="553601408"/>
        <c:axId val="553600624"/>
        <c:extLst xmlns:c16r2="http://schemas.microsoft.com/office/drawing/2015/06/chart"/>
      </c:lineChart>
      <c:catAx>
        <c:axId val="5536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3600624"/>
        <c:crosses val="autoZero"/>
        <c:auto val="1"/>
        <c:lblAlgn val="ctr"/>
        <c:lblOffset val="100"/>
        <c:noMultiLvlLbl val="0"/>
      </c:catAx>
      <c:valAx>
        <c:axId val="553600624"/>
        <c:scaling>
          <c:orientation val="minMax"/>
        </c:scaling>
        <c:delete val="0"/>
        <c:axPos val="l"/>
        <c:majorGridlines>
          <c:spPr>
            <a:ln w="9525" cap="flat" cmpd="sng" algn="ctr">
              <a:solidFill>
                <a:schemeClr val="bg1">
                  <a:lumMod val="7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3601408"/>
        <c:crosses val="autoZero"/>
        <c:crossBetween val="midCat"/>
      </c:valAx>
      <c:spPr>
        <a:noFill/>
        <a:ln>
          <a:noFill/>
        </a:ln>
        <a:effectLst/>
      </c:spPr>
    </c:plotArea>
    <c:legend>
      <c:legendPos val="t"/>
      <c:layout>
        <c:manualLayout>
          <c:xMode val="edge"/>
          <c:yMode val="edge"/>
          <c:x val="7.5803587051618548E-2"/>
          <c:y val="2.6845637583892617E-2"/>
          <c:w val="0.9"/>
          <c:h val="0.1080092635479388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17436997626964E-2"/>
          <c:y val="4.2759961127308101E-2"/>
          <c:w val="0.93616132135261021"/>
          <c:h val="0.748560271429486"/>
        </c:manualLayout>
      </c:layout>
      <c:barChart>
        <c:barDir val="col"/>
        <c:grouping val="clustered"/>
        <c:varyColors val="0"/>
        <c:ser>
          <c:idx val="0"/>
          <c:order val="0"/>
          <c:tx>
            <c:strRef>
              <c:f>Graf_1!$C$46</c:f>
              <c:strCache>
                <c:ptCount val="1"/>
                <c:pt idx="0">
                  <c:v>podiel 2020</c:v>
                </c:pt>
              </c:strCache>
            </c:strRef>
          </c:tx>
          <c:spPr>
            <a:solidFill>
              <a:srgbClr val="00B0F0"/>
            </a:solidFill>
          </c:spPr>
          <c:invertIfNegative val="0"/>
          <c:dPt>
            <c:idx val="16"/>
            <c:invertIfNegative val="0"/>
            <c:bubble3D val="0"/>
            <c:spPr>
              <a:solidFill>
                <a:srgbClr val="5B9BD5">
                  <a:lumMod val="50000"/>
                </a:srgbClr>
              </a:solidFill>
            </c:spPr>
            <c:extLst xmlns:c16r2="http://schemas.microsoft.com/office/drawing/2015/06/chart">
              <c:ext xmlns:c16="http://schemas.microsoft.com/office/drawing/2014/chart" uri="{C3380CC4-5D6E-409C-BE32-E72D297353CC}">
                <c16:uniqueId val="{00000001-C716-44BF-8387-CE6E2AE7BB86}"/>
              </c:ext>
            </c:extLst>
          </c:dPt>
          <c:dLbls>
            <c:dLbl>
              <c:idx val="16"/>
              <c:layout>
                <c:manualLayout>
                  <c:x val="-2.5892928865395375E-3"/>
                  <c:y val="-2.4390243902439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16-44BF-8387-CE6E2AE7BB8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Graf_1!$B$47:$B$73</c:f>
              <c:strCache>
                <c:ptCount val="27"/>
                <c:pt idx="0">
                  <c:v>Dánsko</c:v>
                </c:pt>
                <c:pt idx="1">
                  <c:v>Cyprus</c:v>
                </c:pt>
                <c:pt idx="2">
                  <c:v>Chorvátsko</c:v>
                </c:pt>
                <c:pt idx="3">
                  <c:v>Belgicko</c:v>
                </c:pt>
                <c:pt idx="4">
                  <c:v>Grécko</c:v>
                </c:pt>
                <c:pt idx="5">
                  <c:v>Francúzko</c:v>
                </c:pt>
                <c:pt idx="6">
                  <c:v>Švédsko</c:v>
                </c:pt>
                <c:pt idx="7">
                  <c:v>Fínsko</c:v>
                </c:pt>
                <c:pt idx="8">
                  <c:v>Estónsko</c:v>
                </c:pt>
                <c:pt idx="9">
                  <c:v>Slovinsko</c:v>
                </c:pt>
                <c:pt idx="10">
                  <c:v>Španielsko</c:v>
                </c:pt>
                <c:pt idx="11">
                  <c:v>Malta</c:v>
                </c:pt>
                <c:pt idx="12">
                  <c:v>Rumunsko</c:v>
                </c:pt>
                <c:pt idx="13">
                  <c:v>Lotyšsko</c:v>
                </c:pt>
                <c:pt idx="14">
                  <c:v>Portugalsko</c:v>
                </c:pt>
                <c:pt idx="15">
                  <c:v>Litva</c:v>
                </c:pt>
                <c:pt idx="16">
                  <c:v>Slovensko</c:v>
                </c:pt>
                <c:pt idx="17">
                  <c:v>Rakúsko</c:v>
                </c:pt>
                <c:pt idx="18">
                  <c:v>Česko</c:v>
                </c:pt>
                <c:pt idx="19">
                  <c:v>Bulharsko</c:v>
                </c:pt>
                <c:pt idx="20">
                  <c:v>Poľsko</c:v>
                </c:pt>
                <c:pt idx="21">
                  <c:v>Luxembursko</c:v>
                </c:pt>
                <c:pt idx="22">
                  <c:v>Maďarsko</c:v>
                </c:pt>
                <c:pt idx="23">
                  <c:v>Taliansko</c:v>
                </c:pt>
                <c:pt idx="24">
                  <c:v>Holandsko</c:v>
                </c:pt>
                <c:pt idx="25">
                  <c:v>Nemecko</c:v>
                </c:pt>
                <c:pt idx="26">
                  <c:v>Írsko</c:v>
                </c:pt>
              </c:strCache>
            </c:strRef>
          </c:cat>
          <c:val>
            <c:numRef>
              <c:f>Graf_1!$C$47:$C$73</c:f>
              <c:numCache>
                <c:formatCode>#\ ##0.0</c:formatCode>
                <c:ptCount val="27"/>
                <c:pt idx="0">
                  <c:v>15.4</c:v>
                </c:pt>
                <c:pt idx="1">
                  <c:v>13.8</c:v>
                </c:pt>
                <c:pt idx="2">
                  <c:v>13.6</c:v>
                </c:pt>
                <c:pt idx="3">
                  <c:v>13.4</c:v>
                </c:pt>
                <c:pt idx="4">
                  <c:v>13.4</c:v>
                </c:pt>
                <c:pt idx="5">
                  <c:v>13.3</c:v>
                </c:pt>
                <c:pt idx="6">
                  <c:v>13.1</c:v>
                </c:pt>
                <c:pt idx="7">
                  <c:v>12.8</c:v>
                </c:pt>
                <c:pt idx="8">
                  <c:v>12.7</c:v>
                </c:pt>
                <c:pt idx="9">
                  <c:v>12.7</c:v>
                </c:pt>
                <c:pt idx="10">
                  <c:v>12.5</c:v>
                </c:pt>
                <c:pt idx="11">
                  <c:v>12.2</c:v>
                </c:pt>
                <c:pt idx="12">
                  <c:v>12.1</c:v>
                </c:pt>
                <c:pt idx="13">
                  <c:v>11.8</c:v>
                </c:pt>
                <c:pt idx="14">
                  <c:v>11.7</c:v>
                </c:pt>
                <c:pt idx="15">
                  <c:v>11.5</c:v>
                </c:pt>
                <c:pt idx="16">
                  <c:v>11.5</c:v>
                </c:pt>
                <c:pt idx="17">
                  <c:v>11.4</c:v>
                </c:pt>
                <c:pt idx="18">
                  <c:v>11.2</c:v>
                </c:pt>
                <c:pt idx="19">
                  <c:v>10.9</c:v>
                </c:pt>
                <c:pt idx="20">
                  <c:v>10.9</c:v>
                </c:pt>
                <c:pt idx="21">
                  <c:v>10.8</c:v>
                </c:pt>
                <c:pt idx="22">
                  <c:v>10.6</c:v>
                </c:pt>
                <c:pt idx="23">
                  <c:v>10.5</c:v>
                </c:pt>
                <c:pt idx="24">
                  <c:v>8.8000000000000007</c:v>
                </c:pt>
                <c:pt idx="25">
                  <c:v>8.5</c:v>
                </c:pt>
                <c:pt idx="26">
                  <c:v>6.7</c:v>
                </c:pt>
              </c:numCache>
            </c:numRef>
          </c:val>
          <c:extLst xmlns:c16r2="http://schemas.microsoft.com/office/drawing/2015/06/chart">
            <c:ext xmlns:c16="http://schemas.microsoft.com/office/drawing/2014/chart" uri="{C3380CC4-5D6E-409C-BE32-E72D297353CC}">
              <c16:uniqueId val="{00000002-C716-44BF-8387-CE6E2AE7BB86}"/>
            </c:ext>
          </c:extLst>
        </c:ser>
        <c:dLbls>
          <c:showLegendKey val="0"/>
          <c:showVal val="0"/>
          <c:showCatName val="0"/>
          <c:showSerName val="0"/>
          <c:showPercent val="0"/>
          <c:showBubbleSize val="0"/>
        </c:dLbls>
        <c:gapWidth val="150"/>
        <c:axId val="553546768"/>
        <c:axId val="553543632"/>
      </c:barChart>
      <c:lineChart>
        <c:grouping val="standard"/>
        <c:varyColors val="0"/>
        <c:ser>
          <c:idx val="1"/>
          <c:order val="1"/>
          <c:tx>
            <c:strRef>
              <c:f>Graf_1!$D$46</c:f>
              <c:strCache>
                <c:ptCount val="1"/>
                <c:pt idx="0">
                  <c:v>priemer krajín EÚ 27</c:v>
                </c:pt>
              </c:strCache>
            </c:strRef>
          </c:tx>
          <c:spPr>
            <a:ln>
              <a:solidFill>
                <a:sysClr val="windowText" lastClr="000000"/>
              </a:solidFill>
            </a:ln>
          </c:spPr>
          <c:marker>
            <c:symbol val="none"/>
          </c:marker>
          <c:dLbls>
            <c:dLbl>
              <c:idx val="25"/>
              <c:layout>
                <c:manualLayout>
                  <c:x val="-3.1071514638475586E-2"/>
                  <c:y val="-4.87804878048780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16-44BF-8387-CE6E2AE7BB8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Graf_1!$A$47:$A$73</c:f>
              <c:strCache>
                <c:ptCount val="27"/>
                <c:pt idx="0">
                  <c:v>Denmark</c:v>
                </c:pt>
                <c:pt idx="1">
                  <c:v>Cyprus</c:v>
                </c:pt>
                <c:pt idx="2">
                  <c:v>Croatia</c:v>
                </c:pt>
                <c:pt idx="3">
                  <c:v>Belgium</c:v>
                </c:pt>
                <c:pt idx="4">
                  <c:v>Greece</c:v>
                </c:pt>
                <c:pt idx="5">
                  <c:v>France</c:v>
                </c:pt>
                <c:pt idx="6">
                  <c:v>Sweden</c:v>
                </c:pt>
                <c:pt idx="7">
                  <c:v>Finland</c:v>
                </c:pt>
                <c:pt idx="8">
                  <c:v>Estonia</c:v>
                </c:pt>
                <c:pt idx="9">
                  <c:v>Slovenia</c:v>
                </c:pt>
                <c:pt idx="10">
                  <c:v>Spain</c:v>
                </c:pt>
                <c:pt idx="11">
                  <c:v>Malta</c:v>
                </c:pt>
                <c:pt idx="12">
                  <c:v>Romania</c:v>
                </c:pt>
                <c:pt idx="13">
                  <c:v>Latvia</c:v>
                </c:pt>
                <c:pt idx="14">
                  <c:v>Portugal</c:v>
                </c:pt>
                <c:pt idx="15">
                  <c:v>Lithuania</c:v>
                </c:pt>
                <c:pt idx="16">
                  <c:v>Slovakia</c:v>
                </c:pt>
                <c:pt idx="17">
                  <c:v>Austria</c:v>
                </c:pt>
                <c:pt idx="18">
                  <c:v>Czechia</c:v>
                </c:pt>
                <c:pt idx="19">
                  <c:v>Bulgaria</c:v>
                </c:pt>
                <c:pt idx="20">
                  <c:v>Poland</c:v>
                </c:pt>
                <c:pt idx="21">
                  <c:v>Luxembourg</c:v>
                </c:pt>
                <c:pt idx="22">
                  <c:v>Hungary</c:v>
                </c:pt>
                <c:pt idx="23">
                  <c:v>Italy</c:v>
                </c:pt>
                <c:pt idx="24">
                  <c:v>Netherlands</c:v>
                </c:pt>
                <c:pt idx="25">
                  <c:v>Germany</c:v>
                </c:pt>
                <c:pt idx="26">
                  <c:v>Ireland</c:v>
                </c:pt>
              </c:strCache>
            </c:strRef>
          </c:cat>
          <c:val>
            <c:numRef>
              <c:f>Graf_1!$D$47:$D$73</c:f>
              <c:numCache>
                <c:formatCode>#\ ##0.#</c:formatCode>
                <c:ptCount val="27"/>
                <c:pt idx="0">
                  <c:v>11.770370370370371</c:v>
                </c:pt>
                <c:pt idx="1">
                  <c:v>11.770370370370371</c:v>
                </c:pt>
                <c:pt idx="2">
                  <c:v>11.770370370370371</c:v>
                </c:pt>
                <c:pt idx="3">
                  <c:v>11.770370370370371</c:v>
                </c:pt>
                <c:pt idx="4">
                  <c:v>11.770370370370371</c:v>
                </c:pt>
                <c:pt idx="5">
                  <c:v>11.770370370370371</c:v>
                </c:pt>
                <c:pt idx="6">
                  <c:v>11.770370370370371</c:v>
                </c:pt>
                <c:pt idx="7">
                  <c:v>11.770370370370371</c:v>
                </c:pt>
                <c:pt idx="8">
                  <c:v>11.770370370370371</c:v>
                </c:pt>
                <c:pt idx="9">
                  <c:v>11.770370370370371</c:v>
                </c:pt>
                <c:pt idx="10">
                  <c:v>11.770370370370371</c:v>
                </c:pt>
                <c:pt idx="11">
                  <c:v>11.770370370370371</c:v>
                </c:pt>
                <c:pt idx="12">
                  <c:v>11.770370370370371</c:v>
                </c:pt>
                <c:pt idx="13">
                  <c:v>11.770370370370371</c:v>
                </c:pt>
                <c:pt idx="14">
                  <c:v>11.770370370370371</c:v>
                </c:pt>
                <c:pt idx="15">
                  <c:v>11.770370370370371</c:v>
                </c:pt>
                <c:pt idx="16">
                  <c:v>11.770370370370371</c:v>
                </c:pt>
                <c:pt idx="17">
                  <c:v>11.770370370370371</c:v>
                </c:pt>
                <c:pt idx="18">
                  <c:v>11.770370370370371</c:v>
                </c:pt>
                <c:pt idx="19">
                  <c:v>11.770370370370371</c:v>
                </c:pt>
                <c:pt idx="20">
                  <c:v>11.770370370370371</c:v>
                </c:pt>
                <c:pt idx="21">
                  <c:v>11.770370370370371</c:v>
                </c:pt>
                <c:pt idx="22">
                  <c:v>11.770370370370371</c:v>
                </c:pt>
                <c:pt idx="23">
                  <c:v>11.770370370370371</c:v>
                </c:pt>
                <c:pt idx="24">
                  <c:v>11.770370370370371</c:v>
                </c:pt>
                <c:pt idx="25">
                  <c:v>11.770370370370371</c:v>
                </c:pt>
                <c:pt idx="26">
                  <c:v>11.770370370370371</c:v>
                </c:pt>
              </c:numCache>
            </c:numRef>
          </c:val>
          <c:smooth val="0"/>
          <c:extLst xmlns:c16r2="http://schemas.microsoft.com/office/drawing/2015/06/chart">
            <c:ext xmlns:c16="http://schemas.microsoft.com/office/drawing/2014/chart" uri="{C3380CC4-5D6E-409C-BE32-E72D297353CC}">
              <c16:uniqueId val="{00000004-C716-44BF-8387-CE6E2AE7BB86}"/>
            </c:ext>
          </c:extLst>
        </c:ser>
        <c:dLbls>
          <c:showLegendKey val="0"/>
          <c:showVal val="0"/>
          <c:showCatName val="0"/>
          <c:showSerName val="0"/>
          <c:showPercent val="0"/>
          <c:showBubbleSize val="0"/>
        </c:dLbls>
        <c:marker val="1"/>
        <c:smooth val="0"/>
        <c:axId val="553546768"/>
        <c:axId val="553543632"/>
      </c:lineChart>
      <c:catAx>
        <c:axId val="553546768"/>
        <c:scaling>
          <c:orientation val="minMax"/>
        </c:scaling>
        <c:delete val="0"/>
        <c:axPos val="b"/>
        <c:numFmt formatCode="General" sourceLinked="1"/>
        <c:majorTickMark val="out"/>
        <c:minorTickMark val="none"/>
        <c:tickLblPos val="nextTo"/>
        <c:txPr>
          <a:bodyPr rot="-5400000" vert="horz"/>
          <a:lstStyle/>
          <a:p>
            <a:pPr>
              <a:defRPr sz="600"/>
            </a:pPr>
            <a:endParaRPr lang="sk-SK"/>
          </a:p>
        </c:txPr>
        <c:crossAx val="553543632"/>
        <c:crosses val="autoZero"/>
        <c:auto val="1"/>
        <c:lblAlgn val="ctr"/>
        <c:lblOffset val="100"/>
        <c:noMultiLvlLbl val="0"/>
      </c:catAx>
      <c:valAx>
        <c:axId val="553543632"/>
        <c:scaling>
          <c:orientation val="minMax"/>
          <c:min val="0"/>
        </c:scaling>
        <c:delete val="0"/>
        <c:axPos val="l"/>
        <c:majorGridlines>
          <c:spPr>
            <a:ln>
              <a:solidFill>
                <a:sysClr val="window" lastClr="FFFFFF">
                  <a:lumMod val="75000"/>
                </a:sysClr>
              </a:solidFill>
              <a:prstDash val="dash"/>
            </a:ln>
          </c:spPr>
        </c:majorGridlines>
        <c:numFmt formatCode="#,##0" sourceLinked="0"/>
        <c:majorTickMark val="out"/>
        <c:minorTickMark val="none"/>
        <c:tickLblPos val="nextTo"/>
        <c:txPr>
          <a:bodyPr/>
          <a:lstStyle/>
          <a:p>
            <a:pPr>
              <a:defRPr sz="900"/>
            </a:pPr>
            <a:endParaRPr lang="sk-SK"/>
          </a:p>
        </c:txPr>
        <c:crossAx val="553546768"/>
        <c:crosses val="autoZero"/>
        <c:crossBetween val="between"/>
      </c:valAx>
    </c:plotArea>
    <c:legend>
      <c:legendPos val="r"/>
      <c:legendEntry>
        <c:idx val="0"/>
        <c:delete val="1"/>
      </c:legendEntry>
      <c:layout>
        <c:manualLayout>
          <c:xMode val="edge"/>
          <c:yMode val="edge"/>
          <c:x val="0.46747195714251344"/>
          <c:y val="5.6552397413737916E-2"/>
          <c:w val="0.48752798477852105"/>
          <c:h val="6.539882209845721E-2"/>
        </c:manualLayout>
      </c:layout>
      <c:overlay val="0"/>
    </c:legend>
    <c:plotVisOnly val="1"/>
    <c:dispBlanksAs val="gap"/>
    <c:showDLblsOverMax val="0"/>
  </c:chart>
  <c:spPr>
    <a:ln>
      <a:noFill/>
    </a:ln>
  </c:spPr>
  <c:txPr>
    <a:bodyPr/>
    <a:lstStyle/>
    <a:p>
      <a:pPr>
        <a:defRPr sz="900">
          <a:latin typeface="Arial Narrow" pitchFamily="34" charset="0"/>
        </a:defRPr>
      </a:pPr>
      <a:endParaRPr lang="sk-SK"/>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0639920009999"/>
          <c:y val="0.1150253367789735"/>
          <c:w val="0.86461037197936463"/>
          <c:h val="0.68075240594925635"/>
        </c:manualLayout>
      </c:layout>
      <c:barChart>
        <c:barDir val="col"/>
        <c:grouping val="clustered"/>
        <c:varyColors val="0"/>
        <c:ser>
          <c:idx val="0"/>
          <c:order val="0"/>
          <c:tx>
            <c:strRef>
              <c:f>grafy!$N$17</c:f>
              <c:strCache>
                <c:ptCount val="1"/>
                <c:pt idx="0">
                  <c:v>2022 N</c:v>
                </c:pt>
              </c:strCache>
            </c:strRef>
          </c:tx>
          <c:spPr>
            <a:solidFill>
              <a:schemeClr val="accent1">
                <a:lumMod val="50000"/>
              </a:schemeClr>
            </a:solidFill>
            <a:ln>
              <a:noFill/>
            </a:ln>
            <a:effectLst/>
          </c:spPr>
          <c:invertIfNegative val="0"/>
          <c:cat>
            <c:strRef>
              <c:f>grafy!$M$18:$M$22</c:f>
              <c:strCache>
                <c:ptCount val="5"/>
                <c:pt idx="0">
                  <c:v>Rezervy</c:v>
                </c:pt>
                <c:pt idx="1">
                  <c:v>Finančné vzťahy súvisiace s rozpočtom EÚ</c:v>
                </c:pt>
                <c:pt idx="2">
                  <c:v>Výdavky spojené so správou štátneho dlhu</c:v>
                </c:pt>
                <c:pt idx="3">
                  <c:v>Finančné vzťahy k Sociálnej poisťovni</c:v>
                </c:pt>
                <c:pt idx="4">
                  <c:v>Ostatné</c:v>
                </c:pt>
              </c:strCache>
            </c:strRef>
          </c:cat>
          <c:val>
            <c:numRef>
              <c:f>grafy!$N$18:$N$22</c:f>
              <c:numCache>
                <c:formatCode>#,##0</c:formatCode>
                <c:ptCount val="5"/>
                <c:pt idx="0">
                  <c:v>1752294.422</c:v>
                </c:pt>
                <c:pt idx="1">
                  <c:v>1104459.747</c:v>
                </c:pt>
                <c:pt idx="2">
                  <c:v>1089976.0630000001</c:v>
                </c:pt>
                <c:pt idx="3">
                  <c:v>400000</c:v>
                </c:pt>
                <c:pt idx="4">
                  <c:v>1897386.8740000001</c:v>
                </c:pt>
              </c:numCache>
            </c:numRef>
          </c:val>
        </c:ser>
        <c:ser>
          <c:idx val="1"/>
          <c:order val="1"/>
          <c:tx>
            <c:strRef>
              <c:f>grafy!$O$17</c:f>
              <c:strCache>
                <c:ptCount val="1"/>
                <c:pt idx="0">
                  <c:v>2023 N</c:v>
                </c:pt>
              </c:strCache>
            </c:strRef>
          </c:tx>
          <c:spPr>
            <a:solidFill>
              <a:schemeClr val="accent1">
                <a:lumMod val="75000"/>
              </a:schemeClr>
            </a:solidFill>
            <a:ln>
              <a:noFill/>
            </a:ln>
            <a:effectLst/>
          </c:spPr>
          <c:invertIfNegative val="0"/>
          <c:cat>
            <c:strRef>
              <c:f>grafy!$M$18:$M$22</c:f>
              <c:strCache>
                <c:ptCount val="5"/>
                <c:pt idx="0">
                  <c:v>Rezervy</c:v>
                </c:pt>
                <c:pt idx="1">
                  <c:v>Finančné vzťahy súvisiace s rozpočtom EÚ</c:v>
                </c:pt>
                <c:pt idx="2">
                  <c:v>Výdavky spojené so správou štátneho dlhu</c:v>
                </c:pt>
                <c:pt idx="3">
                  <c:v>Finančné vzťahy k Sociálnej poisťovni</c:v>
                </c:pt>
                <c:pt idx="4">
                  <c:v>Ostatné</c:v>
                </c:pt>
              </c:strCache>
            </c:strRef>
          </c:cat>
          <c:val>
            <c:numRef>
              <c:f>grafy!$O$18:$O$22</c:f>
              <c:numCache>
                <c:formatCode>#,##0</c:formatCode>
                <c:ptCount val="5"/>
                <c:pt idx="0">
                  <c:v>738281.72699999996</c:v>
                </c:pt>
                <c:pt idx="1">
                  <c:v>1747318.7949999999</c:v>
                </c:pt>
                <c:pt idx="2">
                  <c:v>1171003.2879999999</c:v>
                </c:pt>
                <c:pt idx="3">
                  <c:v>450000</c:v>
                </c:pt>
                <c:pt idx="4">
                  <c:v>1881923.3189999999</c:v>
                </c:pt>
              </c:numCache>
            </c:numRef>
          </c:val>
        </c:ser>
        <c:ser>
          <c:idx val="2"/>
          <c:order val="2"/>
          <c:tx>
            <c:strRef>
              <c:f>grafy!$P$17</c:f>
              <c:strCache>
                <c:ptCount val="1"/>
                <c:pt idx="0">
                  <c:v>2024 N</c:v>
                </c:pt>
              </c:strCache>
            </c:strRef>
          </c:tx>
          <c:spPr>
            <a:solidFill>
              <a:schemeClr val="accent1">
                <a:lumMod val="60000"/>
                <a:lumOff val="40000"/>
              </a:schemeClr>
            </a:solidFill>
            <a:ln>
              <a:noFill/>
            </a:ln>
            <a:effectLst/>
          </c:spPr>
          <c:invertIfNegative val="0"/>
          <c:cat>
            <c:strRef>
              <c:f>grafy!$M$18:$M$22</c:f>
              <c:strCache>
                <c:ptCount val="5"/>
                <c:pt idx="0">
                  <c:v>Rezervy</c:v>
                </c:pt>
                <c:pt idx="1">
                  <c:v>Finančné vzťahy súvisiace s rozpočtom EÚ</c:v>
                </c:pt>
                <c:pt idx="2">
                  <c:v>Výdavky spojené so správou štátneho dlhu</c:v>
                </c:pt>
                <c:pt idx="3">
                  <c:v>Finančné vzťahy k Sociálnej poisťovni</c:v>
                </c:pt>
                <c:pt idx="4">
                  <c:v>Ostatné</c:v>
                </c:pt>
              </c:strCache>
            </c:strRef>
          </c:cat>
          <c:val>
            <c:numRef>
              <c:f>grafy!$P$18:$P$22</c:f>
              <c:numCache>
                <c:formatCode>#,##0</c:formatCode>
                <c:ptCount val="5"/>
                <c:pt idx="0">
                  <c:v>842483.94299999997</c:v>
                </c:pt>
                <c:pt idx="1">
                  <c:v>2417247</c:v>
                </c:pt>
                <c:pt idx="2">
                  <c:v>1134958.686</c:v>
                </c:pt>
                <c:pt idx="3">
                  <c:v>650000</c:v>
                </c:pt>
                <c:pt idx="4">
                  <c:v>1774936.0079999999</c:v>
                </c:pt>
              </c:numCache>
            </c:numRef>
          </c:val>
        </c:ser>
        <c:dLbls>
          <c:showLegendKey val="0"/>
          <c:showVal val="0"/>
          <c:showCatName val="0"/>
          <c:showSerName val="0"/>
          <c:showPercent val="0"/>
          <c:showBubbleSize val="0"/>
        </c:dLbls>
        <c:gapWidth val="219"/>
        <c:axId val="553600232"/>
        <c:axId val="553598272"/>
      </c:barChart>
      <c:catAx>
        <c:axId val="55360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crossAx val="553598272"/>
        <c:crosses val="autoZero"/>
        <c:auto val="1"/>
        <c:lblAlgn val="ctr"/>
        <c:lblOffset val="100"/>
        <c:noMultiLvlLbl val="0"/>
      </c:catAx>
      <c:valAx>
        <c:axId val="553598272"/>
        <c:scaling>
          <c:orientation val="minMax"/>
          <c:max val="25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crossAx val="553600232"/>
        <c:crosses val="autoZero"/>
        <c:crossBetween val="between"/>
      </c:valAx>
      <c:spPr>
        <a:noFill/>
        <a:ln>
          <a:noFill/>
        </a:ln>
        <a:effectLst/>
      </c:spPr>
    </c:plotArea>
    <c:legend>
      <c:legendPos val="b"/>
      <c:layout>
        <c:manualLayout>
          <c:xMode val="edge"/>
          <c:yMode val="edge"/>
          <c:x val="2.8253709665602145E-2"/>
          <c:y val="0.89833339399601242"/>
          <c:w val="0.93985493192661274"/>
          <c:h val="0.101666606003987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351908631258366E-2"/>
          <c:y val="9.3079453626748243E-2"/>
          <c:w val="0.96140351065372154"/>
          <c:h val="0.65205594958143909"/>
        </c:manualLayout>
      </c:layout>
      <c:ofPieChart>
        <c:ofPieType val="bar"/>
        <c:varyColors val="1"/>
        <c:ser>
          <c:idx val="0"/>
          <c:order val="0"/>
          <c:spPr>
            <a:ln w="3175">
              <a:solidFill>
                <a:schemeClr val="bg1">
                  <a:lumMod val="95000"/>
                </a:schemeClr>
              </a:solidFill>
            </a:ln>
          </c:spPr>
          <c:dPt>
            <c:idx val="0"/>
            <c:bubble3D val="0"/>
            <c:spPr>
              <a:solidFill>
                <a:schemeClr val="accent1">
                  <a:lumMod val="75000"/>
                </a:schemeClr>
              </a:solidFill>
              <a:ln w="3175">
                <a:solidFill>
                  <a:schemeClr val="bg1">
                    <a:lumMod val="95000"/>
                  </a:schemeClr>
                </a:solidFill>
              </a:ln>
              <a:effectLst/>
            </c:spPr>
          </c:dPt>
          <c:dPt>
            <c:idx val="1"/>
            <c:bubble3D val="0"/>
            <c:spPr>
              <a:solidFill>
                <a:schemeClr val="accent1">
                  <a:lumMod val="60000"/>
                  <a:lumOff val="40000"/>
                </a:schemeClr>
              </a:solidFill>
              <a:ln w="3175">
                <a:solidFill>
                  <a:schemeClr val="bg1">
                    <a:lumMod val="95000"/>
                  </a:schemeClr>
                </a:solidFill>
              </a:ln>
              <a:effectLst/>
            </c:spPr>
          </c:dPt>
          <c:dPt>
            <c:idx val="2"/>
            <c:bubble3D val="0"/>
            <c:spPr>
              <a:solidFill>
                <a:schemeClr val="accent1">
                  <a:lumMod val="40000"/>
                  <a:lumOff val="60000"/>
                </a:schemeClr>
              </a:solidFill>
              <a:ln w="3175">
                <a:solidFill>
                  <a:schemeClr val="bg1">
                    <a:lumMod val="95000"/>
                  </a:schemeClr>
                </a:solidFill>
              </a:ln>
              <a:effectLst/>
            </c:spPr>
          </c:dPt>
          <c:dPt>
            <c:idx val="3"/>
            <c:bubble3D val="0"/>
            <c:spPr>
              <a:solidFill>
                <a:schemeClr val="accent1">
                  <a:lumMod val="20000"/>
                  <a:lumOff val="80000"/>
                </a:schemeClr>
              </a:solidFill>
              <a:ln w="3175">
                <a:solidFill>
                  <a:schemeClr val="bg1">
                    <a:lumMod val="95000"/>
                  </a:schemeClr>
                </a:solidFill>
              </a:ln>
              <a:effectLst/>
            </c:spPr>
          </c:dPt>
          <c:dPt>
            <c:idx val="4"/>
            <c:bubble3D val="0"/>
            <c:spPr>
              <a:solidFill>
                <a:schemeClr val="accent3">
                  <a:lumMod val="60000"/>
                  <a:lumOff val="40000"/>
                </a:schemeClr>
              </a:solidFill>
              <a:ln w="3175">
                <a:solidFill>
                  <a:schemeClr val="bg1">
                    <a:lumMod val="95000"/>
                  </a:schemeClr>
                </a:solidFill>
              </a:ln>
              <a:effectLst/>
            </c:spPr>
          </c:dPt>
          <c:dPt>
            <c:idx val="5"/>
            <c:bubble3D val="0"/>
            <c:spPr>
              <a:solidFill>
                <a:schemeClr val="accent6"/>
              </a:solidFill>
              <a:ln w="3175">
                <a:solidFill>
                  <a:schemeClr val="bg1">
                    <a:lumMod val="95000"/>
                  </a:schemeClr>
                </a:solidFill>
              </a:ln>
              <a:effectLst/>
            </c:spPr>
          </c:dPt>
          <c:dPt>
            <c:idx val="6"/>
            <c:bubble3D val="0"/>
            <c:spPr>
              <a:solidFill>
                <a:schemeClr val="accent4">
                  <a:lumMod val="60000"/>
                  <a:lumOff val="40000"/>
                </a:schemeClr>
              </a:solidFill>
              <a:ln w="3175">
                <a:solidFill>
                  <a:schemeClr val="bg1">
                    <a:lumMod val="95000"/>
                  </a:schemeClr>
                </a:solidFill>
              </a:ln>
              <a:effectLst/>
            </c:spPr>
          </c:dPt>
          <c:dPt>
            <c:idx val="7"/>
            <c:bubble3D val="0"/>
            <c:spPr>
              <a:solidFill>
                <a:schemeClr val="accent4">
                  <a:lumMod val="40000"/>
                  <a:lumOff val="60000"/>
                </a:schemeClr>
              </a:solidFill>
              <a:ln w="3175">
                <a:solidFill>
                  <a:schemeClr val="bg1">
                    <a:lumMod val="95000"/>
                  </a:schemeClr>
                </a:solidFill>
              </a:ln>
              <a:effectLst/>
            </c:spPr>
          </c:dPt>
          <c:dPt>
            <c:idx val="8"/>
            <c:bubble3D val="0"/>
            <c:spPr>
              <a:solidFill>
                <a:schemeClr val="accent4">
                  <a:lumMod val="20000"/>
                  <a:lumOff val="80000"/>
                </a:schemeClr>
              </a:solidFill>
              <a:ln w="3175">
                <a:solidFill>
                  <a:schemeClr val="bg1">
                    <a:lumMod val="95000"/>
                  </a:schemeClr>
                </a:solidFill>
              </a:ln>
              <a:effectLst/>
            </c:spPr>
          </c:dPt>
          <c:dPt>
            <c:idx val="9"/>
            <c:bubble3D val="0"/>
            <c:spPr>
              <a:solidFill>
                <a:schemeClr val="accent4">
                  <a:lumMod val="60000"/>
                  <a:lumOff val="40000"/>
                </a:schemeClr>
              </a:solidFill>
              <a:ln w="3175">
                <a:solidFill>
                  <a:schemeClr val="bg1">
                    <a:lumMod val="95000"/>
                  </a:schemeClr>
                </a:solidFill>
              </a:ln>
              <a:effectLst/>
            </c:spPr>
          </c:dPt>
          <c:dLbls>
            <c:dLbl>
              <c:idx val="0"/>
              <c:layout>
                <c:manualLayout>
                  <c:x val="-5.2550968428238462E-2"/>
                  <c:y val="-0.21261874014487256"/>
                </c:manualLayout>
              </c:layout>
              <c:tx>
                <c:rich>
                  <a:bodyPr/>
                  <a:lstStyle/>
                  <a:p>
                    <a:fld id="{B3114B32-1D83-4DC3-B722-CECC03AF33BE}" type="VALUE">
                      <a:rPr lang="en-US"/>
                      <a:pPr/>
                      <a:t>[HODNOTA]</a:t>
                    </a:fld>
                    <a:endParaRPr lang="en-US"/>
                  </a:p>
                  <a:p>
                    <a:r>
                      <a:rPr lang="en-US"/>
                      <a:t>41%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0277161765600631"/>
                  <c:y val="6.9979845938034094E-2"/>
                </c:manualLayout>
              </c:layout>
              <c:tx>
                <c:rich>
                  <a:bodyPr/>
                  <a:lstStyle/>
                  <a:p>
                    <a:fld id="{48DBC5FA-AF27-4571-8BFD-822DF6F073CA}" type="VALUE">
                      <a:rPr lang="en-US"/>
                      <a:pPr/>
                      <a:t>[HODNOTA]</a:t>
                    </a:fld>
                    <a:endParaRPr lang="en-US"/>
                  </a:p>
                  <a:p>
                    <a:r>
                      <a:rPr lang="en-US"/>
                      <a:t>28%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5.5405410951045661E-3"/>
                  <c:y val="0.14367165935110185"/>
                </c:manualLayout>
              </c:layout>
              <c:tx>
                <c:rich>
                  <a:bodyPr/>
                  <a:lstStyle/>
                  <a:p>
                    <a:fld id="{8A7D900F-F6FC-4339-BA89-71155B9295E9}" type="VALUE">
                      <a:rPr lang="en-US"/>
                      <a:pPr/>
                      <a:t>[HODNOTA]</a:t>
                    </a:fld>
                    <a:endParaRPr lang="en-US"/>
                  </a:p>
                  <a:p>
                    <a:r>
                      <a:rPr lang="en-US"/>
                      <a:t>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7.9005948152918046E-2"/>
                  <c:y val="0.13210204429716624"/>
                </c:manualLayout>
              </c:layout>
              <c:tx>
                <c:rich>
                  <a:bodyPr/>
                  <a:lstStyle/>
                  <a:p>
                    <a:fld id="{BA22B7AA-D760-4A70-AA97-B1584DAD18DB}" type="VALUE">
                      <a:rPr lang="en-US"/>
                      <a:pPr/>
                      <a:t>[HODNOTA]</a:t>
                    </a:fld>
                    <a:endParaRPr lang="en-US"/>
                  </a:p>
                  <a:p>
                    <a:r>
                      <a:rPr lang="en-US"/>
                      <a:t>10%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8.7432156138969486E-2"/>
                  <c:y val="5.078092639068249E-2"/>
                </c:manualLayout>
              </c:layout>
              <c:tx>
                <c:rich>
                  <a:bodyPr/>
                  <a:lstStyle/>
                  <a:p>
                    <a:fld id="{536B379E-8DB3-4FD9-9778-E2D89797AAB0}" type="VALUE">
                      <a:rPr lang="en-US"/>
                      <a:pPr/>
                      <a:t>[HODNOTA]</a:t>
                    </a:fld>
                    <a:endParaRPr lang="en-US"/>
                  </a:p>
                  <a:p>
                    <a:r>
                      <a:rPr lang="en-US"/>
                      <a:t>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layout>
                <c:manualLayout>
                  <c:x val="-9.7437871090463937E-2"/>
                  <c:y val="-4.0522307597258076E-17"/>
                </c:manualLayout>
              </c:layout>
              <c:tx>
                <c:rich>
                  <a:bodyPr/>
                  <a:lstStyle/>
                  <a:p>
                    <a:fld id="{BC23BDB4-ED5D-422F-B096-9861EEE938DF}" type="VALUE">
                      <a:rPr lang="en-US"/>
                      <a:pPr/>
                      <a:t>[HODNOTA]</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9.5171874088360045E-2"/>
                  <c:y val="0"/>
                </c:manualLayout>
              </c:layout>
              <c:tx>
                <c:rich>
                  <a:bodyPr/>
                  <a:lstStyle/>
                  <a:p>
                    <a:fld id="{47F2E7C1-BB15-4672-9EB4-3864B3C6B741}" type="VALUE">
                      <a:rPr lang="en-US"/>
                      <a:pPr/>
                      <a:t>[HODNOTA]</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layout>
                <c:manualLayout>
                  <c:x val="-8.8373883082048618E-2"/>
                  <c:y val="-8.1044615194516152E-17"/>
                </c:manualLayout>
              </c:layout>
              <c:tx>
                <c:rich>
                  <a:bodyPr/>
                  <a:lstStyle/>
                  <a:p>
                    <a:fld id="{DF227E2B-CD53-44B6-AC63-1588AE3A76F7}" type="VALUE">
                      <a:rPr lang="en-US"/>
                      <a:pPr/>
                      <a:t>[HODNOTA]</a:t>
                    </a:fld>
                    <a:endParaRPr lang="en-US"/>
                  </a:p>
                  <a:p>
                    <a:r>
                      <a:rPr lang="en-US"/>
                      <a:t>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sk-S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grafy!$M$31:$M$39</c:f>
              <c:strCache>
                <c:ptCount val="9"/>
                <c:pt idx="0">
                  <c:v>Rezerva na negatívne vplyvy pandémie ochorenia COVID - 19</c:v>
                </c:pt>
                <c:pt idx="1">
                  <c:v>Rezerva na prostiredky EÚ a odvody EÚ</c:v>
                </c:pt>
                <c:pt idx="2">
                  <c:v>Rezerva na výdavky v zdravotníctve</c:v>
                </c:pt>
                <c:pt idx="3">
                  <c:v>Rezerva na mzdy a poistné</c:v>
                </c:pt>
                <c:pt idx="4">
                  <c:v>Rezerva na riešenie vplyvov legislatívnych zmien</c:v>
                </c:pt>
                <c:pt idx="6">
                  <c:v>Rezerva na riešenie krízových situácií </c:v>
                </c:pt>
                <c:pt idx="7">
                  <c:v>Rezerva na realizáciu súdnych a exekučných rozhodnutí </c:v>
                </c:pt>
                <c:pt idx="8">
                  <c:v>Rezerva vlády</c:v>
                </c:pt>
              </c:strCache>
            </c:strRef>
          </c:cat>
          <c:val>
            <c:numRef>
              <c:f>grafy!$N$31:$N$39</c:f>
              <c:numCache>
                <c:formatCode>#,##0</c:formatCode>
                <c:ptCount val="9"/>
                <c:pt idx="0">
                  <c:v>717440.826</c:v>
                </c:pt>
                <c:pt idx="1">
                  <c:v>483190.83199999999</c:v>
                </c:pt>
                <c:pt idx="2">
                  <c:v>220000</c:v>
                </c:pt>
                <c:pt idx="3">
                  <c:v>175028.70199999999</c:v>
                </c:pt>
                <c:pt idx="4">
                  <c:v>130634.06200000001</c:v>
                </c:pt>
                <c:pt idx="6">
                  <c:v>11000</c:v>
                </c:pt>
                <c:pt idx="7">
                  <c:v>10000</c:v>
                </c:pt>
                <c:pt idx="8">
                  <c:v>5000</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cat>
            <c:strRef>
              <c:f>grafy!$M$31:$M$39</c:f>
              <c:strCache>
                <c:ptCount val="9"/>
                <c:pt idx="0">
                  <c:v>Rezerva na negatívne vplyvy pandémie ochorenia COVID - 19</c:v>
                </c:pt>
                <c:pt idx="1">
                  <c:v>Rezerva na prostiredky EÚ a odvody EÚ</c:v>
                </c:pt>
                <c:pt idx="2">
                  <c:v>Rezerva na výdavky v zdravotníctve</c:v>
                </c:pt>
                <c:pt idx="3">
                  <c:v>Rezerva na mzdy a poistné</c:v>
                </c:pt>
                <c:pt idx="4">
                  <c:v>Rezerva na riešenie vplyvov legislatívnych zmien</c:v>
                </c:pt>
                <c:pt idx="6">
                  <c:v>Rezerva na riešenie krízových situácií </c:v>
                </c:pt>
                <c:pt idx="7">
                  <c:v>Rezerva na realizáciu súdnych a exekučných rozhodnutí </c:v>
                </c:pt>
                <c:pt idx="8">
                  <c:v>Rezerva vlády</c:v>
                </c:pt>
              </c:strCache>
            </c:strRef>
          </c:cat>
          <c:val>
            <c:numRef>
              <c:f>grafy!$O$31:$O$39</c:f>
              <c:numCache>
                <c:formatCode>0.00%</c:formatCode>
                <c:ptCount val="9"/>
                <c:pt idx="0">
                  <c:v>0.40942938412207081</c:v>
                </c:pt>
                <c:pt idx="1">
                  <c:v>0.27574751476324677</c:v>
                </c:pt>
                <c:pt idx="2" formatCode="0%">
                  <c:v>0.12554967774701961</c:v>
                </c:pt>
                <c:pt idx="3">
                  <c:v>9.9885441511723308E-2</c:v>
                </c:pt>
                <c:pt idx="4">
                  <c:v>7.4550292667655366E-2</c:v>
                </c:pt>
                <c:pt idx="6">
                  <c:v>6.2774838873509804E-3</c:v>
                </c:pt>
                <c:pt idx="7">
                  <c:v>5.706803533955437E-3</c:v>
                </c:pt>
                <c:pt idx="8">
                  <c:v>2.8534017669777185E-3</c:v>
                </c:pt>
              </c:numCache>
            </c:numRef>
          </c:val>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egendEntry>
        <c:idx val="5"/>
        <c:delete val="1"/>
      </c:legendEntry>
      <c:layout>
        <c:manualLayout>
          <c:xMode val="edge"/>
          <c:yMode val="edge"/>
          <c:x val="0"/>
          <c:y val="0.80038313694859931"/>
          <c:w val="1"/>
          <c:h val="0.17183891077146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solidFill>
          <a:latin typeface="Times New Roman" panose="02020603050405020304" pitchFamily="18" charset="0"/>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Times New Roman" panose="02020603050405020304" pitchFamily="18" charset="0"/>
                <a:ea typeface="+mn-ea"/>
                <a:cs typeface="+mn-cs"/>
              </a:defRPr>
            </a:pPr>
            <a:r>
              <a:rPr lang="sk-SK" sz="800"/>
              <a:t>v tis. eur</a:t>
            </a:r>
          </a:p>
        </c:rich>
      </c:tx>
      <c:layout>
        <c:manualLayout>
          <c:xMode val="edge"/>
          <c:yMode val="edge"/>
          <c:x val="1.003252079598657E-2"/>
          <c:y val="3.4019516353643586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Times New Roman" panose="02020603050405020304" pitchFamily="18" charset="0"/>
              <a:ea typeface="+mn-ea"/>
              <a:cs typeface="+mn-cs"/>
            </a:defRPr>
          </a:pPr>
          <a:endParaRPr lang="sk-SK"/>
        </a:p>
      </c:txPr>
    </c:title>
    <c:autoTitleDeleted val="0"/>
    <c:plotArea>
      <c:layout/>
      <c:barChart>
        <c:barDir val="col"/>
        <c:grouping val="stacked"/>
        <c:varyColors val="0"/>
        <c:ser>
          <c:idx val="0"/>
          <c:order val="0"/>
          <c:tx>
            <c:strRef>
              <c:f>grafy!$M$67</c:f>
              <c:strCache>
                <c:ptCount val="1"/>
                <c:pt idx="0">
                  <c:v>odvody EÚ a ostané</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grafy!$N$66:$P$66</c:f>
              <c:strCache>
                <c:ptCount val="3"/>
                <c:pt idx="0">
                  <c:v>2022 N</c:v>
                </c:pt>
                <c:pt idx="1">
                  <c:v>2023 N</c:v>
                </c:pt>
                <c:pt idx="2">
                  <c:v>2024 N</c:v>
                </c:pt>
              </c:strCache>
            </c:strRef>
          </c:cat>
          <c:val>
            <c:numRef>
              <c:f>grafy!$N$67:$P$67</c:f>
              <c:numCache>
                <c:formatCode>#,##0</c:formatCode>
                <c:ptCount val="3"/>
                <c:pt idx="0">
                  <c:v>1039541.4099999999</c:v>
                </c:pt>
                <c:pt idx="1">
                  <c:v>1032307.703</c:v>
                </c:pt>
                <c:pt idx="2">
                  <c:v>1050050.9140000001</c:v>
                </c:pt>
              </c:numCache>
            </c:numRef>
          </c:val>
        </c:ser>
        <c:ser>
          <c:idx val="1"/>
          <c:order val="1"/>
          <c:tx>
            <c:strRef>
              <c:f>grafy!$M$68</c:f>
              <c:strCache>
                <c:ptCount val="1"/>
                <c:pt idx="0">
                  <c:v>výdavky na 4.PO</c:v>
                </c:pt>
              </c:strCache>
            </c:strRef>
          </c:tx>
          <c:spPr>
            <a:solidFill>
              <a:schemeClr val="accent1">
                <a:lumMod val="60000"/>
                <a:lumOff val="40000"/>
              </a:schemeClr>
            </a:solidFill>
            <a:ln>
              <a:noFill/>
            </a:ln>
            <a:effectLst/>
          </c:spPr>
          <c:invertIfNegative val="0"/>
          <c:dLbls>
            <c:dLbl>
              <c:idx val="0"/>
              <c:layout>
                <c:manualLayout>
                  <c:x val="-4.1548625866211168E-3"/>
                  <c:y val="-2.7075812274368231E-2"/>
                </c:manualLayout>
              </c:layout>
              <c:tx>
                <c:rich>
                  <a:bodyPr/>
                  <a:lstStyle/>
                  <a:p>
                    <a:r>
                      <a:rPr lang="en-US"/>
                      <a:t>64</a:t>
                    </a:r>
                    <a:r>
                      <a:rPr lang="en-US" baseline="0"/>
                      <a:t> 918</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0774312611529025E-3"/>
                  <c:y val="1.2757318632616267E-2"/>
                </c:manualLayout>
              </c:layout>
              <c:tx>
                <c:rich>
                  <a:bodyPr/>
                  <a:lstStyle/>
                  <a:p>
                    <a:r>
                      <a:rPr lang="en-US"/>
                      <a:t>715 011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0774312611529025E-3"/>
                  <c:y val="-4.2524395442054483E-3"/>
                </c:manualLayout>
              </c:layout>
              <c:tx>
                <c:rich>
                  <a:bodyPr/>
                  <a:lstStyle/>
                  <a:p>
                    <a:r>
                      <a:rPr lang="en-US"/>
                      <a:t>1 367 196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grafy!$N$66:$P$66</c:f>
              <c:strCache>
                <c:ptCount val="3"/>
                <c:pt idx="0">
                  <c:v>2022 N</c:v>
                </c:pt>
                <c:pt idx="1">
                  <c:v>2023 N</c:v>
                </c:pt>
                <c:pt idx="2">
                  <c:v>2024 N</c:v>
                </c:pt>
              </c:strCache>
            </c:strRef>
          </c:cat>
          <c:val>
            <c:numRef>
              <c:f>grafy!$N$68:$P$68</c:f>
              <c:numCache>
                <c:formatCode>#,##0</c:formatCode>
                <c:ptCount val="3"/>
                <c:pt idx="0">
                  <c:v>64918.337</c:v>
                </c:pt>
                <c:pt idx="1">
                  <c:v>715011.09199999995</c:v>
                </c:pt>
                <c:pt idx="2">
                  <c:v>1367196.0859999999</c:v>
                </c:pt>
              </c:numCache>
            </c:numRef>
          </c:val>
        </c:ser>
        <c:dLbls>
          <c:showLegendKey val="0"/>
          <c:showVal val="0"/>
          <c:showCatName val="0"/>
          <c:showSerName val="0"/>
          <c:showPercent val="0"/>
          <c:showBubbleSize val="0"/>
        </c:dLbls>
        <c:gapWidth val="150"/>
        <c:overlap val="100"/>
        <c:axId val="553593568"/>
        <c:axId val="553593176"/>
      </c:barChart>
      <c:catAx>
        <c:axId val="5535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crossAx val="553593176"/>
        <c:crosses val="autoZero"/>
        <c:auto val="1"/>
        <c:lblAlgn val="ctr"/>
        <c:lblOffset val="100"/>
        <c:noMultiLvlLbl val="0"/>
      </c:catAx>
      <c:valAx>
        <c:axId val="553593176"/>
        <c:scaling>
          <c:orientation val="minMax"/>
          <c:max val="25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crossAx val="55359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solidFill>
          <a:latin typeface="Times New Roman" panose="02020603050405020304" pitchFamily="18" charset="0"/>
        </a:defRPr>
      </a:pPr>
      <a:endParaRPr lang="sk-SK"/>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50318087622937E-2"/>
          <c:y val="6.5262533372886386E-2"/>
          <c:w val="0.91326940369833176"/>
          <c:h val="0.59752777862126472"/>
        </c:manualLayout>
      </c:layout>
      <c:barChart>
        <c:barDir val="col"/>
        <c:grouping val="stacked"/>
        <c:varyColors val="0"/>
        <c:ser>
          <c:idx val="0"/>
          <c:order val="0"/>
          <c:tx>
            <c:strRef>
              <c:f>'[gov_10a_exp (28).xls]Data'!$E$10</c:f>
              <c:strCache>
                <c:ptCount val="1"/>
                <c:pt idx="0">
                  <c:v>Odpady</c:v>
                </c:pt>
              </c:strCache>
            </c:strRef>
          </c:tx>
          <c:spPr>
            <a:solidFill>
              <a:srgbClr val="00B0F0"/>
            </a:solidFill>
            <a:ln>
              <a:solidFill>
                <a:srgbClr val="00B0F0"/>
              </a:solidFill>
            </a:ln>
            <a:effectLst/>
          </c:spPr>
          <c:invertIfNegative val="0"/>
          <c:cat>
            <c:strRef>
              <c:f>'[gov_10a_exp (28).xls]Data'!$B$13:$B$43</c:f>
              <c:strCache>
                <c:ptCount val="31"/>
                <c:pt idx="0">
                  <c:v>Malta</c:v>
                </c:pt>
                <c:pt idx="1">
                  <c:v>Holandsko</c:v>
                </c:pt>
                <c:pt idx="2">
                  <c:v>Grécko</c:v>
                </c:pt>
                <c:pt idx="3">
                  <c:v>Belgicko</c:v>
                </c:pt>
                <c:pt idx="4">
                  <c:v>Luxembursko</c:v>
                </c:pt>
                <c:pt idx="5">
                  <c:v>Španielsko</c:v>
                </c:pt>
                <c:pt idx="6">
                  <c:v>Česko</c:v>
                </c:pt>
                <c:pt idx="7">
                  <c:v>Rumunsko</c:v>
                </c:pt>
                <c:pt idx="8">
                  <c:v>Bulharsko</c:v>
                </c:pt>
                <c:pt idx="9">
                  <c:v>Slovensko</c:v>
                </c:pt>
                <c:pt idx="10">
                  <c:v>Nórsko</c:v>
                </c:pt>
                <c:pt idx="11">
                  <c:v>Francúzsko</c:v>
                </c:pt>
                <c:pt idx="12">
                  <c:v>Taliansko</c:v>
                </c:pt>
                <c:pt idx="13">
                  <c:v>EÚ27</c:v>
                </c:pt>
                <c:pt idx="14">
                  <c:v>Estónsko</c:v>
                </c:pt>
                <c:pt idx="15">
                  <c:v>Švajčiarsko</c:v>
                </c:pt>
                <c:pt idx="16">
                  <c:v>Írsko</c:v>
                </c:pt>
                <c:pt idx="17">
                  <c:v>Lotyšsko</c:v>
                </c:pt>
                <c:pt idx="18">
                  <c:v>UK</c:v>
                </c:pt>
                <c:pt idx="19">
                  <c:v>Nemecko</c:v>
                </c:pt>
                <c:pt idx="20">
                  <c:v>Portugalsko</c:v>
                </c:pt>
                <c:pt idx="21">
                  <c:v>Island</c:v>
                </c:pt>
                <c:pt idx="22">
                  <c:v>Chorvátsko</c:v>
                </c:pt>
                <c:pt idx="23">
                  <c:v>Poľsko</c:v>
                </c:pt>
                <c:pt idx="24">
                  <c:v>Slovinsko</c:v>
                </c:pt>
                <c:pt idx="25">
                  <c:v>Maďarsko</c:v>
                </c:pt>
                <c:pt idx="26">
                  <c:v>Švédsko</c:v>
                </c:pt>
                <c:pt idx="27">
                  <c:v>Dánsko</c:v>
                </c:pt>
                <c:pt idx="28">
                  <c:v>Rakúsko</c:v>
                </c:pt>
                <c:pt idx="29">
                  <c:v>Cyprus</c:v>
                </c:pt>
                <c:pt idx="30">
                  <c:v>Fínsko</c:v>
                </c:pt>
              </c:strCache>
            </c:strRef>
          </c:cat>
          <c:val>
            <c:numRef>
              <c:f>'[gov_10a_exp (28).xls]Data'!$E$13:$E$43</c:f>
              <c:numCache>
                <c:formatCode>#\ ##0.0</c:formatCode>
                <c:ptCount val="31"/>
                <c:pt idx="0">
                  <c:v>1.7</c:v>
                </c:pt>
                <c:pt idx="1">
                  <c:v>1.2</c:v>
                </c:pt>
                <c:pt idx="2">
                  <c:v>1.5</c:v>
                </c:pt>
                <c:pt idx="3">
                  <c:v>0.7</c:v>
                </c:pt>
                <c:pt idx="4">
                  <c:v>0.4</c:v>
                </c:pt>
                <c:pt idx="5">
                  <c:v>1.3</c:v>
                </c:pt>
                <c:pt idx="6">
                  <c:v>0.7</c:v>
                </c:pt>
                <c:pt idx="7">
                  <c:v>0.9</c:v>
                </c:pt>
                <c:pt idx="8">
                  <c:v>1.6</c:v>
                </c:pt>
                <c:pt idx="9">
                  <c:v>0.8</c:v>
                </c:pt>
                <c:pt idx="10">
                  <c:v>0.5</c:v>
                </c:pt>
                <c:pt idx="11">
                  <c:v>0.9</c:v>
                </c:pt>
                <c:pt idx="12">
                  <c:v>1.2</c:v>
                </c:pt>
                <c:pt idx="13">
                  <c:v>0.7</c:v>
                </c:pt>
                <c:pt idx="14">
                  <c:v>0.6</c:v>
                </c:pt>
                <c:pt idx="15">
                  <c:v>0.4</c:v>
                </c:pt>
                <c:pt idx="16">
                  <c:v>0.1</c:v>
                </c:pt>
                <c:pt idx="17">
                  <c:v>1</c:v>
                </c:pt>
                <c:pt idx="18">
                  <c:v>1.3</c:v>
                </c:pt>
                <c:pt idx="19">
                  <c:v>0.4</c:v>
                </c:pt>
                <c:pt idx="20">
                  <c:v>0.5</c:v>
                </c:pt>
                <c:pt idx="21">
                  <c:v>0.9</c:v>
                </c:pt>
                <c:pt idx="22">
                  <c:v>0.2</c:v>
                </c:pt>
                <c:pt idx="23">
                  <c:v>0.3</c:v>
                </c:pt>
                <c:pt idx="24">
                  <c:v>0.1</c:v>
                </c:pt>
                <c:pt idx="25">
                  <c:v>0.3</c:v>
                </c:pt>
                <c:pt idx="26">
                  <c:v>0.2</c:v>
                </c:pt>
                <c:pt idx="27">
                  <c:v>0.1</c:v>
                </c:pt>
                <c:pt idx="28">
                  <c:v>0.1</c:v>
                </c:pt>
                <c:pt idx="29">
                  <c:v>0.6</c:v>
                </c:pt>
                <c:pt idx="30">
                  <c:v>0</c:v>
                </c:pt>
              </c:numCache>
            </c:numRef>
          </c:val>
          <c:extLst xmlns:c16r2="http://schemas.microsoft.com/office/drawing/2015/06/chart">
            <c:ext xmlns:c16="http://schemas.microsoft.com/office/drawing/2014/chart" uri="{C3380CC4-5D6E-409C-BE32-E72D297353CC}">
              <c16:uniqueId val="{00000000-7748-47AC-A9A8-5FAD1C4B3D7F}"/>
            </c:ext>
          </c:extLst>
        </c:ser>
        <c:ser>
          <c:idx val="1"/>
          <c:order val="1"/>
          <c:tx>
            <c:strRef>
              <c:f>'[gov_10a_exp (28).xls]Data'!$F$10</c:f>
              <c:strCache>
                <c:ptCount val="1"/>
                <c:pt idx="0">
                  <c:v>Odpadové vody</c:v>
                </c:pt>
              </c:strCache>
            </c:strRef>
          </c:tx>
          <c:spPr>
            <a:solidFill>
              <a:schemeClr val="bg1">
                <a:lumMod val="75000"/>
              </a:schemeClr>
            </a:solidFill>
            <a:ln>
              <a:solidFill>
                <a:schemeClr val="bg1">
                  <a:lumMod val="75000"/>
                </a:schemeClr>
              </a:solidFill>
            </a:ln>
            <a:effectLst/>
          </c:spPr>
          <c:invertIfNegative val="0"/>
          <c:cat>
            <c:strRef>
              <c:f>'[gov_10a_exp (28).xls]Data'!$B$13:$B$43</c:f>
              <c:strCache>
                <c:ptCount val="31"/>
                <c:pt idx="0">
                  <c:v>Malta</c:v>
                </c:pt>
                <c:pt idx="1">
                  <c:v>Holandsko</c:v>
                </c:pt>
                <c:pt idx="2">
                  <c:v>Grécko</c:v>
                </c:pt>
                <c:pt idx="3">
                  <c:v>Belgicko</c:v>
                </c:pt>
                <c:pt idx="4">
                  <c:v>Luxembursko</c:v>
                </c:pt>
                <c:pt idx="5">
                  <c:v>Španielsko</c:v>
                </c:pt>
                <c:pt idx="6">
                  <c:v>Česko</c:v>
                </c:pt>
                <c:pt idx="7">
                  <c:v>Rumunsko</c:v>
                </c:pt>
                <c:pt idx="8">
                  <c:v>Bulharsko</c:v>
                </c:pt>
                <c:pt idx="9">
                  <c:v>Slovensko</c:v>
                </c:pt>
                <c:pt idx="10">
                  <c:v>Nórsko</c:v>
                </c:pt>
                <c:pt idx="11">
                  <c:v>Francúzsko</c:v>
                </c:pt>
                <c:pt idx="12">
                  <c:v>Taliansko</c:v>
                </c:pt>
                <c:pt idx="13">
                  <c:v>EÚ27</c:v>
                </c:pt>
                <c:pt idx="14">
                  <c:v>Estónsko</c:v>
                </c:pt>
                <c:pt idx="15">
                  <c:v>Švajčiarsko</c:v>
                </c:pt>
                <c:pt idx="16">
                  <c:v>Írsko</c:v>
                </c:pt>
                <c:pt idx="17">
                  <c:v>Lotyšsko</c:v>
                </c:pt>
                <c:pt idx="18">
                  <c:v>UK</c:v>
                </c:pt>
                <c:pt idx="19">
                  <c:v>Nemecko</c:v>
                </c:pt>
                <c:pt idx="20">
                  <c:v>Portugalsko</c:v>
                </c:pt>
                <c:pt idx="21">
                  <c:v>Island</c:v>
                </c:pt>
                <c:pt idx="22">
                  <c:v>Chorvátsko</c:v>
                </c:pt>
                <c:pt idx="23">
                  <c:v>Poľsko</c:v>
                </c:pt>
                <c:pt idx="24">
                  <c:v>Slovinsko</c:v>
                </c:pt>
                <c:pt idx="25">
                  <c:v>Maďarsko</c:v>
                </c:pt>
                <c:pt idx="26">
                  <c:v>Švédsko</c:v>
                </c:pt>
                <c:pt idx="27">
                  <c:v>Dánsko</c:v>
                </c:pt>
                <c:pt idx="28">
                  <c:v>Rakúsko</c:v>
                </c:pt>
                <c:pt idx="29">
                  <c:v>Cyprus</c:v>
                </c:pt>
                <c:pt idx="30">
                  <c:v>Fínsko</c:v>
                </c:pt>
              </c:strCache>
            </c:strRef>
          </c:cat>
          <c:val>
            <c:numRef>
              <c:f>'[gov_10a_exp (28).xls]Data'!$F$13:$F$43</c:f>
              <c:numCache>
                <c:formatCode>#\ ##0.0</c:formatCode>
                <c:ptCount val="31"/>
                <c:pt idx="0">
                  <c:v>1.2</c:v>
                </c:pt>
                <c:pt idx="1">
                  <c:v>1</c:v>
                </c:pt>
                <c:pt idx="2">
                  <c:v>0.1</c:v>
                </c:pt>
                <c:pt idx="3">
                  <c:v>0.2</c:v>
                </c:pt>
                <c:pt idx="4">
                  <c:v>1</c:v>
                </c:pt>
                <c:pt idx="5">
                  <c:v>0.3</c:v>
                </c:pt>
                <c:pt idx="6">
                  <c:v>0.6</c:v>
                </c:pt>
                <c:pt idx="7">
                  <c:v>0.4</c:v>
                </c:pt>
                <c:pt idx="8">
                  <c:v>0</c:v>
                </c:pt>
                <c:pt idx="9">
                  <c:v>0.2</c:v>
                </c:pt>
                <c:pt idx="10">
                  <c:v>0.8</c:v>
                </c:pt>
                <c:pt idx="11">
                  <c:v>0.4</c:v>
                </c:pt>
                <c:pt idx="12">
                  <c:v>0.1</c:v>
                </c:pt>
                <c:pt idx="13">
                  <c:v>0.3</c:v>
                </c:pt>
                <c:pt idx="14">
                  <c:v>0.2</c:v>
                </c:pt>
                <c:pt idx="15">
                  <c:v>0.7</c:v>
                </c:pt>
                <c:pt idx="16">
                  <c:v>1</c:v>
                </c:pt>
                <c:pt idx="17">
                  <c:v>0.1</c:v>
                </c:pt>
                <c:pt idx="18">
                  <c:v>0</c:v>
                </c:pt>
                <c:pt idx="19">
                  <c:v>0.3</c:v>
                </c:pt>
                <c:pt idx="20">
                  <c:v>0.3</c:v>
                </c:pt>
                <c:pt idx="21">
                  <c:v>0</c:v>
                </c:pt>
                <c:pt idx="22">
                  <c:v>0.2</c:v>
                </c:pt>
                <c:pt idx="23">
                  <c:v>0.5</c:v>
                </c:pt>
                <c:pt idx="24">
                  <c:v>0.5</c:v>
                </c:pt>
                <c:pt idx="25">
                  <c:v>0.5</c:v>
                </c:pt>
                <c:pt idx="26">
                  <c:v>0.4</c:v>
                </c:pt>
                <c:pt idx="27">
                  <c:v>0</c:v>
                </c:pt>
                <c:pt idx="28">
                  <c:v>0.2</c:v>
                </c:pt>
                <c:pt idx="29">
                  <c:v>0.1</c:v>
                </c:pt>
                <c:pt idx="30">
                  <c:v>0</c:v>
                </c:pt>
              </c:numCache>
            </c:numRef>
          </c:val>
          <c:extLst xmlns:c16r2="http://schemas.microsoft.com/office/drawing/2015/06/chart">
            <c:ext xmlns:c16="http://schemas.microsoft.com/office/drawing/2014/chart" uri="{C3380CC4-5D6E-409C-BE32-E72D297353CC}">
              <c16:uniqueId val="{00000001-7748-47AC-A9A8-5FAD1C4B3D7F}"/>
            </c:ext>
          </c:extLst>
        </c:ser>
        <c:ser>
          <c:idx val="2"/>
          <c:order val="2"/>
          <c:tx>
            <c:strRef>
              <c:f>'[gov_10a_exp (28).xls]Data'!$G$10</c:f>
              <c:strCache>
                <c:ptCount val="1"/>
                <c:pt idx="0">
                  <c:v>Znižovanie znečistenia</c:v>
                </c:pt>
              </c:strCache>
            </c:strRef>
          </c:tx>
          <c:spPr>
            <a:solidFill>
              <a:srgbClr val="002060"/>
            </a:solidFill>
            <a:ln>
              <a:solidFill>
                <a:srgbClr val="002060"/>
              </a:solidFill>
            </a:ln>
            <a:effectLst/>
          </c:spPr>
          <c:invertIfNegative val="0"/>
          <c:cat>
            <c:strRef>
              <c:f>'[gov_10a_exp (28).xls]Data'!$B$13:$B$43</c:f>
              <c:strCache>
                <c:ptCount val="31"/>
                <c:pt idx="0">
                  <c:v>Malta</c:v>
                </c:pt>
                <c:pt idx="1">
                  <c:v>Holandsko</c:v>
                </c:pt>
                <c:pt idx="2">
                  <c:v>Grécko</c:v>
                </c:pt>
                <c:pt idx="3">
                  <c:v>Belgicko</c:v>
                </c:pt>
                <c:pt idx="4">
                  <c:v>Luxembursko</c:v>
                </c:pt>
                <c:pt idx="5">
                  <c:v>Španielsko</c:v>
                </c:pt>
                <c:pt idx="6">
                  <c:v>Česko</c:v>
                </c:pt>
                <c:pt idx="7">
                  <c:v>Rumunsko</c:v>
                </c:pt>
                <c:pt idx="8">
                  <c:v>Bulharsko</c:v>
                </c:pt>
                <c:pt idx="9">
                  <c:v>Slovensko</c:v>
                </c:pt>
                <c:pt idx="10">
                  <c:v>Nórsko</c:v>
                </c:pt>
                <c:pt idx="11">
                  <c:v>Francúzsko</c:v>
                </c:pt>
                <c:pt idx="12">
                  <c:v>Taliansko</c:v>
                </c:pt>
                <c:pt idx="13">
                  <c:v>EÚ27</c:v>
                </c:pt>
                <c:pt idx="14">
                  <c:v>Estónsko</c:v>
                </c:pt>
                <c:pt idx="15">
                  <c:v>Švajčiarsko</c:v>
                </c:pt>
                <c:pt idx="16">
                  <c:v>Írsko</c:v>
                </c:pt>
                <c:pt idx="17">
                  <c:v>Lotyšsko</c:v>
                </c:pt>
                <c:pt idx="18">
                  <c:v>UK</c:v>
                </c:pt>
                <c:pt idx="19">
                  <c:v>Nemecko</c:v>
                </c:pt>
                <c:pt idx="20">
                  <c:v>Portugalsko</c:v>
                </c:pt>
                <c:pt idx="21">
                  <c:v>Island</c:v>
                </c:pt>
                <c:pt idx="22">
                  <c:v>Chorvátsko</c:v>
                </c:pt>
                <c:pt idx="23">
                  <c:v>Poľsko</c:v>
                </c:pt>
                <c:pt idx="24">
                  <c:v>Slovinsko</c:v>
                </c:pt>
                <c:pt idx="25">
                  <c:v>Maďarsko</c:v>
                </c:pt>
                <c:pt idx="26">
                  <c:v>Švédsko</c:v>
                </c:pt>
                <c:pt idx="27">
                  <c:v>Dánsko</c:v>
                </c:pt>
                <c:pt idx="28">
                  <c:v>Rakúsko</c:v>
                </c:pt>
                <c:pt idx="29">
                  <c:v>Cyprus</c:v>
                </c:pt>
                <c:pt idx="30">
                  <c:v>Fínsko</c:v>
                </c:pt>
              </c:strCache>
            </c:strRef>
          </c:cat>
          <c:val>
            <c:numRef>
              <c:f>'[gov_10a_exp (28).xls]Data'!$G$13:$G$43</c:f>
              <c:numCache>
                <c:formatCode>#\ ##0.0</c:formatCode>
                <c:ptCount val="31"/>
                <c:pt idx="0">
                  <c:v>0.1</c:v>
                </c:pt>
                <c:pt idx="1">
                  <c:v>0.7</c:v>
                </c:pt>
                <c:pt idx="2">
                  <c:v>1.3</c:v>
                </c:pt>
                <c:pt idx="3">
                  <c:v>1.1000000000000001</c:v>
                </c:pt>
                <c:pt idx="4">
                  <c:v>0.3</c:v>
                </c:pt>
                <c:pt idx="5">
                  <c:v>0.1</c:v>
                </c:pt>
                <c:pt idx="6">
                  <c:v>0.1</c:v>
                </c:pt>
                <c:pt idx="7">
                  <c:v>0.7</c:v>
                </c:pt>
                <c:pt idx="9">
                  <c:v>0.2</c:v>
                </c:pt>
                <c:pt idx="10">
                  <c:v>0.2</c:v>
                </c:pt>
                <c:pt idx="11">
                  <c:v>0.2</c:v>
                </c:pt>
                <c:pt idx="12">
                  <c:v>0.1</c:v>
                </c:pt>
                <c:pt idx="13">
                  <c:v>0.3</c:v>
                </c:pt>
                <c:pt idx="14">
                  <c:v>0.3</c:v>
                </c:pt>
                <c:pt idx="15">
                  <c:v>0.2</c:v>
                </c:pt>
                <c:pt idx="16">
                  <c:v>0.1</c:v>
                </c:pt>
                <c:pt idx="17">
                  <c:v>0.2</c:v>
                </c:pt>
                <c:pt idx="18">
                  <c:v>0</c:v>
                </c:pt>
                <c:pt idx="19">
                  <c:v>0.4</c:v>
                </c:pt>
                <c:pt idx="20">
                  <c:v>0.2</c:v>
                </c:pt>
                <c:pt idx="21">
                  <c:v>0</c:v>
                </c:pt>
                <c:pt idx="22">
                  <c:v>0</c:v>
                </c:pt>
                <c:pt idx="23">
                  <c:v>0.1</c:v>
                </c:pt>
                <c:pt idx="24">
                  <c:v>0.3</c:v>
                </c:pt>
                <c:pt idx="25">
                  <c:v>0</c:v>
                </c:pt>
                <c:pt idx="26">
                  <c:v>0.1</c:v>
                </c:pt>
                <c:pt idx="27">
                  <c:v>0.1</c:v>
                </c:pt>
                <c:pt idx="28">
                  <c:v>0.3</c:v>
                </c:pt>
                <c:pt idx="29">
                  <c:v>0</c:v>
                </c:pt>
                <c:pt idx="30">
                  <c:v>0.1</c:v>
                </c:pt>
              </c:numCache>
            </c:numRef>
          </c:val>
          <c:extLst xmlns:c16r2="http://schemas.microsoft.com/office/drawing/2015/06/chart">
            <c:ext xmlns:c16="http://schemas.microsoft.com/office/drawing/2014/chart" uri="{C3380CC4-5D6E-409C-BE32-E72D297353CC}">
              <c16:uniqueId val="{00000002-7748-47AC-A9A8-5FAD1C4B3D7F}"/>
            </c:ext>
          </c:extLst>
        </c:ser>
        <c:ser>
          <c:idx val="3"/>
          <c:order val="3"/>
          <c:tx>
            <c:strRef>
              <c:f>'[gov_10a_exp (28).xls]Data'!$H$10</c:f>
              <c:strCache>
                <c:ptCount val="1"/>
                <c:pt idx="0">
                  <c:v>Ochrana prírody a biodiverzity</c:v>
                </c:pt>
              </c:strCache>
            </c:strRef>
          </c:tx>
          <c:spPr>
            <a:solidFill>
              <a:schemeClr val="bg1">
                <a:lumMod val="50000"/>
              </a:schemeClr>
            </a:solidFill>
            <a:ln>
              <a:solidFill>
                <a:schemeClr val="bg1">
                  <a:lumMod val="50000"/>
                </a:schemeClr>
              </a:solidFill>
            </a:ln>
            <a:effectLst/>
          </c:spPr>
          <c:invertIfNegative val="0"/>
          <c:cat>
            <c:strRef>
              <c:f>'[gov_10a_exp (28).xls]Data'!$B$13:$B$43</c:f>
              <c:strCache>
                <c:ptCount val="31"/>
                <c:pt idx="0">
                  <c:v>Malta</c:v>
                </c:pt>
                <c:pt idx="1">
                  <c:v>Holandsko</c:v>
                </c:pt>
                <c:pt idx="2">
                  <c:v>Grécko</c:v>
                </c:pt>
                <c:pt idx="3">
                  <c:v>Belgicko</c:v>
                </c:pt>
                <c:pt idx="4">
                  <c:v>Luxembursko</c:v>
                </c:pt>
                <c:pt idx="5">
                  <c:v>Španielsko</c:v>
                </c:pt>
                <c:pt idx="6">
                  <c:v>Česko</c:v>
                </c:pt>
                <c:pt idx="7">
                  <c:v>Rumunsko</c:v>
                </c:pt>
                <c:pt idx="8">
                  <c:v>Bulharsko</c:v>
                </c:pt>
                <c:pt idx="9">
                  <c:v>Slovensko</c:v>
                </c:pt>
                <c:pt idx="10">
                  <c:v>Nórsko</c:v>
                </c:pt>
                <c:pt idx="11">
                  <c:v>Francúzsko</c:v>
                </c:pt>
                <c:pt idx="12">
                  <c:v>Taliansko</c:v>
                </c:pt>
                <c:pt idx="13">
                  <c:v>EÚ27</c:v>
                </c:pt>
                <c:pt idx="14">
                  <c:v>Estónsko</c:v>
                </c:pt>
                <c:pt idx="15">
                  <c:v>Švajčiarsko</c:v>
                </c:pt>
                <c:pt idx="16">
                  <c:v>Írsko</c:v>
                </c:pt>
                <c:pt idx="17">
                  <c:v>Lotyšsko</c:v>
                </c:pt>
                <c:pt idx="18">
                  <c:v>UK</c:v>
                </c:pt>
                <c:pt idx="19">
                  <c:v>Nemecko</c:v>
                </c:pt>
                <c:pt idx="20">
                  <c:v>Portugalsko</c:v>
                </c:pt>
                <c:pt idx="21">
                  <c:v>Island</c:v>
                </c:pt>
                <c:pt idx="22">
                  <c:v>Chorvátsko</c:v>
                </c:pt>
                <c:pt idx="23">
                  <c:v>Poľsko</c:v>
                </c:pt>
                <c:pt idx="24">
                  <c:v>Slovinsko</c:v>
                </c:pt>
                <c:pt idx="25">
                  <c:v>Maďarsko</c:v>
                </c:pt>
                <c:pt idx="26">
                  <c:v>Švédsko</c:v>
                </c:pt>
                <c:pt idx="27">
                  <c:v>Dánsko</c:v>
                </c:pt>
                <c:pt idx="28">
                  <c:v>Rakúsko</c:v>
                </c:pt>
                <c:pt idx="29">
                  <c:v>Cyprus</c:v>
                </c:pt>
                <c:pt idx="30">
                  <c:v>Fínsko</c:v>
                </c:pt>
              </c:strCache>
            </c:strRef>
          </c:cat>
          <c:val>
            <c:numRef>
              <c:f>'[gov_10a_exp (28).xls]Data'!$H$13:$H$43</c:f>
              <c:numCache>
                <c:formatCode>#\ ##0.0</c:formatCode>
                <c:ptCount val="31"/>
                <c:pt idx="0">
                  <c:v>0.8</c:v>
                </c:pt>
                <c:pt idx="1">
                  <c:v>0.3</c:v>
                </c:pt>
                <c:pt idx="2">
                  <c:v>0</c:v>
                </c:pt>
                <c:pt idx="3">
                  <c:v>0.1</c:v>
                </c:pt>
                <c:pt idx="4">
                  <c:v>0.3</c:v>
                </c:pt>
                <c:pt idx="5">
                  <c:v>0.2</c:v>
                </c:pt>
                <c:pt idx="6">
                  <c:v>0.5</c:v>
                </c:pt>
                <c:pt idx="7">
                  <c:v>0</c:v>
                </c:pt>
                <c:pt idx="8">
                  <c:v>0</c:v>
                </c:pt>
                <c:pt idx="9">
                  <c:v>0.1</c:v>
                </c:pt>
                <c:pt idx="10">
                  <c:v>0.1</c:v>
                </c:pt>
                <c:pt idx="11">
                  <c:v>0.1</c:v>
                </c:pt>
                <c:pt idx="12">
                  <c:v>0.2</c:v>
                </c:pt>
                <c:pt idx="13">
                  <c:v>0.2</c:v>
                </c:pt>
                <c:pt idx="14">
                  <c:v>0.3</c:v>
                </c:pt>
                <c:pt idx="15">
                  <c:v>0.1</c:v>
                </c:pt>
                <c:pt idx="16">
                  <c:v>0.3</c:v>
                </c:pt>
                <c:pt idx="17">
                  <c:v>0.1</c:v>
                </c:pt>
                <c:pt idx="18">
                  <c:v>0</c:v>
                </c:pt>
                <c:pt idx="19">
                  <c:v>0.1</c:v>
                </c:pt>
                <c:pt idx="20">
                  <c:v>0.2</c:v>
                </c:pt>
                <c:pt idx="21">
                  <c:v>0.4</c:v>
                </c:pt>
                <c:pt idx="22">
                  <c:v>0.3</c:v>
                </c:pt>
                <c:pt idx="23">
                  <c:v>0</c:v>
                </c:pt>
                <c:pt idx="24">
                  <c:v>0.1</c:v>
                </c:pt>
                <c:pt idx="25">
                  <c:v>0.1</c:v>
                </c:pt>
                <c:pt idx="26">
                  <c:v>0.1</c:v>
                </c:pt>
                <c:pt idx="27">
                  <c:v>0.4</c:v>
                </c:pt>
                <c:pt idx="28">
                  <c:v>0</c:v>
                </c:pt>
                <c:pt idx="29">
                  <c:v>0</c:v>
                </c:pt>
                <c:pt idx="30">
                  <c:v>0.1</c:v>
                </c:pt>
              </c:numCache>
            </c:numRef>
          </c:val>
          <c:extLst xmlns:c16r2="http://schemas.microsoft.com/office/drawing/2015/06/chart">
            <c:ext xmlns:c16="http://schemas.microsoft.com/office/drawing/2014/chart" uri="{C3380CC4-5D6E-409C-BE32-E72D297353CC}">
              <c16:uniqueId val="{00000003-7748-47AC-A9A8-5FAD1C4B3D7F}"/>
            </c:ext>
          </c:extLst>
        </c:ser>
        <c:ser>
          <c:idx val="4"/>
          <c:order val="4"/>
          <c:tx>
            <c:strRef>
              <c:f>'[gov_10a_exp (28).xls]Data'!$I$10</c:f>
              <c:strCache>
                <c:ptCount val="1"/>
                <c:pt idx="0">
                  <c:v>Výskum a vývoj</c:v>
                </c:pt>
              </c:strCache>
            </c:strRef>
          </c:tx>
          <c:spPr>
            <a:solidFill>
              <a:srgbClr val="0070C0"/>
            </a:solidFill>
            <a:ln>
              <a:solidFill>
                <a:srgbClr val="0070C0"/>
              </a:solidFill>
            </a:ln>
            <a:effectLst/>
          </c:spPr>
          <c:invertIfNegative val="0"/>
          <c:cat>
            <c:strRef>
              <c:f>'[gov_10a_exp (28).xls]Data'!$B$13:$B$43</c:f>
              <c:strCache>
                <c:ptCount val="31"/>
                <c:pt idx="0">
                  <c:v>Malta</c:v>
                </c:pt>
                <c:pt idx="1">
                  <c:v>Holandsko</c:v>
                </c:pt>
                <c:pt idx="2">
                  <c:v>Grécko</c:v>
                </c:pt>
                <c:pt idx="3">
                  <c:v>Belgicko</c:v>
                </c:pt>
                <c:pt idx="4">
                  <c:v>Luxembursko</c:v>
                </c:pt>
                <c:pt idx="5">
                  <c:v>Španielsko</c:v>
                </c:pt>
                <c:pt idx="6">
                  <c:v>Česko</c:v>
                </c:pt>
                <c:pt idx="7">
                  <c:v>Rumunsko</c:v>
                </c:pt>
                <c:pt idx="8">
                  <c:v>Bulharsko</c:v>
                </c:pt>
                <c:pt idx="9">
                  <c:v>Slovensko</c:v>
                </c:pt>
                <c:pt idx="10">
                  <c:v>Nórsko</c:v>
                </c:pt>
                <c:pt idx="11">
                  <c:v>Francúzsko</c:v>
                </c:pt>
                <c:pt idx="12">
                  <c:v>Taliansko</c:v>
                </c:pt>
                <c:pt idx="13">
                  <c:v>EÚ27</c:v>
                </c:pt>
                <c:pt idx="14">
                  <c:v>Estónsko</c:v>
                </c:pt>
                <c:pt idx="15">
                  <c:v>Švajčiarsko</c:v>
                </c:pt>
                <c:pt idx="16">
                  <c:v>Írsko</c:v>
                </c:pt>
                <c:pt idx="17">
                  <c:v>Lotyšsko</c:v>
                </c:pt>
                <c:pt idx="18">
                  <c:v>UK</c:v>
                </c:pt>
                <c:pt idx="19">
                  <c:v>Nemecko</c:v>
                </c:pt>
                <c:pt idx="20">
                  <c:v>Portugalsko</c:v>
                </c:pt>
                <c:pt idx="21">
                  <c:v>Island</c:v>
                </c:pt>
                <c:pt idx="22">
                  <c:v>Chorvátsko</c:v>
                </c:pt>
                <c:pt idx="23">
                  <c:v>Poľsko</c:v>
                </c:pt>
                <c:pt idx="24">
                  <c:v>Slovinsko</c:v>
                </c:pt>
                <c:pt idx="25">
                  <c:v>Maďarsko</c:v>
                </c:pt>
                <c:pt idx="26">
                  <c:v>Švédsko</c:v>
                </c:pt>
                <c:pt idx="27">
                  <c:v>Dánsko</c:v>
                </c:pt>
                <c:pt idx="28">
                  <c:v>Rakúsko</c:v>
                </c:pt>
                <c:pt idx="29">
                  <c:v>Cyprus</c:v>
                </c:pt>
                <c:pt idx="30">
                  <c:v>Fínsko</c:v>
                </c:pt>
              </c:strCache>
            </c:strRef>
          </c:cat>
          <c:val>
            <c:numRef>
              <c:f>'[gov_10a_exp (28).xls]Data'!$I$13:$I$43</c:f>
              <c:numCache>
                <c:formatCode>#\ ##0.0</c:formatCode>
                <c:ptCount val="31"/>
                <c:pt idx="0">
                  <c:v>0</c:v>
                </c:pt>
                <c:pt idx="1">
                  <c:v>0</c:v>
                </c:pt>
                <c:pt idx="2">
                  <c:v>0</c:v>
                </c:pt>
                <c:pt idx="3">
                  <c:v>0</c:v>
                </c:pt>
                <c:pt idx="4">
                  <c:v>0</c:v>
                </c:pt>
                <c:pt idx="5">
                  <c:v>0.1</c:v>
                </c:pt>
                <c:pt idx="6">
                  <c:v>0.1</c:v>
                </c:pt>
                <c:pt idx="7">
                  <c:v>0</c:v>
                </c:pt>
                <c:pt idx="9">
                  <c:v>0.1</c:v>
                </c:pt>
                <c:pt idx="10">
                  <c:v>0.1</c:v>
                </c:pt>
                <c:pt idx="11">
                  <c:v>0.1</c:v>
                </c:pt>
                <c:pt idx="12">
                  <c:v>0.1</c:v>
                </c:pt>
                <c:pt idx="13">
                  <c:v>0.1</c:v>
                </c:pt>
                <c:pt idx="14">
                  <c:v>0.2</c:v>
                </c:pt>
                <c:pt idx="15">
                  <c:v>0.1</c:v>
                </c:pt>
                <c:pt idx="16">
                  <c:v>0</c:v>
                </c:pt>
                <c:pt idx="17">
                  <c:v>0</c:v>
                </c:pt>
                <c:pt idx="18">
                  <c:v>0</c:v>
                </c:pt>
                <c:pt idx="19">
                  <c:v>0.1</c:v>
                </c:pt>
                <c:pt idx="20">
                  <c:v>0.1</c:v>
                </c:pt>
                <c:pt idx="21">
                  <c:v>0</c:v>
                </c:pt>
                <c:pt idx="22">
                  <c:v>0</c:v>
                </c:pt>
                <c:pt idx="23">
                  <c:v>0.1</c:v>
                </c:pt>
                <c:pt idx="24">
                  <c:v>0.1</c:v>
                </c:pt>
                <c:pt idx="25">
                  <c:v>0</c:v>
                </c:pt>
                <c:pt idx="26">
                  <c:v>0</c:v>
                </c:pt>
                <c:pt idx="27">
                  <c:v>0</c:v>
                </c:pt>
                <c:pt idx="28">
                  <c:v>0</c:v>
                </c:pt>
                <c:pt idx="29">
                  <c:v>0</c:v>
                </c:pt>
                <c:pt idx="30">
                  <c:v>0.1</c:v>
                </c:pt>
              </c:numCache>
            </c:numRef>
          </c:val>
          <c:extLst xmlns:c16r2="http://schemas.microsoft.com/office/drawing/2015/06/chart">
            <c:ext xmlns:c16="http://schemas.microsoft.com/office/drawing/2014/chart" uri="{C3380CC4-5D6E-409C-BE32-E72D297353CC}">
              <c16:uniqueId val="{00000004-7748-47AC-A9A8-5FAD1C4B3D7F}"/>
            </c:ext>
          </c:extLst>
        </c:ser>
        <c:ser>
          <c:idx val="5"/>
          <c:order val="5"/>
          <c:tx>
            <c:strRef>
              <c:f>'[gov_10a_exp (28).xls]Data'!$J$10</c:f>
              <c:strCache>
                <c:ptCount val="1"/>
                <c:pt idx="0">
                  <c:v>Ostatné</c:v>
                </c:pt>
              </c:strCache>
            </c:strRef>
          </c:tx>
          <c:spPr>
            <a:solidFill>
              <a:schemeClr val="bg1">
                <a:lumMod val="65000"/>
              </a:schemeClr>
            </a:solidFill>
            <a:ln>
              <a:solidFill>
                <a:schemeClr val="bg1">
                  <a:lumMod val="65000"/>
                </a:schemeClr>
              </a:solidFill>
            </a:ln>
            <a:effectLst/>
          </c:spPr>
          <c:invertIfNegative val="0"/>
          <c:cat>
            <c:strRef>
              <c:f>'[gov_10a_exp (28).xls]Data'!$B$13:$B$43</c:f>
              <c:strCache>
                <c:ptCount val="31"/>
                <c:pt idx="0">
                  <c:v>Malta</c:v>
                </c:pt>
                <c:pt idx="1">
                  <c:v>Holandsko</c:v>
                </c:pt>
                <c:pt idx="2">
                  <c:v>Grécko</c:v>
                </c:pt>
                <c:pt idx="3">
                  <c:v>Belgicko</c:v>
                </c:pt>
                <c:pt idx="4">
                  <c:v>Luxembursko</c:v>
                </c:pt>
                <c:pt idx="5">
                  <c:v>Španielsko</c:v>
                </c:pt>
                <c:pt idx="6">
                  <c:v>Česko</c:v>
                </c:pt>
                <c:pt idx="7">
                  <c:v>Rumunsko</c:v>
                </c:pt>
                <c:pt idx="8">
                  <c:v>Bulharsko</c:v>
                </c:pt>
                <c:pt idx="9">
                  <c:v>Slovensko</c:v>
                </c:pt>
                <c:pt idx="10">
                  <c:v>Nórsko</c:v>
                </c:pt>
                <c:pt idx="11">
                  <c:v>Francúzsko</c:v>
                </c:pt>
                <c:pt idx="12">
                  <c:v>Taliansko</c:v>
                </c:pt>
                <c:pt idx="13">
                  <c:v>EÚ27</c:v>
                </c:pt>
                <c:pt idx="14">
                  <c:v>Estónsko</c:v>
                </c:pt>
                <c:pt idx="15">
                  <c:v>Švajčiarsko</c:v>
                </c:pt>
                <c:pt idx="16">
                  <c:v>Írsko</c:v>
                </c:pt>
                <c:pt idx="17">
                  <c:v>Lotyšsko</c:v>
                </c:pt>
                <c:pt idx="18">
                  <c:v>UK</c:v>
                </c:pt>
                <c:pt idx="19">
                  <c:v>Nemecko</c:v>
                </c:pt>
                <c:pt idx="20">
                  <c:v>Portugalsko</c:v>
                </c:pt>
                <c:pt idx="21">
                  <c:v>Island</c:v>
                </c:pt>
                <c:pt idx="22">
                  <c:v>Chorvátsko</c:v>
                </c:pt>
                <c:pt idx="23">
                  <c:v>Poľsko</c:v>
                </c:pt>
                <c:pt idx="24">
                  <c:v>Slovinsko</c:v>
                </c:pt>
                <c:pt idx="25">
                  <c:v>Maďarsko</c:v>
                </c:pt>
                <c:pt idx="26">
                  <c:v>Švédsko</c:v>
                </c:pt>
                <c:pt idx="27">
                  <c:v>Dánsko</c:v>
                </c:pt>
                <c:pt idx="28">
                  <c:v>Rakúsko</c:v>
                </c:pt>
                <c:pt idx="29">
                  <c:v>Cyprus</c:v>
                </c:pt>
                <c:pt idx="30">
                  <c:v>Fínsko</c:v>
                </c:pt>
              </c:strCache>
            </c:strRef>
          </c:cat>
          <c:val>
            <c:numRef>
              <c:f>'[gov_10a_exp (28).xls]Data'!$J$13:$J$43</c:f>
              <c:numCache>
                <c:formatCode>#\ ##0.0</c:formatCode>
                <c:ptCount val="31"/>
                <c:pt idx="0">
                  <c:v>0</c:v>
                </c:pt>
                <c:pt idx="1">
                  <c:v>0</c:v>
                </c:pt>
                <c:pt idx="2">
                  <c:v>0</c:v>
                </c:pt>
                <c:pt idx="3">
                  <c:v>0.3</c:v>
                </c:pt>
                <c:pt idx="4">
                  <c:v>0.1</c:v>
                </c:pt>
                <c:pt idx="5">
                  <c:v>0.1</c:v>
                </c:pt>
                <c:pt idx="6">
                  <c:v>0.1</c:v>
                </c:pt>
                <c:pt idx="7">
                  <c:v>0</c:v>
                </c:pt>
                <c:pt idx="8">
                  <c:v>0.3</c:v>
                </c:pt>
                <c:pt idx="9">
                  <c:v>0.5</c:v>
                </c:pt>
                <c:pt idx="10">
                  <c:v>0.2</c:v>
                </c:pt>
                <c:pt idx="11">
                  <c:v>0.1</c:v>
                </c:pt>
                <c:pt idx="12">
                  <c:v>0.1</c:v>
                </c:pt>
                <c:pt idx="13">
                  <c:v>0.1</c:v>
                </c:pt>
                <c:pt idx="14">
                  <c:v>0.1</c:v>
                </c:pt>
                <c:pt idx="15">
                  <c:v>0.1</c:v>
                </c:pt>
                <c:pt idx="16">
                  <c:v>0.1</c:v>
                </c:pt>
                <c:pt idx="17">
                  <c:v>0.2</c:v>
                </c:pt>
                <c:pt idx="18">
                  <c:v>0.2</c:v>
                </c:pt>
                <c:pt idx="19">
                  <c:v>0.1</c:v>
                </c:pt>
                <c:pt idx="20">
                  <c:v>0.1</c:v>
                </c:pt>
                <c:pt idx="21">
                  <c:v>0.1</c:v>
                </c:pt>
                <c:pt idx="22">
                  <c:v>0.7</c:v>
                </c:pt>
                <c:pt idx="23">
                  <c:v>0.2</c:v>
                </c:pt>
                <c:pt idx="24">
                  <c:v>0.1</c:v>
                </c:pt>
                <c:pt idx="25">
                  <c:v>0.1</c:v>
                </c:pt>
                <c:pt idx="26">
                  <c:v>0.2</c:v>
                </c:pt>
                <c:pt idx="27">
                  <c:v>0.2</c:v>
                </c:pt>
                <c:pt idx="28">
                  <c:v>0.1</c:v>
                </c:pt>
                <c:pt idx="29">
                  <c:v>0</c:v>
                </c:pt>
                <c:pt idx="30">
                  <c:v>0.1</c:v>
                </c:pt>
              </c:numCache>
            </c:numRef>
          </c:val>
          <c:extLst xmlns:c16r2="http://schemas.microsoft.com/office/drawing/2015/06/chart">
            <c:ext xmlns:c16="http://schemas.microsoft.com/office/drawing/2014/chart" uri="{C3380CC4-5D6E-409C-BE32-E72D297353CC}">
              <c16:uniqueId val="{00000005-7748-47AC-A9A8-5FAD1C4B3D7F}"/>
            </c:ext>
          </c:extLst>
        </c:ser>
        <c:dLbls>
          <c:showLegendKey val="0"/>
          <c:showVal val="0"/>
          <c:showCatName val="0"/>
          <c:showSerName val="0"/>
          <c:showPercent val="0"/>
          <c:showBubbleSize val="0"/>
        </c:dLbls>
        <c:gapWidth val="150"/>
        <c:overlap val="100"/>
        <c:axId val="550797808"/>
        <c:axId val="550806040"/>
      </c:barChart>
      <c:catAx>
        <c:axId val="55079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0806040"/>
        <c:crosses val="autoZero"/>
        <c:auto val="1"/>
        <c:lblAlgn val="ctr"/>
        <c:lblOffset val="100"/>
        <c:noMultiLvlLbl val="0"/>
      </c:catAx>
      <c:valAx>
        <c:axId val="550806040"/>
        <c:scaling>
          <c:orientation val="minMax"/>
        </c:scaling>
        <c:delete val="0"/>
        <c:axPos val="l"/>
        <c:majorGridlines>
          <c:spPr>
            <a:ln w="9525" cap="flat" cmpd="sng" algn="ctr">
              <a:solidFill>
                <a:schemeClr val="bg1">
                  <a:lumMod val="75000"/>
                </a:schemeClr>
              </a:solidFill>
              <a:prstDash val="dash"/>
              <a:round/>
            </a:ln>
            <a:effectLst/>
          </c:spPr>
        </c:majorGridlines>
        <c:numFmt formatCode="#\ ##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0797808"/>
        <c:crosses val="autoZero"/>
        <c:crossBetween val="between"/>
      </c:valAx>
      <c:spPr>
        <a:noFill/>
        <a:ln>
          <a:noFill/>
        </a:ln>
        <a:effectLst/>
      </c:spPr>
    </c:plotArea>
    <c:legend>
      <c:legendPos val="t"/>
      <c:layout>
        <c:manualLayout>
          <c:xMode val="edge"/>
          <c:yMode val="edge"/>
          <c:x val="0.53450703715100556"/>
          <c:y val="1.873536299765808E-2"/>
          <c:w val="0.43802810424337668"/>
          <c:h val="0.2837325662161082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'[gov_10a_exp (28).xls]Data'!$C$50</c:f>
              <c:strCache>
                <c:ptCount val="1"/>
                <c:pt idx="0">
                  <c:v>Slovensko</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'[gov_10a_exp (28).xls]Data'!$D$49:$I$49</c:f>
              <c:strCache>
                <c:ptCount val="6"/>
                <c:pt idx="0">
                  <c:v>Odpady</c:v>
                </c:pt>
                <c:pt idx="1">
                  <c:v>Odpadové vody</c:v>
                </c:pt>
                <c:pt idx="2">
                  <c:v>Znižovanie znečistenia</c:v>
                </c:pt>
                <c:pt idx="3">
                  <c:v>Ochrana prírody a biodiverzity</c:v>
                </c:pt>
                <c:pt idx="4">
                  <c:v>Výskum a vývoj</c:v>
                </c:pt>
                <c:pt idx="5">
                  <c:v>Ostatné</c:v>
                </c:pt>
              </c:strCache>
            </c:strRef>
          </c:cat>
          <c:val>
            <c:numRef>
              <c:f>'[gov_10a_exp (28).xls]Data'!$D$50:$I$50</c:f>
              <c:numCache>
                <c:formatCode>0%</c:formatCode>
                <c:ptCount val="6"/>
                <c:pt idx="0">
                  <c:v>0.42105263157894735</c:v>
                </c:pt>
                <c:pt idx="1">
                  <c:v>0.10526315789473684</c:v>
                </c:pt>
                <c:pt idx="2">
                  <c:v>0.10526315789473684</c:v>
                </c:pt>
                <c:pt idx="3">
                  <c:v>5.2631578947368418E-2</c:v>
                </c:pt>
                <c:pt idx="4">
                  <c:v>5.2631578947368418E-2</c:v>
                </c:pt>
                <c:pt idx="5">
                  <c:v>0.26315789473684209</c:v>
                </c:pt>
              </c:numCache>
            </c:numRef>
          </c:val>
          <c:extLst xmlns:c16r2="http://schemas.microsoft.com/office/drawing/2015/06/chart">
            <c:ext xmlns:c16="http://schemas.microsoft.com/office/drawing/2014/chart" uri="{C3380CC4-5D6E-409C-BE32-E72D297353CC}">
              <c16:uniqueId val="{00000000-FA5E-474A-86AB-A09793D00AC5}"/>
            </c:ext>
          </c:extLst>
        </c:ser>
        <c:ser>
          <c:idx val="1"/>
          <c:order val="1"/>
          <c:tx>
            <c:strRef>
              <c:f>'[gov_10a_exp (28).xls]Data'!$C$51</c:f>
              <c:strCache>
                <c:ptCount val="1"/>
                <c:pt idx="0">
                  <c:v>EÚ27</c:v>
                </c:pt>
              </c:strCache>
            </c:strRef>
          </c:tx>
          <c:spPr>
            <a:solidFill>
              <a:schemeClr val="bg1">
                <a:lumMod val="75000"/>
              </a:schemeClr>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'[gov_10a_exp (28).xls]Data'!$D$49:$I$49</c:f>
              <c:strCache>
                <c:ptCount val="6"/>
                <c:pt idx="0">
                  <c:v>Odpady</c:v>
                </c:pt>
                <c:pt idx="1">
                  <c:v>Odpadové vody</c:v>
                </c:pt>
                <c:pt idx="2">
                  <c:v>Znižovanie znečistenia</c:v>
                </c:pt>
                <c:pt idx="3">
                  <c:v>Ochrana prírody a biodiverzity</c:v>
                </c:pt>
                <c:pt idx="4">
                  <c:v>Výskum a vývoj</c:v>
                </c:pt>
                <c:pt idx="5">
                  <c:v>Ostatné</c:v>
                </c:pt>
              </c:strCache>
            </c:strRef>
          </c:cat>
          <c:val>
            <c:numRef>
              <c:f>'[gov_10a_exp (28).xls]Data'!$D$51:$I$51</c:f>
              <c:numCache>
                <c:formatCode>0%</c:formatCode>
                <c:ptCount val="6"/>
                <c:pt idx="0">
                  <c:v>0.41176470588235287</c:v>
                </c:pt>
                <c:pt idx="1">
                  <c:v>0.1764705882352941</c:v>
                </c:pt>
                <c:pt idx="2">
                  <c:v>0.1764705882352941</c:v>
                </c:pt>
                <c:pt idx="3">
                  <c:v>0.11764705882352941</c:v>
                </c:pt>
                <c:pt idx="4">
                  <c:v>5.8823529411764705E-2</c:v>
                </c:pt>
                <c:pt idx="5">
                  <c:v>5.8823529411764705E-2</c:v>
                </c:pt>
              </c:numCache>
            </c:numRef>
          </c:val>
          <c:extLst xmlns:c16r2="http://schemas.microsoft.com/office/drawing/2015/06/chart">
            <c:ext xmlns:c16="http://schemas.microsoft.com/office/drawing/2014/chart" uri="{C3380CC4-5D6E-409C-BE32-E72D297353CC}">
              <c16:uniqueId val="{00000001-FA5E-474A-86AB-A09793D00AC5}"/>
            </c:ext>
          </c:extLst>
        </c:ser>
        <c:dLbls>
          <c:dLblPos val="outEnd"/>
          <c:showLegendKey val="0"/>
          <c:showVal val="1"/>
          <c:showCatName val="0"/>
          <c:showSerName val="0"/>
          <c:showPercent val="0"/>
          <c:showBubbleSize val="0"/>
        </c:dLbls>
        <c:gapWidth val="219"/>
        <c:overlap val="-27"/>
        <c:axId val="550807216"/>
        <c:axId val="550809176"/>
      </c:barChart>
      <c:catAx>
        <c:axId val="55080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0809176"/>
        <c:crosses val="autoZero"/>
        <c:auto val="1"/>
        <c:lblAlgn val="ctr"/>
        <c:lblOffset val="100"/>
        <c:noMultiLvlLbl val="0"/>
      </c:catAx>
      <c:valAx>
        <c:axId val="550809176"/>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0807216"/>
        <c:crosses val="autoZero"/>
        <c:crossBetween val="between"/>
      </c:valAx>
      <c:spPr>
        <a:noFill/>
        <a:ln>
          <a:noFill/>
        </a:ln>
        <a:effectLst/>
      </c:spPr>
    </c:plotArea>
    <c:legend>
      <c:legendPos val="t"/>
      <c:layout>
        <c:manualLayout>
          <c:xMode val="edge"/>
          <c:yMode val="edge"/>
          <c:x val="0.4530669096909265"/>
          <c:y val="0.24957264957264957"/>
          <c:w val="0.18829762540556128"/>
          <c:h val="5.4240527626354396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099679777191692E-2"/>
          <c:y val="4.8823828544190706E-2"/>
          <c:w val="0.89093095636884034"/>
          <c:h val="0.85748137319626516"/>
        </c:manualLayout>
      </c:layout>
      <c:barChart>
        <c:barDir val="col"/>
        <c:grouping val="stacked"/>
        <c:varyColors val="0"/>
        <c:ser>
          <c:idx val="8"/>
          <c:order val="0"/>
          <c:tx>
            <c:strRef>
              <c:f>'Graf 3'!$B$4</c:f>
              <c:strCache>
                <c:ptCount val="1"/>
                <c:pt idx="0">
                  <c:v>Podiel</c:v>
                </c:pt>
              </c:strCache>
            </c:strRef>
          </c:tx>
          <c:spPr>
            <a:solidFill>
              <a:srgbClr val="2C9ADC"/>
            </a:solidFill>
            <a:ln>
              <a:solidFill>
                <a:srgbClr val="2C9ADC"/>
              </a:solidFill>
            </a:ln>
          </c:spPr>
          <c:invertIfNegative val="0"/>
          <c:cat>
            <c:numRef>
              <c:f>'Graf 3'!$A$5:$A$13</c:f>
              <c:numCache>
                <c:formatCode>General</c:formatCode>
                <c:ptCount val="9"/>
                <c:pt idx="0">
                  <c:v>1990</c:v>
                </c:pt>
                <c:pt idx="1">
                  <c:v>2000</c:v>
                </c:pt>
                <c:pt idx="2">
                  <c:v>2005</c:v>
                </c:pt>
                <c:pt idx="3">
                  <c:v>2010</c:v>
                </c:pt>
                <c:pt idx="4">
                  <c:v>2015</c:v>
                </c:pt>
                <c:pt idx="5">
                  <c:v>2016</c:v>
                </c:pt>
                <c:pt idx="6">
                  <c:v>2017</c:v>
                </c:pt>
                <c:pt idx="7">
                  <c:v>2018</c:v>
                </c:pt>
                <c:pt idx="8">
                  <c:v>2019</c:v>
                </c:pt>
              </c:numCache>
            </c:numRef>
          </c:cat>
          <c:val>
            <c:numRef>
              <c:f>'Graf 3'!$B$5:$B$13</c:f>
              <c:numCache>
                <c:formatCode>0.0%</c:formatCode>
                <c:ptCount val="9"/>
                <c:pt idx="0">
                  <c:v>0.50800000000000001</c:v>
                </c:pt>
                <c:pt idx="1">
                  <c:v>0.54700000000000004</c:v>
                </c:pt>
                <c:pt idx="2">
                  <c:v>0.56700000000000006</c:v>
                </c:pt>
                <c:pt idx="3">
                  <c:v>0.60399999999999998</c:v>
                </c:pt>
                <c:pt idx="4">
                  <c:v>0.65200000000000002</c:v>
                </c:pt>
                <c:pt idx="5">
                  <c:v>0.66400000000000003</c:v>
                </c:pt>
                <c:pt idx="6">
                  <c:v>0.67599999999999993</c:v>
                </c:pt>
                <c:pt idx="7">
                  <c:v>0.68400000000000005</c:v>
                </c:pt>
                <c:pt idx="8">
                  <c:v>0.68700000000000006</c:v>
                </c:pt>
              </c:numCache>
            </c:numRef>
          </c:val>
          <c:extLst xmlns:c16r2="http://schemas.microsoft.com/office/drawing/2015/06/chart">
            <c:ext xmlns:c16="http://schemas.microsoft.com/office/drawing/2014/chart" uri="{C3380CC4-5D6E-409C-BE32-E72D297353CC}">
              <c16:uniqueId val="{00000000-C903-48BC-8AAF-F60C65FE415C}"/>
            </c:ext>
          </c:extLst>
        </c:ser>
        <c:dLbls>
          <c:showLegendKey val="0"/>
          <c:showVal val="0"/>
          <c:showCatName val="0"/>
          <c:showSerName val="0"/>
          <c:showPercent val="0"/>
          <c:showBubbleSize val="0"/>
        </c:dLbls>
        <c:gapWidth val="150"/>
        <c:overlap val="100"/>
        <c:axId val="550803688"/>
        <c:axId val="550802904"/>
      </c:barChart>
      <c:catAx>
        <c:axId val="550803688"/>
        <c:scaling>
          <c:orientation val="minMax"/>
        </c:scaling>
        <c:delete val="0"/>
        <c:axPos val="b"/>
        <c:numFmt formatCode="General" sourceLinked="1"/>
        <c:majorTickMark val="none"/>
        <c:minorTickMark val="none"/>
        <c:tickLblPos val="low"/>
        <c:crossAx val="550802904"/>
        <c:crosses val="autoZero"/>
        <c:auto val="1"/>
        <c:lblAlgn val="ctr"/>
        <c:lblOffset val="100"/>
        <c:noMultiLvlLbl val="0"/>
      </c:catAx>
      <c:valAx>
        <c:axId val="550802904"/>
        <c:scaling>
          <c:orientation val="minMax"/>
        </c:scaling>
        <c:delete val="0"/>
        <c:axPos val="l"/>
        <c:majorGridlines>
          <c:spPr>
            <a:ln>
              <a:solidFill>
                <a:schemeClr val="bg1">
                  <a:lumMod val="75000"/>
                </a:schemeClr>
              </a:solidFill>
              <a:prstDash val="dash"/>
            </a:ln>
          </c:spPr>
        </c:majorGridlines>
        <c:numFmt formatCode="0%" sourceLinked="0"/>
        <c:majorTickMark val="none"/>
        <c:minorTickMark val="none"/>
        <c:tickLblPos val="nextTo"/>
        <c:crossAx val="550803688"/>
        <c:crosses val="autoZero"/>
        <c:crossBetween val="between"/>
      </c:valAx>
    </c:plotArea>
    <c:plotVisOnly val="1"/>
    <c:dispBlanksAs val="gap"/>
    <c:showDLblsOverMax val="0"/>
  </c:chart>
  <c:spPr>
    <a:ln>
      <a:noFill/>
    </a:ln>
  </c:spPr>
  <c:txPr>
    <a:bodyPr/>
    <a:lstStyle/>
    <a:p>
      <a:pPr>
        <a:defRPr sz="800">
          <a:latin typeface="Arial Narrow" panose="020B0606020202030204" pitchFamily="34" charset="0"/>
        </a:defRPr>
      </a:pPr>
      <a:endParaRPr lang="sk-SK"/>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'[T2020_RT1201632831455534.xlsx]Sheet 1'!$C$10</c:f>
              <c:strCache>
                <c:ptCount val="1"/>
                <c:pt idx="0">
                  <c:v>miera recyklácie</c:v>
                </c:pt>
              </c:strCache>
            </c:strRef>
          </c:tx>
          <c:spPr>
            <a:solidFill>
              <a:srgbClr val="00B0F0"/>
            </a:solidFill>
            <a:ln>
              <a:solidFill>
                <a:srgbClr val="00B0F0"/>
              </a:solidFill>
            </a:ln>
            <a:effectLst/>
          </c:spPr>
          <c:invertIfNegative val="0"/>
          <c:dPt>
            <c:idx val="15"/>
            <c:invertIfNegative val="0"/>
            <c:bubble3D val="0"/>
            <c:spPr>
              <a:solidFill>
                <a:srgbClr val="002060"/>
              </a:solidFill>
              <a:ln>
                <a:solidFill>
                  <a:srgbClr val="002060"/>
                </a:solidFill>
              </a:ln>
              <a:effectLst/>
            </c:spPr>
            <c:extLst xmlns:c16r2="http://schemas.microsoft.com/office/drawing/2015/06/chart">
              <c:ext xmlns:c16="http://schemas.microsoft.com/office/drawing/2014/chart" uri="{C3380CC4-5D6E-409C-BE32-E72D297353CC}">
                <c16:uniqueId val="{00000001-E7C9-44B7-94B7-2BD5FE4BE122}"/>
              </c:ext>
            </c:extLst>
          </c:dPt>
          <c:dLbls>
            <c:dLbl>
              <c:idx val="15"/>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C9-44B7-94B7-2BD5FE4BE1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'[T2020_RT1201632831455534.xlsx]Sheet 1'!$B$11:$B$45</c:f>
              <c:strCache>
                <c:ptCount val="27"/>
                <c:pt idx="0">
                  <c:v>Nemecko</c:v>
                </c:pt>
                <c:pt idx="1">
                  <c:v>Slovinsko</c:v>
                </c:pt>
                <c:pt idx="2">
                  <c:v>Rakúsko</c:v>
                </c:pt>
                <c:pt idx="3">
                  <c:v>Holandsko</c:v>
                </c:pt>
                <c:pt idx="4">
                  <c:v>Belgicko</c:v>
                </c:pt>
                <c:pt idx="5">
                  <c:v>Švajčiarsko</c:v>
                </c:pt>
                <c:pt idx="6">
                  <c:v>Dánsko</c:v>
                </c:pt>
                <c:pt idx="7">
                  <c:v>Taliansko</c:v>
                </c:pt>
                <c:pt idx="8">
                  <c:v>Litva</c:v>
                </c:pt>
                <c:pt idx="9">
                  <c:v>Luxembursko</c:v>
                </c:pt>
                <c:pt idx="10">
                  <c:v>Švédsko</c:v>
                </c:pt>
                <c:pt idx="11">
                  <c:v>Francúzsko</c:v>
                </c:pt>
                <c:pt idx="12">
                  <c:v>Fínsko</c:v>
                </c:pt>
                <c:pt idx="13">
                  <c:v>Lotyšsko</c:v>
                </c:pt>
                <c:pt idx="14">
                  <c:v>Nórsko</c:v>
                </c:pt>
                <c:pt idx="15">
                  <c:v>Slovensko</c:v>
                </c:pt>
                <c:pt idx="16">
                  <c:v>Maďarsko</c:v>
                </c:pt>
                <c:pt idx="17">
                  <c:v>Španielsko</c:v>
                </c:pt>
                <c:pt idx="18">
                  <c:v>Poľsko</c:v>
                </c:pt>
                <c:pt idx="19">
                  <c:v>Česko</c:v>
                </c:pt>
                <c:pt idx="20">
                  <c:v>Estónsko</c:v>
                </c:pt>
                <c:pt idx="21">
                  <c:v>Chorvátsko</c:v>
                </c:pt>
                <c:pt idx="22">
                  <c:v>Portugalsko</c:v>
                </c:pt>
                <c:pt idx="23">
                  <c:v>Grécko</c:v>
                </c:pt>
                <c:pt idx="24">
                  <c:v>Cyprus</c:v>
                </c:pt>
                <c:pt idx="25">
                  <c:v>Rumunsko</c:v>
                </c:pt>
                <c:pt idx="26">
                  <c:v>Malta</c:v>
                </c:pt>
              </c:strCache>
            </c:strRef>
          </c:cat>
          <c:val>
            <c:numRef>
              <c:f>'[T2020_RT1201632831455534.xlsx]Sheet 1'!$C$11:$C$45</c:f>
              <c:numCache>
                <c:formatCode>#\ ##0.##########</c:formatCode>
                <c:ptCount val="27"/>
                <c:pt idx="0">
                  <c:v>66.7</c:v>
                </c:pt>
                <c:pt idx="1">
                  <c:v>59.2</c:v>
                </c:pt>
                <c:pt idx="2">
                  <c:v>58.2</c:v>
                </c:pt>
                <c:pt idx="3">
                  <c:v>56.9</c:v>
                </c:pt>
                <c:pt idx="4">
                  <c:v>54.7</c:v>
                </c:pt>
                <c:pt idx="5" formatCode="#\ ##0.0">
                  <c:v>53</c:v>
                </c:pt>
                <c:pt idx="6">
                  <c:v>51.5</c:v>
                </c:pt>
                <c:pt idx="7">
                  <c:v>51.4</c:v>
                </c:pt>
                <c:pt idx="8">
                  <c:v>49.7</c:v>
                </c:pt>
                <c:pt idx="9">
                  <c:v>48.9</c:v>
                </c:pt>
                <c:pt idx="10">
                  <c:v>46.6</c:v>
                </c:pt>
                <c:pt idx="11">
                  <c:v>46.3</c:v>
                </c:pt>
                <c:pt idx="12">
                  <c:v>43.5</c:v>
                </c:pt>
                <c:pt idx="13" formatCode="#\ ##0.0">
                  <c:v>41</c:v>
                </c:pt>
                <c:pt idx="14">
                  <c:v>40.9</c:v>
                </c:pt>
                <c:pt idx="15">
                  <c:v>38.5</c:v>
                </c:pt>
                <c:pt idx="16">
                  <c:v>35.9</c:v>
                </c:pt>
                <c:pt idx="17">
                  <c:v>34.700000000000003</c:v>
                </c:pt>
                <c:pt idx="18">
                  <c:v>34.1</c:v>
                </c:pt>
                <c:pt idx="19">
                  <c:v>33.299999999999997</c:v>
                </c:pt>
                <c:pt idx="20">
                  <c:v>30.8</c:v>
                </c:pt>
                <c:pt idx="21">
                  <c:v>30.2</c:v>
                </c:pt>
                <c:pt idx="22">
                  <c:v>28.9</c:v>
                </c:pt>
                <c:pt idx="23" formatCode="#\ ##0.0">
                  <c:v>21</c:v>
                </c:pt>
                <c:pt idx="24" formatCode="#\ ##0.0">
                  <c:v>15</c:v>
                </c:pt>
                <c:pt idx="25">
                  <c:v>11.5</c:v>
                </c:pt>
                <c:pt idx="26">
                  <c:v>8.9</c:v>
                </c:pt>
              </c:numCache>
            </c:numRef>
          </c:val>
          <c:extLst xmlns:c16r2="http://schemas.microsoft.com/office/drawing/2015/06/chart">
            <c:ext xmlns:c16="http://schemas.microsoft.com/office/drawing/2014/chart" uri="{C3380CC4-5D6E-409C-BE32-E72D297353CC}">
              <c16:uniqueId val="{00000002-E7C9-44B7-94B7-2BD5FE4BE122}"/>
            </c:ext>
          </c:extLst>
        </c:ser>
        <c:dLbls>
          <c:showLegendKey val="0"/>
          <c:showVal val="0"/>
          <c:showCatName val="0"/>
          <c:showSerName val="0"/>
          <c:showPercent val="0"/>
          <c:showBubbleSize val="0"/>
        </c:dLbls>
        <c:gapWidth val="219"/>
        <c:axId val="550799768"/>
        <c:axId val="550811920"/>
      </c:barChart>
      <c:lineChart>
        <c:grouping val="standard"/>
        <c:varyColors val="0"/>
        <c:ser>
          <c:idx val="1"/>
          <c:order val="1"/>
          <c:tx>
            <c:strRef>
              <c:f>'[T2020_RT1201632831455534.xlsx]Sheet 1'!$D$10</c:f>
              <c:strCache>
                <c:ptCount val="1"/>
                <c:pt idx="0">
                  <c:v>priemer</c:v>
                </c:pt>
              </c:strCache>
            </c:strRef>
          </c:tx>
          <c:spPr>
            <a:ln w="28575" cap="rnd">
              <a:solidFill>
                <a:schemeClr val="bg1">
                  <a:lumMod val="75000"/>
                </a:schemeClr>
              </a:solidFill>
              <a:round/>
            </a:ln>
            <a:effectLst/>
          </c:spPr>
          <c:marker>
            <c:symbol val="none"/>
          </c:marker>
          <c:dLbls>
            <c:dLbl>
              <c:idx val="21"/>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C9-44B7-94B7-2BD5FE4BE1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'[T2020_RT1201632831455534.xlsx]Sheet 1'!$B$11:$B$45</c:f>
              <c:strCache>
                <c:ptCount val="27"/>
                <c:pt idx="0">
                  <c:v>Nemecko</c:v>
                </c:pt>
                <c:pt idx="1">
                  <c:v>Slovinsko</c:v>
                </c:pt>
                <c:pt idx="2">
                  <c:v>Rakúsko</c:v>
                </c:pt>
                <c:pt idx="3">
                  <c:v>Holandsko</c:v>
                </c:pt>
                <c:pt idx="4">
                  <c:v>Belgicko</c:v>
                </c:pt>
                <c:pt idx="5">
                  <c:v>Švajčiarsko</c:v>
                </c:pt>
                <c:pt idx="6">
                  <c:v>Dánsko</c:v>
                </c:pt>
                <c:pt idx="7">
                  <c:v>Taliansko</c:v>
                </c:pt>
                <c:pt idx="8">
                  <c:v>Litva</c:v>
                </c:pt>
                <c:pt idx="9">
                  <c:v>Luxembursko</c:v>
                </c:pt>
                <c:pt idx="10">
                  <c:v>Švédsko</c:v>
                </c:pt>
                <c:pt idx="11">
                  <c:v>Francúzsko</c:v>
                </c:pt>
                <c:pt idx="12">
                  <c:v>Fínsko</c:v>
                </c:pt>
                <c:pt idx="13">
                  <c:v>Lotyšsko</c:v>
                </c:pt>
                <c:pt idx="14">
                  <c:v>Nórsko</c:v>
                </c:pt>
                <c:pt idx="15">
                  <c:v>Slovensko</c:v>
                </c:pt>
                <c:pt idx="16">
                  <c:v>Maďarsko</c:v>
                </c:pt>
                <c:pt idx="17">
                  <c:v>Španielsko</c:v>
                </c:pt>
                <c:pt idx="18">
                  <c:v>Poľsko</c:v>
                </c:pt>
                <c:pt idx="19">
                  <c:v>Česko</c:v>
                </c:pt>
                <c:pt idx="20">
                  <c:v>Estónsko</c:v>
                </c:pt>
                <c:pt idx="21">
                  <c:v>Chorvátsko</c:v>
                </c:pt>
                <c:pt idx="22">
                  <c:v>Portugalsko</c:v>
                </c:pt>
                <c:pt idx="23">
                  <c:v>Grécko</c:v>
                </c:pt>
                <c:pt idx="24">
                  <c:v>Cyprus</c:v>
                </c:pt>
                <c:pt idx="25">
                  <c:v>Rumunsko</c:v>
                </c:pt>
                <c:pt idx="26">
                  <c:v>Malta</c:v>
                </c:pt>
              </c:strCache>
            </c:strRef>
          </c:cat>
          <c:val>
            <c:numRef>
              <c:f>'[T2020_RT1201632831455534.xlsx]Sheet 1'!$D$11:$D$45</c:f>
              <c:numCache>
                <c:formatCode>#\ ##0.##########</c:formatCode>
                <c:ptCount val="27"/>
                <c:pt idx="0">
                  <c:v>47.7</c:v>
                </c:pt>
                <c:pt idx="1">
                  <c:v>47.7</c:v>
                </c:pt>
                <c:pt idx="2">
                  <c:v>47.7</c:v>
                </c:pt>
                <c:pt idx="3">
                  <c:v>47.7</c:v>
                </c:pt>
                <c:pt idx="4">
                  <c:v>47.7</c:v>
                </c:pt>
                <c:pt idx="5">
                  <c:v>47.7</c:v>
                </c:pt>
                <c:pt idx="6">
                  <c:v>47.7</c:v>
                </c:pt>
                <c:pt idx="7">
                  <c:v>47.7</c:v>
                </c:pt>
                <c:pt idx="8">
                  <c:v>47.7</c:v>
                </c:pt>
                <c:pt idx="9">
                  <c:v>47.7</c:v>
                </c:pt>
                <c:pt idx="10">
                  <c:v>47.7</c:v>
                </c:pt>
                <c:pt idx="11">
                  <c:v>47.7</c:v>
                </c:pt>
                <c:pt idx="12">
                  <c:v>47.7</c:v>
                </c:pt>
                <c:pt idx="13">
                  <c:v>47.7</c:v>
                </c:pt>
                <c:pt idx="14">
                  <c:v>47.7</c:v>
                </c:pt>
                <c:pt idx="15">
                  <c:v>47.7</c:v>
                </c:pt>
                <c:pt idx="16">
                  <c:v>47.7</c:v>
                </c:pt>
                <c:pt idx="17">
                  <c:v>47.7</c:v>
                </c:pt>
                <c:pt idx="18">
                  <c:v>47.7</c:v>
                </c:pt>
                <c:pt idx="19">
                  <c:v>47.7</c:v>
                </c:pt>
                <c:pt idx="20">
                  <c:v>47.7</c:v>
                </c:pt>
                <c:pt idx="21">
                  <c:v>47.7</c:v>
                </c:pt>
                <c:pt idx="22">
                  <c:v>47.7</c:v>
                </c:pt>
                <c:pt idx="23">
                  <c:v>47.7</c:v>
                </c:pt>
                <c:pt idx="24">
                  <c:v>47.7</c:v>
                </c:pt>
                <c:pt idx="25">
                  <c:v>47.7</c:v>
                </c:pt>
                <c:pt idx="26">
                  <c:v>47.7</c:v>
                </c:pt>
              </c:numCache>
            </c:numRef>
          </c:val>
          <c:smooth val="0"/>
          <c:extLst xmlns:c16r2="http://schemas.microsoft.com/office/drawing/2015/06/chart">
            <c:ext xmlns:c16="http://schemas.microsoft.com/office/drawing/2014/chart" uri="{C3380CC4-5D6E-409C-BE32-E72D297353CC}">
              <c16:uniqueId val="{00000004-E7C9-44B7-94B7-2BD5FE4BE122}"/>
            </c:ext>
          </c:extLst>
        </c:ser>
        <c:dLbls>
          <c:showLegendKey val="0"/>
          <c:showVal val="0"/>
          <c:showCatName val="0"/>
          <c:showSerName val="0"/>
          <c:showPercent val="0"/>
          <c:showBubbleSize val="0"/>
        </c:dLbls>
        <c:marker val="1"/>
        <c:smooth val="0"/>
        <c:axId val="550799768"/>
        <c:axId val="550811920"/>
      </c:lineChart>
      <c:catAx>
        <c:axId val="55079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0811920"/>
        <c:crosses val="autoZero"/>
        <c:auto val="1"/>
        <c:lblAlgn val="ctr"/>
        <c:lblOffset val="100"/>
        <c:noMultiLvlLbl val="0"/>
      </c:catAx>
      <c:valAx>
        <c:axId val="550811920"/>
        <c:scaling>
          <c:orientation val="minMax"/>
          <c:max val="70"/>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550799768"/>
        <c:crosses val="autoZero"/>
        <c:crossBetween val="between"/>
      </c:valAx>
      <c:spPr>
        <a:noFill/>
        <a:ln>
          <a:noFill/>
        </a:ln>
        <a:effectLst/>
      </c:spPr>
    </c:plotArea>
    <c:legend>
      <c:legendPos val="t"/>
      <c:layout>
        <c:manualLayout>
          <c:xMode val="edge"/>
          <c:yMode val="edge"/>
          <c:x val="0.21980014126141204"/>
          <c:y val="8.4580351333767081E-2"/>
          <c:w val="0.69803579369854529"/>
          <c:h val="6.8108017200905355E-2"/>
        </c:manualLayout>
      </c:layout>
      <c:overlay val="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5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Hárok1!$B$1</c:f>
              <c:strCache>
                <c:ptCount val="1"/>
                <c:pt idx="0">
                  <c:v>Bežné výdavky</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Hárok1!$A$2:$A$8</c:f>
              <c:strCache>
                <c:ptCount val="7"/>
                <c:pt idx="0">
                  <c:v>2019S</c:v>
                </c:pt>
                <c:pt idx="1">
                  <c:v>2020S</c:v>
                </c:pt>
                <c:pt idx="2">
                  <c:v>2021R</c:v>
                </c:pt>
                <c:pt idx="3">
                  <c:v>2021OS</c:v>
                </c:pt>
                <c:pt idx="4">
                  <c:v>2022R</c:v>
                </c:pt>
                <c:pt idx="5">
                  <c:v>2023R</c:v>
                </c:pt>
                <c:pt idx="6">
                  <c:v>2024R</c:v>
                </c:pt>
              </c:strCache>
            </c:strRef>
          </c:cat>
          <c:val>
            <c:numRef>
              <c:f>Hárok1!$B$2:$B$8</c:f>
              <c:numCache>
                <c:formatCode>0</c:formatCode>
                <c:ptCount val="7"/>
                <c:pt idx="0">
                  <c:v>352615503</c:v>
                </c:pt>
                <c:pt idx="1">
                  <c:v>392638397</c:v>
                </c:pt>
                <c:pt idx="2">
                  <c:v>364666917</c:v>
                </c:pt>
                <c:pt idx="3">
                  <c:v>385944486</c:v>
                </c:pt>
                <c:pt idx="4">
                  <c:v>361952971</c:v>
                </c:pt>
                <c:pt idx="5">
                  <c:v>365979571</c:v>
                </c:pt>
                <c:pt idx="6">
                  <c:v>370617771</c:v>
                </c:pt>
              </c:numCache>
            </c:numRef>
          </c:val>
          <c:extLst xmlns:c16r2="http://schemas.microsoft.com/office/drawing/2015/06/chart">
            <c:ext xmlns:c16="http://schemas.microsoft.com/office/drawing/2014/chart" uri="{C3380CC4-5D6E-409C-BE32-E72D297353CC}">
              <c16:uniqueId val="{00000000-5A3F-4DFA-BEFE-5292E0DC494B}"/>
            </c:ext>
          </c:extLst>
        </c:ser>
        <c:ser>
          <c:idx val="1"/>
          <c:order val="1"/>
          <c:tx>
            <c:strRef>
              <c:f>Hárok1!$C$1</c:f>
              <c:strCache>
                <c:ptCount val="1"/>
                <c:pt idx="0">
                  <c:v>Zreálnenie bežných výdavkov</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Hárok1!$A$2:$A$8</c:f>
              <c:strCache>
                <c:ptCount val="7"/>
                <c:pt idx="0">
                  <c:v>2019S</c:v>
                </c:pt>
                <c:pt idx="1">
                  <c:v>2020S</c:v>
                </c:pt>
                <c:pt idx="2">
                  <c:v>2021R</c:v>
                </c:pt>
                <c:pt idx="3">
                  <c:v>2021OS</c:v>
                </c:pt>
                <c:pt idx="4">
                  <c:v>2022R</c:v>
                </c:pt>
                <c:pt idx="5">
                  <c:v>2023R</c:v>
                </c:pt>
                <c:pt idx="6">
                  <c:v>2024R</c:v>
                </c:pt>
              </c:strCache>
            </c:strRef>
          </c:cat>
          <c:val>
            <c:numRef>
              <c:f>Hárok1!$C$2:$C$8</c:f>
              <c:numCache>
                <c:formatCode>General</c:formatCode>
                <c:ptCount val="7"/>
                <c:pt idx="4" formatCode="0">
                  <c:v>26000000</c:v>
                </c:pt>
                <c:pt idx="5" formatCode="0">
                  <c:v>26000000</c:v>
                </c:pt>
                <c:pt idx="6" formatCode="0">
                  <c:v>26000000</c:v>
                </c:pt>
              </c:numCache>
            </c:numRef>
          </c:val>
          <c:extLst xmlns:c16r2="http://schemas.microsoft.com/office/drawing/2015/06/chart">
            <c:ext xmlns:c16="http://schemas.microsoft.com/office/drawing/2014/chart" uri="{C3380CC4-5D6E-409C-BE32-E72D297353CC}">
              <c16:uniqueId val="{00000001-5A3F-4DFA-BEFE-5292E0DC494B}"/>
            </c:ext>
          </c:extLst>
        </c:ser>
        <c:dLbls>
          <c:showLegendKey val="0"/>
          <c:showVal val="0"/>
          <c:showCatName val="0"/>
          <c:showSerName val="0"/>
          <c:showPercent val="0"/>
          <c:showBubbleSize val="0"/>
        </c:dLbls>
        <c:gapWidth val="150"/>
        <c:overlap val="100"/>
        <c:axId val="550798984"/>
        <c:axId val="550802512"/>
      </c:barChart>
      <c:catAx>
        <c:axId val="55079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0802512"/>
        <c:crosses val="autoZero"/>
        <c:auto val="1"/>
        <c:lblAlgn val="ctr"/>
        <c:lblOffset val="100"/>
        <c:noMultiLvlLbl val="0"/>
      </c:catAx>
      <c:valAx>
        <c:axId val="550802512"/>
        <c:scaling>
          <c:orientation val="minMax"/>
          <c:max val="400000000"/>
          <c:min val="2000000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0798984"/>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sk-SK"/>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2622548806924"/>
          <c:y val="6.7775723967960569E-2"/>
          <c:w val="0.82038358275526335"/>
          <c:h val="0.8315358454500027"/>
        </c:manualLayout>
      </c:layout>
      <c:lineChart>
        <c:grouping val="standard"/>
        <c:varyColors val="0"/>
        <c:ser>
          <c:idx val="0"/>
          <c:order val="0"/>
          <c:tx>
            <c:strRef>
              <c:f>'cofog % hdp'!$A$11</c:f>
              <c:strCache>
                <c:ptCount val="1"/>
                <c:pt idx="0">
                  <c:v>SK</c:v>
                </c:pt>
              </c:strCache>
            </c:strRef>
          </c:tx>
          <c:spPr>
            <a:ln w="19050" cap="rnd">
              <a:solidFill>
                <a:srgbClr val="1E4E9D"/>
              </a:solidFill>
              <a:round/>
            </a:ln>
            <a:effectLst/>
          </c:spPr>
          <c:marker>
            <c:symbol val="diamond"/>
            <c:size val="5"/>
            <c:spPr>
              <a:solidFill>
                <a:srgbClr val="1E4E9D"/>
              </a:solidFill>
              <a:ln>
                <a:noFill/>
              </a:ln>
            </c:spPr>
          </c:marker>
          <c:cat>
            <c:numRef>
              <c:f>'cofog % hdp'!$B$10:$J$10</c:f>
              <c:numCache>
                <c:formatCode>0</c:formatCode>
                <c:ptCount val="9"/>
                <c:pt idx="0">
                  <c:v>2011</c:v>
                </c:pt>
                <c:pt idx="1">
                  <c:v>2012</c:v>
                </c:pt>
                <c:pt idx="2">
                  <c:v>2013</c:v>
                </c:pt>
                <c:pt idx="3">
                  <c:v>2014</c:v>
                </c:pt>
                <c:pt idx="4">
                  <c:v>2015</c:v>
                </c:pt>
                <c:pt idx="5">
                  <c:v>2016</c:v>
                </c:pt>
                <c:pt idx="6">
                  <c:v>2017</c:v>
                </c:pt>
                <c:pt idx="7">
                  <c:v>2018</c:v>
                </c:pt>
                <c:pt idx="8" formatCode="General">
                  <c:v>2019</c:v>
                </c:pt>
              </c:numCache>
            </c:numRef>
          </c:cat>
          <c:val>
            <c:numRef>
              <c:f>'cofog % hdp'!$B$11:$J$11</c:f>
              <c:numCache>
                <c:formatCode>0.00%</c:formatCode>
                <c:ptCount val="9"/>
                <c:pt idx="0">
                  <c:v>8.1247612842346491E-3</c:v>
                </c:pt>
                <c:pt idx="1">
                  <c:v>8.3202011872004402E-3</c:v>
                </c:pt>
                <c:pt idx="2">
                  <c:v>8.3047765578012408E-3</c:v>
                </c:pt>
                <c:pt idx="3">
                  <c:v>7.1010898828811897E-3</c:v>
                </c:pt>
                <c:pt idx="4">
                  <c:v>8.2060527945715892E-3</c:v>
                </c:pt>
                <c:pt idx="5">
                  <c:v>6.5845327647140097E-3</c:v>
                </c:pt>
                <c:pt idx="6">
                  <c:v>7.04591975578878E-3</c:v>
                </c:pt>
                <c:pt idx="7">
                  <c:v>8.6813566500596306E-3</c:v>
                </c:pt>
                <c:pt idx="8">
                  <c:v>9.9648031693119997E-3</c:v>
                </c:pt>
              </c:numCache>
            </c:numRef>
          </c:val>
          <c:smooth val="0"/>
          <c:extLst xmlns:c16r2="http://schemas.microsoft.com/office/drawing/2015/06/chart">
            <c:ext xmlns:c16="http://schemas.microsoft.com/office/drawing/2014/chart" uri="{C3380CC4-5D6E-409C-BE32-E72D297353CC}">
              <c16:uniqueId val="{00000000-DDCA-44B4-B27D-A20B42EDC2DE}"/>
            </c:ext>
          </c:extLst>
        </c:ser>
        <c:ser>
          <c:idx val="2"/>
          <c:order val="2"/>
          <c:tx>
            <c:strRef>
              <c:f>'cofog % hdp'!$A$13</c:f>
              <c:strCache>
                <c:ptCount val="1"/>
                <c:pt idx="0">
                  <c:v>V4</c:v>
                </c:pt>
              </c:strCache>
            </c:strRef>
          </c:tx>
          <c:spPr>
            <a:ln w="19050" cap="rnd">
              <a:solidFill>
                <a:srgbClr val="0487D9"/>
              </a:solidFill>
              <a:round/>
            </a:ln>
            <a:effectLst/>
          </c:spPr>
          <c:marker>
            <c:symbol val="diamond"/>
            <c:size val="5"/>
            <c:spPr>
              <a:solidFill>
                <a:srgbClr val="0487D9"/>
              </a:solidFill>
              <a:ln>
                <a:noFill/>
              </a:ln>
            </c:spPr>
          </c:marker>
          <c:cat>
            <c:numRef>
              <c:f>'cofog % hdp'!$B$10:$J$10</c:f>
              <c:numCache>
                <c:formatCode>0</c:formatCode>
                <c:ptCount val="9"/>
                <c:pt idx="0">
                  <c:v>2011</c:v>
                </c:pt>
                <c:pt idx="1">
                  <c:v>2012</c:v>
                </c:pt>
                <c:pt idx="2">
                  <c:v>2013</c:v>
                </c:pt>
                <c:pt idx="3">
                  <c:v>2014</c:v>
                </c:pt>
                <c:pt idx="4">
                  <c:v>2015</c:v>
                </c:pt>
                <c:pt idx="5">
                  <c:v>2016</c:v>
                </c:pt>
                <c:pt idx="6">
                  <c:v>2017</c:v>
                </c:pt>
                <c:pt idx="7">
                  <c:v>2018</c:v>
                </c:pt>
                <c:pt idx="8" formatCode="General">
                  <c:v>2019</c:v>
                </c:pt>
              </c:numCache>
            </c:numRef>
          </c:cat>
          <c:val>
            <c:numRef>
              <c:f>'cofog % hdp'!$B$13:$J$13</c:f>
              <c:numCache>
                <c:formatCode>0.00%</c:formatCode>
                <c:ptCount val="9"/>
                <c:pt idx="0">
                  <c:v>9.0678562826851695E-3</c:v>
                </c:pt>
                <c:pt idx="1">
                  <c:v>9.1648325998216901E-3</c:v>
                </c:pt>
                <c:pt idx="2">
                  <c:v>8.9523058189987792E-3</c:v>
                </c:pt>
                <c:pt idx="3">
                  <c:v>9.2269845396907892E-3</c:v>
                </c:pt>
                <c:pt idx="4">
                  <c:v>9.1697241899233901E-3</c:v>
                </c:pt>
                <c:pt idx="5">
                  <c:v>9.6899064767122702E-3</c:v>
                </c:pt>
                <c:pt idx="6">
                  <c:v>1.03027677002992E-2</c:v>
                </c:pt>
                <c:pt idx="7">
                  <c:v>1.1004336263567499E-2</c:v>
                </c:pt>
                <c:pt idx="8">
                  <c:v>1.0707975425000999E-2</c:v>
                </c:pt>
              </c:numCache>
            </c:numRef>
          </c:val>
          <c:smooth val="0"/>
          <c:extLst xmlns:c16r2="http://schemas.microsoft.com/office/drawing/2015/06/chart">
            <c:ext xmlns:c16="http://schemas.microsoft.com/office/drawing/2014/chart" uri="{C3380CC4-5D6E-409C-BE32-E72D297353CC}">
              <c16:uniqueId val="{00000003-DDCA-44B4-B27D-A20B42EDC2DE}"/>
            </c:ext>
          </c:extLst>
        </c:ser>
        <c:ser>
          <c:idx val="4"/>
          <c:order val="4"/>
          <c:tx>
            <c:strRef>
              <c:f>'cofog % hdp'!$A$15</c:f>
              <c:strCache>
                <c:ptCount val="1"/>
                <c:pt idx="0">
                  <c:v>EU28</c:v>
                </c:pt>
              </c:strCache>
            </c:strRef>
          </c:tx>
          <c:spPr>
            <a:ln w="19050" cap="rnd">
              <a:solidFill>
                <a:srgbClr val="F2A444"/>
              </a:solidFill>
              <a:round/>
            </a:ln>
            <a:effectLst/>
          </c:spPr>
          <c:marker>
            <c:symbol val="diamond"/>
            <c:size val="5"/>
            <c:spPr>
              <a:solidFill>
                <a:srgbClr val="F2A444"/>
              </a:solidFill>
              <a:ln>
                <a:noFill/>
              </a:ln>
            </c:spPr>
          </c:marker>
          <c:cat>
            <c:numRef>
              <c:f>'cofog % hdp'!$B$10:$J$10</c:f>
              <c:numCache>
                <c:formatCode>0</c:formatCode>
                <c:ptCount val="9"/>
                <c:pt idx="0">
                  <c:v>2011</c:v>
                </c:pt>
                <c:pt idx="1">
                  <c:v>2012</c:v>
                </c:pt>
                <c:pt idx="2">
                  <c:v>2013</c:v>
                </c:pt>
                <c:pt idx="3">
                  <c:v>2014</c:v>
                </c:pt>
                <c:pt idx="4">
                  <c:v>2015</c:v>
                </c:pt>
                <c:pt idx="5">
                  <c:v>2016</c:v>
                </c:pt>
                <c:pt idx="6">
                  <c:v>2017</c:v>
                </c:pt>
                <c:pt idx="7">
                  <c:v>2018</c:v>
                </c:pt>
                <c:pt idx="8" formatCode="General">
                  <c:v>2019</c:v>
                </c:pt>
              </c:numCache>
            </c:numRef>
          </c:cat>
          <c:val>
            <c:numRef>
              <c:f>'cofog % hdp'!$B$15:$J$15</c:f>
              <c:numCache>
                <c:formatCode>0.00%</c:formatCode>
                <c:ptCount val="9"/>
                <c:pt idx="0">
                  <c:v>7.8414449499598672E-3</c:v>
                </c:pt>
                <c:pt idx="1">
                  <c:v>7.6460568125536667E-3</c:v>
                </c:pt>
                <c:pt idx="2">
                  <c:v>7.5317458599595179E-3</c:v>
                </c:pt>
                <c:pt idx="3">
                  <c:v>7.3922979567809426E-3</c:v>
                </c:pt>
                <c:pt idx="4">
                  <c:v>7.1369927557226173E-3</c:v>
                </c:pt>
                <c:pt idx="5">
                  <c:v>7.1859861255615474E-3</c:v>
                </c:pt>
                <c:pt idx="6">
                  <c:v>7.2501514449978067E-3</c:v>
                </c:pt>
                <c:pt idx="7">
                  <c:v>7.1673609682872891E-3</c:v>
                </c:pt>
                <c:pt idx="8">
                  <c:v>7.1924978712939996E-3</c:v>
                </c:pt>
              </c:numCache>
            </c:numRef>
          </c:val>
          <c:smooth val="0"/>
          <c:extLst xmlns:c16r2="http://schemas.microsoft.com/office/drawing/2015/06/chart">
            <c:ext xmlns:c16="http://schemas.microsoft.com/office/drawing/2014/chart" uri="{C3380CC4-5D6E-409C-BE32-E72D297353CC}">
              <c16:uniqueId val="{00000006-DDCA-44B4-B27D-A20B42EDC2DE}"/>
            </c:ext>
          </c:extLst>
        </c:ser>
        <c:dLbls>
          <c:showLegendKey val="0"/>
          <c:showVal val="0"/>
          <c:showCatName val="0"/>
          <c:showSerName val="0"/>
          <c:showPercent val="0"/>
          <c:showBubbleSize val="0"/>
        </c:dLbls>
        <c:marker val="1"/>
        <c:smooth val="0"/>
        <c:axId val="550798200"/>
        <c:axId val="550799376"/>
        <c:extLst>
          <c:ext xmlns:c15="http://schemas.microsoft.com/office/drawing/2012/chart" uri="{02D57815-91ED-43cb-92C2-25804820EDAC}">
            <c15:filteredLineSeries>
              <c15:ser>
                <c:idx val="1"/>
                <c:order val="1"/>
                <c:tx>
                  <c:strRef>
                    <c:extLst>
                      <c:ext uri="{02D57815-91ED-43cb-92C2-25804820EDAC}">
                        <c15:formulaRef>
                          <c15:sqref>'cofog % hdp'!$A$12</c15:sqref>
                        </c15:formulaRef>
                      </c:ext>
                    </c:extLst>
                    <c:strCache>
                      <c:ptCount val="1"/>
                    </c:strCache>
                  </c:strRef>
                </c:tx>
                <c:spPr>
                  <a:ln w="19050" cap="rnd">
                    <a:solidFill>
                      <a:srgbClr val="1E4E9D"/>
                    </a:solidFill>
                    <a:prstDash val="solid"/>
                    <a:round/>
                  </a:ln>
                  <a:effectLst/>
                </c:spPr>
                <c:marker>
                  <c:symbol val="none"/>
                </c:marker>
                <c:dLbls>
                  <c:dLbl>
                    <c:idx val="6"/>
                    <c:layout>
                      <c:manualLayout>
                        <c:x val="0.10239696859084667"/>
                        <c:y val="-6.28745625546807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CA-44B4-B27D-A20B42EDC2DE}"/>
                      </c:ext>
                      <c:ext uri="{CE6537A1-D6FC-4f65-9D91-7224C49458BB}"/>
                    </c:extLst>
                  </c:dLbl>
                  <c:numFmt formatCode="0.00\ %" sourceLinked="0"/>
                  <c:spPr>
                    <a:noFill/>
                    <a:ln>
                      <a:noFill/>
                    </a:ln>
                    <a:effectLst/>
                  </c:spPr>
                  <c:txPr>
                    <a:bodyPr rot="0" vert="horz"/>
                    <a:lstStyle/>
                    <a:p>
                      <a:pPr>
                        <a:defRPr/>
                      </a:pPr>
                      <a:endParaRPr lang="sk-SK"/>
                    </a:p>
                  </c:txPr>
                  <c:dLblPos val="t"/>
                  <c:showLegendKey val="0"/>
                  <c:showVal val="0"/>
                  <c:showCatName val="0"/>
                  <c:showSerName val="0"/>
                  <c:showPercent val="0"/>
                  <c:showBubbleSize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'cofog % hdp'!$B$10:$J$10</c15:sqref>
                        </c15:formulaRef>
                      </c:ext>
                    </c:extLst>
                    <c:numCache>
                      <c:formatCode>0</c:formatCode>
                      <c:ptCount val="9"/>
                      <c:pt idx="0">
                        <c:v>2011</c:v>
                      </c:pt>
                      <c:pt idx="1">
                        <c:v>2012</c:v>
                      </c:pt>
                      <c:pt idx="2">
                        <c:v>2013</c:v>
                      </c:pt>
                      <c:pt idx="3">
                        <c:v>2014</c:v>
                      </c:pt>
                      <c:pt idx="4">
                        <c:v>2015</c:v>
                      </c:pt>
                      <c:pt idx="5">
                        <c:v>2016</c:v>
                      </c:pt>
                      <c:pt idx="6">
                        <c:v>2017</c:v>
                      </c:pt>
                      <c:pt idx="7">
                        <c:v>2018</c:v>
                      </c:pt>
                      <c:pt idx="8" formatCode="General">
                        <c:v>2019</c:v>
                      </c:pt>
                    </c:numCache>
                  </c:numRef>
                </c:cat>
                <c:val>
                  <c:numRef>
                    <c:extLst>
                      <c:ext uri="{02D57815-91ED-43cb-92C2-25804820EDAC}">
                        <c15:formulaRef>
                          <c15:sqref>'cofog % hdp'!$B$12:$J$12</c15:sqref>
                        </c15:formulaRef>
                      </c:ext>
                    </c:extLst>
                    <c:numCache>
                      <c:formatCode>0.00%</c:formatCode>
                      <c:ptCount val="9"/>
                      <c:pt idx="0">
                        <c:v>8.0370548940626105E-3</c:v>
                      </c:pt>
                      <c:pt idx="1">
                        <c:v>8.0370548940626105E-3</c:v>
                      </c:pt>
                      <c:pt idx="2">
                        <c:v>8.0370548940626105E-3</c:v>
                      </c:pt>
                      <c:pt idx="3">
                        <c:v>8.0370548940626105E-3</c:v>
                      </c:pt>
                      <c:pt idx="4">
                        <c:v>8.0370548940626105E-3</c:v>
                      </c:pt>
                      <c:pt idx="5">
                        <c:v>8.0370548940626105E-3</c:v>
                      </c:pt>
                      <c:pt idx="6">
                        <c:v>8.0370548940626105E-3</c:v>
                      </c:pt>
                      <c:pt idx="7">
                        <c:v>8.0370548940626105E-3</c:v>
                      </c:pt>
                      <c:pt idx="8">
                        <c:v>8.0370548940626105E-3</c:v>
                      </c:pt>
                    </c:numCache>
                  </c:numRef>
                </c:val>
                <c:smooth val="0"/>
                <c:extLst xmlns:c16r2="http://schemas.microsoft.com/office/drawing/2015/06/chart">
                  <c:ext xmlns:c16="http://schemas.microsoft.com/office/drawing/2014/chart" uri="{C3380CC4-5D6E-409C-BE32-E72D297353CC}">
                    <c16:uniqueId val="{00000002-DDCA-44B4-B27D-A20B42EDC2D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'cofog % hdp'!$A$14</c15:sqref>
                        </c15:formulaRef>
                      </c:ext>
                    </c:extLst>
                    <c:strCache>
                      <c:ptCount val="1"/>
                    </c:strCache>
                  </c:strRef>
                </c:tx>
                <c:spPr>
                  <a:ln w="19050" cap="rnd">
                    <a:solidFill>
                      <a:srgbClr val="0487D9"/>
                    </a:solidFill>
                    <a:prstDash val="solid"/>
                    <a:round/>
                  </a:ln>
                  <a:effectLst/>
                </c:spPr>
                <c:marker>
                  <c:symbol val="none"/>
                </c:marker>
                <c:dLbls>
                  <c:dLbl>
                    <c:idx val="6"/>
                    <c:layout>
                      <c:manualLayout>
                        <c:x val="0.10392449288209818"/>
                        <c:y val="-8.3519247594050744E-2"/>
                      </c:manualLayout>
                    </c:layout>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4-DDCA-44B4-B27D-A20B42EDC2DE}"/>
                      </c:ext>
                      <c:ext xmlns:c15="http://schemas.microsoft.com/office/drawing/2012/chart" uri="{CE6537A1-D6FC-4f65-9D91-7224C49458BB}"/>
                    </c:extLst>
                  </c:dLbl>
                  <c:numFmt formatCode="0.00\ %" sourceLinked="0"/>
                  <c:spPr>
                    <a:noFill/>
                    <a:ln>
                      <a:noFill/>
                    </a:ln>
                    <a:effectLst/>
                  </c:spPr>
                  <c:txPr>
                    <a:bodyPr rot="0" vert="horz"/>
                    <a:lstStyle/>
                    <a:p>
                      <a:pPr>
                        <a:defRPr/>
                      </a:pPr>
                      <a:endParaRPr lang="sk-SK"/>
                    </a:p>
                  </c:txPr>
                  <c:dLblPos val="t"/>
                  <c:showLegendKey val="0"/>
                  <c:showVal val="0"/>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'cofog % hdp'!$B$10:$J$10</c15:sqref>
                        </c15:formulaRef>
                      </c:ext>
                    </c:extLst>
                    <c:numCache>
                      <c:formatCode>0</c:formatCode>
                      <c:ptCount val="9"/>
                      <c:pt idx="0">
                        <c:v>2011</c:v>
                      </c:pt>
                      <c:pt idx="1">
                        <c:v>2012</c:v>
                      </c:pt>
                      <c:pt idx="2">
                        <c:v>2013</c:v>
                      </c:pt>
                      <c:pt idx="3">
                        <c:v>2014</c:v>
                      </c:pt>
                      <c:pt idx="4">
                        <c:v>2015</c:v>
                      </c:pt>
                      <c:pt idx="5">
                        <c:v>2016</c:v>
                      </c:pt>
                      <c:pt idx="6">
                        <c:v>2017</c:v>
                      </c:pt>
                      <c:pt idx="7">
                        <c:v>2018</c:v>
                      </c:pt>
                      <c:pt idx="8" formatCode="General">
                        <c:v>2019</c:v>
                      </c:pt>
                    </c:numCache>
                  </c:numRef>
                </c:cat>
                <c:val>
                  <c:numRef>
                    <c:extLst xmlns:c15="http://schemas.microsoft.com/office/drawing/2012/chart">
                      <c:ext xmlns:c15="http://schemas.microsoft.com/office/drawing/2012/chart" uri="{02D57815-91ED-43cb-92C2-25804820EDAC}">
                        <c15:formulaRef>
                          <c15:sqref>'cofog % hdp'!$B$14:$J$14</c15:sqref>
                        </c15:formulaRef>
                      </c:ext>
                    </c:extLst>
                    <c:numCache>
                      <c:formatCode>0.00%</c:formatCode>
                      <c:ptCount val="9"/>
                      <c:pt idx="0">
                        <c:v>9.6985210329666397E-3</c:v>
                      </c:pt>
                      <c:pt idx="1">
                        <c:v>9.6985210329666397E-3</c:v>
                      </c:pt>
                      <c:pt idx="2">
                        <c:v>9.6985210329666397E-3</c:v>
                      </c:pt>
                      <c:pt idx="3">
                        <c:v>9.6985210329666397E-3</c:v>
                      </c:pt>
                      <c:pt idx="4">
                        <c:v>9.6985210329666397E-3</c:v>
                      </c:pt>
                      <c:pt idx="5">
                        <c:v>9.6985210329666397E-3</c:v>
                      </c:pt>
                      <c:pt idx="6">
                        <c:v>9.6985210329666397E-3</c:v>
                      </c:pt>
                      <c:pt idx="7">
                        <c:v>9.6985210329666397E-3</c:v>
                      </c:pt>
                      <c:pt idx="8">
                        <c:v>9.6985210329666397E-3</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5-DDCA-44B4-B27D-A20B42EDC2D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'cofog % hdp'!$A$16</c15:sqref>
                        </c15:formulaRef>
                      </c:ext>
                    </c:extLst>
                    <c:strCache>
                      <c:ptCount val="1"/>
                    </c:strCache>
                  </c:strRef>
                </c:tx>
                <c:spPr>
                  <a:ln w="19050" cap="rnd">
                    <a:solidFill>
                      <a:srgbClr val="F2A444"/>
                    </a:solidFill>
                    <a:prstDash val="solid"/>
                    <a:round/>
                  </a:ln>
                  <a:effectLst/>
                </c:spPr>
                <c:marker>
                  <c:symbol val="none"/>
                </c:marker>
                <c:dLbls>
                  <c:dLbl>
                    <c:idx val="6"/>
                    <c:layout>
                      <c:manualLayout>
                        <c:x val="0.10248561645026159"/>
                        <c:y val="-3.6187664041994881E-2"/>
                      </c:manualLayout>
                    </c:layout>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7-DDCA-44B4-B27D-A20B42EDC2DE}"/>
                      </c:ext>
                      <c:ext xmlns:c15="http://schemas.microsoft.com/office/drawing/2012/chart" uri="{CE6537A1-D6FC-4f65-9D91-7224C49458BB}"/>
                    </c:extLst>
                  </c:dLbl>
                  <c:numFmt formatCode="0.00\ %" sourceLinked="0"/>
                  <c:spPr>
                    <a:noFill/>
                    <a:ln>
                      <a:noFill/>
                    </a:ln>
                    <a:effectLst/>
                  </c:spPr>
                  <c:txPr>
                    <a:bodyPr rot="0" vert="horz"/>
                    <a:lstStyle/>
                    <a:p>
                      <a:pPr>
                        <a:defRPr/>
                      </a:pPr>
                      <a:endParaRPr lang="sk-SK"/>
                    </a:p>
                  </c:txPr>
                  <c:showLegendKey val="0"/>
                  <c:showVal val="0"/>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'cofog % hdp'!$B$10:$J$10</c15:sqref>
                        </c15:formulaRef>
                      </c:ext>
                    </c:extLst>
                    <c:numCache>
                      <c:formatCode>0</c:formatCode>
                      <c:ptCount val="9"/>
                      <c:pt idx="0">
                        <c:v>2011</c:v>
                      </c:pt>
                      <c:pt idx="1">
                        <c:v>2012</c:v>
                      </c:pt>
                      <c:pt idx="2">
                        <c:v>2013</c:v>
                      </c:pt>
                      <c:pt idx="3">
                        <c:v>2014</c:v>
                      </c:pt>
                      <c:pt idx="4">
                        <c:v>2015</c:v>
                      </c:pt>
                      <c:pt idx="5">
                        <c:v>2016</c:v>
                      </c:pt>
                      <c:pt idx="6">
                        <c:v>2017</c:v>
                      </c:pt>
                      <c:pt idx="7">
                        <c:v>2018</c:v>
                      </c:pt>
                      <c:pt idx="8" formatCode="General">
                        <c:v>2019</c:v>
                      </c:pt>
                    </c:numCache>
                  </c:numRef>
                </c:cat>
                <c:val>
                  <c:numRef>
                    <c:extLst xmlns:c15="http://schemas.microsoft.com/office/drawing/2012/chart">
                      <c:ext xmlns:c15="http://schemas.microsoft.com/office/drawing/2012/chart" uri="{02D57815-91ED-43cb-92C2-25804820EDAC}">
                        <c15:formulaRef>
                          <c15:sqref>'cofog % hdp'!$B$16:$J$16</c15:sqref>
                        </c15:formulaRef>
                      </c:ext>
                    </c:extLst>
                    <c:numCache>
                      <c:formatCode>0.00%</c:formatCode>
                      <c:ptCount val="9"/>
                      <c:pt idx="0">
                        <c:v>7.394004609227906E-3</c:v>
                      </c:pt>
                      <c:pt idx="1">
                        <c:v>7.394004609227906E-3</c:v>
                      </c:pt>
                      <c:pt idx="2">
                        <c:v>7.394004609227906E-3</c:v>
                      </c:pt>
                      <c:pt idx="3">
                        <c:v>7.394004609227906E-3</c:v>
                      </c:pt>
                      <c:pt idx="4">
                        <c:v>7.394004609227906E-3</c:v>
                      </c:pt>
                      <c:pt idx="5">
                        <c:v>7.394004609227906E-3</c:v>
                      </c:pt>
                      <c:pt idx="6">
                        <c:v>7.394004609227906E-3</c:v>
                      </c:pt>
                      <c:pt idx="7">
                        <c:v>7.394004609227906E-3</c:v>
                      </c:pt>
                      <c:pt idx="8">
                        <c:v>7.3716149716796936E-3</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8-DDCA-44B4-B27D-A20B42EDC2DE}"/>
                  </c:ext>
                </c:extLst>
              </c15:ser>
            </c15:filteredLineSeries>
          </c:ext>
        </c:extLst>
      </c:lineChart>
      <c:catAx>
        <c:axId val="5507982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550799376"/>
        <c:crosses val="autoZero"/>
        <c:auto val="1"/>
        <c:lblAlgn val="ctr"/>
        <c:lblOffset val="100"/>
        <c:noMultiLvlLbl val="0"/>
      </c:catAx>
      <c:valAx>
        <c:axId val="550799376"/>
        <c:scaling>
          <c:orientation val="minMax"/>
          <c:min val="6.0000000000000019E-3"/>
        </c:scaling>
        <c:delete val="0"/>
        <c:axPos val="l"/>
        <c:majorGridlines>
          <c:spPr>
            <a:ln w="6350" cap="flat" cmpd="sng" algn="ctr">
              <a:solidFill>
                <a:schemeClr val="bg1">
                  <a:lumMod val="85000"/>
                </a:schemeClr>
              </a:solidFill>
              <a:prstDash val="dash"/>
              <a:round/>
            </a:ln>
            <a:effectLst/>
          </c:spPr>
        </c:majorGridlines>
        <c:numFmt formatCode="0.0\ %" sourceLinked="0"/>
        <c:majorTickMark val="none"/>
        <c:minorTickMark val="none"/>
        <c:tickLblPos val="nextTo"/>
        <c:spPr>
          <a:noFill/>
          <a:ln>
            <a:noFill/>
          </a:ln>
          <a:effectLst/>
        </c:spPr>
        <c:txPr>
          <a:bodyPr rot="-60000000" vert="horz"/>
          <a:lstStyle/>
          <a:p>
            <a:pPr>
              <a:defRPr/>
            </a:pPr>
            <a:endParaRPr lang="sk-SK"/>
          </a:p>
        </c:txPr>
        <c:crossAx val="550798200"/>
        <c:crosses val="autoZero"/>
        <c:crossBetween val="between"/>
        <c:majorUnit val="1.0000000000000002E-3"/>
      </c:valAx>
      <c:spPr>
        <a:noFill/>
        <a:ln>
          <a:noFill/>
        </a:ln>
        <a:effectLst/>
      </c:spPr>
    </c:plotArea>
    <c:legend>
      <c:legendPos val="t"/>
      <c:layout>
        <c:manualLayout>
          <c:xMode val="edge"/>
          <c:yMode val="edge"/>
          <c:x val="0.12810952576333923"/>
          <c:y val="8.0265339218733439E-2"/>
          <c:w val="0.52317854565756416"/>
          <c:h val="8.9758366282702201E-2"/>
        </c:manualLayout>
      </c:layout>
      <c:overlay val="1"/>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2622548806924"/>
          <c:y val="6.7775723967960569E-2"/>
          <c:w val="0.82038358275526335"/>
          <c:h val="0.8315358454500027"/>
        </c:manualLayout>
      </c:layout>
      <c:lineChart>
        <c:grouping val="standard"/>
        <c:varyColors val="0"/>
        <c:ser>
          <c:idx val="0"/>
          <c:order val="0"/>
          <c:tx>
            <c:strRef>
              <c:f>'cofog % vv'!$A$8</c:f>
              <c:strCache>
                <c:ptCount val="1"/>
                <c:pt idx="0">
                  <c:v>SK</c:v>
                </c:pt>
              </c:strCache>
            </c:strRef>
          </c:tx>
          <c:spPr>
            <a:ln w="19050" cap="rnd">
              <a:solidFill>
                <a:srgbClr val="1E4E9D"/>
              </a:solidFill>
              <a:round/>
            </a:ln>
            <a:effectLst/>
          </c:spPr>
          <c:marker>
            <c:symbol val="diamond"/>
            <c:size val="5"/>
            <c:spPr>
              <a:solidFill>
                <a:srgbClr val="1E4E9D"/>
              </a:solidFill>
              <a:ln>
                <a:noFill/>
              </a:ln>
            </c:spPr>
          </c:marker>
          <c:cat>
            <c:numRef>
              <c:f>'cofog % vv'!$B$7:$J$7</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'cofog % vv'!$B$8:$J$8</c:f>
              <c:numCache>
                <c:formatCode>0.0%</c:formatCode>
                <c:ptCount val="9"/>
                <c:pt idx="0">
                  <c:v>1.9604919865821802E-2</c:v>
                </c:pt>
                <c:pt idx="1">
                  <c:v>2.0310268079593401E-2</c:v>
                </c:pt>
                <c:pt idx="2">
                  <c:v>1.96398980951684E-2</c:v>
                </c:pt>
                <c:pt idx="3">
                  <c:v>1.64046666202145E-2</c:v>
                </c:pt>
                <c:pt idx="4">
                  <c:v>1.79352413105195E-2</c:v>
                </c:pt>
                <c:pt idx="5">
                  <c:v>1.5424996820184301E-2</c:v>
                </c:pt>
                <c:pt idx="6">
                  <c:v>1.69740330074395E-2</c:v>
                </c:pt>
                <c:pt idx="7">
                  <c:v>2.0759152256881502E-2</c:v>
                </c:pt>
                <c:pt idx="8">
                  <c:v>2.3321718584097199E-2</c:v>
                </c:pt>
              </c:numCache>
            </c:numRef>
          </c:val>
          <c:smooth val="0"/>
          <c:extLst xmlns:c16r2="http://schemas.microsoft.com/office/drawing/2015/06/chart">
            <c:ext xmlns:c16="http://schemas.microsoft.com/office/drawing/2014/chart" uri="{C3380CC4-5D6E-409C-BE32-E72D297353CC}">
              <c16:uniqueId val="{00000000-FDE4-4AC1-9BAC-DEB65A0EEE1C}"/>
            </c:ext>
          </c:extLst>
        </c:ser>
        <c:ser>
          <c:idx val="2"/>
          <c:order val="2"/>
          <c:tx>
            <c:strRef>
              <c:f>'cofog % vv'!$A$10</c:f>
              <c:strCache>
                <c:ptCount val="1"/>
                <c:pt idx="0">
                  <c:v>V4</c:v>
                </c:pt>
              </c:strCache>
            </c:strRef>
          </c:tx>
          <c:spPr>
            <a:ln w="19050" cap="rnd">
              <a:solidFill>
                <a:srgbClr val="0487D9"/>
              </a:solidFill>
              <a:round/>
            </a:ln>
            <a:effectLst/>
          </c:spPr>
          <c:marker>
            <c:symbol val="diamond"/>
            <c:size val="5"/>
            <c:spPr>
              <a:solidFill>
                <a:srgbClr val="0487D9"/>
              </a:solidFill>
              <a:ln>
                <a:noFill/>
              </a:ln>
            </c:spPr>
          </c:marker>
          <c:cat>
            <c:numRef>
              <c:f>'cofog % vv'!$B$7:$J$7</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'cofog % vv'!$B$10:$J$10</c:f>
              <c:numCache>
                <c:formatCode>0.0%</c:formatCode>
                <c:ptCount val="9"/>
                <c:pt idx="0">
                  <c:v>2.0506647053925801E-2</c:v>
                </c:pt>
                <c:pt idx="1">
                  <c:v>2.0864658935335199E-2</c:v>
                </c:pt>
                <c:pt idx="2">
                  <c:v>2.0521320157754701E-2</c:v>
                </c:pt>
                <c:pt idx="3">
                  <c:v>2.1163912747219699E-2</c:v>
                </c:pt>
                <c:pt idx="4">
                  <c:v>2.11454194159892E-2</c:v>
                </c:pt>
                <c:pt idx="5">
                  <c:v>2.3188034346699499E-2</c:v>
                </c:pt>
                <c:pt idx="6">
                  <c:v>2.4779152383471802E-2</c:v>
                </c:pt>
                <c:pt idx="7">
                  <c:v>2.60919807642651E-2</c:v>
                </c:pt>
                <c:pt idx="8">
                  <c:v>2.5362095531587001E-2</c:v>
                </c:pt>
              </c:numCache>
            </c:numRef>
          </c:val>
          <c:smooth val="0"/>
          <c:extLst xmlns:c16r2="http://schemas.microsoft.com/office/drawing/2015/06/chart">
            <c:ext xmlns:c16="http://schemas.microsoft.com/office/drawing/2014/chart" uri="{C3380CC4-5D6E-409C-BE32-E72D297353CC}">
              <c16:uniqueId val="{00000003-FDE4-4AC1-9BAC-DEB65A0EEE1C}"/>
            </c:ext>
          </c:extLst>
        </c:ser>
        <c:ser>
          <c:idx val="4"/>
          <c:order val="4"/>
          <c:tx>
            <c:strRef>
              <c:f>'cofog % vv'!$A$12</c:f>
              <c:strCache>
                <c:ptCount val="1"/>
                <c:pt idx="0">
                  <c:v>EU28</c:v>
                </c:pt>
              </c:strCache>
            </c:strRef>
          </c:tx>
          <c:spPr>
            <a:ln w="19050" cap="rnd">
              <a:solidFill>
                <a:srgbClr val="F2A444"/>
              </a:solidFill>
              <a:round/>
            </a:ln>
            <a:effectLst/>
          </c:spPr>
          <c:marker>
            <c:symbol val="diamond"/>
            <c:size val="5"/>
            <c:spPr>
              <a:solidFill>
                <a:srgbClr val="F2A444"/>
              </a:solidFill>
              <a:ln>
                <a:noFill/>
              </a:ln>
            </c:spPr>
          </c:marker>
          <c:cat>
            <c:numRef>
              <c:f>'cofog % vv'!$B$7:$J$7</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'cofog % vv'!$B$12:$J$12</c:f>
              <c:numCache>
                <c:formatCode>0.0%</c:formatCode>
                <c:ptCount val="9"/>
                <c:pt idx="0">
                  <c:v>1.6124321933462499E-2</c:v>
                </c:pt>
                <c:pt idx="1">
                  <c:v>1.5597575393279601E-2</c:v>
                </c:pt>
                <c:pt idx="2">
                  <c:v>1.5476089953092E-2</c:v>
                </c:pt>
                <c:pt idx="3">
                  <c:v>1.5403116596583799E-2</c:v>
                </c:pt>
                <c:pt idx="4">
                  <c:v>1.51709143294872E-2</c:v>
                </c:pt>
                <c:pt idx="5">
                  <c:v>1.5504761846620699E-2</c:v>
                </c:pt>
                <c:pt idx="6">
                  <c:v>1.58032219086712E-2</c:v>
                </c:pt>
                <c:pt idx="7">
                  <c:v>1.56556273327698E-2</c:v>
                </c:pt>
                <c:pt idx="8">
                  <c:v>1.5752260610550701E-2</c:v>
                </c:pt>
              </c:numCache>
            </c:numRef>
          </c:val>
          <c:smooth val="0"/>
          <c:extLst xmlns:c16r2="http://schemas.microsoft.com/office/drawing/2015/06/chart">
            <c:ext xmlns:c16="http://schemas.microsoft.com/office/drawing/2014/chart" uri="{C3380CC4-5D6E-409C-BE32-E72D297353CC}">
              <c16:uniqueId val="{00000006-FDE4-4AC1-9BAC-DEB65A0EEE1C}"/>
            </c:ext>
          </c:extLst>
        </c:ser>
        <c:dLbls>
          <c:showLegendKey val="0"/>
          <c:showVal val="0"/>
          <c:showCatName val="0"/>
          <c:showSerName val="0"/>
          <c:showPercent val="0"/>
          <c:showBubbleSize val="0"/>
        </c:dLbls>
        <c:marker val="1"/>
        <c:smooth val="0"/>
        <c:axId val="550808784"/>
        <c:axId val="550800552"/>
        <c:extLst>
          <c:ext xmlns:c15="http://schemas.microsoft.com/office/drawing/2012/chart" uri="{02D57815-91ED-43cb-92C2-25804820EDAC}">
            <c15:filteredLineSeries>
              <c15:ser>
                <c:idx val="1"/>
                <c:order val="1"/>
                <c:tx>
                  <c:strRef>
                    <c:extLst>
                      <c:ext uri="{02D57815-91ED-43cb-92C2-25804820EDAC}">
                        <c15:formulaRef>
                          <c15:sqref>'cofog % vv'!$A$9</c15:sqref>
                        </c15:formulaRef>
                      </c:ext>
                    </c:extLst>
                    <c:strCache>
                      <c:ptCount val="1"/>
                    </c:strCache>
                  </c:strRef>
                </c:tx>
                <c:spPr>
                  <a:ln w="19050" cap="rnd">
                    <a:solidFill>
                      <a:srgbClr val="1E4E9D"/>
                    </a:solidFill>
                    <a:prstDash val="solid"/>
                    <a:round/>
                  </a:ln>
                  <a:effectLst/>
                </c:spPr>
                <c:marker>
                  <c:symbol val="none"/>
                </c:marker>
                <c:dLbls>
                  <c:dLbl>
                    <c:idx val="6"/>
                    <c:layout>
                      <c:manualLayout>
                        <c:x val="0.10024618379966507"/>
                        <c:y val="-5.25479473663454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E4-4AC1-9BAC-DEB65A0EEE1C}"/>
                      </c:ext>
                      <c:ext uri="{CE6537A1-D6FC-4f65-9D91-7224C49458BB}"/>
                    </c:extLst>
                  </c:dLbl>
                  <c:numFmt formatCode="0.00\ %" sourceLinked="0"/>
                  <c:spPr>
                    <a:noFill/>
                    <a:ln>
                      <a:noFill/>
                    </a:ln>
                    <a:effectLst/>
                  </c:spPr>
                  <c:txPr>
                    <a:bodyPr rot="0" vert="horz"/>
                    <a:lstStyle/>
                    <a:p>
                      <a:pPr>
                        <a:defRPr/>
                      </a:pPr>
                      <a:endParaRPr lang="sk-SK"/>
                    </a:p>
                  </c:txPr>
                  <c:dLblPos val="t"/>
                  <c:showLegendKey val="0"/>
                  <c:showVal val="0"/>
                  <c:showCatName val="0"/>
                  <c:showSerName val="0"/>
                  <c:showPercent val="0"/>
                  <c:showBubbleSize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'cofog % vv'!$B$7:$J$7</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'cofog % vv'!$B$9:$J$9</c15:sqref>
                        </c15:formulaRef>
                      </c:ext>
                    </c:extLst>
                    <c:numCache>
                      <c:formatCode>0.0%</c:formatCode>
                      <c:ptCount val="9"/>
                      <c:pt idx="0">
                        <c:v>1.8930543848879999E-2</c:v>
                      </c:pt>
                      <c:pt idx="1">
                        <c:v>1.8930543848879999E-2</c:v>
                      </c:pt>
                      <c:pt idx="2">
                        <c:v>1.8930543848879999E-2</c:v>
                      </c:pt>
                      <c:pt idx="3">
                        <c:v>1.8930543848879999E-2</c:v>
                      </c:pt>
                      <c:pt idx="4">
                        <c:v>1.8930543848879999E-2</c:v>
                      </c:pt>
                      <c:pt idx="5">
                        <c:v>1.8930543848879999E-2</c:v>
                      </c:pt>
                      <c:pt idx="6">
                        <c:v>1.8930543848879999E-2</c:v>
                      </c:pt>
                      <c:pt idx="7">
                        <c:v>1.8930543848879999E-2</c:v>
                      </c:pt>
                      <c:pt idx="8">
                        <c:v>1.8930543848879999E-2</c:v>
                      </c:pt>
                    </c:numCache>
                  </c:numRef>
                </c:val>
                <c:smooth val="0"/>
                <c:extLst xmlns:c16r2="http://schemas.microsoft.com/office/drawing/2015/06/chart">
                  <c:ext xmlns:c16="http://schemas.microsoft.com/office/drawing/2014/chart" uri="{C3380CC4-5D6E-409C-BE32-E72D297353CC}">
                    <c16:uniqueId val="{00000002-FDE4-4AC1-9BAC-DEB65A0EEE1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'cofog % vv'!$A$11</c15:sqref>
                        </c15:formulaRef>
                      </c:ext>
                    </c:extLst>
                    <c:strCache>
                      <c:ptCount val="1"/>
                    </c:strCache>
                  </c:strRef>
                </c:tx>
                <c:spPr>
                  <a:ln w="19050" cap="rnd">
                    <a:solidFill>
                      <a:srgbClr val="0487D9"/>
                    </a:solidFill>
                    <a:prstDash val="solid"/>
                    <a:round/>
                  </a:ln>
                  <a:effectLst/>
                </c:spPr>
                <c:marker>
                  <c:symbol val="none"/>
                </c:marker>
                <c:dLbls>
                  <c:dLbl>
                    <c:idx val="6"/>
                    <c:layout>
                      <c:manualLayout>
                        <c:x val="9.8198342256983553E-2"/>
                        <c:y val="-9.1792357340975184E-2"/>
                      </c:manualLayout>
                    </c:layout>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4-FDE4-4AC1-9BAC-DEB65A0EEE1C}"/>
                      </c:ext>
                      <c:ext xmlns:c15="http://schemas.microsoft.com/office/drawing/2012/chart" uri="{CE6537A1-D6FC-4f65-9D91-7224C49458BB}"/>
                    </c:extLst>
                  </c:dLbl>
                  <c:numFmt formatCode="0.00\ %" sourceLinked="0"/>
                  <c:spPr>
                    <a:noFill/>
                    <a:ln>
                      <a:noFill/>
                    </a:ln>
                    <a:effectLst/>
                  </c:spPr>
                  <c:txPr>
                    <a:bodyPr rot="0" vert="horz"/>
                    <a:lstStyle/>
                    <a:p>
                      <a:pPr>
                        <a:defRPr/>
                      </a:pPr>
                      <a:endParaRPr lang="sk-SK"/>
                    </a:p>
                  </c:txPr>
                  <c:dLblPos val="t"/>
                  <c:showLegendKey val="0"/>
                  <c:showVal val="0"/>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'cofog % vv'!$B$7:$J$7</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xmlns:c15="http://schemas.microsoft.com/office/drawing/2012/chart">
                      <c:ext xmlns:c15="http://schemas.microsoft.com/office/drawing/2012/chart" uri="{02D57815-91ED-43cb-92C2-25804820EDAC}">
                        <c15:formulaRef>
                          <c15:sqref>'cofog % vv'!$B$11:$J$11</c15:sqref>
                        </c15:formulaRef>
                      </c:ext>
                    </c:extLst>
                    <c:numCache>
                      <c:formatCode>0.0%</c:formatCode>
                      <c:ptCount val="9"/>
                      <c:pt idx="0">
                        <c:v>2.26248023706942E-2</c:v>
                      </c:pt>
                      <c:pt idx="1">
                        <c:v>2.26248023706942E-2</c:v>
                      </c:pt>
                      <c:pt idx="2">
                        <c:v>2.26248023706942E-2</c:v>
                      </c:pt>
                      <c:pt idx="3">
                        <c:v>2.26248023706942E-2</c:v>
                      </c:pt>
                      <c:pt idx="4">
                        <c:v>2.26248023706942E-2</c:v>
                      </c:pt>
                      <c:pt idx="5">
                        <c:v>2.26248023706942E-2</c:v>
                      </c:pt>
                      <c:pt idx="6">
                        <c:v>2.26248023706942E-2</c:v>
                      </c:pt>
                      <c:pt idx="7">
                        <c:v>2.26248023706942E-2</c:v>
                      </c:pt>
                      <c:pt idx="8">
                        <c:v>2.26248023706942E-2</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5-FDE4-4AC1-9BAC-DEB65A0EEE1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'cofog % vv'!$A$13</c15:sqref>
                        </c15:formulaRef>
                      </c:ext>
                    </c:extLst>
                    <c:strCache>
                      <c:ptCount val="1"/>
                    </c:strCache>
                  </c:strRef>
                </c:tx>
                <c:spPr>
                  <a:ln w="19050" cap="rnd">
                    <a:solidFill>
                      <a:srgbClr val="F2A444"/>
                    </a:solidFill>
                    <a:prstDash val="solid"/>
                    <a:round/>
                  </a:ln>
                  <a:effectLst/>
                </c:spPr>
                <c:marker>
                  <c:symbol val="none"/>
                </c:marker>
                <c:dLbls>
                  <c:dLbl>
                    <c:idx val="6"/>
                    <c:layout>
                      <c:manualLayout>
                        <c:x val="9.9870845758205692E-2"/>
                        <c:y val="-6.1712828467393163E-2"/>
                      </c:manualLayout>
                    </c:layout>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7-FDE4-4AC1-9BAC-DEB65A0EEE1C}"/>
                      </c:ext>
                      <c:ext xmlns:c15="http://schemas.microsoft.com/office/drawing/2012/chart" uri="{CE6537A1-D6FC-4f65-9D91-7224C49458BB}"/>
                    </c:extLst>
                  </c:dLbl>
                  <c:numFmt formatCode="0.00\ %" sourceLinked="0"/>
                  <c:spPr>
                    <a:noFill/>
                    <a:ln>
                      <a:noFill/>
                    </a:ln>
                    <a:effectLst/>
                  </c:spPr>
                  <c:txPr>
                    <a:bodyPr rot="0" vert="horz"/>
                    <a:lstStyle/>
                    <a:p>
                      <a:pPr>
                        <a:defRPr/>
                      </a:pPr>
                      <a:endParaRPr lang="sk-SK"/>
                    </a:p>
                  </c:txPr>
                  <c:showLegendKey val="0"/>
                  <c:showVal val="0"/>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'cofog % vv'!$B$7:$J$7</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xmlns:c15="http://schemas.microsoft.com/office/drawing/2012/chart">
                      <c:ext xmlns:c15="http://schemas.microsoft.com/office/drawing/2012/chart" uri="{02D57815-91ED-43cb-92C2-25804820EDAC}">
                        <c15:formulaRef>
                          <c15:sqref>'cofog % vv'!$B$13:$J$13</c15:sqref>
                        </c15:formulaRef>
                      </c:ext>
                    </c:extLst>
                    <c:numCache>
                      <c:formatCode>0.0%</c:formatCode>
                      <c:ptCount val="9"/>
                      <c:pt idx="0">
                        <c:v>1.5609765544946299E-2</c:v>
                      </c:pt>
                      <c:pt idx="1">
                        <c:v>1.5609765544946299E-2</c:v>
                      </c:pt>
                      <c:pt idx="2">
                        <c:v>1.5609765544946299E-2</c:v>
                      </c:pt>
                      <c:pt idx="3">
                        <c:v>1.5609765544946299E-2</c:v>
                      </c:pt>
                      <c:pt idx="4">
                        <c:v>1.5609765544946299E-2</c:v>
                      </c:pt>
                      <c:pt idx="5">
                        <c:v>1.5609765544946299E-2</c:v>
                      </c:pt>
                      <c:pt idx="6">
                        <c:v>1.5609765544946299E-2</c:v>
                      </c:pt>
                      <c:pt idx="7">
                        <c:v>1.5609765544946299E-2</c:v>
                      </c:pt>
                      <c:pt idx="8">
                        <c:v>1.5609765544946299E-2</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8-FDE4-4AC1-9BAC-DEB65A0EEE1C}"/>
                  </c:ext>
                </c:extLst>
              </c15:ser>
            </c15:filteredLineSeries>
          </c:ext>
        </c:extLst>
      </c:lineChart>
      <c:catAx>
        <c:axId val="55080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550800552"/>
        <c:crosses val="autoZero"/>
        <c:auto val="1"/>
        <c:lblAlgn val="ctr"/>
        <c:lblOffset val="100"/>
        <c:noMultiLvlLbl val="0"/>
      </c:catAx>
      <c:valAx>
        <c:axId val="550800552"/>
        <c:scaling>
          <c:orientation val="minMax"/>
          <c:min val="1.4000000000000002E-2"/>
        </c:scaling>
        <c:delete val="0"/>
        <c:axPos val="l"/>
        <c:majorGridlines>
          <c:spPr>
            <a:ln w="6350" cap="flat" cmpd="sng" algn="ctr">
              <a:solidFill>
                <a:schemeClr val="bg1">
                  <a:lumMod val="85000"/>
                </a:schemeClr>
              </a:solidFill>
              <a:prstDash val="dash"/>
              <a:round/>
            </a:ln>
            <a:effectLst/>
          </c:spPr>
        </c:majorGridlines>
        <c:numFmt formatCode="0.0\ %" sourceLinked="0"/>
        <c:majorTickMark val="none"/>
        <c:minorTickMark val="none"/>
        <c:tickLblPos val="nextTo"/>
        <c:spPr>
          <a:noFill/>
          <a:ln>
            <a:noFill/>
          </a:ln>
          <a:effectLst/>
        </c:spPr>
        <c:txPr>
          <a:bodyPr rot="-60000000" vert="horz"/>
          <a:lstStyle/>
          <a:p>
            <a:pPr>
              <a:defRPr/>
            </a:pPr>
            <a:endParaRPr lang="sk-SK"/>
          </a:p>
        </c:txPr>
        <c:crossAx val="550808784"/>
        <c:crosses val="autoZero"/>
        <c:crossBetween val="between"/>
        <c:majorUnit val="2.0000000000000005E-3"/>
      </c:valAx>
      <c:spPr>
        <a:noFill/>
        <a:ln>
          <a:noFill/>
        </a:ln>
        <a:effectLst/>
      </c:spPr>
    </c:plotArea>
    <c:legend>
      <c:legendPos val="t"/>
      <c:layout>
        <c:manualLayout>
          <c:xMode val="edge"/>
          <c:yMode val="edge"/>
          <c:x val="0.12810952576333923"/>
          <c:y val="8.0265339218733439E-2"/>
          <c:w val="0.52317854565756416"/>
          <c:h val="8.9758366282702201E-2"/>
        </c:manualLayout>
      </c:layout>
      <c:overlay val="1"/>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909681850516339E-2"/>
          <c:y val="2.0350985538572383E-2"/>
          <c:w val="0.93616132135261021"/>
          <c:h val="0.80342646058131617"/>
        </c:manualLayout>
      </c:layout>
      <c:barChart>
        <c:barDir val="col"/>
        <c:grouping val="clustered"/>
        <c:varyColors val="0"/>
        <c:ser>
          <c:idx val="0"/>
          <c:order val="0"/>
          <c:tx>
            <c:strRef>
              <c:f>Graf_3!$C$7</c:f>
              <c:strCache>
                <c:ptCount val="1"/>
                <c:pt idx="0">
                  <c:v>podiel 2019</c:v>
                </c:pt>
              </c:strCache>
            </c:strRef>
          </c:tx>
          <c:spPr>
            <a:solidFill>
              <a:srgbClr val="00B0F0"/>
            </a:solidFill>
            <a:ln>
              <a:noFill/>
            </a:ln>
          </c:spPr>
          <c:invertIfNegative val="0"/>
          <c:dPt>
            <c:idx val="6"/>
            <c:invertIfNegative val="0"/>
            <c:bubble3D val="0"/>
            <c:extLst xmlns:c16r2="http://schemas.microsoft.com/office/drawing/2015/06/chart">
              <c:ext xmlns:c16="http://schemas.microsoft.com/office/drawing/2014/chart" uri="{C3380CC4-5D6E-409C-BE32-E72D297353CC}">
                <c16:uniqueId val="{00000000-5328-457C-8483-DA2D4A74D632}"/>
              </c:ext>
            </c:extLst>
          </c:dPt>
          <c:dPt>
            <c:idx val="12"/>
            <c:invertIfNegative val="0"/>
            <c:bubble3D val="0"/>
            <c:spPr>
              <a:solidFill>
                <a:srgbClr val="002060"/>
              </a:solidFill>
              <a:ln>
                <a:noFill/>
              </a:ln>
            </c:spPr>
            <c:extLst xmlns:c16r2="http://schemas.microsoft.com/office/drawing/2015/06/chart">
              <c:ext xmlns:c16="http://schemas.microsoft.com/office/drawing/2014/chart" uri="{C3380CC4-5D6E-409C-BE32-E72D297353CC}">
                <c16:uniqueId val="{00000002-5328-457C-8483-DA2D4A74D632}"/>
              </c:ext>
            </c:extLst>
          </c:dPt>
          <c:dPt>
            <c:idx val="16"/>
            <c:invertIfNegative val="0"/>
            <c:bubble3D val="0"/>
            <c:extLst xmlns:c16r2="http://schemas.microsoft.com/office/drawing/2015/06/chart">
              <c:ext xmlns:c16="http://schemas.microsoft.com/office/drawing/2014/chart" uri="{C3380CC4-5D6E-409C-BE32-E72D297353CC}">
                <c16:uniqueId val="{00000003-5328-457C-8483-DA2D4A74D632}"/>
              </c:ext>
            </c:extLst>
          </c:dPt>
          <c:dPt>
            <c:idx val="18"/>
            <c:invertIfNegative val="0"/>
            <c:bubble3D val="0"/>
            <c:extLst xmlns:c16r2="http://schemas.microsoft.com/office/drawing/2015/06/chart">
              <c:ext xmlns:c16="http://schemas.microsoft.com/office/drawing/2014/chart" uri="{C3380CC4-5D6E-409C-BE32-E72D297353CC}">
                <c16:uniqueId val="{00000004-5328-457C-8483-DA2D4A74D632}"/>
              </c:ext>
            </c:extLst>
          </c:dPt>
          <c:dLbls>
            <c:dLbl>
              <c:idx val="12"/>
              <c:layout>
                <c:manualLayout>
                  <c:x val="0"/>
                  <c:y val="-1.1204481792717087E-2"/>
                </c:manualLayout>
              </c:layout>
              <c:numFmt formatCode="#,##0.0" sourceLinked="0"/>
              <c:spPr>
                <a:noFill/>
                <a:ln>
                  <a:noFill/>
                </a:ln>
                <a:effectLst/>
              </c:spPr>
              <c:txPr>
                <a:bodyPr wrap="square" lIns="38100" tIns="19050" rIns="38100" bIns="19050" anchor="ctr">
                  <a:spAutoFit/>
                </a:bodyPr>
                <a:lstStyle/>
                <a:p>
                  <a:pPr>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28-457C-8483-DA2D4A74D632}"/>
                </c:ext>
                <c:ext xmlns:c15="http://schemas.microsoft.com/office/drawing/2012/chart" uri="{CE6537A1-D6FC-4f65-9D91-7224C49458BB}"/>
              </c:extLst>
            </c:dLbl>
            <c:numFmt formatCode="#,##0" sourceLinked="0"/>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Graf_3!$A$8:$A$31</c:f>
              <c:strCache>
                <c:ptCount val="24"/>
                <c:pt idx="0">
                  <c:v>Švédsko</c:v>
                </c:pt>
                <c:pt idx="1">
                  <c:v>Dánsko</c:v>
                </c:pt>
                <c:pt idx="2">
                  <c:v>Fínsko</c:v>
                </c:pt>
                <c:pt idx="3">
                  <c:v>Estónsko</c:v>
                </c:pt>
                <c:pt idx="4">
                  <c:v>Litva</c:v>
                </c:pt>
                <c:pt idx="5">
                  <c:v>Chorvátsko</c:v>
                </c:pt>
                <c:pt idx="6">
                  <c:v>Lotyšsko</c:v>
                </c:pt>
                <c:pt idx="7">
                  <c:v>Maďarsko</c:v>
                </c:pt>
                <c:pt idx="8">
                  <c:v>Francúzko</c:v>
                </c:pt>
                <c:pt idx="9">
                  <c:v>Rakúsko</c:v>
                </c:pt>
                <c:pt idx="10">
                  <c:v>Česko</c:v>
                </c:pt>
                <c:pt idx="11">
                  <c:v>Slovinsko</c:v>
                </c:pt>
                <c:pt idx="12">
                  <c:v>Slovensko</c:v>
                </c:pt>
                <c:pt idx="13">
                  <c:v>Belgicko</c:v>
                </c:pt>
                <c:pt idx="14">
                  <c:v>Cyprus</c:v>
                </c:pt>
                <c:pt idx="15">
                  <c:v>Poľsko</c:v>
                </c:pt>
                <c:pt idx="16">
                  <c:v>Rumunsko</c:v>
                </c:pt>
                <c:pt idx="17">
                  <c:v>Grécko</c:v>
                </c:pt>
                <c:pt idx="18">
                  <c:v>Írsko</c:v>
                </c:pt>
                <c:pt idx="19">
                  <c:v>Portugalsko</c:v>
                </c:pt>
                <c:pt idx="20">
                  <c:v>Španielsko</c:v>
                </c:pt>
                <c:pt idx="21">
                  <c:v>Holandsko</c:v>
                </c:pt>
                <c:pt idx="22">
                  <c:v>Nemecko</c:v>
                </c:pt>
                <c:pt idx="23">
                  <c:v>Taliansko</c:v>
                </c:pt>
              </c:strCache>
            </c:strRef>
          </c:cat>
          <c:val>
            <c:numRef>
              <c:f>Graf_3!$C$8:$C$31</c:f>
              <c:numCache>
                <c:formatCode>0.0</c:formatCode>
                <c:ptCount val="24"/>
                <c:pt idx="0">
                  <c:v>144.08341589130598</c:v>
                </c:pt>
                <c:pt idx="1">
                  <c:v>142.95356885306973</c:v>
                </c:pt>
                <c:pt idx="2">
                  <c:v>118.16048767660416</c:v>
                </c:pt>
                <c:pt idx="3">
                  <c:v>112.46810887516794</c:v>
                </c:pt>
                <c:pt idx="4">
                  <c:v>108.79741634767073</c:v>
                </c:pt>
                <c:pt idx="5">
                  <c:v>94.694971795127188</c:v>
                </c:pt>
                <c:pt idx="6">
                  <c:v>91.668194469907831</c:v>
                </c:pt>
                <c:pt idx="7">
                  <c:v>91.069499739889139</c:v>
                </c:pt>
                <c:pt idx="8">
                  <c:v>89.9853040377902</c:v>
                </c:pt>
                <c:pt idx="9">
                  <c:v>85.451995337955864</c:v>
                </c:pt>
                <c:pt idx="10">
                  <c:v>84.508629270033239</c:v>
                </c:pt>
                <c:pt idx="11">
                  <c:v>84.097903415239884</c:v>
                </c:pt>
                <c:pt idx="12">
                  <c:v>83.112845778335284</c:v>
                </c:pt>
                <c:pt idx="13">
                  <c:v>78.128280351156505</c:v>
                </c:pt>
                <c:pt idx="14">
                  <c:v>75.351153500574839</c:v>
                </c:pt>
                <c:pt idx="15">
                  <c:v>74.316329272638541</c:v>
                </c:pt>
                <c:pt idx="16">
                  <c:v>72.832319089206607</c:v>
                </c:pt>
                <c:pt idx="17">
                  <c:v>70.865120458116891</c:v>
                </c:pt>
                <c:pt idx="18">
                  <c:v>69.123860169975373</c:v>
                </c:pt>
                <c:pt idx="19">
                  <c:v>67.823876281465004</c:v>
                </c:pt>
                <c:pt idx="20">
                  <c:v>67.260284304129826</c:v>
                </c:pt>
                <c:pt idx="21">
                  <c:v>65.096018362979223</c:v>
                </c:pt>
                <c:pt idx="22">
                  <c:v>57.97453175086109</c:v>
                </c:pt>
                <c:pt idx="23">
                  <c:v>56.556137784527067</c:v>
                </c:pt>
              </c:numCache>
            </c:numRef>
          </c:val>
          <c:extLst xmlns:c16r2="http://schemas.microsoft.com/office/drawing/2015/06/chart">
            <c:ext xmlns:c16="http://schemas.microsoft.com/office/drawing/2014/chart" uri="{C3380CC4-5D6E-409C-BE32-E72D297353CC}">
              <c16:uniqueId val="{00000005-5328-457C-8483-DA2D4A74D632}"/>
            </c:ext>
          </c:extLst>
        </c:ser>
        <c:dLbls>
          <c:showLegendKey val="0"/>
          <c:showVal val="0"/>
          <c:showCatName val="0"/>
          <c:showSerName val="0"/>
          <c:showPercent val="0"/>
          <c:showBubbleSize val="0"/>
        </c:dLbls>
        <c:gapWidth val="150"/>
        <c:axId val="553541280"/>
        <c:axId val="553540888"/>
      </c:barChart>
      <c:lineChart>
        <c:grouping val="standard"/>
        <c:varyColors val="0"/>
        <c:ser>
          <c:idx val="2"/>
          <c:order val="1"/>
          <c:tx>
            <c:strRef>
              <c:f>Graf_3!$D$7</c:f>
              <c:strCache>
                <c:ptCount val="1"/>
                <c:pt idx="0">
                  <c:v>priemer štátov EÚ</c:v>
                </c:pt>
              </c:strCache>
            </c:strRef>
          </c:tx>
          <c:spPr>
            <a:ln>
              <a:solidFill>
                <a:sysClr val="windowText" lastClr="000000"/>
              </a:solidFill>
            </a:ln>
          </c:spPr>
          <c:marker>
            <c:symbol val="none"/>
          </c:marker>
          <c:dLbls>
            <c:dLbl>
              <c:idx val="22"/>
              <c:layout>
                <c:manualLayout>
                  <c:x val="-1.8100326244266378E-2"/>
                  <c:y val="-2.6750773800333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28-457C-8483-DA2D4A74D632}"/>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Graf_3!$A$8:$A$31</c:f>
              <c:strCache>
                <c:ptCount val="24"/>
                <c:pt idx="0">
                  <c:v>Švédsko</c:v>
                </c:pt>
                <c:pt idx="1">
                  <c:v>Dánsko</c:v>
                </c:pt>
                <c:pt idx="2">
                  <c:v>Fínsko</c:v>
                </c:pt>
                <c:pt idx="3">
                  <c:v>Estónsko</c:v>
                </c:pt>
                <c:pt idx="4">
                  <c:v>Litva</c:v>
                </c:pt>
                <c:pt idx="5">
                  <c:v>Chorvátsko</c:v>
                </c:pt>
                <c:pt idx="6">
                  <c:v>Lotyšsko</c:v>
                </c:pt>
                <c:pt idx="7">
                  <c:v>Maďarsko</c:v>
                </c:pt>
                <c:pt idx="8">
                  <c:v>Francúzko</c:v>
                </c:pt>
                <c:pt idx="9">
                  <c:v>Rakúsko</c:v>
                </c:pt>
                <c:pt idx="10">
                  <c:v>Česko</c:v>
                </c:pt>
                <c:pt idx="11">
                  <c:v>Slovinsko</c:v>
                </c:pt>
                <c:pt idx="12">
                  <c:v>Slovensko</c:v>
                </c:pt>
                <c:pt idx="13">
                  <c:v>Belgicko</c:v>
                </c:pt>
                <c:pt idx="14">
                  <c:v>Cyprus</c:v>
                </c:pt>
                <c:pt idx="15">
                  <c:v>Poľsko</c:v>
                </c:pt>
                <c:pt idx="16">
                  <c:v>Rumunsko</c:v>
                </c:pt>
                <c:pt idx="17">
                  <c:v>Grécko</c:v>
                </c:pt>
                <c:pt idx="18">
                  <c:v>Írsko</c:v>
                </c:pt>
                <c:pt idx="19">
                  <c:v>Portugalsko</c:v>
                </c:pt>
                <c:pt idx="20">
                  <c:v>Španielsko</c:v>
                </c:pt>
                <c:pt idx="21">
                  <c:v>Holandsko</c:v>
                </c:pt>
                <c:pt idx="22">
                  <c:v>Nemecko</c:v>
                </c:pt>
                <c:pt idx="23">
                  <c:v>Taliansko</c:v>
                </c:pt>
              </c:strCache>
            </c:strRef>
          </c:cat>
          <c:val>
            <c:numRef>
              <c:f>Graf_3!$D$8:$D$31</c:f>
              <c:numCache>
                <c:formatCode>0.0</c:formatCode>
                <c:ptCount val="24"/>
                <c:pt idx="0">
                  <c:v>86.932510533905329</c:v>
                </c:pt>
                <c:pt idx="1">
                  <c:v>86.932510533905329</c:v>
                </c:pt>
                <c:pt idx="2">
                  <c:v>86.932510533905329</c:v>
                </c:pt>
                <c:pt idx="3">
                  <c:v>86.932510533905329</c:v>
                </c:pt>
                <c:pt idx="4">
                  <c:v>86.932510533905329</c:v>
                </c:pt>
                <c:pt idx="5">
                  <c:v>86.932510533905329</c:v>
                </c:pt>
                <c:pt idx="6">
                  <c:v>86.932510533905329</c:v>
                </c:pt>
                <c:pt idx="7">
                  <c:v>86.932510533905329</c:v>
                </c:pt>
                <c:pt idx="8">
                  <c:v>86.932510533905329</c:v>
                </c:pt>
                <c:pt idx="9">
                  <c:v>86.932510533905329</c:v>
                </c:pt>
                <c:pt idx="10">
                  <c:v>86.932510533905329</c:v>
                </c:pt>
                <c:pt idx="11">
                  <c:v>86.932510533905329</c:v>
                </c:pt>
                <c:pt idx="12">
                  <c:v>86.932510533905329</c:v>
                </c:pt>
                <c:pt idx="13">
                  <c:v>86.932510533905329</c:v>
                </c:pt>
                <c:pt idx="14">
                  <c:v>86.932510533905329</c:v>
                </c:pt>
                <c:pt idx="15">
                  <c:v>86.932510533905329</c:v>
                </c:pt>
                <c:pt idx="16">
                  <c:v>86.932510533905329</c:v>
                </c:pt>
                <c:pt idx="17">
                  <c:v>86.932510533905329</c:v>
                </c:pt>
                <c:pt idx="18">
                  <c:v>86.932510533905329</c:v>
                </c:pt>
                <c:pt idx="19">
                  <c:v>86.932510533905329</c:v>
                </c:pt>
                <c:pt idx="20">
                  <c:v>86.932510533905329</c:v>
                </c:pt>
                <c:pt idx="21">
                  <c:v>86.932510533905329</c:v>
                </c:pt>
                <c:pt idx="22">
                  <c:v>86.932510533905329</c:v>
                </c:pt>
                <c:pt idx="23">
                  <c:v>86.932510533905329</c:v>
                </c:pt>
              </c:numCache>
            </c:numRef>
          </c:val>
          <c:smooth val="0"/>
          <c:extLst xmlns:c16r2="http://schemas.microsoft.com/office/drawing/2015/06/chart">
            <c:ext xmlns:c16="http://schemas.microsoft.com/office/drawing/2014/chart" uri="{C3380CC4-5D6E-409C-BE32-E72D297353CC}">
              <c16:uniqueId val="{00000007-5328-457C-8483-DA2D4A74D632}"/>
            </c:ext>
          </c:extLst>
        </c:ser>
        <c:dLbls>
          <c:showLegendKey val="0"/>
          <c:showVal val="0"/>
          <c:showCatName val="0"/>
          <c:showSerName val="0"/>
          <c:showPercent val="0"/>
          <c:showBubbleSize val="0"/>
        </c:dLbls>
        <c:marker val="1"/>
        <c:smooth val="0"/>
        <c:axId val="553541280"/>
        <c:axId val="553540888"/>
      </c:lineChart>
      <c:catAx>
        <c:axId val="553541280"/>
        <c:scaling>
          <c:orientation val="minMax"/>
        </c:scaling>
        <c:delete val="0"/>
        <c:axPos val="b"/>
        <c:numFmt formatCode="General" sourceLinked="1"/>
        <c:majorTickMark val="out"/>
        <c:minorTickMark val="none"/>
        <c:tickLblPos val="nextTo"/>
        <c:txPr>
          <a:bodyPr rot="-5400000" vert="horz"/>
          <a:lstStyle/>
          <a:p>
            <a:pPr>
              <a:defRPr sz="600"/>
            </a:pPr>
            <a:endParaRPr lang="sk-SK"/>
          </a:p>
        </c:txPr>
        <c:crossAx val="553540888"/>
        <c:crosses val="autoZero"/>
        <c:auto val="1"/>
        <c:lblAlgn val="ctr"/>
        <c:lblOffset val="100"/>
        <c:noMultiLvlLbl val="0"/>
      </c:catAx>
      <c:valAx>
        <c:axId val="553540888"/>
        <c:scaling>
          <c:orientation val="minMax"/>
          <c:min val="0"/>
        </c:scaling>
        <c:delete val="0"/>
        <c:axPos val="l"/>
        <c:majorGridlines>
          <c:spPr>
            <a:ln>
              <a:solidFill>
                <a:sysClr val="window" lastClr="FFFFFF">
                  <a:lumMod val="75000"/>
                </a:sysClr>
              </a:solidFill>
              <a:prstDash val="dash"/>
            </a:ln>
          </c:spPr>
        </c:majorGridlines>
        <c:numFmt formatCode="#,##0" sourceLinked="0"/>
        <c:majorTickMark val="out"/>
        <c:minorTickMark val="none"/>
        <c:tickLblPos val="nextTo"/>
        <c:txPr>
          <a:bodyPr/>
          <a:lstStyle/>
          <a:p>
            <a:pPr>
              <a:defRPr>
                <a:solidFill>
                  <a:sysClr val="windowText" lastClr="000000"/>
                </a:solidFill>
              </a:defRPr>
            </a:pPr>
            <a:endParaRPr lang="sk-SK"/>
          </a:p>
        </c:txPr>
        <c:crossAx val="553541280"/>
        <c:crosses val="autoZero"/>
        <c:crossBetween val="between"/>
      </c:valAx>
    </c:plotArea>
    <c:legend>
      <c:legendPos val="r"/>
      <c:legendEntry>
        <c:idx val="0"/>
        <c:delete val="1"/>
      </c:legendEntry>
      <c:layout>
        <c:manualLayout>
          <c:xMode val="edge"/>
          <c:yMode val="edge"/>
          <c:x val="0.37988245488452704"/>
          <c:y val="5.5287644599980555E-2"/>
          <c:w val="0.49580341332931471"/>
          <c:h val="9.1015067560999308E-2"/>
        </c:manualLayout>
      </c:layout>
      <c:overlay val="0"/>
    </c:legend>
    <c:plotVisOnly val="1"/>
    <c:dispBlanksAs val="gap"/>
    <c:showDLblsOverMax val="0"/>
  </c:chart>
  <c:spPr>
    <a:ln>
      <a:noFill/>
    </a:ln>
  </c:spPr>
  <c:txPr>
    <a:bodyPr/>
    <a:lstStyle/>
    <a:p>
      <a:pPr>
        <a:defRPr sz="900">
          <a:latin typeface="Arial Narrow" pitchFamily="34"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r>
              <a:rPr lang="sk-SK" sz="1000" b="1" baseline="0">
                <a:latin typeface="Times New Roman" panose="02020603050405020304" pitchFamily="18" charset="0"/>
              </a:rPr>
              <a:t>Počet zamestnancov </a:t>
            </a:r>
            <a:r>
              <a:rPr lang="en-US" sz="1000" b="1" baseline="0">
                <a:latin typeface="Times New Roman" panose="02020603050405020304" pitchFamily="18" charset="0"/>
              </a:rPr>
              <a:t>na realizáciu Plánu obnovy a odolnosti SR podľa kapitol ŠR</a:t>
            </a:r>
            <a:r>
              <a:rPr lang="sk-SK" sz="1000" b="1" baseline="0">
                <a:latin typeface="Times New Roman" panose="02020603050405020304" pitchFamily="18" charset="0"/>
              </a:rPr>
              <a:t/>
            </a:r>
            <a:br>
              <a:rPr lang="sk-SK" sz="1000" b="1" baseline="0">
                <a:latin typeface="Times New Roman" panose="02020603050405020304" pitchFamily="18" charset="0"/>
              </a:rPr>
            </a:br>
            <a:r>
              <a:rPr lang="sk-SK" sz="800" b="0" baseline="0">
                <a:latin typeface="Times New Roman" panose="02020603050405020304" pitchFamily="18" charset="0"/>
              </a:rPr>
              <a:t>(NRVS 2022)</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sk-SK"/>
        </a:p>
      </c:txPr>
    </c:title>
    <c:autoTitleDeleted val="0"/>
    <c:plotArea>
      <c:layout/>
      <c:barChart>
        <c:barDir val="col"/>
        <c:grouping val="clustered"/>
        <c:varyColors val="0"/>
        <c:ser>
          <c:idx val="0"/>
          <c:order val="0"/>
          <c:tx>
            <c:strRef>
              <c:f>'G12 POO kapitoly ŠR osoby'!$B$1</c:f>
              <c:strCache>
                <c:ptCount val="1"/>
                <c:pt idx="0">
                  <c:v>Počet zamestnancov na realizáciu Plánu obnovy a odolnosti SR podľa kapitol ŠR</c:v>
                </c:pt>
              </c:strCache>
            </c:strRef>
          </c:tx>
          <c:spPr>
            <a:solidFill>
              <a:srgbClr val="00B0F0"/>
            </a:solidFill>
            <a:ln>
              <a:noFill/>
            </a:ln>
            <a:effectLst/>
          </c:spPr>
          <c:invertIfNegative val="0"/>
          <c:dPt>
            <c:idx val="0"/>
            <c:invertIfNegative val="0"/>
            <c:bubble3D val="0"/>
            <c:spPr>
              <a:solidFill>
                <a:srgbClr val="00B0F0"/>
              </a:solidFill>
              <a:ln>
                <a:noFill/>
              </a:ln>
              <a:effectLst/>
            </c:spPr>
          </c:dPt>
          <c:dPt>
            <c:idx val="1"/>
            <c:invertIfNegative val="0"/>
            <c:bubble3D val="0"/>
            <c:spPr>
              <a:solidFill>
                <a:srgbClr val="00B0F0"/>
              </a:solidFill>
              <a:ln>
                <a:noFill/>
              </a:ln>
              <a:effectLst/>
            </c:spPr>
          </c:dPt>
          <c:dPt>
            <c:idx val="6"/>
            <c:invertIfNegative val="0"/>
            <c:bubble3D val="0"/>
            <c:spPr>
              <a:solidFill>
                <a:srgbClr val="00B0F0"/>
              </a:solidFill>
              <a:ln>
                <a:noFill/>
              </a:ln>
              <a:effectLst/>
            </c:spPr>
          </c:dPt>
          <c:dPt>
            <c:idx val="7"/>
            <c:invertIfNegative val="0"/>
            <c:bubble3D val="0"/>
            <c:spPr>
              <a:solidFill>
                <a:srgbClr val="00B0F0"/>
              </a:solidFill>
              <a:ln>
                <a:noFill/>
              </a:ln>
              <a:effectLst/>
            </c:spPr>
          </c:dPt>
          <c:dLbls>
            <c:dLbl>
              <c:idx val="0"/>
              <c:layout>
                <c:manualLayout>
                  <c:x val="0"/>
                  <c:y val="-7.831310627599355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7474284385817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66323791810901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'G12 POO kapitoly ŠR osoby'!$A$3:$A$16</c:f>
              <c:strCache>
                <c:ptCount val="14"/>
                <c:pt idx="0">
                  <c:v>MŠVVŠ SR</c:v>
                </c:pt>
                <c:pt idx="1">
                  <c:v>ÚV SR</c:v>
                </c:pt>
                <c:pt idx="2">
                  <c:v>MŽP SR</c:v>
                </c:pt>
                <c:pt idx="3">
                  <c:v>MZ SR</c:v>
                </c:pt>
                <c:pt idx="4">
                  <c:v>MIRRI SR</c:v>
                </c:pt>
                <c:pt idx="5">
                  <c:v>MK SR</c:v>
                </c:pt>
                <c:pt idx="6">
                  <c:v>MDV SR</c:v>
                </c:pt>
                <c:pt idx="7">
                  <c:v>MH SR</c:v>
                </c:pt>
                <c:pt idx="8">
                  <c:v>MS SR</c:v>
                </c:pt>
                <c:pt idx="9">
                  <c:v>MV SR</c:v>
                </c:pt>
                <c:pt idx="10">
                  <c:v>MPSVR SR</c:v>
                </c:pt>
                <c:pt idx="11">
                  <c:v>MF SR</c:v>
                </c:pt>
                <c:pt idx="12">
                  <c:v>ÚVO</c:v>
                </c:pt>
                <c:pt idx="13">
                  <c:v>MZVEZ SR</c:v>
                </c:pt>
              </c:strCache>
            </c:strRef>
          </c:cat>
          <c:val>
            <c:numRef>
              <c:f>'G12 POO kapitoly ŠR osoby'!$B$3:$B$16</c:f>
              <c:numCache>
                <c:formatCode>#,##0</c:formatCode>
                <c:ptCount val="14"/>
                <c:pt idx="0">
                  <c:v>659</c:v>
                </c:pt>
                <c:pt idx="1">
                  <c:v>181</c:v>
                </c:pt>
                <c:pt idx="2">
                  <c:v>142</c:v>
                </c:pt>
                <c:pt idx="3">
                  <c:v>131</c:v>
                </c:pt>
                <c:pt idx="4">
                  <c:v>87</c:v>
                </c:pt>
                <c:pt idx="5">
                  <c:v>80</c:v>
                </c:pt>
                <c:pt idx="6">
                  <c:v>64</c:v>
                </c:pt>
                <c:pt idx="7">
                  <c:v>46</c:v>
                </c:pt>
                <c:pt idx="8">
                  <c:v>45</c:v>
                </c:pt>
                <c:pt idx="9">
                  <c:v>31</c:v>
                </c:pt>
                <c:pt idx="10">
                  <c:v>30</c:v>
                </c:pt>
                <c:pt idx="11">
                  <c:v>10</c:v>
                </c:pt>
                <c:pt idx="12">
                  <c:v>7</c:v>
                </c:pt>
                <c:pt idx="13">
                  <c:v>2</c:v>
                </c:pt>
              </c:numCache>
            </c:numRef>
          </c:val>
        </c:ser>
        <c:dLbls>
          <c:dLblPos val="outEnd"/>
          <c:showLegendKey val="0"/>
          <c:showVal val="1"/>
          <c:showCatName val="0"/>
          <c:showSerName val="0"/>
          <c:showPercent val="0"/>
          <c:showBubbleSize val="0"/>
        </c:dLbls>
        <c:gapWidth val="219"/>
        <c:overlap val="-27"/>
        <c:axId val="553542848"/>
        <c:axId val="553547160"/>
      </c:barChart>
      <c:catAx>
        <c:axId val="553542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47160"/>
        <c:crosses val="autoZero"/>
        <c:auto val="1"/>
        <c:lblAlgn val="ctr"/>
        <c:lblOffset val="100"/>
        <c:noMultiLvlLbl val="0"/>
      </c:catAx>
      <c:valAx>
        <c:axId val="553547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k-SK" sz="800" baseline="0">
                    <a:latin typeface="Times New Roman" panose="02020603050405020304" pitchFamily="18" charset="0"/>
                  </a:rPr>
                  <a:t>počet zamestnancov</a:t>
                </a:r>
              </a:p>
            </c:rich>
          </c:tx>
          <c:layout>
            <c:manualLayout>
              <c:xMode val="edge"/>
              <c:yMode val="edge"/>
              <c:x val="2.5418833044482957E-2"/>
              <c:y val="0.3751068858707131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4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000" b="1" baseline="0">
                <a:latin typeface="Times New Roman" panose="02020603050405020304" pitchFamily="18" charset="0"/>
              </a:rPr>
              <a:t>Medziročn</a:t>
            </a:r>
            <a:r>
              <a:rPr lang="sk-SK" sz="1000" b="1" baseline="0">
                <a:latin typeface="Times New Roman" panose="02020603050405020304" pitchFamily="18" charset="0"/>
              </a:rPr>
              <a:t>á zmena </a:t>
            </a:r>
            <a:r>
              <a:rPr lang="en-US" sz="1000" b="1" baseline="0">
                <a:latin typeface="Times New Roman" panose="02020603050405020304" pitchFamily="18" charset="0"/>
              </a:rPr>
              <a:t>počtu zamestnancov</a:t>
            </a:r>
            <a:r>
              <a:rPr lang="sk-SK" sz="1000" b="1" baseline="0">
                <a:latin typeface="Times New Roman" panose="02020603050405020304" pitchFamily="18" charset="0"/>
              </a:rPr>
              <a:t> </a:t>
            </a:r>
            <a:r>
              <a:rPr lang="en-US" sz="1000" b="1" baseline="0">
                <a:latin typeface="Times New Roman" panose="02020603050405020304" pitchFamily="18" charset="0"/>
              </a:rPr>
              <a:t>podľa jednotlivých oblas</a:t>
            </a:r>
            <a:r>
              <a:rPr lang="sk-SK" sz="1000" b="1" baseline="0">
                <a:latin typeface="Times New Roman" panose="02020603050405020304" pitchFamily="18" charset="0"/>
              </a:rPr>
              <a:t>tí verejnej správy</a:t>
            </a:r>
          </a:p>
          <a:p>
            <a:pPr>
              <a:defRPr sz="1000" b="1">
                <a:latin typeface="Times New Roman" panose="02020603050405020304" pitchFamily="18" charset="0"/>
              </a:defRPr>
            </a:pPr>
            <a:r>
              <a:rPr lang="sk-SK" sz="800" b="0" baseline="0">
                <a:latin typeface="Times New Roman" panose="02020603050405020304" pitchFamily="18" charset="0"/>
              </a:rPr>
              <a:t>(NRVS 2022)</a:t>
            </a:r>
            <a:endParaRPr lang="en-US" sz="800" b="0"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sk-SK"/>
        </a:p>
      </c:txPr>
    </c:title>
    <c:autoTitleDeleted val="0"/>
    <c:plotArea>
      <c:layout/>
      <c:barChart>
        <c:barDir val="col"/>
        <c:grouping val="clustered"/>
        <c:varyColors val="0"/>
        <c:ser>
          <c:idx val="0"/>
          <c:order val="0"/>
          <c:tx>
            <c:strRef>
              <c:f>'G5 nárast počtu VS'!$B$1</c:f>
              <c:strCache>
                <c:ptCount val="1"/>
                <c:pt idx="0">
                  <c:v>Medziročný nárast, respektíve pokles počtu zamestnancov podľa jednotlivých oblasí verejnej správy</c:v>
                </c:pt>
              </c:strCache>
            </c:strRef>
          </c:tx>
          <c:spPr>
            <a:solidFill>
              <a:srgbClr val="00B0F0"/>
            </a:solidFill>
            <a:ln>
              <a:noFill/>
            </a:ln>
            <a:effectLst/>
          </c:spPr>
          <c:invertIfNegative val="0"/>
          <c:dPt>
            <c:idx val="0"/>
            <c:invertIfNegative val="0"/>
            <c:bubble3D val="0"/>
            <c:spPr>
              <a:solidFill>
                <a:schemeClr val="bg1">
                  <a:lumMod val="50000"/>
                </a:schemeClr>
              </a:solidFill>
              <a:ln>
                <a:noFill/>
              </a:ln>
              <a:effectLst/>
            </c:spPr>
          </c:dPt>
          <c:dPt>
            <c:idx val="1"/>
            <c:invertIfNegative val="0"/>
            <c:bubble3D val="0"/>
            <c:spPr>
              <a:solidFill>
                <a:srgbClr val="00B0F0"/>
              </a:solidFill>
              <a:ln>
                <a:noFill/>
              </a:ln>
              <a:effectLst/>
            </c:spPr>
          </c:dPt>
          <c:dPt>
            <c:idx val="2"/>
            <c:invertIfNegative val="0"/>
            <c:bubble3D val="0"/>
            <c:spPr>
              <a:solidFill>
                <a:srgbClr val="00B0F0"/>
              </a:solidFill>
              <a:ln>
                <a:noFill/>
              </a:ln>
              <a:effectLst/>
            </c:spPr>
          </c:dPt>
          <c:dPt>
            <c:idx val="3"/>
            <c:invertIfNegative val="0"/>
            <c:bubble3D val="0"/>
            <c:spPr>
              <a:solidFill>
                <a:srgbClr val="00B0F0"/>
              </a:solidFill>
              <a:ln>
                <a:noFill/>
              </a:ln>
              <a:effectLst/>
            </c:spPr>
          </c:dPt>
          <c:dPt>
            <c:idx val="6"/>
            <c:invertIfNegative val="0"/>
            <c:bubble3D val="0"/>
            <c:spPr>
              <a:solidFill>
                <a:schemeClr val="bg1">
                  <a:lumMod val="75000"/>
                </a:schemeClr>
              </a:solidFill>
              <a:ln>
                <a:noFill/>
              </a:ln>
              <a:effectLst/>
            </c:spPr>
          </c:dPt>
          <c:dPt>
            <c:idx val="7"/>
            <c:invertIfNegative val="0"/>
            <c:bubble3D val="0"/>
            <c:spPr>
              <a:solidFill>
                <a:schemeClr val="bg1">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 nárast počtu VS'!$A$2:$A$5</c:f>
              <c:strCache>
                <c:ptCount val="4"/>
                <c:pt idx="0">
                  <c:v>verejná správa</c:v>
                </c:pt>
                <c:pt idx="1">
                  <c:v>ústredná správa</c:v>
                </c:pt>
                <c:pt idx="2">
                  <c:v>územná samospráva</c:v>
                </c:pt>
                <c:pt idx="3">
                  <c:v>fondy soc. a zdravotného poistenia</c:v>
                </c:pt>
              </c:strCache>
            </c:strRef>
          </c:cat>
          <c:val>
            <c:numRef>
              <c:f>'G5 nárast počtu VS'!$B$2:$B$5</c:f>
              <c:numCache>
                <c:formatCode>#,##0</c:formatCode>
                <c:ptCount val="4"/>
                <c:pt idx="0">
                  <c:v>1622</c:v>
                </c:pt>
                <c:pt idx="1">
                  <c:v>1709</c:v>
                </c:pt>
                <c:pt idx="2">
                  <c:v>83</c:v>
                </c:pt>
                <c:pt idx="3">
                  <c:v>-170</c:v>
                </c:pt>
              </c:numCache>
            </c:numRef>
          </c:val>
        </c:ser>
        <c:dLbls>
          <c:dLblPos val="outEnd"/>
          <c:showLegendKey val="0"/>
          <c:showVal val="1"/>
          <c:showCatName val="0"/>
          <c:showSerName val="0"/>
          <c:showPercent val="0"/>
          <c:showBubbleSize val="0"/>
        </c:dLbls>
        <c:gapWidth val="219"/>
        <c:overlap val="-27"/>
        <c:axId val="553540104"/>
        <c:axId val="553539712"/>
      </c:barChart>
      <c:catAx>
        <c:axId val="553540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39712"/>
        <c:crosses val="autoZero"/>
        <c:auto val="1"/>
        <c:lblAlgn val="ctr"/>
        <c:lblOffset val="100"/>
        <c:noMultiLvlLbl val="0"/>
      </c:catAx>
      <c:valAx>
        <c:axId val="55353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k-SK" sz="800" baseline="0">
                    <a:latin typeface="Times New Roman" panose="02020603050405020304" pitchFamily="18" charset="0"/>
                  </a:rPr>
                  <a:t>počet zamestnancov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40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000" b="1" baseline="0">
                <a:latin typeface="Times New Roman" panose="02020603050405020304" pitchFamily="18" charset="0"/>
              </a:rPr>
              <a:t>Medziročn</a:t>
            </a:r>
            <a:r>
              <a:rPr lang="sk-SK" sz="1000" b="1" baseline="0">
                <a:latin typeface="Times New Roman" panose="02020603050405020304" pitchFamily="18" charset="0"/>
              </a:rPr>
              <a:t>á zmena </a:t>
            </a:r>
            <a:r>
              <a:rPr lang="en-US" sz="1000" b="1" baseline="0">
                <a:latin typeface="Times New Roman" panose="02020603050405020304" pitchFamily="18" charset="0"/>
              </a:rPr>
              <a:t>počtu</a:t>
            </a:r>
            <a:r>
              <a:rPr lang="sk-SK" sz="1000" b="1" baseline="0">
                <a:latin typeface="Times New Roman" panose="02020603050405020304" pitchFamily="18" charset="0"/>
              </a:rPr>
              <a:t> </a:t>
            </a:r>
            <a:r>
              <a:rPr lang="en-US" sz="1000" b="1" baseline="0">
                <a:latin typeface="Times New Roman" panose="02020603050405020304" pitchFamily="18" charset="0"/>
              </a:rPr>
              <a:t>zamestnancov</a:t>
            </a:r>
            <a:r>
              <a:rPr lang="sk-SK" sz="1000" b="1" baseline="0">
                <a:latin typeface="Times New Roman" panose="02020603050405020304" pitchFamily="18" charset="0"/>
              </a:rPr>
              <a:t> financovaných</a:t>
            </a:r>
          </a:p>
          <a:p>
            <a:pPr>
              <a:defRPr sz="1000" b="1">
                <a:latin typeface="Times New Roman" panose="02020603050405020304" pitchFamily="18" charset="0"/>
              </a:defRPr>
            </a:pPr>
            <a:r>
              <a:rPr lang="sk-SK" sz="1000" b="1" baseline="0">
                <a:latin typeface="Times New Roman" panose="02020603050405020304" pitchFamily="18" charset="0"/>
              </a:rPr>
              <a:t>zo štátneho rozpočtu bez POO</a:t>
            </a:r>
          </a:p>
          <a:p>
            <a:pPr>
              <a:defRPr sz="1000" b="1">
                <a:latin typeface="Times New Roman" panose="02020603050405020304" pitchFamily="18" charset="0"/>
              </a:defRPr>
            </a:pPr>
            <a:r>
              <a:rPr lang="sk-SK" sz="800" b="0" baseline="0">
                <a:latin typeface="Times New Roman" panose="02020603050405020304" pitchFamily="18" charset="0"/>
              </a:rPr>
              <a:t>(NRVS 2022)</a:t>
            </a:r>
            <a:endParaRPr lang="en-US" sz="800" b="0"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sk-SK"/>
        </a:p>
      </c:txPr>
    </c:title>
    <c:autoTitleDeleted val="0"/>
    <c:plotArea>
      <c:layout/>
      <c:barChart>
        <c:barDir val="col"/>
        <c:grouping val="clustered"/>
        <c:varyColors val="0"/>
        <c:ser>
          <c:idx val="0"/>
          <c:order val="0"/>
          <c:tx>
            <c:strRef>
              <c:f>'G6 nárast počtu ŠR'!$B$1</c:f>
              <c:strCache>
                <c:ptCount val="1"/>
                <c:pt idx="0">
                  <c:v>Medziročný nárast, respektíve pokles počtu zamestnancov financovaných zo štátneho rozpočtu</c:v>
                </c:pt>
              </c:strCache>
            </c:strRef>
          </c:tx>
          <c:spPr>
            <a:solidFill>
              <a:srgbClr val="00B0F0"/>
            </a:solidFill>
            <a:ln>
              <a:noFill/>
            </a:ln>
            <a:effectLst/>
          </c:spPr>
          <c:invertIfNegative val="0"/>
          <c:dPt>
            <c:idx val="0"/>
            <c:invertIfNegative val="0"/>
            <c:bubble3D val="0"/>
            <c:spPr>
              <a:solidFill>
                <a:schemeClr val="bg1">
                  <a:lumMod val="50000"/>
                </a:schemeClr>
              </a:solidFill>
              <a:ln>
                <a:noFill/>
              </a:ln>
              <a:effectLst/>
            </c:spPr>
          </c:dPt>
          <c:dPt>
            <c:idx val="1"/>
            <c:invertIfNegative val="0"/>
            <c:bubble3D val="0"/>
            <c:spPr>
              <a:solidFill>
                <a:srgbClr val="00B0F0"/>
              </a:solidFill>
              <a:ln>
                <a:noFill/>
              </a:ln>
              <a:effectLst/>
            </c:spPr>
          </c:dPt>
          <c:dPt>
            <c:idx val="6"/>
            <c:invertIfNegative val="0"/>
            <c:bubble3D val="0"/>
            <c:spPr>
              <a:solidFill>
                <a:schemeClr val="bg1">
                  <a:lumMod val="75000"/>
                </a:schemeClr>
              </a:solidFill>
              <a:ln>
                <a:noFill/>
              </a:ln>
              <a:effectLst/>
            </c:spPr>
          </c:dPt>
          <c:dPt>
            <c:idx val="7"/>
            <c:invertIfNegative val="0"/>
            <c:bubble3D val="0"/>
            <c:spPr>
              <a:solidFill>
                <a:schemeClr val="bg1">
                  <a:lumMod val="75000"/>
                </a:schemeClr>
              </a:solidFill>
              <a:ln>
                <a:noFill/>
              </a:ln>
              <a:effectLst/>
            </c:spPr>
          </c:dPt>
          <c:dLbls>
            <c:dLbl>
              <c:idx val="0"/>
              <c:layout>
                <c:manualLayout>
                  <c:x val="0"/>
                  <c:y val="-7.831310627599355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7474284385817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66323791810901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'G6 nárast počtu ŠR'!$A$3:$A$8</c:f>
              <c:strCache>
                <c:ptCount val="6"/>
                <c:pt idx="0">
                  <c:v>SPOLU     </c:v>
                </c:pt>
                <c:pt idx="1">
                  <c:v>štátne rozpočtové organizácie</c:v>
                </c:pt>
                <c:pt idx="2">
                  <c:v>štátne príspevkové organizácie</c:v>
                </c:pt>
                <c:pt idx="3">
                  <c:v>verejné vysoké školy</c:v>
                </c:pt>
                <c:pt idx="4">
                  <c:v>RŠ v územnej samospráve</c:v>
                </c:pt>
                <c:pt idx="5">
                  <c:v>RŠ súkromných a cirkevných zriaď.</c:v>
                </c:pt>
              </c:strCache>
            </c:strRef>
          </c:cat>
          <c:val>
            <c:numRef>
              <c:f>'G6 nárast počtu ŠR'!$B$3:$B$8</c:f>
              <c:numCache>
                <c:formatCode>#,##0</c:formatCode>
                <c:ptCount val="6"/>
                <c:pt idx="0">
                  <c:v>-242</c:v>
                </c:pt>
                <c:pt idx="1">
                  <c:v>944</c:v>
                </c:pt>
                <c:pt idx="2">
                  <c:v>148</c:v>
                </c:pt>
                <c:pt idx="3">
                  <c:v>-1334</c:v>
                </c:pt>
                <c:pt idx="4">
                  <c:v>0</c:v>
                </c:pt>
                <c:pt idx="5">
                  <c:v>0</c:v>
                </c:pt>
              </c:numCache>
            </c:numRef>
          </c:val>
        </c:ser>
        <c:dLbls>
          <c:dLblPos val="outEnd"/>
          <c:showLegendKey val="0"/>
          <c:showVal val="1"/>
          <c:showCatName val="0"/>
          <c:showSerName val="0"/>
          <c:showPercent val="0"/>
          <c:showBubbleSize val="0"/>
        </c:dLbls>
        <c:gapWidth val="219"/>
        <c:overlap val="-27"/>
        <c:axId val="553552648"/>
        <c:axId val="553553040"/>
      </c:barChart>
      <c:catAx>
        <c:axId val="553552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53040"/>
        <c:crosses val="autoZero"/>
        <c:auto val="1"/>
        <c:lblAlgn val="ctr"/>
        <c:lblOffset val="100"/>
        <c:noMultiLvlLbl val="0"/>
      </c:catAx>
      <c:valAx>
        <c:axId val="55355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k-SK" sz="800" baseline="0">
                    <a:latin typeface="Times New Roman" panose="02020603050405020304" pitchFamily="18" charset="0"/>
                  </a:rPr>
                  <a:t>počet zamestnancov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52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000" b="1" baseline="0">
                <a:latin typeface="Times New Roman" panose="02020603050405020304" pitchFamily="18" charset="0"/>
              </a:rPr>
              <a:t>Osobné výdavky na realizáciu Plánu obnovy a odolnosti SR podľa kapitol ŠR</a:t>
            </a:r>
            <a:r>
              <a:rPr lang="sk-SK" sz="1000" b="1" baseline="0">
                <a:latin typeface="Times New Roman" panose="02020603050405020304" pitchFamily="18" charset="0"/>
              </a:rPr>
              <a:t/>
            </a:r>
            <a:br>
              <a:rPr lang="sk-SK" sz="1000" b="1" baseline="0">
                <a:latin typeface="Times New Roman" panose="02020603050405020304" pitchFamily="18" charset="0"/>
              </a:rPr>
            </a:br>
            <a:r>
              <a:rPr lang="sk-SK" sz="800" b="0" baseline="0">
                <a:latin typeface="Times New Roman" panose="02020603050405020304" pitchFamily="18" charset="0"/>
              </a:rPr>
              <a:t>(v tis. eur; NRVS 2022)</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sk-SK"/>
        </a:p>
      </c:txPr>
    </c:title>
    <c:autoTitleDeleted val="0"/>
    <c:plotArea>
      <c:layout/>
      <c:barChart>
        <c:barDir val="col"/>
        <c:grouping val="clustered"/>
        <c:varyColors val="0"/>
        <c:ser>
          <c:idx val="0"/>
          <c:order val="0"/>
          <c:tx>
            <c:strRef>
              <c:f>'G11 POO kapitoly ŠR OV'!$B$1</c:f>
              <c:strCache>
                <c:ptCount val="1"/>
                <c:pt idx="0">
                  <c:v>Osobné výdavky na realizáciu Plánu obnovy a odolnosti SR podľa kapitol ŠR</c:v>
                </c:pt>
              </c:strCache>
            </c:strRef>
          </c:tx>
          <c:spPr>
            <a:solidFill>
              <a:srgbClr val="00B0F0"/>
            </a:solidFill>
            <a:ln>
              <a:noFill/>
            </a:ln>
            <a:effectLst/>
          </c:spPr>
          <c:invertIfNegative val="0"/>
          <c:dPt>
            <c:idx val="0"/>
            <c:invertIfNegative val="0"/>
            <c:bubble3D val="0"/>
            <c:spPr>
              <a:solidFill>
                <a:srgbClr val="00B0F0"/>
              </a:solidFill>
              <a:ln>
                <a:noFill/>
              </a:ln>
              <a:effectLst/>
            </c:spPr>
          </c:dPt>
          <c:dPt>
            <c:idx val="1"/>
            <c:invertIfNegative val="0"/>
            <c:bubble3D val="0"/>
            <c:spPr>
              <a:solidFill>
                <a:srgbClr val="00B0F0"/>
              </a:solidFill>
              <a:ln>
                <a:noFill/>
              </a:ln>
              <a:effectLst/>
            </c:spPr>
          </c:dPt>
          <c:dPt>
            <c:idx val="6"/>
            <c:invertIfNegative val="0"/>
            <c:bubble3D val="0"/>
            <c:spPr>
              <a:solidFill>
                <a:srgbClr val="00B0F0"/>
              </a:solidFill>
              <a:ln>
                <a:noFill/>
              </a:ln>
              <a:effectLst/>
            </c:spPr>
          </c:dPt>
          <c:dPt>
            <c:idx val="7"/>
            <c:invertIfNegative val="0"/>
            <c:bubble3D val="0"/>
            <c:spPr>
              <a:solidFill>
                <a:srgbClr val="00B0F0"/>
              </a:solidFill>
              <a:ln>
                <a:noFill/>
              </a:ln>
              <a:effectLst/>
            </c:spPr>
          </c:dPt>
          <c:dLbls>
            <c:dLbl>
              <c:idx val="0"/>
              <c:layout>
                <c:manualLayout>
                  <c:x val="0"/>
                  <c:y val="-7.831310627599355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7474284385817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66323791810901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 POO kapitoly ŠR OV'!$A$3:$A$15</c:f>
              <c:strCache>
                <c:ptCount val="13"/>
                <c:pt idx="0">
                  <c:v>MŠVVŠ SR</c:v>
                </c:pt>
                <c:pt idx="1">
                  <c:v>MZ SR</c:v>
                </c:pt>
                <c:pt idx="2">
                  <c:v>ÚV SR</c:v>
                </c:pt>
                <c:pt idx="3">
                  <c:v>MIRRI SR</c:v>
                </c:pt>
                <c:pt idx="4">
                  <c:v>MS SR</c:v>
                </c:pt>
                <c:pt idx="5">
                  <c:v>MK SR</c:v>
                </c:pt>
                <c:pt idx="6">
                  <c:v>MDV SR</c:v>
                </c:pt>
                <c:pt idx="7">
                  <c:v>MH SR</c:v>
                </c:pt>
                <c:pt idx="8">
                  <c:v>MV SR</c:v>
                </c:pt>
                <c:pt idx="9">
                  <c:v>MŽP SR</c:v>
                </c:pt>
                <c:pt idx="10">
                  <c:v>MPSVR SR</c:v>
                </c:pt>
                <c:pt idx="11">
                  <c:v>ÚVO</c:v>
                </c:pt>
                <c:pt idx="12">
                  <c:v>MZVEZ SR</c:v>
                </c:pt>
              </c:strCache>
            </c:strRef>
          </c:cat>
          <c:val>
            <c:numRef>
              <c:f>'G11 POO kapitoly ŠR OV'!$B$3:$B$15</c:f>
              <c:numCache>
                <c:formatCode>#,##0</c:formatCode>
                <c:ptCount val="13"/>
                <c:pt idx="0">
                  <c:v>14805.213</c:v>
                </c:pt>
                <c:pt idx="1">
                  <c:v>5957.7250000000004</c:v>
                </c:pt>
                <c:pt idx="2">
                  <c:v>5692.1670000000004</c:v>
                </c:pt>
                <c:pt idx="3">
                  <c:v>4614.5780000000004</c:v>
                </c:pt>
                <c:pt idx="4">
                  <c:v>4214.7179999999998</c:v>
                </c:pt>
                <c:pt idx="5">
                  <c:v>2597.6799999999998</c:v>
                </c:pt>
                <c:pt idx="6">
                  <c:v>2043.8610000000001</c:v>
                </c:pt>
                <c:pt idx="7">
                  <c:v>1652.0429999999999</c:v>
                </c:pt>
                <c:pt idx="8">
                  <c:v>1349.5809999999999</c:v>
                </c:pt>
                <c:pt idx="9">
                  <c:v>1345.165</c:v>
                </c:pt>
                <c:pt idx="10">
                  <c:v>1068.8</c:v>
                </c:pt>
                <c:pt idx="11">
                  <c:v>284.15100000000001</c:v>
                </c:pt>
                <c:pt idx="12">
                  <c:v>10.7</c:v>
                </c:pt>
              </c:numCache>
            </c:numRef>
          </c:val>
        </c:ser>
        <c:dLbls>
          <c:dLblPos val="outEnd"/>
          <c:showLegendKey val="0"/>
          <c:showVal val="1"/>
          <c:showCatName val="0"/>
          <c:showSerName val="0"/>
          <c:showPercent val="0"/>
          <c:showBubbleSize val="0"/>
        </c:dLbls>
        <c:gapWidth val="219"/>
        <c:overlap val="-27"/>
        <c:axId val="553553824"/>
        <c:axId val="553554216"/>
      </c:barChart>
      <c:catAx>
        <c:axId val="553553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54216"/>
        <c:crosses val="autoZero"/>
        <c:auto val="1"/>
        <c:lblAlgn val="ctr"/>
        <c:lblOffset val="100"/>
        <c:noMultiLvlLbl val="0"/>
      </c:catAx>
      <c:valAx>
        <c:axId val="553554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k-SK" sz="800" baseline="0">
                    <a:latin typeface="Times New Roman" panose="02020603050405020304" pitchFamily="18" charset="0"/>
                  </a:rPr>
                  <a:t>osobné výdavky v tis. eur</a:t>
                </a:r>
              </a:p>
            </c:rich>
          </c:tx>
          <c:layout>
            <c:manualLayout>
              <c:xMode val="edge"/>
              <c:yMode val="edge"/>
              <c:x val="2.5418833044482957E-2"/>
              <c:y val="0.3751068858707131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sk-SK"/>
          </a:p>
        </c:txPr>
        <c:crossAx val="55355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0EC636-F116-4086-81F7-C6FAFBEB59B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E8A72010-618B-4597-A020-EDD03718BAD5}">
      <dgm:prSet phldrT="[Text]" custT="1"/>
      <dgm:spPr>
        <a:xfrm>
          <a:off x="1326690" y="2224"/>
          <a:ext cx="3211782" cy="270297"/>
        </a:xfr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Verejné výdavky na kultúru (793 mil. eur)</a:t>
          </a:r>
        </a:p>
      </dgm:t>
    </dgm:pt>
    <dgm:pt modelId="{FC6CF16D-2663-4FD7-85CE-F13BE784F8C0}" type="parTrans" cxnId="{5E7EFC4F-D9E4-4B21-A77F-504B316D9844}">
      <dgm:prSet/>
      <dgm:spPr/>
      <dgm:t>
        <a:bodyPr/>
        <a:lstStyle/>
        <a:p>
          <a:endParaRPr lang="sk-SK" sz="2000">
            <a:latin typeface="Times New Roman" panose="02020603050405020304" pitchFamily="18" charset="0"/>
            <a:cs typeface="Times New Roman" panose="02020603050405020304" pitchFamily="18" charset="0"/>
          </a:endParaRPr>
        </a:p>
      </dgm:t>
    </dgm:pt>
    <dgm:pt modelId="{6723E5E8-717D-4325-A2ED-EB76DD6403C2}" type="sibTrans" cxnId="{5E7EFC4F-D9E4-4B21-A77F-504B316D9844}">
      <dgm:prSet/>
      <dgm:spPr/>
      <dgm:t>
        <a:bodyPr/>
        <a:lstStyle/>
        <a:p>
          <a:endParaRPr lang="sk-SK" sz="2000">
            <a:latin typeface="Times New Roman" panose="02020603050405020304" pitchFamily="18" charset="0"/>
            <a:cs typeface="Times New Roman" panose="02020603050405020304" pitchFamily="18" charset="0"/>
          </a:endParaRPr>
        </a:p>
      </dgm:t>
    </dgm:pt>
    <dgm:pt modelId="{DAA3EB2F-5589-493A-AB75-871564DDECB6}">
      <dgm:prSet phldrT="[Text]" custT="1"/>
      <dgm:spPr>
        <a:xfrm>
          <a:off x="957745" y="776832"/>
          <a:ext cx="873412" cy="2702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Štátna správa </a:t>
          </a:r>
        </a:p>
        <a:p>
          <a:r>
            <a:rPr lang="sk-SK" sz="800">
              <a:solidFill>
                <a:sysClr val="window" lastClr="FFFFFF"/>
              </a:solidFill>
              <a:latin typeface="Times New Roman" panose="02020603050405020304" pitchFamily="18" charset="0"/>
              <a:ea typeface="+mn-ea"/>
              <a:cs typeface="Times New Roman" panose="02020603050405020304" pitchFamily="18" charset="0"/>
            </a:rPr>
            <a:t>(307 mil. eur)</a:t>
          </a:r>
        </a:p>
      </dgm:t>
    </dgm:pt>
    <dgm:pt modelId="{FCB484D0-030E-4375-9CB2-44C77DAA580C}" type="parTrans" cxnId="{EB830933-F532-47E8-B1F6-33ADF8278E9D}">
      <dgm:prSet/>
      <dgm:spPr>
        <a:xfrm>
          <a:off x="1394451" y="656344"/>
          <a:ext cx="683190" cy="120487"/>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E40B806F-1139-487C-B71F-9F354A9AC415}" type="sibTrans" cxnId="{EB830933-F532-47E8-B1F6-33ADF8278E9D}">
      <dgm:prSet/>
      <dgm:spPr/>
      <dgm:t>
        <a:bodyPr/>
        <a:lstStyle/>
        <a:p>
          <a:endParaRPr lang="sk-SK" sz="2000">
            <a:latin typeface="Times New Roman" panose="02020603050405020304" pitchFamily="18" charset="0"/>
            <a:cs typeface="Times New Roman" panose="02020603050405020304" pitchFamily="18" charset="0"/>
          </a:endParaRPr>
        </a:p>
      </dgm:t>
    </dgm:pt>
    <dgm:pt modelId="{BFE87DF3-3998-4CCD-A582-7B7ABC3F8F7F}">
      <dgm:prSet phldrT="[Text]" custT="1"/>
      <dgm:spPr>
        <a:xfrm>
          <a:off x="2021251" y="769869"/>
          <a:ext cx="863054" cy="2702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Ostatné subjekty VS (156 mil. eur)</a:t>
          </a:r>
        </a:p>
      </dgm:t>
    </dgm:pt>
    <dgm:pt modelId="{452DB926-06E8-455B-84BD-DC0DD24F9824}" type="parTrans" cxnId="{16F88E91-393F-49E9-9C41-BCFE5315F69F}">
      <dgm:prSet/>
      <dgm:spPr>
        <a:xfrm>
          <a:off x="2077641" y="656344"/>
          <a:ext cx="375137" cy="113524"/>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6E72941D-211B-4EE1-B9A3-60697A48E669}" type="sibTrans" cxnId="{16F88E91-393F-49E9-9C41-BCFE5315F69F}">
      <dgm:prSet/>
      <dgm:spPr/>
      <dgm:t>
        <a:bodyPr/>
        <a:lstStyle/>
        <a:p>
          <a:endParaRPr lang="sk-SK" sz="2000">
            <a:latin typeface="Times New Roman" panose="02020603050405020304" pitchFamily="18" charset="0"/>
            <a:cs typeface="Times New Roman" panose="02020603050405020304" pitchFamily="18" charset="0"/>
          </a:endParaRPr>
        </a:p>
      </dgm:t>
    </dgm:pt>
    <dgm:pt modelId="{C20CBBE1-F2C5-4B87-8CB4-A7CE3BD88F7C}">
      <dgm:prSet phldrT="[Text]" custT="1"/>
      <dgm:spPr>
        <a:xfrm>
          <a:off x="3188799" y="379086"/>
          <a:ext cx="1457151" cy="270297"/>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Samosprávy (330 mil. eur)</a:t>
          </a:r>
        </a:p>
      </dgm:t>
    </dgm:pt>
    <dgm:pt modelId="{12D15284-9CBA-4057-8835-96F694DA96E7}" type="parTrans" cxnId="{6EE3CA99-85AF-4195-90E8-B321956C381C}">
      <dgm:prSet/>
      <dgm:spPr>
        <a:xfrm>
          <a:off x="2932581" y="272522"/>
          <a:ext cx="984793" cy="106564"/>
        </a:xfrm>
        <a:noFill/>
        <a:ln w="12700" cap="flat" cmpd="sng" algn="ctr">
          <a:solidFill>
            <a:srgbClr val="5B9BD5">
              <a:shade val="6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9C5ECE42-76C8-4E8D-A9EB-05C70061E01F}" type="sibTrans" cxnId="{6EE3CA99-85AF-4195-90E8-B321956C381C}">
      <dgm:prSet/>
      <dgm:spPr/>
      <dgm:t>
        <a:bodyPr/>
        <a:lstStyle/>
        <a:p>
          <a:endParaRPr lang="sk-SK" sz="2000">
            <a:latin typeface="Times New Roman" panose="02020603050405020304" pitchFamily="18" charset="0"/>
            <a:cs typeface="Times New Roman" panose="02020603050405020304" pitchFamily="18" charset="0"/>
          </a:endParaRPr>
        </a:p>
      </dgm:t>
    </dgm:pt>
    <dgm:pt modelId="{28DD8DA2-5C80-4928-B4CC-8CD560C83BFE}">
      <dgm:prSet phldrT="[Text]" custT="1"/>
      <dgm:spPr>
        <a:xfrm>
          <a:off x="3497400" y="755949"/>
          <a:ext cx="874666" cy="2702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Obce (189 mil. eur)</a:t>
          </a:r>
        </a:p>
      </dgm:t>
    </dgm:pt>
    <dgm:pt modelId="{02780549-DF3A-488E-95FC-4D51E2E8F2E6}" type="parTrans" cxnId="{F2EF9F65-6C58-4FEB-9C45-CDC6CD94D9B0}">
      <dgm:prSet/>
      <dgm:spPr>
        <a:xfrm>
          <a:off x="3334514" y="649384"/>
          <a:ext cx="162886" cy="241713"/>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1C111944-6558-4C7A-90E9-D4B1E7CCEE46}" type="sibTrans" cxnId="{F2EF9F65-6C58-4FEB-9C45-CDC6CD94D9B0}">
      <dgm:prSet/>
      <dgm:spPr/>
      <dgm:t>
        <a:bodyPr/>
        <a:lstStyle/>
        <a:p>
          <a:endParaRPr lang="sk-SK" sz="2000">
            <a:latin typeface="Times New Roman" panose="02020603050405020304" pitchFamily="18" charset="0"/>
            <a:cs typeface="Times New Roman" panose="02020603050405020304" pitchFamily="18" charset="0"/>
          </a:endParaRPr>
        </a:p>
      </dgm:t>
    </dgm:pt>
    <dgm:pt modelId="{C520A059-93E0-4C28-8796-8EB6E0AC8D7A}">
      <dgm:prSet phldrT="[Text]" custT="1"/>
      <dgm:spPr>
        <a:xfrm>
          <a:off x="3511320" y="1125848"/>
          <a:ext cx="874698" cy="2702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VÚC (141 mil. eur)</a:t>
          </a:r>
        </a:p>
      </dgm:t>
    </dgm:pt>
    <dgm:pt modelId="{C00F096A-A98D-42E2-BF04-D1A5693611F6}" type="parTrans" cxnId="{A288E31B-A23A-4646-B5FE-4BC8618CCE25}">
      <dgm:prSet/>
      <dgm:spPr>
        <a:xfrm>
          <a:off x="3334514" y="649384"/>
          <a:ext cx="176806" cy="611612"/>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5D283530-1C77-4CDD-AD68-38477EDE4558}" type="sibTrans" cxnId="{A288E31B-A23A-4646-B5FE-4BC8618CCE25}">
      <dgm:prSet/>
      <dgm:spPr/>
      <dgm:t>
        <a:bodyPr/>
        <a:lstStyle/>
        <a:p>
          <a:endParaRPr lang="sk-SK" sz="2000">
            <a:latin typeface="Times New Roman" panose="02020603050405020304" pitchFamily="18" charset="0"/>
            <a:cs typeface="Times New Roman" panose="02020603050405020304" pitchFamily="18" charset="0"/>
          </a:endParaRPr>
        </a:p>
      </dgm:t>
    </dgm:pt>
    <dgm:pt modelId="{D475CB04-EA4A-4079-BCA6-B399C11E9FAD}">
      <dgm:prSet phldrT="[Text]" custT="1"/>
      <dgm:spPr>
        <a:xfrm>
          <a:off x="1330585" y="386047"/>
          <a:ext cx="1494112" cy="270297"/>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Ústredná správa (463 mil. eur)</a:t>
          </a:r>
        </a:p>
      </dgm:t>
    </dgm:pt>
    <dgm:pt modelId="{212BDDD9-F466-44B0-BF08-2F54343EA4BF}" type="parTrans" cxnId="{32B3AB30-BC7D-44D4-B32D-12F039E2721F}">
      <dgm:prSet/>
      <dgm:spPr>
        <a:xfrm>
          <a:off x="2077641" y="272522"/>
          <a:ext cx="854940" cy="113524"/>
        </a:xfrm>
        <a:noFill/>
        <a:ln w="12700" cap="flat" cmpd="sng" algn="ctr">
          <a:solidFill>
            <a:srgbClr val="5B9BD5">
              <a:shade val="6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7EAA5FA4-8997-49F2-BD99-AEB03D8C9022}" type="sibTrans" cxnId="{32B3AB30-BC7D-44D4-B32D-12F039E2721F}">
      <dgm:prSet/>
      <dgm:spPr/>
      <dgm:t>
        <a:bodyPr/>
        <a:lstStyle/>
        <a:p>
          <a:endParaRPr lang="sk-SK" sz="2000">
            <a:latin typeface="Times New Roman" panose="02020603050405020304" pitchFamily="18" charset="0"/>
            <a:cs typeface="Times New Roman" panose="02020603050405020304" pitchFamily="18" charset="0"/>
          </a:endParaRPr>
        </a:p>
      </dgm:t>
    </dgm:pt>
    <dgm:pt modelId="{11D48FF1-D9AC-4B52-9A8E-D0517C9655BB}">
      <dgm:prSet phldrT="[Text]" custT="1"/>
      <dgm:spPr>
        <a:xfrm>
          <a:off x="1120416" y="1153691"/>
          <a:ext cx="705784" cy="290926"/>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úrad MK</a:t>
          </a:r>
        </a:p>
        <a:p>
          <a:r>
            <a:rPr lang="sk-SK" sz="800">
              <a:solidFill>
                <a:sysClr val="window" lastClr="FFFFFF"/>
              </a:solidFill>
              <a:latin typeface="Times New Roman" panose="02020603050405020304" pitchFamily="18" charset="0"/>
              <a:ea typeface="+mn-ea"/>
              <a:cs typeface="Times New Roman" panose="02020603050405020304" pitchFamily="18" charset="0"/>
            </a:rPr>
            <a:t>(125 mil. eur)</a:t>
          </a:r>
        </a:p>
      </dgm:t>
    </dgm:pt>
    <dgm:pt modelId="{20E2EF96-95EE-4C55-B728-9C71E9BE7703}" type="parTrans" cxnId="{4E02865E-8E14-4D88-AB87-069E92CE5FC2}">
      <dgm:prSet/>
      <dgm:spPr>
        <a:xfrm>
          <a:off x="999366" y="1047129"/>
          <a:ext cx="91440" cy="252025"/>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2EE4EC91-C03A-4352-A727-D9EB98BC6E8C}" type="sibTrans" cxnId="{4E02865E-8E14-4D88-AB87-069E92CE5FC2}">
      <dgm:prSet/>
      <dgm:spPr/>
      <dgm:t>
        <a:bodyPr/>
        <a:lstStyle/>
        <a:p>
          <a:endParaRPr lang="sk-SK" sz="2000">
            <a:latin typeface="Times New Roman" panose="02020603050405020304" pitchFamily="18" charset="0"/>
            <a:cs typeface="Times New Roman" panose="02020603050405020304" pitchFamily="18" charset="0"/>
          </a:endParaRPr>
        </a:p>
      </dgm:t>
    </dgm:pt>
    <dgm:pt modelId="{5CD30241-E44B-48D3-BDE3-A237484AE8EC}">
      <dgm:prSet phldrT="[Text]" custT="1"/>
      <dgm:spPr>
        <a:xfrm>
          <a:off x="1102160" y="2049144"/>
          <a:ext cx="737922" cy="353403"/>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ostatné kapitoly </a:t>
          </a:r>
        </a:p>
        <a:p>
          <a:r>
            <a:rPr lang="sk-SK" sz="800">
              <a:solidFill>
                <a:sysClr val="window" lastClr="FFFFFF"/>
              </a:solidFill>
              <a:latin typeface="Times New Roman" panose="02020603050405020304" pitchFamily="18" charset="0"/>
              <a:ea typeface="+mn-ea"/>
              <a:cs typeface="Times New Roman" panose="02020603050405020304" pitchFamily="18" charset="0"/>
            </a:rPr>
            <a:t>(23 mil. eur)</a:t>
          </a:r>
        </a:p>
      </dgm:t>
    </dgm:pt>
    <dgm:pt modelId="{F3B10E13-90F0-4520-8066-BF6E8B694613}" type="parTrans" cxnId="{35D57712-7C99-45A0-B4C0-A3D02E203582}">
      <dgm:prSet/>
      <dgm:spPr>
        <a:xfrm>
          <a:off x="999366" y="1047129"/>
          <a:ext cx="91440" cy="1178715"/>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AD4D8E97-046D-4CC1-B54F-4001B9CB1F8D}" type="sibTrans" cxnId="{35D57712-7C99-45A0-B4C0-A3D02E203582}">
      <dgm:prSet/>
      <dgm:spPr/>
      <dgm:t>
        <a:bodyPr/>
        <a:lstStyle/>
        <a:p>
          <a:endParaRPr lang="sk-SK" sz="2000">
            <a:latin typeface="Times New Roman" panose="02020603050405020304" pitchFamily="18" charset="0"/>
            <a:cs typeface="Times New Roman" panose="02020603050405020304" pitchFamily="18" charset="0"/>
          </a:endParaRPr>
        </a:p>
      </dgm:t>
    </dgm:pt>
    <dgm:pt modelId="{9BD10187-CF68-4358-851D-37746B9BE424}">
      <dgm:prSet phldrT="[Text]" custT="1"/>
      <dgm:spPr>
        <a:xfrm>
          <a:off x="1134337" y="1558143"/>
          <a:ext cx="720526" cy="387038"/>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rezortné ROPO </a:t>
          </a:r>
        </a:p>
        <a:p>
          <a:r>
            <a:rPr lang="sk-SK" sz="800">
              <a:solidFill>
                <a:sysClr val="window" lastClr="FFFFFF"/>
              </a:solidFill>
              <a:latin typeface="Times New Roman" panose="02020603050405020304" pitchFamily="18" charset="0"/>
              <a:ea typeface="+mn-ea"/>
              <a:cs typeface="Times New Roman" panose="02020603050405020304" pitchFamily="18" charset="0"/>
            </a:rPr>
            <a:t>(159 mil. eur)</a:t>
          </a:r>
        </a:p>
      </dgm:t>
    </dgm:pt>
    <dgm:pt modelId="{0B370881-17B1-4385-AE9E-2086C5378834}" type="sibTrans" cxnId="{5C037AC0-24FE-4CF2-90C9-9344E26C747F}">
      <dgm:prSet/>
      <dgm:spPr/>
      <dgm:t>
        <a:bodyPr/>
        <a:lstStyle/>
        <a:p>
          <a:endParaRPr lang="sk-SK" sz="2000">
            <a:latin typeface="Times New Roman" panose="02020603050405020304" pitchFamily="18" charset="0"/>
            <a:cs typeface="Times New Roman" panose="02020603050405020304" pitchFamily="18" charset="0"/>
          </a:endParaRPr>
        </a:p>
      </dgm:t>
    </dgm:pt>
    <dgm:pt modelId="{FB1D9885-664A-4878-95A5-9E91E491B169}" type="parTrans" cxnId="{5C037AC0-24FE-4CF2-90C9-9344E26C747F}">
      <dgm:prSet/>
      <dgm:spPr>
        <a:xfrm>
          <a:off x="999366" y="1047129"/>
          <a:ext cx="91440" cy="704533"/>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FAEB197E-7D85-4A1F-B6DF-60EBA2362F9E}">
      <dgm:prSet phldrT="[Text]" custT="1"/>
      <dgm:spPr>
        <a:xfrm>
          <a:off x="2424947" y="1153691"/>
          <a:ext cx="743236" cy="349613"/>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RTVS </a:t>
          </a:r>
        </a:p>
        <a:p>
          <a:r>
            <a:rPr lang="sk-SK" sz="800">
              <a:solidFill>
                <a:sysClr val="window" lastClr="FFFFFF"/>
              </a:solidFill>
              <a:latin typeface="Times New Roman" panose="02020603050405020304" pitchFamily="18" charset="0"/>
              <a:ea typeface="+mn-ea"/>
              <a:cs typeface="Times New Roman" panose="02020603050405020304" pitchFamily="18" charset="0"/>
            </a:rPr>
            <a:t>(112 mil. eur)</a:t>
          </a:r>
        </a:p>
      </dgm:t>
    </dgm:pt>
    <dgm:pt modelId="{803B7A48-98E2-4F7C-AEE8-B2A55F968BFE}" type="parTrans" cxnId="{8B353327-DB6B-4133-B044-5C795324C009}">
      <dgm:prSet/>
      <dgm:spPr>
        <a:xfrm>
          <a:off x="2107557" y="1040166"/>
          <a:ext cx="317390" cy="288331"/>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A3F4B4E8-BFA9-4639-947B-4E55D5B9E0D3}" type="sibTrans" cxnId="{8B353327-DB6B-4133-B044-5C795324C009}">
      <dgm:prSet/>
      <dgm:spPr/>
      <dgm:t>
        <a:bodyPr/>
        <a:lstStyle/>
        <a:p>
          <a:endParaRPr lang="sk-SK" sz="2000">
            <a:latin typeface="Times New Roman" panose="02020603050405020304" pitchFamily="18" charset="0"/>
            <a:cs typeface="Times New Roman" panose="02020603050405020304" pitchFamily="18" charset="0"/>
          </a:endParaRPr>
        </a:p>
      </dgm:t>
    </dgm:pt>
    <dgm:pt modelId="{958468FF-10A8-4789-9D58-666F9DC9BBC2}">
      <dgm:prSet phldrT="[Text]" custT="1"/>
      <dgm:spPr>
        <a:xfrm>
          <a:off x="2424947" y="1616830"/>
          <a:ext cx="744907" cy="421585"/>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Fond na podporu umenia</a:t>
          </a:r>
        </a:p>
        <a:p>
          <a:r>
            <a:rPr lang="sk-SK" sz="800">
              <a:solidFill>
                <a:sysClr val="window" lastClr="FFFFFF"/>
              </a:solidFill>
              <a:latin typeface="Times New Roman" panose="02020603050405020304" pitchFamily="18" charset="0"/>
              <a:ea typeface="+mn-ea"/>
              <a:cs typeface="Times New Roman" panose="02020603050405020304" pitchFamily="18" charset="0"/>
            </a:rPr>
            <a:t> (16 mil. eur)</a:t>
          </a:r>
        </a:p>
      </dgm:t>
    </dgm:pt>
    <dgm:pt modelId="{F582975F-76C2-43C4-8F42-EAA66E838B6C}" type="parTrans" cxnId="{1805B807-31E3-4707-8AC2-9753399D75DE}">
      <dgm:prSet/>
      <dgm:spPr>
        <a:xfrm>
          <a:off x="2107557" y="1040166"/>
          <a:ext cx="317390" cy="787456"/>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A15441F7-39C0-4EB2-AD94-D6FE702EDB16}" type="sibTrans" cxnId="{1805B807-31E3-4707-8AC2-9753399D75DE}">
      <dgm:prSet/>
      <dgm:spPr/>
      <dgm:t>
        <a:bodyPr/>
        <a:lstStyle/>
        <a:p>
          <a:endParaRPr lang="sk-SK" sz="2000">
            <a:latin typeface="Times New Roman" panose="02020603050405020304" pitchFamily="18" charset="0"/>
            <a:cs typeface="Times New Roman" panose="02020603050405020304" pitchFamily="18" charset="0"/>
          </a:endParaRPr>
        </a:p>
      </dgm:t>
    </dgm:pt>
    <dgm:pt modelId="{D7839C98-4523-42E0-ABAE-0EF6149DE65B}">
      <dgm:prSet phldrT="[Text]" custT="1"/>
      <dgm:spPr>
        <a:xfrm>
          <a:off x="2424947" y="2151940"/>
          <a:ext cx="778591" cy="361928"/>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Audiovizuálny fond</a:t>
          </a:r>
        </a:p>
        <a:p>
          <a:r>
            <a:rPr lang="sk-SK" sz="800">
              <a:solidFill>
                <a:sysClr val="window" lastClr="FFFFFF"/>
              </a:solidFill>
              <a:latin typeface="Times New Roman" panose="02020603050405020304" pitchFamily="18" charset="0"/>
              <a:ea typeface="+mn-ea"/>
              <a:cs typeface="Times New Roman" panose="02020603050405020304" pitchFamily="18" charset="0"/>
            </a:rPr>
            <a:t>(15 mil. eur)</a:t>
          </a:r>
        </a:p>
      </dgm:t>
    </dgm:pt>
    <dgm:pt modelId="{88BFD706-BE28-4942-A258-1D7C24CAD9AA}" type="parTrans" cxnId="{F87B8234-3882-42C4-87FF-D267B7F76D68}">
      <dgm:prSet/>
      <dgm:spPr>
        <a:xfrm>
          <a:off x="2107557" y="1040166"/>
          <a:ext cx="317390" cy="1292738"/>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E275C2DE-1E52-474A-940B-87741431CF41}" type="sibTrans" cxnId="{F87B8234-3882-42C4-87FF-D267B7F76D68}">
      <dgm:prSet/>
      <dgm:spPr/>
      <dgm:t>
        <a:bodyPr/>
        <a:lstStyle/>
        <a:p>
          <a:endParaRPr lang="sk-SK" sz="2000">
            <a:latin typeface="Times New Roman" panose="02020603050405020304" pitchFamily="18" charset="0"/>
            <a:cs typeface="Times New Roman" panose="02020603050405020304" pitchFamily="18" charset="0"/>
          </a:endParaRPr>
        </a:p>
      </dgm:t>
    </dgm:pt>
    <dgm:pt modelId="{B7BE6468-F7AA-4461-8270-DFF734595C52}">
      <dgm:prSet phldrT="[Text]" custT="1"/>
      <dgm:spPr>
        <a:xfrm>
          <a:off x="2424947" y="2627394"/>
          <a:ext cx="750794" cy="270297"/>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800">
              <a:solidFill>
                <a:sysClr val="window" lastClr="FFFFFF"/>
              </a:solidFill>
              <a:latin typeface="Times New Roman" panose="02020603050405020304" pitchFamily="18" charset="0"/>
              <a:ea typeface="+mn-ea"/>
              <a:cs typeface="Times New Roman" panose="02020603050405020304" pitchFamily="18" charset="0"/>
            </a:rPr>
            <a:t>TASR </a:t>
          </a:r>
        </a:p>
        <a:p>
          <a:r>
            <a:rPr lang="sk-SK" sz="800">
              <a:solidFill>
                <a:sysClr val="window" lastClr="FFFFFF"/>
              </a:solidFill>
              <a:latin typeface="Times New Roman" panose="02020603050405020304" pitchFamily="18" charset="0"/>
              <a:ea typeface="+mn-ea"/>
              <a:cs typeface="Times New Roman" panose="02020603050405020304" pitchFamily="18" charset="0"/>
            </a:rPr>
            <a:t>(5,3 mil. eur)</a:t>
          </a:r>
        </a:p>
      </dgm:t>
    </dgm:pt>
    <dgm:pt modelId="{E07CF9C2-8C10-4193-96BE-0A22E9947AEC}" type="parTrans" cxnId="{9533DC70-4B5B-4D89-BB8D-FD47F5A4D0FF}">
      <dgm:prSet/>
      <dgm:spPr>
        <a:xfrm>
          <a:off x="2107557" y="1040166"/>
          <a:ext cx="317390" cy="1722375"/>
        </a:xfrm>
        <a:noFill/>
        <a:ln w="12700" cap="flat" cmpd="sng" algn="ctr">
          <a:solidFill>
            <a:srgbClr val="5B9BD5">
              <a:shade val="80000"/>
              <a:hueOff val="0"/>
              <a:satOff val="0"/>
              <a:lumOff val="0"/>
              <a:alphaOff val="0"/>
            </a:srgbClr>
          </a:solidFill>
          <a:prstDash val="solid"/>
          <a:miter lim="800000"/>
        </a:ln>
        <a:effectLst/>
      </dgm:spPr>
      <dgm:t>
        <a:bodyPr/>
        <a:lstStyle/>
        <a:p>
          <a:endParaRPr lang="sk-SK" sz="2000">
            <a:latin typeface="Times New Roman" panose="02020603050405020304" pitchFamily="18" charset="0"/>
            <a:cs typeface="Times New Roman" panose="02020603050405020304" pitchFamily="18" charset="0"/>
          </a:endParaRPr>
        </a:p>
      </dgm:t>
    </dgm:pt>
    <dgm:pt modelId="{3DE0BE77-7283-4AA4-ABF4-71AB92CCF73E}" type="sibTrans" cxnId="{9533DC70-4B5B-4D89-BB8D-FD47F5A4D0FF}">
      <dgm:prSet/>
      <dgm:spPr/>
      <dgm:t>
        <a:bodyPr/>
        <a:lstStyle/>
        <a:p>
          <a:endParaRPr lang="sk-SK" sz="2000">
            <a:latin typeface="Times New Roman" panose="02020603050405020304" pitchFamily="18" charset="0"/>
            <a:cs typeface="Times New Roman" panose="02020603050405020304" pitchFamily="18" charset="0"/>
          </a:endParaRPr>
        </a:p>
      </dgm:t>
    </dgm:pt>
    <dgm:pt modelId="{140AA5CD-3B53-4DB0-9963-25A7E71F9A02}">
      <dgm:prSet phldrT="[Text]" custT="1"/>
      <dgm:spPr>
        <a:xfrm>
          <a:off x="2424947" y="3011216"/>
          <a:ext cx="811389" cy="348883"/>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700">
              <a:solidFill>
                <a:sysClr val="window" lastClr="FFFFFF"/>
              </a:solidFill>
              <a:latin typeface="Times New Roman" panose="02020603050405020304" pitchFamily="18" charset="0"/>
              <a:ea typeface="+mn-ea"/>
              <a:cs typeface="Times New Roman" panose="02020603050405020304" pitchFamily="18" charset="0"/>
            </a:rPr>
            <a:t>Fond na podporu kultúry národnostných menšín (7,4 mil. eur)</a:t>
          </a:r>
        </a:p>
      </dgm:t>
    </dgm:pt>
    <dgm:pt modelId="{396086AB-3E99-425A-A0EC-0E9B7AF5FF2E}" type="parTrans" cxnId="{310E9601-8FC7-4DF9-927B-A7CA402D6D77}">
      <dgm:prSet/>
      <dgm:spPr>
        <a:xfrm>
          <a:off x="2107557" y="1040166"/>
          <a:ext cx="317390" cy="2145491"/>
        </a:xfrm>
        <a:noFill/>
        <a:ln w="12700" cap="flat" cmpd="sng" algn="ctr">
          <a:solidFill>
            <a:srgbClr val="5B9BD5">
              <a:shade val="80000"/>
              <a:hueOff val="0"/>
              <a:satOff val="0"/>
              <a:lumOff val="0"/>
              <a:alphaOff val="0"/>
            </a:srgbClr>
          </a:solidFill>
          <a:prstDash val="solid"/>
          <a:miter lim="800000"/>
        </a:ln>
        <a:effectLst/>
      </dgm:spPr>
      <dgm:t>
        <a:bodyPr/>
        <a:lstStyle/>
        <a:p>
          <a:endParaRPr lang="sk-SK" sz="1600">
            <a:latin typeface="Times New Roman" panose="02020603050405020304" pitchFamily="18" charset="0"/>
            <a:cs typeface="Times New Roman" panose="02020603050405020304" pitchFamily="18" charset="0"/>
          </a:endParaRPr>
        </a:p>
      </dgm:t>
    </dgm:pt>
    <dgm:pt modelId="{A57CB34F-4B7B-472E-84E0-F7637D548E4F}" type="sibTrans" cxnId="{310E9601-8FC7-4DF9-927B-A7CA402D6D77}">
      <dgm:prSet/>
      <dgm:spPr/>
      <dgm:t>
        <a:bodyPr/>
        <a:lstStyle/>
        <a:p>
          <a:endParaRPr lang="sk-SK" sz="1600">
            <a:latin typeface="Times New Roman" panose="02020603050405020304" pitchFamily="18" charset="0"/>
            <a:cs typeface="Times New Roman" panose="02020603050405020304" pitchFamily="18" charset="0"/>
          </a:endParaRPr>
        </a:p>
      </dgm:t>
    </dgm:pt>
    <dgm:pt modelId="{FE9B6DB2-C6C0-4A25-A61E-2220844EBB00}" type="pres">
      <dgm:prSet presAssocID="{660EC636-F116-4086-81F7-C6FAFBEB59B4}" presName="hierChild1" presStyleCnt="0">
        <dgm:presLayoutVars>
          <dgm:orgChart val="1"/>
          <dgm:chPref val="1"/>
          <dgm:dir/>
          <dgm:animOne val="branch"/>
          <dgm:animLvl val="lvl"/>
          <dgm:resizeHandles/>
        </dgm:presLayoutVars>
      </dgm:prSet>
      <dgm:spPr/>
      <dgm:t>
        <a:bodyPr/>
        <a:lstStyle/>
        <a:p>
          <a:endParaRPr lang="sk-SK"/>
        </a:p>
      </dgm:t>
    </dgm:pt>
    <dgm:pt modelId="{E7B56F8A-9460-447E-A472-7A69016F3597}" type="pres">
      <dgm:prSet presAssocID="{E8A72010-618B-4597-A020-EDD03718BAD5}" presName="hierRoot1" presStyleCnt="0">
        <dgm:presLayoutVars>
          <dgm:hierBranch val="init"/>
        </dgm:presLayoutVars>
      </dgm:prSet>
      <dgm:spPr/>
    </dgm:pt>
    <dgm:pt modelId="{8DE96D84-5B32-4248-9EA2-F0D47CC04851}" type="pres">
      <dgm:prSet presAssocID="{E8A72010-618B-4597-A020-EDD03718BAD5}" presName="rootComposite1" presStyleCnt="0"/>
      <dgm:spPr/>
    </dgm:pt>
    <dgm:pt modelId="{4D876064-BBD2-402D-97A6-9ECB243FA4F9}" type="pres">
      <dgm:prSet presAssocID="{E8A72010-618B-4597-A020-EDD03718BAD5}" presName="rootText1" presStyleLbl="node0" presStyleIdx="0" presStyleCnt="1" custScaleX="594120">
        <dgm:presLayoutVars>
          <dgm:chPref val="3"/>
        </dgm:presLayoutVars>
      </dgm:prSet>
      <dgm:spPr>
        <a:prstGeom prst="rect">
          <a:avLst/>
        </a:prstGeom>
      </dgm:spPr>
      <dgm:t>
        <a:bodyPr/>
        <a:lstStyle/>
        <a:p>
          <a:endParaRPr lang="sk-SK"/>
        </a:p>
      </dgm:t>
    </dgm:pt>
    <dgm:pt modelId="{DC5CAC46-146D-4E22-9E3E-9B9F24784FE3}" type="pres">
      <dgm:prSet presAssocID="{E8A72010-618B-4597-A020-EDD03718BAD5}" presName="rootConnector1" presStyleLbl="node1" presStyleIdx="0" presStyleCnt="0"/>
      <dgm:spPr/>
      <dgm:t>
        <a:bodyPr/>
        <a:lstStyle/>
        <a:p>
          <a:endParaRPr lang="sk-SK"/>
        </a:p>
      </dgm:t>
    </dgm:pt>
    <dgm:pt modelId="{39F57B1F-75F7-4627-8809-BB27086055AF}" type="pres">
      <dgm:prSet presAssocID="{E8A72010-618B-4597-A020-EDD03718BAD5}" presName="hierChild2" presStyleCnt="0"/>
      <dgm:spPr/>
    </dgm:pt>
    <dgm:pt modelId="{0EDED06E-237F-402F-9F69-58F0C1FE7942}" type="pres">
      <dgm:prSet presAssocID="{212BDDD9-F466-44B0-BF08-2F54343EA4BF}" presName="Name37" presStyleLbl="parChTrans1D2" presStyleIdx="0" presStyleCnt="2"/>
      <dgm:spPr>
        <a:custGeom>
          <a:avLst/>
          <a:gdLst/>
          <a:ahLst/>
          <a:cxnLst/>
          <a:rect l="0" t="0" r="0" b="0"/>
          <a:pathLst>
            <a:path>
              <a:moveTo>
                <a:pt x="854940" y="0"/>
              </a:moveTo>
              <a:lnTo>
                <a:pt x="854940" y="56762"/>
              </a:lnTo>
              <a:lnTo>
                <a:pt x="0" y="56762"/>
              </a:lnTo>
              <a:lnTo>
                <a:pt x="0" y="113524"/>
              </a:lnTo>
            </a:path>
          </a:pathLst>
        </a:custGeom>
      </dgm:spPr>
      <dgm:t>
        <a:bodyPr/>
        <a:lstStyle/>
        <a:p>
          <a:endParaRPr lang="sk-SK"/>
        </a:p>
      </dgm:t>
    </dgm:pt>
    <dgm:pt modelId="{96467521-42F1-4DD4-A3A6-01873C4F4DB7}" type="pres">
      <dgm:prSet presAssocID="{D475CB04-EA4A-4079-BCA6-B399C11E9FAD}" presName="hierRoot2" presStyleCnt="0">
        <dgm:presLayoutVars>
          <dgm:hierBranch val="init"/>
        </dgm:presLayoutVars>
      </dgm:prSet>
      <dgm:spPr/>
    </dgm:pt>
    <dgm:pt modelId="{A4B4FAD0-1648-49AA-AB68-BCFB128DB178}" type="pres">
      <dgm:prSet presAssocID="{D475CB04-EA4A-4079-BCA6-B399C11E9FAD}" presName="rootComposite" presStyleCnt="0"/>
      <dgm:spPr/>
    </dgm:pt>
    <dgm:pt modelId="{B1AA7480-BA9E-4859-B64A-DBE054795DCC}" type="pres">
      <dgm:prSet presAssocID="{D475CB04-EA4A-4079-BCA6-B399C11E9FAD}" presName="rootText" presStyleLbl="node2" presStyleIdx="0" presStyleCnt="2" custScaleX="276383" custLinFactNeighborX="-12875" custLinFactNeighborY="0">
        <dgm:presLayoutVars>
          <dgm:chPref val="3"/>
        </dgm:presLayoutVars>
      </dgm:prSet>
      <dgm:spPr>
        <a:prstGeom prst="rect">
          <a:avLst/>
        </a:prstGeom>
      </dgm:spPr>
      <dgm:t>
        <a:bodyPr/>
        <a:lstStyle/>
        <a:p>
          <a:endParaRPr lang="sk-SK"/>
        </a:p>
      </dgm:t>
    </dgm:pt>
    <dgm:pt modelId="{E4AC54CF-9DAC-46CD-90D9-4B2C5A8CD010}" type="pres">
      <dgm:prSet presAssocID="{D475CB04-EA4A-4079-BCA6-B399C11E9FAD}" presName="rootConnector" presStyleLbl="node2" presStyleIdx="0" presStyleCnt="2"/>
      <dgm:spPr/>
      <dgm:t>
        <a:bodyPr/>
        <a:lstStyle/>
        <a:p>
          <a:endParaRPr lang="sk-SK"/>
        </a:p>
      </dgm:t>
    </dgm:pt>
    <dgm:pt modelId="{4C937F9B-98F1-4D86-93D9-E8F168F2EAD8}" type="pres">
      <dgm:prSet presAssocID="{D475CB04-EA4A-4079-BCA6-B399C11E9FAD}" presName="hierChild4" presStyleCnt="0"/>
      <dgm:spPr/>
    </dgm:pt>
    <dgm:pt modelId="{2783CD37-4A3C-4CB0-960E-53C6C0DA4D21}" type="pres">
      <dgm:prSet presAssocID="{FCB484D0-030E-4375-9CB2-44C77DAA580C}" presName="Name37" presStyleLbl="parChTrans1D3" presStyleIdx="0" presStyleCnt="4"/>
      <dgm:spPr>
        <a:custGeom>
          <a:avLst/>
          <a:gdLst/>
          <a:ahLst/>
          <a:cxnLst/>
          <a:rect l="0" t="0" r="0" b="0"/>
          <a:pathLst>
            <a:path>
              <a:moveTo>
                <a:pt x="683190" y="0"/>
              </a:moveTo>
              <a:lnTo>
                <a:pt x="683190" y="63725"/>
              </a:lnTo>
              <a:lnTo>
                <a:pt x="0" y="63725"/>
              </a:lnTo>
              <a:lnTo>
                <a:pt x="0" y="120487"/>
              </a:lnTo>
            </a:path>
          </a:pathLst>
        </a:custGeom>
      </dgm:spPr>
      <dgm:t>
        <a:bodyPr/>
        <a:lstStyle/>
        <a:p>
          <a:endParaRPr lang="sk-SK"/>
        </a:p>
      </dgm:t>
    </dgm:pt>
    <dgm:pt modelId="{267DCCE8-CD81-4439-B243-7FED7D7A2611}" type="pres">
      <dgm:prSet presAssocID="{DAA3EB2F-5589-493A-AB75-871564DDECB6}" presName="hierRoot2" presStyleCnt="0">
        <dgm:presLayoutVars>
          <dgm:hierBranch val="init"/>
        </dgm:presLayoutVars>
      </dgm:prSet>
      <dgm:spPr/>
    </dgm:pt>
    <dgm:pt modelId="{A1856F87-846B-4BD1-87BE-29F35256F993}" type="pres">
      <dgm:prSet presAssocID="{DAA3EB2F-5589-493A-AB75-871564DDECB6}" presName="rootComposite" presStyleCnt="0"/>
      <dgm:spPr/>
    </dgm:pt>
    <dgm:pt modelId="{685742BF-A50C-4806-A825-522C4937F1B7}" type="pres">
      <dgm:prSet presAssocID="{DAA3EB2F-5589-493A-AB75-871564DDECB6}" presName="rootText" presStyleLbl="node3" presStyleIdx="0" presStyleCnt="4" custScaleX="161565" custLinFactNeighborX="-48928" custLinFactNeighborY="2576">
        <dgm:presLayoutVars>
          <dgm:chPref val="3"/>
        </dgm:presLayoutVars>
      </dgm:prSet>
      <dgm:spPr>
        <a:prstGeom prst="rect">
          <a:avLst/>
        </a:prstGeom>
      </dgm:spPr>
      <dgm:t>
        <a:bodyPr/>
        <a:lstStyle/>
        <a:p>
          <a:endParaRPr lang="sk-SK"/>
        </a:p>
      </dgm:t>
    </dgm:pt>
    <dgm:pt modelId="{57A08454-0F39-4F99-929C-8DBBAD809949}" type="pres">
      <dgm:prSet presAssocID="{DAA3EB2F-5589-493A-AB75-871564DDECB6}" presName="rootConnector" presStyleLbl="node3" presStyleIdx="0" presStyleCnt="4"/>
      <dgm:spPr/>
      <dgm:t>
        <a:bodyPr/>
        <a:lstStyle/>
        <a:p>
          <a:endParaRPr lang="sk-SK"/>
        </a:p>
      </dgm:t>
    </dgm:pt>
    <dgm:pt modelId="{5CA74BC4-9F33-4431-8FFB-55BAFFD9124E}" type="pres">
      <dgm:prSet presAssocID="{DAA3EB2F-5589-493A-AB75-871564DDECB6}" presName="hierChild4" presStyleCnt="0"/>
      <dgm:spPr/>
    </dgm:pt>
    <dgm:pt modelId="{5304E83E-F10B-43E9-BA46-C8B768AB3F82}" type="pres">
      <dgm:prSet presAssocID="{20E2EF96-95EE-4C55-B728-9C71E9BE7703}" presName="Name37" presStyleLbl="parChTrans1D4" presStyleIdx="0" presStyleCnt="8"/>
      <dgm:spPr>
        <a:custGeom>
          <a:avLst/>
          <a:gdLst/>
          <a:ahLst/>
          <a:cxnLst/>
          <a:rect l="0" t="0" r="0" b="0"/>
          <a:pathLst>
            <a:path>
              <a:moveTo>
                <a:pt x="45720" y="0"/>
              </a:moveTo>
              <a:lnTo>
                <a:pt x="45720" y="252025"/>
              </a:lnTo>
              <a:lnTo>
                <a:pt x="121050" y="252025"/>
              </a:lnTo>
            </a:path>
          </a:pathLst>
        </a:custGeom>
      </dgm:spPr>
      <dgm:t>
        <a:bodyPr/>
        <a:lstStyle/>
        <a:p>
          <a:endParaRPr lang="sk-SK"/>
        </a:p>
      </dgm:t>
    </dgm:pt>
    <dgm:pt modelId="{95CDA328-F175-4AD2-9174-A682F06F1A9C}" type="pres">
      <dgm:prSet presAssocID="{11D48FF1-D9AC-4B52-9A8E-D0517C9655BB}" presName="hierRoot2" presStyleCnt="0">
        <dgm:presLayoutVars>
          <dgm:hierBranch val="init"/>
        </dgm:presLayoutVars>
      </dgm:prSet>
      <dgm:spPr/>
    </dgm:pt>
    <dgm:pt modelId="{A2029460-A2C8-412E-9AA2-681BEBD87716}" type="pres">
      <dgm:prSet presAssocID="{11D48FF1-D9AC-4B52-9A8E-D0517C9655BB}" presName="rootComposite" presStyleCnt="0"/>
      <dgm:spPr/>
    </dgm:pt>
    <dgm:pt modelId="{EF874B7A-8BD8-40F0-BAD8-3826505D0952}" type="pres">
      <dgm:prSet presAssocID="{11D48FF1-D9AC-4B52-9A8E-D0517C9655BB}" presName="rootText" presStyleLbl="node4" presStyleIdx="0" presStyleCnt="8" custScaleX="130557" custScaleY="107632" custLinFactNeighborX="-59228">
        <dgm:presLayoutVars>
          <dgm:chPref val="3"/>
        </dgm:presLayoutVars>
      </dgm:prSet>
      <dgm:spPr>
        <a:prstGeom prst="rect">
          <a:avLst/>
        </a:prstGeom>
      </dgm:spPr>
      <dgm:t>
        <a:bodyPr/>
        <a:lstStyle/>
        <a:p>
          <a:endParaRPr lang="sk-SK"/>
        </a:p>
      </dgm:t>
    </dgm:pt>
    <dgm:pt modelId="{8A3B20E3-4E78-413B-84D8-6B770ADEC816}" type="pres">
      <dgm:prSet presAssocID="{11D48FF1-D9AC-4B52-9A8E-D0517C9655BB}" presName="rootConnector" presStyleLbl="node4" presStyleIdx="0" presStyleCnt="8"/>
      <dgm:spPr/>
      <dgm:t>
        <a:bodyPr/>
        <a:lstStyle/>
        <a:p>
          <a:endParaRPr lang="sk-SK"/>
        </a:p>
      </dgm:t>
    </dgm:pt>
    <dgm:pt modelId="{0F1ACFB5-D3C2-4EB1-8B92-B9BE53A2867D}" type="pres">
      <dgm:prSet presAssocID="{11D48FF1-D9AC-4B52-9A8E-D0517C9655BB}" presName="hierChild4" presStyleCnt="0"/>
      <dgm:spPr/>
    </dgm:pt>
    <dgm:pt modelId="{DA4E8E3F-C42D-4242-AE02-C25EEC33D701}" type="pres">
      <dgm:prSet presAssocID="{11D48FF1-D9AC-4B52-9A8E-D0517C9655BB}" presName="hierChild5" presStyleCnt="0"/>
      <dgm:spPr/>
    </dgm:pt>
    <dgm:pt modelId="{AFB0424E-920F-4339-841C-F342E6896BBC}" type="pres">
      <dgm:prSet presAssocID="{FB1D9885-664A-4878-95A5-9E91E491B169}" presName="Name37" presStyleLbl="parChTrans1D4" presStyleIdx="1" presStyleCnt="8"/>
      <dgm:spPr>
        <a:custGeom>
          <a:avLst/>
          <a:gdLst/>
          <a:ahLst/>
          <a:cxnLst/>
          <a:rect l="0" t="0" r="0" b="0"/>
          <a:pathLst>
            <a:path>
              <a:moveTo>
                <a:pt x="45720" y="0"/>
              </a:moveTo>
              <a:lnTo>
                <a:pt x="45720" y="704533"/>
              </a:lnTo>
              <a:lnTo>
                <a:pt x="134970" y="704533"/>
              </a:lnTo>
            </a:path>
          </a:pathLst>
        </a:custGeom>
      </dgm:spPr>
      <dgm:t>
        <a:bodyPr/>
        <a:lstStyle/>
        <a:p>
          <a:endParaRPr lang="sk-SK"/>
        </a:p>
      </dgm:t>
    </dgm:pt>
    <dgm:pt modelId="{00514DA3-6F89-4480-B432-648511438004}" type="pres">
      <dgm:prSet presAssocID="{9BD10187-CF68-4358-851D-37746B9BE424}" presName="hierRoot2" presStyleCnt="0">
        <dgm:presLayoutVars>
          <dgm:hierBranch val="init"/>
        </dgm:presLayoutVars>
      </dgm:prSet>
      <dgm:spPr/>
    </dgm:pt>
    <dgm:pt modelId="{E98762B6-3096-4EE9-ABFB-BE922D2DCDB1}" type="pres">
      <dgm:prSet presAssocID="{9BD10187-CF68-4358-851D-37746B9BE424}" presName="rootComposite" presStyleCnt="0"/>
      <dgm:spPr/>
    </dgm:pt>
    <dgm:pt modelId="{DC83E83E-40C3-49F0-A0B8-94CEBCEF9ABD}" type="pres">
      <dgm:prSet presAssocID="{9BD10187-CF68-4358-851D-37746B9BE424}" presName="rootText" presStyleLbl="node4" presStyleIdx="1" presStyleCnt="8" custScaleX="133284" custScaleY="143190" custLinFactNeighborX="-56653">
        <dgm:presLayoutVars>
          <dgm:chPref val="3"/>
        </dgm:presLayoutVars>
      </dgm:prSet>
      <dgm:spPr>
        <a:prstGeom prst="rect">
          <a:avLst/>
        </a:prstGeom>
      </dgm:spPr>
      <dgm:t>
        <a:bodyPr/>
        <a:lstStyle/>
        <a:p>
          <a:endParaRPr lang="sk-SK"/>
        </a:p>
      </dgm:t>
    </dgm:pt>
    <dgm:pt modelId="{01DE3D58-BB9C-4D37-A6F8-059AF9D5D875}" type="pres">
      <dgm:prSet presAssocID="{9BD10187-CF68-4358-851D-37746B9BE424}" presName="rootConnector" presStyleLbl="node4" presStyleIdx="1" presStyleCnt="8"/>
      <dgm:spPr/>
      <dgm:t>
        <a:bodyPr/>
        <a:lstStyle/>
        <a:p>
          <a:endParaRPr lang="sk-SK"/>
        </a:p>
      </dgm:t>
    </dgm:pt>
    <dgm:pt modelId="{2E8FA9A3-31D5-42C9-9F9D-059603DD20BE}" type="pres">
      <dgm:prSet presAssocID="{9BD10187-CF68-4358-851D-37746B9BE424}" presName="hierChild4" presStyleCnt="0"/>
      <dgm:spPr/>
    </dgm:pt>
    <dgm:pt modelId="{E39AA4AE-A070-46AC-B135-E5BD08BF346C}" type="pres">
      <dgm:prSet presAssocID="{9BD10187-CF68-4358-851D-37746B9BE424}" presName="hierChild5" presStyleCnt="0"/>
      <dgm:spPr/>
    </dgm:pt>
    <dgm:pt modelId="{3F99AA0B-1D4C-4466-AE53-9A3F0FE43AEE}" type="pres">
      <dgm:prSet presAssocID="{F3B10E13-90F0-4520-8066-BF6E8B694613}" presName="Name37" presStyleLbl="parChTrans1D4" presStyleIdx="2" presStyleCnt="8"/>
      <dgm:spPr>
        <a:custGeom>
          <a:avLst/>
          <a:gdLst/>
          <a:ahLst/>
          <a:cxnLst/>
          <a:rect l="0" t="0" r="0" b="0"/>
          <a:pathLst>
            <a:path>
              <a:moveTo>
                <a:pt x="45720" y="0"/>
              </a:moveTo>
              <a:lnTo>
                <a:pt x="45720" y="1178715"/>
              </a:lnTo>
              <a:lnTo>
                <a:pt x="102794" y="1178715"/>
              </a:lnTo>
            </a:path>
          </a:pathLst>
        </a:custGeom>
      </dgm:spPr>
      <dgm:t>
        <a:bodyPr/>
        <a:lstStyle/>
        <a:p>
          <a:endParaRPr lang="sk-SK"/>
        </a:p>
      </dgm:t>
    </dgm:pt>
    <dgm:pt modelId="{B2B108E6-04BD-429C-99AB-8BC377D3C954}" type="pres">
      <dgm:prSet presAssocID="{5CD30241-E44B-48D3-BDE3-A237484AE8EC}" presName="hierRoot2" presStyleCnt="0">
        <dgm:presLayoutVars>
          <dgm:hierBranch val="init"/>
        </dgm:presLayoutVars>
      </dgm:prSet>
      <dgm:spPr/>
    </dgm:pt>
    <dgm:pt modelId="{41833778-D08F-4F7F-AE45-B7C4C3F87639}" type="pres">
      <dgm:prSet presAssocID="{5CD30241-E44B-48D3-BDE3-A237484AE8EC}" presName="rootComposite" presStyleCnt="0"/>
      <dgm:spPr/>
    </dgm:pt>
    <dgm:pt modelId="{E2F0CD97-C806-4B85-999F-FD0D39CA6811}" type="pres">
      <dgm:prSet presAssocID="{5CD30241-E44B-48D3-BDE3-A237484AE8EC}" presName="rootText" presStyleLbl="node4" presStyleIdx="2" presStyleCnt="8" custScaleX="136502" custScaleY="130746" custLinFactNeighborX="-62605" custLinFactNeighborY="-3538">
        <dgm:presLayoutVars>
          <dgm:chPref val="3"/>
        </dgm:presLayoutVars>
      </dgm:prSet>
      <dgm:spPr>
        <a:prstGeom prst="rect">
          <a:avLst/>
        </a:prstGeom>
      </dgm:spPr>
      <dgm:t>
        <a:bodyPr/>
        <a:lstStyle/>
        <a:p>
          <a:endParaRPr lang="sk-SK"/>
        </a:p>
      </dgm:t>
    </dgm:pt>
    <dgm:pt modelId="{3B93B33C-3533-4491-BF4A-C4085867E473}" type="pres">
      <dgm:prSet presAssocID="{5CD30241-E44B-48D3-BDE3-A237484AE8EC}" presName="rootConnector" presStyleLbl="node4" presStyleIdx="2" presStyleCnt="8"/>
      <dgm:spPr/>
      <dgm:t>
        <a:bodyPr/>
        <a:lstStyle/>
        <a:p>
          <a:endParaRPr lang="sk-SK"/>
        </a:p>
      </dgm:t>
    </dgm:pt>
    <dgm:pt modelId="{E51D1719-21E2-4E3A-B1AC-5F70B39C2A76}" type="pres">
      <dgm:prSet presAssocID="{5CD30241-E44B-48D3-BDE3-A237484AE8EC}" presName="hierChild4" presStyleCnt="0"/>
      <dgm:spPr/>
    </dgm:pt>
    <dgm:pt modelId="{CD10B3E6-BE5E-4E47-8591-47B3022F7D50}" type="pres">
      <dgm:prSet presAssocID="{5CD30241-E44B-48D3-BDE3-A237484AE8EC}" presName="hierChild5" presStyleCnt="0"/>
      <dgm:spPr/>
    </dgm:pt>
    <dgm:pt modelId="{F0628EC6-D9BF-48A3-AE48-614781173127}" type="pres">
      <dgm:prSet presAssocID="{DAA3EB2F-5589-493A-AB75-871564DDECB6}" presName="hierChild5" presStyleCnt="0"/>
      <dgm:spPr/>
    </dgm:pt>
    <dgm:pt modelId="{1090D344-54AC-4700-99AB-8BA4CFA008C5}" type="pres">
      <dgm:prSet presAssocID="{452DB926-06E8-455B-84BD-DC0DD24F9824}" presName="Name37" presStyleLbl="parChTrans1D3" presStyleIdx="1" presStyleCnt="4"/>
      <dgm:spPr>
        <a:custGeom>
          <a:avLst/>
          <a:gdLst/>
          <a:ahLst/>
          <a:cxnLst/>
          <a:rect l="0" t="0" r="0" b="0"/>
          <a:pathLst>
            <a:path>
              <a:moveTo>
                <a:pt x="0" y="0"/>
              </a:moveTo>
              <a:lnTo>
                <a:pt x="0" y="56762"/>
              </a:lnTo>
              <a:lnTo>
                <a:pt x="375137" y="56762"/>
              </a:lnTo>
              <a:lnTo>
                <a:pt x="375137" y="113524"/>
              </a:lnTo>
            </a:path>
          </a:pathLst>
        </a:custGeom>
      </dgm:spPr>
      <dgm:t>
        <a:bodyPr/>
        <a:lstStyle/>
        <a:p>
          <a:endParaRPr lang="sk-SK"/>
        </a:p>
      </dgm:t>
    </dgm:pt>
    <dgm:pt modelId="{DEFD06B0-5502-4B75-BD96-9041B9F150E4}" type="pres">
      <dgm:prSet presAssocID="{BFE87DF3-3998-4CCD-A582-7B7ABC3F8F7F}" presName="hierRoot2" presStyleCnt="0">
        <dgm:presLayoutVars>
          <dgm:hierBranch val="init"/>
        </dgm:presLayoutVars>
      </dgm:prSet>
      <dgm:spPr/>
    </dgm:pt>
    <dgm:pt modelId="{8490034C-981B-4D8E-955A-F23F1A6A2A36}" type="pres">
      <dgm:prSet presAssocID="{BFE87DF3-3998-4CCD-A582-7B7ABC3F8F7F}" presName="rootComposite" presStyleCnt="0"/>
      <dgm:spPr/>
    </dgm:pt>
    <dgm:pt modelId="{B1949F03-8057-46DB-B344-CD4363AD1D3D}" type="pres">
      <dgm:prSet presAssocID="{BFE87DF3-3998-4CCD-A582-7B7ABC3F8F7F}" presName="rootText" presStyleLbl="node3" presStyleIdx="1" presStyleCnt="4" custScaleX="159649" custLinFactNeighborX="-34764">
        <dgm:presLayoutVars>
          <dgm:chPref val="3"/>
        </dgm:presLayoutVars>
      </dgm:prSet>
      <dgm:spPr>
        <a:prstGeom prst="rect">
          <a:avLst/>
        </a:prstGeom>
      </dgm:spPr>
      <dgm:t>
        <a:bodyPr/>
        <a:lstStyle/>
        <a:p>
          <a:endParaRPr lang="sk-SK"/>
        </a:p>
      </dgm:t>
    </dgm:pt>
    <dgm:pt modelId="{E5921F6C-DB30-4A59-80A6-3D5BB72DA8BE}" type="pres">
      <dgm:prSet presAssocID="{BFE87DF3-3998-4CCD-A582-7B7ABC3F8F7F}" presName="rootConnector" presStyleLbl="node3" presStyleIdx="1" presStyleCnt="4"/>
      <dgm:spPr/>
      <dgm:t>
        <a:bodyPr/>
        <a:lstStyle/>
        <a:p>
          <a:endParaRPr lang="sk-SK"/>
        </a:p>
      </dgm:t>
    </dgm:pt>
    <dgm:pt modelId="{FA412C8E-3BBD-4024-BE4D-26AE81B6B2B7}" type="pres">
      <dgm:prSet presAssocID="{BFE87DF3-3998-4CCD-A582-7B7ABC3F8F7F}" presName="hierChild4" presStyleCnt="0"/>
      <dgm:spPr/>
    </dgm:pt>
    <dgm:pt modelId="{374CD110-3847-45EE-B723-A29C08052964}" type="pres">
      <dgm:prSet presAssocID="{803B7A48-98E2-4F7C-AEE8-B2A55F968BFE}" presName="Name37" presStyleLbl="parChTrans1D4" presStyleIdx="3" presStyleCnt="8"/>
      <dgm:spPr>
        <a:custGeom>
          <a:avLst/>
          <a:gdLst/>
          <a:ahLst/>
          <a:cxnLst/>
          <a:rect l="0" t="0" r="0" b="0"/>
          <a:pathLst>
            <a:path>
              <a:moveTo>
                <a:pt x="0" y="0"/>
              </a:moveTo>
              <a:lnTo>
                <a:pt x="0" y="288331"/>
              </a:lnTo>
              <a:lnTo>
                <a:pt x="317390" y="288331"/>
              </a:lnTo>
            </a:path>
          </a:pathLst>
        </a:custGeom>
      </dgm:spPr>
      <dgm:t>
        <a:bodyPr/>
        <a:lstStyle/>
        <a:p>
          <a:endParaRPr lang="sk-SK"/>
        </a:p>
      </dgm:t>
    </dgm:pt>
    <dgm:pt modelId="{7B79D2AC-70E2-4E65-8C2B-10A362302B72}" type="pres">
      <dgm:prSet presAssocID="{FAEB197E-7D85-4A1F-B6DF-60EBA2362F9E}" presName="hierRoot2" presStyleCnt="0">
        <dgm:presLayoutVars>
          <dgm:hierBranch val="init"/>
        </dgm:presLayoutVars>
      </dgm:prSet>
      <dgm:spPr/>
    </dgm:pt>
    <dgm:pt modelId="{C4719F78-B726-4D68-83A7-73FE12A6F9A4}" type="pres">
      <dgm:prSet presAssocID="{FAEB197E-7D85-4A1F-B6DF-60EBA2362F9E}" presName="rootComposite" presStyleCnt="0"/>
      <dgm:spPr/>
    </dgm:pt>
    <dgm:pt modelId="{1343A2FB-9A78-4AC6-85F1-9AA13FCDD695}" type="pres">
      <dgm:prSet presAssocID="{FAEB197E-7D85-4A1F-B6DF-60EBA2362F9E}" presName="rootText" presStyleLbl="node4" presStyleIdx="3" presStyleCnt="8" custScaleX="137485" custScaleY="129344">
        <dgm:presLayoutVars>
          <dgm:chPref val="3"/>
        </dgm:presLayoutVars>
      </dgm:prSet>
      <dgm:spPr>
        <a:prstGeom prst="rect">
          <a:avLst/>
        </a:prstGeom>
      </dgm:spPr>
      <dgm:t>
        <a:bodyPr/>
        <a:lstStyle/>
        <a:p>
          <a:endParaRPr lang="sk-SK"/>
        </a:p>
      </dgm:t>
    </dgm:pt>
    <dgm:pt modelId="{54157F02-ABFF-466D-8E17-13C4FE6AE977}" type="pres">
      <dgm:prSet presAssocID="{FAEB197E-7D85-4A1F-B6DF-60EBA2362F9E}" presName="rootConnector" presStyleLbl="node4" presStyleIdx="3" presStyleCnt="8"/>
      <dgm:spPr/>
      <dgm:t>
        <a:bodyPr/>
        <a:lstStyle/>
        <a:p>
          <a:endParaRPr lang="sk-SK"/>
        </a:p>
      </dgm:t>
    </dgm:pt>
    <dgm:pt modelId="{1C741C14-39BA-41E1-AA52-AA76B5A17FC1}" type="pres">
      <dgm:prSet presAssocID="{FAEB197E-7D85-4A1F-B6DF-60EBA2362F9E}" presName="hierChild4" presStyleCnt="0"/>
      <dgm:spPr/>
    </dgm:pt>
    <dgm:pt modelId="{3BDBB984-54FE-42C7-9590-F95269610C6E}" type="pres">
      <dgm:prSet presAssocID="{FAEB197E-7D85-4A1F-B6DF-60EBA2362F9E}" presName="hierChild5" presStyleCnt="0"/>
      <dgm:spPr/>
    </dgm:pt>
    <dgm:pt modelId="{976EFC49-DA0F-43CE-919D-7174F25A5EED}" type="pres">
      <dgm:prSet presAssocID="{F582975F-76C2-43C4-8F42-EAA66E838B6C}" presName="Name37" presStyleLbl="parChTrans1D4" presStyleIdx="4" presStyleCnt="8"/>
      <dgm:spPr>
        <a:custGeom>
          <a:avLst/>
          <a:gdLst/>
          <a:ahLst/>
          <a:cxnLst/>
          <a:rect l="0" t="0" r="0" b="0"/>
          <a:pathLst>
            <a:path>
              <a:moveTo>
                <a:pt x="0" y="0"/>
              </a:moveTo>
              <a:lnTo>
                <a:pt x="0" y="787456"/>
              </a:lnTo>
              <a:lnTo>
                <a:pt x="317390" y="787456"/>
              </a:lnTo>
            </a:path>
          </a:pathLst>
        </a:custGeom>
      </dgm:spPr>
      <dgm:t>
        <a:bodyPr/>
        <a:lstStyle/>
        <a:p>
          <a:endParaRPr lang="sk-SK"/>
        </a:p>
      </dgm:t>
    </dgm:pt>
    <dgm:pt modelId="{4178CC95-1D72-41E6-8AE1-26E0FA184AB4}" type="pres">
      <dgm:prSet presAssocID="{958468FF-10A8-4789-9D58-666F9DC9BBC2}" presName="hierRoot2" presStyleCnt="0">
        <dgm:presLayoutVars>
          <dgm:hierBranch val="init"/>
        </dgm:presLayoutVars>
      </dgm:prSet>
      <dgm:spPr/>
    </dgm:pt>
    <dgm:pt modelId="{0ABBF74C-29CA-47F1-9C73-D660E20B1FD9}" type="pres">
      <dgm:prSet presAssocID="{958468FF-10A8-4789-9D58-666F9DC9BBC2}" presName="rootComposite" presStyleCnt="0"/>
      <dgm:spPr/>
    </dgm:pt>
    <dgm:pt modelId="{C0A6442C-4B57-4F99-B92C-7EF2B0772A2F}" type="pres">
      <dgm:prSet presAssocID="{958468FF-10A8-4789-9D58-666F9DC9BBC2}" presName="rootText" presStyleLbl="node4" presStyleIdx="4" presStyleCnt="8" custScaleX="137794" custScaleY="155971">
        <dgm:presLayoutVars>
          <dgm:chPref val="3"/>
        </dgm:presLayoutVars>
      </dgm:prSet>
      <dgm:spPr>
        <a:prstGeom prst="rect">
          <a:avLst/>
        </a:prstGeom>
      </dgm:spPr>
      <dgm:t>
        <a:bodyPr/>
        <a:lstStyle/>
        <a:p>
          <a:endParaRPr lang="sk-SK"/>
        </a:p>
      </dgm:t>
    </dgm:pt>
    <dgm:pt modelId="{014D66A7-D85A-42A5-B35F-FD7731D4E424}" type="pres">
      <dgm:prSet presAssocID="{958468FF-10A8-4789-9D58-666F9DC9BBC2}" presName="rootConnector" presStyleLbl="node4" presStyleIdx="4" presStyleCnt="8"/>
      <dgm:spPr/>
      <dgm:t>
        <a:bodyPr/>
        <a:lstStyle/>
        <a:p>
          <a:endParaRPr lang="sk-SK"/>
        </a:p>
      </dgm:t>
    </dgm:pt>
    <dgm:pt modelId="{27EA7D99-D1BF-4059-9BA8-0686FBEE2F79}" type="pres">
      <dgm:prSet presAssocID="{958468FF-10A8-4789-9D58-666F9DC9BBC2}" presName="hierChild4" presStyleCnt="0"/>
      <dgm:spPr/>
    </dgm:pt>
    <dgm:pt modelId="{CBEE7897-3A97-4ED5-966A-295B6B8DCB63}" type="pres">
      <dgm:prSet presAssocID="{958468FF-10A8-4789-9D58-666F9DC9BBC2}" presName="hierChild5" presStyleCnt="0"/>
      <dgm:spPr/>
    </dgm:pt>
    <dgm:pt modelId="{277CD282-90F3-40A0-AF8F-917F658ED55C}" type="pres">
      <dgm:prSet presAssocID="{88BFD706-BE28-4942-A258-1D7C24CAD9AA}" presName="Name37" presStyleLbl="parChTrans1D4" presStyleIdx="5" presStyleCnt="8"/>
      <dgm:spPr>
        <a:custGeom>
          <a:avLst/>
          <a:gdLst/>
          <a:ahLst/>
          <a:cxnLst/>
          <a:rect l="0" t="0" r="0" b="0"/>
          <a:pathLst>
            <a:path>
              <a:moveTo>
                <a:pt x="0" y="0"/>
              </a:moveTo>
              <a:lnTo>
                <a:pt x="0" y="1292738"/>
              </a:lnTo>
              <a:lnTo>
                <a:pt x="317390" y="1292738"/>
              </a:lnTo>
            </a:path>
          </a:pathLst>
        </a:custGeom>
      </dgm:spPr>
      <dgm:t>
        <a:bodyPr/>
        <a:lstStyle/>
        <a:p>
          <a:endParaRPr lang="sk-SK"/>
        </a:p>
      </dgm:t>
    </dgm:pt>
    <dgm:pt modelId="{D3366B12-57F8-4658-807B-B7D0CBF10921}" type="pres">
      <dgm:prSet presAssocID="{D7839C98-4523-42E0-ABAE-0EF6149DE65B}" presName="hierRoot2" presStyleCnt="0">
        <dgm:presLayoutVars>
          <dgm:hierBranch val="init"/>
        </dgm:presLayoutVars>
      </dgm:prSet>
      <dgm:spPr/>
    </dgm:pt>
    <dgm:pt modelId="{EE268EF7-AE50-416D-9FE4-A8C296B6C4C8}" type="pres">
      <dgm:prSet presAssocID="{D7839C98-4523-42E0-ABAE-0EF6149DE65B}" presName="rootComposite" presStyleCnt="0"/>
      <dgm:spPr/>
    </dgm:pt>
    <dgm:pt modelId="{3687DEDE-D222-424B-B9A1-1F60C24C64D1}" type="pres">
      <dgm:prSet presAssocID="{D7839C98-4523-42E0-ABAE-0EF6149DE65B}" presName="rootText" presStyleLbl="node4" presStyleIdx="5" presStyleCnt="8" custScaleX="144025" custScaleY="133900">
        <dgm:presLayoutVars>
          <dgm:chPref val="3"/>
        </dgm:presLayoutVars>
      </dgm:prSet>
      <dgm:spPr>
        <a:prstGeom prst="rect">
          <a:avLst/>
        </a:prstGeom>
      </dgm:spPr>
      <dgm:t>
        <a:bodyPr/>
        <a:lstStyle/>
        <a:p>
          <a:endParaRPr lang="sk-SK"/>
        </a:p>
      </dgm:t>
    </dgm:pt>
    <dgm:pt modelId="{A0A28AB4-9C60-46F7-A91F-C4B01D356F97}" type="pres">
      <dgm:prSet presAssocID="{D7839C98-4523-42E0-ABAE-0EF6149DE65B}" presName="rootConnector" presStyleLbl="node4" presStyleIdx="5" presStyleCnt="8"/>
      <dgm:spPr/>
      <dgm:t>
        <a:bodyPr/>
        <a:lstStyle/>
        <a:p>
          <a:endParaRPr lang="sk-SK"/>
        </a:p>
      </dgm:t>
    </dgm:pt>
    <dgm:pt modelId="{FA387A3A-37D6-4688-A301-1DE3244DDCD9}" type="pres">
      <dgm:prSet presAssocID="{D7839C98-4523-42E0-ABAE-0EF6149DE65B}" presName="hierChild4" presStyleCnt="0"/>
      <dgm:spPr/>
    </dgm:pt>
    <dgm:pt modelId="{99E69A43-AC4B-486C-91C0-80730CCCAC0A}" type="pres">
      <dgm:prSet presAssocID="{D7839C98-4523-42E0-ABAE-0EF6149DE65B}" presName="hierChild5" presStyleCnt="0"/>
      <dgm:spPr/>
    </dgm:pt>
    <dgm:pt modelId="{EB4D4C1E-E1BD-4688-B1D3-B5327DD60754}" type="pres">
      <dgm:prSet presAssocID="{E07CF9C2-8C10-4193-96BE-0A22E9947AEC}" presName="Name37" presStyleLbl="parChTrans1D4" presStyleIdx="6" presStyleCnt="8"/>
      <dgm:spPr>
        <a:custGeom>
          <a:avLst/>
          <a:gdLst/>
          <a:ahLst/>
          <a:cxnLst/>
          <a:rect l="0" t="0" r="0" b="0"/>
          <a:pathLst>
            <a:path>
              <a:moveTo>
                <a:pt x="0" y="0"/>
              </a:moveTo>
              <a:lnTo>
                <a:pt x="0" y="1722375"/>
              </a:lnTo>
              <a:lnTo>
                <a:pt x="317390" y="1722375"/>
              </a:lnTo>
            </a:path>
          </a:pathLst>
        </a:custGeom>
      </dgm:spPr>
      <dgm:t>
        <a:bodyPr/>
        <a:lstStyle/>
        <a:p>
          <a:endParaRPr lang="sk-SK"/>
        </a:p>
      </dgm:t>
    </dgm:pt>
    <dgm:pt modelId="{637A2AB9-3E0A-4E00-9AFB-BE437BFA82F7}" type="pres">
      <dgm:prSet presAssocID="{B7BE6468-F7AA-4461-8270-DFF734595C52}" presName="hierRoot2" presStyleCnt="0">
        <dgm:presLayoutVars>
          <dgm:hierBranch val="init"/>
        </dgm:presLayoutVars>
      </dgm:prSet>
      <dgm:spPr/>
    </dgm:pt>
    <dgm:pt modelId="{B515F2F1-59C6-425E-B5DB-0851BE4599E6}" type="pres">
      <dgm:prSet presAssocID="{B7BE6468-F7AA-4461-8270-DFF734595C52}" presName="rootComposite" presStyleCnt="0"/>
      <dgm:spPr/>
    </dgm:pt>
    <dgm:pt modelId="{42441DEF-6E3D-491F-8176-F7B1E28620E2}" type="pres">
      <dgm:prSet presAssocID="{B7BE6468-F7AA-4461-8270-DFF734595C52}" presName="rootText" presStyleLbl="node4" presStyleIdx="6" presStyleCnt="8" custScaleX="138883">
        <dgm:presLayoutVars>
          <dgm:chPref val="3"/>
        </dgm:presLayoutVars>
      </dgm:prSet>
      <dgm:spPr>
        <a:prstGeom prst="rect">
          <a:avLst/>
        </a:prstGeom>
      </dgm:spPr>
      <dgm:t>
        <a:bodyPr/>
        <a:lstStyle/>
        <a:p>
          <a:endParaRPr lang="sk-SK"/>
        </a:p>
      </dgm:t>
    </dgm:pt>
    <dgm:pt modelId="{8FAE5FEC-027B-4957-85CC-1C9369AA940D}" type="pres">
      <dgm:prSet presAssocID="{B7BE6468-F7AA-4461-8270-DFF734595C52}" presName="rootConnector" presStyleLbl="node4" presStyleIdx="6" presStyleCnt="8"/>
      <dgm:spPr/>
      <dgm:t>
        <a:bodyPr/>
        <a:lstStyle/>
        <a:p>
          <a:endParaRPr lang="sk-SK"/>
        </a:p>
      </dgm:t>
    </dgm:pt>
    <dgm:pt modelId="{C50B8E5D-65C7-4498-8665-5A4237CE493E}" type="pres">
      <dgm:prSet presAssocID="{B7BE6468-F7AA-4461-8270-DFF734595C52}" presName="hierChild4" presStyleCnt="0"/>
      <dgm:spPr/>
    </dgm:pt>
    <dgm:pt modelId="{DC221C28-74C1-4F17-8173-D6011E0AA6B6}" type="pres">
      <dgm:prSet presAssocID="{B7BE6468-F7AA-4461-8270-DFF734595C52}" presName="hierChild5" presStyleCnt="0"/>
      <dgm:spPr/>
    </dgm:pt>
    <dgm:pt modelId="{B58CF812-969A-47D2-B5C5-5E4506C2A1CD}" type="pres">
      <dgm:prSet presAssocID="{396086AB-3E99-425A-A0EC-0E9B7AF5FF2E}" presName="Name37" presStyleLbl="parChTrans1D4" presStyleIdx="7" presStyleCnt="8"/>
      <dgm:spPr>
        <a:custGeom>
          <a:avLst/>
          <a:gdLst/>
          <a:ahLst/>
          <a:cxnLst/>
          <a:rect l="0" t="0" r="0" b="0"/>
          <a:pathLst>
            <a:path>
              <a:moveTo>
                <a:pt x="0" y="0"/>
              </a:moveTo>
              <a:lnTo>
                <a:pt x="0" y="2145491"/>
              </a:lnTo>
              <a:lnTo>
                <a:pt x="317390" y="2145491"/>
              </a:lnTo>
            </a:path>
          </a:pathLst>
        </a:custGeom>
      </dgm:spPr>
      <dgm:t>
        <a:bodyPr/>
        <a:lstStyle/>
        <a:p>
          <a:endParaRPr lang="sk-SK"/>
        </a:p>
      </dgm:t>
    </dgm:pt>
    <dgm:pt modelId="{D7DF6806-0BAA-41C1-BE1B-E00C3F928191}" type="pres">
      <dgm:prSet presAssocID="{140AA5CD-3B53-4DB0-9963-25A7E71F9A02}" presName="hierRoot2" presStyleCnt="0">
        <dgm:presLayoutVars>
          <dgm:hierBranch val="init"/>
        </dgm:presLayoutVars>
      </dgm:prSet>
      <dgm:spPr/>
    </dgm:pt>
    <dgm:pt modelId="{B1FBA254-C02D-4045-B7B5-6F138DBD5F39}" type="pres">
      <dgm:prSet presAssocID="{140AA5CD-3B53-4DB0-9963-25A7E71F9A02}" presName="rootComposite" presStyleCnt="0"/>
      <dgm:spPr/>
    </dgm:pt>
    <dgm:pt modelId="{1BE1566F-E0DA-4F19-AB64-E27C744351EB}" type="pres">
      <dgm:prSet presAssocID="{140AA5CD-3B53-4DB0-9963-25A7E71F9A02}" presName="rootText" presStyleLbl="node4" presStyleIdx="7" presStyleCnt="8" custScaleX="150092" custScaleY="129074">
        <dgm:presLayoutVars>
          <dgm:chPref val="3"/>
        </dgm:presLayoutVars>
      </dgm:prSet>
      <dgm:spPr>
        <a:prstGeom prst="rect">
          <a:avLst/>
        </a:prstGeom>
      </dgm:spPr>
      <dgm:t>
        <a:bodyPr/>
        <a:lstStyle/>
        <a:p>
          <a:endParaRPr lang="sk-SK"/>
        </a:p>
      </dgm:t>
    </dgm:pt>
    <dgm:pt modelId="{68349D65-8CA1-4115-8E00-48F0D40158C7}" type="pres">
      <dgm:prSet presAssocID="{140AA5CD-3B53-4DB0-9963-25A7E71F9A02}" presName="rootConnector" presStyleLbl="node4" presStyleIdx="7" presStyleCnt="8"/>
      <dgm:spPr/>
      <dgm:t>
        <a:bodyPr/>
        <a:lstStyle/>
        <a:p>
          <a:endParaRPr lang="sk-SK"/>
        </a:p>
      </dgm:t>
    </dgm:pt>
    <dgm:pt modelId="{4B388373-F77F-4A76-8FE2-A4298BBA242D}" type="pres">
      <dgm:prSet presAssocID="{140AA5CD-3B53-4DB0-9963-25A7E71F9A02}" presName="hierChild4" presStyleCnt="0"/>
      <dgm:spPr/>
    </dgm:pt>
    <dgm:pt modelId="{F3EE3520-3CEA-4EAC-9ECE-1B529F60DF2E}" type="pres">
      <dgm:prSet presAssocID="{140AA5CD-3B53-4DB0-9963-25A7E71F9A02}" presName="hierChild5" presStyleCnt="0"/>
      <dgm:spPr/>
    </dgm:pt>
    <dgm:pt modelId="{7C3BF277-2FAA-4568-A4F0-1527BB1990ED}" type="pres">
      <dgm:prSet presAssocID="{BFE87DF3-3998-4CCD-A582-7B7ABC3F8F7F}" presName="hierChild5" presStyleCnt="0"/>
      <dgm:spPr/>
    </dgm:pt>
    <dgm:pt modelId="{5DD0E74E-F92B-488E-834D-5EB711DECA63}" type="pres">
      <dgm:prSet presAssocID="{D475CB04-EA4A-4079-BCA6-B399C11E9FAD}" presName="hierChild5" presStyleCnt="0"/>
      <dgm:spPr/>
    </dgm:pt>
    <dgm:pt modelId="{3F7CA9D4-2F10-40CC-A3A9-118304FB9B94}" type="pres">
      <dgm:prSet presAssocID="{12D15284-9CBA-4057-8835-96F694DA96E7}" presName="Name37" presStyleLbl="parChTrans1D2" presStyleIdx="1" presStyleCnt="2"/>
      <dgm:spPr>
        <a:custGeom>
          <a:avLst/>
          <a:gdLst/>
          <a:ahLst/>
          <a:cxnLst/>
          <a:rect l="0" t="0" r="0" b="0"/>
          <a:pathLst>
            <a:path>
              <a:moveTo>
                <a:pt x="0" y="0"/>
              </a:moveTo>
              <a:lnTo>
                <a:pt x="0" y="49802"/>
              </a:lnTo>
              <a:lnTo>
                <a:pt x="984793" y="49802"/>
              </a:lnTo>
              <a:lnTo>
                <a:pt x="984793" y="106564"/>
              </a:lnTo>
            </a:path>
          </a:pathLst>
        </a:custGeom>
      </dgm:spPr>
      <dgm:t>
        <a:bodyPr/>
        <a:lstStyle/>
        <a:p>
          <a:endParaRPr lang="sk-SK"/>
        </a:p>
      </dgm:t>
    </dgm:pt>
    <dgm:pt modelId="{038D9F07-EA61-41F6-946F-8BDC72C4B33D}" type="pres">
      <dgm:prSet presAssocID="{C20CBBE1-F2C5-4B87-8CB4-A7CE3BD88F7C}" presName="hierRoot2" presStyleCnt="0">
        <dgm:presLayoutVars>
          <dgm:hierBranch val="init"/>
        </dgm:presLayoutVars>
      </dgm:prSet>
      <dgm:spPr/>
    </dgm:pt>
    <dgm:pt modelId="{23D0DD7A-D0A2-439D-92C8-D7D6BDB9C7CC}" type="pres">
      <dgm:prSet presAssocID="{C20CBBE1-F2C5-4B87-8CB4-A7CE3BD88F7C}" presName="rootComposite" presStyleCnt="0"/>
      <dgm:spPr/>
    </dgm:pt>
    <dgm:pt modelId="{BCF9AF9A-D03E-4F12-863E-3CAEE6309E9B}" type="pres">
      <dgm:prSet presAssocID="{C20CBBE1-F2C5-4B87-8CB4-A7CE3BD88F7C}" presName="rootText" presStyleLbl="node2" presStyleIdx="1" presStyleCnt="2" custScaleX="269546" custLinFactNeighborX="33477" custLinFactNeighborY="-2575">
        <dgm:presLayoutVars>
          <dgm:chPref val="3"/>
        </dgm:presLayoutVars>
      </dgm:prSet>
      <dgm:spPr>
        <a:prstGeom prst="rect">
          <a:avLst/>
        </a:prstGeom>
      </dgm:spPr>
      <dgm:t>
        <a:bodyPr/>
        <a:lstStyle/>
        <a:p>
          <a:endParaRPr lang="sk-SK"/>
        </a:p>
      </dgm:t>
    </dgm:pt>
    <dgm:pt modelId="{24CD8AD8-6DBC-4F34-ACAB-2152A7404EA3}" type="pres">
      <dgm:prSet presAssocID="{C20CBBE1-F2C5-4B87-8CB4-A7CE3BD88F7C}" presName="rootConnector" presStyleLbl="node2" presStyleIdx="1" presStyleCnt="2"/>
      <dgm:spPr/>
      <dgm:t>
        <a:bodyPr/>
        <a:lstStyle/>
        <a:p>
          <a:endParaRPr lang="sk-SK"/>
        </a:p>
      </dgm:t>
    </dgm:pt>
    <dgm:pt modelId="{DC9C3E95-766B-40F5-B951-8749EB15EF8D}" type="pres">
      <dgm:prSet presAssocID="{C20CBBE1-F2C5-4B87-8CB4-A7CE3BD88F7C}" presName="hierChild4" presStyleCnt="0"/>
      <dgm:spPr/>
    </dgm:pt>
    <dgm:pt modelId="{7F9188D1-8549-4771-B5DB-F5312091D6DA}" type="pres">
      <dgm:prSet presAssocID="{02780549-DF3A-488E-95FC-4D51E2E8F2E6}" presName="Name37" presStyleLbl="parChTrans1D3" presStyleIdx="2" presStyleCnt="4"/>
      <dgm:spPr>
        <a:custGeom>
          <a:avLst/>
          <a:gdLst/>
          <a:ahLst/>
          <a:cxnLst/>
          <a:rect l="0" t="0" r="0" b="0"/>
          <a:pathLst>
            <a:path>
              <a:moveTo>
                <a:pt x="0" y="0"/>
              </a:moveTo>
              <a:lnTo>
                <a:pt x="0" y="241713"/>
              </a:lnTo>
              <a:lnTo>
                <a:pt x="162886" y="241713"/>
              </a:lnTo>
            </a:path>
          </a:pathLst>
        </a:custGeom>
      </dgm:spPr>
      <dgm:t>
        <a:bodyPr/>
        <a:lstStyle/>
        <a:p>
          <a:endParaRPr lang="sk-SK"/>
        </a:p>
      </dgm:t>
    </dgm:pt>
    <dgm:pt modelId="{492E8CBE-2999-4D7D-B76B-F79277B4EEA6}" type="pres">
      <dgm:prSet presAssocID="{28DD8DA2-5C80-4928-B4CC-8CD560C83BFE}" presName="hierRoot2" presStyleCnt="0">
        <dgm:presLayoutVars>
          <dgm:hierBranch val="init"/>
        </dgm:presLayoutVars>
      </dgm:prSet>
      <dgm:spPr/>
    </dgm:pt>
    <dgm:pt modelId="{D0932803-5966-4F06-A881-EC5F042DD395}" type="pres">
      <dgm:prSet presAssocID="{28DD8DA2-5C80-4928-B4CC-8CD560C83BFE}" presName="rootComposite" presStyleCnt="0"/>
      <dgm:spPr/>
    </dgm:pt>
    <dgm:pt modelId="{26CF2FC0-6AAC-4915-9442-CC8DB71E68B0}" type="pres">
      <dgm:prSet presAssocID="{28DD8DA2-5C80-4928-B4CC-8CD560C83BFE}" presName="rootText" presStyleLbl="node3" presStyleIdx="2" presStyleCnt="4" custScaleX="161797" custLinFactNeighborX="23176" custLinFactNeighborY="-5150">
        <dgm:presLayoutVars>
          <dgm:chPref val="3"/>
        </dgm:presLayoutVars>
      </dgm:prSet>
      <dgm:spPr>
        <a:prstGeom prst="rect">
          <a:avLst/>
        </a:prstGeom>
      </dgm:spPr>
      <dgm:t>
        <a:bodyPr/>
        <a:lstStyle/>
        <a:p>
          <a:endParaRPr lang="sk-SK"/>
        </a:p>
      </dgm:t>
    </dgm:pt>
    <dgm:pt modelId="{6188455E-58AA-4AFE-B122-2B86BCD66F9F}" type="pres">
      <dgm:prSet presAssocID="{28DD8DA2-5C80-4928-B4CC-8CD560C83BFE}" presName="rootConnector" presStyleLbl="node3" presStyleIdx="2" presStyleCnt="4"/>
      <dgm:spPr/>
      <dgm:t>
        <a:bodyPr/>
        <a:lstStyle/>
        <a:p>
          <a:endParaRPr lang="sk-SK"/>
        </a:p>
      </dgm:t>
    </dgm:pt>
    <dgm:pt modelId="{A7D692C6-4A71-4A16-891B-9CE783D39C05}" type="pres">
      <dgm:prSet presAssocID="{28DD8DA2-5C80-4928-B4CC-8CD560C83BFE}" presName="hierChild4" presStyleCnt="0"/>
      <dgm:spPr/>
    </dgm:pt>
    <dgm:pt modelId="{AD764401-6ED9-4DC0-A75C-F42439C2F1EB}" type="pres">
      <dgm:prSet presAssocID="{28DD8DA2-5C80-4928-B4CC-8CD560C83BFE}" presName="hierChild5" presStyleCnt="0"/>
      <dgm:spPr/>
    </dgm:pt>
    <dgm:pt modelId="{EE5B3127-00F4-488B-AEA4-6517380D7C2A}" type="pres">
      <dgm:prSet presAssocID="{C00F096A-A98D-42E2-BF04-D1A5693611F6}" presName="Name37" presStyleLbl="parChTrans1D3" presStyleIdx="3" presStyleCnt="4"/>
      <dgm:spPr>
        <a:custGeom>
          <a:avLst/>
          <a:gdLst/>
          <a:ahLst/>
          <a:cxnLst/>
          <a:rect l="0" t="0" r="0" b="0"/>
          <a:pathLst>
            <a:path>
              <a:moveTo>
                <a:pt x="0" y="0"/>
              </a:moveTo>
              <a:lnTo>
                <a:pt x="0" y="611612"/>
              </a:lnTo>
              <a:lnTo>
                <a:pt x="176806" y="611612"/>
              </a:lnTo>
            </a:path>
          </a:pathLst>
        </a:custGeom>
      </dgm:spPr>
      <dgm:t>
        <a:bodyPr/>
        <a:lstStyle/>
        <a:p>
          <a:endParaRPr lang="sk-SK"/>
        </a:p>
      </dgm:t>
    </dgm:pt>
    <dgm:pt modelId="{276FB599-0083-4DF2-8190-446D282C1770}" type="pres">
      <dgm:prSet presAssocID="{C520A059-93E0-4C28-8796-8EB6E0AC8D7A}" presName="hierRoot2" presStyleCnt="0">
        <dgm:presLayoutVars>
          <dgm:hierBranch val="init"/>
        </dgm:presLayoutVars>
      </dgm:prSet>
      <dgm:spPr/>
    </dgm:pt>
    <dgm:pt modelId="{1EE7DA50-1B73-43B8-B142-07E354FCBF73}" type="pres">
      <dgm:prSet presAssocID="{C520A059-93E0-4C28-8796-8EB6E0AC8D7A}" presName="rootComposite" presStyleCnt="0"/>
      <dgm:spPr/>
    </dgm:pt>
    <dgm:pt modelId="{98A43C32-D36B-4A54-897C-8C6840BC136D}" type="pres">
      <dgm:prSet presAssocID="{C520A059-93E0-4C28-8796-8EB6E0AC8D7A}" presName="rootText" presStyleLbl="node3" presStyleIdx="3" presStyleCnt="4" custScaleX="161803" custLinFactNeighborX="25751" custLinFactNeighborY="-10301">
        <dgm:presLayoutVars>
          <dgm:chPref val="3"/>
        </dgm:presLayoutVars>
      </dgm:prSet>
      <dgm:spPr>
        <a:prstGeom prst="rect">
          <a:avLst/>
        </a:prstGeom>
      </dgm:spPr>
      <dgm:t>
        <a:bodyPr/>
        <a:lstStyle/>
        <a:p>
          <a:endParaRPr lang="sk-SK"/>
        </a:p>
      </dgm:t>
    </dgm:pt>
    <dgm:pt modelId="{5AC60B01-BEDA-46F8-8932-396C491415FA}" type="pres">
      <dgm:prSet presAssocID="{C520A059-93E0-4C28-8796-8EB6E0AC8D7A}" presName="rootConnector" presStyleLbl="node3" presStyleIdx="3" presStyleCnt="4"/>
      <dgm:spPr/>
      <dgm:t>
        <a:bodyPr/>
        <a:lstStyle/>
        <a:p>
          <a:endParaRPr lang="sk-SK"/>
        </a:p>
      </dgm:t>
    </dgm:pt>
    <dgm:pt modelId="{153A8673-5DEF-4B54-8BFD-56EA6F314262}" type="pres">
      <dgm:prSet presAssocID="{C520A059-93E0-4C28-8796-8EB6E0AC8D7A}" presName="hierChild4" presStyleCnt="0"/>
      <dgm:spPr/>
    </dgm:pt>
    <dgm:pt modelId="{ADE7FAA2-400B-4ABA-9801-0692EB249E9E}" type="pres">
      <dgm:prSet presAssocID="{C520A059-93E0-4C28-8796-8EB6E0AC8D7A}" presName="hierChild5" presStyleCnt="0"/>
      <dgm:spPr/>
    </dgm:pt>
    <dgm:pt modelId="{FFF5601C-44F3-4BB5-BC99-7B1305FE464A}" type="pres">
      <dgm:prSet presAssocID="{C20CBBE1-F2C5-4B87-8CB4-A7CE3BD88F7C}" presName="hierChild5" presStyleCnt="0"/>
      <dgm:spPr/>
    </dgm:pt>
    <dgm:pt modelId="{81B42CE6-5A09-4A0D-9E66-DE2CB592F0A2}" type="pres">
      <dgm:prSet presAssocID="{E8A72010-618B-4597-A020-EDD03718BAD5}" presName="hierChild3" presStyleCnt="0"/>
      <dgm:spPr/>
    </dgm:pt>
  </dgm:ptLst>
  <dgm:cxnLst>
    <dgm:cxn modelId="{F2EF9F65-6C58-4FEB-9C45-CDC6CD94D9B0}" srcId="{C20CBBE1-F2C5-4B87-8CB4-A7CE3BD88F7C}" destId="{28DD8DA2-5C80-4928-B4CC-8CD560C83BFE}" srcOrd="0" destOrd="0" parTransId="{02780549-DF3A-488E-95FC-4D51E2E8F2E6}" sibTransId="{1C111944-6558-4C7A-90E9-D4B1E7CCEE46}"/>
    <dgm:cxn modelId="{21109771-8417-478D-8432-35C1E61BE364}" type="presOf" srcId="{DAA3EB2F-5589-493A-AB75-871564DDECB6}" destId="{57A08454-0F39-4F99-929C-8DBBAD809949}" srcOrd="1" destOrd="0" presId="urn:microsoft.com/office/officeart/2005/8/layout/orgChart1"/>
    <dgm:cxn modelId="{310E9601-8FC7-4DF9-927B-A7CA402D6D77}" srcId="{BFE87DF3-3998-4CCD-A582-7B7ABC3F8F7F}" destId="{140AA5CD-3B53-4DB0-9963-25A7E71F9A02}" srcOrd="4" destOrd="0" parTransId="{396086AB-3E99-425A-A0EC-0E9B7AF5FF2E}" sibTransId="{A57CB34F-4B7B-472E-84E0-F7637D548E4F}"/>
    <dgm:cxn modelId="{7412B9F5-6F77-4014-8209-874E8B3AFF85}" type="presOf" srcId="{D475CB04-EA4A-4079-BCA6-B399C11E9FAD}" destId="{E4AC54CF-9DAC-46CD-90D9-4B2C5A8CD010}" srcOrd="1" destOrd="0" presId="urn:microsoft.com/office/officeart/2005/8/layout/orgChart1"/>
    <dgm:cxn modelId="{B63771E0-42F9-43BB-858B-DA386FC0C3C3}" type="presOf" srcId="{11D48FF1-D9AC-4B52-9A8E-D0517C9655BB}" destId="{EF874B7A-8BD8-40F0-BAD8-3826505D0952}" srcOrd="0" destOrd="0" presId="urn:microsoft.com/office/officeart/2005/8/layout/orgChart1"/>
    <dgm:cxn modelId="{101B819B-6D58-4F8D-81FF-5B8D1CC6AAFD}" type="presOf" srcId="{FCB484D0-030E-4375-9CB2-44C77DAA580C}" destId="{2783CD37-4A3C-4CB0-960E-53C6C0DA4D21}" srcOrd="0" destOrd="0" presId="urn:microsoft.com/office/officeart/2005/8/layout/orgChart1"/>
    <dgm:cxn modelId="{33953AF6-1A23-43EE-A2F7-81D6FEA07527}" type="presOf" srcId="{FAEB197E-7D85-4A1F-B6DF-60EBA2362F9E}" destId="{54157F02-ABFF-466D-8E17-13C4FE6AE977}" srcOrd="1" destOrd="0" presId="urn:microsoft.com/office/officeart/2005/8/layout/orgChart1"/>
    <dgm:cxn modelId="{0A7AA8CF-26EE-4830-AF2E-9956AB9F88CC}" type="presOf" srcId="{D475CB04-EA4A-4079-BCA6-B399C11E9FAD}" destId="{B1AA7480-BA9E-4859-B64A-DBE054795DCC}" srcOrd="0" destOrd="0" presId="urn:microsoft.com/office/officeart/2005/8/layout/orgChart1"/>
    <dgm:cxn modelId="{C6AAAB5F-A815-4BE4-ABD3-B87BE106ABAF}" type="presOf" srcId="{20E2EF96-95EE-4C55-B728-9C71E9BE7703}" destId="{5304E83E-F10B-43E9-BA46-C8B768AB3F82}" srcOrd="0" destOrd="0" presId="urn:microsoft.com/office/officeart/2005/8/layout/orgChart1"/>
    <dgm:cxn modelId="{16F88E91-393F-49E9-9C41-BCFE5315F69F}" srcId="{D475CB04-EA4A-4079-BCA6-B399C11E9FAD}" destId="{BFE87DF3-3998-4CCD-A582-7B7ABC3F8F7F}" srcOrd="1" destOrd="0" parTransId="{452DB926-06E8-455B-84BD-DC0DD24F9824}" sibTransId="{6E72941D-211B-4EE1-B9A3-60697A48E669}"/>
    <dgm:cxn modelId="{EB830933-F532-47E8-B1F6-33ADF8278E9D}" srcId="{D475CB04-EA4A-4079-BCA6-B399C11E9FAD}" destId="{DAA3EB2F-5589-493A-AB75-871564DDECB6}" srcOrd="0" destOrd="0" parTransId="{FCB484D0-030E-4375-9CB2-44C77DAA580C}" sibTransId="{E40B806F-1139-487C-B71F-9F354A9AC415}"/>
    <dgm:cxn modelId="{6C5563CF-165F-45F9-9A4F-4495FB77B0FE}" type="presOf" srcId="{C00F096A-A98D-42E2-BF04-D1A5693611F6}" destId="{EE5B3127-00F4-488B-AEA4-6517380D7C2A}" srcOrd="0" destOrd="0" presId="urn:microsoft.com/office/officeart/2005/8/layout/orgChart1"/>
    <dgm:cxn modelId="{6F7AB2FD-686B-48AE-A256-E54BF0C7B458}" type="presOf" srcId="{803B7A48-98E2-4F7C-AEE8-B2A55F968BFE}" destId="{374CD110-3847-45EE-B723-A29C08052964}" srcOrd="0" destOrd="0" presId="urn:microsoft.com/office/officeart/2005/8/layout/orgChart1"/>
    <dgm:cxn modelId="{0A822C46-2DC0-432F-84A9-40A760C4A0DF}" type="presOf" srcId="{FAEB197E-7D85-4A1F-B6DF-60EBA2362F9E}" destId="{1343A2FB-9A78-4AC6-85F1-9AA13FCDD695}" srcOrd="0" destOrd="0" presId="urn:microsoft.com/office/officeart/2005/8/layout/orgChart1"/>
    <dgm:cxn modelId="{D6B51824-41C7-4C70-A7C3-F0BF0A4C59C0}" type="presOf" srcId="{958468FF-10A8-4789-9D58-666F9DC9BBC2}" destId="{014D66A7-D85A-42A5-B35F-FD7731D4E424}" srcOrd="1" destOrd="0" presId="urn:microsoft.com/office/officeart/2005/8/layout/orgChart1"/>
    <dgm:cxn modelId="{D2212129-03DE-45D5-95EA-954E5325888D}" type="presOf" srcId="{F582975F-76C2-43C4-8F42-EAA66E838B6C}" destId="{976EFC49-DA0F-43CE-919D-7174F25A5EED}" srcOrd="0" destOrd="0" presId="urn:microsoft.com/office/officeart/2005/8/layout/orgChart1"/>
    <dgm:cxn modelId="{C031AD13-7D0C-4208-9E71-7B594A50EA1C}" type="presOf" srcId="{11D48FF1-D9AC-4B52-9A8E-D0517C9655BB}" destId="{8A3B20E3-4E78-413B-84D8-6B770ADEC816}" srcOrd="1" destOrd="0" presId="urn:microsoft.com/office/officeart/2005/8/layout/orgChart1"/>
    <dgm:cxn modelId="{D662A908-E4AB-4725-B1E4-C08134867AC0}" type="presOf" srcId="{88BFD706-BE28-4942-A258-1D7C24CAD9AA}" destId="{277CD282-90F3-40A0-AF8F-917F658ED55C}" srcOrd="0" destOrd="0" presId="urn:microsoft.com/office/officeart/2005/8/layout/orgChart1"/>
    <dgm:cxn modelId="{32B3AB30-BC7D-44D4-B32D-12F039E2721F}" srcId="{E8A72010-618B-4597-A020-EDD03718BAD5}" destId="{D475CB04-EA4A-4079-BCA6-B399C11E9FAD}" srcOrd="0" destOrd="0" parTransId="{212BDDD9-F466-44B0-BF08-2F54343EA4BF}" sibTransId="{7EAA5FA4-8997-49F2-BD99-AEB03D8C9022}"/>
    <dgm:cxn modelId="{5E7EFC4F-D9E4-4B21-A77F-504B316D9844}" srcId="{660EC636-F116-4086-81F7-C6FAFBEB59B4}" destId="{E8A72010-618B-4597-A020-EDD03718BAD5}" srcOrd="0" destOrd="0" parTransId="{FC6CF16D-2663-4FD7-85CE-F13BE784F8C0}" sibTransId="{6723E5E8-717D-4325-A2ED-EB76DD6403C2}"/>
    <dgm:cxn modelId="{6BCF15E0-F4E7-4BDF-8738-338214DE6230}" type="presOf" srcId="{28DD8DA2-5C80-4928-B4CC-8CD560C83BFE}" destId="{6188455E-58AA-4AFE-B122-2B86BCD66F9F}" srcOrd="1" destOrd="0" presId="urn:microsoft.com/office/officeart/2005/8/layout/orgChart1"/>
    <dgm:cxn modelId="{3C92D757-F26E-4B03-AAB6-D54987E7ABF2}" type="presOf" srcId="{FB1D9885-664A-4878-95A5-9E91E491B169}" destId="{AFB0424E-920F-4339-841C-F342E6896BBC}" srcOrd="0" destOrd="0" presId="urn:microsoft.com/office/officeart/2005/8/layout/orgChart1"/>
    <dgm:cxn modelId="{574F9DE9-7886-4419-A9CD-1FDE05C4BBB9}" type="presOf" srcId="{5CD30241-E44B-48D3-BDE3-A237484AE8EC}" destId="{E2F0CD97-C806-4B85-999F-FD0D39CA6811}" srcOrd="0" destOrd="0" presId="urn:microsoft.com/office/officeart/2005/8/layout/orgChart1"/>
    <dgm:cxn modelId="{2AEF20ED-F666-4F92-8225-6DDE2FF6B72B}" type="presOf" srcId="{12D15284-9CBA-4057-8835-96F694DA96E7}" destId="{3F7CA9D4-2F10-40CC-A3A9-118304FB9B94}" srcOrd="0" destOrd="0" presId="urn:microsoft.com/office/officeart/2005/8/layout/orgChart1"/>
    <dgm:cxn modelId="{1805B807-31E3-4707-8AC2-9753399D75DE}" srcId="{BFE87DF3-3998-4CCD-A582-7B7ABC3F8F7F}" destId="{958468FF-10A8-4789-9D58-666F9DC9BBC2}" srcOrd="1" destOrd="0" parTransId="{F582975F-76C2-43C4-8F42-EAA66E838B6C}" sibTransId="{A15441F7-39C0-4EB2-AD94-D6FE702EDB16}"/>
    <dgm:cxn modelId="{51D9725E-4CB4-4EA1-82D7-8ED5D2D539FE}" type="presOf" srcId="{660EC636-F116-4086-81F7-C6FAFBEB59B4}" destId="{FE9B6DB2-C6C0-4A25-A61E-2220844EBB00}" srcOrd="0" destOrd="0" presId="urn:microsoft.com/office/officeart/2005/8/layout/orgChart1"/>
    <dgm:cxn modelId="{D4275DB8-4F26-4E0A-AFFE-88BF91A8DD83}" type="presOf" srcId="{C520A059-93E0-4C28-8796-8EB6E0AC8D7A}" destId="{98A43C32-D36B-4A54-897C-8C6840BC136D}" srcOrd="0" destOrd="0" presId="urn:microsoft.com/office/officeart/2005/8/layout/orgChart1"/>
    <dgm:cxn modelId="{C4276EAE-09B4-4967-AFB9-937A7E2D6446}" type="presOf" srcId="{D7839C98-4523-42E0-ABAE-0EF6149DE65B}" destId="{3687DEDE-D222-424B-B9A1-1F60C24C64D1}" srcOrd="0" destOrd="0" presId="urn:microsoft.com/office/officeart/2005/8/layout/orgChart1"/>
    <dgm:cxn modelId="{B9549B0D-02FC-4BA5-89B1-88A8CB04379B}" type="presOf" srcId="{02780549-DF3A-488E-95FC-4D51E2E8F2E6}" destId="{7F9188D1-8549-4771-B5DB-F5312091D6DA}" srcOrd="0" destOrd="0" presId="urn:microsoft.com/office/officeart/2005/8/layout/orgChart1"/>
    <dgm:cxn modelId="{05EAF677-5082-4352-9BF2-9F6EC077459C}" type="presOf" srcId="{E8A72010-618B-4597-A020-EDD03718BAD5}" destId="{4D876064-BBD2-402D-97A6-9ECB243FA4F9}" srcOrd="0" destOrd="0" presId="urn:microsoft.com/office/officeart/2005/8/layout/orgChart1"/>
    <dgm:cxn modelId="{3CE6C6B2-C838-482B-819C-6C72BEE1656F}" type="presOf" srcId="{396086AB-3E99-425A-A0EC-0E9B7AF5FF2E}" destId="{B58CF812-969A-47D2-B5C5-5E4506C2A1CD}" srcOrd="0" destOrd="0" presId="urn:microsoft.com/office/officeart/2005/8/layout/orgChart1"/>
    <dgm:cxn modelId="{64E385DA-DFAB-4FB9-B30D-97AC22FA27F0}" type="presOf" srcId="{C20CBBE1-F2C5-4B87-8CB4-A7CE3BD88F7C}" destId="{24CD8AD8-6DBC-4F34-ACAB-2152A7404EA3}" srcOrd="1" destOrd="0" presId="urn:microsoft.com/office/officeart/2005/8/layout/orgChart1"/>
    <dgm:cxn modelId="{B279CDF0-F0CB-41A2-95C1-F68AFCB8AACC}" type="presOf" srcId="{E07CF9C2-8C10-4193-96BE-0A22E9947AEC}" destId="{EB4D4C1E-E1BD-4688-B1D3-B5327DD60754}" srcOrd="0" destOrd="0" presId="urn:microsoft.com/office/officeart/2005/8/layout/orgChart1"/>
    <dgm:cxn modelId="{A97A7D60-BAE2-451B-B02A-0E4D1EEBD0E5}" type="presOf" srcId="{BFE87DF3-3998-4CCD-A582-7B7ABC3F8F7F}" destId="{B1949F03-8057-46DB-B344-CD4363AD1D3D}" srcOrd="0" destOrd="0" presId="urn:microsoft.com/office/officeart/2005/8/layout/orgChart1"/>
    <dgm:cxn modelId="{C827752F-822B-4476-B125-565754C899C6}" type="presOf" srcId="{9BD10187-CF68-4358-851D-37746B9BE424}" destId="{01DE3D58-BB9C-4D37-A6F8-059AF9D5D875}" srcOrd="1" destOrd="0" presId="urn:microsoft.com/office/officeart/2005/8/layout/orgChart1"/>
    <dgm:cxn modelId="{3E5EBDE2-F79A-4461-88B9-5259661A7F46}" type="presOf" srcId="{212BDDD9-F466-44B0-BF08-2F54343EA4BF}" destId="{0EDED06E-237F-402F-9F69-58F0C1FE7942}" srcOrd="0" destOrd="0" presId="urn:microsoft.com/office/officeart/2005/8/layout/orgChart1"/>
    <dgm:cxn modelId="{75A292DC-112D-4862-A7C5-DB0FF1BDC2D4}" type="presOf" srcId="{B7BE6468-F7AA-4461-8270-DFF734595C52}" destId="{42441DEF-6E3D-491F-8176-F7B1E28620E2}" srcOrd="0" destOrd="0" presId="urn:microsoft.com/office/officeart/2005/8/layout/orgChart1"/>
    <dgm:cxn modelId="{2CE4E11D-091A-432F-BD0D-4B317EBCC250}" type="presOf" srcId="{9BD10187-CF68-4358-851D-37746B9BE424}" destId="{DC83E83E-40C3-49F0-A0B8-94CEBCEF9ABD}" srcOrd="0" destOrd="0" presId="urn:microsoft.com/office/officeart/2005/8/layout/orgChart1"/>
    <dgm:cxn modelId="{A288E31B-A23A-4646-B5FE-4BC8618CCE25}" srcId="{C20CBBE1-F2C5-4B87-8CB4-A7CE3BD88F7C}" destId="{C520A059-93E0-4C28-8796-8EB6E0AC8D7A}" srcOrd="1" destOrd="0" parTransId="{C00F096A-A98D-42E2-BF04-D1A5693611F6}" sibTransId="{5D283530-1C77-4CDD-AD68-38477EDE4558}"/>
    <dgm:cxn modelId="{DC56204A-18E7-4FB1-8400-29B7F2732B09}" type="presOf" srcId="{28DD8DA2-5C80-4928-B4CC-8CD560C83BFE}" destId="{26CF2FC0-6AAC-4915-9442-CC8DB71E68B0}" srcOrd="0" destOrd="0" presId="urn:microsoft.com/office/officeart/2005/8/layout/orgChart1"/>
    <dgm:cxn modelId="{5C037AC0-24FE-4CF2-90C9-9344E26C747F}" srcId="{DAA3EB2F-5589-493A-AB75-871564DDECB6}" destId="{9BD10187-CF68-4358-851D-37746B9BE424}" srcOrd="1" destOrd="0" parTransId="{FB1D9885-664A-4878-95A5-9E91E491B169}" sibTransId="{0B370881-17B1-4385-AE9E-2086C5378834}"/>
    <dgm:cxn modelId="{94266201-117D-4F9C-A7FC-D143F646C466}" type="presOf" srcId="{DAA3EB2F-5589-493A-AB75-871564DDECB6}" destId="{685742BF-A50C-4806-A825-522C4937F1B7}" srcOrd="0" destOrd="0" presId="urn:microsoft.com/office/officeart/2005/8/layout/orgChart1"/>
    <dgm:cxn modelId="{8B353327-DB6B-4133-B044-5C795324C009}" srcId="{BFE87DF3-3998-4CCD-A582-7B7ABC3F8F7F}" destId="{FAEB197E-7D85-4A1F-B6DF-60EBA2362F9E}" srcOrd="0" destOrd="0" parTransId="{803B7A48-98E2-4F7C-AEE8-B2A55F968BFE}" sibTransId="{A3F4B4E8-BFA9-4639-947B-4E55D5B9E0D3}"/>
    <dgm:cxn modelId="{8336E44A-4157-4057-A305-65E10BA3C2B2}" type="presOf" srcId="{D7839C98-4523-42E0-ABAE-0EF6149DE65B}" destId="{A0A28AB4-9C60-46F7-A91F-C4B01D356F97}" srcOrd="1" destOrd="0" presId="urn:microsoft.com/office/officeart/2005/8/layout/orgChart1"/>
    <dgm:cxn modelId="{B3280100-0164-4011-BE91-9BB0CC93AB26}" type="presOf" srcId="{958468FF-10A8-4789-9D58-666F9DC9BBC2}" destId="{C0A6442C-4B57-4F99-B92C-7EF2B0772A2F}" srcOrd="0" destOrd="0" presId="urn:microsoft.com/office/officeart/2005/8/layout/orgChart1"/>
    <dgm:cxn modelId="{1B860FEF-E18F-45B5-BD7D-E1AD3B833B10}" type="presOf" srcId="{140AA5CD-3B53-4DB0-9963-25A7E71F9A02}" destId="{1BE1566F-E0DA-4F19-AB64-E27C744351EB}" srcOrd="0" destOrd="0" presId="urn:microsoft.com/office/officeart/2005/8/layout/orgChart1"/>
    <dgm:cxn modelId="{E33F92D3-D70E-4873-9D44-EAF71AD5451B}" type="presOf" srcId="{BFE87DF3-3998-4CCD-A582-7B7ABC3F8F7F}" destId="{E5921F6C-DB30-4A59-80A6-3D5BB72DA8BE}" srcOrd="1" destOrd="0" presId="urn:microsoft.com/office/officeart/2005/8/layout/orgChart1"/>
    <dgm:cxn modelId="{9533DC70-4B5B-4D89-BB8D-FD47F5A4D0FF}" srcId="{BFE87DF3-3998-4CCD-A582-7B7ABC3F8F7F}" destId="{B7BE6468-F7AA-4461-8270-DFF734595C52}" srcOrd="3" destOrd="0" parTransId="{E07CF9C2-8C10-4193-96BE-0A22E9947AEC}" sibTransId="{3DE0BE77-7283-4AA4-ABF4-71AB92CCF73E}"/>
    <dgm:cxn modelId="{75CB20D1-E161-4B90-A30F-352642B4B474}" type="presOf" srcId="{452DB926-06E8-455B-84BD-DC0DD24F9824}" destId="{1090D344-54AC-4700-99AB-8BA4CFA008C5}" srcOrd="0" destOrd="0" presId="urn:microsoft.com/office/officeart/2005/8/layout/orgChart1"/>
    <dgm:cxn modelId="{A1654403-F241-4B6C-B3D4-77361F1C63E0}" type="presOf" srcId="{B7BE6468-F7AA-4461-8270-DFF734595C52}" destId="{8FAE5FEC-027B-4957-85CC-1C9369AA940D}" srcOrd="1" destOrd="0" presId="urn:microsoft.com/office/officeart/2005/8/layout/orgChart1"/>
    <dgm:cxn modelId="{5973D369-AED8-41B1-9585-BD611EC82C76}" type="presOf" srcId="{5CD30241-E44B-48D3-BDE3-A237484AE8EC}" destId="{3B93B33C-3533-4491-BF4A-C4085867E473}" srcOrd="1" destOrd="0" presId="urn:microsoft.com/office/officeart/2005/8/layout/orgChart1"/>
    <dgm:cxn modelId="{9FE88E93-9C59-4F1E-B361-5F5C7FF417DF}" type="presOf" srcId="{F3B10E13-90F0-4520-8066-BF6E8B694613}" destId="{3F99AA0B-1D4C-4466-AE53-9A3F0FE43AEE}" srcOrd="0" destOrd="0" presId="urn:microsoft.com/office/officeart/2005/8/layout/orgChart1"/>
    <dgm:cxn modelId="{8824953F-B71E-400C-906E-B5962585E1B9}" type="presOf" srcId="{E8A72010-618B-4597-A020-EDD03718BAD5}" destId="{DC5CAC46-146D-4E22-9E3E-9B9F24784FE3}" srcOrd="1" destOrd="0" presId="urn:microsoft.com/office/officeart/2005/8/layout/orgChart1"/>
    <dgm:cxn modelId="{08A8C436-A865-43A7-8BB2-84CEE4605BFF}" type="presOf" srcId="{C520A059-93E0-4C28-8796-8EB6E0AC8D7A}" destId="{5AC60B01-BEDA-46F8-8932-396C491415FA}" srcOrd="1" destOrd="0" presId="urn:microsoft.com/office/officeart/2005/8/layout/orgChart1"/>
    <dgm:cxn modelId="{6EE3CA99-85AF-4195-90E8-B321956C381C}" srcId="{E8A72010-618B-4597-A020-EDD03718BAD5}" destId="{C20CBBE1-F2C5-4B87-8CB4-A7CE3BD88F7C}" srcOrd="1" destOrd="0" parTransId="{12D15284-9CBA-4057-8835-96F694DA96E7}" sibTransId="{9C5ECE42-76C8-4E8D-A9EB-05C70061E01F}"/>
    <dgm:cxn modelId="{4E02865E-8E14-4D88-AB87-069E92CE5FC2}" srcId="{DAA3EB2F-5589-493A-AB75-871564DDECB6}" destId="{11D48FF1-D9AC-4B52-9A8E-D0517C9655BB}" srcOrd="0" destOrd="0" parTransId="{20E2EF96-95EE-4C55-B728-9C71E9BE7703}" sibTransId="{2EE4EC91-C03A-4352-A727-D9EB98BC6E8C}"/>
    <dgm:cxn modelId="{35D57712-7C99-45A0-B4C0-A3D02E203582}" srcId="{DAA3EB2F-5589-493A-AB75-871564DDECB6}" destId="{5CD30241-E44B-48D3-BDE3-A237484AE8EC}" srcOrd="2" destOrd="0" parTransId="{F3B10E13-90F0-4520-8066-BF6E8B694613}" sibTransId="{AD4D8E97-046D-4CC1-B54F-4001B9CB1F8D}"/>
    <dgm:cxn modelId="{1F0BA274-F854-47C2-882A-38E2CD47CEC7}" type="presOf" srcId="{140AA5CD-3B53-4DB0-9963-25A7E71F9A02}" destId="{68349D65-8CA1-4115-8E00-48F0D40158C7}" srcOrd="1" destOrd="0" presId="urn:microsoft.com/office/officeart/2005/8/layout/orgChart1"/>
    <dgm:cxn modelId="{F87B8234-3882-42C4-87FF-D267B7F76D68}" srcId="{BFE87DF3-3998-4CCD-A582-7B7ABC3F8F7F}" destId="{D7839C98-4523-42E0-ABAE-0EF6149DE65B}" srcOrd="2" destOrd="0" parTransId="{88BFD706-BE28-4942-A258-1D7C24CAD9AA}" sibTransId="{E275C2DE-1E52-474A-940B-87741431CF41}"/>
    <dgm:cxn modelId="{E4A686A2-D421-4660-BBB5-D67A8AC08F1E}" type="presOf" srcId="{C20CBBE1-F2C5-4B87-8CB4-A7CE3BD88F7C}" destId="{BCF9AF9A-D03E-4F12-863E-3CAEE6309E9B}" srcOrd="0" destOrd="0" presId="urn:microsoft.com/office/officeart/2005/8/layout/orgChart1"/>
    <dgm:cxn modelId="{87BA00DE-991B-43A6-A5BF-1D0B9683F24F}" type="presParOf" srcId="{FE9B6DB2-C6C0-4A25-A61E-2220844EBB00}" destId="{E7B56F8A-9460-447E-A472-7A69016F3597}" srcOrd="0" destOrd="0" presId="urn:microsoft.com/office/officeart/2005/8/layout/orgChart1"/>
    <dgm:cxn modelId="{4A2AA248-28CC-442B-91E5-0BDA9003F71F}" type="presParOf" srcId="{E7B56F8A-9460-447E-A472-7A69016F3597}" destId="{8DE96D84-5B32-4248-9EA2-F0D47CC04851}" srcOrd="0" destOrd="0" presId="urn:microsoft.com/office/officeart/2005/8/layout/orgChart1"/>
    <dgm:cxn modelId="{3849AA77-84B4-4202-AE9D-78A82F180EB7}" type="presParOf" srcId="{8DE96D84-5B32-4248-9EA2-F0D47CC04851}" destId="{4D876064-BBD2-402D-97A6-9ECB243FA4F9}" srcOrd="0" destOrd="0" presId="urn:microsoft.com/office/officeart/2005/8/layout/orgChart1"/>
    <dgm:cxn modelId="{31A45B38-B9EB-4528-A1E4-0E58A40FF440}" type="presParOf" srcId="{8DE96D84-5B32-4248-9EA2-F0D47CC04851}" destId="{DC5CAC46-146D-4E22-9E3E-9B9F24784FE3}" srcOrd="1" destOrd="0" presId="urn:microsoft.com/office/officeart/2005/8/layout/orgChart1"/>
    <dgm:cxn modelId="{981CB35E-E7BC-4A57-9591-3B98F89BE5EB}" type="presParOf" srcId="{E7B56F8A-9460-447E-A472-7A69016F3597}" destId="{39F57B1F-75F7-4627-8809-BB27086055AF}" srcOrd="1" destOrd="0" presId="urn:microsoft.com/office/officeart/2005/8/layout/orgChart1"/>
    <dgm:cxn modelId="{B9EC1F87-1BBC-4576-9038-03CB48F72B47}" type="presParOf" srcId="{39F57B1F-75F7-4627-8809-BB27086055AF}" destId="{0EDED06E-237F-402F-9F69-58F0C1FE7942}" srcOrd="0" destOrd="0" presId="urn:microsoft.com/office/officeart/2005/8/layout/orgChart1"/>
    <dgm:cxn modelId="{D1B50ADE-977C-453A-BBF1-6B646AF3663A}" type="presParOf" srcId="{39F57B1F-75F7-4627-8809-BB27086055AF}" destId="{96467521-42F1-4DD4-A3A6-01873C4F4DB7}" srcOrd="1" destOrd="0" presId="urn:microsoft.com/office/officeart/2005/8/layout/orgChart1"/>
    <dgm:cxn modelId="{E06C267E-0716-44E8-9347-2C6098E65D8F}" type="presParOf" srcId="{96467521-42F1-4DD4-A3A6-01873C4F4DB7}" destId="{A4B4FAD0-1648-49AA-AB68-BCFB128DB178}" srcOrd="0" destOrd="0" presId="urn:microsoft.com/office/officeart/2005/8/layout/orgChart1"/>
    <dgm:cxn modelId="{75A11EE4-6E11-43B9-B342-8C645865FBDE}" type="presParOf" srcId="{A4B4FAD0-1648-49AA-AB68-BCFB128DB178}" destId="{B1AA7480-BA9E-4859-B64A-DBE054795DCC}" srcOrd="0" destOrd="0" presId="urn:microsoft.com/office/officeart/2005/8/layout/orgChart1"/>
    <dgm:cxn modelId="{634CAD73-AE89-4AF2-9BBB-D3562E8362FE}" type="presParOf" srcId="{A4B4FAD0-1648-49AA-AB68-BCFB128DB178}" destId="{E4AC54CF-9DAC-46CD-90D9-4B2C5A8CD010}" srcOrd="1" destOrd="0" presId="urn:microsoft.com/office/officeart/2005/8/layout/orgChart1"/>
    <dgm:cxn modelId="{5DB0C7E2-9399-4755-8B2A-49B11FBCC9CF}" type="presParOf" srcId="{96467521-42F1-4DD4-A3A6-01873C4F4DB7}" destId="{4C937F9B-98F1-4D86-93D9-E8F168F2EAD8}" srcOrd="1" destOrd="0" presId="urn:microsoft.com/office/officeart/2005/8/layout/orgChart1"/>
    <dgm:cxn modelId="{A4C71B44-C1D5-462D-AAC8-A381CEB26ABE}" type="presParOf" srcId="{4C937F9B-98F1-4D86-93D9-E8F168F2EAD8}" destId="{2783CD37-4A3C-4CB0-960E-53C6C0DA4D21}" srcOrd="0" destOrd="0" presId="urn:microsoft.com/office/officeart/2005/8/layout/orgChart1"/>
    <dgm:cxn modelId="{D87C4F49-81BC-4C9D-95D3-9377E4D26340}" type="presParOf" srcId="{4C937F9B-98F1-4D86-93D9-E8F168F2EAD8}" destId="{267DCCE8-CD81-4439-B243-7FED7D7A2611}" srcOrd="1" destOrd="0" presId="urn:microsoft.com/office/officeart/2005/8/layout/orgChart1"/>
    <dgm:cxn modelId="{4679DB63-1E8D-4D55-B077-E17E85BFFAC5}" type="presParOf" srcId="{267DCCE8-CD81-4439-B243-7FED7D7A2611}" destId="{A1856F87-846B-4BD1-87BE-29F35256F993}" srcOrd="0" destOrd="0" presId="urn:microsoft.com/office/officeart/2005/8/layout/orgChart1"/>
    <dgm:cxn modelId="{3F1E97C9-339E-419E-B71C-933C006625AD}" type="presParOf" srcId="{A1856F87-846B-4BD1-87BE-29F35256F993}" destId="{685742BF-A50C-4806-A825-522C4937F1B7}" srcOrd="0" destOrd="0" presId="urn:microsoft.com/office/officeart/2005/8/layout/orgChart1"/>
    <dgm:cxn modelId="{4F510A62-86F7-41F1-B3E8-645852E7E808}" type="presParOf" srcId="{A1856F87-846B-4BD1-87BE-29F35256F993}" destId="{57A08454-0F39-4F99-929C-8DBBAD809949}" srcOrd="1" destOrd="0" presId="urn:microsoft.com/office/officeart/2005/8/layout/orgChart1"/>
    <dgm:cxn modelId="{591E91E4-D75A-467D-849B-AACADD13A354}" type="presParOf" srcId="{267DCCE8-CD81-4439-B243-7FED7D7A2611}" destId="{5CA74BC4-9F33-4431-8FFB-55BAFFD9124E}" srcOrd="1" destOrd="0" presId="urn:microsoft.com/office/officeart/2005/8/layout/orgChart1"/>
    <dgm:cxn modelId="{670B231B-CE66-4B88-9D52-551D1007B72A}" type="presParOf" srcId="{5CA74BC4-9F33-4431-8FFB-55BAFFD9124E}" destId="{5304E83E-F10B-43E9-BA46-C8B768AB3F82}" srcOrd="0" destOrd="0" presId="urn:microsoft.com/office/officeart/2005/8/layout/orgChart1"/>
    <dgm:cxn modelId="{F1F5719E-F604-4822-B721-D9DABBD7396F}" type="presParOf" srcId="{5CA74BC4-9F33-4431-8FFB-55BAFFD9124E}" destId="{95CDA328-F175-4AD2-9174-A682F06F1A9C}" srcOrd="1" destOrd="0" presId="urn:microsoft.com/office/officeart/2005/8/layout/orgChart1"/>
    <dgm:cxn modelId="{3FAFA44D-B95A-4882-B682-4C5FE4323ADE}" type="presParOf" srcId="{95CDA328-F175-4AD2-9174-A682F06F1A9C}" destId="{A2029460-A2C8-412E-9AA2-681BEBD87716}" srcOrd="0" destOrd="0" presId="urn:microsoft.com/office/officeart/2005/8/layout/orgChart1"/>
    <dgm:cxn modelId="{76ADB4B7-DB24-4D82-976D-9719115C57E9}" type="presParOf" srcId="{A2029460-A2C8-412E-9AA2-681BEBD87716}" destId="{EF874B7A-8BD8-40F0-BAD8-3826505D0952}" srcOrd="0" destOrd="0" presId="urn:microsoft.com/office/officeart/2005/8/layout/orgChart1"/>
    <dgm:cxn modelId="{F0D03B58-3988-4421-A2DF-00B54570F1C1}" type="presParOf" srcId="{A2029460-A2C8-412E-9AA2-681BEBD87716}" destId="{8A3B20E3-4E78-413B-84D8-6B770ADEC816}" srcOrd="1" destOrd="0" presId="urn:microsoft.com/office/officeart/2005/8/layout/orgChart1"/>
    <dgm:cxn modelId="{2891848C-DAE5-4E98-9938-E58ED3ACE315}" type="presParOf" srcId="{95CDA328-F175-4AD2-9174-A682F06F1A9C}" destId="{0F1ACFB5-D3C2-4EB1-8B92-B9BE53A2867D}" srcOrd="1" destOrd="0" presId="urn:microsoft.com/office/officeart/2005/8/layout/orgChart1"/>
    <dgm:cxn modelId="{27A62C80-6702-4024-8ADB-3026E0A4DE61}" type="presParOf" srcId="{95CDA328-F175-4AD2-9174-A682F06F1A9C}" destId="{DA4E8E3F-C42D-4242-AE02-C25EEC33D701}" srcOrd="2" destOrd="0" presId="urn:microsoft.com/office/officeart/2005/8/layout/orgChart1"/>
    <dgm:cxn modelId="{0137BCFC-06EC-489E-9711-6BB77FD29448}" type="presParOf" srcId="{5CA74BC4-9F33-4431-8FFB-55BAFFD9124E}" destId="{AFB0424E-920F-4339-841C-F342E6896BBC}" srcOrd="2" destOrd="0" presId="urn:microsoft.com/office/officeart/2005/8/layout/orgChart1"/>
    <dgm:cxn modelId="{CE8F2614-B5CB-4B68-8431-D3283B94C205}" type="presParOf" srcId="{5CA74BC4-9F33-4431-8FFB-55BAFFD9124E}" destId="{00514DA3-6F89-4480-B432-648511438004}" srcOrd="3" destOrd="0" presId="urn:microsoft.com/office/officeart/2005/8/layout/orgChart1"/>
    <dgm:cxn modelId="{3B4E1B95-E6CD-4E84-A84B-5DA4ACDEFEEF}" type="presParOf" srcId="{00514DA3-6F89-4480-B432-648511438004}" destId="{E98762B6-3096-4EE9-ABFB-BE922D2DCDB1}" srcOrd="0" destOrd="0" presId="urn:microsoft.com/office/officeart/2005/8/layout/orgChart1"/>
    <dgm:cxn modelId="{B5A66CAD-BE60-49F5-A254-F75C2CA2333C}" type="presParOf" srcId="{E98762B6-3096-4EE9-ABFB-BE922D2DCDB1}" destId="{DC83E83E-40C3-49F0-A0B8-94CEBCEF9ABD}" srcOrd="0" destOrd="0" presId="urn:microsoft.com/office/officeart/2005/8/layout/orgChart1"/>
    <dgm:cxn modelId="{DD87E2D4-FF72-4B4E-A7B8-00A8FA2BA02A}" type="presParOf" srcId="{E98762B6-3096-4EE9-ABFB-BE922D2DCDB1}" destId="{01DE3D58-BB9C-4D37-A6F8-059AF9D5D875}" srcOrd="1" destOrd="0" presId="urn:microsoft.com/office/officeart/2005/8/layout/orgChart1"/>
    <dgm:cxn modelId="{4F251153-1EA5-4FEB-BD0A-0ED6270846D0}" type="presParOf" srcId="{00514DA3-6F89-4480-B432-648511438004}" destId="{2E8FA9A3-31D5-42C9-9F9D-059603DD20BE}" srcOrd="1" destOrd="0" presId="urn:microsoft.com/office/officeart/2005/8/layout/orgChart1"/>
    <dgm:cxn modelId="{FAF162A7-C063-4550-91B8-149729ECE3E6}" type="presParOf" srcId="{00514DA3-6F89-4480-B432-648511438004}" destId="{E39AA4AE-A070-46AC-B135-E5BD08BF346C}" srcOrd="2" destOrd="0" presId="urn:microsoft.com/office/officeart/2005/8/layout/orgChart1"/>
    <dgm:cxn modelId="{78D8FA05-15E1-494D-904E-809A31B0BA84}" type="presParOf" srcId="{5CA74BC4-9F33-4431-8FFB-55BAFFD9124E}" destId="{3F99AA0B-1D4C-4466-AE53-9A3F0FE43AEE}" srcOrd="4" destOrd="0" presId="urn:microsoft.com/office/officeart/2005/8/layout/orgChart1"/>
    <dgm:cxn modelId="{FE1BB135-FC0C-4DCF-BE4F-794B91C217C6}" type="presParOf" srcId="{5CA74BC4-9F33-4431-8FFB-55BAFFD9124E}" destId="{B2B108E6-04BD-429C-99AB-8BC377D3C954}" srcOrd="5" destOrd="0" presId="urn:microsoft.com/office/officeart/2005/8/layout/orgChart1"/>
    <dgm:cxn modelId="{DAD778B4-033F-4155-BAAE-83AD9DFBDF50}" type="presParOf" srcId="{B2B108E6-04BD-429C-99AB-8BC377D3C954}" destId="{41833778-D08F-4F7F-AE45-B7C4C3F87639}" srcOrd="0" destOrd="0" presId="urn:microsoft.com/office/officeart/2005/8/layout/orgChart1"/>
    <dgm:cxn modelId="{F060D2A7-EEDB-4F0F-8B00-2D2B4D6561FF}" type="presParOf" srcId="{41833778-D08F-4F7F-AE45-B7C4C3F87639}" destId="{E2F0CD97-C806-4B85-999F-FD0D39CA6811}" srcOrd="0" destOrd="0" presId="urn:microsoft.com/office/officeart/2005/8/layout/orgChart1"/>
    <dgm:cxn modelId="{FD949C3E-F135-4178-A7F4-C0CDC7F319E3}" type="presParOf" srcId="{41833778-D08F-4F7F-AE45-B7C4C3F87639}" destId="{3B93B33C-3533-4491-BF4A-C4085867E473}" srcOrd="1" destOrd="0" presId="urn:microsoft.com/office/officeart/2005/8/layout/orgChart1"/>
    <dgm:cxn modelId="{CB27DD76-2D63-4E10-BF2F-AC20E34D82EA}" type="presParOf" srcId="{B2B108E6-04BD-429C-99AB-8BC377D3C954}" destId="{E51D1719-21E2-4E3A-B1AC-5F70B39C2A76}" srcOrd="1" destOrd="0" presId="urn:microsoft.com/office/officeart/2005/8/layout/orgChart1"/>
    <dgm:cxn modelId="{524A951A-A730-4701-9631-6D77A9271804}" type="presParOf" srcId="{B2B108E6-04BD-429C-99AB-8BC377D3C954}" destId="{CD10B3E6-BE5E-4E47-8591-47B3022F7D50}" srcOrd="2" destOrd="0" presId="urn:microsoft.com/office/officeart/2005/8/layout/orgChart1"/>
    <dgm:cxn modelId="{7B8AB4E9-1EDB-4EFD-80E5-52545B64ADDE}" type="presParOf" srcId="{267DCCE8-CD81-4439-B243-7FED7D7A2611}" destId="{F0628EC6-D9BF-48A3-AE48-614781173127}" srcOrd="2" destOrd="0" presId="urn:microsoft.com/office/officeart/2005/8/layout/orgChart1"/>
    <dgm:cxn modelId="{137226B8-86A9-487E-AD76-A61F5EFE28DA}" type="presParOf" srcId="{4C937F9B-98F1-4D86-93D9-E8F168F2EAD8}" destId="{1090D344-54AC-4700-99AB-8BA4CFA008C5}" srcOrd="2" destOrd="0" presId="urn:microsoft.com/office/officeart/2005/8/layout/orgChart1"/>
    <dgm:cxn modelId="{3C0F7C04-950E-46E7-8BDB-007353783BB4}" type="presParOf" srcId="{4C937F9B-98F1-4D86-93D9-E8F168F2EAD8}" destId="{DEFD06B0-5502-4B75-BD96-9041B9F150E4}" srcOrd="3" destOrd="0" presId="urn:microsoft.com/office/officeart/2005/8/layout/orgChart1"/>
    <dgm:cxn modelId="{713458E5-11D8-49CE-AFFE-8853FF8C82D5}" type="presParOf" srcId="{DEFD06B0-5502-4B75-BD96-9041B9F150E4}" destId="{8490034C-981B-4D8E-955A-F23F1A6A2A36}" srcOrd="0" destOrd="0" presId="urn:microsoft.com/office/officeart/2005/8/layout/orgChart1"/>
    <dgm:cxn modelId="{1DB49468-5200-4718-97D4-186333B2A9B4}" type="presParOf" srcId="{8490034C-981B-4D8E-955A-F23F1A6A2A36}" destId="{B1949F03-8057-46DB-B344-CD4363AD1D3D}" srcOrd="0" destOrd="0" presId="urn:microsoft.com/office/officeart/2005/8/layout/orgChart1"/>
    <dgm:cxn modelId="{554B0CAC-CD2E-4B7F-9FBC-57C014EC8532}" type="presParOf" srcId="{8490034C-981B-4D8E-955A-F23F1A6A2A36}" destId="{E5921F6C-DB30-4A59-80A6-3D5BB72DA8BE}" srcOrd="1" destOrd="0" presId="urn:microsoft.com/office/officeart/2005/8/layout/orgChart1"/>
    <dgm:cxn modelId="{6D2218E7-8254-48FF-85DE-95278EA4F741}" type="presParOf" srcId="{DEFD06B0-5502-4B75-BD96-9041B9F150E4}" destId="{FA412C8E-3BBD-4024-BE4D-26AE81B6B2B7}" srcOrd="1" destOrd="0" presId="urn:microsoft.com/office/officeart/2005/8/layout/orgChart1"/>
    <dgm:cxn modelId="{543097CE-C169-41D2-91BB-E7C720E97A24}" type="presParOf" srcId="{FA412C8E-3BBD-4024-BE4D-26AE81B6B2B7}" destId="{374CD110-3847-45EE-B723-A29C08052964}" srcOrd="0" destOrd="0" presId="urn:microsoft.com/office/officeart/2005/8/layout/orgChart1"/>
    <dgm:cxn modelId="{ACBB9F42-15FE-47CC-B2C4-E49C9A2D6756}" type="presParOf" srcId="{FA412C8E-3BBD-4024-BE4D-26AE81B6B2B7}" destId="{7B79D2AC-70E2-4E65-8C2B-10A362302B72}" srcOrd="1" destOrd="0" presId="urn:microsoft.com/office/officeart/2005/8/layout/orgChart1"/>
    <dgm:cxn modelId="{44D857F1-CC62-40F8-BA76-33BA1D088215}" type="presParOf" srcId="{7B79D2AC-70E2-4E65-8C2B-10A362302B72}" destId="{C4719F78-B726-4D68-83A7-73FE12A6F9A4}" srcOrd="0" destOrd="0" presId="urn:microsoft.com/office/officeart/2005/8/layout/orgChart1"/>
    <dgm:cxn modelId="{2C8E2680-6B7C-4BF5-B78B-39E84BED6241}" type="presParOf" srcId="{C4719F78-B726-4D68-83A7-73FE12A6F9A4}" destId="{1343A2FB-9A78-4AC6-85F1-9AA13FCDD695}" srcOrd="0" destOrd="0" presId="urn:microsoft.com/office/officeart/2005/8/layout/orgChart1"/>
    <dgm:cxn modelId="{96556FD8-991A-4B80-AF7F-B9EAB51C239E}" type="presParOf" srcId="{C4719F78-B726-4D68-83A7-73FE12A6F9A4}" destId="{54157F02-ABFF-466D-8E17-13C4FE6AE977}" srcOrd="1" destOrd="0" presId="urn:microsoft.com/office/officeart/2005/8/layout/orgChart1"/>
    <dgm:cxn modelId="{6D1C0BCE-67D0-49A4-8201-8B0859013A11}" type="presParOf" srcId="{7B79D2AC-70E2-4E65-8C2B-10A362302B72}" destId="{1C741C14-39BA-41E1-AA52-AA76B5A17FC1}" srcOrd="1" destOrd="0" presId="urn:microsoft.com/office/officeart/2005/8/layout/orgChart1"/>
    <dgm:cxn modelId="{FE9FA361-B0D2-4049-8D42-10587707D14B}" type="presParOf" srcId="{7B79D2AC-70E2-4E65-8C2B-10A362302B72}" destId="{3BDBB984-54FE-42C7-9590-F95269610C6E}" srcOrd="2" destOrd="0" presId="urn:microsoft.com/office/officeart/2005/8/layout/orgChart1"/>
    <dgm:cxn modelId="{244349F3-A60D-49BB-B2DA-95030DF0DAB5}" type="presParOf" srcId="{FA412C8E-3BBD-4024-BE4D-26AE81B6B2B7}" destId="{976EFC49-DA0F-43CE-919D-7174F25A5EED}" srcOrd="2" destOrd="0" presId="urn:microsoft.com/office/officeart/2005/8/layout/orgChart1"/>
    <dgm:cxn modelId="{C0EC3BA9-F463-41A0-9BD0-65BF2691EC4A}" type="presParOf" srcId="{FA412C8E-3BBD-4024-BE4D-26AE81B6B2B7}" destId="{4178CC95-1D72-41E6-8AE1-26E0FA184AB4}" srcOrd="3" destOrd="0" presId="urn:microsoft.com/office/officeart/2005/8/layout/orgChart1"/>
    <dgm:cxn modelId="{7B134436-1017-442D-86E9-807FDA0D0566}" type="presParOf" srcId="{4178CC95-1D72-41E6-8AE1-26E0FA184AB4}" destId="{0ABBF74C-29CA-47F1-9C73-D660E20B1FD9}" srcOrd="0" destOrd="0" presId="urn:microsoft.com/office/officeart/2005/8/layout/orgChart1"/>
    <dgm:cxn modelId="{4DE18D41-CBDA-47BF-92CC-7A7035C5684F}" type="presParOf" srcId="{0ABBF74C-29CA-47F1-9C73-D660E20B1FD9}" destId="{C0A6442C-4B57-4F99-B92C-7EF2B0772A2F}" srcOrd="0" destOrd="0" presId="urn:microsoft.com/office/officeart/2005/8/layout/orgChart1"/>
    <dgm:cxn modelId="{CED584EF-3588-4680-901A-CF92F001F85F}" type="presParOf" srcId="{0ABBF74C-29CA-47F1-9C73-D660E20B1FD9}" destId="{014D66A7-D85A-42A5-B35F-FD7731D4E424}" srcOrd="1" destOrd="0" presId="urn:microsoft.com/office/officeart/2005/8/layout/orgChart1"/>
    <dgm:cxn modelId="{3591D9B3-D4D5-4049-A9EE-8ABDD638BE6E}" type="presParOf" srcId="{4178CC95-1D72-41E6-8AE1-26E0FA184AB4}" destId="{27EA7D99-D1BF-4059-9BA8-0686FBEE2F79}" srcOrd="1" destOrd="0" presId="urn:microsoft.com/office/officeart/2005/8/layout/orgChart1"/>
    <dgm:cxn modelId="{6DAF901A-AAAB-4565-839B-3DF4682FB45D}" type="presParOf" srcId="{4178CC95-1D72-41E6-8AE1-26E0FA184AB4}" destId="{CBEE7897-3A97-4ED5-966A-295B6B8DCB63}" srcOrd="2" destOrd="0" presId="urn:microsoft.com/office/officeart/2005/8/layout/orgChart1"/>
    <dgm:cxn modelId="{7AF53BAD-59B2-4256-8DFB-C7E43F956057}" type="presParOf" srcId="{FA412C8E-3BBD-4024-BE4D-26AE81B6B2B7}" destId="{277CD282-90F3-40A0-AF8F-917F658ED55C}" srcOrd="4" destOrd="0" presId="urn:microsoft.com/office/officeart/2005/8/layout/orgChart1"/>
    <dgm:cxn modelId="{6BE3149F-8A70-47E2-AFD0-898C79D6FAEC}" type="presParOf" srcId="{FA412C8E-3BBD-4024-BE4D-26AE81B6B2B7}" destId="{D3366B12-57F8-4658-807B-B7D0CBF10921}" srcOrd="5" destOrd="0" presId="urn:microsoft.com/office/officeart/2005/8/layout/orgChart1"/>
    <dgm:cxn modelId="{31D41DB9-F431-4F38-8EB3-D4CCD1D7FB0B}" type="presParOf" srcId="{D3366B12-57F8-4658-807B-B7D0CBF10921}" destId="{EE268EF7-AE50-416D-9FE4-A8C296B6C4C8}" srcOrd="0" destOrd="0" presId="urn:microsoft.com/office/officeart/2005/8/layout/orgChart1"/>
    <dgm:cxn modelId="{9902A752-3BA8-4CC8-A953-AC7F4F189CDC}" type="presParOf" srcId="{EE268EF7-AE50-416D-9FE4-A8C296B6C4C8}" destId="{3687DEDE-D222-424B-B9A1-1F60C24C64D1}" srcOrd="0" destOrd="0" presId="urn:microsoft.com/office/officeart/2005/8/layout/orgChart1"/>
    <dgm:cxn modelId="{9601C912-1FC1-4AA7-92AC-4A5A2920251A}" type="presParOf" srcId="{EE268EF7-AE50-416D-9FE4-A8C296B6C4C8}" destId="{A0A28AB4-9C60-46F7-A91F-C4B01D356F97}" srcOrd="1" destOrd="0" presId="urn:microsoft.com/office/officeart/2005/8/layout/orgChart1"/>
    <dgm:cxn modelId="{74EE37C0-8DE7-42C3-BED4-0AF0BAF415A6}" type="presParOf" srcId="{D3366B12-57F8-4658-807B-B7D0CBF10921}" destId="{FA387A3A-37D6-4688-A301-1DE3244DDCD9}" srcOrd="1" destOrd="0" presId="urn:microsoft.com/office/officeart/2005/8/layout/orgChart1"/>
    <dgm:cxn modelId="{CC01196E-A3DB-4313-9AB5-27C4492DB0FB}" type="presParOf" srcId="{D3366B12-57F8-4658-807B-B7D0CBF10921}" destId="{99E69A43-AC4B-486C-91C0-80730CCCAC0A}" srcOrd="2" destOrd="0" presId="urn:microsoft.com/office/officeart/2005/8/layout/orgChart1"/>
    <dgm:cxn modelId="{6F295573-A555-49B7-B205-15431BC4B306}" type="presParOf" srcId="{FA412C8E-3BBD-4024-BE4D-26AE81B6B2B7}" destId="{EB4D4C1E-E1BD-4688-B1D3-B5327DD60754}" srcOrd="6" destOrd="0" presId="urn:microsoft.com/office/officeart/2005/8/layout/orgChart1"/>
    <dgm:cxn modelId="{A2D536B0-94C8-4BAE-B787-7EE09136288F}" type="presParOf" srcId="{FA412C8E-3BBD-4024-BE4D-26AE81B6B2B7}" destId="{637A2AB9-3E0A-4E00-9AFB-BE437BFA82F7}" srcOrd="7" destOrd="0" presId="urn:microsoft.com/office/officeart/2005/8/layout/orgChart1"/>
    <dgm:cxn modelId="{5D2443F4-7122-4D41-85BE-43BB33281D9F}" type="presParOf" srcId="{637A2AB9-3E0A-4E00-9AFB-BE437BFA82F7}" destId="{B515F2F1-59C6-425E-B5DB-0851BE4599E6}" srcOrd="0" destOrd="0" presId="urn:microsoft.com/office/officeart/2005/8/layout/orgChart1"/>
    <dgm:cxn modelId="{76FAD97E-7850-41F5-8D2A-1808B67C4E0D}" type="presParOf" srcId="{B515F2F1-59C6-425E-B5DB-0851BE4599E6}" destId="{42441DEF-6E3D-491F-8176-F7B1E28620E2}" srcOrd="0" destOrd="0" presId="urn:microsoft.com/office/officeart/2005/8/layout/orgChart1"/>
    <dgm:cxn modelId="{2012F6E3-55F8-4D83-AE48-6BA584866A26}" type="presParOf" srcId="{B515F2F1-59C6-425E-B5DB-0851BE4599E6}" destId="{8FAE5FEC-027B-4957-85CC-1C9369AA940D}" srcOrd="1" destOrd="0" presId="urn:microsoft.com/office/officeart/2005/8/layout/orgChart1"/>
    <dgm:cxn modelId="{044921D1-8188-45E4-8E20-CBD11B7F4793}" type="presParOf" srcId="{637A2AB9-3E0A-4E00-9AFB-BE437BFA82F7}" destId="{C50B8E5D-65C7-4498-8665-5A4237CE493E}" srcOrd="1" destOrd="0" presId="urn:microsoft.com/office/officeart/2005/8/layout/orgChart1"/>
    <dgm:cxn modelId="{378EBA62-F3DF-4CB9-8408-129041791916}" type="presParOf" srcId="{637A2AB9-3E0A-4E00-9AFB-BE437BFA82F7}" destId="{DC221C28-74C1-4F17-8173-D6011E0AA6B6}" srcOrd="2" destOrd="0" presId="urn:microsoft.com/office/officeart/2005/8/layout/orgChart1"/>
    <dgm:cxn modelId="{DCBB4116-C1DE-4D4D-A5F9-AF00F29EA208}" type="presParOf" srcId="{FA412C8E-3BBD-4024-BE4D-26AE81B6B2B7}" destId="{B58CF812-969A-47D2-B5C5-5E4506C2A1CD}" srcOrd="8" destOrd="0" presId="urn:microsoft.com/office/officeart/2005/8/layout/orgChart1"/>
    <dgm:cxn modelId="{C01C19A7-35A6-470E-91A0-E4289A5B72BF}" type="presParOf" srcId="{FA412C8E-3BBD-4024-BE4D-26AE81B6B2B7}" destId="{D7DF6806-0BAA-41C1-BE1B-E00C3F928191}" srcOrd="9" destOrd="0" presId="urn:microsoft.com/office/officeart/2005/8/layout/orgChart1"/>
    <dgm:cxn modelId="{2DB2CE0F-E481-4053-A43E-23734BE781CF}" type="presParOf" srcId="{D7DF6806-0BAA-41C1-BE1B-E00C3F928191}" destId="{B1FBA254-C02D-4045-B7B5-6F138DBD5F39}" srcOrd="0" destOrd="0" presId="urn:microsoft.com/office/officeart/2005/8/layout/orgChart1"/>
    <dgm:cxn modelId="{2616819B-2578-4F33-9FC6-4945351C5C95}" type="presParOf" srcId="{B1FBA254-C02D-4045-B7B5-6F138DBD5F39}" destId="{1BE1566F-E0DA-4F19-AB64-E27C744351EB}" srcOrd="0" destOrd="0" presId="urn:microsoft.com/office/officeart/2005/8/layout/orgChart1"/>
    <dgm:cxn modelId="{3B8D7BF4-F397-48DC-875B-D50D0B202EBC}" type="presParOf" srcId="{B1FBA254-C02D-4045-B7B5-6F138DBD5F39}" destId="{68349D65-8CA1-4115-8E00-48F0D40158C7}" srcOrd="1" destOrd="0" presId="urn:microsoft.com/office/officeart/2005/8/layout/orgChart1"/>
    <dgm:cxn modelId="{FE91C09C-6224-4EAC-9C35-144E1F43630B}" type="presParOf" srcId="{D7DF6806-0BAA-41C1-BE1B-E00C3F928191}" destId="{4B388373-F77F-4A76-8FE2-A4298BBA242D}" srcOrd="1" destOrd="0" presId="urn:microsoft.com/office/officeart/2005/8/layout/orgChart1"/>
    <dgm:cxn modelId="{3E6354F4-471D-471B-A61F-99FE146EB3A1}" type="presParOf" srcId="{D7DF6806-0BAA-41C1-BE1B-E00C3F928191}" destId="{F3EE3520-3CEA-4EAC-9ECE-1B529F60DF2E}" srcOrd="2" destOrd="0" presId="urn:microsoft.com/office/officeart/2005/8/layout/orgChart1"/>
    <dgm:cxn modelId="{DC74D41C-9AF3-4373-8931-AD37708CAF15}" type="presParOf" srcId="{DEFD06B0-5502-4B75-BD96-9041B9F150E4}" destId="{7C3BF277-2FAA-4568-A4F0-1527BB1990ED}" srcOrd="2" destOrd="0" presId="urn:microsoft.com/office/officeart/2005/8/layout/orgChart1"/>
    <dgm:cxn modelId="{84C8F0C9-8A03-4F2A-9C62-CF2F69441BAC}" type="presParOf" srcId="{96467521-42F1-4DD4-A3A6-01873C4F4DB7}" destId="{5DD0E74E-F92B-488E-834D-5EB711DECA63}" srcOrd="2" destOrd="0" presId="urn:microsoft.com/office/officeart/2005/8/layout/orgChart1"/>
    <dgm:cxn modelId="{2EF205B4-B12A-40A0-AD0A-5B4E934C6430}" type="presParOf" srcId="{39F57B1F-75F7-4627-8809-BB27086055AF}" destId="{3F7CA9D4-2F10-40CC-A3A9-118304FB9B94}" srcOrd="2" destOrd="0" presId="urn:microsoft.com/office/officeart/2005/8/layout/orgChart1"/>
    <dgm:cxn modelId="{C4155EEC-639C-42B7-86BB-C18B04A29843}" type="presParOf" srcId="{39F57B1F-75F7-4627-8809-BB27086055AF}" destId="{038D9F07-EA61-41F6-946F-8BDC72C4B33D}" srcOrd="3" destOrd="0" presId="urn:microsoft.com/office/officeart/2005/8/layout/orgChart1"/>
    <dgm:cxn modelId="{371CBF3F-C87E-4294-B940-9DC367E04A43}" type="presParOf" srcId="{038D9F07-EA61-41F6-946F-8BDC72C4B33D}" destId="{23D0DD7A-D0A2-439D-92C8-D7D6BDB9C7CC}" srcOrd="0" destOrd="0" presId="urn:microsoft.com/office/officeart/2005/8/layout/orgChart1"/>
    <dgm:cxn modelId="{10BDE604-FA56-4D9B-A4AE-6FEE3E1B40F2}" type="presParOf" srcId="{23D0DD7A-D0A2-439D-92C8-D7D6BDB9C7CC}" destId="{BCF9AF9A-D03E-4F12-863E-3CAEE6309E9B}" srcOrd="0" destOrd="0" presId="urn:microsoft.com/office/officeart/2005/8/layout/orgChart1"/>
    <dgm:cxn modelId="{602A42C9-DFAA-49EA-815A-97FED37C2467}" type="presParOf" srcId="{23D0DD7A-D0A2-439D-92C8-D7D6BDB9C7CC}" destId="{24CD8AD8-6DBC-4F34-ACAB-2152A7404EA3}" srcOrd="1" destOrd="0" presId="urn:microsoft.com/office/officeart/2005/8/layout/orgChart1"/>
    <dgm:cxn modelId="{37E61795-E390-4C2B-9401-6C178D17B34E}" type="presParOf" srcId="{038D9F07-EA61-41F6-946F-8BDC72C4B33D}" destId="{DC9C3E95-766B-40F5-B951-8749EB15EF8D}" srcOrd="1" destOrd="0" presId="urn:microsoft.com/office/officeart/2005/8/layout/orgChart1"/>
    <dgm:cxn modelId="{1FB9C4A9-8FD3-40BE-A6C1-1E5483A70BC5}" type="presParOf" srcId="{DC9C3E95-766B-40F5-B951-8749EB15EF8D}" destId="{7F9188D1-8549-4771-B5DB-F5312091D6DA}" srcOrd="0" destOrd="0" presId="urn:microsoft.com/office/officeart/2005/8/layout/orgChart1"/>
    <dgm:cxn modelId="{BA41B2CB-FCA3-45AF-9390-734E7D094560}" type="presParOf" srcId="{DC9C3E95-766B-40F5-B951-8749EB15EF8D}" destId="{492E8CBE-2999-4D7D-B76B-F79277B4EEA6}" srcOrd="1" destOrd="0" presId="urn:microsoft.com/office/officeart/2005/8/layout/orgChart1"/>
    <dgm:cxn modelId="{FE487FD0-2565-4215-81BC-1AFF2DB250B7}" type="presParOf" srcId="{492E8CBE-2999-4D7D-B76B-F79277B4EEA6}" destId="{D0932803-5966-4F06-A881-EC5F042DD395}" srcOrd="0" destOrd="0" presId="urn:microsoft.com/office/officeart/2005/8/layout/orgChart1"/>
    <dgm:cxn modelId="{6DEC88CD-71F2-41EA-902B-3C20971F4669}" type="presParOf" srcId="{D0932803-5966-4F06-A881-EC5F042DD395}" destId="{26CF2FC0-6AAC-4915-9442-CC8DB71E68B0}" srcOrd="0" destOrd="0" presId="urn:microsoft.com/office/officeart/2005/8/layout/orgChart1"/>
    <dgm:cxn modelId="{AEC41F83-4F9B-47CB-B455-E2D652339EBF}" type="presParOf" srcId="{D0932803-5966-4F06-A881-EC5F042DD395}" destId="{6188455E-58AA-4AFE-B122-2B86BCD66F9F}" srcOrd="1" destOrd="0" presId="urn:microsoft.com/office/officeart/2005/8/layout/orgChart1"/>
    <dgm:cxn modelId="{9D4BF49F-7F3C-41CD-B34F-B451E4A47150}" type="presParOf" srcId="{492E8CBE-2999-4D7D-B76B-F79277B4EEA6}" destId="{A7D692C6-4A71-4A16-891B-9CE783D39C05}" srcOrd="1" destOrd="0" presId="urn:microsoft.com/office/officeart/2005/8/layout/orgChart1"/>
    <dgm:cxn modelId="{615702BB-874A-45FD-B326-FCDEED021373}" type="presParOf" srcId="{492E8CBE-2999-4D7D-B76B-F79277B4EEA6}" destId="{AD764401-6ED9-4DC0-A75C-F42439C2F1EB}" srcOrd="2" destOrd="0" presId="urn:microsoft.com/office/officeart/2005/8/layout/orgChart1"/>
    <dgm:cxn modelId="{00999348-25CD-41DE-A80A-02D89C8F6E2B}" type="presParOf" srcId="{DC9C3E95-766B-40F5-B951-8749EB15EF8D}" destId="{EE5B3127-00F4-488B-AEA4-6517380D7C2A}" srcOrd="2" destOrd="0" presId="urn:microsoft.com/office/officeart/2005/8/layout/orgChart1"/>
    <dgm:cxn modelId="{ABA4552F-0C02-416E-AC83-9F095BC06149}" type="presParOf" srcId="{DC9C3E95-766B-40F5-B951-8749EB15EF8D}" destId="{276FB599-0083-4DF2-8190-446D282C1770}" srcOrd="3" destOrd="0" presId="urn:microsoft.com/office/officeart/2005/8/layout/orgChart1"/>
    <dgm:cxn modelId="{EC686F8B-8A08-4164-9278-C7BCB42D351A}" type="presParOf" srcId="{276FB599-0083-4DF2-8190-446D282C1770}" destId="{1EE7DA50-1B73-43B8-B142-07E354FCBF73}" srcOrd="0" destOrd="0" presId="urn:microsoft.com/office/officeart/2005/8/layout/orgChart1"/>
    <dgm:cxn modelId="{963EB1C7-83B9-40D3-86BD-B3C5111023E6}" type="presParOf" srcId="{1EE7DA50-1B73-43B8-B142-07E354FCBF73}" destId="{98A43C32-D36B-4A54-897C-8C6840BC136D}" srcOrd="0" destOrd="0" presId="urn:microsoft.com/office/officeart/2005/8/layout/orgChart1"/>
    <dgm:cxn modelId="{8520C46E-12A7-4920-9050-2E69F431441F}" type="presParOf" srcId="{1EE7DA50-1B73-43B8-B142-07E354FCBF73}" destId="{5AC60B01-BEDA-46F8-8932-396C491415FA}" srcOrd="1" destOrd="0" presId="urn:microsoft.com/office/officeart/2005/8/layout/orgChart1"/>
    <dgm:cxn modelId="{1753AFEF-1AE4-4EE0-AEE3-EE13351B80A5}" type="presParOf" srcId="{276FB599-0083-4DF2-8190-446D282C1770}" destId="{153A8673-5DEF-4B54-8BFD-56EA6F314262}" srcOrd="1" destOrd="0" presId="urn:microsoft.com/office/officeart/2005/8/layout/orgChart1"/>
    <dgm:cxn modelId="{4D1D48A0-4321-4488-AB14-40D840B88845}" type="presParOf" srcId="{276FB599-0083-4DF2-8190-446D282C1770}" destId="{ADE7FAA2-400B-4ABA-9801-0692EB249E9E}" srcOrd="2" destOrd="0" presId="urn:microsoft.com/office/officeart/2005/8/layout/orgChart1"/>
    <dgm:cxn modelId="{D098A166-9484-421D-8EDA-2738C5E5EE58}" type="presParOf" srcId="{038D9F07-EA61-41F6-946F-8BDC72C4B33D}" destId="{FFF5601C-44F3-4BB5-BC99-7B1305FE464A}" srcOrd="2" destOrd="0" presId="urn:microsoft.com/office/officeart/2005/8/layout/orgChart1"/>
    <dgm:cxn modelId="{3C2D61FD-387F-4E75-9055-0B06055A59D8}" type="presParOf" srcId="{E7B56F8A-9460-447E-A472-7A69016F3597}" destId="{81B42CE6-5A09-4A0D-9E66-DE2CB592F0A2}"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0EC636-F116-4086-81F7-C6FAFBEB59B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E8A72010-618B-4597-A020-EDD03718BAD5}">
      <dgm:prSet phldrT="[Text]" custT="1"/>
      <dgm:spPr>
        <a:xfrm>
          <a:off x="1175112" y="1699"/>
          <a:ext cx="3525127" cy="296667"/>
        </a:xfr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Verejné výdavky na kultúru (793 mil. eur)</a:t>
          </a:r>
        </a:p>
      </dgm:t>
    </dgm:pt>
    <dgm:pt modelId="{FC6CF16D-2663-4FD7-85CE-F13BE784F8C0}" type="parTrans" cxnId="{5E7EFC4F-D9E4-4B21-A77F-504B316D9844}">
      <dgm:prSet/>
      <dgm:spPr/>
      <dgm:t>
        <a:bodyPr/>
        <a:lstStyle/>
        <a:p>
          <a:endParaRPr lang="sk-SK" sz="2400">
            <a:latin typeface="Arial Narrow" panose="020B0606020202030204" pitchFamily="34" charset="0"/>
            <a:cs typeface="Arial" panose="020B0604020202020204" pitchFamily="34" charset="0"/>
          </a:endParaRPr>
        </a:p>
      </dgm:t>
    </dgm:pt>
    <dgm:pt modelId="{6723E5E8-717D-4325-A2ED-EB76DD6403C2}" type="sibTrans" cxnId="{5E7EFC4F-D9E4-4B21-A77F-504B316D9844}">
      <dgm:prSet/>
      <dgm:spPr/>
      <dgm:t>
        <a:bodyPr/>
        <a:lstStyle/>
        <a:p>
          <a:endParaRPr lang="sk-SK" sz="2400">
            <a:latin typeface="Arial Narrow" panose="020B0606020202030204" pitchFamily="34" charset="0"/>
            <a:cs typeface="Arial" panose="020B0604020202020204" pitchFamily="34" charset="0"/>
          </a:endParaRPr>
        </a:p>
      </dgm:t>
    </dgm:pt>
    <dgm:pt modelId="{DAA3EB2F-5589-493A-AB75-871564DDECB6}">
      <dgm:prSet phldrT="[Text]" custT="1"/>
      <dgm:spPr>
        <a:xfrm>
          <a:off x="770172" y="851878"/>
          <a:ext cx="958623" cy="2966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Štátna správa </a:t>
          </a:r>
        </a:p>
        <a:p>
          <a:r>
            <a:rPr lang="sk-SK" sz="900">
              <a:solidFill>
                <a:sysClr val="window" lastClr="FFFFFF"/>
              </a:solidFill>
              <a:latin typeface="Arial Narrow" panose="020B0606020202030204" pitchFamily="34" charset="0"/>
              <a:ea typeface="+mn-ea"/>
              <a:cs typeface="Arial" panose="020B0604020202020204" pitchFamily="34" charset="0"/>
            </a:rPr>
            <a:t>(307 mil. eur)</a:t>
          </a:r>
        </a:p>
      </dgm:t>
    </dgm:pt>
    <dgm:pt modelId="{FCB484D0-030E-4375-9CB2-44C77DAA580C}" type="parTrans" cxnId="{EB830933-F532-47E8-B1F6-33ADF8278E9D}">
      <dgm:prSet/>
      <dgm:spPr>
        <a:xfrm>
          <a:off x="1249484" y="719635"/>
          <a:ext cx="749843" cy="132242"/>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E40B806F-1139-487C-B71F-9F354A9AC415}" type="sibTrans" cxnId="{EB830933-F532-47E8-B1F6-33ADF8278E9D}">
      <dgm:prSet/>
      <dgm:spPr/>
      <dgm:t>
        <a:bodyPr/>
        <a:lstStyle/>
        <a:p>
          <a:endParaRPr lang="sk-SK" sz="2400">
            <a:latin typeface="Arial Narrow" panose="020B0606020202030204" pitchFamily="34" charset="0"/>
            <a:cs typeface="Arial" panose="020B0604020202020204" pitchFamily="34" charset="0"/>
          </a:endParaRPr>
        </a:p>
      </dgm:t>
    </dgm:pt>
    <dgm:pt modelId="{BFE87DF3-3998-4CCD-A582-7B7ABC3F8F7F}">
      <dgm:prSet phldrT="[Text]" custT="1"/>
      <dgm:spPr>
        <a:xfrm>
          <a:off x="1937436" y="844236"/>
          <a:ext cx="947254" cy="2966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Ostatné subjekty VS (156 mil. eur)</a:t>
          </a:r>
        </a:p>
      </dgm:t>
    </dgm:pt>
    <dgm:pt modelId="{452DB926-06E8-455B-84BD-DC0DD24F9824}" type="parTrans" cxnId="{16F88E91-393F-49E9-9C41-BCFE5315F69F}">
      <dgm:prSet/>
      <dgm:spPr>
        <a:xfrm>
          <a:off x="1999327" y="719635"/>
          <a:ext cx="411736" cy="124600"/>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6E72941D-211B-4EE1-B9A3-60697A48E669}" type="sibTrans" cxnId="{16F88E91-393F-49E9-9C41-BCFE5315F69F}">
      <dgm:prSet/>
      <dgm:spPr/>
      <dgm:t>
        <a:bodyPr/>
        <a:lstStyle/>
        <a:p>
          <a:endParaRPr lang="sk-SK" sz="2400">
            <a:latin typeface="Arial Narrow" panose="020B0606020202030204" pitchFamily="34" charset="0"/>
            <a:cs typeface="Arial" panose="020B0604020202020204" pitchFamily="34" charset="0"/>
          </a:endParaRPr>
        </a:p>
      </dgm:t>
    </dgm:pt>
    <dgm:pt modelId="{C20CBBE1-F2C5-4B87-8CB4-A7CE3BD88F7C}">
      <dgm:prSet phldrT="[Text]" custT="1"/>
      <dgm:spPr>
        <a:xfrm>
          <a:off x="3218890" y="415328"/>
          <a:ext cx="1599313" cy="296667"/>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Samosprávy (330 mil. eur)</a:t>
          </a:r>
        </a:p>
      </dgm:t>
    </dgm:pt>
    <dgm:pt modelId="{12D15284-9CBA-4057-8835-96F694DA96E7}" type="parTrans" cxnId="{6EE3CA99-85AF-4195-90E8-B321956C381C}">
      <dgm:prSet/>
      <dgm:spPr>
        <a:xfrm>
          <a:off x="2937676" y="298367"/>
          <a:ext cx="1080871" cy="116961"/>
        </a:xfrm>
        <a:noFill/>
        <a:ln w="12700" cap="flat" cmpd="sng" algn="ctr">
          <a:solidFill>
            <a:srgbClr val="5B9BD5">
              <a:shade val="6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9C5ECE42-76C8-4E8D-A9EB-05C70061E01F}" type="sibTrans" cxnId="{6EE3CA99-85AF-4195-90E8-B321956C381C}">
      <dgm:prSet/>
      <dgm:spPr/>
      <dgm:t>
        <a:bodyPr/>
        <a:lstStyle/>
        <a:p>
          <a:endParaRPr lang="sk-SK" sz="2400">
            <a:latin typeface="Arial Narrow" panose="020B0606020202030204" pitchFamily="34" charset="0"/>
            <a:cs typeface="Arial" panose="020B0604020202020204" pitchFamily="34" charset="0"/>
          </a:endParaRPr>
        </a:p>
      </dgm:t>
    </dgm:pt>
    <dgm:pt modelId="{28DD8DA2-5C80-4928-B4CC-8CD560C83BFE}">
      <dgm:prSet phldrT="[Text]" custT="1"/>
      <dgm:spPr>
        <a:xfrm>
          <a:off x="3557599" y="828957"/>
          <a:ext cx="959999" cy="2966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Obce (189 mil. eur)</a:t>
          </a:r>
        </a:p>
      </dgm:t>
    </dgm:pt>
    <dgm:pt modelId="{02780549-DF3A-488E-95FC-4D51E2E8F2E6}" type="parTrans" cxnId="{F2EF9F65-6C58-4FEB-9C45-CDC6CD94D9B0}">
      <dgm:prSet/>
      <dgm:spPr>
        <a:xfrm>
          <a:off x="3378822" y="711996"/>
          <a:ext cx="178777" cy="265295"/>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1C111944-6558-4C7A-90E9-D4B1E7CCEE46}" type="sibTrans" cxnId="{F2EF9F65-6C58-4FEB-9C45-CDC6CD94D9B0}">
      <dgm:prSet/>
      <dgm:spPr/>
      <dgm:t>
        <a:bodyPr/>
        <a:lstStyle/>
        <a:p>
          <a:endParaRPr lang="sk-SK" sz="2400">
            <a:latin typeface="Arial Narrow" panose="020B0606020202030204" pitchFamily="34" charset="0"/>
            <a:cs typeface="Arial" panose="020B0604020202020204" pitchFamily="34" charset="0"/>
          </a:endParaRPr>
        </a:p>
      </dgm:t>
    </dgm:pt>
    <dgm:pt modelId="{C520A059-93E0-4C28-8796-8EB6E0AC8D7A}">
      <dgm:prSet phldrT="[Text]" custT="1"/>
      <dgm:spPr>
        <a:xfrm>
          <a:off x="3572877" y="1234944"/>
          <a:ext cx="960035" cy="2966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VÚC (141 mil. eur)</a:t>
          </a:r>
        </a:p>
      </dgm:t>
    </dgm:pt>
    <dgm:pt modelId="{C00F096A-A98D-42E2-BF04-D1A5693611F6}" type="parTrans" cxnId="{A288E31B-A23A-4646-B5FE-4BC8618CCE25}">
      <dgm:prSet/>
      <dgm:spPr>
        <a:xfrm>
          <a:off x="3378822" y="711996"/>
          <a:ext cx="194055" cy="671282"/>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5D283530-1C77-4CDD-AD68-38477EDE4558}" type="sibTrans" cxnId="{A288E31B-A23A-4646-B5FE-4BC8618CCE25}">
      <dgm:prSet/>
      <dgm:spPr/>
      <dgm:t>
        <a:bodyPr/>
        <a:lstStyle/>
        <a:p>
          <a:endParaRPr lang="sk-SK" sz="2400">
            <a:latin typeface="Arial Narrow" panose="020B0606020202030204" pitchFamily="34" charset="0"/>
            <a:cs typeface="Arial" panose="020B0604020202020204" pitchFamily="34" charset="0"/>
          </a:endParaRPr>
        </a:p>
      </dgm:t>
    </dgm:pt>
    <dgm:pt modelId="{D475CB04-EA4A-4079-BCA6-B399C11E9FAD}">
      <dgm:prSet phldrT="[Text]" custT="1"/>
      <dgm:spPr>
        <a:xfrm>
          <a:off x="1179387" y="422967"/>
          <a:ext cx="1639879" cy="296667"/>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Ústredná správa (463 mil. eur)</a:t>
          </a:r>
        </a:p>
      </dgm:t>
    </dgm:pt>
    <dgm:pt modelId="{212BDDD9-F466-44B0-BF08-2F54343EA4BF}" type="parTrans" cxnId="{32B3AB30-BC7D-44D4-B32D-12F039E2721F}">
      <dgm:prSet/>
      <dgm:spPr>
        <a:xfrm>
          <a:off x="1999327" y="298367"/>
          <a:ext cx="938348" cy="124600"/>
        </a:xfrm>
        <a:noFill/>
        <a:ln w="12700" cap="flat" cmpd="sng" algn="ctr">
          <a:solidFill>
            <a:srgbClr val="5B9BD5">
              <a:shade val="6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7EAA5FA4-8997-49F2-BD99-AEB03D8C9022}" type="sibTrans" cxnId="{32B3AB30-BC7D-44D4-B32D-12F039E2721F}">
      <dgm:prSet/>
      <dgm:spPr/>
      <dgm:t>
        <a:bodyPr/>
        <a:lstStyle/>
        <a:p>
          <a:endParaRPr lang="sk-SK" sz="2400">
            <a:latin typeface="Arial Narrow" panose="020B0606020202030204" pitchFamily="34" charset="0"/>
            <a:cs typeface="Arial" panose="020B0604020202020204" pitchFamily="34" charset="0"/>
          </a:endParaRPr>
        </a:p>
      </dgm:t>
    </dgm:pt>
    <dgm:pt modelId="{11D48FF1-D9AC-4B52-9A8E-D0517C9655BB}">
      <dgm:prSet phldrT="[Text]" custT="1"/>
      <dgm:spPr>
        <a:xfrm>
          <a:off x="948715" y="1265504"/>
          <a:ext cx="666737" cy="319309"/>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úrad MK</a:t>
          </a:r>
        </a:p>
        <a:p>
          <a:r>
            <a:rPr lang="sk-SK" sz="900">
              <a:solidFill>
                <a:sysClr val="window" lastClr="FFFFFF"/>
              </a:solidFill>
              <a:latin typeface="Arial Narrow" panose="020B0606020202030204" pitchFamily="34" charset="0"/>
              <a:ea typeface="+mn-ea"/>
              <a:cs typeface="Arial" panose="020B0604020202020204" pitchFamily="34" charset="0"/>
            </a:rPr>
            <a:t>(125 mil. eur)</a:t>
          </a:r>
        </a:p>
      </dgm:t>
    </dgm:pt>
    <dgm:pt modelId="{20E2EF96-95EE-4C55-B728-9C71E9BE7703}" type="parTrans" cxnId="{4E02865E-8E14-4D88-AB87-069E92CE5FC2}">
      <dgm:prSet/>
      <dgm:spPr>
        <a:xfrm>
          <a:off x="820315" y="1148546"/>
          <a:ext cx="91440" cy="276613"/>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2EE4EC91-C03A-4352-A727-D9EB98BC6E8C}" type="sibTrans" cxnId="{4E02865E-8E14-4D88-AB87-069E92CE5FC2}">
      <dgm:prSet/>
      <dgm:spPr/>
      <dgm:t>
        <a:bodyPr/>
        <a:lstStyle/>
        <a:p>
          <a:endParaRPr lang="sk-SK" sz="2400">
            <a:latin typeface="Arial Narrow" panose="020B0606020202030204" pitchFamily="34" charset="0"/>
            <a:cs typeface="Arial" panose="020B0604020202020204" pitchFamily="34" charset="0"/>
          </a:endParaRPr>
        </a:p>
      </dgm:t>
    </dgm:pt>
    <dgm:pt modelId="{5CD30241-E44B-48D3-BDE3-A237484AE8EC}">
      <dgm:prSet phldrT="[Text]" custT="1"/>
      <dgm:spPr>
        <a:xfrm>
          <a:off x="928678" y="2248318"/>
          <a:ext cx="809915" cy="387881"/>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ostatné kapitoly </a:t>
          </a:r>
        </a:p>
        <a:p>
          <a:r>
            <a:rPr lang="sk-SK" sz="900">
              <a:solidFill>
                <a:sysClr val="window" lastClr="FFFFFF"/>
              </a:solidFill>
              <a:latin typeface="Arial Narrow" panose="020B0606020202030204" pitchFamily="34" charset="0"/>
              <a:ea typeface="+mn-ea"/>
              <a:cs typeface="Arial" panose="020B0604020202020204" pitchFamily="34" charset="0"/>
            </a:rPr>
            <a:t>(23 mil. eur)</a:t>
          </a:r>
        </a:p>
      </dgm:t>
    </dgm:pt>
    <dgm:pt modelId="{F3B10E13-90F0-4520-8066-BF6E8B694613}" type="parTrans" cxnId="{35D57712-7C99-45A0-B4C0-A3D02E203582}">
      <dgm:prSet/>
      <dgm:spPr>
        <a:xfrm>
          <a:off x="820315" y="1148546"/>
          <a:ext cx="91440" cy="1293712"/>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AD4D8E97-046D-4CC1-B54F-4001B9CB1F8D}" type="sibTrans" cxnId="{35D57712-7C99-45A0-B4C0-A3D02E203582}">
      <dgm:prSet/>
      <dgm:spPr/>
      <dgm:t>
        <a:bodyPr/>
        <a:lstStyle/>
        <a:p>
          <a:endParaRPr lang="sk-SK" sz="2400">
            <a:latin typeface="Arial Narrow" panose="020B0606020202030204" pitchFamily="34" charset="0"/>
            <a:cs typeface="Arial" panose="020B0604020202020204" pitchFamily="34" charset="0"/>
          </a:endParaRPr>
        </a:p>
      </dgm:t>
    </dgm:pt>
    <dgm:pt modelId="{9BD10187-CF68-4358-851D-37746B9BE424}">
      <dgm:prSet phldrT="[Text]" custT="1"/>
      <dgm:spPr>
        <a:xfrm>
          <a:off x="963993" y="1709414"/>
          <a:ext cx="790827" cy="424798"/>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rezortné ROPO </a:t>
          </a:r>
        </a:p>
        <a:p>
          <a:r>
            <a:rPr lang="sk-SK" sz="900">
              <a:solidFill>
                <a:sysClr val="window" lastClr="FFFFFF"/>
              </a:solidFill>
              <a:latin typeface="Arial Narrow" panose="020B0606020202030204" pitchFamily="34" charset="0"/>
              <a:ea typeface="+mn-ea"/>
              <a:cs typeface="Arial" panose="020B0604020202020204" pitchFamily="34" charset="0"/>
            </a:rPr>
            <a:t>(159 mil. eur)</a:t>
          </a:r>
        </a:p>
      </dgm:t>
    </dgm:pt>
    <dgm:pt modelId="{0B370881-17B1-4385-AE9E-2086C5378834}" type="sibTrans" cxnId="{5C037AC0-24FE-4CF2-90C9-9344E26C747F}">
      <dgm:prSet/>
      <dgm:spPr/>
      <dgm:t>
        <a:bodyPr/>
        <a:lstStyle/>
        <a:p>
          <a:endParaRPr lang="sk-SK" sz="2400">
            <a:latin typeface="Arial Narrow" panose="020B0606020202030204" pitchFamily="34" charset="0"/>
            <a:cs typeface="Arial" panose="020B0604020202020204" pitchFamily="34" charset="0"/>
          </a:endParaRPr>
        </a:p>
      </dgm:t>
    </dgm:pt>
    <dgm:pt modelId="{FB1D9885-664A-4878-95A5-9E91E491B169}" type="parTrans" cxnId="{5C037AC0-24FE-4CF2-90C9-9344E26C747F}">
      <dgm:prSet/>
      <dgm:spPr>
        <a:xfrm>
          <a:off x="866035" y="1148546"/>
          <a:ext cx="97958" cy="773267"/>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FAEB197E-7D85-4A1F-B6DF-60EBA2362F9E}">
      <dgm:prSet phldrT="[Text]" custT="1"/>
      <dgm:spPr>
        <a:xfrm>
          <a:off x="2380517" y="1265504"/>
          <a:ext cx="815747" cy="383722"/>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RTVS </a:t>
          </a:r>
        </a:p>
        <a:p>
          <a:r>
            <a:rPr lang="sk-SK" sz="900">
              <a:solidFill>
                <a:sysClr val="window" lastClr="FFFFFF"/>
              </a:solidFill>
              <a:latin typeface="Arial Narrow" panose="020B0606020202030204" pitchFamily="34" charset="0"/>
              <a:ea typeface="+mn-ea"/>
              <a:cs typeface="Arial" panose="020B0604020202020204" pitchFamily="34" charset="0"/>
            </a:rPr>
            <a:t>(112 mil. eur)</a:t>
          </a:r>
        </a:p>
      </dgm:t>
    </dgm:pt>
    <dgm:pt modelId="{803B7A48-98E2-4F7C-AEE8-B2A55F968BFE}" type="parTrans" cxnId="{8B353327-DB6B-4133-B044-5C795324C009}">
      <dgm:prSet/>
      <dgm:spPr>
        <a:xfrm>
          <a:off x="2032162" y="1140904"/>
          <a:ext cx="348355" cy="316461"/>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A3F4B4E8-BFA9-4639-947B-4E55D5B9E0D3}" type="sibTrans" cxnId="{8B353327-DB6B-4133-B044-5C795324C009}">
      <dgm:prSet/>
      <dgm:spPr/>
      <dgm:t>
        <a:bodyPr/>
        <a:lstStyle/>
        <a:p>
          <a:endParaRPr lang="sk-SK" sz="2400">
            <a:latin typeface="Arial Narrow" panose="020B0606020202030204" pitchFamily="34" charset="0"/>
            <a:cs typeface="Arial" panose="020B0604020202020204" pitchFamily="34" charset="0"/>
          </a:endParaRPr>
        </a:p>
      </dgm:t>
    </dgm:pt>
    <dgm:pt modelId="{958468FF-10A8-4789-9D58-666F9DC9BBC2}">
      <dgm:prSet phldrT="[Text]" custT="1"/>
      <dgm:spPr>
        <a:xfrm>
          <a:off x="2380517" y="1773827"/>
          <a:ext cx="817581" cy="462715"/>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Fond na podporu umenia</a:t>
          </a:r>
        </a:p>
        <a:p>
          <a:r>
            <a:rPr lang="sk-SK" sz="900">
              <a:solidFill>
                <a:sysClr val="window" lastClr="FFFFFF"/>
              </a:solidFill>
              <a:latin typeface="Arial Narrow" panose="020B0606020202030204" pitchFamily="34" charset="0"/>
              <a:ea typeface="+mn-ea"/>
              <a:cs typeface="Arial" panose="020B0604020202020204" pitchFamily="34" charset="0"/>
            </a:rPr>
            <a:t> (16 mil. eur)</a:t>
          </a:r>
        </a:p>
      </dgm:t>
    </dgm:pt>
    <dgm:pt modelId="{F582975F-76C2-43C4-8F42-EAA66E838B6C}" type="parTrans" cxnId="{1805B807-31E3-4707-8AC2-9753399D75DE}">
      <dgm:prSet/>
      <dgm:spPr>
        <a:xfrm>
          <a:off x="2032162" y="1140904"/>
          <a:ext cx="348355" cy="864281"/>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A15441F7-39C0-4EB2-AD94-D6FE702EDB16}" type="sibTrans" cxnId="{1805B807-31E3-4707-8AC2-9753399D75DE}">
      <dgm:prSet/>
      <dgm:spPr/>
      <dgm:t>
        <a:bodyPr/>
        <a:lstStyle/>
        <a:p>
          <a:endParaRPr lang="sk-SK" sz="2400">
            <a:latin typeface="Arial Narrow" panose="020B0606020202030204" pitchFamily="34" charset="0"/>
            <a:cs typeface="Arial" panose="020B0604020202020204" pitchFamily="34" charset="0"/>
          </a:endParaRPr>
        </a:p>
      </dgm:t>
    </dgm:pt>
    <dgm:pt modelId="{D7839C98-4523-42E0-ABAE-0EF6149DE65B}">
      <dgm:prSet phldrT="[Text]" custT="1"/>
      <dgm:spPr>
        <a:xfrm>
          <a:off x="2380517" y="2361143"/>
          <a:ext cx="854551" cy="397238"/>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Audiovizuálny fond</a:t>
          </a:r>
        </a:p>
        <a:p>
          <a:r>
            <a:rPr lang="sk-SK" sz="900">
              <a:solidFill>
                <a:sysClr val="window" lastClr="FFFFFF"/>
              </a:solidFill>
              <a:latin typeface="Arial Narrow" panose="020B0606020202030204" pitchFamily="34" charset="0"/>
              <a:ea typeface="+mn-ea"/>
              <a:cs typeface="Arial" panose="020B0604020202020204" pitchFamily="34" charset="0"/>
            </a:rPr>
            <a:t>(15 mil. eur)</a:t>
          </a:r>
        </a:p>
      </dgm:t>
    </dgm:pt>
    <dgm:pt modelId="{88BFD706-BE28-4942-A258-1D7C24CAD9AA}" type="parTrans" cxnId="{F87B8234-3882-42C4-87FF-D267B7F76D68}">
      <dgm:prSet/>
      <dgm:spPr>
        <a:xfrm>
          <a:off x="2032162" y="1140904"/>
          <a:ext cx="348355" cy="1418858"/>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E275C2DE-1E52-474A-940B-87741431CF41}" type="sibTrans" cxnId="{F87B8234-3882-42C4-87FF-D267B7F76D68}">
      <dgm:prSet/>
      <dgm:spPr/>
      <dgm:t>
        <a:bodyPr/>
        <a:lstStyle/>
        <a:p>
          <a:endParaRPr lang="sk-SK" sz="2400">
            <a:latin typeface="Arial Narrow" panose="020B0606020202030204" pitchFamily="34" charset="0"/>
            <a:cs typeface="Arial" panose="020B0604020202020204" pitchFamily="34" charset="0"/>
          </a:endParaRPr>
        </a:p>
      </dgm:t>
    </dgm:pt>
    <dgm:pt modelId="{B7BE6468-F7AA-4461-8270-DFF734595C52}">
      <dgm:prSet phldrT="[Text]" custT="1"/>
      <dgm:spPr>
        <a:xfrm>
          <a:off x="2380517" y="2882982"/>
          <a:ext cx="1023302" cy="296667"/>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sk-SK" sz="900">
              <a:solidFill>
                <a:sysClr val="window" lastClr="FFFFFF"/>
              </a:solidFill>
              <a:latin typeface="Arial Narrow" panose="020B0606020202030204" pitchFamily="34" charset="0"/>
              <a:ea typeface="+mn-ea"/>
              <a:cs typeface="Arial" panose="020B0604020202020204" pitchFamily="34" charset="0"/>
            </a:rPr>
            <a:t>Ostatné (13 mil. eur)</a:t>
          </a:r>
        </a:p>
      </dgm:t>
    </dgm:pt>
    <dgm:pt modelId="{E07CF9C2-8C10-4193-96BE-0A22E9947AEC}" type="parTrans" cxnId="{9533DC70-4B5B-4D89-BB8D-FD47F5A4D0FF}">
      <dgm:prSet/>
      <dgm:spPr>
        <a:xfrm>
          <a:off x="2032162" y="1140904"/>
          <a:ext cx="348355" cy="1890412"/>
        </a:xfrm>
        <a:noFill/>
        <a:ln w="12700" cap="flat" cmpd="sng" algn="ctr">
          <a:solidFill>
            <a:srgbClr val="5B9BD5">
              <a:shade val="80000"/>
              <a:hueOff val="0"/>
              <a:satOff val="0"/>
              <a:lumOff val="0"/>
              <a:alphaOff val="0"/>
            </a:srgbClr>
          </a:solidFill>
          <a:prstDash val="solid"/>
          <a:miter lim="800000"/>
        </a:ln>
        <a:effectLst/>
      </dgm:spPr>
      <dgm:t>
        <a:bodyPr/>
        <a:lstStyle/>
        <a:p>
          <a:endParaRPr lang="sk-SK" sz="2400">
            <a:latin typeface="Arial Narrow" panose="020B0606020202030204" pitchFamily="34" charset="0"/>
            <a:cs typeface="Arial" panose="020B0604020202020204" pitchFamily="34" charset="0"/>
          </a:endParaRPr>
        </a:p>
      </dgm:t>
    </dgm:pt>
    <dgm:pt modelId="{3DE0BE77-7283-4AA4-ABF4-71AB92CCF73E}" type="sibTrans" cxnId="{9533DC70-4B5B-4D89-BB8D-FD47F5A4D0FF}">
      <dgm:prSet/>
      <dgm:spPr/>
      <dgm:t>
        <a:bodyPr/>
        <a:lstStyle/>
        <a:p>
          <a:endParaRPr lang="sk-SK" sz="2400">
            <a:latin typeface="Arial Narrow" panose="020B0606020202030204" pitchFamily="34" charset="0"/>
            <a:cs typeface="Arial" panose="020B0604020202020204" pitchFamily="34" charset="0"/>
          </a:endParaRPr>
        </a:p>
      </dgm:t>
    </dgm:pt>
    <dgm:pt modelId="{FE9B6DB2-C6C0-4A25-A61E-2220844EBB00}" type="pres">
      <dgm:prSet presAssocID="{660EC636-F116-4086-81F7-C6FAFBEB59B4}" presName="hierChild1" presStyleCnt="0">
        <dgm:presLayoutVars>
          <dgm:orgChart val="1"/>
          <dgm:chPref val="1"/>
          <dgm:dir/>
          <dgm:animOne val="branch"/>
          <dgm:animLvl val="lvl"/>
          <dgm:resizeHandles/>
        </dgm:presLayoutVars>
      </dgm:prSet>
      <dgm:spPr/>
      <dgm:t>
        <a:bodyPr/>
        <a:lstStyle/>
        <a:p>
          <a:endParaRPr lang="sk-SK"/>
        </a:p>
      </dgm:t>
    </dgm:pt>
    <dgm:pt modelId="{E7B56F8A-9460-447E-A472-7A69016F3597}" type="pres">
      <dgm:prSet presAssocID="{E8A72010-618B-4597-A020-EDD03718BAD5}" presName="hierRoot1" presStyleCnt="0">
        <dgm:presLayoutVars>
          <dgm:hierBranch val="init"/>
        </dgm:presLayoutVars>
      </dgm:prSet>
      <dgm:spPr/>
    </dgm:pt>
    <dgm:pt modelId="{8DE96D84-5B32-4248-9EA2-F0D47CC04851}" type="pres">
      <dgm:prSet presAssocID="{E8A72010-618B-4597-A020-EDD03718BAD5}" presName="rootComposite1" presStyleCnt="0"/>
      <dgm:spPr/>
    </dgm:pt>
    <dgm:pt modelId="{4D876064-BBD2-402D-97A6-9ECB243FA4F9}" type="pres">
      <dgm:prSet presAssocID="{E8A72010-618B-4597-A020-EDD03718BAD5}" presName="rootText1" presStyleLbl="node0" presStyleIdx="0" presStyleCnt="1" custScaleX="594120">
        <dgm:presLayoutVars>
          <dgm:chPref val="3"/>
        </dgm:presLayoutVars>
      </dgm:prSet>
      <dgm:spPr>
        <a:prstGeom prst="rect">
          <a:avLst/>
        </a:prstGeom>
      </dgm:spPr>
      <dgm:t>
        <a:bodyPr/>
        <a:lstStyle/>
        <a:p>
          <a:endParaRPr lang="sk-SK"/>
        </a:p>
      </dgm:t>
    </dgm:pt>
    <dgm:pt modelId="{DC5CAC46-146D-4E22-9E3E-9B9F24784FE3}" type="pres">
      <dgm:prSet presAssocID="{E8A72010-618B-4597-A020-EDD03718BAD5}" presName="rootConnector1" presStyleLbl="node1" presStyleIdx="0" presStyleCnt="0"/>
      <dgm:spPr/>
      <dgm:t>
        <a:bodyPr/>
        <a:lstStyle/>
        <a:p>
          <a:endParaRPr lang="sk-SK"/>
        </a:p>
      </dgm:t>
    </dgm:pt>
    <dgm:pt modelId="{39F57B1F-75F7-4627-8809-BB27086055AF}" type="pres">
      <dgm:prSet presAssocID="{E8A72010-618B-4597-A020-EDD03718BAD5}" presName="hierChild2" presStyleCnt="0"/>
      <dgm:spPr/>
    </dgm:pt>
    <dgm:pt modelId="{0EDED06E-237F-402F-9F69-58F0C1FE7942}" type="pres">
      <dgm:prSet presAssocID="{212BDDD9-F466-44B0-BF08-2F54343EA4BF}" presName="Name37" presStyleLbl="parChTrans1D2" presStyleIdx="0" presStyleCnt="2"/>
      <dgm:spPr>
        <a:custGeom>
          <a:avLst/>
          <a:gdLst/>
          <a:ahLst/>
          <a:cxnLst/>
          <a:rect l="0" t="0" r="0" b="0"/>
          <a:pathLst>
            <a:path>
              <a:moveTo>
                <a:pt x="938348" y="0"/>
              </a:moveTo>
              <a:lnTo>
                <a:pt x="938348" y="62300"/>
              </a:lnTo>
              <a:lnTo>
                <a:pt x="0" y="62300"/>
              </a:lnTo>
              <a:lnTo>
                <a:pt x="0" y="124600"/>
              </a:lnTo>
            </a:path>
          </a:pathLst>
        </a:custGeom>
      </dgm:spPr>
      <dgm:t>
        <a:bodyPr/>
        <a:lstStyle/>
        <a:p>
          <a:endParaRPr lang="sk-SK"/>
        </a:p>
      </dgm:t>
    </dgm:pt>
    <dgm:pt modelId="{96467521-42F1-4DD4-A3A6-01873C4F4DB7}" type="pres">
      <dgm:prSet presAssocID="{D475CB04-EA4A-4079-BCA6-B399C11E9FAD}" presName="hierRoot2" presStyleCnt="0">
        <dgm:presLayoutVars>
          <dgm:hierBranch val="init"/>
        </dgm:presLayoutVars>
      </dgm:prSet>
      <dgm:spPr/>
    </dgm:pt>
    <dgm:pt modelId="{A4B4FAD0-1648-49AA-AB68-BCFB128DB178}" type="pres">
      <dgm:prSet presAssocID="{D475CB04-EA4A-4079-BCA6-B399C11E9FAD}" presName="rootComposite" presStyleCnt="0"/>
      <dgm:spPr/>
    </dgm:pt>
    <dgm:pt modelId="{B1AA7480-BA9E-4859-B64A-DBE054795DCC}" type="pres">
      <dgm:prSet presAssocID="{D475CB04-EA4A-4079-BCA6-B399C11E9FAD}" presName="rootText" presStyleLbl="node2" presStyleIdx="0" presStyleCnt="2" custScaleX="276383" custLinFactNeighborX="-12875" custLinFactNeighborY="0">
        <dgm:presLayoutVars>
          <dgm:chPref val="3"/>
        </dgm:presLayoutVars>
      </dgm:prSet>
      <dgm:spPr>
        <a:prstGeom prst="rect">
          <a:avLst/>
        </a:prstGeom>
      </dgm:spPr>
      <dgm:t>
        <a:bodyPr/>
        <a:lstStyle/>
        <a:p>
          <a:endParaRPr lang="sk-SK"/>
        </a:p>
      </dgm:t>
    </dgm:pt>
    <dgm:pt modelId="{E4AC54CF-9DAC-46CD-90D9-4B2C5A8CD010}" type="pres">
      <dgm:prSet presAssocID="{D475CB04-EA4A-4079-BCA6-B399C11E9FAD}" presName="rootConnector" presStyleLbl="node2" presStyleIdx="0" presStyleCnt="2"/>
      <dgm:spPr/>
      <dgm:t>
        <a:bodyPr/>
        <a:lstStyle/>
        <a:p>
          <a:endParaRPr lang="sk-SK"/>
        </a:p>
      </dgm:t>
    </dgm:pt>
    <dgm:pt modelId="{4C937F9B-98F1-4D86-93D9-E8F168F2EAD8}" type="pres">
      <dgm:prSet presAssocID="{D475CB04-EA4A-4079-BCA6-B399C11E9FAD}" presName="hierChild4" presStyleCnt="0"/>
      <dgm:spPr/>
    </dgm:pt>
    <dgm:pt modelId="{2783CD37-4A3C-4CB0-960E-53C6C0DA4D21}" type="pres">
      <dgm:prSet presAssocID="{FCB484D0-030E-4375-9CB2-44C77DAA580C}" presName="Name37" presStyleLbl="parChTrans1D3" presStyleIdx="0" presStyleCnt="4"/>
      <dgm:spPr>
        <a:custGeom>
          <a:avLst/>
          <a:gdLst/>
          <a:ahLst/>
          <a:cxnLst/>
          <a:rect l="0" t="0" r="0" b="0"/>
          <a:pathLst>
            <a:path>
              <a:moveTo>
                <a:pt x="749843" y="0"/>
              </a:moveTo>
              <a:lnTo>
                <a:pt x="749843" y="69942"/>
              </a:lnTo>
              <a:lnTo>
                <a:pt x="0" y="69942"/>
              </a:lnTo>
              <a:lnTo>
                <a:pt x="0" y="132242"/>
              </a:lnTo>
            </a:path>
          </a:pathLst>
        </a:custGeom>
      </dgm:spPr>
      <dgm:t>
        <a:bodyPr/>
        <a:lstStyle/>
        <a:p>
          <a:endParaRPr lang="sk-SK"/>
        </a:p>
      </dgm:t>
    </dgm:pt>
    <dgm:pt modelId="{267DCCE8-CD81-4439-B243-7FED7D7A2611}" type="pres">
      <dgm:prSet presAssocID="{DAA3EB2F-5589-493A-AB75-871564DDECB6}" presName="hierRoot2" presStyleCnt="0">
        <dgm:presLayoutVars>
          <dgm:hierBranch val="init"/>
        </dgm:presLayoutVars>
      </dgm:prSet>
      <dgm:spPr/>
    </dgm:pt>
    <dgm:pt modelId="{A1856F87-846B-4BD1-87BE-29F35256F993}" type="pres">
      <dgm:prSet presAssocID="{DAA3EB2F-5589-493A-AB75-871564DDECB6}" presName="rootComposite" presStyleCnt="0"/>
      <dgm:spPr/>
    </dgm:pt>
    <dgm:pt modelId="{685742BF-A50C-4806-A825-522C4937F1B7}" type="pres">
      <dgm:prSet presAssocID="{DAA3EB2F-5589-493A-AB75-871564DDECB6}" presName="rootText" presStyleLbl="node3" presStyleIdx="0" presStyleCnt="4" custScaleX="161565" custLinFactNeighborX="-48928" custLinFactNeighborY="2576">
        <dgm:presLayoutVars>
          <dgm:chPref val="3"/>
        </dgm:presLayoutVars>
      </dgm:prSet>
      <dgm:spPr>
        <a:prstGeom prst="rect">
          <a:avLst/>
        </a:prstGeom>
      </dgm:spPr>
      <dgm:t>
        <a:bodyPr/>
        <a:lstStyle/>
        <a:p>
          <a:endParaRPr lang="sk-SK"/>
        </a:p>
      </dgm:t>
    </dgm:pt>
    <dgm:pt modelId="{57A08454-0F39-4F99-929C-8DBBAD809949}" type="pres">
      <dgm:prSet presAssocID="{DAA3EB2F-5589-493A-AB75-871564DDECB6}" presName="rootConnector" presStyleLbl="node3" presStyleIdx="0" presStyleCnt="4"/>
      <dgm:spPr/>
      <dgm:t>
        <a:bodyPr/>
        <a:lstStyle/>
        <a:p>
          <a:endParaRPr lang="sk-SK"/>
        </a:p>
      </dgm:t>
    </dgm:pt>
    <dgm:pt modelId="{5CA74BC4-9F33-4431-8FFB-55BAFFD9124E}" type="pres">
      <dgm:prSet presAssocID="{DAA3EB2F-5589-493A-AB75-871564DDECB6}" presName="hierChild4" presStyleCnt="0"/>
      <dgm:spPr/>
    </dgm:pt>
    <dgm:pt modelId="{5304E83E-F10B-43E9-BA46-C8B768AB3F82}" type="pres">
      <dgm:prSet presAssocID="{20E2EF96-95EE-4C55-B728-9C71E9BE7703}" presName="Name37" presStyleLbl="parChTrans1D4" presStyleIdx="0" presStyleCnt="7"/>
      <dgm:spPr>
        <a:custGeom>
          <a:avLst/>
          <a:gdLst/>
          <a:ahLst/>
          <a:cxnLst/>
          <a:rect l="0" t="0" r="0" b="0"/>
          <a:pathLst>
            <a:path>
              <a:moveTo>
                <a:pt x="45720" y="0"/>
              </a:moveTo>
              <a:lnTo>
                <a:pt x="45720" y="276613"/>
              </a:lnTo>
              <a:lnTo>
                <a:pt x="128399" y="276613"/>
              </a:lnTo>
            </a:path>
          </a:pathLst>
        </a:custGeom>
      </dgm:spPr>
      <dgm:t>
        <a:bodyPr/>
        <a:lstStyle/>
        <a:p>
          <a:endParaRPr lang="sk-SK"/>
        </a:p>
      </dgm:t>
    </dgm:pt>
    <dgm:pt modelId="{95CDA328-F175-4AD2-9174-A682F06F1A9C}" type="pres">
      <dgm:prSet presAssocID="{11D48FF1-D9AC-4B52-9A8E-D0517C9655BB}" presName="hierRoot2" presStyleCnt="0">
        <dgm:presLayoutVars>
          <dgm:hierBranch val="init"/>
        </dgm:presLayoutVars>
      </dgm:prSet>
      <dgm:spPr/>
    </dgm:pt>
    <dgm:pt modelId="{A2029460-A2C8-412E-9AA2-681BEBD87716}" type="pres">
      <dgm:prSet presAssocID="{11D48FF1-D9AC-4B52-9A8E-D0517C9655BB}" presName="rootComposite" presStyleCnt="0"/>
      <dgm:spPr/>
    </dgm:pt>
    <dgm:pt modelId="{EF874B7A-8BD8-40F0-BAD8-3826505D0952}" type="pres">
      <dgm:prSet presAssocID="{11D48FF1-D9AC-4B52-9A8E-D0517C9655BB}" presName="rootText" presStyleLbl="node4" presStyleIdx="0" presStyleCnt="7" custScaleX="112371" custScaleY="107632" custLinFactNeighborX="-59228">
        <dgm:presLayoutVars>
          <dgm:chPref val="3"/>
        </dgm:presLayoutVars>
      </dgm:prSet>
      <dgm:spPr>
        <a:prstGeom prst="rect">
          <a:avLst/>
        </a:prstGeom>
      </dgm:spPr>
      <dgm:t>
        <a:bodyPr/>
        <a:lstStyle/>
        <a:p>
          <a:endParaRPr lang="sk-SK"/>
        </a:p>
      </dgm:t>
    </dgm:pt>
    <dgm:pt modelId="{8A3B20E3-4E78-413B-84D8-6B770ADEC816}" type="pres">
      <dgm:prSet presAssocID="{11D48FF1-D9AC-4B52-9A8E-D0517C9655BB}" presName="rootConnector" presStyleLbl="node4" presStyleIdx="0" presStyleCnt="7"/>
      <dgm:spPr/>
      <dgm:t>
        <a:bodyPr/>
        <a:lstStyle/>
        <a:p>
          <a:endParaRPr lang="sk-SK"/>
        </a:p>
      </dgm:t>
    </dgm:pt>
    <dgm:pt modelId="{0F1ACFB5-D3C2-4EB1-8B92-B9BE53A2867D}" type="pres">
      <dgm:prSet presAssocID="{11D48FF1-D9AC-4B52-9A8E-D0517C9655BB}" presName="hierChild4" presStyleCnt="0"/>
      <dgm:spPr/>
    </dgm:pt>
    <dgm:pt modelId="{DA4E8E3F-C42D-4242-AE02-C25EEC33D701}" type="pres">
      <dgm:prSet presAssocID="{11D48FF1-D9AC-4B52-9A8E-D0517C9655BB}" presName="hierChild5" presStyleCnt="0"/>
      <dgm:spPr/>
    </dgm:pt>
    <dgm:pt modelId="{AFB0424E-920F-4339-841C-F342E6896BBC}" type="pres">
      <dgm:prSet presAssocID="{FB1D9885-664A-4878-95A5-9E91E491B169}" presName="Name37" presStyleLbl="parChTrans1D4" presStyleIdx="1" presStyleCnt="7"/>
      <dgm:spPr>
        <a:custGeom>
          <a:avLst/>
          <a:gdLst/>
          <a:ahLst/>
          <a:cxnLst/>
          <a:rect l="0" t="0" r="0" b="0"/>
          <a:pathLst>
            <a:path>
              <a:moveTo>
                <a:pt x="0" y="0"/>
              </a:moveTo>
              <a:lnTo>
                <a:pt x="0" y="773267"/>
              </a:lnTo>
              <a:lnTo>
                <a:pt x="97958" y="773267"/>
              </a:lnTo>
            </a:path>
          </a:pathLst>
        </a:custGeom>
      </dgm:spPr>
      <dgm:t>
        <a:bodyPr/>
        <a:lstStyle/>
        <a:p>
          <a:endParaRPr lang="sk-SK"/>
        </a:p>
      </dgm:t>
    </dgm:pt>
    <dgm:pt modelId="{00514DA3-6F89-4480-B432-648511438004}" type="pres">
      <dgm:prSet presAssocID="{9BD10187-CF68-4358-851D-37746B9BE424}" presName="hierRoot2" presStyleCnt="0">
        <dgm:presLayoutVars>
          <dgm:hierBranch val="init"/>
        </dgm:presLayoutVars>
      </dgm:prSet>
      <dgm:spPr/>
    </dgm:pt>
    <dgm:pt modelId="{E98762B6-3096-4EE9-ABFB-BE922D2DCDB1}" type="pres">
      <dgm:prSet presAssocID="{9BD10187-CF68-4358-851D-37746B9BE424}" presName="rootComposite" presStyleCnt="0"/>
      <dgm:spPr/>
    </dgm:pt>
    <dgm:pt modelId="{DC83E83E-40C3-49F0-A0B8-94CEBCEF9ABD}" type="pres">
      <dgm:prSet presAssocID="{9BD10187-CF68-4358-851D-37746B9BE424}" presName="rootText" presStyleLbl="node4" presStyleIdx="1" presStyleCnt="7" custScaleX="133285" custScaleY="143190" custLinFactNeighborX="-56653">
        <dgm:presLayoutVars>
          <dgm:chPref val="3"/>
        </dgm:presLayoutVars>
      </dgm:prSet>
      <dgm:spPr>
        <a:prstGeom prst="rect">
          <a:avLst/>
        </a:prstGeom>
      </dgm:spPr>
      <dgm:t>
        <a:bodyPr/>
        <a:lstStyle/>
        <a:p>
          <a:endParaRPr lang="sk-SK"/>
        </a:p>
      </dgm:t>
    </dgm:pt>
    <dgm:pt modelId="{01DE3D58-BB9C-4D37-A6F8-059AF9D5D875}" type="pres">
      <dgm:prSet presAssocID="{9BD10187-CF68-4358-851D-37746B9BE424}" presName="rootConnector" presStyleLbl="node4" presStyleIdx="1" presStyleCnt="7"/>
      <dgm:spPr/>
      <dgm:t>
        <a:bodyPr/>
        <a:lstStyle/>
        <a:p>
          <a:endParaRPr lang="sk-SK"/>
        </a:p>
      </dgm:t>
    </dgm:pt>
    <dgm:pt modelId="{2E8FA9A3-31D5-42C9-9F9D-059603DD20BE}" type="pres">
      <dgm:prSet presAssocID="{9BD10187-CF68-4358-851D-37746B9BE424}" presName="hierChild4" presStyleCnt="0"/>
      <dgm:spPr/>
    </dgm:pt>
    <dgm:pt modelId="{E39AA4AE-A070-46AC-B135-E5BD08BF346C}" type="pres">
      <dgm:prSet presAssocID="{9BD10187-CF68-4358-851D-37746B9BE424}" presName="hierChild5" presStyleCnt="0"/>
      <dgm:spPr/>
    </dgm:pt>
    <dgm:pt modelId="{3F99AA0B-1D4C-4466-AE53-9A3F0FE43AEE}" type="pres">
      <dgm:prSet presAssocID="{F3B10E13-90F0-4520-8066-BF6E8B694613}" presName="Name37" presStyleLbl="parChTrans1D4" presStyleIdx="2" presStyleCnt="7"/>
      <dgm:spPr>
        <a:custGeom>
          <a:avLst/>
          <a:gdLst/>
          <a:ahLst/>
          <a:cxnLst/>
          <a:rect l="0" t="0" r="0" b="0"/>
          <a:pathLst>
            <a:path>
              <a:moveTo>
                <a:pt x="45720" y="0"/>
              </a:moveTo>
              <a:lnTo>
                <a:pt x="45720" y="1293712"/>
              </a:lnTo>
              <a:lnTo>
                <a:pt x="108362" y="1293712"/>
              </a:lnTo>
            </a:path>
          </a:pathLst>
        </a:custGeom>
      </dgm:spPr>
      <dgm:t>
        <a:bodyPr/>
        <a:lstStyle/>
        <a:p>
          <a:endParaRPr lang="sk-SK"/>
        </a:p>
      </dgm:t>
    </dgm:pt>
    <dgm:pt modelId="{B2B108E6-04BD-429C-99AB-8BC377D3C954}" type="pres">
      <dgm:prSet presAssocID="{5CD30241-E44B-48D3-BDE3-A237484AE8EC}" presName="hierRoot2" presStyleCnt="0">
        <dgm:presLayoutVars>
          <dgm:hierBranch val="init"/>
        </dgm:presLayoutVars>
      </dgm:prSet>
      <dgm:spPr/>
    </dgm:pt>
    <dgm:pt modelId="{41833778-D08F-4F7F-AE45-B7C4C3F87639}" type="pres">
      <dgm:prSet presAssocID="{5CD30241-E44B-48D3-BDE3-A237484AE8EC}" presName="rootComposite" presStyleCnt="0"/>
      <dgm:spPr/>
    </dgm:pt>
    <dgm:pt modelId="{E2F0CD97-C806-4B85-999F-FD0D39CA6811}" type="pres">
      <dgm:prSet presAssocID="{5CD30241-E44B-48D3-BDE3-A237484AE8EC}" presName="rootText" presStyleLbl="node4" presStyleIdx="2" presStyleCnt="7" custScaleX="136502" custScaleY="130746" custLinFactNeighborX="-62605" custLinFactNeighborY="-3538">
        <dgm:presLayoutVars>
          <dgm:chPref val="3"/>
        </dgm:presLayoutVars>
      </dgm:prSet>
      <dgm:spPr>
        <a:prstGeom prst="rect">
          <a:avLst/>
        </a:prstGeom>
      </dgm:spPr>
      <dgm:t>
        <a:bodyPr/>
        <a:lstStyle/>
        <a:p>
          <a:endParaRPr lang="sk-SK"/>
        </a:p>
      </dgm:t>
    </dgm:pt>
    <dgm:pt modelId="{3B93B33C-3533-4491-BF4A-C4085867E473}" type="pres">
      <dgm:prSet presAssocID="{5CD30241-E44B-48D3-BDE3-A237484AE8EC}" presName="rootConnector" presStyleLbl="node4" presStyleIdx="2" presStyleCnt="7"/>
      <dgm:spPr/>
      <dgm:t>
        <a:bodyPr/>
        <a:lstStyle/>
        <a:p>
          <a:endParaRPr lang="sk-SK"/>
        </a:p>
      </dgm:t>
    </dgm:pt>
    <dgm:pt modelId="{E51D1719-21E2-4E3A-B1AC-5F70B39C2A76}" type="pres">
      <dgm:prSet presAssocID="{5CD30241-E44B-48D3-BDE3-A237484AE8EC}" presName="hierChild4" presStyleCnt="0"/>
      <dgm:spPr/>
    </dgm:pt>
    <dgm:pt modelId="{CD10B3E6-BE5E-4E47-8591-47B3022F7D50}" type="pres">
      <dgm:prSet presAssocID="{5CD30241-E44B-48D3-BDE3-A237484AE8EC}" presName="hierChild5" presStyleCnt="0"/>
      <dgm:spPr/>
    </dgm:pt>
    <dgm:pt modelId="{F0628EC6-D9BF-48A3-AE48-614781173127}" type="pres">
      <dgm:prSet presAssocID="{DAA3EB2F-5589-493A-AB75-871564DDECB6}" presName="hierChild5" presStyleCnt="0"/>
      <dgm:spPr/>
    </dgm:pt>
    <dgm:pt modelId="{1090D344-54AC-4700-99AB-8BA4CFA008C5}" type="pres">
      <dgm:prSet presAssocID="{452DB926-06E8-455B-84BD-DC0DD24F9824}" presName="Name37" presStyleLbl="parChTrans1D3" presStyleIdx="1" presStyleCnt="4"/>
      <dgm:spPr>
        <a:custGeom>
          <a:avLst/>
          <a:gdLst/>
          <a:ahLst/>
          <a:cxnLst/>
          <a:rect l="0" t="0" r="0" b="0"/>
          <a:pathLst>
            <a:path>
              <a:moveTo>
                <a:pt x="0" y="0"/>
              </a:moveTo>
              <a:lnTo>
                <a:pt x="0" y="62300"/>
              </a:lnTo>
              <a:lnTo>
                <a:pt x="411736" y="62300"/>
              </a:lnTo>
              <a:lnTo>
                <a:pt x="411736" y="124600"/>
              </a:lnTo>
            </a:path>
          </a:pathLst>
        </a:custGeom>
      </dgm:spPr>
      <dgm:t>
        <a:bodyPr/>
        <a:lstStyle/>
        <a:p>
          <a:endParaRPr lang="sk-SK"/>
        </a:p>
      </dgm:t>
    </dgm:pt>
    <dgm:pt modelId="{DEFD06B0-5502-4B75-BD96-9041B9F150E4}" type="pres">
      <dgm:prSet presAssocID="{BFE87DF3-3998-4CCD-A582-7B7ABC3F8F7F}" presName="hierRoot2" presStyleCnt="0">
        <dgm:presLayoutVars>
          <dgm:hierBranch val="init"/>
        </dgm:presLayoutVars>
      </dgm:prSet>
      <dgm:spPr/>
    </dgm:pt>
    <dgm:pt modelId="{8490034C-981B-4D8E-955A-F23F1A6A2A36}" type="pres">
      <dgm:prSet presAssocID="{BFE87DF3-3998-4CCD-A582-7B7ABC3F8F7F}" presName="rootComposite" presStyleCnt="0"/>
      <dgm:spPr/>
    </dgm:pt>
    <dgm:pt modelId="{B1949F03-8057-46DB-B344-CD4363AD1D3D}" type="pres">
      <dgm:prSet presAssocID="{BFE87DF3-3998-4CCD-A582-7B7ABC3F8F7F}" presName="rootText" presStyleLbl="node3" presStyleIdx="1" presStyleCnt="4" custScaleX="159649" custLinFactNeighborX="-34764">
        <dgm:presLayoutVars>
          <dgm:chPref val="3"/>
        </dgm:presLayoutVars>
      </dgm:prSet>
      <dgm:spPr>
        <a:prstGeom prst="rect">
          <a:avLst/>
        </a:prstGeom>
      </dgm:spPr>
      <dgm:t>
        <a:bodyPr/>
        <a:lstStyle/>
        <a:p>
          <a:endParaRPr lang="sk-SK"/>
        </a:p>
      </dgm:t>
    </dgm:pt>
    <dgm:pt modelId="{E5921F6C-DB30-4A59-80A6-3D5BB72DA8BE}" type="pres">
      <dgm:prSet presAssocID="{BFE87DF3-3998-4CCD-A582-7B7ABC3F8F7F}" presName="rootConnector" presStyleLbl="node3" presStyleIdx="1" presStyleCnt="4"/>
      <dgm:spPr/>
      <dgm:t>
        <a:bodyPr/>
        <a:lstStyle/>
        <a:p>
          <a:endParaRPr lang="sk-SK"/>
        </a:p>
      </dgm:t>
    </dgm:pt>
    <dgm:pt modelId="{FA412C8E-3BBD-4024-BE4D-26AE81B6B2B7}" type="pres">
      <dgm:prSet presAssocID="{BFE87DF3-3998-4CCD-A582-7B7ABC3F8F7F}" presName="hierChild4" presStyleCnt="0"/>
      <dgm:spPr/>
    </dgm:pt>
    <dgm:pt modelId="{374CD110-3847-45EE-B723-A29C08052964}" type="pres">
      <dgm:prSet presAssocID="{803B7A48-98E2-4F7C-AEE8-B2A55F968BFE}" presName="Name37" presStyleLbl="parChTrans1D4" presStyleIdx="3" presStyleCnt="7"/>
      <dgm:spPr>
        <a:custGeom>
          <a:avLst/>
          <a:gdLst/>
          <a:ahLst/>
          <a:cxnLst/>
          <a:rect l="0" t="0" r="0" b="0"/>
          <a:pathLst>
            <a:path>
              <a:moveTo>
                <a:pt x="0" y="0"/>
              </a:moveTo>
              <a:lnTo>
                <a:pt x="0" y="316461"/>
              </a:lnTo>
              <a:lnTo>
                <a:pt x="348355" y="316461"/>
              </a:lnTo>
            </a:path>
          </a:pathLst>
        </a:custGeom>
      </dgm:spPr>
      <dgm:t>
        <a:bodyPr/>
        <a:lstStyle/>
        <a:p>
          <a:endParaRPr lang="sk-SK"/>
        </a:p>
      </dgm:t>
    </dgm:pt>
    <dgm:pt modelId="{7B79D2AC-70E2-4E65-8C2B-10A362302B72}" type="pres">
      <dgm:prSet presAssocID="{FAEB197E-7D85-4A1F-B6DF-60EBA2362F9E}" presName="hierRoot2" presStyleCnt="0">
        <dgm:presLayoutVars>
          <dgm:hierBranch val="init"/>
        </dgm:presLayoutVars>
      </dgm:prSet>
      <dgm:spPr/>
    </dgm:pt>
    <dgm:pt modelId="{C4719F78-B726-4D68-83A7-73FE12A6F9A4}" type="pres">
      <dgm:prSet presAssocID="{FAEB197E-7D85-4A1F-B6DF-60EBA2362F9E}" presName="rootComposite" presStyleCnt="0"/>
      <dgm:spPr/>
    </dgm:pt>
    <dgm:pt modelId="{1343A2FB-9A78-4AC6-85F1-9AA13FCDD695}" type="pres">
      <dgm:prSet presAssocID="{FAEB197E-7D85-4A1F-B6DF-60EBA2362F9E}" presName="rootText" presStyleLbl="node4" presStyleIdx="3" presStyleCnt="7" custScaleX="137485" custScaleY="129344">
        <dgm:presLayoutVars>
          <dgm:chPref val="3"/>
        </dgm:presLayoutVars>
      </dgm:prSet>
      <dgm:spPr>
        <a:prstGeom prst="rect">
          <a:avLst/>
        </a:prstGeom>
      </dgm:spPr>
      <dgm:t>
        <a:bodyPr/>
        <a:lstStyle/>
        <a:p>
          <a:endParaRPr lang="sk-SK"/>
        </a:p>
      </dgm:t>
    </dgm:pt>
    <dgm:pt modelId="{54157F02-ABFF-466D-8E17-13C4FE6AE977}" type="pres">
      <dgm:prSet presAssocID="{FAEB197E-7D85-4A1F-B6DF-60EBA2362F9E}" presName="rootConnector" presStyleLbl="node4" presStyleIdx="3" presStyleCnt="7"/>
      <dgm:spPr/>
      <dgm:t>
        <a:bodyPr/>
        <a:lstStyle/>
        <a:p>
          <a:endParaRPr lang="sk-SK"/>
        </a:p>
      </dgm:t>
    </dgm:pt>
    <dgm:pt modelId="{1C741C14-39BA-41E1-AA52-AA76B5A17FC1}" type="pres">
      <dgm:prSet presAssocID="{FAEB197E-7D85-4A1F-B6DF-60EBA2362F9E}" presName="hierChild4" presStyleCnt="0"/>
      <dgm:spPr/>
    </dgm:pt>
    <dgm:pt modelId="{3BDBB984-54FE-42C7-9590-F95269610C6E}" type="pres">
      <dgm:prSet presAssocID="{FAEB197E-7D85-4A1F-B6DF-60EBA2362F9E}" presName="hierChild5" presStyleCnt="0"/>
      <dgm:spPr/>
    </dgm:pt>
    <dgm:pt modelId="{976EFC49-DA0F-43CE-919D-7174F25A5EED}" type="pres">
      <dgm:prSet presAssocID="{F582975F-76C2-43C4-8F42-EAA66E838B6C}" presName="Name37" presStyleLbl="parChTrans1D4" presStyleIdx="4" presStyleCnt="7"/>
      <dgm:spPr>
        <a:custGeom>
          <a:avLst/>
          <a:gdLst/>
          <a:ahLst/>
          <a:cxnLst/>
          <a:rect l="0" t="0" r="0" b="0"/>
          <a:pathLst>
            <a:path>
              <a:moveTo>
                <a:pt x="0" y="0"/>
              </a:moveTo>
              <a:lnTo>
                <a:pt x="0" y="864281"/>
              </a:lnTo>
              <a:lnTo>
                <a:pt x="348355" y="864281"/>
              </a:lnTo>
            </a:path>
          </a:pathLst>
        </a:custGeom>
      </dgm:spPr>
      <dgm:t>
        <a:bodyPr/>
        <a:lstStyle/>
        <a:p>
          <a:endParaRPr lang="sk-SK"/>
        </a:p>
      </dgm:t>
    </dgm:pt>
    <dgm:pt modelId="{4178CC95-1D72-41E6-8AE1-26E0FA184AB4}" type="pres">
      <dgm:prSet presAssocID="{958468FF-10A8-4789-9D58-666F9DC9BBC2}" presName="hierRoot2" presStyleCnt="0">
        <dgm:presLayoutVars>
          <dgm:hierBranch val="init"/>
        </dgm:presLayoutVars>
      </dgm:prSet>
      <dgm:spPr/>
    </dgm:pt>
    <dgm:pt modelId="{0ABBF74C-29CA-47F1-9C73-D660E20B1FD9}" type="pres">
      <dgm:prSet presAssocID="{958468FF-10A8-4789-9D58-666F9DC9BBC2}" presName="rootComposite" presStyleCnt="0"/>
      <dgm:spPr/>
    </dgm:pt>
    <dgm:pt modelId="{C0A6442C-4B57-4F99-B92C-7EF2B0772A2F}" type="pres">
      <dgm:prSet presAssocID="{958468FF-10A8-4789-9D58-666F9DC9BBC2}" presName="rootText" presStyleLbl="node4" presStyleIdx="4" presStyleCnt="7" custScaleX="137794" custScaleY="155971">
        <dgm:presLayoutVars>
          <dgm:chPref val="3"/>
        </dgm:presLayoutVars>
      </dgm:prSet>
      <dgm:spPr>
        <a:prstGeom prst="rect">
          <a:avLst/>
        </a:prstGeom>
      </dgm:spPr>
      <dgm:t>
        <a:bodyPr/>
        <a:lstStyle/>
        <a:p>
          <a:endParaRPr lang="sk-SK"/>
        </a:p>
      </dgm:t>
    </dgm:pt>
    <dgm:pt modelId="{014D66A7-D85A-42A5-B35F-FD7731D4E424}" type="pres">
      <dgm:prSet presAssocID="{958468FF-10A8-4789-9D58-666F9DC9BBC2}" presName="rootConnector" presStyleLbl="node4" presStyleIdx="4" presStyleCnt="7"/>
      <dgm:spPr/>
      <dgm:t>
        <a:bodyPr/>
        <a:lstStyle/>
        <a:p>
          <a:endParaRPr lang="sk-SK"/>
        </a:p>
      </dgm:t>
    </dgm:pt>
    <dgm:pt modelId="{27EA7D99-D1BF-4059-9BA8-0686FBEE2F79}" type="pres">
      <dgm:prSet presAssocID="{958468FF-10A8-4789-9D58-666F9DC9BBC2}" presName="hierChild4" presStyleCnt="0"/>
      <dgm:spPr/>
    </dgm:pt>
    <dgm:pt modelId="{CBEE7897-3A97-4ED5-966A-295B6B8DCB63}" type="pres">
      <dgm:prSet presAssocID="{958468FF-10A8-4789-9D58-666F9DC9BBC2}" presName="hierChild5" presStyleCnt="0"/>
      <dgm:spPr/>
    </dgm:pt>
    <dgm:pt modelId="{277CD282-90F3-40A0-AF8F-917F658ED55C}" type="pres">
      <dgm:prSet presAssocID="{88BFD706-BE28-4942-A258-1D7C24CAD9AA}" presName="Name37" presStyleLbl="parChTrans1D4" presStyleIdx="5" presStyleCnt="7"/>
      <dgm:spPr>
        <a:custGeom>
          <a:avLst/>
          <a:gdLst/>
          <a:ahLst/>
          <a:cxnLst/>
          <a:rect l="0" t="0" r="0" b="0"/>
          <a:pathLst>
            <a:path>
              <a:moveTo>
                <a:pt x="0" y="0"/>
              </a:moveTo>
              <a:lnTo>
                <a:pt x="0" y="1418858"/>
              </a:lnTo>
              <a:lnTo>
                <a:pt x="348355" y="1418858"/>
              </a:lnTo>
            </a:path>
          </a:pathLst>
        </a:custGeom>
      </dgm:spPr>
      <dgm:t>
        <a:bodyPr/>
        <a:lstStyle/>
        <a:p>
          <a:endParaRPr lang="sk-SK"/>
        </a:p>
      </dgm:t>
    </dgm:pt>
    <dgm:pt modelId="{D3366B12-57F8-4658-807B-B7D0CBF10921}" type="pres">
      <dgm:prSet presAssocID="{D7839C98-4523-42E0-ABAE-0EF6149DE65B}" presName="hierRoot2" presStyleCnt="0">
        <dgm:presLayoutVars>
          <dgm:hierBranch val="init"/>
        </dgm:presLayoutVars>
      </dgm:prSet>
      <dgm:spPr/>
    </dgm:pt>
    <dgm:pt modelId="{EE268EF7-AE50-416D-9FE4-A8C296B6C4C8}" type="pres">
      <dgm:prSet presAssocID="{D7839C98-4523-42E0-ABAE-0EF6149DE65B}" presName="rootComposite" presStyleCnt="0"/>
      <dgm:spPr/>
    </dgm:pt>
    <dgm:pt modelId="{3687DEDE-D222-424B-B9A1-1F60C24C64D1}" type="pres">
      <dgm:prSet presAssocID="{D7839C98-4523-42E0-ABAE-0EF6149DE65B}" presName="rootText" presStyleLbl="node4" presStyleIdx="5" presStyleCnt="7" custScaleX="144025" custScaleY="133900">
        <dgm:presLayoutVars>
          <dgm:chPref val="3"/>
        </dgm:presLayoutVars>
      </dgm:prSet>
      <dgm:spPr>
        <a:prstGeom prst="rect">
          <a:avLst/>
        </a:prstGeom>
      </dgm:spPr>
      <dgm:t>
        <a:bodyPr/>
        <a:lstStyle/>
        <a:p>
          <a:endParaRPr lang="sk-SK"/>
        </a:p>
      </dgm:t>
    </dgm:pt>
    <dgm:pt modelId="{A0A28AB4-9C60-46F7-A91F-C4B01D356F97}" type="pres">
      <dgm:prSet presAssocID="{D7839C98-4523-42E0-ABAE-0EF6149DE65B}" presName="rootConnector" presStyleLbl="node4" presStyleIdx="5" presStyleCnt="7"/>
      <dgm:spPr/>
      <dgm:t>
        <a:bodyPr/>
        <a:lstStyle/>
        <a:p>
          <a:endParaRPr lang="sk-SK"/>
        </a:p>
      </dgm:t>
    </dgm:pt>
    <dgm:pt modelId="{FA387A3A-37D6-4688-A301-1DE3244DDCD9}" type="pres">
      <dgm:prSet presAssocID="{D7839C98-4523-42E0-ABAE-0EF6149DE65B}" presName="hierChild4" presStyleCnt="0"/>
      <dgm:spPr/>
    </dgm:pt>
    <dgm:pt modelId="{99E69A43-AC4B-486C-91C0-80730CCCAC0A}" type="pres">
      <dgm:prSet presAssocID="{D7839C98-4523-42E0-ABAE-0EF6149DE65B}" presName="hierChild5" presStyleCnt="0"/>
      <dgm:spPr/>
    </dgm:pt>
    <dgm:pt modelId="{EB4D4C1E-E1BD-4688-B1D3-B5327DD60754}" type="pres">
      <dgm:prSet presAssocID="{E07CF9C2-8C10-4193-96BE-0A22E9947AEC}" presName="Name37" presStyleLbl="parChTrans1D4" presStyleIdx="6" presStyleCnt="7"/>
      <dgm:spPr>
        <a:custGeom>
          <a:avLst/>
          <a:gdLst/>
          <a:ahLst/>
          <a:cxnLst/>
          <a:rect l="0" t="0" r="0" b="0"/>
          <a:pathLst>
            <a:path>
              <a:moveTo>
                <a:pt x="0" y="0"/>
              </a:moveTo>
              <a:lnTo>
                <a:pt x="0" y="1890412"/>
              </a:lnTo>
              <a:lnTo>
                <a:pt x="348355" y="1890412"/>
              </a:lnTo>
            </a:path>
          </a:pathLst>
        </a:custGeom>
      </dgm:spPr>
      <dgm:t>
        <a:bodyPr/>
        <a:lstStyle/>
        <a:p>
          <a:endParaRPr lang="sk-SK"/>
        </a:p>
      </dgm:t>
    </dgm:pt>
    <dgm:pt modelId="{637A2AB9-3E0A-4E00-9AFB-BE437BFA82F7}" type="pres">
      <dgm:prSet presAssocID="{B7BE6468-F7AA-4461-8270-DFF734595C52}" presName="hierRoot2" presStyleCnt="0">
        <dgm:presLayoutVars>
          <dgm:hierBranch val="init"/>
        </dgm:presLayoutVars>
      </dgm:prSet>
      <dgm:spPr/>
    </dgm:pt>
    <dgm:pt modelId="{B515F2F1-59C6-425E-B5DB-0851BE4599E6}" type="pres">
      <dgm:prSet presAssocID="{B7BE6468-F7AA-4461-8270-DFF734595C52}" presName="rootComposite" presStyleCnt="0"/>
      <dgm:spPr/>
    </dgm:pt>
    <dgm:pt modelId="{42441DEF-6E3D-491F-8176-F7B1E28620E2}" type="pres">
      <dgm:prSet presAssocID="{B7BE6468-F7AA-4461-8270-DFF734595C52}" presName="rootText" presStyleLbl="node4" presStyleIdx="6" presStyleCnt="7" custScaleX="172466">
        <dgm:presLayoutVars>
          <dgm:chPref val="3"/>
        </dgm:presLayoutVars>
      </dgm:prSet>
      <dgm:spPr>
        <a:prstGeom prst="rect">
          <a:avLst/>
        </a:prstGeom>
      </dgm:spPr>
      <dgm:t>
        <a:bodyPr/>
        <a:lstStyle/>
        <a:p>
          <a:endParaRPr lang="sk-SK"/>
        </a:p>
      </dgm:t>
    </dgm:pt>
    <dgm:pt modelId="{8FAE5FEC-027B-4957-85CC-1C9369AA940D}" type="pres">
      <dgm:prSet presAssocID="{B7BE6468-F7AA-4461-8270-DFF734595C52}" presName="rootConnector" presStyleLbl="node4" presStyleIdx="6" presStyleCnt="7"/>
      <dgm:spPr/>
      <dgm:t>
        <a:bodyPr/>
        <a:lstStyle/>
        <a:p>
          <a:endParaRPr lang="sk-SK"/>
        </a:p>
      </dgm:t>
    </dgm:pt>
    <dgm:pt modelId="{C50B8E5D-65C7-4498-8665-5A4237CE493E}" type="pres">
      <dgm:prSet presAssocID="{B7BE6468-F7AA-4461-8270-DFF734595C52}" presName="hierChild4" presStyleCnt="0"/>
      <dgm:spPr/>
    </dgm:pt>
    <dgm:pt modelId="{DC221C28-74C1-4F17-8173-D6011E0AA6B6}" type="pres">
      <dgm:prSet presAssocID="{B7BE6468-F7AA-4461-8270-DFF734595C52}" presName="hierChild5" presStyleCnt="0"/>
      <dgm:spPr/>
    </dgm:pt>
    <dgm:pt modelId="{7C3BF277-2FAA-4568-A4F0-1527BB1990ED}" type="pres">
      <dgm:prSet presAssocID="{BFE87DF3-3998-4CCD-A582-7B7ABC3F8F7F}" presName="hierChild5" presStyleCnt="0"/>
      <dgm:spPr/>
    </dgm:pt>
    <dgm:pt modelId="{5DD0E74E-F92B-488E-834D-5EB711DECA63}" type="pres">
      <dgm:prSet presAssocID="{D475CB04-EA4A-4079-BCA6-B399C11E9FAD}" presName="hierChild5" presStyleCnt="0"/>
      <dgm:spPr/>
    </dgm:pt>
    <dgm:pt modelId="{3F7CA9D4-2F10-40CC-A3A9-118304FB9B94}" type="pres">
      <dgm:prSet presAssocID="{12D15284-9CBA-4057-8835-96F694DA96E7}" presName="Name37" presStyleLbl="parChTrans1D2" presStyleIdx="1" presStyleCnt="2"/>
      <dgm:spPr>
        <a:custGeom>
          <a:avLst/>
          <a:gdLst/>
          <a:ahLst/>
          <a:cxnLst/>
          <a:rect l="0" t="0" r="0" b="0"/>
          <a:pathLst>
            <a:path>
              <a:moveTo>
                <a:pt x="0" y="0"/>
              </a:moveTo>
              <a:lnTo>
                <a:pt x="0" y="54661"/>
              </a:lnTo>
              <a:lnTo>
                <a:pt x="1080871" y="54661"/>
              </a:lnTo>
              <a:lnTo>
                <a:pt x="1080871" y="116961"/>
              </a:lnTo>
            </a:path>
          </a:pathLst>
        </a:custGeom>
      </dgm:spPr>
      <dgm:t>
        <a:bodyPr/>
        <a:lstStyle/>
        <a:p>
          <a:endParaRPr lang="sk-SK"/>
        </a:p>
      </dgm:t>
    </dgm:pt>
    <dgm:pt modelId="{038D9F07-EA61-41F6-946F-8BDC72C4B33D}" type="pres">
      <dgm:prSet presAssocID="{C20CBBE1-F2C5-4B87-8CB4-A7CE3BD88F7C}" presName="hierRoot2" presStyleCnt="0">
        <dgm:presLayoutVars>
          <dgm:hierBranch val="init"/>
        </dgm:presLayoutVars>
      </dgm:prSet>
      <dgm:spPr/>
    </dgm:pt>
    <dgm:pt modelId="{23D0DD7A-D0A2-439D-92C8-D7D6BDB9C7CC}" type="pres">
      <dgm:prSet presAssocID="{C20CBBE1-F2C5-4B87-8CB4-A7CE3BD88F7C}" presName="rootComposite" presStyleCnt="0"/>
      <dgm:spPr/>
    </dgm:pt>
    <dgm:pt modelId="{BCF9AF9A-D03E-4F12-863E-3CAEE6309E9B}" type="pres">
      <dgm:prSet presAssocID="{C20CBBE1-F2C5-4B87-8CB4-A7CE3BD88F7C}" presName="rootText" presStyleLbl="node2" presStyleIdx="1" presStyleCnt="2" custScaleX="269546" custLinFactNeighborX="33477" custLinFactNeighborY="-2575">
        <dgm:presLayoutVars>
          <dgm:chPref val="3"/>
        </dgm:presLayoutVars>
      </dgm:prSet>
      <dgm:spPr>
        <a:prstGeom prst="rect">
          <a:avLst/>
        </a:prstGeom>
      </dgm:spPr>
      <dgm:t>
        <a:bodyPr/>
        <a:lstStyle/>
        <a:p>
          <a:endParaRPr lang="sk-SK"/>
        </a:p>
      </dgm:t>
    </dgm:pt>
    <dgm:pt modelId="{24CD8AD8-6DBC-4F34-ACAB-2152A7404EA3}" type="pres">
      <dgm:prSet presAssocID="{C20CBBE1-F2C5-4B87-8CB4-A7CE3BD88F7C}" presName="rootConnector" presStyleLbl="node2" presStyleIdx="1" presStyleCnt="2"/>
      <dgm:spPr/>
      <dgm:t>
        <a:bodyPr/>
        <a:lstStyle/>
        <a:p>
          <a:endParaRPr lang="sk-SK"/>
        </a:p>
      </dgm:t>
    </dgm:pt>
    <dgm:pt modelId="{DC9C3E95-766B-40F5-B951-8749EB15EF8D}" type="pres">
      <dgm:prSet presAssocID="{C20CBBE1-F2C5-4B87-8CB4-A7CE3BD88F7C}" presName="hierChild4" presStyleCnt="0"/>
      <dgm:spPr/>
    </dgm:pt>
    <dgm:pt modelId="{7F9188D1-8549-4771-B5DB-F5312091D6DA}" type="pres">
      <dgm:prSet presAssocID="{02780549-DF3A-488E-95FC-4D51E2E8F2E6}" presName="Name37" presStyleLbl="parChTrans1D3" presStyleIdx="2" presStyleCnt="4"/>
      <dgm:spPr>
        <a:custGeom>
          <a:avLst/>
          <a:gdLst/>
          <a:ahLst/>
          <a:cxnLst/>
          <a:rect l="0" t="0" r="0" b="0"/>
          <a:pathLst>
            <a:path>
              <a:moveTo>
                <a:pt x="0" y="0"/>
              </a:moveTo>
              <a:lnTo>
                <a:pt x="0" y="265295"/>
              </a:lnTo>
              <a:lnTo>
                <a:pt x="178777" y="265295"/>
              </a:lnTo>
            </a:path>
          </a:pathLst>
        </a:custGeom>
      </dgm:spPr>
      <dgm:t>
        <a:bodyPr/>
        <a:lstStyle/>
        <a:p>
          <a:endParaRPr lang="sk-SK"/>
        </a:p>
      </dgm:t>
    </dgm:pt>
    <dgm:pt modelId="{492E8CBE-2999-4D7D-B76B-F79277B4EEA6}" type="pres">
      <dgm:prSet presAssocID="{28DD8DA2-5C80-4928-B4CC-8CD560C83BFE}" presName="hierRoot2" presStyleCnt="0">
        <dgm:presLayoutVars>
          <dgm:hierBranch val="init"/>
        </dgm:presLayoutVars>
      </dgm:prSet>
      <dgm:spPr/>
    </dgm:pt>
    <dgm:pt modelId="{D0932803-5966-4F06-A881-EC5F042DD395}" type="pres">
      <dgm:prSet presAssocID="{28DD8DA2-5C80-4928-B4CC-8CD560C83BFE}" presName="rootComposite" presStyleCnt="0"/>
      <dgm:spPr/>
    </dgm:pt>
    <dgm:pt modelId="{26CF2FC0-6AAC-4915-9442-CC8DB71E68B0}" type="pres">
      <dgm:prSet presAssocID="{28DD8DA2-5C80-4928-B4CC-8CD560C83BFE}" presName="rootText" presStyleLbl="node3" presStyleIdx="2" presStyleCnt="4" custScaleX="161797" custLinFactNeighborX="23176" custLinFactNeighborY="-5150">
        <dgm:presLayoutVars>
          <dgm:chPref val="3"/>
        </dgm:presLayoutVars>
      </dgm:prSet>
      <dgm:spPr>
        <a:prstGeom prst="rect">
          <a:avLst/>
        </a:prstGeom>
      </dgm:spPr>
      <dgm:t>
        <a:bodyPr/>
        <a:lstStyle/>
        <a:p>
          <a:endParaRPr lang="sk-SK"/>
        </a:p>
      </dgm:t>
    </dgm:pt>
    <dgm:pt modelId="{6188455E-58AA-4AFE-B122-2B86BCD66F9F}" type="pres">
      <dgm:prSet presAssocID="{28DD8DA2-5C80-4928-B4CC-8CD560C83BFE}" presName="rootConnector" presStyleLbl="node3" presStyleIdx="2" presStyleCnt="4"/>
      <dgm:spPr/>
      <dgm:t>
        <a:bodyPr/>
        <a:lstStyle/>
        <a:p>
          <a:endParaRPr lang="sk-SK"/>
        </a:p>
      </dgm:t>
    </dgm:pt>
    <dgm:pt modelId="{A7D692C6-4A71-4A16-891B-9CE783D39C05}" type="pres">
      <dgm:prSet presAssocID="{28DD8DA2-5C80-4928-B4CC-8CD560C83BFE}" presName="hierChild4" presStyleCnt="0"/>
      <dgm:spPr/>
    </dgm:pt>
    <dgm:pt modelId="{AD764401-6ED9-4DC0-A75C-F42439C2F1EB}" type="pres">
      <dgm:prSet presAssocID="{28DD8DA2-5C80-4928-B4CC-8CD560C83BFE}" presName="hierChild5" presStyleCnt="0"/>
      <dgm:spPr/>
    </dgm:pt>
    <dgm:pt modelId="{EE5B3127-00F4-488B-AEA4-6517380D7C2A}" type="pres">
      <dgm:prSet presAssocID="{C00F096A-A98D-42E2-BF04-D1A5693611F6}" presName="Name37" presStyleLbl="parChTrans1D3" presStyleIdx="3" presStyleCnt="4"/>
      <dgm:spPr>
        <a:custGeom>
          <a:avLst/>
          <a:gdLst/>
          <a:ahLst/>
          <a:cxnLst/>
          <a:rect l="0" t="0" r="0" b="0"/>
          <a:pathLst>
            <a:path>
              <a:moveTo>
                <a:pt x="0" y="0"/>
              </a:moveTo>
              <a:lnTo>
                <a:pt x="0" y="671282"/>
              </a:lnTo>
              <a:lnTo>
                <a:pt x="194055" y="671282"/>
              </a:lnTo>
            </a:path>
          </a:pathLst>
        </a:custGeom>
      </dgm:spPr>
      <dgm:t>
        <a:bodyPr/>
        <a:lstStyle/>
        <a:p>
          <a:endParaRPr lang="sk-SK"/>
        </a:p>
      </dgm:t>
    </dgm:pt>
    <dgm:pt modelId="{276FB599-0083-4DF2-8190-446D282C1770}" type="pres">
      <dgm:prSet presAssocID="{C520A059-93E0-4C28-8796-8EB6E0AC8D7A}" presName="hierRoot2" presStyleCnt="0">
        <dgm:presLayoutVars>
          <dgm:hierBranch val="init"/>
        </dgm:presLayoutVars>
      </dgm:prSet>
      <dgm:spPr/>
    </dgm:pt>
    <dgm:pt modelId="{1EE7DA50-1B73-43B8-B142-07E354FCBF73}" type="pres">
      <dgm:prSet presAssocID="{C520A059-93E0-4C28-8796-8EB6E0AC8D7A}" presName="rootComposite" presStyleCnt="0"/>
      <dgm:spPr/>
    </dgm:pt>
    <dgm:pt modelId="{98A43C32-D36B-4A54-897C-8C6840BC136D}" type="pres">
      <dgm:prSet presAssocID="{C520A059-93E0-4C28-8796-8EB6E0AC8D7A}" presName="rootText" presStyleLbl="node3" presStyleIdx="3" presStyleCnt="4" custScaleX="161803" custLinFactNeighborX="25751" custLinFactNeighborY="-10301">
        <dgm:presLayoutVars>
          <dgm:chPref val="3"/>
        </dgm:presLayoutVars>
      </dgm:prSet>
      <dgm:spPr>
        <a:prstGeom prst="rect">
          <a:avLst/>
        </a:prstGeom>
      </dgm:spPr>
      <dgm:t>
        <a:bodyPr/>
        <a:lstStyle/>
        <a:p>
          <a:endParaRPr lang="sk-SK"/>
        </a:p>
      </dgm:t>
    </dgm:pt>
    <dgm:pt modelId="{5AC60B01-BEDA-46F8-8932-396C491415FA}" type="pres">
      <dgm:prSet presAssocID="{C520A059-93E0-4C28-8796-8EB6E0AC8D7A}" presName="rootConnector" presStyleLbl="node3" presStyleIdx="3" presStyleCnt="4"/>
      <dgm:spPr/>
      <dgm:t>
        <a:bodyPr/>
        <a:lstStyle/>
        <a:p>
          <a:endParaRPr lang="sk-SK"/>
        </a:p>
      </dgm:t>
    </dgm:pt>
    <dgm:pt modelId="{153A8673-5DEF-4B54-8BFD-56EA6F314262}" type="pres">
      <dgm:prSet presAssocID="{C520A059-93E0-4C28-8796-8EB6E0AC8D7A}" presName="hierChild4" presStyleCnt="0"/>
      <dgm:spPr/>
    </dgm:pt>
    <dgm:pt modelId="{ADE7FAA2-400B-4ABA-9801-0692EB249E9E}" type="pres">
      <dgm:prSet presAssocID="{C520A059-93E0-4C28-8796-8EB6E0AC8D7A}" presName="hierChild5" presStyleCnt="0"/>
      <dgm:spPr/>
    </dgm:pt>
    <dgm:pt modelId="{FFF5601C-44F3-4BB5-BC99-7B1305FE464A}" type="pres">
      <dgm:prSet presAssocID="{C20CBBE1-F2C5-4B87-8CB4-A7CE3BD88F7C}" presName="hierChild5" presStyleCnt="0"/>
      <dgm:spPr/>
    </dgm:pt>
    <dgm:pt modelId="{81B42CE6-5A09-4A0D-9E66-DE2CB592F0A2}" type="pres">
      <dgm:prSet presAssocID="{E8A72010-618B-4597-A020-EDD03718BAD5}" presName="hierChild3" presStyleCnt="0"/>
      <dgm:spPr/>
    </dgm:pt>
  </dgm:ptLst>
  <dgm:cxnLst>
    <dgm:cxn modelId="{5B39A0DF-7484-4469-8CD1-ACA52D5FB012}" type="presOf" srcId="{5CD30241-E44B-48D3-BDE3-A237484AE8EC}" destId="{3B93B33C-3533-4491-BF4A-C4085867E473}" srcOrd="1" destOrd="0" presId="urn:microsoft.com/office/officeart/2005/8/layout/orgChart1"/>
    <dgm:cxn modelId="{E32B8369-030B-48BC-B968-C4FC85BB7039}" type="presOf" srcId="{452DB926-06E8-455B-84BD-DC0DD24F9824}" destId="{1090D344-54AC-4700-99AB-8BA4CFA008C5}" srcOrd="0" destOrd="0" presId="urn:microsoft.com/office/officeart/2005/8/layout/orgChart1"/>
    <dgm:cxn modelId="{8FE3592F-DCD2-47BC-99F6-3DD6B79BC141}" type="presOf" srcId="{88BFD706-BE28-4942-A258-1D7C24CAD9AA}" destId="{277CD282-90F3-40A0-AF8F-917F658ED55C}" srcOrd="0" destOrd="0" presId="urn:microsoft.com/office/officeart/2005/8/layout/orgChart1"/>
    <dgm:cxn modelId="{5C037AC0-24FE-4CF2-90C9-9344E26C747F}" srcId="{DAA3EB2F-5589-493A-AB75-871564DDECB6}" destId="{9BD10187-CF68-4358-851D-37746B9BE424}" srcOrd="1" destOrd="0" parTransId="{FB1D9885-664A-4878-95A5-9E91E491B169}" sibTransId="{0B370881-17B1-4385-AE9E-2086C5378834}"/>
    <dgm:cxn modelId="{4F6164D6-3202-4CF1-95EF-BE24FB29A7F5}" type="presOf" srcId="{F582975F-76C2-43C4-8F42-EAA66E838B6C}" destId="{976EFC49-DA0F-43CE-919D-7174F25A5EED}" srcOrd="0" destOrd="0" presId="urn:microsoft.com/office/officeart/2005/8/layout/orgChart1"/>
    <dgm:cxn modelId="{F282007E-DF53-467E-801A-FCC9D326B0D9}" type="presOf" srcId="{C520A059-93E0-4C28-8796-8EB6E0AC8D7A}" destId="{98A43C32-D36B-4A54-897C-8C6840BC136D}" srcOrd="0" destOrd="0" presId="urn:microsoft.com/office/officeart/2005/8/layout/orgChart1"/>
    <dgm:cxn modelId="{A288E31B-A23A-4646-B5FE-4BC8618CCE25}" srcId="{C20CBBE1-F2C5-4B87-8CB4-A7CE3BD88F7C}" destId="{C520A059-93E0-4C28-8796-8EB6E0AC8D7A}" srcOrd="1" destOrd="0" parTransId="{C00F096A-A98D-42E2-BF04-D1A5693611F6}" sibTransId="{5D283530-1C77-4CDD-AD68-38477EDE4558}"/>
    <dgm:cxn modelId="{32B3AB30-BC7D-44D4-B32D-12F039E2721F}" srcId="{E8A72010-618B-4597-A020-EDD03718BAD5}" destId="{D475CB04-EA4A-4079-BCA6-B399C11E9FAD}" srcOrd="0" destOrd="0" parTransId="{212BDDD9-F466-44B0-BF08-2F54343EA4BF}" sibTransId="{7EAA5FA4-8997-49F2-BD99-AEB03D8C9022}"/>
    <dgm:cxn modelId="{5D287750-19F1-4EB3-99B1-57C0FB6438F0}" type="presOf" srcId="{11D48FF1-D9AC-4B52-9A8E-D0517C9655BB}" destId="{EF874B7A-8BD8-40F0-BAD8-3826505D0952}" srcOrd="0" destOrd="0" presId="urn:microsoft.com/office/officeart/2005/8/layout/orgChart1"/>
    <dgm:cxn modelId="{EB830933-F532-47E8-B1F6-33ADF8278E9D}" srcId="{D475CB04-EA4A-4079-BCA6-B399C11E9FAD}" destId="{DAA3EB2F-5589-493A-AB75-871564DDECB6}" srcOrd="0" destOrd="0" parTransId="{FCB484D0-030E-4375-9CB2-44C77DAA580C}" sibTransId="{E40B806F-1139-487C-B71F-9F354A9AC415}"/>
    <dgm:cxn modelId="{5E7EFC4F-D9E4-4B21-A77F-504B316D9844}" srcId="{660EC636-F116-4086-81F7-C6FAFBEB59B4}" destId="{E8A72010-618B-4597-A020-EDD03718BAD5}" srcOrd="0" destOrd="0" parTransId="{FC6CF16D-2663-4FD7-85CE-F13BE784F8C0}" sibTransId="{6723E5E8-717D-4325-A2ED-EB76DD6403C2}"/>
    <dgm:cxn modelId="{2970022A-14BF-413C-9316-B229F4DD7FA9}" type="presOf" srcId="{D475CB04-EA4A-4079-BCA6-B399C11E9FAD}" destId="{B1AA7480-BA9E-4859-B64A-DBE054795DCC}" srcOrd="0" destOrd="0" presId="urn:microsoft.com/office/officeart/2005/8/layout/orgChart1"/>
    <dgm:cxn modelId="{2D16522A-9091-4099-918C-D095E19F3181}" type="presOf" srcId="{D475CB04-EA4A-4079-BCA6-B399C11E9FAD}" destId="{E4AC54CF-9DAC-46CD-90D9-4B2C5A8CD010}" srcOrd="1" destOrd="0" presId="urn:microsoft.com/office/officeart/2005/8/layout/orgChart1"/>
    <dgm:cxn modelId="{2D195A6B-BA66-4E63-9DF9-13EB7630B81E}" type="presOf" srcId="{DAA3EB2F-5589-493A-AB75-871564DDECB6}" destId="{685742BF-A50C-4806-A825-522C4937F1B7}" srcOrd="0" destOrd="0" presId="urn:microsoft.com/office/officeart/2005/8/layout/orgChart1"/>
    <dgm:cxn modelId="{EDC0FAB9-C0D4-4931-A872-D42066F747D2}" type="presOf" srcId="{E07CF9C2-8C10-4193-96BE-0A22E9947AEC}" destId="{EB4D4C1E-E1BD-4688-B1D3-B5327DD60754}" srcOrd="0" destOrd="0" presId="urn:microsoft.com/office/officeart/2005/8/layout/orgChart1"/>
    <dgm:cxn modelId="{B9BAF6DB-BFCA-46FD-A6E6-3843E45BE79B}" type="presOf" srcId="{D7839C98-4523-42E0-ABAE-0EF6149DE65B}" destId="{3687DEDE-D222-424B-B9A1-1F60C24C64D1}" srcOrd="0" destOrd="0" presId="urn:microsoft.com/office/officeart/2005/8/layout/orgChart1"/>
    <dgm:cxn modelId="{F87B8234-3882-42C4-87FF-D267B7F76D68}" srcId="{BFE87DF3-3998-4CCD-A582-7B7ABC3F8F7F}" destId="{D7839C98-4523-42E0-ABAE-0EF6149DE65B}" srcOrd="2" destOrd="0" parTransId="{88BFD706-BE28-4942-A258-1D7C24CAD9AA}" sibTransId="{E275C2DE-1E52-474A-940B-87741431CF41}"/>
    <dgm:cxn modelId="{9CC88A6C-CAC0-41CB-BD35-AC5D4828881F}" type="presOf" srcId="{C00F096A-A98D-42E2-BF04-D1A5693611F6}" destId="{EE5B3127-00F4-488B-AEA4-6517380D7C2A}" srcOrd="0" destOrd="0" presId="urn:microsoft.com/office/officeart/2005/8/layout/orgChart1"/>
    <dgm:cxn modelId="{4E02865E-8E14-4D88-AB87-069E92CE5FC2}" srcId="{DAA3EB2F-5589-493A-AB75-871564DDECB6}" destId="{11D48FF1-D9AC-4B52-9A8E-D0517C9655BB}" srcOrd="0" destOrd="0" parTransId="{20E2EF96-95EE-4C55-B728-9C71E9BE7703}" sibTransId="{2EE4EC91-C03A-4352-A727-D9EB98BC6E8C}"/>
    <dgm:cxn modelId="{94991202-EB4A-46EE-8109-A098A44CC901}" type="presOf" srcId="{12D15284-9CBA-4057-8835-96F694DA96E7}" destId="{3F7CA9D4-2F10-40CC-A3A9-118304FB9B94}" srcOrd="0" destOrd="0" presId="urn:microsoft.com/office/officeart/2005/8/layout/orgChart1"/>
    <dgm:cxn modelId="{2239E34D-1039-491B-A3BA-DB108BCEA6B0}" type="presOf" srcId="{28DD8DA2-5C80-4928-B4CC-8CD560C83BFE}" destId="{26CF2FC0-6AAC-4915-9442-CC8DB71E68B0}" srcOrd="0" destOrd="0" presId="urn:microsoft.com/office/officeart/2005/8/layout/orgChart1"/>
    <dgm:cxn modelId="{35D57712-7C99-45A0-B4C0-A3D02E203582}" srcId="{DAA3EB2F-5589-493A-AB75-871564DDECB6}" destId="{5CD30241-E44B-48D3-BDE3-A237484AE8EC}" srcOrd="2" destOrd="0" parTransId="{F3B10E13-90F0-4520-8066-BF6E8B694613}" sibTransId="{AD4D8E97-046D-4CC1-B54F-4001B9CB1F8D}"/>
    <dgm:cxn modelId="{7260C8E5-C041-4972-869E-861258241FA6}" type="presOf" srcId="{C520A059-93E0-4C28-8796-8EB6E0AC8D7A}" destId="{5AC60B01-BEDA-46F8-8932-396C491415FA}" srcOrd="1" destOrd="0" presId="urn:microsoft.com/office/officeart/2005/8/layout/orgChart1"/>
    <dgm:cxn modelId="{5D75CF59-5A47-4B3E-96F0-64E96A9906B1}" type="presOf" srcId="{B7BE6468-F7AA-4461-8270-DFF734595C52}" destId="{8FAE5FEC-027B-4957-85CC-1C9369AA940D}" srcOrd="1" destOrd="0" presId="urn:microsoft.com/office/officeart/2005/8/layout/orgChart1"/>
    <dgm:cxn modelId="{1805B807-31E3-4707-8AC2-9753399D75DE}" srcId="{BFE87DF3-3998-4CCD-A582-7B7ABC3F8F7F}" destId="{958468FF-10A8-4789-9D58-666F9DC9BBC2}" srcOrd="1" destOrd="0" parTransId="{F582975F-76C2-43C4-8F42-EAA66E838B6C}" sibTransId="{A15441F7-39C0-4EB2-AD94-D6FE702EDB16}"/>
    <dgm:cxn modelId="{6EE3CA99-85AF-4195-90E8-B321956C381C}" srcId="{E8A72010-618B-4597-A020-EDD03718BAD5}" destId="{C20CBBE1-F2C5-4B87-8CB4-A7CE3BD88F7C}" srcOrd="1" destOrd="0" parTransId="{12D15284-9CBA-4057-8835-96F694DA96E7}" sibTransId="{9C5ECE42-76C8-4E8D-A9EB-05C70061E01F}"/>
    <dgm:cxn modelId="{8CC5ECA2-1FFD-402C-9505-3EAC13329E9B}" type="presOf" srcId="{C20CBBE1-F2C5-4B87-8CB4-A7CE3BD88F7C}" destId="{BCF9AF9A-D03E-4F12-863E-3CAEE6309E9B}" srcOrd="0" destOrd="0" presId="urn:microsoft.com/office/officeart/2005/8/layout/orgChart1"/>
    <dgm:cxn modelId="{25195A16-7CF6-41C2-875A-AA378D037307}" type="presOf" srcId="{FAEB197E-7D85-4A1F-B6DF-60EBA2362F9E}" destId="{54157F02-ABFF-466D-8E17-13C4FE6AE977}" srcOrd="1" destOrd="0" presId="urn:microsoft.com/office/officeart/2005/8/layout/orgChart1"/>
    <dgm:cxn modelId="{D2D6EF44-3EBB-44E2-A118-D514D8C6FFDE}" type="presOf" srcId="{9BD10187-CF68-4358-851D-37746B9BE424}" destId="{01DE3D58-BB9C-4D37-A6F8-059AF9D5D875}" srcOrd="1" destOrd="0" presId="urn:microsoft.com/office/officeart/2005/8/layout/orgChart1"/>
    <dgm:cxn modelId="{9854BB03-B9B8-4AAC-A37F-A1D799B2A324}" type="presOf" srcId="{212BDDD9-F466-44B0-BF08-2F54343EA4BF}" destId="{0EDED06E-237F-402F-9F69-58F0C1FE7942}" srcOrd="0" destOrd="0" presId="urn:microsoft.com/office/officeart/2005/8/layout/orgChart1"/>
    <dgm:cxn modelId="{892EAAB7-807D-4987-A2BE-ACC4C7D37AE8}" type="presOf" srcId="{FAEB197E-7D85-4A1F-B6DF-60EBA2362F9E}" destId="{1343A2FB-9A78-4AC6-85F1-9AA13FCDD695}" srcOrd="0" destOrd="0" presId="urn:microsoft.com/office/officeart/2005/8/layout/orgChart1"/>
    <dgm:cxn modelId="{16F88E91-393F-49E9-9C41-BCFE5315F69F}" srcId="{D475CB04-EA4A-4079-BCA6-B399C11E9FAD}" destId="{BFE87DF3-3998-4CCD-A582-7B7ABC3F8F7F}" srcOrd="1" destOrd="0" parTransId="{452DB926-06E8-455B-84BD-DC0DD24F9824}" sibTransId="{6E72941D-211B-4EE1-B9A3-60697A48E669}"/>
    <dgm:cxn modelId="{9533DC70-4B5B-4D89-BB8D-FD47F5A4D0FF}" srcId="{BFE87DF3-3998-4CCD-A582-7B7ABC3F8F7F}" destId="{B7BE6468-F7AA-4461-8270-DFF734595C52}" srcOrd="3" destOrd="0" parTransId="{E07CF9C2-8C10-4193-96BE-0A22E9947AEC}" sibTransId="{3DE0BE77-7283-4AA4-ABF4-71AB92CCF73E}"/>
    <dgm:cxn modelId="{58934404-8D1C-490D-AB2D-B1DB339C4E7C}" type="presOf" srcId="{E8A72010-618B-4597-A020-EDD03718BAD5}" destId="{DC5CAC46-146D-4E22-9E3E-9B9F24784FE3}" srcOrd="1" destOrd="0" presId="urn:microsoft.com/office/officeart/2005/8/layout/orgChart1"/>
    <dgm:cxn modelId="{6E61BBD0-D348-4BB1-95BC-8C7BDB9A28F7}" type="presOf" srcId="{803B7A48-98E2-4F7C-AEE8-B2A55F968BFE}" destId="{374CD110-3847-45EE-B723-A29C08052964}" srcOrd="0" destOrd="0" presId="urn:microsoft.com/office/officeart/2005/8/layout/orgChart1"/>
    <dgm:cxn modelId="{94F0AEFE-CCCE-4495-ADC8-0D37D72D09EE}" type="presOf" srcId="{958468FF-10A8-4789-9D58-666F9DC9BBC2}" destId="{014D66A7-D85A-42A5-B35F-FD7731D4E424}" srcOrd="1" destOrd="0" presId="urn:microsoft.com/office/officeart/2005/8/layout/orgChart1"/>
    <dgm:cxn modelId="{ACBA38A4-CBDF-44D4-BAE4-38BE4AAC846C}" type="presOf" srcId="{5CD30241-E44B-48D3-BDE3-A237484AE8EC}" destId="{E2F0CD97-C806-4B85-999F-FD0D39CA6811}" srcOrd="0" destOrd="0" presId="urn:microsoft.com/office/officeart/2005/8/layout/orgChart1"/>
    <dgm:cxn modelId="{06D5E5C4-D03A-442A-872D-64B82E730313}" type="presOf" srcId="{28DD8DA2-5C80-4928-B4CC-8CD560C83BFE}" destId="{6188455E-58AA-4AFE-B122-2B86BCD66F9F}" srcOrd="1" destOrd="0" presId="urn:microsoft.com/office/officeart/2005/8/layout/orgChart1"/>
    <dgm:cxn modelId="{66F32C9D-A157-4F4E-BF53-7E8DCF5999C0}" type="presOf" srcId="{9BD10187-CF68-4358-851D-37746B9BE424}" destId="{DC83E83E-40C3-49F0-A0B8-94CEBCEF9ABD}" srcOrd="0" destOrd="0" presId="urn:microsoft.com/office/officeart/2005/8/layout/orgChart1"/>
    <dgm:cxn modelId="{8B353327-DB6B-4133-B044-5C795324C009}" srcId="{BFE87DF3-3998-4CCD-A582-7B7ABC3F8F7F}" destId="{FAEB197E-7D85-4A1F-B6DF-60EBA2362F9E}" srcOrd="0" destOrd="0" parTransId="{803B7A48-98E2-4F7C-AEE8-B2A55F968BFE}" sibTransId="{A3F4B4E8-BFA9-4639-947B-4E55D5B9E0D3}"/>
    <dgm:cxn modelId="{A8580FE5-4535-4780-B208-E67087041BC3}" type="presOf" srcId="{C20CBBE1-F2C5-4B87-8CB4-A7CE3BD88F7C}" destId="{24CD8AD8-6DBC-4F34-ACAB-2152A7404EA3}" srcOrd="1" destOrd="0" presId="urn:microsoft.com/office/officeart/2005/8/layout/orgChart1"/>
    <dgm:cxn modelId="{7298C198-683E-481E-AE54-AC38FC0C2792}" type="presOf" srcId="{BFE87DF3-3998-4CCD-A582-7B7ABC3F8F7F}" destId="{B1949F03-8057-46DB-B344-CD4363AD1D3D}" srcOrd="0" destOrd="0" presId="urn:microsoft.com/office/officeart/2005/8/layout/orgChart1"/>
    <dgm:cxn modelId="{5EB3E122-0B08-4311-A805-ABEABB5D1FB2}" type="presOf" srcId="{D7839C98-4523-42E0-ABAE-0EF6149DE65B}" destId="{A0A28AB4-9C60-46F7-A91F-C4B01D356F97}" srcOrd="1" destOrd="0" presId="urn:microsoft.com/office/officeart/2005/8/layout/orgChart1"/>
    <dgm:cxn modelId="{910429ED-90A5-4601-BC7D-2DB99298B1A9}" type="presOf" srcId="{660EC636-F116-4086-81F7-C6FAFBEB59B4}" destId="{FE9B6DB2-C6C0-4A25-A61E-2220844EBB00}" srcOrd="0" destOrd="0" presId="urn:microsoft.com/office/officeart/2005/8/layout/orgChart1"/>
    <dgm:cxn modelId="{00B46191-5B5D-41A4-B256-83F3D6E8F497}" type="presOf" srcId="{02780549-DF3A-488E-95FC-4D51E2E8F2E6}" destId="{7F9188D1-8549-4771-B5DB-F5312091D6DA}" srcOrd="0" destOrd="0" presId="urn:microsoft.com/office/officeart/2005/8/layout/orgChart1"/>
    <dgm:cxn modelId="{7C95E223-B72D-41EA-A83B-F10742F27F45}" type="presOf" srcId="{DAA3EB2F-5589-493A-AB75-871564DDECB6}" destId="{57A08454-0F39-4F99-929C-8DBBAD809949}" srcOrd="1" destOrd="0" presId="urn:microsoft.com/office/officeart/2005/8/layout/orgChart1"/>
    <dgm:cxn modelId="{06A2C2D7-FFAC-4752-9682-39D493E5EBD5}" type="presOf" srcId="{11D48FF1-D9AC-4B52-9A8E-D0517C9655BB}" destId="{8A3B20E3-4E78-413B-84D8-6B770ADEC816}" srcOrd="1" destOrd="0" presId="urn:microsoft.com/office/officeart/2005/8/layout/orgChart1"/>
    <dgm:cxn modelId="{B801E85C-5344-41E9-B22A-B2FFD8216B14}" type="presOf" srcId="{B7BE6468-F7AA-4461-8270-DFF734595C52}" destId="{42441DEF-6E3D-491F-8176-F7B1E28620E2}" srcOrd="0" destOrd="0" presId="urn:microsoft.com/office/officeart/2005/8/layout/orgChart1"/>
    <dgm:cxn modelId="{2E73AA19-A1C1-4C8F-9B9F-9299BC1482B1}" type="presOf" srcId="{FCB484D0-030E-4375-9CB2-44C77DAA580C}" destId="{2783CD37-4A3C-4CB0-960E-53C6C0DA4D21}" srcOrd="0" destOrd="0" presId="urn:microsoft.com/office/officeart/2005/8/layout/orgChart1"/>
    <dgm:cxn modelId="{2A1FF14D-F491-48F0-8307-18E7C6F92815}" type="presOf" srcId="{E8A72010-618B-4597-A020-EDD03718BAD5}" destId="{4D876064-BBD2-402D-97A6-9ECB243FA4F9}" srcOrd="0" destOrd="0" presId="urn:microsoft.com/office/officeart/2005/8/layout/orgChart1"/>
    <dgm:cxn modelId="{C47282D8-BCFC-4399-9EEE-CEC7A4E5B132}" type="presOf" srcId="{20E2EF96-95EE-4C55-B728-9C71E9BE7703}" destId="{5304E83E-F10B-43E9-BA46-C8B768AB3F82}" srcOrd="0" destOrd="0" presId="urn:microsoft.com/office/officeart/2005/8/layout/orgChart1"/>
    <dgm:cxn modelId="{8FD43084-5FDD-49D9-AF36-B4A1484ED318}" type="presOf" srcId="{FB1D9885-664A-4878-95A5-9E91E491B169}" destId="{AFB0424E-920F-4339-841C-F342E6896BBC}" srcOrd="0" destOrd="0" presId="urn:microsoft.com/office/officeart/2005/8/layout/orgChart1"/>
    <dgm:cxn modelId="{9D5B24CE-B50D-4663-8B38-346C53C78636}" type="presOf" srcId="{958468FF-10A8-4789-9D58-666F9DC9BBC2}" destId="{C0A6442C-4B57-4F99-B92C-7EF2B0772A2F}" srcOrd="0" destOrd="0" presId="urn:microsoft.com/office/officeart/2005/8/layout/orgChart1"/>
    <dgm:cxn modelId="{F2EF9F65-6C58-4FEB-9C45-CDC6CD94D9B0}" srcId="{C20CBBE1-F2C5-4B87-8CB4-A7CE3BD88F7C}" destId="{28DD8DA2-5C80-4928-B4CC-8CD560C83BFE}" srcOrd="0" destOrd="0" parTransId="{02780549-DF3A-488E-95FC-4D51E2E8F2E6}" sibTransId="{1C111944-6558-4C7A-90E9-D4B1E7CCEE46}"/>
    <dgm:cxn modelId="{3EB99986-CD6F-4F95-8173-B2362BD4F079}" type="presOf" srcId="{F3B10E13-90F0-4520-8066-BF6E8B694613}" destId="{3F99AA0B-1D4C-4466-AE53-9A3F0FE43AEE}" srcOrd="0" destOrd="0" presId="urn:microsoft.com/office/officeart/2005/8/layout/orgChart1"/>
    <dgm:cxn modelId="{21A52D58-710D-4527-A2A4-A47EAB8373E3}" type="presOf" srcId="{BFE87DF3-3998-4CCD-A582-7B7ABC3F8F7F}" destId="{E5921F6C-DB30-4A59-80A6-3D5BB72DA8BE}" srcOrd="1" destOrd="0" presId="urn:microsoft.com/office/officeart/2005/8/layout/orgChart1"/>
    <dgm:cxn modelId="{41023C80-AA85-4340-A2E1-715CA12D570B}" type="presParOf" srcId="{FE9B6DB2-C6C0-4A25-A61E-2220844EBB00}" destId="{E7B56F8A-9460-447E-A472-7A69016F3597}" srcOrd="0" destOrd="0" presId="urn:microsoft.com/office/officeart/2005/8/layout/orgChart1"/>
    <dgm:cxn modelId="{9757DA36-4E2F-40F8-ADF6-9B82CA872B55}" type="presParOf" srcId="{E7B56F8A-9460-447E-A472-7A69016F3597}" destId="{8DE96D84-5B32-4248-9EA2-F0D47CC04851}" srcOrd="0" destOrd="0" presId="urn:microsoft.com/office/officeart/2005/8/layout/orgChart1"/>
    <dgm:cxn modelId="{BD7B9AE3-DF37-4289-867E-523A52F9878A}" type="presParOf" srcId="{8DE96D84-5B32-4248-9EA2-F0D47CC04851}" destId="{4D876064-BBD2-402D-97A6-9ECB243FA4F9}" srcOrd="0" destOrd="0" presId="urn:microsoft.com/office/officeart/2005/8/layout/orgChart1"/>
    <dgm:cxn modelId="{E74673B6-3E57-428F-937F-C049F68336F3}" type="presParOf" srcId="{8DE96D84-5B32-4248-9EA2-F0D47CC04851}" destId="{DC5CAC46-146D-4E22-9E3E-9B9F24784FE3}" srcOrd="1" destOrd="0" presId="urn:microsoft.com/office/officeart/2005/8/layout/orgChart1"/>
    <dgm:cxn modelId="{193EDE58-6A64-481B-9C13-A18326C8F234}" type="presParOf" srcId="{E7B56F8A-9460-447E-A472-7A69016F3597}" destId="{39F57B1F-75F7-4627-8809-BB27086055AF}" srcOrd="1" destOrd="0" presId="urn:microsoft.com/office/officeart/2005/8/layout/orgChart1"/>
    <dgm:cxn modelId="{B16E51A4-84CE-44AE-81DA-050DB31EF29C}" type="presParOf" srcId="{39F57B1F-75F7-4627-8809-BB27086055AF}" destId="{0EDED06E-237F-402F-9F69-58F0C1FE7942}" srcOrd="0" destOrd="0" presId="urn:microsoft.com/office/officeart/2005/8/layout/orgChart1"/>
    <dgm:cxn modelId="{6D764FAC-99E3-4CA7-B61E-1894B64E1FA6}" type="presParOf" srcId="{39F57B1F-75F7-4627-8809-BB27086055AF}" destId="{96467521-42F1-4DD4-A3A6-01873C4F4DB7}" srcOrd="1" destOrd="0" presId="urn:microsoft.com/office/officeart/2005/8/layout/orgChart1"/>
    <dgm:cxn modelId="{BC0CAC56-A49C-465C-A37E-2477CD88A172}" type="presParOf" srcId="{96467521-42F1-4DD4-A3A6-01873C4F4DB7}" destId="{A4B4FAD0-1648-49AA-AB68-BCFB128DB178}" srcOrd="0" destOrd="0" presId="urn:microsoft.com/office/officeart/2005/8/layout/orgChart1"/>
    <dgm:cxn modelId="{1EB992B5-654F-4019-8EB1-CEA6EF16E1A2}" type="presParOf" srcId="{A4B4FAD0-1648-49AA-AB68-BCFB128DB178}" destId="{B1AA7480-BA9E-4859-B64A-DBE054795DCC}" srcOrd="0" destOrd="0" presId="urn:microsoft.com/office/officeart/2005/8/layout/orgChart1"/>
    <dgm:cxn modelId="{00E63138-0E1D-4BE0-B703-4401DB426052}" type="presParOf" srcId="{A4B4FAD0-1648-49AA-AB68-BCFB128DB178}" destId="{E4AC54CF-9DAC-46CD-90D9-4B2C5A8CD010}" srcOrd="1" destOrd="0" presId="urn:microsoft.com/office/officeart/2005/8/layout/orgChart1"/>
    <dgm:cxn modelId="{642E759D-10BC-42A0-9129-EEAABC11EA85}" type="presParOf" srcId="{96467521-42F1-4DD4-A3A6-01873C4F4DB7}" destId="{4C937F9B-98F1-4D86-93D9-E8F168F2EAD8}" srcOrd="1" destOrd="0" presId="urn:microsoft.com/office/officeart/2005/8/layout/orgChart1"/>
    <dgm:cxn modelId="{9C6CE830-E230-4B53-91A0-B7B305FAFD6A}" type="presParOf" srcId="{4C937F9B-98F1-4D86-93D9-E8F168F2EAD8}" destId="{2783CD37-4A3C-4CB0-960E-53C6C0DA4D21}" srcOrd="0" destOrd="0" presId="urn:microsoft.com/office/officeart/2005/8/layout/orgChart1"/>
    <dgm:cxn modelId="{B737268E-71A3-4700-B151-28A61296F2DC}" type="presParOf" srcId="{4C937F9B-98F1-4D86-93D9-E8F168F2EAD8}" destId="{267DCCE8-CD81-4439-B243-7FED7D7A2611}" srcOrd="1" destOrd="0" presId="urn:microsoft.com/office/officeart/2005/8/layout/orgChart1"/>
    <dgm:cxn modelId="{09D35BEA-E9A4-4A1C-A7F6-CEB8535873BD}" type="presParOf" srcId="{267DCCE8-CD81-4439-B243-7FED7D7A2611}" destId="{A1856F87-846B-4BD1-87BE-29F35256F993}" srcOrd="0" destOrd="0" presId="urn:microsoft.com/office/officeart/2005/8/layout/orgChart1"/>
    <dgm:cxn modelId="{EB85B50B-08A6-4BCB-B8F7-DD9D5F65CA49}" type="presParOf" srcId="{A1856F87-846B-4BD1-87BE-29F35256F993}" destId="{685742BF-A50C-4806-A825-522C4937F1B7}" srcOrd="0" destOrd="0" presId="urn:microsoft.com/office/officeart/2005/8/layout/orgChart1"/>
    <dgm:cxn modelId="{EE22E8DF-6776-424F-AE06-8D2E69132136}" type="presParOf" srcId="{A1856F87-846B-4BD1-87BE-29F35256F993}" destId="{57A08454-0F39-4F99-929C-8DBBAD809949}" srcOrd="1" destOrd="0" presId="urn:microsoft.com/office/officeart/2005/8/layout/orgChart1"/>
    <dgm:cxn modelId="{272CF408-0B06-44EB-94C1-B2581C2D2C1B}" type="presParOf" srcId="{267DCCE8-CD81-4439-B243-7FED7D7A2611}" destId="{5CA74BC4-9F33-4431-8FFB-55BAFFD9124E}" srcOrd="1" destOrd="0" presId="urn:microsoft.com/office/officeart/2005/8/layout/orgChart1"/>
    <dgm:cxn modelId="{FFD71218-97E3-44C4-8438-7BD3D1B3131E}" type="presParOf" srcId="{5CA74BC4-9F33-4431-8FFB-55BAFFD9124E}" destId="{5304E83E-F10B-43E9-BA46-C8B768AB3F82}" srcOrd="0" destOrd="0" presId="urn:microsoft.com/office/officeart/2005/8/layout/orgChart1"/>
    <dgm:cxn modelId="{5C8C7DAC-271B-4FB4-98B1-43E6DBFA14F6}" type="presParOf" srcId="{5CA74BC4-9F33-4431-8FFB-55BAFFD9124E}" destId="{95CDA328-F175-4AD2-9174-A682F06F1A9C}" srcOrd="1" destOrd="0" presId="urn:microsoft.com/office/officeart/2005/8/layout/orgChart1"/>
    <dgm:cxn modelId="{FF326E8C-7313-4E50-8816-A823414E2EE7}" type="presParOf" srcId="{95CDA328-F175-4AD2-9174-A682F06F1A9C}" destId="{A2029460-A2C8-412E-9AA2-681BEBD87716}" srcOrd="0" destOrd="0" presId="urn:microsoft.com/office/officeart/2005/8/layout/orgChart1"/>
    <dgm:cxn modelId="{F5502534-F08A-412C-B5D0-2A987324ECF6}" type="presParOf" srcId="{A2029460-A2C8-412E-9AA2-681BEBD87716}" destId="{EF874B7A-8BD8-40F0-BAD8-3826505D0952}" srcOrd="0" destOrd="0" presId="urn:microsoft.com/office/officeart/2005/8/layout/orgChart1"/>
    <dgm:cxn modelId="{B6D7FA51-E00C-49EA-B1A5-5AB0101F4214}" type="presParOf" srcId="{A2029460-A2C8-412E-9AA2-681BEBD87716}" destId="{8A3B20E3-4E78-413B-84D8-6B770ADEC816}" srcOrd="1" destOrd="0" presId="urn:microsoft.com/office/officeart/2005/8/layout/orgChart1"/>
    <dgm:cxn modelId="{F74E8F95-8731-4CBD-A33E-3526BB223D67}" type="presParOf" srcId="{95CDA328-F175-4AD2-9174-A682F06F1A9C}" destId="{0F1ACFB5-D3C2-4EB1-8B92-B9BE53A2867D}" srcOrd="1" destOrd="0" presId="urn:microsoft.com/office/officeart/2005/8/layout/orgChart1"/>
    <dgm:cxn modelId="{ED6F2C38-F8EB-4A2E-9CAD-84F43F57E773}" type="presParOf" srcId="{95CDA328-F175-4AD2-9174-A682F06F1A9C}" destId="{DA4E8E3F-C42D-4242-AE02-C25EEC33D701}" srcOrd="2" destOrd="0" presId="urn:microsoft.com/office/officeart/2005/8/layout/orgChart1"/>
    <dgm:cxn modelId="{83368CE7-AD95-4152-924B-BE44CFAC3427}" type="presParOf" srcId="{5CA74BC4-9F33-4431-8FFB-55BAFFD9124E}" destId="{AFB0424E-920F-4339-841C-F342E6896BBC}" srcOrd="2" destOrd="0" presId="urn:microsoft.com/office/officeart/2005/8/layout/orgChart1"/>
    <dgm:cxn modelId="{CCD3D79A-D1F0-4BF6-AAAA-C12DF603F11F}" type="presParOf" srcId="{5CA74BC4-9F33-4431-8FFB-55BAFFD9124E}" destId="{00514DA3-6F89-4480-B432-648511438004}" srcOrd="3" destOrd="0" presId="urn:microsoft.com/office/officeart/2005/8/layout/orgChart1"/>
    <dgm:cxn modelId="{ACAEAE5A-67B6-478D-8D17-569CD9A45E0F}" type="presParOf" srcId="{00514DA3-6F89-4480-B432-648511438004}" destId="{E98762B6-3096-4EE9-ABFB-BE922D2DCDB1}" srcOrd="0" destOrd="0" presId="urn:microsoft.com/office/officeart/2005/8/layout/orgChart1"/>
    <dgm:cxn modelId="{DAA187E4-2B40-48B0-AEE2-D63BDE388632}" type="presParOf" srcId="{E98762B6-3096-4EE9-ABFB-BE922D2DCDB1}" destId="{DC83E83E-40C3-49F0-A0B8-94CEBCEF9ABD}" srcOrd="0" destOrd="0" presId="urn:microsoft.com/office/officeart/2005/8/layout/orgChart1"/>
    <dgm:cxn modelId="{653A283C-AF93-4D71-B285-F3834DA69339}" type="presParOf" srcId="{E98762B6-3096-4EE9-ABFB-BE922D2DCDB1}" destId="{01DE3D58-BB9C-4D37-A6F8-059AF9D5D875}" srcOrd="1" destOrd="0" presId="urn:microsoft.com/office/officeart/2005/8/layout/orgChart1"/>
    <dgm:cxn modelId="{25E14B7A-ABF3-4841-B489-9D50D749C436}" type="presParOf" srcId="{00514DA3-6F89-4480-B432-648511438004}" destId="{2E8FA9A3-31D5-42C9-9F9D-059603DD20BE}" srcOrd="1" destOrd="0" presId="urn:microsoft.com/office/officeart/2005/8/layout/orgChart1"/>
    <dgm:cxn modelId="{CD77078A-4E15-47F5-A7E9-F52A8AE727C3}" type="presParOf" srcId="{00514DA3-6F89-4480-B432-648511438004}" destId="{E39AA4AE-A070-46AC-B135-E5BD08BF346C}" srcOrd="2" destOrd="0" presId="urn:microsoft.com/office/officeart/2005/8/layout/orgChart1"/>
    <dgm:cxn modelId="{71315030-EE6F-4353-8794-0E79303FD292}" type="presParOf" srcId="{5CA74BC4-9F33-4431-8FFB-55BAFFD9124E}" destId="{3F99AA0B-1D4C-4466-AE53-9A3F0FE43AEE}" srcOrd="4" destOrd="0" presId="urn:microsoft.com/office/officeart/2005/8/layout/orgChart1"/>
    <dgm:cxn modelId="{D6ADE92C-536C-462F-9678-F172E38ECC32}" type="presParOf" srcId="{5CA74BC4-9F33-4431-8FFB-55BAFFD9124E}" destId="{B2B108E6-04BD-429C-99AB-8BC377D3C954}" srcOrd="5" destOrd="0" presId="urn:microsoft.com/office/officeart/2005/8/layout/orgChart1"/>
    <dgm:cxn modelId="{57FFED74-2CC2-471E-A05D-CE20D43694CA}" type="presParOf" srcId="{B2B108E6-04BD-429C-99AB-8BC377D3C954}" destId="{41833778-D08F-4F7F-AE45-B7C4C3F87639}" srcOrd="0" destOrd="0" presId="urn:microsoft.com/office/officeart/2005/8/layout/orgChart1"/>
    <dgm:cxn modelId="{1B772EC6-D380-4FBD-B313-8A77B9C92469}" type="presParOf" srcId="{41833778-D08F-4F7F-AE45-B7C4C3F87639}" destId="{E2F0CD97-C806-4B85-999F-FD0D39CA6811}" srcOrd="0" destOrd="0" presId="urn:microsoft.com/office/officeart/2005/8/layout/orgChart1"/>
    <dgm:cxn modelId="{B0767B1C-FE40-4D21-80E4-759758079264}" type="presParOf" srcId="{41833778-D08F-4F7F-AE45-B7C4C3F87639}" destId="{3B93B33C-3533-4491-BF4A-C4085867E473}" srcOrd="1" destOrd="0" presId="urn:microsoft.com/office/officeart/2005/8/layout/orgChart1"/>
    <dgm:cxn modelId="{F6E79A87-E79F-4CE7-837E-E05CEEE9750C}" type="presParOf" srcId="{B2B108E6-04BD-429C-99AB-8BC377D3C954}" destId="{E51D1719-21E2-4E3A-B1AC-5F70B39C2A76}" srcOrd="1" destOrd="0" presId="urn:microsoft.com/office/officeart/2005/8/layout/orgChart1"/>
    <dgm:cxn modelId="{A670E467-993A-4C6E-8941-C7FBB0CC1EF5}" type="presParOf" srcId="{B2B108E6-04BD-429C-99AB-8BC377D3C954}" destId="{CD10B3E6-BE5E-4E47-8591-47B3022F7D50}" srcOrd="2" destOrd="0" presId="urn:microsoft.com/office/officeart/2005/8/layout/orgChart1"/>
    <dgm:cxn modelId="{AFEB2C76-5529-4D94-B210-BFF10F4CCA14}" type="presParOf" srcId="{267DCCE8-CD81-4439-B243-7FED7D7A2611}" destId="{F0628EC6-D9BF-48A3-AE48-614781173127}" srcOrd="2" destOrd="0" presId="urn:microsoft.com/office/officeart/2005/8/layout/orgChart1"/>
    <dgm:cxn modelId="{7BF2E957-BB15-4157-BDAA-4908490F0B56}" type="presParOf" srcId="{4C937F9B-98F1-4D86-93D9-E8F168F2EAD8}" destId="{1090D344-54AC-4700-99AB-8BA4CFA008C5}" srcOrd="2" destOrd="0" presId="urn:microsoft.com/office/officeart/2005/8/layout/orgChart1"/>
    <dgm:cxn modelId="{90885C5D-E9A3-4C4C-AC7B-798709749D3C}" type="presParOf" srcId="{4C937F9B-98F1-4D86-93D9-E8F168F2EAD8}" destId="{DEFD06B0-5502-4B75-BD96-9041B9F150E4}" srcOrd="3" destOrd="0" presId="urn:microsoft.com/office/officeart/2005/8/layout/orgChart1"/>
    <dgm:cxn modelId="{2C19406A-61BB-4B49-8D10-283F4CAE9A33}" type="presParOf" srcId="{DEFD06B0-5502-4B75-BD96-9041B9F150E4}" destId="{8490034C-981B-4D8E-955A-F23F1A6A2A36}" srcOrd="0" destOrd="0" presId="urn:microsoft.com/office/officeart/2005/8/layout/orgChart1"/>
    <dgm:cxn modelId="{81E72121-40EF-42A2-AA5F-C716DE4B9AA5}" type="presParOf" srcId="{8490034C-981B-4D8E-955A-F23F1A6A2A36}" destId="{B1949F03-8057-46DB-B344-CD4363AD1D3D}" srcOrd="0" destOrd="0" presId="urn:microsoft.com/office/officeart/2005/8/layout/orgChart1"/>
    <dgm:cxn modelId="{F1080F58-E0C4-4965-8ABB-81C89F98132D}" type="presParOf" srcId="{8490034C-981B-4D8E-955A-F23F1A6A2A36}" destId="{E5921F6C-DB30-4A59-80A6-3D5BB72DA8BE}" srcOrd="1" destOrd="0" presId="urn:microsoft.com/office/officeart/2005/8/layout/orgChart1"/>
    <dgm:cxn modelId="{318D31FE-188A-430B-A4C6-265A205F5FC5}" type="presParOf" srcId="{DEFD06B0-5502-4B75-BD96-9041B9F150E4}" destId="{FA412C8E-3BBD-4024-BE4D-26AE81B6B2B7}" srcOrd="1" destOrd="0" presId="urn:microsoft.com/office/officeart/2005/8/layout/orgChart1"/>
    <dgm:cxn modelId="{2A4C6130-A907-453E-8EF7-4B35761E5ADD}" type="presParOf" srcId="{FA412C8E-3BBD-4024-BE4D-26AE81B6B2B7}" destId="{374CD110-3847-45EE-B723-A29C08052964}" srcOrd="0" destOrd="0" presId="urn:microsoft.com/office/officeart/2005/8/layout/orgChart1"/>
    <dgm:cxn modelId="{9F412854-89AE-404C-93D7-F70F96A15B94}" type="presParOf" srcId="{FA412C8E-3BBD-4024-BE4D-26AE81B6B2B7}" destId="{7B79D2AC-70E2-4E65-8C2B-10A362302B72}" srcOrd="1" destOrd="0" presId="urn:microsoft.com/office/officeart/2005/8/layout/orgChart1"/>
    <dgm:cxn modelId="{0778981B-2A09-4A53-AB2B-864CEBBFEBCD}" type="presParOf" srcId="{7B79D2AC-70E2-4E65-8C2B-10A362302B72}" destId="{C4719F78-B726-4D68-83A7-73FE12A6F9A4}" srcOrd="0" destOrd="0" presId="urn:microsoft.com/office/officeart/2005/8/layout/orgChart1"/>
    <dgm:cxn modelId="{77FE1C57-39F2-4562-AA11-B17CE7F8B859}" type="presParOf" srcId="{C4719F78-B726-4D68-83A7-73FE12A6F9A4}" destId="{1343A2FB-9A78-4AC6-85F1-9AA13FCDD695}" srcOrd="0" destOrd="0" presId="urn:microsoft.com/office/officeart/2005/8/layout/orgChart1"/>
    <dgm:cxn modelId="{95AFF7C6-1EA7-4289-91EC-14BD2648D680}" type="presParOf" srcId="{C4719F78-B726-4D68-83A7-73FE12A6F9A4}" destId="{54157F02-ABFF-466D-8E17-13C4FE6AE977}" srcOrd="1" destOrd="0" presId="urn:microsoft.com/office/officeart/2005/8/layout/orgChart1"/>
    <dgm:cxn modelId="{5851F092-921D-4216-AD55-46FB9362F229}" type="presParOf" srcId="{7B79D2AC-70E2-4E65-8C2B-10A362302B72}" destId="{1C741C14-39BA-41E1-AA52-AA76B5A17FC1}" srcOrd="1" destOrd="0" presId="urn:microsoft.com/office/officeart/2005/8/layout/orgChart1"/>
    <dgm:cxn modelId="{6211D7D5-A50B-4C81-9BEC-BF0C05361754}" type="presParOf" srcId="{7B79D2AC-70E2-4E65-8C2B-10A362302B72}" destId="{3BDBB984-54FE-42C7-9590-F95269610C6E}" srcOrd="2" destOrd="0" presId="urn:microsoft.com/office/officeart/2005/8/layout/orgChart1"/>
    <dgm:cxn modelId="{A946C9B9-A3FE-4203-B72E-EF54B1094A09}" type="presParOf" srcId="{FA412C8E-3BBD-4024-BE4D-26AE81B6B2B7}" destId="{976EFC49-DA0F-43CE-919D-7174F25A5EED}" srcOrd="2" destOrd="0" presId="urn:microsoft.com/office/officeart/2005/8/layout/orgChart1"/>
    <dgm:cxn modelId="{17587F22-FC66-42FA-839A-2CC3FA715D0C}" type="presParOf" srcId="{FA412C8E-3BBD-4024-BE4D-26AE81B6B2B7}" destId="{4178CC95-1D72-41E6-8AE1-26E0FA184AB4}" srcOrd="3" destOrd="0" presId="urn:microsoft.com/office/officeart/2005/8/layout/orgChart1"/>
    <dgm:cxn modelId="{B852334D-5D34-41E6-9433-2469F6F9577F}" type="presParOf" srcId="{4178CC95-1D72-41E6-8AE1-26E0FA184AB4}" destId="{0ABBF74C-29CA-47F1-9C73-D660E20B1FD9}" srcOrd="0" destOrd="0" presId="urn:microsoft.com/office/officeart/2005/8/layout/orgChart1"/>
    <dgm:cxn modelId="{E0A53DD5-EFBB-40F7-816A-F6347F28AF35}" type="presParOf" srcId="{0ABBF74C-29CA-47F1-9C73-D660E20B1FD9}" destId="{C0A6442C-4B57-4F99-B92C-7EF2B0772A2F}" srcOrd="0" destOrd="0" presId="urn:microsoft.com/office/officeart/2005/8/layout/orgChart1"/>
    <dgm:cxn modelId="{861631E1-881C-4680-AF67-848A6202F3EE}" type="presParOf" srcId="{0ABBF74C-29CA-47F1-9C73-D660E20B1FD9}" destId="{014D66A7-D85A-42A5-B35F-FD7731D4E424}" srcOrd="1" destOrd="0" presId="urn:microsoft.com/office/officeart/2005/8/layout/orgChart1"/>
    <dgm:cxn modelId="{5F5AA781-055F-465B-8DFA-DB481D1999C9}" type="presParOf" srcId="{4178CC95-1D72-41E6-8AE1-26E0FA184AB4}" destId="{27EA7D99-D1BF-4059-9BA8-0686FBEE2F79}" srcOrd="1" destOrd="0" presId="urn:microsoft.com/office/officeart/2005/8/layout/orgChart1"/>
    <dgm:cxn modelId="{E1121B78-6CF8-42B0-BA9C-38219274B397}" type="presParOf" srcId="{4178CC95-1D72-41E6-8AE1-26E0FA184AB4}" destId="{CBEE7897-3A97-4ED5-966A-295B6B8DCB63}" srcOrd="2" destOrd="0" presId="urn:microsoft.com/office/officeart/2005/8/layout/orgChart1"/>
    <dgm:cxn modelId="{E9FE3DC9-0B4F-43CA-A87A-AB024C52C02D}" type="presParOf" srcId="{FA412C8E-3BBD-4024-BE4D-26AE81B6B2B7}" destId="{277CD282-90F3-40A0-AF8F-917F658ED55C}" srcOrd="4" destOrd="0" presId="urn:microsoft.com/office/officeart/2005/8/layout/orgChart1"/>
    <dgm:cxn modelId="{D3836FF4-E411-493A-B885-299CFE2F6177}" type="presParOf" srcId="{FA412C8E-3BBD-4024-BE4D-26AE81B6B2B7}" destId="{D3366B12-57F8-4658-807B-B7D0CBF10921}" srcOrd="5" destOrd="0" presId="urn:microsoft.com/office/officeart/2005/8/layout/orgChart1"/>
    <dgm:cxn modelId="{CDBFD002-5D5D-49F8-82F8-7B5D21F256A4}" type="presParOf" srcId="{D3366B12-57F8-4658-807B-B7D0CBF10921}" destId="{EE268EF7-AE50-416D-9FE4-A8C296B6C4C8}" srcOrd="0" destOrd="0" presId="urn:microsoft.com/office/officeart/2005/8/layout/orgChart1"/>
    <dgm:cxn modelId="{2B66129D-E05C-470E-8D93-3A90787E3CA4}" type="presParOf" srcId="{EE268EF7-AE50-416D-9FE4-A8C296B6C4C8}" destId="{3687DEDE-D222-424B-B9A1-1F60C24C64D1}" srcOrd="0" destOrd="0" presId="urn:microsoft.com/office/officeart/2005/8/layout/orgChart1"/>
    <dgm:cxn modelId="{4952665A-40C2-4173-B0CD-A39EAA7198E7}" type="presParOf" srcId="{EE268EF7-AE50-416D-9FE4-A8C296B6C4C8}" destId="{A0A28AB4-9C60-46F7-A91F-C4B01D356F97}" srcOrd="1" destOrd="0" presId="urn:microsoft.com/office/officeart/2005/8/layout/orgChart1"/>
    <dgm:cxn modelId="{1D3D104B-E3BC-407F-B4D5-CCAA88A5D671}" type="presParOf" srcId="{D3366B12-57F8-4658-807B-B7D0CBF10921}" destId="{FA387A3A-37D6-4688-A301-1DE3244DDCD9}" srcOrd="1" destOrd="0" presId="urn:microsoft.com/office/officeart/2005/8/layout/orgChart1"/>
    <dgm:cxn modelId="{952FD4E2-C8DD-438D-A1A3-624D2BD2F752}" type="presParOf" srcId="{D3366B12-57F8-4658-807B-B7D0CBF10921}" destId="{99E69A43-AC4B-486C-91C0-80730CCCAC0A}" srcOrd="2" destOrd="0" presId="urn:microsoft.com/office/officeart/2005/8/layout/orgChart1"/>
    <dgm:cxn modelId="{F4C63B83-0C7C-4F30-BB16-7F1DA110B74D}" type="presParOf" srcId="{FA412C8E-3BBD-4024-BE4D-26AE81B6B2B7}" destId="{EB4D4C1E-E1BD-4688-B1D3-B5327DD60754}" srcOrd="6" destOrd="0" presId="urn:microsoft.com/office/officeart/2005/8/layout/orgChart1"/>
    <dgm:cxn modelId="{5BEB81AE-5CC4-4342-B6A8-73CC96C86BF3}" type="presParOf" srcId="{FA412C8E-3BBD-4024-BE4D-26AE81B6B2B7}" destId="{637A2AB9-3E0A-4E00-9AFB-BE437BFA82F7}" srcOrd="7" destOrd="0" presId="urn:microsoft.com/office/officeart/2005/8/layout/orgChart1"/>
    <dgm:cxn modelId="{2CA71A4D-19E9-443D-ADD3-21D9F6CAE4B7}" type="presParOf" srcId="{637A2AB9-3E0A-4E00-9AFB-BE437BFA82F7}" destId="{B515F2F1-59C6-425E-B5DB-0851BE4599E6}" srcOrd="0" destOrd="0" presId="urn:microsoft.com/office/officeart/2005/8/layout/orgChart1"/>
    <dgm:cxn modelId="{7BCD3F22-3B9C-4A5B-930E-BCF0C912645C}" type="presParOf" srcId="{B515F2F1-59C6-425E-B5DB-0851BE4599E6}" destId="{42441DEF-6E3D-491F-8176-F7B1E28620E2}" srcOrd="0" destOrd="0" presId="urn:microsoft.com/office/officeart/2005/8/layout/orgChart1"/>
    <dgm:cxn modelId="{B1F2500A-DB1C-4C2F-91A7-45DC0DD137F7}" type="presParOf" srcId="{B515F2F1-59C6-425E-B5DB-0851BE4599E6}" destId="{8FAE5FEC-027B-4957-85CC-1C9369AA940D}" srcOrd="1" destOrd="0" presId="urn:microsoft.com/office/officeart/2005/8/layout/orgChart1"/>
    <dgm:cxn modelId="{E863F507-53F5-430B-9285-B2CA96FB7497}" type="presParOf" srcId="{637A2AB9-3E0A-4E00-9AFB-BE437BFA82F7}" destId="{C50B8E5D-65C7-4498-8665-5A4237CE493E}" srcOrd="1" destOrd="0" presId="urn:microsoft.com/office/officeart/2005/8/layout/orgChart1"/>
    <dgm:cxn modelId="{8D77E49E-1869-4776-9347-0FB7A3DDA01A}" type="presParOf" srcId="{637A2AB9-3E0A-4E00-9AFB-BE437BFA82F7}" destId="{DC221C28-74C1-4F17-8173-D6011E0AA6B6}" srcOrd="2" destOrd="0" presId="urn:microsoft.com/office/officeart/2005/8/layout/orgChart1"/>
    <dgm:cxn modelId="{5C2CEF5E-353A-44F9-828A-DE9860A6FAAF}" type="presParOf" srcId="{DEFD06B0-5502-4B75-BD96-9041B9F150E4}" destId="{7C3BF277-2FAA-4568-A4F0-1527BB1990ED}" srcOrd="2" destOrd="0" presId="urn:microsoft.com/office/officeart/2005/8/layout/orgChart1"/>
    <dgm:cxn modelId="{71077841-2EAC-4B20-BC7D-0A291177F8DA}" type="presParOf" srcId="{96467521-42F1-4DD4-A3A6-01873C4F4DB7}" destId="{5DD0E74E-F92B-488E-834D-5EB711DECA63}" srcOrd="2" destOrd="0" presId="urn:microsoft.com/office/officeart/2005/8/layout/orgChart1"/>
    <dgm:cxn modelId="{1F9D282F-1477-4365-8F5E-AE8CA0C73BA4}" type="presParOf" srcId="{39F57B1F-75F7-4627-8809-BB27086055AF}" destId="{3F7CA9D4-2F10-40CC-A3A9-118304FB9B94}" srcOrd="2" destOrd="0" presId="urn:microsoft.com/office/officeart/2005/8/layout/orgChart1"/>
    <dgm:cxn modelId="{8C81A866-0B65-49CF-886C-8AD0A748BA68}" type="presParOf" srcId="{39F57B1F-75F7-4627-8809-BB27086055AF}" destId="{038D9F07-EA61-41F6-946F-8BDC72C4B33D}" srcOrd="3" destOrd="0" presId="urn:microsoft.com/office/officeart/2005/8/layout/orgChart1"/>
    <dgm:cxn modelId="{E130DB3F-C1DE-4460-A653-AF3D581BE51F}" type="presParOf" srcId="{038D9F07-EA61-41F6-946F-8BDC72C4B33D}" destId="{23D0DD7A-D0A2-439D-92C8-D7D6BDB9C7CC}" srcOrd="0" destOrd="0" presId="urn:microsoft.com/office/officeart/2005/8/layout/orgChart1"/>
    <dgm:cxn modelId="{D019C5DF-8935-4C78-9B15-0E4B1DF2157F}" type="presParOf" srcId="{23D0DD7A-D0A2-439D-92C8-D7D6BDB9C7CC}" destId="{BCF9AF9A-D03E-4F12-863E-3CAEE6309E9B}" srcOrd="0" destOrd="0" presId="urn:microsoft.com/office/officeart/2005/8/layout/orgChart1"/>
    <dgm:cxn modelId="{42399EC2-E96B-46EA-AE5D-B687A70E6A72}" type="presParOf" srcId="{23D0DD7A-D0A2-439D-92C8-D7D6BDB9C7CC}" destId="{24CD8AD8-6DBC-4F34-ACAB-2152A7404EA3}" srcOrd="1" destOrd="0" presId="urn:microsoft.com/office/officeart/2005/8/layout/orgChart1"/>
    <dgm:cxn modelId="{A7D8F407-7B3E-41B2-9282-A77C524EE9A1}" type="presParOf" srcId="{038D9F07-EA61-41F6-946F-8BDC72C4B33D}" destId="{DC9C3E95-766B-40F5-B951-8749EB15EF8D}" srcOrd="1" destOrd="0" presId="urn:microsoft.com/office/officeart/2005/8/layout/orgChart1"/>
    <dgm:cxn modelId="{BD610A65-3A44-4B69-972C-2160D6E03BED}" type="presParOf" srcId="{DC9C3E95-766B-40F5-B951-8749EB15EF8D}" destId="{7F9188D1-8549-4771-B5DB-F5312091D6DA}" srcOrd="0" destOrd="0" presId="urn:microsoft.com/office/officeart/2005/8/layout/orgChart1"/>
    <dgm:cxn modelId="{FA64DFBF-471B-4239-8237-2908FDB2E722}" type="presParOf" srcId="{DC9C3E95-766B-40F5-B951-8749EB15EF8D}" destId="{492E8CBE-2999-4D7D-B76B-F79277B4EEA6}" srcOrd="1" destOrd="0" presId="urn:microsoft.com/office/officeart/2005/8/layout/orgChart1"/>
    <dgm:cxn modelId="{A07139F5-0D79-434B-B1B7-EF63BEA1D50E}" type="presParOf" srcId="{492E8CBE-2999-4D7D-B76B-F79277B4EEA6}" destId="{D0932803-5966-4F06-A881-EC5F042DD395}" srcOrd="0" destOrd="0" presId="urn:microsoft.com/office/officeart/2005/8/layout/orgChart1"/>
    <dgm:cxn modelId="{21FD433F-DBEC-4E40-97E5-3B77FD3DF72E}" type="presParOf" srcId="{D0932803-5966-4F06-A881-EC5F042DD395}" destId="{26CF2FC0-6AAC-4915-9442-CC8DB71E68B0}" srcOrd="0" destOrd="0" presId="urn:microsoft.com/office/officeart/2005/8/layout/orgChart1"/>
    <dgm:cxn modelId="{C85B1781-14A6-4675-A30B-CF391385919F}" type="presParOf" srcId="{D0932803-5966-4F06-A881-EC5F042DD395}" destId="{6188455E-58AA-4AFE-B122-2B86BCD66F9F}" srcOrd="1" destOrd="0" presId="urn:microsoft.com/office/officeart/2005/8/layout/orgChart1"/>
    <dgm:cxn modelId="{483ABC5D-B925-4B85-A66F-0BB13CF3CB7D}" type="presParOf" srcId="{492E8CBE-2999-4D7D-B76B-F79277B4EEA6}" destId="{A7D692C6-4A71-4A16-891B-9CE783D39C05}" srcOrd="1" destOrd="0" presId="urn:microsoft.com/office/officeart/2005/8/layout/orgChart1"/>
    <dgm:cxn modelId="{F5BD19F6-212D-4F03-9C70-4AD944F38EE9}" type="presParOf" srcId="{492E8CBE-2999-4D7D-B76B-F79277B4EEA6}" destId="{AD764401-6ED9-4DC0-A75C-F42439C2F1EB}" srcOrd="2" destOrd="0" presId="urn:microsoft.com/office/officeart/2005/8/layout/orgChart1"/>
    <dgm:cxn modelId="{13655BB7-9069-475E-8292-DB175AE36331}" type="presParOf" srcId="{DC9C3E95-766B-40F5-B951-8749EB15EF8D}" destId="{EE5B3127-00F4-488B-AEA4-6517380D7C2A}" srcOrd="2" destOrd="0" presId="urn:microsoft.com/office/officeart/2005/8/layout/orgChart1"/>
    <dgm:cxn modelId="{48C16595-4C88-4AA0-8300-0709D67C08C8}" type="presParOf" srcId="{DC9C3E95-766B-40F5-B951-8749EB15EF8D}" destId="{276FB599-0083-4DF2-8190-446D282C1770}" srcOrd="3" destOrd="0" presId="urn:microsoft.com/office/officeart/2005/8/layout/orgChart1"/>
    <dgm:cxn modelId="{738B0129-DB39-4D99-B74C-16A87CE546E4}" type="presParOf" srcId="{276FB599-0083-4DF2-8190-446D282C1770}" destId="{1EE7DA50-1B73-43B8-B142-07E354FCBF73}" srcOrd="0" destOrd="0" presId="urn:microsoft.com/office/officeart/2005/8/layout/orgChart1"/>
    <dgm:cxn modelId="{47DC3FE7-BB3C-4828-8F76-F189101CBE39}" type="presParOf" srcId="{1EE7DA50-1B73-43B8-B142-07E354FCBF73}" destId="{98A43C32-D36B-4A54-897C-8C6840BC136D}" srcOrd="0" destOrd="0" presId="urn:microsoft.com/office/officeart/2005/8/layout/orgChart1"/>
    <dgm:cxn modelId="{A147D0B2-6BA1-4A9C-9F57-1689699AA542}" type="presParOf" srcId="{1EE7DA50-1B73-43B8-B142-07E354FCBF73}" destId="{5AC60B01-BEDA-46F8-8932-396C491415FA}" srcOrd="1" destOrd="0" presId="urn:microsoft.com/office/officeart/2005/8/layout/orgChart1"/>
    <dgm:cxn modelId="{DE2E88D1-3B08-456F-9CE5-4315211B1322}" type="presParOf" srcId="{276FB599-0083-4DF2-8190-446D282C1770}" destId="{153A8673-5DEF-4B54-8BFD-56EA6F314262}" srcOrd="1" destOrd="0" presId="urn:microsoft.com/office/officeart/2005/8/layout/orgChart1"/>
    <dgm:cxn modelId="{94F0807E-0DFF-4ADE-A6B8-DC0F1771E99D}" type="presParOf" srcId="{276FB599-0083-4DF2-8190-446D282C1770}" destId="{ADE7FAA2-400B-4ABA-9801-0692EB249E9E}" srcOrd="2" destOrd="0" presId="urn:microsoft.com/office/officeart/2005/8/layout/orgChart1"/>
    <dgm:cxn modelId="{F8836959-5CDA-4A57-A474-CAB170247077}" type="presParOf" srcId="{038D9F07-EA61-41F6-946F-8BDC72C4B33D}" destId="{FFF5601C-44F3-4BB5-BC99-7B1305FE464A}" srcOrd="2" destOrd="0" presId="urn:microsoft.com/office/officeart/2005/8/layout/orgChart1"/>
    <dgm:cxn modelId="{D149E230-65E6-42F1-A150-AD2AE9CBEB1D}" type="presParOf" srcId="{E7B56F8A-9460-447E-A472-7A69016F3597}" destId="{81B42CE6-5A09-4A0D-9E66-DE2CB592F0A2}" srcOrd="2" destOrd="0" presId="urn:microsoft.com/office/officeart/2005/8/layout/orgChar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B3127-00F4-488B-AEA4-6517380D7C2A}">
      <dsp:nvSpPr>
        <dsp:cNvPr id="0" name=""/>
        <dsp:cNvSpPr/>
      </dsp:nvSpPr>
      <dsp:spPr>
        <a:xfrm>
          <a:off x="3334514" y="649384"/>
          <a:ext cx="176806" cy="611612"/>
        </a:xfrm>
        <a:custGeom>
          <a:avLst/>
          <a:gdLst/>
          <a:ahLst/>
          <a:cxnLst/>
          <a:rect l="0" t="0" r="0" b="0"/>
          <a:pathLst>
            <a:path>
              <a:moveTo>
                <a:pt x="0" y="0"/>
              </a:moveTo>
              <a:lnTo>
                <a:pt x="0" y="611612"/>
              </a:lnTo>
              <a:lnTo>
                <a:pt x="176806" y="61161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9188D1-8549-4771-B5DB-F5312091D6DA}">
      <dsp:nvSpPr>
        <dsp:cNvPr id="0" name=""/>
        <dsp:cNvSpPr/>
      </dsp:nvSpPr>
      <dsp:spPr>
        <a:xfrm>
          <a:off x="3334514" y="649384"/>
          <a:ext cx="162886" cy="241713"/>
        </a:xfrm>
        <a:custGeom>
          <a:avLst/>
          <a:gdLst/>
          <a:ahLst/>
          <a:cxnLst/>
          <a:rect l="0" t="0" r="0" b="0"/>
          <a:pathLst>
            <a:path>
              <a:moveTo>
                <a:pt x="0" y="0"/>
              </a:moveTo>
              <a:lnTo>
                <a:pt x="0" y="241713"/>
              </a:lnTo>
              <a:lnTo>
                <a:pt x="162886" y="24171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7CA9D4-2F10-40CC-A3A9-118304FB9B94}">
      <dsp:nvSpPr>
        <dsp:cNvPr id="0" name=""/>
        <dsp:cNvSpPr/>
      </dsp:nvSpPr>
      <dsp:spPr>
        <a:xfrm>
          <a:off x="2932581" y="272522"/>
          <a:ext cx="984793" cy="106564"/>
        </a:xfrm>
        <a:custGeom>
          <a:avLst/>
          <a:gdLst/>
          <a:ahLst/>
          <a:cxnLst/>
          <a:rect l="0" t="0" r="0" b="0"/>
          <a:pathLst>
            <a:path>
              <a:moveTo>
                <a:pt x="0" y="0"/>
              </a:moveTo>
              <a:lnTo>
                <a:pt x="0" y="49802"/>
              </a:lnTo>
              <a:lnTo>
                <a:pt x="984793" y="49802"/>
              </a:lnTo>
              <a:lnTo>
                <a:pt x="984793" y="1065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8CF812-969A-47D2-B5C5-5E4506C2A1CD}">
      <dsp:nvSpPr>
        <dsp:cNvPr id="0" name=""/>
        <dsp:cNvSpPr/>
      </dsp:nvSpPr>
      <dsp:spPr>
        <a:xfrm>
          <a:off x="2107557" y="1040166"/>
          <a:ext cx="317390" cy="2145491"/>
        </a:xfrm>
        <a:custGeom>
          <a:avLst/>
          <a:gdLst/>
          <a:ahLst/>
          <a:cxnLst/>
          <a:rect l="0" t="0" r="0" b="0"/>
          <a:pathLst>
            <a:path>
              <a:moveTo>
                <a:pt x="0" y="0"/>
              </a:moveTo>
              <a:lnTo>
                <a:pt x="0" y="2145491"/>
              </a:lnTo>
              <a:lnTo>
                <a:pt x="317390" y="214549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4D4C1E-E1BD-4688-B1D3-B5327DD60754}">
      <dsp:nvSpPr>
        <dsp:cNvPr id="0" name=""/>
        <dsp:cNvSpPr/>
      </dsp:nvSpPr>
      <dsp:spPr>
        <a:xfrm>
          <a:off x="2107557" y="1040166"/>
          <a:ext cx="317390" cy="1722375"/>
        </a:xfrm>
        <a:custGeom>
          <a:avLst/>
          <a:gdLst/>
          <a:ahLst/>
          <a:cxnLst/>
          <a:rect l="0" t="0" r="0" b="0"/>
          <a:pathLst>
            <a:path>
              <a:moveTo>
                <a:pt x="0" y="0"/>
              </a:moveTo>
              <a:lnTo>
                <a:pt x="0" y="1722375"/>
              </a:lnTo>
              <a:lnTo>
                <a:pt x="317390" y="17223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7CD282-90F3-40A0-AF8F-917F658ED55C}">
      <dsp:nvSpPr>
        <dsp:cNvPr id="0" name=""/>
        <dsp:cNvSpPr/>
      </dsp:nvSpPr>
      <dsp:spPr>
        <a:xfrm>
          <a:off x="2107557" y="1040166"/>
          <a:ext cx="317390" cy="1292738"/>
        </a:xfrm>
        <a:custGeom>
          <a:avLst/>
          <a:gdLst/>
          <a:ahLst/>
          <a:cxnLst/>
          <a:rect l="0" t="0" r="0" b="0"/>
          <a:pathLst>
            <a:path>
              <a:moveTo>
                <a:pt x="0" y="0"/>
              </a:moveTo>
              <a:lnTo>
                <a:pt x="0" y="1292738"/>
              </a:lnTo>
              <a:lnTo>
                <a:pt x="317390" y="129273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6EFC49-DA0F-43CE-919D-7174F25A5EED}">
      <dsp:nvSpPr>
        <dsp:cNvPr id="0" name=""/>
        <dsp:cNvSpPr/>
      </dsp:nvSpPr>
      <dsp:spPr>
        <a:xfrm>
          <a:off x="2107557" y="1040166"/>
          <a:ext cx="317390" cy="787456"/>
        </a:xfrm>
        <a:custGeom>
          <a:avLst/>
          <a:gdLst/>
          <a:ahLst/>
          <a:cxnLst/>
          <a:rect l="0" t="0" r="0" b="0"/>
          <a:pathLst>
            <a:path>
              <a:moveTo>
                <a:pt x="0" y="0"/>
              </a:moveTo>
              <a:lnTo>
                <a:pt x="0" y="787456"/>
              </a:lnTo>
              <a:lnTo>
                <a:pt x="317390" y="78745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4CD110-3847-45EE-B723-A29C08052964}">
      <dsp:nvSpPr>
        <dsp:cNvPr id="0" name=""/>
        <dsp:cNvSpPr/>
      </dsp:nvSpPr>
      <dsp:spPr>
        <a:xfrm>
          <a:off x="2107557" y="1040166"/>
          <a:ext cx="317390" cy="288331"/>
        </a:xfrm>
        <a:custGeom>
          <a:avLst/>
          <a:gdLst/>
          <a:ahLst/>
          <a:cxnLst/>
          <a:rect l="0" t="0" r="0" b="0"/>
          <a:pathLst>
            <a:path>
              <a:moveTo>
                <a:pt x="0" y="0"/>
              </a:moveTo>
              <a:lnTo>
                <a:pt x="0" y="288331"/>
              </a:lnTo>
              <a:lnTo>
                <a:pt x="317390" y="28833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90D344-54AC-4700-99AB-8BA4CFA008C5}">
      <dsp:nvSpPr>
        <dsp:cNvPr id="0" name=""/>
        <dsp:cNvSpPr/>
      </dsp:nvSpPr>
      <dsp:spPr>
        <a:xfrm>
          <a:off x="2077641" y="656344"/>
          <a:ext cx="375137" cy="113524"/>
        </a:xfrm>
        <a:custGeom>
          <a:avLst/>
          <a:gdLst/>
          <a:ahLst/>
          <a:cxnLst/>
          <a:rect l="0" t="0" r="0" b="0"/>
          <a:pathLst>
            <a:path>
              <a:moveTo>
                <a:pt x="0" y="0"/>
              </a:moveTo>
              <a:lnTo>
                <a:pt x="0" y="56762"/>
              </a:lnTo>
              <a:lnTo>
                <a:pt x="375137" y="56762"/>
              </a:lnTo>
              <a:lnTo>
                <a:pt x="375137" y="11352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99AA0B-1D4C-4466-AE53-9A3F0FE43AEE}">
      <dsp:nvSpPr>
        <dsp:cNvPr id="0" name=""/>
        <dsp:cNvSpPr/>
      </dsp:nvSpPr>
      <dsp:spPr>
        <a:xfrm>
          <a:off x="999366" y="1047129"/>
          <a:ext cx="91440" cy="1178715"/>
        </a:xfrm>
        <a:custGeom>
          <a:avLst/>
          <a:gdLst/>
          <a:ahLst/>
          <a:cxnLst/>
          <a:rect l="0" t="0" r="0" b="0"/>
          <a:pathLst>
            <a:path>
              <a:moveTo>
                <a:pt x="45720" y="0"/>
              </a:moveTo>
              <a:lnTo>
                <a:pt x="45720" y="1178715"/>
              </a:lnTo>
              <a:lnTo>
                <a:pt x="102794" y="117871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B0424E-920F-4339-841C-F342E6896BBC}">
      <dsp:nvSpPr>
        <dsp:cNvPr id="0" name=""/>
        <dsp:cNvSpPr/>
      </dsp:nvSpPr>
      <dsp:spPr>
        <a:xfrm>
          <a:off x="999366" y="1047129"/>
          <a:ext cx="91440" cy="704533"/>
        </a:xfrm>
        <a:custGeom>
          <a:avLst/>
          <a:gdLst/>
          <a:ahLst/>
          <a:cxnLst/>
          <a:rect l="0" t="0" r="0" b="0"/>
          <a:pathLst>
            <a:path>
              <a:moveTo>
                <a:pt x="45720" y="0"/>
              </a:moveTo>
              <a:lnTo>
                <a:pt x="45720" y="704533"/>
              </a:lnTo>
              <a:lnTo>
                <a:pt x="134970" y="70453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04E83E-F10B-43E9-BA46-C8B768AB3F82}">
      <dsp:nvSpPr>
        <dsp:cNvPr id="0" name=""/>
        <dsp:cNvSpPr/>
      </dsp:nvSpPr>
      <dsp:spPr>
        <a:xfrm>
          <a:off x="999366" y="1047129"/>
          <a:ext cx="91440" cy="252025"/>
        </a:xfrm>
        <a:custGeom>
          <a:avLst/>
          <a:gdLst/>
          <a:ahLst/>
          <a:cxnLst/>
          <a:rect l="0" t="0" r="0" b="0"/>
          <a:pathLst>
            <a:path>
              <a:moveTo>
                <a:pt x="45720" y="0"/>
              </a:moveTo>
              <a:lnTo>
                <a:pt x="45720" y="252025"/>
              </a:lnTo>
              <a:lnTo>
                <a:pt x="121050" y="25202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83CD37-4A3C-4CB0-960E-53C6C0DA4D21}">
      <dsp:nvSpPr>
        <dsp:cNvPr id="0" name=""/>
        <dsp:cNvSpPr/>
      </dsp:nvSpPr>
      <dsp:spPr>
        <a:xfrm>
          <a:off x="1394451" y="656344"/>
          <a:ext cx="683190" cy="120487"/>
        </a:xfrm>
        <a:custGeom>
          <a:avLst/>
          <a:gdLst/>
          <a:ahLst/>
          <a:cxnLst/>
          <a:rect l="0" t="0" r="0" b="0"/>
          <a:pathLst>
            <a:path>
              <a:moveTo>
                <a:pt x="683190" y="0"/>
              </a:moveTo>
              <a:lnTo>
                <a:pt x="683190" y="63725"/>
              </a:lnTo>
              <a:lnTo>
                <a:pt x="0" y="63725"/>
              </a:lnTo>
              <a:lnTo>
                <a:pt x="0" y="1204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DED06E-237F-402F-9F69-58F0C1FE7942}">
      <dsp:nvSpPr>
        <dsp:cNvPr id="0" name=""/>
        <dsp:cNvSpPr/>
      </dsp:nvSpPr>
      <dsp:spPr>
        <a:xfrm>
          <a:off x="2077641" y="272522"/>
          <a:ext cx="854940" cy="113524"/>
        </a:xfrm>
        <a:custGeom>
          <a:avLst/>
          <a:gdLst/>
          <a:ahLst/>
          <a:cxnLst/>
          <a:rect l="0" t="0" r="0" b="0"/>
          <a:pathLst>
            <a:path>
              <a:moveTo>
                <a:pt x="854940" y="0"/>
              </a:moveTo>
              <a:lnTo>
                <a:pt x="854940" y="56762"/>
              </a:lnTo>
              <a:lnTo>
                <a:pt x="0" y="56762"/>
              </a:lnTo>
              <a:lnTo>
                <a:pt x="0" y="11352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876064-BBD2-402D-97A6-9ECB243FA4F9}">
      <dsp:nvSpPr>
        <dsp:cNvPr id="0" name=""/>
        <dsp:cNvSpPr/>
      </dsp:nvSpPr>
      <dsp:spPr>
        <a:xfrm>
          <a:off x="1326690" y="2224"/>
          <a:ext cx="3211782" cy="270297"/>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Verejné výdavky na kultúru (793 mil. eur)</a:t>
          </a:r>
        </a:p>
      </dsp:txBody>
      <dsp:txXfrm>
        <a:off x="1326690" y="2224"/>
        <a:ext cx="3211782" cy="270297"/>
      </dsp:txXfrm>
    </dsp:sp>
    <dsp:sp modelId="{B1AA7480-BA9E-4859-B64A-DBE054795DCC}">
      <dsp:nvSpPr>
        <dsp:cNvPr id="0" name=""/>
        <dsp:cNvSpPr/>
      </dsp:nvSpPr>
      <dsp:spPr>
        <a:xfrm>
          <a:off x="1330585" y="386047"/>
          <a:ext cx="1494112" cy="27029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Ústredná správa (463 mil. eur)</a:t>
          </a:r>
        </a:p>
      </dsp:txBody>
      <dsp:txXfrm>
        <a:off x="1330585" y="386047"/>
        <a:ext cx="1494112" cy="270297"/>
      </dsp:txXfrm>
    </dsp:sp>
    <dsp:sp modelId="{685742BF-A50C-4806-A825-522C4937F1B7}">
      <dsp:nvSpPr>
        <dsp:cNvPr id="0" name=""/>
        <dsp:cNvSpPr/>
      </dsp:nvSpPr>
      <dsp:spPr>
        <a:xfrm>
          <a:off x="957745" y="776832"/>
          <a:ext cx="873412" cy="2702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Štátna správa </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(307 mil. eur)</a:t>
          </a:r>
        </a:p>
      </dsp:txBody>
      <dsp:txXfrm>
        <a:off x="957745" y="776832"/>
        <a:ext cx="873412" cy="270297"/>
      </dsp:txXfrm>
    </dsp:sp>
    <dsp:sp modelId="{EF874B7A-8BD8-40F0-BAD8-3826505D0952}">
      <dsp:nvSpPr>
        <dsp:cNvPr id="0" name=""/>
        <dsp:cNvSpPr/>
      </dsp:nvSpPr>
      <dsp:spPr>
        <a:xfrm>
          <a:off x="1120416" y="1153691"/>
          <a:ext cx="705784" cy="290926"/>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úrad MK</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(125 mil. eur)</a:t>
          </a:r>
        </a:p>
      </dsp:txBody>
      <dsp:txXfrm>
        <a:off x="1120416" y="1153691"/>
        <a:ext cx="705784" cy="290926"/>
      </dsp:txXfrm>
    </dsp:sp>
    <dsp:sp modelId="{DC83E83E-40C3-49F0-A0B8-94CEBCEF9ABD}">
      <dsp:nvSpPr>
        <dsp:cNvPr id="0" name=""/>
        <dsp:cNvSpPr/>
      </dsp:nvSpPr>
      <dsp:spPr>
        <a:xfrm>
          <a:off x="1134337" y="1558143"/>
          <a:ext cx="720526" cy="38703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rezortné ROPO </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(159 mil. eur)</a:t>
          </a:r>
        </a:p>
      </dsp:txBody>
      <dsp:txXfrm>
        <a:off x="1134337" y="1558143"/>
        <a:ext cx="720526" cy="387038"/>
      </dsp:txXfrm>
    </dsp:sp>
    <dsp:sp modelId="{E2F0CD97-C806-4B85-999F-FD0D39CA6811}">
      <dsp:nvSpPr>
        <dsp:cNvPr id="0" name=""/>
        <dsp:cNvSpPr/>
      </dsp:nvSpPr>
      <dsp:spPr>
        <a:xfrm>
          <a:off x="1102160" y="2049144"/>
          <a:ext cx="737922" cy="353403"/>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ostatné kapitoly </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(23 mil. eur)</a:t>
          </a:r>
        </a:p>
      </dsp:txBody>
      <dsp:txXfrm>
        <a:off x="1102160" y="2049144"/>
        <a:ext cx="737922" cy="353403"/>
      </dsp:txXfrm>
    </dsp:sp>
    <dsp:sp modelId="{B1949F03-8057-46DB-B344-CD4363AD1D3D}">
      <dsp:nvSpPr>
        <dsp:cNvPr id="0" name=""/>
        <dsp:cNvSpPr/>
      </dsp:nvSpPr>
      <dsp:spPr>
        <a:xfrm>
          <a:off x="2021251" y="769869"/>
          <a:ext cx="863054" cy="2702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Ostatné subjekty VS (156 mil. eur)</a:t>
          </a:r>
        </a:p>
      </dsp:txBody>
      <dsp:txXfrm>
        <a:off x="2021251" y="769869"/>
        <a:ext cx="863054" cy="270297"/>
      </dsp:txXfrm>
    </dsp:sp>
    <dsp:sp modelId="{1343A2FB-9A78-4AC6-85F1-9AA13FCDD695}">
      <dsp:nvSpPr>
        <dsp:cNvPr id="0" name=""/>
        <dsp:cNvSpPr/>
      </dsp:nvSpPr>
      <dsp:spPr>
        <a:xfrm>
          <a:off x="2424947" y="1153691"/>
          <a:ext cx="743236" cy="349613"/>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RTVS </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(112 mil. eur)</a:t>
          </a:r>
        </a:p>
      </dsp:txBody>
      <dsp:txXfrm>
        <a:off x="2424947" y="1153691"/>
        <a:ext cx="743236" cy="349613"/>
      </dsp:txXfrm>
    </dsp:sp>
    <dsp:sp modelId="{C0A6442C-4B57-4F99-B92C-7EF2B0772A2F}">
      <dsp:nvSpPr>
        <dsp:cNvPr id="0" name=""/>
        <dsp:cNvSpPr/>
      </dsp:nvSpPr>
      <dsp:spPr>
        <a:xfrm>
          <a:off x="2424947" y="1616830"/>
          <a:ext cx="744907" cy="421585"/>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Fond na podporu umenia</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 (16 mil. eur)</a:t>
          </a:r>
        </a:p>
      </dsp:txBody>
      <dsp:txXfrm>
        <a:off x="2424947" y="1616830"/>
        <a:ext cx="744907" cy="421585"/>
      </dsp:txXfrm>
    </dsp:sp>
    <dsp:sp modelId="{3687DEDE-D222-424B-B9A1-1F60C24C64D1}">
      <dsp:nvSpPr>
        <dsp:cNvPr id="0" name=""/>
        <dsp:cNvSpPr/>
      </dsp:nvSpPr>
      <dsp:spPr>
        <a:xfrm>
          <a:off x="2424947" y="2151940"/>
          <a:ext cx="778591" cy="36192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Audiovizuálny fond</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(15 mil. eur)</a:t>
          </a:r>
        </a:p>
      </dsp:txBody>
      <dsp:txXfrm>
        <a:off x="2424947" y="2151940"/>
        <a:ext cx="778591" cy="361928"/>
      </dsp:txXfrm>
    </dsp:sp>
    <dsp:sp modelId="{42441DEF-6E3D-491F-8176-F7B1E28620E2}">
      <dsp:nvSpPr>
        <dsp:cNvPr id="0" name=""/>
        <dsp:cNvSpPr/>
      </dsp:nvSpPr>
      <dsp:spPr>
        <a:xfrm>
          <a:off x="2424947" y="2627394"/>
          <a:ext cx="750794" cy="27029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TASR </a:t>
          </a:r>
        </a:p>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(5,3 mil. eur)</a:t>
          </a:r>
        </a:p>
      </dsp:txBody>
      <dsp:txXfrm>
        <a:off x="2424947" y="2627394"/>
        <a:ext cx="750794" cy="270297"/>
      </dsp:txXfrm>
    </dsp:sp>
    <dsp:sp modelId="{1BE1566F-E0DA-4F19-AB64-E27C744351EB}">
      <dsp:nvSpPr>
        <dsp:cNvPr id="0" name=""/>
        <dsp:cNvSpPr/>
      </dsp:nvSpPr>
      <dsp:spPr>
        <a:xfrm>
          <a:off x="2424947" y="3011216"/>
          <a:ext cx="811389" cy="348883"/>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k-SK" sz="700" kern="1200">
              <a:solidFill>
                <a:sysClr val="window" lastClr="FFFFFF"/>
              </a:solidFill>
              <a:latin typeface="Times New Roman" panose="02020603050405020304" pitchFamily="18" charset="0"/>
              <a:ea typeface="+mn-ea"/>
              <a:cs typeface="Times New Roman" panose="02020603050405020304" pitchFamily="18" charset="0"/>
            </a:rPr>
            <a:t>Fond na podporu kultúry národnostných menšín (7,4 mil. eur)</a:t>
          </a:r>
        </a:p>
      </dsp:txBody>
      <dsp:txXfrm>
        <a:off x="2424947" y="3011216"/>
        <a:ext cx="811389" cy="348883"/>
      </dsp:txXfrm>
    </dsp:sp>
    <dsp:sp modelId="{BCF9AF9A-D03E-4F12-863E-3CAEE6309E9B}">
      <dsp:nvSpPr>
        <dsp:cNvPr id="0" name=""/>
        <dsp:cNvSpPr/>
      </dsp:nvSpPr>
      <dsp:spPr>
        <a:xfrm>
          <a:off x="3188799" y="379086"/>
          <a:ext cx="1457151" cy="27029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Samosprávy (330 mil. eur)</a:t>
          </a:r>
        </a:p>
      </dsp:txBody>
      <dsp:txXfrm>
        <a:off x="3188799" y="379086"/>
        <a:ext cx="1457151" cy="270297"/>
      </dsp:txXfrm>
    </dsp:sp>
    <dsp:sp modelId="{26CF2FC0-6AAC-4915-9442-CC8DB71E68B0}">
      <dsp:nvSpPr>
        <dsp:cNvPr id="0" name=""/>
        <dsp:cNvSpPr/>
      </dsp:nvSpPr>
      <dsp:spPr>
        <a:xfrm>
          <a:off x="3497400" y="755949"/>
          <a:ext cx="874666" cy="2702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Obce (189 mil. eur)</a:t>
          </a:r>
        </a:p>
      </dsp:txBody>
      <dsp:txXfrm>
        <a:off x="3497400" y="755949"/>
        <a:ext cx="874666" cy="270297"/>
      </dsp:txXfrm>
    </dsp:sp>
    <dsp:sp modelId="{98A43C32-D36B-4A54-897C-8C6840BC136D}">
      <dsp:nvSpPr>
        <dsp:cNvPr id="0" name=""/>
        <dsp:cNvSpPr/>
      </dsp:nvSpPr>
      <dsp:spPr>
        <a:xfrm>
          <a:off x="3511320" y="1125848"/>
          <a:ext cx="874698" cy="27029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k-SK" sz="800" kern="1200">
              <a:solidFill>
                <a:sysClr val="window" lastClr="FFFFFF"/>
              </a:solidFill>
              <a:latin typeface="Times New Roman" panose="02020603050405020304" pitchFamily="18" charset="0"/>
              <a:ea typeface="+mn-ea"/>
              <a:cs typeface="Times New Roman" panose="02020603050405020304" pitchFamily="18" charset="0"/>
            </a:rPr>
            <a:t>VÚC (141 mil. eur)</a:t>
          </a:r>
        </a:p>
      </dsp:txBody>
      <dsp:txXfrm>
        <a:off x="3511320" y="1125848"/>
        <a:ext cx="874698" cy="2702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B3127-00F4-488B-AEA4-6517380D7C2A}">
      <dsp:nvSpPr>
        <dsp:cNvPr id="0" name=""/>
        <dsp:cNvSpPr/>
      </dsp:nvSpPr>
      <dsp:spPr>
        <a:xfrm>
          <a:off x="3378822" y="711996"/>
          <a:ext cx="194055" cy="671282"/>
        </a:xfrm>
        <a:custGeom>
          <a:avLst/>
          <a:gdLst/>
          <a:ahLst/>
          <a:cxnLst/>
          <a:rect l="0" t="0" r="0" b="0"/>
          <a:pathLst>
            <a:path>
              <a:moveTo>
                <a:pt x="0" y="0"/>
              </a:moveTo>
              <a:lnTo>
                <a:pt x="0" y="671282"/>
              </a:lnTo>
              <a:lnTo>
                <a:pt x="194055" y="67128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9188D1-8549-4771-B5DB-F5312091D6DA}">
      <dsp:nvSpPr>
        <dsp:cNvPr id="0" name=""/>
        <dsp:cNvSpPr/>
      </dsp:nvSpPr>
      <dsp:spPr>
        <a:xfrm>
          <a:off x="3378822" y="711996"/>
          <a:ext cx="178777" cy="265295"/>
        </a:xfrm>
        <a:custGeom>
          <a:avLst/>
          <a:gdLst/>
          <a:ahLst/>
          <a:cxnLst/>
          <a:rect l="0" t="0" r="0" b="0"/>
          <a:pathLst>
            <a:path>
              <a:moveTo>
                <a:pt x="0" y="0"/>
              </a:moveTo>
              <a:lnTo>
                <a:pt x="0" y="265295"/>
              </a:lnTo>
              <a:lnTo>
                <a:pt x="178777" y="2652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7CA9D4-2F10-40CC-A3A9-118304FB9B94}">
      <dsp:nvSpPr>
        <dsp:cNvPr id="0" name=""/>
        <dsp:cNvSpPr/>
      </dsp:nvSpPr>
      <dsp:spPr>
        <a:xfrm>
          <a:off x="2937676" y="298367"/>
          <a:ext cx="1080871" cy="116961"/>
        </a:xfrm>
        <a:custGeom>
          <a:avLst/>
          <a:gdLst/>
          <a:ahLst/>
          <a:cxnLst/>
          <a:rect l="0" t="0" r="0" b="0"/>
          <a:pathLst>
            <a:path>
              <a:moveTo>
                <a:pt x="0" y="0"/>
              </a:moveTo>
              <a:lnTo>
                <a:pt x="0" y="54661"/>
              </a:lnTo>
              <a:lnTo>
                <a:pt x="1080871" y="54661"/>
              </a:lnTo>
              <a:lnTo>
                <a:pt x="1080871" y="11696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4D4C1E-E1BD-4688-B1D3-B5327DD60754}">
      <dsp:nvSpPr>
        <dsp:cNvPr id="0" name=""/>
        <dsp:cNvSpPr/>
      </dsp:nvSpPr>
      <dsp:spPr>
        <a:xfrm>
          <a:off x="2032162" y="1140904"/>
          <a:ext cx="348355" cy="1890412"/>
        </a:xfrm>
        <a:custGeom>
          <a:avLst/>
          <a:gdLst/>
          <a:ahLst/>
          <a:cxnLst/>
          <a:rect l="0" t="0" r="0" b="0"/>
          <a:pathLst>
            <a:path>
              <a:moveTo>
                <a:pt x="0" y="0"/>
              </a:moveTo>
              <a:lnTo>
                <a:pt x="0" y="1890412"/>
              </a:lnTo>
              <a:lnTo>
                <a:pt x="348355" y="189041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7CD282-90F3-40A0-AF8F-917F658ED55C}">
      <dsp:nvSpPr>
        <dsp:cNvPr id="0" name=""/>
        <dsp:cNvSpPr/>
      </dsp:nvSpPr>
      <dsp:spPr>
        <a:xfrm>
          <a:off x="2032162" y="1140904"/>
          <a:ext cx="348355" cy="1418858"/>
        </a:xfrm>
        <a:custGeom>
          <a:avLst/>
          <a:gdLst/>
          <a:ahLst/>
          <a:cxnLst/>
          <a:rect l="0" t="0" r="0" b="0"/>
          <a:pathLst>
            <a:path>
              <a:moveTo>
                <a:pt x="0" y="0"/>
              </a:moveTo>
              <a:lnTo>
                <a:pt x="0" y="1418858"/>
              </a:lnTo>
              <a:lnTo>
                <a:pt x="348355" y="141885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6EFC49-DA0F-43CE-919D-7174F25A5EED}">
      <dsp:nvSpPr>
        <dsp:cNvPr id="0" name=""/>
        <dsp:cNvSpPr/>
      </dsp:nvSpPr>
      <dsp:spPr>
        <a:xfrm>
          <a:off x="2032162" y="1140904"/>
          <a:ext cx="348355" cy="864281"/>
        </a:xfrm>
        <a:custGeom>
          <a:avLst/>
          <a:gdLst/>
          <a:ahLst/>
          <a:cxnLst/>
          <a:rect l="0" t="0" r="0" b="0"/>
          <a:pathLst>
            <a:path>
              <a:moveTo>
                <a:pt x="0" y="0"/>
              </a:moveTo>
              <a:lnTo>
                <a:pt x="0" y="864281"/>
              </a:lnTo>
              <a:lnTo>
                <a:pt x="348355" y="8642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4CD110-3847-45EE-B723-A29C08052964}">
      <dsp:nvSpPr>
        <dsp:cNvPr id="0" name=""/>
        <dsp:cNvSpPr/>
      </dsp:nvSpPr>
      <dsp:spPr>
        <a:xfrm>
          <a:off x="2032162" y="1140904"/>
          <a:ext cx="348355" cy="316461"/>
        </a:xfrm>
        <a:custGeom>
          <a:avLst/>
          <a:gdLst/>
          <a:ahLst/>
          <a:cxnLst/>
          <a:rect l="0" t="0" r="0" b="0"/>
          <a:pathLst>
            <a:path>
              <a:moveTo>
                <a:pt x="0" y="0"/>
              </a:moveTo>
              <a:lnTo>
                <a:pt x="0" y="316461"/>
              </a:lnTo>
              <a:lnTo>
                <a:pt x="348355" y="31646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90D344-54AC-4700-99AB-8BA4CFA008C5}">
      <dsp:nvSpPr>
        <dsp:cNvPr id="0" name=""/>
        <dsp:cNvSpPr/>
      </dsp:nvSpPr>
      <dsp:spPr>
        <a:xfrm>
          <a:off x="1999327" y="719635"/>
          <a:ext cx="411736" cy="124600"/>
        </a:xfrm>
        <a:custGeom>
          <a:avLst/>
          <a:gdLst/>
          <a:ahLst/>
          <a:cxnLst/>
          <a:rect l="0" t="0" r="0" b="0"/>
          <a:pathLst>
            <a:path>
              <a:moveTo>
                <a:pt x="0" y="0"/>
              </a:moveTo>
              <a:lnTo>
                <a:pt x="0" y="62300"/>
              </a:lnTo>
              <a:lnTo>
                <a:pt x="411736" y="62300"/>
              </a:lnTo>
              <a:lnTo>
                <a:pt x="411736" y="12460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99AA0B-1D4C-4466-AE53-9A3F0FE43AEE}">
      <dsp:nvSpPr>
        <dsp:cNvPr id="0" name=""/>
        <dsp:cNvSpPr/>
      </dsp:nvSpPr>
      <dsp:spPr>
        <a:xfrm>
          <a:off x="820315" y="1148546"/>
          <a:ext cx="91440" cy="1293712"/>
        </a:xfrm>
        <a:custGeom>
          <a:avLst/>
          <a:gdLst/>
          <a:ahLst/>
          <a:cxnLst/>
          <a:rect l="0" t="0" r="0" b="0"/>
          <a:pathLst>
            <a:path>
              <a:moveTo>
                <a:pt x="45720" y="0"/>
              </a:moveTo>
              <a:lnTo>
                <a:pt x="45720" y="1293712"/>
              </a:lnTo>
              <a:lnTo>
                <a:pt x="108362" y="129371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B0424E-920F-4339-841C-F342E6896BBC}">
      <dsp:nvSpPr>
        <dsp:cNvPr id="0" name=""/>
        <dsp:cNvSpPr/>
      </dsp:nvSpPr>
      <dsp:spPr>
        <a:xfrm>
          <a:off x="866035" y="1148546"/>
          <a:ext cx="97958" cy="773267"/>
        </a:xfrm>
        <a:custGeom>
          <a:avLst/>
          <a:gdLst/>
          <a:ahLst/>
          <a:cxnLst/>
          <a:rect l="0" t="0" r="0" b="0"/>
          <a:pathLst>
            <a:path>
              <a:moveTo>
                <a:pt x="0" y="0"/>
              </a:moveTo>
              <a:lnTo>
                <a:pt x="0" y="773267"/>
              </a:lnTo>
              <a:lnTo>
                <a:pt x="97958" y="77326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04E83E-F10B-43E9-BA46-C8B768AB3F82}">
      <dsp:nvSpPr>
        <dsp:cNvPr id="0" name=""/>
        <dsp:cNvSpPr/>
      </dsp:nvSpPr>
      <dsp:spPr>
        <a:xfrm>
          <a:off x="820315" y="1148546"/>
          <a:ext cx="91440" cy="276613"/>
        </a:xfrm>
        <a:custGeom>
          <a:avLst/>
          <a:gdLst/>
          <a:ahLst/>
          <a:cxnLst/>
          <a:rect l="0" t="0" r="0" b="0"/>
          <a:pathLst>
            <a:path>
              <a:moveTo>
                <a:pt x="45720" y="0"/>
              </a:moveTo>
              <a:lnTo>
                <a:pt x="45720" y="276613"/>
              </a:lnTo>
              <a:lnTo>
                <a:pt x="128399" y="27661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83CD37-4A3C-4CB0-960E-53C6C0DA4D21}">
      <dsp:nvSpPr>
        <dsp:cNvPr id="0" name=""/>
        <dsp:cNvSpPr/>
      </dsp:nvSpPr>
      <dsp:spPr>
        <a:xfrm>
          <a:off x="1249484" y="719635"/>
          <a:ext cx="749843" cy="132242"/>
        </a:xfrm>
        <a:custGeom>
          <a:avLst/>
          <a:gdLst/>
          <a:ahLst/>
          <a:cxnLst/>
          <a:rect l="0" t="0" r="0" b="0"/>
          <a:pathLst>
            <a:path>
              <a:moveTo>
                <a:pt x="749843" y="0"/>
              </a:moveTo>
              <a:lnTo>
                <a:pt x="749843" y="69942"/>
              </a:lnTo>
              <a:lnTo>
                <a:pt x="0" y="69942"/>
              </a:lnTo>
              <a:lnTo>
                <a:pt x="0" y="13224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DED06E-237F-402F-9F69-58F0C1FE7942}">
      <dsp:nvSpPr>
        <dsp:cNvPr id="0" name=""/>
        <dsp:cNvSpPr/>
      </dsp:nvSpPr>
      <dsp:spPr>
        <a:xfrm>
          <a:off x="1999327" y="298367"/>
          <a:ext cx="938348" cy="124600"/>
        </a:xfrm>
        <a:custGeom>
          <a:avLst/>
          <a:gdLst/>
          <a:ahLst/>
          <a:cxnLst/>
          <a:rect l="0" t="0" r="0" b="0"/>
          <a:pathLst>
            <a:path>
              <a:moveTo>
                <a:pt x="938348" y="0"/>
              </a:moveTo>
              <a:lnTo>
                <a:pt x="938348" y="62300"/>
              </a:lnTo>
              <a:lnTo>
                <a:pt x="0" y="62300"/>
              </a:lnTo>
              <a:lnTo>
                <a:pt x="0" y="12460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876064-BBD2-402D-97A6-9ECB243FA4F9}">
      <dsp:nvSpPr>
        <dsp:cNvPr id="0" name=""/>
        <dsp:cNvSpPr/>
      </dsp:nvSpPr>
      <dsp:spPr>
        <a:xfrm>
          <a:off x="1175112" y="1699"/>
          <a:ext cx="3525127" cy="296667"/>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Verejné výdavky na kultúru (793 mil. eur)</a:t>
          </a:r>
        </a:p>
      </dsp:txBody>
      <dsp:txXfrm>
        <a:off x="1175112" y="1699"/>
        <a:ext cx="3525127" cy="296667"/>
      </dsp:txXfrm>
    </dsp:sp>
    <dsp:sp modelId="{B1AA7480-BA9E-4859-B64A-DBE054795DCC}">
      <dsp:nvSpPr>
        <dsp:cNvPr id="0" name=""/>
        <dsp:cNvSpPr/>
      </dsp:nvSpPr>
      <dsp:spPr>
        <a:xfrm>
          <a:off x="1179387" y="422967"/>
          <a:ext cx="1639879" cy="29666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Ústredná správa (463 mil. eur)</a:t>
          </a:r>
        </a:p>
      </dsp:txBody>
      <dsp:txXfrm>
        <a:off x="1179387" y="422967"/>
        <a:ext cx="1639879" cy="296667"/>
      </dsp:txXfrm>
    </dsp:sp>
    <dsp:sp modelId="{685742BF-A50C-4806-A825-522C4937F1B7}">
      <dsp:nvSpPr>
        <dsp:cNvPr id="0" name=""/>
        <dsp:cNvSpPr/>
      </dsp:nvSpPr>
      <dsp:spPr>
        <a:xfrm>
          <a:off x="770172" y="851878"/>
          <a:ext cx="958623" cy="29666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Štátna správa </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(307 mil. eur)</a:t>
          </a:r>
        </a:p>
      </dsp:txBody>
      <dsp:txXfrm>
        <a:off x="770172" y="851878"/>
        <a:ext cx="958623" cy="296667"/>
      </dsp:txXfrm>
    </dsp:sp>
    <dsp:sp modelId="{EF874B7A-8BD8-40F0-BAD8-3826505D0952}">
      <dsp:nvSpPr>
        <dsp:cNvPr id="0" name=""/>
        <dsp:cNvSpPr/>
      </dsp:nvSpPr>
      <dsp:spPr>
        <a:xfrm>
          <a:off x="948715" y="1265504"/>
          <a:ext cx="666737" cy="319309"/>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úrad MK</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(125 mil. eur)</a:t>
          </a:r>
        </a:p>
      </dsp:txBody>
      <dsp:txXfrm>
        <a:off x="948715" y="1265504"/>
        <a:ext cx="666737" cy="319309"/>
      </dsp:txXfrm>
    </dsp:sp>
    <dsp:sp modelId="{DC83E83E-40C3-49F0-A0B8-94CEBCEF9ABD}">
      <dsp:nvSpPr>
        <dsp:cNvPr id="0" name=""/>
        <dsp:cNvSpPr/>
      </dsp:nvSpPr>
      <dsp:spPr>
        <a:xfrm>
          <a:off x="963993" y="1709414"/>
          <a:ext cx="790827" cy="42479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rezortné ROPO </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(159 mil. eur)</a:t>
          </a:r>
        </a:p>
      </dsp:txBody>
      <dsp:txXfrm>
        <a:off x="963993" y="1709414"/>
        <a:ext cx="790827" cy="424798"/>
      </dsp:txXfrm>
    </dsp:sp>
    <dsp:sp modelId="{E2F0CD97-C806-4B85-999F-FD0D39CA6811}">
      <dsp:nvSpPr>
        <dsp:cNvPr id="0" name=""/>
        <dsp:cNvSpPr/>
      </dsp:nvSpPr>
      <dsp:spPr>
        <a:xfrm>
          <a:off x="928678" y="2248318"/>
          <a:ext cx="809915" cy="387881"/>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ostatné kapitoly </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(23 mil. eur)</a:t>
          </a:r>
        </a:p>
      </dsp:txBody>
      <dsp:txXfrm>
        <a:off x="928678" y="2248318"/>
        <a:ext cx="809915" cy="387881"/>
      </dsp:txXfrm>
    </dsp:sp>
    <dsp:sp modelId="{B1949F03-8057-46DB-B344-CD4363AD1D3D}">
      <dsp:nvSpPr>
        <dsp:cNvPr id="0" name=""/>
        <dsp:cNvSpPr/>
      </dsp:nvSpPr>
      <dsp:spPr>
        <a:xfrm>
          <a:off x="1937436" y="844236"/>
          <a:ext cx="947254" cy="29666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Ostatné subjekty VS (156 mil. eur)</a:t>
          </a:r>
        </a:p>
      </dsp:txBody>
      <dsp:txXfrm>
        <a:off x="1937436" y="844236"/>
        <a:ext cx="947254" cy="296667"/>
      </dsp:txXfrm>
    </dsp:sp>
    <dsp:sp modelId="{1343A2FB-9A78-4AC6-85F1-9AA13FCDD695}">
      <dsp:nvSpPr>
        <dsp:cNvPr id="0" name=""/>
        <dsp:cNvSpPr/>
      </dsp:nvSpPr>
      <dsp:spPr>
        <a:xfrm>
          <a:off x="2380517" y="1265504"/>
          <a:ext cx="815747" cy="383722"/>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RTVS </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(112 mil. eur)</a:t>
          </a:r>
        </a:p>
      </dsp:txBody>
      <dsp:txXfrm>
        <a:off x="2380517" y="1265504"/>
        <a:ext cx="815747" cy="383722"/>
      </dsp:txXfrm>
    </dsp:sp>
    <dsp:sp modelId="{C0A6442C-4B57-4F99-B92C-7EF2B0772A2F}">
      <dsp:nvSpPr>
        <dsp:cNvPr id="0" name=""/>
        <dsp:cNvSpPr/>
      </dsp:nvSpPr>
      <dsp:spPr>
        <a:xfrm>
          <a:off x="2380517" y="1773827"/>
          <a:ext cx="817581" cy="462715"/>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Fond na podporu umenia</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 (16 mil. eur)</a:t>
          </a:r>
        </a:p>
      </dsp:txBody>
      <dsp:txXfrm>
        <a:off x="2380517" y="1773827"/>
        <a:ext cx="817581" cy="462715"/>
      </dsp:txXfrm>
    </dsp:sp>
    <dsp:sp modelId="{3687DEDE-D222-424B-B9A1-1F60C24C64D1}">
      <dsp:nvSpPr>
        <dsp:cNvPr id="0" name=""/>
        <dsp:cNvSpPr/>
      </dsp:nvSpPr>
      <dsp:spPr>
        <a:xfrm>
          <a:off x="2380517" y="2361143"/>
          <a:ext cx="854551" cy="39723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Audiovizuálny fond</a:t>
          </a:r>
        </a:p>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(15 mil. eur)</a:t>
          </a:r>
        </a:p>
      </dsp:txBody>
      <dsp:txXfrm>
        <a:off x="2380517" y="2361143"/>
        <a:ext cx="854551" cy="397238"/>
      </dsp:txXfrm>
    </dsp:sp>
    <dsp:sp modelId="{42441DEF-6E3D-491F-8176-F7B1E28620E2}">
      <dsp:nvSpPr>
        <dsp:cNvPr id="0" name=""/>
        <dsp:cNvSpPr/>
      </dsp:nvSpPr>
      <dsp:spPr>
        <a:xfrm>
          <a:off x="2380517" y="2882982"/>
          <a:ext cx="1023302" cy="29666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Ostatné (13 mil. eur)</a:t>
          </a:r>
        </a:p>
      </dsp:txBody>
      <dsp:txXfrm>
        <a:off x="2380517" y="2882982"/>
        <a:ext cx="1023302" cy="296667"/>
      </dsp:txXfrm>
    </dsp:sp>
    <dsp:sp modelId="{BCF9AF9A-D03E-4F12-863E-3CAEE6309E9B}">
      <dsp:nvSpPr>
        <dsp:cNvPr id="0" name=""/>
        <dsp:cNvSpPr/>
      </dsp:nvSpPr>
      <dsp:spPr>
        <a:xfrm>
          <a:off x="3218890" y="415328"/>
          <a:ext cx="1599313" cy="29666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Samosprávy (330 mil. eur)</a:t>
          </a:r>
        </a:p>
      </dsp:txBody>
      <dsp:txXfrm>
        <a:off x="3218890" y="415328"/>
        <a:ext cx="1599313" cy="296667"/>
      </dsp:txXfrm>
    </dsp:sp>
    <dsp:sp modelId="{26CF2FC0-6AAC-4915-9442-CC8DB71E68B0}">
      <dsp:nvSpPr>
        <dsp:cNvPr id="0" name=""/>
        <dsp:cNvSpPr/>
      </dsp:nvSpPr>
      <dsp:spPr>
        <a:xfrm>
          <a:off x="3557599" y="828957"/>
          <a:ext cx="959999" cy="29666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Obce (189 mil. eur)</a:t>
          </a:r>
        </a:p>
      </dsp:txBody>
      <dsp:txXfrm>
        <a:off x="3557599" y="828957"/>
        <a:ext cx="959999" cy="296667"/>
      </dsp:txXfrm>
    </dsp:sp>
    <dsp:sp modelId="{98A43C32-D36B-4A54-897C-8C6840BC136D}">
      <dsp:nvSpPr>
        <dsp:cNvPr id="0" name=""/>
        <dsp:cNvSpPr/>
      </dsp:nvSpPr>
      <dsp:spPr>
        <a:xfrm>
          <a:off x="3572877" y="1234944"/>
          <a:ext cx="960035" cy="29666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 lastClr="FFFFFF"/>
              </a:solidFill>
              <a:latin typeface="Arial Narrow" panose="020B0606020202030204" pitchFamily="34" charset="0"/>
              <a:ea typeface="+mn-ea"/>
              <a:cs typeface="Arial" panose="020B0604020202020204" pitchFamily="34" charset="0"/>
            </a:rPr>
            <a:t>VÚC (141 mil. eur)</a:t>
          </a:r>
        </a:p>
      </dsp:txBody>
      <dsp:txXfrm>
        <a:off x="3572877" y="1234944"/>
        <a:ext cx="960035" cy="2966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0.86717</cdr:x>
      <cdr:y>0.33558</cdr:y>
    </cdr:from>
    <cdr:to>
      <cdr:x>0.89727</cdr:x>
      <cdr:y>0.96068</cdr:y>
    </cdr:to>
    <cdr:sp macro="" textlink="">
      <cdr:nvSpPr>
        <cdr:cNvPr id="2" name="Obdĺžnik 1"/>
        <cdr:cNvSpPr/>
      </cdr:nvSpPr>
      <cdr:spPr>
        <a:xfrm xmlns:a="http://schemas.openxmlformats.org/drawingml/2006/main">
          <a:off x="2436639" y="808689"/>
          <a:ext cx="84568" cy="1506381"/>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2.xml><?xml version="1.0" encoding="utf-8"?>
<c:userShapes xmlns:c="http://schemas.openxmlformats.org/drawingml/2006/chart">
  <cdr:relSizeAnchor xmlns:cdr="http://schemas.openxmlformats.org/drawingml/2006/chartDrawing">
    <cdr:from>
      <cdr:x>0.27855</cdr:x>
      <cdr:y>0.00662</cdr:y>
    </cdr:from>
    <cdr:to>
      <cdr:x>0.86606</cdr:x>
      <cdr:y>0.10205</cdr:y>
    </cdr:to>
    <cdr:sp macro="" textlink="">
      <cdr:nvSpPr>
        <cdr:cNvPr id="2" name="BlokTextu 1"/>
        <cdr:cNvSpPr txBox="1"/>
      </cdr:nvSpPr>
      <cdr:spPr>
        <a:xfrm xmlns:a="http://schemas.openxmlformats.org/drawingml/2006/main">
          <a:off x="962024" y="24729"/>
          <a:ext cx="1994301" cy="299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sk-SK"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0.47297</cdr:x>
      <cdr:y>0.47147</cdr:y>
    </cdr:from>
    <cdr:to>
      <cdr:x>0.50623</cdr:x>
      <cdr:y>0.94072</cdr:y>
    </cdr:to>
    <cdr:sp macro="" textlink="">
      <cdr:nvSpPr>
        <cdr:cNvPr id="2" name="Obdĺžnik 1"/>
        <cdr:cNvSpPr/>
      </cdr:nvSpPr>
      <cdr:spPr>
        <a:xfrm xmlns:a="http://schemas.openxmlformats.org/drawingml/2006/main">
          <a:off x="2666983" y="1351721"/>
          <a:ext cx="187535" cy="1345347"/>
        </a:xfrm>
        <a:prstGeom xmlns:a="http://schemas.openxmlformats.org/drawingml/2006/main" prst="rect">
          <a:avLst/>
        </a:prstGeom>
        <a:noFill xmlns:a="http://schemas.openxmlformats.org/drawingml/2006/main"/>
        <a:ln xmlns:a="http://schemas.openxmlformats.org/drawingml/2006/main" w="15875">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4.xml><?xml version="1.0" encoding="utf-8"?>
<c:userShapes xmlns:c="http://schemas.openxmlformats.org/drawingml/2006/chart">
  <cdr:relSizeAnchor xmlns:cdr="http://schemas.openxmlformats.org/drawingml/2006/chartDrawing">
    <cdr:from>
      <cdr:x>0.00876</cdr:x>
      <cdr:y>0.01533</cdr:y>
    </cdr:from>
    <cdr:to>
      <cdr:x>0.09542</cdr:x>
      <cdr:y>0.0787</cdr:y>
    </cdr:to>
    <cdr:sp macro="" textlink="">
      <cdr:nvSpPr>
        <cdr:cNvPr id="2" name="BlokTextu 3"/>
        <cdr:cNvSpPr txBox="1"/>
      </cdr:nvSpPr>
      <cdr:spPr>
        <a:xfrm xmlns:a="http://schemas.openxmlformats.org/drawingml/2006/main">
          <a:off x="50814" y="50814"/>
          <a:ext cx="502702" cy="210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sk-SK" sz="800">
              <a:latin typeface="Arial Narrow" panose="020B0606020202030204" pitchFamily="34" charset="0"/>
            </a:rPr>
            <a:t>v tis. eur</a:t>
          </a: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Vlastné 2">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IFP motív">
    <a:dk1>
      <a:srgbClr val="686767"/>
    </a:dk1>
    <a:lt1>
      <a:srgbClr val="FFFFFF"/>
    </a:lt1>
    <a:dk2>
      <a:srgbClr val="C3C2C2"/>
    </a:dk2>
    <a:lt2>
      <a:srgbClr val="FFFFFF"/>
    </a:lt2>
    <a:accent1>
      <a:srgbClr val="2EAAE1"/>
    </a:accent1>
    <a:accent2>
      <a:srgbClr val="131D2B"/>
    </a:accent2>
    <a:accent3>
      <a:srgbClr val="1AA380"/>
    </a:accent3>
    <a:accent4>
      <a:srgbClr val="E85477"/>
    </a:accent4>
    <a:accent5>
      <a:srgbClr val="F2CA6D"/>
    </a:accent5>
    <a:accent6>
      <a:srgbClr val="7D5708"/>
    </a:accent6>
    <a:hlink>
      <a:srgbClr val="65358E"/>
    </a:hlink>
    <a:folHlink>
      <a:srgbClr val="868585"/>
    </a:folHlink>
  </a:clrScheme>
  <a:fontScheme name="Berlí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í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word/theme/themeOverride3.xml><?xml version="1.0" encoding="utf-8"?>
<a:themeOverride xmlns:a="http://schemas.openxmlformats.org/drawingml/2006/main">
  <a:clrScheme name="Vlastné 2">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D5D72-A840-428B-9F7B-46A997C0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82228</Words>
  <Characters>468700</Characters>
  <Application>Microsoft Office Word</Application>
  <DocSecurity>0</DocSecurity>
  <Lines>3905</Lines>
  <Paragraphs>1099</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549829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Michlo Martin</dc:creator>
  <cp:keywords/>
  <dc:description/>
  <cp:lastModifiedBy>Tobias Jakub</cp:lastModifiedBy>
  <cp:revision>2</cp:revision>
  <cp:lastPrinted>2021-10-13T11:08:00Z</cp:lastPrinted>
  <dcterms:created xsi:type="dcterms:W3CDTF">2021-10-13T11:09:00Z</dcterms:created>
  <dcterms:modified xsi:type="dcterms:W3CDTF">2021-10-13T11:09:00Z</dcterms:modified>
</cp:coreProperties>
</file>