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5B" w:rsidRPr="009F4392" w:rsidRDefault="00185E5B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127FBB" w:rsidRPr="009F4392" w:rsidRDefault="00127FBB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127FBB" w:rsidRPr="009F4392" w:rsidRDefault="00127FBB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9F4392" w:rsidRPr="009F4392" w:rsidRDefault="009F4392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9F4392" w:rsidRPr="009F4392" w:rsidRDefault="009F4392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9F4392" w:rsidRPr="009F4392" w:rsidRDefault="009F4392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9F4392" w:rsidRPr="009F4392" w:rsidRDefault="009F4392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9F4392" w:rsidRPr="009F4392" w:rsidRDefault="009F4392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9F4392" w:rsidRPr="009F4392" w:rsidRDefault="009F4392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9F4392" w:rsidRPr="009F4392" w:rsidRDefault="009F4392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9F4392" w:rsidRPr="009F4392" w:rsidRDefault="009F4392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9F4392" w:rsidRPr="009F4392" w:rsidRDefault="009F4392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9F4392" w:rsidRPr="009F4392" w:rsidRDefault="009F4392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127FBB" w:rsidRPr="009F4392" w:rsidRDefault="00127FBB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127FBB" w:rsidRPr="009F4392" w:rsidRDefault="00127FBB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127FBB" w:rsidRPr="009F4392" w:rsidRDefault="00127FBB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185E5B" w:rsidRPr="009F4392" w:rsidRDefault="00014C0D" w:rsidP="00C3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>zo 6. októbra</w:t>
      </w:r>
      <w:r w:rsidR="00185E5B" w:rsidRPr="009F439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 xml:space="preserve"> 202</w:t>
      </w:r>
      <w:r w:rsidR="00EE116A" w:rsidRPr="009F439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>1</w:t>
      </w:r>
      <w:r w:rsidR="00185E5B" w:rsidRPr="009F439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>,</w:t>
      </w:r>
    </w:p>
    <w:p w:rsidR="00185E5B" w:rsidRPr="009F4392" w:rsidRDefault="00185E5B" w:rsidP="00C36E9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ktorým sa dopĺňa zákon </w:t>
      </w:r>
      <w:r w:rsidR="00EE116A" w:rsidRPr="009F43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č. 49/2002 Z. z. o ochrane pamiatkového fondu</w:t>
      </w:r>
      <w:r w:rsidRPr="009F43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 </w:t>
      </w:r>
      <w:r w:rsidR="00EE116A" w:rsidRPr="009F43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v znení neskorších predpisov </w:t>
      </w:r>
      <w:r w:rsidRPr="009F43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a o</w:t>
      </w:r>
      <w:r w:rsidR="00EE116A" w:rsidRPr="009F43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 doplnení </w:t>
      </w:r>
      <w:r w:rsidR="00B378C0" w:rsidRPr="009F43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zákona č. 326/2005 Z. z. o lesoch</w:t>
      </w:r>
      <w:r w:rsidRPr="009F43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 v znení neskorších predpisov</w:t>
      </w:r>
    </w:p>
    <w:p w:rsidR="00185E5B" w:rsidRPr="009F4392" w:rsidRDefault="00185E5B" w:rsidP="00C36E9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</w:t>
      </w:r>
      <w:r w:rsidRPr="009F439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rada Slovenskej republiky sa uzniesla na tomto zákone:</w:t>
      </w:r>
    </w:p>
    <w:p w:rsidR="003C6D3C" w:rsidRPr="009F4392" w:rsidRDefault="003C6D3C" w:rsidP="00C36E9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</w:p>
    <w:p w:rsidR="003C6D3C" w:rsidRPr="009F4392" w:rsidRDefault="003C6D3C" w:rsidP="003C6D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92">
        <w:rPr>
          <w:rFonts w:ascii="Times New Roman" w:eastAsia="Calibri" w:hAnsi="Times New Roman" w:cs="Times New Roman"/>
          <w:b/>
          <w:sz w:val="24"/>
          <w:szCs w:val="24"/>
        </w:rPr>
        <w:t>Čl. I</w:t>
      </w:r>
    </w:p>
    <w:p w:rsidR="003C6D3C" w:rsidRPr="009F4392" w:rsidRDefault="003C6D3C" w:rsidP="00014C0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392">
        <w:rPr>
          <w:rFonts w:ascii="Times New Roman" w:eastAsia="Calibri" w:hAnsi="Times New Roman" w:cs="Times New Roman"/>
          <w:sz w:val="24"/>
          <w:szCs w:val="24"/>
        </w:rPr>
        <w:t>Zákon č. 49/2002 Z. z. o ochrane pamiatkového fondu v znení zákona č. 479/2005 Z.</w:t>
      </w:r>
      <w:r w:rsidR="007174BD" w:rsidRPr="009F4392">
        <w:rPr>
          <w:rFonts w:ascii="Times New Roman" w:eastAsia="Calibri" w:hAnsi="Times New Roman" w:cs="Times New Roman"/>
          <w:sz w:val="24"/>
          <w:szCs w:val="24"/>
        </w:rPr>
        <w:t xml:space="preserve"> z., zákona </w:t>
      </w:r>
      <w:r w:rsidRPr="009F4392">
        <w:rPr>
          <w:rFonts w:ascii="Times New Roman" w:eastAsia="Calibri" w:hAnsi="Times New Roman" w:cs="Times New Roman"/>
          <w:sz w:val="24"/>
          <w:szCs w:val="24"/>
        </w:rPr>
        <w:t>č. 208/2009 Z. z., zákona č. 262/2011 Z. z., zákona č. 180/2013 Z. z., zákona č. 38/2014 Z. z., zákona  č. 104/2014 Z. z., zákona č. 282/2015 Z. z., zákona č. 376/2015 Z. z., zákona č. 125/2016 Z. z., zákona č. 160/2018 Z. z., zákona č. 177/2018 Z. z. a nálezu Ústavného súdu Slovenskej republiky č. 34/2019 Z. z. sa dopĺňa takto:</w:t>
      </w:r>
    </w:p>
    <w:p w:rsidR="003C6D3C" w:rsidRPr="009F4392" w:rsidRDefault="003C6D3C" w:rsidP="003C6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6D3C" w:rsidRPr="009F4392" w:rsidRDefault="003C6D3C" w:rsidP="003C6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392">
        <w:rPr>
          <w:rFonts w:ascii="Times New Roman" w:eastAsia="Calibri" w:hAnsi="Times New Roman" w:cs="Times New Roman"/>
          <w:sz w:val="24"/>
          <w:szCs w:val="24"/>
        </w:rPr>
        <w:t>V § 11 ods. 2 písm. d) sa na konci pripájajú tieto slová: „vydáva na žiadosť obce alebo vyššieho územného celku súhlas na prevod pozemkov</w:t>
      </w:r>
      <w:r w:rsidR="00C74415" w:rsidRPr="009F439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C74415" w:rsidRPr="009F4392">
        <w:rPr>
          <w:rFonts w:ascii="Times New Roman" w:eastAsia="Calibri" w:hAnsi="Times New Roman" w:cs="Times New Roman"/>
          <w:sz w:val="24"/>
          <w:szCs w:val="24"/>
        </w:rPr>
        <w:t>podľa osobitného predpisu,</w:t>
      </w:r>
      <w:r w:rsidR="00C74415" w:rsidRPr="009F4392">
        <w:rPr>
          <w:rFonts w:ascii="Times New Roman" w:eastAsia="Calibri" w:hAnsi="Times New Roman" w:cs="Times New Roman"/>
          <w:sz w:val="24"/>
          <w:szCs w:val="24"/>
          <w:vertAlign w:val="superscript"/>
        </w:rPr>
        <w:t>10ab</w:t>
      </w:r>
      <w:r w:rsidR="00C74415" w:rsidRPr="009F4392">
        <w:rPr>
          <w:rFonts w:ascii="Times New Roman" w:eastAsia="Calibri" w:hAnsi="Times New Roman" w:cs="Times New Roman"/>
          <w:sz w:val="24"/>
          <w:szCs w:val="24"/>
        </w:rPr>
        <w:t>)</w:t>
      </w:r>
      <w:r w:rsidRPr="009F4392">
        <w:rPr>
          <w:rFonts w:ascii="Times New Roman" w:eastAsia="Calibri" w:hAnsi="Times New Roman" w:cs="Times New Roman"/>
          <w:sz w:val="24"/>
          <w:szCs w:val="24"/>
        </w:rPr>
        <w:t xml:space="preserve">“. </w:t>
      </w:r>
    </w:p>
    <w:p w:rsidR="00014C0D" w:rsidRPr="009F4392" w:rsidRDefault="00014C0D" w:rsidP="003C6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6D3C" w:rsidRPr="009F4392" w:rsidRDefault="003C6D3C" w:rsidP="003C6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392">
        <w:rPr>
          <w:rFonts w:ascii="Times New Roman" w:eastAsia="Calibri" w:hAnsi="Times New Roman" w:cs="Times New Roman"/>
          <w:sz w:val="24"/>
          <w:szCs w:val="24"/>
        </w:rPr>
        <w:t xml:space="preserve">Poznámka pod čiarou k odkazu </w:t>
      </w:r>
      <w:r w:rsidR="00C74415" w:rsidRPr="009F4392">
        <w:rPr>
          <w:rFonts w:ascii="Times New Roman" w:eastAsia="Calibri" w:hAnsi="Times New Roman" w:cs="Times New Roman"/>
          <w:sz w:val="24"/>
          <w:szCs w:val="24"/>
        </w:rPr>
        <w:t>10ab</w:t>
      </w:r>
      <w:r w:rsidRPr="009F4392">
        <w:rPr>
          <w:rFonts w:ascii="Times New Roman" w:eastAsia="Calibri" w:hAnsi="Times New Roman" w:cs="Times New Roman"/>
          <w:sz w:val="24"/>
          <w:szCs w:val="24"/>
        </w:rPr>
        <w:t xml:space="preserve"> znie:</w:t>
      </w:r>
    </w:p>
    <w:p w:rsidR="003C6D3C" w:rsidRPr="009F4392" w:rsidRDefault="00C74415" w:rsidP="003C6D3C">
      <w:pPr>
        <w:widowControl w:val="0"/>
        <w:tabs>
          <w:tab w:val="left" w:pos="993"/>
        </w:tabs>
        <w:spacing w:after="6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9F4392">
        <w:rPr>
          <w:rFonts w:ascii="Times New Roman" w:eastAsia="Calibri" w:hAnsi="Times New Roman" w:cs="Times New Roman"/>
          <w:sz w:val="24"/>
          <w:szCs w:val="24"/>
        </w:rPr>
        <w:t>„</w:t>
      </w:r>
      <w:r w:rsidRPr="009F4392">
        <w:rPr>
          <w:rFonts w:ascii="Times New Roman" w:eastAsia="Calibri" w:hAnsi="Times New Roman" w:cs="Times New Roman"/>
          <w:sz w:val="24"/>
          <w:szCs w:val="24"/>
          <w:vertAlign w:val="superscript"/>
        </w:rPr>
        <w:t>10ab</w:t>
      </w:r>
      <w:r w:rsidRPr="009F4392">
        <w:rPr>
          <w:rFonts w:ascii="Times New Roman" w:eastAsia="Calibri" w:hAnsi="Times New Roman" w:cs="Times New Roman"/>
          <w:sz w:val="24"/>
          <w:szCs w:val="24"/>
        </w:rPr>
        <w:t>) § 50c ods. 4 posledná veta zákona č. 326/2005 Z. z. o lesoch v znení zákona č. .../2021 Z. z.“.</w:t>
      </w:r>
      <w:r w:rsidRPr="009F4392" w:rsidDel="00C7441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4C0D" w:rsidRPr="009F4392" w:rsidRDefault="00014C0D" w:rsidP="003C6D3C">
      <w:pPr>
        <w:widowControl w:val="0"/>
        <w:tabs>
          <w:tab w:val="left" w:pos="993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6D3C" w:rsidRPr="009F4392" w:rsidRDefault="003C6D3C" w:rsidP="003C6D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92">
        <w:rPr>
          <w:rFonts w:ascii="Times New Roman" w:eastAsia="Calibri" w:hAnsi="Times New Roman" w:cs="Times New Roman"/>
          <w:b/>
          <w:sz w:val="24"/>
          <w:szCs w:val="24"/>
        </w:rPr>
        <w:t>Čl. II</w:t>
      </w:r>
    </w:p>
    <w:p w:rsidR="003C6D3C" w:rsidRPr="009F4392" w:rsidRDefault="003C6D3C" w:rsidP="00014C0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392">
        <w:rPr>
          <w:rFonts w:ascii="Times New Roman" w:eastAsia="Calibri" w:hAnsi="Times New Roman" w:cs="Times New Roman"/>
          <w:sz w:val="24"/>
          <w:szCs w:val="24"/>
        </w:rPr>
        <w:t>Zákon č. 326/2005 Z. z. o lesoch v znení zákona č. 275/2007 Z. z., zákona č. 359/2007 Z. z., zákona  č. 360/2007 Z. z., zákona č. 540/2008 Z. z., zákona č. 499/2009 Z. z., zákona č. 117/2010 Z. z., zákona č. 96/2012 Z. z., zákona č. 345/2012 Z. z., zákona č. 115/2013 Z. z., zákona</w:t>
      </w:r>
      <w:r w:rsidR="009F4392">
        <w:rPr>
          <w:rFonts w:ascii="Times New Roman" w:eastAsia="Calibri" w:hAnsi="Times New Roman" w:cs="Times New Roman"/>
          <w:sz w:val="24"/>
          <w:szCs w:val="24"/>
        </w:rPr>
        <w:t xml:space="preserve"> č. 180/2013 Z. z., zákona </w:t>
      </w:r>
      <w:r w:rsidRPr="009F4392">
        <w:rPr>
          <w:rFonts w:ascii="Times New Roman" w:eastAsia="Calibri" w:hAnsi="Times New Roman" w:cs="Times New Roman"/>
          <w:sz w:val="24"/>
          <w:szCs w:val="24"/>
        </w:rPr>
        <w:t>č. 182/2014 Z. z., zákona č. 125/2016 Z. z., zákona č. 153/2017 Z. z., zákona č. 110/2018 Z. z., zákona č. 177/2018 Z. z., zákona č. 177/2018 Z. z., zákona č. 158/2019 Z. z., zákona č. 158/2019 Z. z.</w:t>
      </w:r>
      <w:r w:rsidR="00C74415" w:rsidRPr="009F43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F4392">
        <w:rPr>
          <w:rFonts w:ascii="Times New Roman" w:eastAsia="Calibri" w:hAnsi="Times New Roman" w:cs="Times New Roman"/>
          <w:sz w:val="24"/>
          <w:szCs w:val="24"/>
        </w:rPr>
        <w:t>zákona č. 355/2019 Z. z.</w:t>
      </w:r>
      <w:r w:rsidR="009167E1" w:rsidRPr="009F4392">
        <w:rPr>
          <w:rFonts w:ascii="Times New Roman" w:eastAsia="Calibri" w:hAnsi="Times New Roman" w:cs="Times New Roman"/>
          <w:sz w:val="24"/>
          <w:szCs w:val="24"/>
        </w:rPr>
        <w:t>, zákona č</w:t>
      </w:r>
      <w:r w:rsidR="00C74415" w:rsidRPr="009F4392">
        <w:rPr>
          <w:rFonts w:ascii="Times New Roman" w:eastAsia="Calibri" w:hAnsi="Times New Roman" w:cs="Times New Roman"/>
          <w:sz w:val="24"/>
          <w:szCs w:val="24"/>
        </w:rPr>
        <w:t>. 120/2021 Z. z. a zákona č. 310/2021 Z. z.</w:t>
      </w:r>
      <w:r w:rsidRPr="009F4392">
        <w:rPr>
          <w:rFonts w:ascii="Times New Roman" w:eastAsia="Calibri" w:hAnsi="Times New Roman" w:cs="Times New Roman"/>
          <w:sz w:val="24"/>
          <w:szCs w:val="24"/>
        </w:rPr>
        <w:t xml:space="preserve"> sa dopĺňa takto: </w:t>
      </w:r>
    </w:p>
    <w:p w:rsidR="003C6D3C" w:rsidRPr="009F4392" w:rsidRDefault="003C6D3C" w:rsidP="003C6D3C">
      <w:pPr>
        <w:widowControl w:val="0"/>
        <w:tabs>
          <w:tab w:val="left" w:pos="99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1. Za § 50b sa vkladá § 50c, ktorý znie:</w:t>
      </w:r>
    </w:p>
    <w:p w:rsidR="003C6D3C" w:rsidRPr="009F4392" w:rsidRDefault="003C6D3C" w:rsidP="003C6D3C">
      <w:pPr>
        <w:widowControl w:val="0"/>
        <w:spacing w:after="6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50c</w:t>
      </w:r>
    </w:p>
    <w:p w:rsidR="003C6D3C" w:rsidRPr="009F4392" w:rsidRDefault="00247E28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(1)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Lesný pozemok vo vlastníctve štátu (§ 50) alebo pozemok tvoriaci ostatný majetok vo vlastníctve štátu (§ 50a), na ktorom sa nachádza národná kultúrna pamiatka,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74g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 môže správca na verejnoprospešný účel, ktorým je obnova národnej kultúrnej pamiatky,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74h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 na základe záväzného stanoviska orgánu štátnej správy na ochranu pamiatkového fondu podľa osobitného predpisu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74i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 previesť do vlastníctva obce alebo vyššieho územného celku. Ustanovenia osobitného predpisu</w:t>
      </w:r>
      <w:r w:rsidR="00C74415" w:rsidRPr="009F43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74j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tým nie sú dotknuté. </w:t>
      </w:r>
    </w:p>
    <w:p w:rsidR="003C6D3C" w:rsidRPr="009F4392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6D3C" w:rsidRPr="009F4392" w:rsidRDefault="00247E28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(2)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Ak dosiahnutie verejnoprospešného účelu podľa odseku 1 zabezpečuje obec, vyšší  územný celok, občianske združenie alebo nezisková organizácia</w:t>
      </w:r>
      <w:r w:rsidR="00B85A8B" w:rsidRPr="009F439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B85A8B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poskytujúca všeobecne prospešné služby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správca môže s týmito osobami uzavrieť </w:t>
      </w:r>
      <w:r w:rsidR="00B85A8B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záväzného stanoviska orgánu štátnej správy na ochranu pamiatkového fondu</w:t>
      </w:r>
      <w:r w:rsidR="00B85A8B" w:rsidRPr="009F43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74i</w:t>
      </w:r>
      <w:r w:rsidR="00B85A8B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zmluvu, z ktorej vyplýva právo užívať pozemok pod národnou kultúrnou pamiatkou na účel podľa odseku 1.</w:t>
      </w:r>
    </w:p>
    <w:p w:rsidR="003C6D3C" w:rsidRPr="009F4392" w:rsidRDefault="00B85A8B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C6D3C" w:rsidRPr="009F4392" w:rsidRDefault="00247E28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(3)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Ak sa národná kultúrna pamiatka podľa odseku 1 nachádza na lesnom pozemku, zmluvu podľa odseku 1 alebo odseku 2 možno uzavrieť až po zápise rozhodnutia orgánu štátnej správy lesného hospodárstva o zmene druhu pozemku podľa § 3 ods. 2 alebo § 5 a 7 do katastra nehnuteľností. </w:t>
      </w:r>
    </w:p>
    <w:p w:rsidR="003C6D3C" w:rsidRPr="009F4392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6D3C" w:rsidRPr="009F4392" w:rsidRDefault="00247E28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(4)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Lesný pozemok po zmene druhu pozemku podľa odseku 3 alebo pozemok tvoriaci  ostatný majetok vo vlastníctve štátu, na ktorom je národná kultúrna pamiatka podľa odseku 1, môže správca bezodplatne previesť na účel podľa odseku 1 zmluvou o prevode vlastníctva do vlastníctva obce alebo vyššieho územného celku, alebo ich môže zmluvou, z ktorej vyplýva právo užívať taký pozemok na účel podľa odseku 1 prenechať do bezodplatného užívania osobe podľa odseku 2. Zmluva s osobou podľa odseku 2 sa uzatvára na dobu neurčitú k rozsahu územia vyplývajúceho zo záväzného stanoviska orgánu štátnej správy na ochranu pamiatkového fondu. Zmluva o prevode vlastníctva musí okrem všeobecných náležitostí obsahovať definovanie verejnoprospešného účelu využitia prevádzaného pozemku podľa odseku 1 a povinnosť dodržania tohto účelu, inak je zmluva neplatná. Nadobúdateľ vlastníckeho práva nemôže previesť vlastníctvo k pozemkom podľa prvej vety na inú osobu</w:t>
      </w:r>
      <w:r w:rsidR="009167E1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; to neplatí, ak sa pozemky podľa prvej vety</w:t>
      </w:r>
      <w:r w:rsidR="005C13A4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majú bezodplatne previesť do vlastníctva štátu, do správy správcu, od ktorého sa nadobudli, alebo jeho právneho nástupcu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C6D3C" w:rsidRPr="009F4392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6D3C" w:rsidRPr="009F4392" w:rsidRDefault="00247E28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(5)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Záväzné stanovisko orgánu štátnej správy na ochranu pamiatkového fondu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74i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 obsahuje</w:t>
      </w:r>
    </w:p>
    <w:p w:rsidR="003C6D3C" w:rsidRPr="009F4392" w:rsidRDefault="003C6D3C" w:rsidP="00247E28">
      <w:pPr>
        <w:pStyle w:val="Odsekzoznamu"/>
        <w:widowControl w:val="0"/>
        <w:numPr>
          <w:ilvl w:val="0"/>
          <w:numId w:val="6"/>
        </w:numPr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vymedzenie územia národnej kultúrnej pamiatky určenej na obnovu po prerokovaní so správcom lesného majetku štátu alebo ostatného majetku štátu,</w:t>
      </w:r>
    </w:p>
    <w:p w:rsidR="003C6D3C" w:rsidRPr="009F4392" w:rsidRDefault="003C6D3C" w:rsidP="00247E28">
      <w:pPr>
        <w:pStyle w:val="Odsekzoznamu"/>
        <w:widowControl w:val="0"/>
        <w:numPr>
          <w:ilvl w:val="0"/>
          <w:numId w:val="6"/>
        </w:numPr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podmienky realizácie obnovy národnej kultúrnej pamiatky vrátane určenia potreby, rozsahu a postupnosti výrubu stromov v rámci jej územia,</w:t>
      </w:r>
    </w:p>
    <w:p w:rsidR="003C6D3C" w:rsidRPr="009F4392" w:rsidRDefault="003C6D3C" w:rsidP="00247E28">
      <w:pPr>
        <w:pStyle w:val="Odsekzoznamu"/>
        <w:widowControl w:val="0"/>
        <w:numPr>
          <w:ilvl w:val="0"/>
          <w:numId w:val="6"/>
        </w:numPr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požiadavky na prieskum územia okolia národnej kultúrnej pamiatky, ak je potrebné </w:t>
      </w:r>
      <w:r w:rsidR="00B85A8B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prieskum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vykonať,</w:t>
      </w:r>
    </w:p>
    <w:p w:rsidR="003C6D3C" w:rsidRPr="009F4392" w:rsidRDefault="003C6D3C" w:rsidP="00247E28">
      <w:pPr>
        <w:pStyle w:val="Odsekzoznamu"/>
        <w:widowControl w:val="0"/>
        <w:numPr>
          <w:ilvl w:val="0"/>
          <w:numId w:val="6"/>
        </w:numPr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spôsob a rozsah výkonu kontroly podľa odseku 7 písm. b).</w:t>
      </w:r>
    </w:p>
    <w:p w:rsidR="003C6D3C" w:rsidRPr="009F4392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6D3C" w:rsidRPr="009F4392" w:rsidRDefault="00247E28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(6)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Zmluvy podľa odseku 4 možno uzatvoriť, ak osoba</w:t>
      </w:r>
      <w:r w:rsidR="00B85A8B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 ktorou sa má zmluva uzatvoriť, 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predloží správcovi</w:t>
      </w:r>
    </w:p>
    <w:p w:rsidR="003C6D3C" w:rsidRPr="009F4392" w:rsidRDefault="003C6D3C" w:rsidP="00247E28">
      <w:pPr>
        <w:pStyle w:val="Odsekzoznamu"/>
        <w:widowControl w:val="0"/>
        <w:numPr>
          <w:ilvl w:val="0"/>
          <w:numId w:val="8"/>
        </w:numPr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záväzné stanovisko orgánu štátnej správy na ochranu pamiatkového fondu podľa odseku 5,</w:t>
      </w:r>
    </w:p>
    <w:p w:rsidR="003C6D3C" w:rsidRPr="009F4392" w:rsidRDefault="003C6D3C" w:rsidP="00247E28">
      <w:pPr>
        <w:pStyle w:val="Odsekzoznamu"/>
        <w:widowControl w:val="0"/>
        <w:numPr>
          <w:ilvl w:val="0"/>
          <w:numId w:val="8"/>
        </w:numPr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dohody o podmienkach a spôsobe využitia prístupových komunikácií k národnej kultúrnej pamiatke, využitia ďalších nevyhnutných pozemkov v správe správcu, a ak je to nevyhnutné, aj o podmienkach využitia iných lesných pozemkov alebo ostatného majetku vo vlastníctve štátu na zriadenie zázemia, vrátane návrhu o podmienkach a spôsobe náhrady za ich využitie na účel podľa odseku 1; zázemím sa rozumie nevyhnutný priestor vymedzený mimo rozsah územia národnej kultúrnej pamiatky, ktorý slúži najmä na uskladnenie stavebného materiálu a ochranných pomôcok, vybudovanie prístrešku a sociálnych zariadení a ich ochranu na plnenie účelu podľa odseku 1, ktorý sa zriaďuje, ak jeho účel nemožno uskutočniť v rámci rozsahu územia národnej kultúrnej pamiatky,</w:t>
      </w:r>
    </w:p>
    <w:p w:rsidR="003C6D3C" w:rsidRPr="009F4392" w:rsidRDefault="003C6D3C" w:rsidP="00247E28">
      <w:pPr>
        <w:pStyle w:val="Odsekzoznamu"/>
        <w:widowControl w:val="0"/>
        <w:numPr>
          <w:ilvl w:val="0"/>
          <w:numId w:val="8"/>
        </w:numPr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zoznam pozemkov, na ktorých sa nachádza národná kultúrna pamiatka alebo objekt podľa odseku 10, alebo geometrický plán s geodetickým zameraním národnej kultúrnej pamiatky alebo objektu podľa odseku 10 </w:t>
      </w:r>
      <w:r w:rsidR="00ED38A0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a ak je to potrebné</w:t>
      </w:r>
      <w:r w:rsidR="005C13A4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D38A0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 geometrický plán so zameraním zázemia, </w:t>
      </w:r>
    </w:p>
    <w:p w:rsidR="003C6D3C" w:rsidRPr="009F4392" w:rsidRDefault="003C6D3C" w:rsidP="00247E28">
      <w:pPr>
        <w:pStyle w:val="Odsekzoznamu"/>
        <w:widowControl w:val="0"/>
        <w:numPr>
          <w:ilvl w:val="0"/>
          <w:numId w:val="8"/>
        </w:numPr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stanovisko príslušného orgánu štátnej správy podľa osobitných predpisov</w:t>
      </w:r>
      <w:r w:rsidR="00ED38A0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9F43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1b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 ak sa na účel podľa odseku 1 alebo na zriadenie zázemia na účel podľa odseku 1 takéto stanovisko  vyžaduje.</w:t>
      </w:r>
    </w:p>
    <w:p w:rsidR="003C6D3C" w:rsidRPr="009F4392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6D3C" w:rsidRPr="009F4392" w:rsidRDefault="00247E28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(7)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Zmluva o užívaní pozemku podľa odseku 4 musí okrem všeobecných náležitostí  obsahovať dojednanie</w:t>
      </w:r>
    </w:p>
    <w:p w:rsidR="003C6D3C" w:rsidRPr="009F4392" w:rsidRDefault="003C6D3C" w:rsidP="00247E2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o práve správcu odstúpiť od zmluvy, ak osoba podľa odseku 2 prestane plniť účel podľa odseku 1, alebo opakovane poruší ustanovenia zmluvy podľa odseku 4,</w:t>
      </w:r>
    </w:p>
    <w:p w:rsidR="003C6D3C" w:rsidRPr="009F4392" w:rsidRDefault="003C6D3C" w:rsidP="00247E2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o práve správcu vykonávať kontrolu zabezpečovania účelu podľa odseku 1 a povinnosti osoby podľa odseku 2 strpieť vykonanie tejto kontroly; kontrola sa vykoná v súčinnosti s orgánom štátnej správy na ochranu pamiatkového fondu,</w:t>
      </w:r>
    </w:p>
    <w:p w:rsidR="003C6D3C" w:rsidRPr="009F4392" w:rsidRDefault="003C6D3C" w:rsidP="00247E2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o zániku platnosti zmluvy, ak občianske združenie alebo nezisková organizácia</w:t>
      </w:r>
      <w:r w:rsidR="00ED38A0" w:rsidRPr="009F439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D38A0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poskytujúca všeobecne prospešné služby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odseku 2 zanikne bez právneho nástupcu alebo ak jej právny nástupca nebude mať v predmete činnosti zabezpečovanie účelu podľa odseku 1 alebo ho nebude vykonávať;</w:t>
      </w:r>
      <w:r w:rsidRPr="009F43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nástupnícke občianske združenie alebo nástupnícka nezisková organizácia</w:t>
      </w:r>
      <w:r w:rsidR="00ED38A0" w:rsidRPr="009F439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D38A0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poskytujúca všeobecne prospešné služby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oznámi plnenie účelu podľa odseku 1 správcovi na účely kontroly podľa písmena b), </w:t>
      </w:r>
    </w:p>
    <w:p w:rsidR="003C6D3C" w:rsidRPr="009F4392" w:rsidRDefault="00ED38A0" w:rsidP="00247E2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o vylúčení povinnosti správcu uhradiť náklady na zabezpečovanie účelu podľa odseku 1 vynaložené počas trvania zmluvy a prechodu záväzkov vzniknutých v súvislosti so zabezpečovaním účelu podľa odseku 1 na správcu v prípade zániku zmluvy podľa odseku 4,</w:t>
      </w:r>
    </w:p>
    <w:p w:rsidR="003C6D3C" w:rsidRPr="009F4392" w:rsidRDefault="003C6D3C" w:rsidP="00247E2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o podmienkach vyplývajúcich z dohody podľa odseku 6 písm. b) a zo stanoviska podľa odseku 6 písm. d),</w:t>
      </w:r>
    </w:p>
    <w:p w:rsidR="003C6D3C" w:rsidRPr="009F4392" w:rsidRDefault="003C6D3C" w:rsidP="00247E2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o záväzku osoby podľa odseku 2 uhrádzať počas platnosti zmluvy podľa odseku 2 daň z nehnuteľností, ak sa na účel podľa odseku 1 podľa osobitných predpisov</w:t>
      </w:r>
      <w:r w:rsidR="00C74415" w:rsidRPr="009F43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74k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 vyrubuje,</w:t>
      </w:r>
    </w:p>
    <w:p w:rsidR="003C6D3C" w:rsidRPr="009F4392" w:rsidRDefault="003C6D3C" w:rsidP="00247E28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podmienkach využívania plochy národnej kultúrnej pamiatky a jej okolia a podmienkach využívania zázemia, vrátane podmienok nájomnej zmluvy alebo inej zmluvy podľa odseku 8. </w:t>
      </w:r>
    </w:p>
    <w:p w:rsidR="003C6D3C" w:rsidRPr="009F4392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6D3C" w:rsidRPr="009F4392" w:rsidRDefault="00247E28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(8)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Na využívanie prístupových komunikácií k národnej kultúrnej pamiatke, využívanie ďalších nevyhnutných pozemkov alebo zriadenie zázemia na účel podľa odseku 1 správca zároveň so zmluvou podľa odseku 4 uzatvorí s  osobou podľa odseku 2 nájomnú zmluvu alebo inú zmluvu, z ktorej vyplýva oprávnenie a podmienky využívania pozemkov mimo </w:t>
      </w:r>
      <w:r w:rsidR="00ED38A0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územia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národnej kultúrnej pamiatky. Na využívanie lesných pozemkov na účel podľa prvej vety sa vzťahuje § 5 ods. 1. Nájomná zmluva alebo iná zmluva podľa prvej vety zaniká dňom zániku zmluvy podľa odseku 4. Ak predmetom nájomnej zmluvy je lesný pozemok vo vlastníctve štátu, predchádzajúci súhlas ministerstva s nájmom tohto pozemku alebo jeho časti  sa nevyžaduje. </w:t>
      </w:r>
    </w:p>
    <w:p w:rsidR="003C6D3C" w:rsidRPr="009F4392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6D3C" w:rsidRPr="009F4392" w:rsidRDefault="009F4392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47E28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(9) 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Ustanovenia osobitného predpisu o správe majetku štátu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 sa na postup podľa odsekov 1 až 8 nevzťahujú. Na zmluvu o prevode vlastníctva podľa odseku 1 a podľa § 50b ods. 1 a 2 sa nevzťahuje všeobecný predpis o podmienkach prevodu majetku štátu.</w:t>
      </w:r>
      <w:r w:rsidR="00C74415" w:rsidRPr="009F43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74l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  Na zmluvy podľa odseku 4 a podľa § 50b ods. 3 a na predaj podľa § 50a ods. 4 a prevod podľa § 50b ods. 1 a 2 sa vyžaduje predchádzajúci súhlas ministerstva. Po vykonaní prevodu vlastníctva podľa odseku 1 a podľa § 50b ods. 1 a 2 správca usporiada zostatkovú hodnotu predmetu prevodu podľa osobitných predpisov.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70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Zápisom zmluvy o užívaní pozemku podľa odseku 4 alebo podľa § 50b ods. 4 do </w:t>
      </w:r>
      <w:r w:rsidR="00ED38A0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Centrálneho registra zmlúv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osobitného predpisu</w:t>
      </w:r>
      <w:r w:rsidR="00B85A8B" w:rsidRPr="009F43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74m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 vzniká osobe podľa odseku 2 alebo osobe podľa § 50b ods. 3 právo užívať takýto pozemok.</w:t>
      </w:r>
    </w:p>
    <w:p w:rsidR="003C6D3C" w:rsidRPr="009F4392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6D3C" w:rsidRPr="009F4392" w:rsidRDefault="00247E28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(10)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Odseky 1 až 9 sa primerane vzťahujú na stavbu hradu alebo </w:t>
      </w:r>
      <w:proofErr w:type="spellStart"/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torzálnu</w:t>
      </w:r>
      <w:proofErr w:type="spellEnd"/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architektúru,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ktorá nie je vyhlásená za národnú kultúrnu pamiatku</w:t>
      </w:r>
      <w:r w:rsidR="00CC0983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Torzálnou</w:t>
      </w:r>
      <w:proofErr w:type="spellEnd"/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architektúrou </w:t>
      </w:r>
      <w:r w:rsidR="008F618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sa na účely tohto zákona rozumie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pozostatok stavby </w:t>
      </w:r>
      <w:proofErr w:type="spellStart"/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torzálneho</w:t>
      </w:r>
      <w:proofErr w:type="spellEnd"/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proofErr w:type="spellStart"/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ruinného</w:t>
      </w:r>
      <w:proofErr w:type="spellEnd"/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charakteru, presahujúci nad zemský povrch a ktorý je pevne spojený so zemou.</w:t>
      </w:r>
    </w:p>
    <w:p w:rsidR="003C6D3C" w:rsidRPr="009F4392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6D3C" w:rsidRPr="009F4392" w:rsidRDefault="00247E28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(11)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Odseky 1 až 10 sa nevzťahujú  na lesné pozemky vo vlastníctve štátu vo vojenských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obvodoch a na územiach slúžiacich na zabezpečenie úloh obrany štátu podľa osobitných predpisov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23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 a na pozemky tvoriace ostatný majetok štátu vo vojenských obvodoch a na územiach slúžiacich na zabezpečenie úloh obrany štátu podľa osobitných predpisov</w:t>
      </w:r>
      <w:r w:rsidR="00ED38A0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23</w:t>
      </w:r>
      <w:r w:rsidR="003C6D3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:rsidR="003C6D3C" w:rsidRPr="009F4392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6D3C" w:rsidRPr="009F4392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 odkazom 74g až 74</w:t>
      </w:r>
      <w:r w:rsidR="008F618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znejú:</w:t>
      </w:r>
    </w:p>
    <w:p w:rsidR="003C6D3C" w:rsidRPr="009F4392" w:rsidRDefault="003C6D3C" w:rsidP="00247E28">
      <w:pPr>
        <w:widowControl w:val="0"/>
        <w:tabs>
          <w:tab w:val="left" w:pos="993"/>
        </w:tabs>
        <w:spacing w:after="6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D429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74g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 § 2 ods. 3 zákona č. 49/2002 Z. z. o ochrane pamiatkového fondu v znení zákona                        č. 104/2014 Z. z.</w:t>
      </w:r>
    </w:p>
    <w:p w:rsidR="003C6D3C" w:rsidRPr="009F4392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29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74h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 § 32 ods. 1 zákona č. 49/2002 Z. z. v znení neskorších predpisov.</w:t>
      </w:r>
    </w:p>
    <w:p w:rsidR="003C6D3C" w:rsidRPr="009F4392" w:rsidRDefault="003C6D3C" w:rsidP="003C6D3C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29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74i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 § 11 ods. 2 písm. d) zákona č. 49/2002 Z. z. v znení neskorších predpisov.</w:t>
      </w:r>
    </w:p>
    <w:p w:rsidR="00B85A8B" w:rsidRPr="009F4392" w:rsidRDefault="00B85A8B" w:rsidP="00B85A8B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74j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Zákon č. 281/1997 Z. z. v znení neskorších predpisov. </w:t>
      </w:r>
    </w:p>
    <w:p w:rsidR="00B85A8B" w:rsidRPr="009F4392" w:rsidRDefault="00B85A8B" w:rsidP="00247E28">
      <w:pPr>
        <w:widowControl w:val="0"/>
        <w:tabs>
          <w:tab w:val="left" w:pos="993"/>
        </w:tabs>
        <w:spacing w:after="6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Zákon č. 319/2002 Z. z. v znení neskorších predpisov. </w:t>
      </w:r>
    </w:p>
    <w:p w:rsidR="00B85A8B" w:rsidRPr="009F4392" w:rsidRDefault="00B85A8B" w:rsidP="00B85A8B">
      <w:pPr>
        <w:widowControl w:val="0"/>
        <w:tabs>
          <w:tab w:val="left" w:pos="993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§ 62 zákona č. 543/2002 Z. z. o ochrane prírody a krajiny v znení neskorších predpisov.</w:t>
      </w:r>
    </w:p>
    <w:p w:rsidR="003C6D3C" w:rsidRPr="009F4392" w:rsidRDefault="003C6D3C" w:rsidP="00247E28">
      <w:pPr>
        <w:widowControl w:val="0"/>
        <w:tabs>
          <w:tab w:val="left" w:pos="993"/>
        </w:tabs>
        <w:spacing w:after="6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29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</w:t>
      </w:r>
      <w:r w:rsidR="00C74415" w:rsidRPr="00D429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k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 Druhá časť zákona č. 582/2004 Z. z. o miestnych daniach a miestnom poplatku za komunálne odpady a drobné stavebné odpady v znení neskorších predpisov.</w:t>
      </w:r>
    </w:p>
    <w:p w:rsidR="003C6D3C" w:rsidRPr="009F4392" w:rsidRDefault="003C6D3C" w:rsidP="00247E28">
      <w:pPr>
        <w:widowControl w:val="0"/>
        <w:tabs>
          <w:tab w:val="left" w:pos="993"/>
        </w:tabs>
        <w:spacing w:after="6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29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</w:t>
      </w:r>
      <w:r w:rsidR="00B85A8B" w:rsidRPr="00D429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l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Zákon č. 92/1991 </w:t>
      </w:r>
      <w:r w:rsidR="008F618C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Zb.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podmienkach prevodu majetku štátu na iné osoby v znení neskorších predpisov.</w:t>
      </w:r>
    </w:p>
    <w:p w:rsidR="003C6D3C" w:rsidRPr="009F4392" w:rsidRDefault="003C6D3C" w:rsidP="00247E28">
      <w:pPr>
        <w:widowControl w:val="0"/>
        <w:tabs>
          <w:tab w:val="left" w:pos="993"/>
        </w:tabs>
        <w:spacing w:after="6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29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74</w:t>
      </w:r>
      <w:r w:rsidR="00B85A8B" w:rsidRPr="00D429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m</w:t>
      </w:r>
      <w:r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) § 5a ods. 8 zákona č. 211/2000 Z. z. o slobodnom prístupe k informáciám a o zmene a doplnení niektorých zákonov (zákon o slobode informácií) v znení zákona č. 382/2011 Z. z.</w:t>
      </w:r>
      <w:r w:rsidR="00B85A8B" w:rsidRPr="009F439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3C6D3C" w:rsidRPr="009F4392" w:rsidRDefault="003C6D3C" w:rsidP="003C6D3C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6D3C" w:rsidRPr="009F4392" w:rsidRDefault="003C6D3C" w:rsidP="003C6D3C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392">
        <w:rPr>
          <w:rFonts w:ascii="Times New Roman" w:eastAsia="Calibri" w:hAnsi="Times New Roman" w:cs="Times New Roman"/>
          <w:sz w:val="24"/>
          <w:szCs w:val="24"/>
        </w:rPr>
        <w:t>2.  V § 58 ods. 2 písm. d) sa za slová „(§ 50 ods. 8)“ vkladajú slová „a predchádzajúci súhlas podľa § 50c ods. 9“.</w:t>
      </w:r>
    </w:p>
    <w:p w:rsidR="00185E5B" w:rsidRPr="009F4392" w:rsidRDefault="00EE116A" w:rsidP="00C36E9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9F43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Čl. </w:t>
      </w:r>
      <w:r w:rsidR="00970181" w:rsidRPr="009F43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III</w:t>
      </w:r>
    </w:p>
    <w:p w:rsidR="00185E5B" w:rsidRPr="006379EB" w:rsidRDefault="00185E5B" w:rsidP="00C36E98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79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</w:t>
      </w:r>
      <w:bookmarkStart w:id="0" w:name="_GoBack"/>
      <w:bookmarkEnd w:id="0"/>
      <w:r w:rsidR="002452C6" w:rsidRPr="006379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133948" w:rsidRPr="006379EB"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="003C6D3C" w:rsidRPr="006379EB">
        <w:rPr>
          <w:rFonts w:ascii="Times New Roman" w:eastAsia="Times New Roman" w:hAnsi="Times New Roman" w:cs="Times New Roman"/>
          <w:sz w:val="24"/>
          <w:szCs w:val="24"/>
          <w:lang w:eastAsia="sk-SK"/>
        </w:rPr>
        <w:t>anuára</w:t>
      </w:r>
      <w:r w:rsidR="002452C6" w:rsidRPr="006379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379EB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3C6D3C" w:rsidRPr="006379EB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6379E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F4392" w:rsidRPr="009F4392" w:rsidRDefault="009F4392" w:rsidP="009F439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4392" w:rsidRDefault="009F4392" w:rsidP="009F439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4392" w:rsidRDefault="009F4392" w:rsidP="009F439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4392">
        <w:rPr>
          <w:rFonts w:ascii="Times New Roman" w:eastAsia="Calibri" w:hAnsi="Times New Roman" w:cs="Times New Roman"/>
          <w:sz w:val="24"/>
          <w:szCs w:val="24"/>
        </w:rPr>
        <w:tab/>
      </w:r>
      <w:r w:rsidRPr="009F4392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4392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392" w:rsidRPr="009F4392" w:rsidRDefault="009F4392" w:rsidP="009F439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4392">
        <w:rPr>
          <w:rFonts w:ascii="Times New Roman" w:eastAsia="Times New Roman" w:hAnsi="Times New Roman" w:cs="Times New Roman"/>
          <w:sz w:val="24"/>
          <w:szCs w:val="24"/>
        </w:rPr>
        <w:t xml:space="preserve">    predseda vlády Slovenskej republiky</w:t>
      </w:r>
    </w:p>
    <w:sectPr w:rsidR="009F4392" w:rsidRPr="009F43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232" w:rsidRDefault="004D2232" w:rsidP="00275593">
      <w:pPr>
        <w:spacing w:after="0" w:line="240" w:lineRule="auto"/>
      </w:pPr>
      <w:r>
        <w:separator/>
      </w:r>
    </w:p>
  </w:endnote>
  <w:endnote w:type="continuationSeparator" w:id="0">
    <w:p w:rsidR="004D2232" w:rsidRDefault="004D2232" w:rsidP="0027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832492499"/>
      <w:docPartObj>
        <w:docPartGallery w:val="Page Numbers (Bottom of Page)"/>
        <w:docPartUnique/>
      </w:docPartObj>
    </w:sdtPr>
    <w:sdtEndPr/>
    <w:sdtContent>
      <w:p w:rsidR="00275593" w:rsidRPr="00275593" w:rsidRDefault="00275593" w:rsidP="00275593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275593">
          <w:rPr>
            <w:rFonts w:ascii="Times New Roman" w:hAnsi="Times New Roman" w:cs="Times New Roman"/>
            <w:sz w:val="24"/>
          </w:rPr>
          <w:fldChar w:fldCharType="begin"/>
        </w:r>
        <w:r w:rsidRPr="00275593">
          <w:rPr>
            <w:rFonts w:ascii="Times New Roman" w:hAnsi="Times New Roman" w:cs="Times New Roman"/>
            <w:sz w:val="24"/>
          </w:rPr>
          <w:instrText>PAGE   \* MERGEFORMAT</w:instrText>
        </w:r>
        <w:r w:rsidRPr="00275593">
          <w:rPr>
            <w:rFonts w:ascii="Times New Roman" w:hAnsi="Times New Roman" w:cs="Times New Roman"/>
            <w:sz w:val="24"/>
          </w:rPr>
          <w:fldChar w:fldCharType="separate"/>
        </w:r>
        <w:r w:rsidR="006379EB">
          <w:rPr>
            <w:rFonts w:ascii="Times New Roman" w:hAnsi="Times New Roman" w:cs="Times New Roman"/>
            <w:noProof/>
            <w:sz w:val="24"/>
          </w:rPr>
          <w:t>4</w:t>
        </w:r>
        <w:r w:rsidRPr="00275593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232" w:rsidRDefault="004D2232" w:rsidP="00275593">
      <w:pPr>
        <w:spacing w:after="0" w:line="240" w:lineRule="auto"/>
      </w:pPr>
      <w:r>
        <w:separator/>
      </w:r>
    </w:p>
  </w:footnote>
  <w:footnote w:type="continuationSeparator" w:id="0">
    <w:p w:rsidR="004D2232" w:rsidRDefault="004D2232" w:rsidP="00275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AC8"/>
    <w:multiLevelType w:val="hybridMultilevel"/>
    <w:tmpl w:val="0974E29E"/>
    <w:lvl w:ilvl="0" w:tplc="D7A8F34A">
      <w:start w:val="1"/>
      <w:numFmt w:val="lowerLetter"/>
      <w:lvlText w:val="%1)"/>
      <w:lvlJc w:val="left"/>
      <w:pPr>
        <w:ind w:left="1350" w:hanging="9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2281"/>
    <w:multiLevelType w:val="hybridMultilevel"/>
    <w:tmpl w:val="1348ED62"/>
    <w:lvl w:ilvl="0" w:tplc="F0A6CA4A">
      <w:start w:val="1"/>
      <w:numFmt w:val="lowerLetter"/>
      <w:lvlText w:val="%1)"/>
      <w:lvlJc w:val="left"/>
      <w:pPr>
        <w:ind w:left="1350" w:hanging="9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A2F7D"/>
    <w:multiLevelType w:val="hybridMultilevel"/>
    <w:tmpl w:val="FAA2A0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35BB3"/>
    <w:multiLevelType w:val="hybridMultilevel"/>
    <w:tmpl w:val="9B3E0E12"/>
    <w:lvl w:ilvl="0" w:tplc="C4322F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F53C7"/>
    <w:multiLevelType w:val="hybridMultilevel"/>
    <w:tmpl w:val="27BCC8CC"/>
    <w:lvl w:ilvl="0" w:tplc="4D1CAB68">
      <w:start w:val="1"/>
      <w:numFmt w:val="lowerLetter"/>
      <w:lvlText w:val="%1)"/>
      <w:lvlJc w:val="left"/>
      <w:pPr>
        <w:ind w:left="1350" w:hanging="9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51E20"/>
    <w:multiLevelType w:val="hybridMultilevel"/>
    <w:tmpl w:val="110435DC"/>
    <w:lvl w:ilvl="0" w:tplc="59209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F0B29"/>
    <w:multiLevelType w:val="hybridMultilevel"/>
    <w:tmpl w:val="AB9CEBC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6A26A3"/>
    <w:multiLevelType w:val="hybridMultilevel"/>
    <w:tmpl w:val="F32C9C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F4F34"/>
    <w:multiLevelType w:val="hybridMultilevel"/>
    <w:tmpl w:val="73060D4A"/>
    <w:lvl w:ilvl="0" w:tplc="FD845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E2EA9"/>
    <w:multiLevelType w:val="hybridMultilevel"/>
    <w:tmpl w:val="838E81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5B"/>
    <w:rsid w:val="00014C0D"/>
    <w:rsid w:val="00022F69"/>
    <w:rsid w:val="00085AFE"/>
    <w:rsid w:val="000E520E"/>
    <w:rsid w:val="00127FBB"/>
    <w:rsid w:val="00133948"/>
    <w:rsid w:val="00137FB8"/>
    <w:rsid w:val="00153811"/>
    <w:rsid w:val="00171461"/>
    <w:rsid w:val="001763BB"/>
    <w:rsid w:val="00185E5B"/>
    <w:rsid w:val="00186A53"/>
    <w:rsid w:val="002452C6"/>
    <w:rsid w:val="00247E28"/>
    <w:rsid w:val="00275593"/>
    <w:rsid w:val="00296DF0"/>
    <w:rsid w:val="002A6ACB"/>
    <w:rsid w:val="002D6B0D"/>
    <w:rsid w:val="002D72D7"/>
    <w:rsid w:val="0030785C"/>
    <w:rsid w:val="00320052"/>
    <w:rsid w:val="0033204C"/>
    <w:rsid w:val="003C6D3C"/>
    <w:rsid w:val="00405C13"/>
    <w:rsid w:val="004345FC"/>
    <w:rsid w:val="004347E2"/>
    <w:rsid w:val="00461E25"/>
    <w:rsid w:val="0047395D"/>
    <w:rsid w:val="004972E4"/>
    <w:rsid w:val="004D2232"/>
    <w:rsid w:val="00562465"/>
    <w:rsid w:val="00577BDC"/>
    <w:rsid w:val="00590192"/>
    <w:rsid w:val="005C13A4"/>
    <w:rsid w:val="005D7163"/>
    <w:rsid w:val="006379EB"/>
    <w:rsid w:val="006659E3"/>
    <w:rsid w:val="006D7AE8"/>
    <w:rsid w:val="006E0189"/>
    <w:rsid w:val="006F6D21"/>
    <w:rsid w:val="00715BD5"/>
    <w:rsid w:val="007174BD"/>
    <w:rsid w:val="007239AE"/>
    <w:rsid w:val="00726493"/>
    <w:rsid w:val="007913DC"/>
    <w:rsid w:val="007B68B2"/>
    <w:rsid w:val="008515BA"/>
    <w:rsid w:val="00882A59"/>
    <w:rsid w:val="00890F7E"/>
    <w:rsid w:val="008F618C"/>
    <w:rsid w:val="009167E1"/>
    <w:rsid w:val="00970181"/>
    <w:rsid w:val="00977281"/>
    <w:rsid w:val="00985D6C"/>
    <w:rsid w:val="009F4392"/>
    <w:rsid w:val="00A120DE"/>
    <w:rsid w:val="00A2190E"/>
    <w:rsid w:val="00A2407C"/>
    <w:rsid w:val="00A511A8"/>
    <w:rsid w:val="00A86227"/>
    <w:rsid w:val="00AD1A0C"/>
    <w:rsid w:val="00AE0146"/>
    <w:rsid w:val="00B22D91"/>
    <w:rsid w:val="00B378C0"/>
    <w:rsid w:val="00B507B3"/>
    <w:rsid w:val="00B533A8"/>
    <w:rsid w:val="00B85A8B"/>
    <w:rsid w:val="00BE4712"/>
    <w:rsid w:val="00BF683A"/>
    <w:rsid w:val="00C36E98"/>
    <w:rsid w:val="00C629D6"/>
    <w:rsid w:val="00C74415"/>
    <w:rsid w:val="00C80136"/>
    <w:rsid w:val="00CC0983"/>
    <w:rsid w:val="00CD4621"/>
    <w:rsid w:val="00D429AD"/>
    <w:rsid w:val="00D4550A"/>
    <w:rsid w:val="00D92DF7"/>
    <w:rsid w:val="00DE2FE3"/>
    <w:rsid w:val="00E163E6"/>
    <w:rsid w:val="00E71DA9"/>
    <w:rsid w:val="00E75976"/>
    <w:rsid w:val="00E87F6E"/>
    <w:rsid w:val="00EC3DFD"/>
    <w:rsid w:val="00ED38A0"/>
    <w:rsid w:val="00EE116A"/>
    <w:rsid w:val="00EF4FE2"/>
    <w:rsid w:val="00F12B30"/>
    <w:rsid w:val="00F22EBE"/>
    <w:rsid w:val="00F242AF"/>
    <w:rsid w:val="00F74E1A"/>
    <w:rsid w:val="00FC5A6E"/>
    <w:rsid w:val="00F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0C34F-9D13-4F58-9857-8C53BC2C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8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85E5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85E5B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B22D91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B22D9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22D9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2D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2D9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2D91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22D91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27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5593"/>
  </w:style>
  <w:style w:type="paragraph" w:styleId="Pta">
    <w:name w:val="footer"/>
    <w:basedOn w:val="Normlny"/>
    <w:link w:val="PtaChar"/>
    <w:uiPriority w:val="99"/>
    <w:unhideWhenUsed/>
    <w:rsid w:val="0027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5593"/>
  </w:style>
  <w:style w:type="character" w:customStyle="1" w:styleId="awspan">
    <w:name w:val="awspan"/>
    <w:basedOn w:val="Predvolenpsmoodseku"/>
    <w:rsid w:val="00E1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19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026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3844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871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Halgašová</dc:creator>
  <cp:keywords/>
  <dc:description/>
  <cp:lastModifiedBy>Švorcová, Veronika</cp:lastModifiedBy>
  <cp:revision>3</cp:revision>
  <cp:lastPrinted>2021-10-07T11:03:00Z</cp:lastPrinted>
  <dcterms:created xsi:type="dcterms:W3CDTF">2021-10-06T12:14:00Z</dcterms:created>
  <dcterms:modified xsi:type="dcterms:W3CDTF">2021-10-07T11:05:00Z</dcterms:modified>
</cp:coreProperties>
</file>