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A1" w:rsidRPr="00A179AE" w:rsidRDefault="003501A1" w:rsidP="003501A1">
      <w:pPr>
        <w:jc w:val="center"/>
        <w:rPr>
          <w:b/>
          <w:bCs/>
          <w:sz w:val="28"/>
          <w:szCs w:val="28"/>
        </w:rPr>
      </w:pPr>
      <w:bookmarkStart w:id="0" w:name="_GoBack"/>
      <w:bookmarkEnd w:id="0"/>
      <w:r>
        <w:rPr>
          <w:b/>
          <w:bCs/>
          <w:sz w:val="28"/>
          <w:szCs w:val="28"/>
        </w:rPr>
        <w:t>Doložka vybraných vplyvov</w:t>
      </w:r>
    </w:p>
    <w:p w:rsidR="003501A1" w:rsidRPr="00BF3078" w:rsidRDefault="003501A1" w:rsidP="003501A1">
      <w:pPr>
        <w:pStyle w:val="Odsekzoznamu"/>
        <w:ind w:left="426"/>
        <w:rPr>
          <w:b/>
        </w:rPr>
      </w:pPr>
    </w:p>
    <w:tbl>
      <w:tblPr>
        <w:tblStyle w:val="Mriekatabuky"/>
        <w:tblW w:w="9214" w:type="dxa"/>
        <w:tblInd w:w="-34" w:type="dxa"/>
        <w:tblLayout w:type="fixed"/>
        <w:tblLook w:val="04A0" w:firstRow="1" w:lastRow="0" w:firstColumn="1" w:lastColumn="0" w:noHBand="0" w:noVBand="1"/>
      </w:tblPr>
      <w:tblGrid>
        <w:gridCol w:w="3846"/>
        <w:gridCol w:w="400"/>
        <w:gridCol w:w="141"/>
        <w:gridCol w:w="564"/>
        <w:gridCol w:w="717"/>
        <w:gridCol w:w="569"/>
        <w:gridCol w:w="1133"/>
        <w:gridCol w:w="284"/>
        <w:gridCol w:w="263"/>
        <w:gridCol w:w="1297"/>
      </w:tblGrid>
      <w:tr w:rsidR="003501A1" w:rsidRPr="00A179AE" w:rsidTr="00456D18">
        <w:tc>
          <w:tcPr>
            <w:tcW w:w="9214"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Základné údaje</w:t>
            </w:r>
          </w:p>
        </w:tc>
      </w:tr>
      <w:tr w:rsidR="003501A1" w:rsidRPr="00A179AE" w:rsidTr="00456D18">
        <w:trPr>
          <w:trHeight w:val="509"/>
        </w:trPr>
        <w:tc>
          <w:tcPr>
            <w:tcW w:w="9214" w:type="dxa"/>
            <w:gridSpan w:val="10"/>
            <w:tcBorders>
              <w:bottom w:val="single" w:sz="4" w:space="0" w:color="FFFFFF" w:themeColor="background1"/>
            </w:tcBorders>
            <w:shd w:val="clear" w:color="auto" w:fill="E2E2E2"/>
          </w:tcPr>
          <w:p w:rsidR="00456D18" w:rsidRPr="00292C9A" w:rsidRDefault="003501A1" w:rsidP="00292C9A">
            <w:pPr>
              <w:pStyle w:val="Odsekzoznamu"/>
              <w:ind w:left="142"/>
              <w:rPr>
                <w:rFonts w:ascii="Times New Roman" w:hAnsi="Times New Roman"/>
                <w:b/>
              </w:rPr>
            </w:pPr>
            <w:r w:rsidRPr="00A179AE">
              <w:rPr>
                <w:rFonts w:ascii="Times New Roman" w:hAnsi="Times New Roman"/>
                <w:b/>
              </w:rPr>
              <w:t>Názov materiálu</w:t>
            </w:r>
          </w:p>
        </w:tc>
      </w:tr>
      <w:tr w:rsidR="003501A1" w:rsidRPr="00A179AE" w:rsidTr="00456D18">
        <w:tc>
          <w:tcPr>
            <w:tcW w:w="9214" w:type="dxa"/>
            <w:gridSpan w:val="10"/>
            <w:tcBorders>
              <w:top w:val="single" w:sz="4" w:space="0" w:color="FFFFFF" w:themeColor="background1"/>
            </w:tcBorders>
          </w:tcPr>
          <w:p w:rsidR="003501A1" w:rsidRPr="00292C9A" w:rsidRDefault="0043795F" w:rsidP="00D42B0B">
            <w:r w:rsidRPr="0043795F">
              <w:rPr>
                <w:rFonts w:cs="Arial Narrow"/>
                <w:bCs/>
                <w:sz w:val="24"/>
                <w:szCs w:val="22"/>
              </w:rPr>
              <w:t>Návrh na uzavretie Dohovoru Rady Európy o integrovanom prístupe k ochrane, bezpečnosti a</w:t>
            </w:r>
            <w:r w:rsidR="00D42B0B">
              <w:rPr>
                <w:rFonts w:cs="Arial Narrow"/>
                <w:bCs/>
                <w:sz w:val="24"/>
                <w:szCs w:val="22"/>
              </w:rPr>
              <w:t> poskytovaniu služieb</w:t>
            </w:r>
            <w:r w:rsidRPr="0043795F">
              <w:rPr>
                <w:rFonts w:cs="Arial Narrow"/>
                <w:bCs/>
                <w:sz w:val="24"/>
                <w:szCs w:val="22"/>
              </w:rPr>
              <w:t xml:space="preserve"> na futbalových zápasoch a iných športových podujatiach (CETS 218)</w:t>
            </w:r>
          </w:p>
        </w:tc>
      </w:tr>
      <w:tr w:rsidR="003501A1" w:rsidRPr="00A179AE" w:rsidTr="00456D18">
        <w:tc>
          <w:tcPr>
            <w:tcW w:w="9214" w:type="dxa"/>
            <w:gridSpan w:val="10"/>
            <w:tcBorders>
              <w:bottom w:val="single" w:sz="4" w:space="0" w:color="FFFFFF" w:themeColor="background1"/>
            </w:tcBorders>
            <w:shd w:val="clear" w:color="auto" w:fill="E2E2E2"/>
          </w:tcPr>
          <w:p w:rsidR="003501A1" w:rsidRPr="00292C9A" w:rsidRDefault="003501A1" w:rsidP="007B71A4">
            <w:pPr>
              <w:pStyle w:val="Odsekzoznamu"/>
              <w:ind w:left="142"/>
              <w:rPr>
                <w:rFonts w:ascii="Times New Roman" w:hAnsi="Times New Roman"/>
                <w:b/>
              </w:rPr>
            </w:pPr>
            <w:r w:rsidRPr="00292C9A">
              <w:rPr>
                <w:rFonts w:ascii="Times New Roman" w:hAnsi="Times New Roman"/>
                <w:b/>
              </w:rPr>
              <w:t>Predkladateľ (a spolupredkladateľ)</w:t>
            </w:r>
          </w:p>
        </w:tc>
      </w:tr>
      <w:tr w:rsidR="003501A1" w:rsidRPr="00292C9A" w:rsidTr="00456D18">
        <w:tc>
          <w:tcPr>
            <w:tcW w:w="9214" w:type="dxa"/>
            <w:gridSpan w:val="10"/>
            <w:tcBorders>
              <w:top w:val="single" w:sz="4" w:space="0" w:color="FFFFFF" w:themeColor="background1"/>
            </w:tcBorders>
            <w:shd w:val="clear" w:color="auto" w:fill="FFFFFF" w:themeFill="background1"/>
          </w:tcPr>
          <w:p w:rsidR="003501A1" w:rsidRPr="00292C9A" w:rsidRDefault="00456D18" w:rsidP="007B71A4">
            <w:pPr>
              <w:rPr>
                <w:sz w:val="24"/>
              </w:rPr>
            </w:pPr>
            <w:r w:rsidRPr="00292C9A">
              <w:rPr>
                <w:sz w:val="24"/>
                <w:szCs w:val="22"/>
              </w:rPr>
              <w:t xml:space="preserve">Ministerstvo </w:t>
            </w:r>
            <w:r w:rsidR="00BD5811" w:rsidRPr="00292C9A">
              <w:rPr>
                <w:sz w:val="24"/>
                <w:szCs w:val="22"/>
              </w:rPr>
              <w:t>vnútra</w:t>
            </w:r>
            <w:r w:rsidRPr="00292C9A">
              <w:rPr>
                <w:sz w:val="24"/>
                <w:szCs w:val="22"/>
              </w:rPr>
              <w:t xml:space="preserve"> Slovenskej republiky</w:t>
            </w:r>
          </w:p>
        </w:tc>
      </w:tr>
      <w:tr w:rsidR="003501A1" w:rsidRPr="00A179AE" w:rsidTr="00456D18">
        <w:tc>
          <w:tcPr>
            <w:tcW w:w="4246" w:type="dxa"/>
            <w:gridSpan w:val="2"/>
            <w:vMerge w:val="restart"/>
            <w:tcBorders>
              <w:bottom w:val="single" w:sz="4" w:space="0" w:color="FFFFFF" w:themeColor="background1"/>
            </w:tcBorders>
            <w:shd w:val="clear" w:color="auto" w:fill="E2E2E2"/>
            <w:vAlign w:val="center"/>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Charakter predkladaného materiálu</w:t>
            </w:r>
          </w:p>
        </w:tc>
        <w:tc>
          <w:tcPr>
            <w:tcW w:w="705" w:type="dxa"/>
            <w:gridSpan w:val="2"/>
            <w:tcBorders>
              <w:right w:val="nil"/>
            </w:tcBorders>
            <w:shd w:val="clear" w:color="auto" w:fill="FFFFFF" w:themeFill="background1"/>
          </w:tcPr>
          <w:p w:rsidR="003501A1" w:rsidRPr="00A179AE" w:rsidRDefault="00CC4C06" w:rsidP="007B71A4">
            <w:pPr>
              <w:jc w:val="center"/>
            </w:pPr>
            <w:r w:rsidRPr="00CC4C06">
              <w:rPr>
                <w:rFonts w:ascii="MS Mincho" w:eastAsia="MS Mincho" w:hAnsi="MS Mincho" w:cs="MS Mincho" w:hint="eastAsia"/>
              </w:rPr>
              <w:t>☐</w:t>
            </w:r>
          </w:p>
        </w:tc>
        <w:tc>
          <w:tcPr>
            <w:tcW w:w="4263" w:type="dxa"/>
            <w:gridSpan w:val="6"/>
            <w:tcBorders>
              <w:left w:val="nil"/>
            </w:tcBorders>
            <w:shd w:val="clear" w:color="auto" w:fill="FFFFFF" w:themeFill="background1"/>
          </w:tcPr>
          <w:p w:rsidR="003501A1" w:rsidRPr="00A179AE" w:rsidRDefault="003501A1" w:rsidP="007B71A4">
            <w:r w:rsidRPr="00A179AE">
              <w:t>Materiál nelegislatívnej povahy</w:t>
            </w:r>
          </w:p>
        </w:tc>
      </w:tr>
      <w:tr w:rsidR="003501A1" w:rsidRPr="00A179AE" w:rsidTr="00456D18">
        <w:tc>
          <w:tcPr>
            <w:tcW w:w="4246" w:type="dxa"/>
            <w:gridSpan w:val="2"/>
            <w:vMerge/>
            <w:tcBorders>
              <w:top w:val="nil"/>
              <w:bottom w:val="single" w:sz="4" w:space="0" w:color="FFFFFF" w:themeColor="background1"/>
            </w:tcBorders>
            <w:shd w:val="clear" w:color="auto" w:fill="E2E2E2"/>
          </w:tcPr>
          <w:p w:rsidR="003501A1" w:rsidRPr="00A179AE" w:rsidRDefault="003501A1" w:rsidP="007B71A4"/>
        </w:tc>
        <w:tc>
          <w:tcPr>
            <w:tcW w:w="705" w:type="dxa"/>
            <w:gridSpan w:val="2"/>
            <w:tcBorders>
              <w:right w:val="nil"/>
            </w:tcBorders>
            <w:shd w:val="clear" w:color="auto" w:fill="FFFFFF" w:themeFill="background1"/>
          </w:tcPr>
          <w:p w:rsidR="003501A1" w:rsidRPr="00A179AE" w:rsidRDefault="00CC4C06" w:rsidP="007B71A4">
            <w:pPr>
              <w:jc w:val="center"/>
            </w:pPr>
            <w:r w:rsidRPr="00CC4C06">
              <w:rPr>
                <w:rFonts w:ascii="MS Mincho" w:eastAsia="MS Mincho" w:hAnsi="MS Mincho" w:cs="MS Mincho" w:hint="eastAsia"/>
              </w:rPr>
              <w:t>☒</w:t>
            </w:r>
          </w:p>
        </w:tc>
        <w:tc>
          <w:tcPr>
            <w:tcW w:w="4263" w:type="dxa"/>
            <w:gridSpan w:val="6"/>
            <w:tcBorders>
              <w:left w:val="nil"/>
            </w:tcBorders>
            <w:shd w:val="clear" w:color="auto" w:fill="FFFFFF" w:themeFill="background1"/>
          </w:tcPr>
          <w:p w:rsidR="003501A1" w:rsidRPr="00A179AE" w:rsidRDefault="003501A1" w:rsidP="007B71A4">
            <w:pPr>
              <w:ind w:left="175" w:hanging="175"/>
            </w:pPr>
            <w:r w:rsidRPr="00A179AE">
              <w:t>Materiál legislatívnej povahy</w:t>
            </w:r>
          </w:p>
        </w:tc>
      </w:tr>
      <w:tr w:rsidR="003501A1" w:rsidRPr="00A179AE" w:rsidTr="00456D18">
        <w:tc>
          <w:tcPr>
            <w:tcW w:w="4246" w:type="dxa"/>
            <w:gridSpan w:val="2"/>
            <w:vMerge/>
            <w:tcBorders>
              <w:top w:val="nil"/>
            </w:tcBorders>
            <w:shd w:val="clear" w:color="auto" w:fill="E2E2E2"/>
          </w:tcPr>
          <w:p w:rsidR="003501A1" w:rsidRPr="00A179AE" w:rsidRDefault="003501A1" w:rsidP="007B71A4"/>
        </w:tc>
        <w:tc>
          <w:tcPr>
            <w:tcW w:w="705" w:type="dxa"/>
            <w:gridSpan w:val="2"/>
            <w:tcBorders>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tc>
          <w:tcPr>
            <w:tcW w:w="4263" w:type="dxa"/>
            <w:gridSpan w:val="6"/>
            <w:tcBorders>
              <w:left w:val="nil"/>
            </w:tcBorders>
            <w:shd w:val="clear" w:color="auto" w:fill="FFFFFF" w:themeFill="background1"/>
          </w:tcPr>
          <w:p w:rsidR="003501A1" w:rsidRPr="00A179AE" w:rsidRDefault="003501A1" w:rsidP="007B71A4">
            <w:r w:rsidRPr="00A179AE">
              <w:t>Transpozícia práva EÚ</w:t>
            </w:r>
          </w:p>
        </w:tc>
      </w:tr>
      <w:tr w:rsidR="003501A1" w:rsidRPr="00A179AE" w:rsidTr="00456D18">
        <w:tc>
          <w:tcPr>
            <w:tcW w:w="9214" w:type="dxa"/>
            <w:gridSpan w:val="10"/>
            <w:tcBorders>
              <w:bottom w:val="single" w:sz="4" w:space="0" w:color="FFFFFF" w:themeColor="background1"/>
            </w:tcBorders>
            <w:shd w:val="clear" w:color="auto" w:fill="FFFFFF" w:themeFill="background1"/>
          </w:tcPr>
          <w:p w:rsidR="003501A1" w:rsidRPr="00A179AE" w:rsidRDefault="003501A1" w:rsidP="007B71A4">
            <w:pPr>
              <w:rPr>
                <w:i/>
              </w:rPr>
            </w:pPr>
            <w:r w:rsidRPr="00A179AE">
              <w:rPr>
                <w:i/>
              </w:rPr>
              <w:t>V prípade transpozície uveďte zoznam transponovaných predpisov:</w:t>
            </w:r>
          </w:p>
          <w:p w:rsidR="003501A1" w:rsidRPr="00A179AE" w:rsidRDefault="003501A1" w:rsidP="007B71A4"/>
        </w:tc>
      </w:tr>
      <w:tr w:rsidR="003501A1" w:rsidRPr="00A179AE" w:rsidTr="00456D18">
        <w:tc>
          <w:tcPr>
            <w:tcW w:w="5668" w:type="dxa"/>
            <w:gridSpan w:val="5"/>
            <w:tcBorders>
              <w:top w:val="single" w:sz="4" w:space="0" w:color="000000" w:themeColor="text1"/>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themeColor="text1"/>
            </w:tcBorders>
          </w:tcPr>
          <w:p w:rsidR="003501A1" w:rsidRPr="00A179AE" w:rsidRDefault="003501A1" w:rsidP="007B71A4">
            <w:pPr>
              <w:rPr>
                <w:i/>
              </w:rPr>
            </w:pPr>
          </w:p>
        </w:tc>
      </w:tr>
      <w:tr w:rsidR="003501A1" w:rsidRPr="00A179AE" w:rsidTr="00456D18">
        <w:tc>
          <w:tcPr>
            <w:tcW w:w="5668" w:type="dxa"/>
            <w:gridSpan w:val="5"/>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Predpokladaný termín predloženia na MPK</w:t>
            </w:r>
            <w:r w:rsidR="00F62771">
              <w:rPr>
                <w:rFonts w:ascii="Times New Roman" w:hAnsi="Times New Roman"/>
                <w:b/>
              </w:rPr>
              <w:t>*</w:t>
            </w:r>
          </w:p>
        </w:tc>
        <w:tc>
          <w:tcPr>
            <w:tcW w:w="3546" w:type="dxa"/>
            <w:gridSpan w:val="5"/>
          </w:tcPr>
          <w:p w:rsidR="003501A1" w:rsidRPr="00BD5811" w:rsidRDefault="00542F32" w:rsidP="00542F32">
            <w:pPr>
              <w:rPr>
                <w:i/>
              </w:rPr>
            </w:pPr>
            <w:r>
              <w:rPr>
                <w:i/>
                <w:szCs w:val="22"/>
              </w:rPr>
              <w:t>02</w:t>
            </w:r>
            <w:r w:rsidR="00E15E87">
              <w:rPr>
                <w:i/>
                <w:szCs w:val="22"/>
              </w:rPr>
              <w:t xml:space="preserve">. </w:t>
            </w:r>
            <w:r>
              <w:rPr>
                <w:i/>
                <w:szCs w:val="22"/>
              </w:rPr>
              <w:t>05</w:t>
            </w:r>
            <w:r w:rsidR="00E15E87">
              <w:rPr>
                <w:i/>
                <w:szCs w:val="22"/>
              </w:rPr>
              <w:t xml:space="preserve">. – </w:t>
            </w:r>
            <w:r>
              <w:rPr>
                <w:i/>
                <w:szCs w:val="22"/>
              </w:rPr>
              <w:t>23. 05</w:t>
            </w:r>
            <w:r w:rsidR="00E15E87">
              <w:rPr>
                <w:i/>
                <w:szCs w:val="22"/>
              </w:rPr>
              <w:t xml:space="preserve">. </w:t>
            </w:r>
            <w:r w:rsidR="00BD5811" w:rsidRPr="00BD5811">
              <w:rPr>
                <w:i/>
                <w:szCs w:val="22"/>
              </w:rPr>
              <w:t>201</w:t>
            </w:r>
            <w:r w:rsidR="0043795F">
              <w:rPr>
                <w:i/>
                <w:szCs w:val="22"/>
              </w:rPr>
              <w:t>9</w:t>
            </w:r>
          </w:p>
        </w:tc>
      </w:tr>
      <w:tr w:rsidR="003501A1" w:rsidRPr="00A179AE" w:rsidTr="00456D18">
        <w:tc>
          <w:tcPr>
            <w:tcW w:w="5668" w:type="dxa"/>
            <w:gridSpan w:val="5"/>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b/>
              </w:rPr>
            </w:pPr>
            <w:r w:rsidRPr="00A179AE">
              <w:rPr>
                <w:rFonts w:ascii="Times New Roman" w:hAnsi="Times New Roman"/>
                <w:b/>
              </w:rPr>
              <w:t>Predpokladaný termín predloženia na Rokovanie vlády SR</w:t>
            </w:r>
            <w:r w:rsidR="00F62771">
              <w:rPr>
                <w:rFonts w:ascii="Times New Roman" w:hAnsi="Times New Roman"/>
                <w:b/>
              </w:rPr>
              <w:t>*</w:t>
            </w:r>
          </w:p>
        </w:tc>
        <w:tc>
          <w:tcPr>
            <w:tcW w:w="3546" w:type="dxa"/>
            <w:gridSpan w:val="5"/>
          </w:tcPr>
          <w:p w:rsidR="003501A1" w:rsidRPr="00A179AE" w:rsidRDefault="00F62CDE" w:rsidP="00D42B0B">
            <w:pPr>
              <w:rPr>
                <w:i/>
              </w:rPr>
            </w:pPr>
            <w:r>
              <w:rPr>
                <w:i/>
              </w:rPr>
              <w:t xml:space="preserve">august – september </w:t>
            </w:r>
            <w:r w:rsidR="00DF0BD9">
              <w:rPr>
                <w:i/>
              </w:rPr>
              <w:t>201</w:t>
            </w:r>
            <w:r w:rsidR="0043795F">
              <w:rPr>
                <w:i/>
              </w:rPr>
              <w:t>9</w:t>
            </w:r>
          </w:p>
        </w:tc>
      </w:tr>
      <w:tr w:rsidR="003501A1" w:rsidRPr="00A179AE" w:rsidTr="00456D18">
        <w:tc>
          <w:tcPr>
            <w:tcW w:w="9214"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Defin</w:t>
            </w:r>
            <w:r w:rsidR="00AC2477">
              <w:rPr>
                <w:rFonts w:ascii="Times New Roman" w:hAnsi="Times New Roman"/>
                <w:b/>
              </w:rPr>
              <w:t>ovanie</w:t>
            </w:r>
            <w:r w:rsidRPr="00A179AE">
              <w:rPr>
                <w:rFonts w:ascii="Times New Roman" w:hAnsi="Times New Roman"/>
                <w:b/>
              </w:rPr>
              <w:t xml:space="preserve"> problému</w:t>
            </w:r>
          </w:p>
        </w:tc>
      </w:tr>
      <w:tr w:rsidR="003501A1" w:rsidRPr="00A179AE" w:rsidTr="00456D18">
        <w:trPr>
          <w:trHeight w:val="718"/>
        </w:trPr>
        <w:tc>
          <w:tcPr>
            <w:tcW w:w="9214" w:type="dxa"/>
            <w:gridSpan w:val="10"/>
            <w:tcBorders>
              <w:top w:val="single" w:sz="4" w:space="0" w:color="FFFFFF" w:themeColor="background1"/>
            </w:tcBorders>
            <w:shd w:val="clear" w:color="auto" w:fill="FFFFFF" w:themeFill="background1"/>
          </w:tcPr>
          <w:p w:rsidR="003501A1" w:rsidRPr="000F5363" w:rsidRDefault="009B4649" w:rsidP="00D42B0B">
            <w:pPr>
              <w:jc w:val="both"/>
            </w:pPr>
            <w:r>
              <w:t>Dňa 29. mája 1985 si násilné strety futbalových fanúšikov počas finále Európskeho pohára majstrov na štadióne Heysel v Bruseli vyžiadali 39 mŕtvych a stovky zranených. V dôsledku tejto tragédie Rada Európy vypracovala Európsky dohovor o násilí a neviazanosti divákov počas športových podujatí, a najmä na futbalových zápasoch (CETS č. 120) (ďalej len „dohovor č. 120“). Dohovor č. 120 bol zameraný na predchádzanie a zabraňovanie prípadom násilia a nevhodného správania na štadiónoch a v ich blízkosti a na reakcie na ne. Dohovor č. 120 nadobudol platnosť 1. novembra 1985 a ratifikovalo ho 41 strán dohovoru</w:t>
            </w:r>
            <w:r w:rsidR="00CC7B0E">
              <w:t>,</w:t>
            </w:r>
            <w:r>
              <w:t xml:space="preserve"> vrátane väčšiny členských štátov Európskej únie. V decembri 2013 Výbor ministrov Rady Európy na základe štúdie o prínosoch a potrebe aktualizácie dohovoru č. 120 dospel k záveru, že dohovor je zastaraný: ukázalo sa, že jeho obsah – osobitne primárny dôraz na bezpečnostné opatrenia – nezodpovedá skúsenostiam a osvedčeným postupom a nie je v súlade s najnovšími odporúčaniami stáleho výboru dohovoru. Rada ministrov preto Stálemu výboru nariadila, aby vykonal revíziu dohovoru č. 120. Stály výbor sa rozhodol, že namiesto revízie bude pracovať na novom texte. Výsledkom tejto práce je</w:t>
            </w:r>
            <w:r w:rsidR="00D42B0B">
              <w:t xml:space="preserve"> Dohovor</w:t>
            </w:r>
            <w:r w:rsidR="00D42B0B" w:rsidRPr="00D42B0B">
              <w:t xml:space="preserve"> Rady Európy o integrovanom prístupe k ochrane, bezpečnosti a</w:t>
            </w:r>
            <w:r w:rsidR="00D42B0B">
              <w:t> </w:t>
            </w:r>
            <w:r w:rsidR="00D42B0B" w:rsidRPr="00D42B0B">
              <w:t>poskytovaniu služieb na futbalových zápasoch a iných športových podujatiach</w:t>
            </w:r>
            <w:r>
              <w:t xml:space="preserve"> CETS č. 218.</w:t>
            </w:r>
          </w:p>
        </w:tc>
      </w:tr>
      <w:tr w:rsidR="003501A1" w:rsidRPr="00A179AE" w:rsidTr="00456D18">
        <w:tc>
          <w:tcPr>
            <w:tcW w:w="9214" w:type="dxa"/>
            <w:gridSpan w:val="10"/>
            <w:tcBorders>
              <w:bottom w:val="nil"/>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Ciele a výsledný stav</w:t>
            </w:r>
          </w:p>
        </w:tc>
      </w:tr>
      <w:tr w:rsidR="003501A1" w:rsidRPr="00A179AE" w:rsidTr="00456D18">
        <w:trPr>
          <w:trHeight w:val="741"/>
        </w:trPr>
        <w:tc>
          <w:tcPr>
            <w:tcW w:w="9214" w:type="dxa"/>
            <w:gridSpan w:val="10"/>
            <w:tcBorders>
              <w:top w:val="nil"/>
            </w:tcBorders>
            <w:shd w:val="clear" w:color="auto" w:fill="FFFFFF" w:themeFill="background1"/>
          </w:tcPr>
          <w:p w:rsidR="00CA0201" w:rsidRPr="009B4649" w:rsidRDefault="009B4649" w:rsidP="007A329F">
            <w:pPr>
              <w:jc w:val="both"/>
              <w:rPr>
                <w:szCs w:val="22"/>
              </w:rPr>
            </w:pPr>
            <w:r w:rsidRPr="009B4649">
              <w:rPr>
                <w:szCs w:val="22"/>
              </w:rPr>
              <w:t>Hlavným cieľom dohovoru CETS č. 218</w:t>
            </w:r>
            <w:r>
              <w:rPr>
                <w:szCs w:val="22"/>
              </w:rPr>
              <w:t xml:space="preserve"> </w:t>
            </w:r>
            <w:r w:rsidRPr="009B4649">
              <w:rPr>
                <w:szCs w:val="22"/>
              </w:rPr>
              <w:t>je vytvoriť na futbalových zápasoch a počas iných športových podujatí bezpečné a prívetivé prostredie. Dohovor je založený na integrovanom a vyváženom multi</w:t>
            </w:r>
            <w:r w:rsidR="00CC7B0E">
              <w:rPr>
                <w:szCs w:val="22"/>
              </w:rPr>
              <w:t xml:space="preserve">inštituciálnom </w:t>
            </w:r>
            <w:r w:rsidRPr="009B4649">
              <w:rPr>
                <w:szCs w:val="22"/>
              </w:rPr>
              <w:t>prístupe k ochrane, bezpečnosti a</w:t>
            </w:r>
            <w:r w:rsidR="00D42B0B">
              <w:rPr>
                <w:szCs w:val="22"/>
              </w:rPr>
              <w:t> poskytovaniu služieb</w:t>
            </w:r>
            <w:r w:rsidRPr="009B4649">
              <w:rPr>
                <w:szCs w:val="22"/>
              </w:rPr>
              <w:t xml:space="preserve">, </w:t>
            </w:r>
            <w:r w:rsidR="00CC7B0E">
              <w:rPr>
                <w:szCs w:val="22"/>
              </w:rPr>
              <w:t xml:space="preserve">ktorý vychádza z myšlienky, že </w:t>
            </w:r>
            <w:r w:rsidR="00CC7B0E" w:rsidRPr="00CC7B0E">
              <w:rPr>
                <w:szCs w:val="22"/>
              </w:rPr>
              <w:t>úlohy a kroky každého subjektu zapojeného do plánovania a operačných aktivít futbalových alebo iných športových podujatí sa musia vykonávať koordinovane, musia sa vzájomne dopĺňať, byť primerané a navrhnuté a vykonávané ako súčasť komplexnej stratégie pre zaistenie ochrany, bezpečnosti a poskytovanie služieb</w:t>
            </w:r>
            <w:r w:rsidRPr="009B4649">
              <w:rPr>
                <w:szCs w:val="22"/>
              </w:rPr>
              <w:t>.</w:t>
            </w:r>
            <w:r>
              <w:rPr>
                <w:szCs w:val="22"/>
              </w:rPr>
              <w:t xml:space="preserve"> </w:t>
            </w:r>
            <w:r w:rsidRPr="009B4649">
              <w:rPr>
                <w:szCs w:val="22"/>
              </w:rPr>
              <w:t>V dohovore sa od zmluvných strán vyžaduje, aby zabezpečili vnútroštátne a</w:t>
            </w:r>
            <w:r>
              <w:rPr>
                <w:szCs w:val="22"/>
              </w:rPr>
              <w:t> </w:t>
            </w:r>
            <w:r w:rsidRPr="009B4649">
              <w:rPr>
                <w:szCs w:val="22"/>
              </w:rPr>
              <w:t xml:space="preserve">miestne </w:t>
            </w:r>
            <w:r w:rsidR="00CC7B0E">
              <w:rPr>
                <w:szCs w:val="22"/>
              </w:rPr>
              <w:t xml:space="preserve">koordinačné opatrenia </w:t>
            </w:r>
            <w:r w:rsidR="00CC7B0E" w:rsidRPr="00CC7B0E">
              <w:rPr>
                <w:szCs w:val="22"/>
              </w:rPr>
              <w:t>na účely rozvoja a uplatňovania integrovaného multiinštitucionálneho prístupu k ochrane, bezpečnosti a poskytovaniu služieb na vnútroštátnej a</w:t>
            </w:r>
            <w:r w:rsidR="00CC7B0E">
              <w:rPr>
                <w:szCs w:val="22"/>
              </w:rPr>
              <w:t> </w:t>
            </w:r>
            <w:r w:rsidR="00CC7B0E" w:rsidRPr="00CC7B0E">
              <w:rPr>
                <w:szCs w:val="22"/>
              </w:rPr>
              <w:t>miestnej úrovni</w:t>
            </w:r>
            <w:r w:rsidRPr="009B4649">
              <w:rPr>
                <w:szCs w:val="22"/>
              </w:rPr>
              <w:t>. V tejto súvislosti majú zmluvné strany dohovoru prijať rozličné opatrenia na za</w:t>
            </w:r>
            <w:r w:rsidR="00CC7B0E">
              <w:rPr>
                <w:szCs w:val="22"/>
              </w:rPr>
              <w:t xml:space="preserve">istenie ochrany, bezpečnosti a poskytovanie </w:t>
            </w:r>
            <w:r w:rsidRPr="009B4649">
              <w:rPr>
                <w:szCs w:val="22"/>
              </w:rPr>
              <w:t>služieb na športových štadiónoch, napr. zabezpečiť, aby prevádzkové podmienky na štadiónoch vytvárali podmienky na účinnú spoluprácu medzi políciou, záchrannou službou a</w:t>
            </w:r>
            <w:r w:rsidR="00CC7B0E">
              <w:rPr>
                <w:szCs w:val="22"/>
              </w:rPr>
              <w:t> </w:t>
            </w:r>
            <w:r w:rsidRPr="009B4649">
              <w:rPr>
                <w:szCs w:val="22"/>
              </w:rPr>
              <w:t>partnerskými agentúrami a zaviedli politiky a postupy v oblastiach ako napr. rasistické alebo diskriminačné správanie.</w:t>
            </w:r>
            <w:r>
              <w:rPr>
                <w:szCs w:val="22"/>
              </w:rPr>
              <w:t xml:space="preserve"> </w:t>
            </w:r>
            <w:r w:rsidRPr="009B4649">
              <w:rPr>
                <w:szCs w:val="22"/>
              </w:rPr>
              <w:t xml:space="preserve">Dohovor podporuje príslušné </w:t>
            </w:r>
            <w:r w:rsidR="00CC7B0E">
              <w:rPr>
                <w:szCs w:val="22"/>
              </w:rPr>
              <w:t>subjekty</w:t>
            </w:r>
            <w:r w:rsidRPr="009B4649">
              <w:rPr>
                <w:szCs w:val="22"/>
              </w:rPr>
              <w:t xml:space="preserve"> a zainteresované strany k</w:t>
            </w:r>
            <w:r>
              <w:rPr>
                <w:szCs w:val="22"/>
              </w:rPr>
              <w:t> </w:t>
            </w:r>
            <w:r w:rsidRPr="009B4649">
              <w:rPr>
                <w:szCs w:val="22"/>
              </w:rPr>
              <w:t xml:space="preserve">vzájomnej spolupráci v záujme vytvorenia chráneného, bezpečného a otvoreného prostredia na verejných priestranstvách mimo štadiónov. Zmluvné strany dohovoru sú povinné zaistiť, aby príslušné </w:t>
            </w:r>
            <w:r w:rsidR="00CC7B0E">
              <w:rPr>
                <w:szCs w:val="22"/>
              </w:rPr>
              <w:t>subjekty</w:t>
            </w:r>
            <w:r w:rsidRPr="009B4649">
              <w:rPr>
                <w:szCs w:val="22"/>
              </w:rPr>
              <w:t xml:space="preserve"> vypracovali núdzové plány a podporovať všetky </w:t>
            </w:r>
            <w:r w:rsidR="00CC7B0E">
              <w:rPr>
                <w:szCs w:val="22"/>
              </w:rPr>
              <w:t>subjekty</w:t>
            </w:r>
            <w:r w:rsidRPr="009B4649">
              <w:rPr>
                <w:szCs w:val="22"/>
              </w:rPr>
              <w:t>, aby aktívne udržiavali vzťahy s fanúšikmi a</w:t>
            </w:r>
            <w:r>
              <w:rPr>
                <w:szCs w:val="22"/>
              </w:rPr>
              <w:t> </w:t>
            </w:r>
            <w:r w:rsidRPr="009B4649">
              <w:rPr>
                <w:szCs w:val="22"/>
              </w:rPr>
              <w:t>miestnymi komunitami.</w:t>
            </w:r>
            <w:r>
              <w:t xml:space="preserve"> </w:t>
            </w:r>
            <w:r w:rsidRPr="009B4649">
              <w:rPr>
                <w:szCs w:val="22"/>
              </w:rPr>
              <w:t>V rámci policajného dohľadu je úlohou zmluvných strán dohovoru zabezpečiť prípravu policajných stratégií, ich pravidelné vyhodnocovanie a zlepšovanie, zmluvné strany dohovoru tiež musia zaistiť, aby polícia pracovala v súčinnosti s</w:t>
            </w:r>
            <w:r w:rsidR="00CC7B0E">
              <w:rPr>
                <w:szCs w:val="22"/>
              </w:rPr>
              <w:t> </w:t>
            </w:r>
            <w:r w:rsidRPr="009B4649">
              <w:rPr>
                <w:szCs w:val="22"/>
              </w:rPr>
              <w:t>prísluš</w:t>
            </w:r>
            <w:r>
              <w:rPr>
                <w:szCs w:val="22"/>
              </w:rPr>
              <w:t xml:space="preserve">nými zainteresovanými stranami. </w:t>
            </w:r>
            <w:r w:rsidRPr="009B4649">
              <w:rPr>
                <w:szCs w:val="22"/>
              </w:rPr>
              <w:t xml:space="preserve">Dohovor tiež zriaďuje Výbor pre ochranu a bezpečnosť na športových podujatiach, ktorého cieľom je monitorovať dodržiavanie dohovoru zmluvnými stranami a poskytovať poradenstvo a dávať odporúčania zmluvným stranám dohovoru o opatreniach, ktoré je potrebné prijať na </w:t>
            </w:r>
            <w:r w:rsidRPr="009B4649">
              <w:rPr>
                <w:szCs w:val="22"/>
              </w:rPr>
              <w:lastRenderedPageBreak/>
              <w:t>vykonávanie dohovoru.</w:t>
            </w:r>
          </w:p>
        </w:tc>
      </w:tr>
      <w:tr w:rsidR="003501A1" w:rsidRPr="00A179AE" w:rsidTr="00456D18">
        <w:tc>
          <w:tcPr>
            <w:tcW w:w="9214" w:type="dxa"/>
            <w:gridSpan w:val="10"/>
            <w:tcBorders>
              <w:bottom w:val="nil"/>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lastRenderedPageBreak/>
              <w:t>Dotknuté subjekty</w:t>
            </w:r>
          </w:p>
        </w:tc>
      </w:tr>
      <w:tr w:rsidR="003501A1" w:rsidRPr="00A179AE" w:rsidTr="00456D18">
        <w:tc>
          <w:tcPr>
            <w:tcW w:w="9214" w:type="dxa"/>
            <w:gridSpan w:val="10"/>
            <w:tcBorders>
              <w:top w:val="nil"/>
            </w:tcBorders>
            <w:shd w:val="clear" w:color="auto" w:fill="FFFFFF" w:themeFill="background1"/>
          </w:tcPr>
          <w:p w:rsidR="003501A1" w:rsidRPr="000F5363" w:rsidRDefault="0067354C" w:rsidP="009B4649">
            <w:pPr>
              <w:widowControl w:val="0"/>
              <w:adjustRightInd w:val="0"/>
              <w:jc w:val="both"/>
            </w:pPr>
            <w:r>
              <w:t>Ministerstvo vnútra Slovenskej republiky,</w:t>
            </w:r>
            <w:r w:rsidRPr="0067354C">
              <w:t xml:space="preserve"> </w:t>
            </w:r>
            <w:r>
              <w:t>Ministerstvo zahraničných vecí a európskych záležitostí Slovenskej republiky</w:t>
            </w:r>
            <w:r w:rsidRPr="0067354C">
              <w:t>, fyzické osob</w:t>
            </w:r>
            <w:r w:rsidR="009B4649">
              <w:t xml:space="preserve">y a právnické osoby (verejnosť) – diváci a usporiadatelia futbalových a iných športových podujatí. </w:t>
            </w:r>
          </w:p>
        </w:tc>
      </w:tr>
      <w:tr w:rsidR="003501A1" w:rsidRPr="00A179AE" w:rsidTr="00456D18">
        <w:tc>
          <w:tcPr>
            <w:tcW w:w="9214" w:type="dxa"/>
            <w:gridSpan w:val="10"/>
            <w:tcBorders>
              <w:bottom w:val="nil"/>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Alternatívne riešenia</w:t>
            </w:r>
          </w:p>
        </w:tc>
      </w:tr>
      <w:tr w:rsidR="003501A1" w:rsidRPr="00A179AE" w:rsidTr="00456D18">
        <w:trPr>
          <w:trHeight w:val="709"/>
        </w:trPr>
        <w:tc>
          <w:tcPr>
            <w:tcW w:w="9214" w:type="dxa"/>
            <w:gridSpan w:val="10"/>
            <w:tcBorders>
              <w:top w:val="nil"/>
            </w:tcBorders>
            <w:shd w:val="clear" w:color="auto" w:fill="FFFFFF" w:themeFill="background1"/>
          </w:tcPr>
          <w:p w:rsidR="008769B7" w:rsidRPr="008769B7" w:rsidRDefault="0067354C" w:rsidP="008769B7">
            <w:pPr>
              <w:jc w:val="both"/>
              <w:rPr>
                <w:szCs w:val="22"/>
              </w:rPr>
            </w:pPr>
            <w:r w:rsidRPr="0067354C">
              <w:rPr>
                <w:szCs w:val="22"/>
              </w:rPr>
              <w:t>Alternatí</w:t>
            </w:r>
            <w:r w:rsidR="008769B7">
              <w:rPr>
                <w:szCs w:val="22"/>
              </w:rPr>
              <w:t xml:space="preserve">vne riešenia nie sú relevantné. </w:t>
            </w:r>
          </w:p>
        </w:tc>
      </w:tr>
      <w:tr w:rsidR="003501A1" w:rsidRPr="00A179AE" w:rsidTr="00456D18">
        <w:tc>
          <w:tcPr>
            <w:tcW w:w="9214"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Vykonávacie predpisy</w:t>
            </w:r>
          </w:p>
        </w:tc>
      </w:tr>
      <w:tr w:rsidR="003501A1" w:rsidRPr="00A179AE" w:rsidTr="00456D18">
        <w:tc>
          <w:tcPr>
            <w:tcW w:w="6237" w:type="dxa"/>
            <w:gridSpan w:val="6"/>
            <w:tcBorders>
              <w:top w:val="single" w:sz="4" w:space="0" w:color="FFFFFF" w:themeColor="background1"/>
              <w:bottom w:val="nil"/>
              <w:right w:val="nil"/>
            </w:tcBorders>
            <w:shd w:val="clear" w:color="auto" w:fill="FFFFFF" w:themeFill="background1"/>
          </w:tcPr>
          <w:p w:rsidR="003501A1" w:rsidRPr="00A179AE" w:rsidRDefault="003501A1" w:rsidP="007B71A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A179AE" w:rsidRDefault="008769B7" w:rsidP="008769B7">
            <w:pPr>
              <w:jc w:val="center"/>
            </w:pPr>
            <w:r>
              <w:rPr>
                <w:rFonts w:ascii="MS Gothic" w:eastAsia="MS Gothic" w:hAnsi="MS Gothic" w:hint="eastAsia"/>
              </w:rPr>
              <w:t>☒</w:t>
            </w:r>
            <w:r w:rsidR="003501A1" w:rsidRPr="00A179AE">
              <w:t xml:space="preserve">  Áno</w:t>
            </w:r>
          </w:p>
        </w:tc>
        <w:tc>
          <w:tcPr>
            <w:tcW w:w="1560" w:type="dxa"/>
            <w:gridSpan w:val="2"/>
            <w:tcBorders>
              <w:top w:val="single" w:sz="4" w:space="0" w:color="FFFFFF" w:themeColor="background1"/>
              <w:left w:val="nil"/>
              <w:bottom w:val="nil"/>
            </w:tcBorders>
            <w:shd w:val="clear" w:color="auto" w:fill="FFFFFF" w:themeFill="background1"/>
          </w:tcPr>
          <w:p w:rsidR="003501A1" w:rsidRPr="00A179AE" w:rsidRDefault="008769B7" w:rsidP="007B71A4">
            <w:pPr>
              <w:jc w:val="center"/>
            </w:pPr>
            <w:r>
              <w:rPr>
                <w:rFonts w:ascii="MS Gothic" w:eastAsia="MS Gothic" w:hAnsi="MS Gothic" w:hint="eastAsia"/>
              </w:rPr>
              <w:t>☐</w:t>
            </w:r>
            <w:r w:rsidR="003501A1" w:rsidRPr="00A179AE">
              <w:t xml:space="preserve">  Nie</w:t>
            </w:r>
          </w:p>
        </w:tc>
      </w:tr>
      <w:tr w:rsidR="003501A1" w:rsidRPr="00A179AE" w:rsidTr="00456D18">
        <w:tc>
          <w:tcPr>
            <w:tcW w:w="9214" w:type="dxa"/>
            <w:gridSpan w:val="10"/>
            <w:tcBorders>
              <w:top w:val="nil"/>
            </w:tcBorders>
            <w:shd w:val="clear" w:color="auto" w:fill="FFFFFF" w:themeFill="background1"/>
          </w:tcPr>
          <w:p w:rsidR="003501A1" w:rsidRPr="00A179AE" w:rsidRDefault="003501A1" w:rsidP="007B71A4">
            <w:pPr>
              <w:rPr>
                <w:i/>
              </w:rPr>
            </w:pPr>
            <w:r w:rsidRPr="00A179AE">
              <w:rPr>
                <w:i/>
              </w:rPr>
              <w:t>Ak áno, uveďte ktoré oblasti budú nimi upravené, resp. ktorých vykonávacích predpisov sa zmena dotkne:</w:t>
            </w:r>
          </w:p>
          <w:p w:rsidR="003501A1" w:rsidRPr="00A179AE" w:rsidRDefault="008769B7" w:rsidP="008769B7">
            <w:r>
              <w:t>- zákon č. 1/2014 Z. z. o</w:t>
            </w:r>
            <w:r w:rsidRPr="008769B7">
              <w:t xml:space="preserve"> organizovaní verejných športových podujatí a o zmene a doplnení niektorých zákonov</w:t>
            </w:r>
          </w:p>
        </w:tc>
      </w:tr>
      <w:tr w:rsidR="003501A1" w:rsidRPr="00A179AE" w:rsidTr="00456D18">
        <w:tc>
          <w:tcPr>
            <w:tcW w:w="9214"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 xml:space="preserve">Transpozícia práva EÚ </w:t>
            </w:r>
          </w:p>
        </w:tc>
      </w:tr>
      <w:tr w:rsidR="003501A1" w:rsidRPr="00A179AE" w:rsidTr="00456D18">
        <w:trPr>
          <w:trHeight w:val="621"/>
        </w:trPr>
        <w:tc>
          <w:tcPr>
            <w:tcW w:w="9214" w:type="dxa"/>
            <w:gridSpan w:val="10"/>
            <w:tcBorders>
              <w:top w:val="nil"/>
              <w:left w:val="single" w:sz="4" w:space="0" w:color="000000" w:themeColor="text1"/>
              <w:bottom w:val="nil"/>
            </w:tcBorders>
            <w:shd w:val="clear" w:color="auto" w:fill="FFFFFF" w:themeFill="background1"/>
          </w:tcPr>
          <w:p w:rsidR="003501A1" w:rsidRPr="00A179AE" w:rsidRDefault="00456D18" w:rsidP="007B71A4">
            <w:pPr>
              <w:rPr>
                <w:i/>
              </w:rPr>
            </w:pPr>
            <w:r w:rsidRPr="00AB2DB9">
              <w:rPr>
                <w:szCs w:val="22"/>
              </w:rPr>
              <w:t>Bezpredmetné.</w:t>
            </w:r>
          </w:p>
        </w:tc>
      </w:tr>
      <w:tr w:rsidR="003501A1" w:rsidRPr="00A179AE" w:rsidTr="006A0C17">
        <w:trPr>
          <w:trHeight w:val="80"/>
        </w:trPr>
        <w:tc>
          <w:tcPr>
            <w:tcW w:w="9214"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A179AE" w:rsidRDefault="003501A1" w:rsidP="006A0C17"/>
        </w:tc>
      </w:tr>
      <w:tr w:rsidR="003501A1" w:rsidRPr="00A179AE" w:rsidTr="00456D18">
        <w:tc>
          <w:tcPr>
            <w:tcW w:w="9214" w:type="dxa"/>
            <w:gridSpan w:val="10"/>
            <w:tcBorders>
              <w:bottom w:val="single" w:sz="4" w:space="0" w:color="FFFFFF" w:themeColor="background1"/>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Preskúmanie účelnosti</w:t>
            </w:r>
            <w:r w:rsidR="00F62771">
              <w:rPr>
                <w:rFonts w:ascii="Times New Roman" w:hAnsi="Times New Roman"/>
                <w:b/>
              </w:rPr>
              <w:t>**</w:t>
            </w:r>
          </w:p>
        </w:tc>
      </w:tr>
      <w:tr w:rsidR="003501A1" w:rsidRPr="00A179AE" w:rsidTr="00456D18">
        <w:tc>
          <w:tcPr>
            <w:tcW w:w="9214" w:type="dxa"/>
            <w:gridSpan w:val="10"/>
            <w:tcBorders>
              <w:top w:val="single" w:sz="4" w:space="0" w:color="FFFFFF" w:themeColor="background1"/>
            </w:tcBorders>
            <w:shd w:val="clear" w:color="auto" w:fill="FFFFFF" w:themeFill="background1"/>
          </w:tcPr>
          <w:p w:rsidR="003501A1" w:rsidRPr="00A179AE" w:rsidRDefault="003501A1" w:rsidP="007B71A4">
            <w:pPr>
              <w:rPr>
                <w:i/>
              </w:rPr>
            </w:pPr>
            <w:r w:rsidRPr="00A179AE">
              <w:rPr>
                <w:i/>
              </w:rPr>
              <w:t>Uveďte termín, kedy by malo dôjsť k preskúmaniu účinnosti a účelnosti navrhovaného predpisu.</w:t>
            </w:r>
          </w:p>
          <w:p w:rsidR="003501A1" w:rsidRPr="00A179AE" w:rsidRDefault="003501A1" w:rsidP="007B71A4">
            <w:pPr>
              <w:rPr>
                <w:i/>
              </w:rPr>
            </w:pPr>
            <w:r w:rsidRPr="00A179AE">
              <w:rPr>
                <w:i/>
              </w:rPr>
              <w:t>Uveďte kritériá, na základe ktorých bude preskúmanie vykonané.</w:t>
            </w:r>
          </w:p>
          <w:p w:rsidR="003501A1" w:rsidRPr="00A179AE" w:rsidRDefault="003501A1" w:rsidP="007B71A4">
            <w:pPr>
              <w:rPr>
                <w:i/>
              </w:rPr>
            </w:pPr>
          </w:p>
        </w:tc>
      </w:tr>
      <w:tr w:rsidR="003501A1" w:rsidRPr="00A179AE" w:rsidTr="00456D18">
        <w:trPr>
          <w:trHeight w:val="715"/>
        </w:trPr>
        <w:tc>
          <w:tcPr>
            <w:tcW w:w="9214" w:type="dxa"/>
            <w:gridSpan w:val="10"/>
            <w:tcBorders>
              <w:left w:val="nil"/>
              <w:bottom w:val="nil"/>
              <w:right w:val="nil"/>
            </w:tcBorders>
            <w:shd w:val="clear" w:color="auto" w:fill="FFFFFF" w:themeFill="background1"/>
          </w:tcPr>
          <w:p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Pr="00A179AE" w:rsidRDefault="00F62771" w:rsidP="00F22831">
            <w:r>
              <w:t>*</w:t>
            </w:r>
            <w:r w:rsidR="00F22831">
              <w:t>* nepovinné</w:t>
            </w:r>
          </w:p>
        </w:tc>
      </w:tr>
      <w:tr w:rsidR="003501A1" w:rsidRPr="00A179AE" w:rsidTr="00456D18">
        <w:trPr>
          <w:trHeight w:val="577"/>
        </w:trPr>
        <w:tc>
          <w:tcPr>
            <w:tcW w:w="9214" w:type="dxa"/>
            <w:gridSpan w:val="10"/>
            <w:tcBorders>
              <w:bottom w:val="single" w:sz="4" w:space="0" w:color="FFFFFF" w:themeColor="background1"/>
            </w:tcBorders>
            <w:shd w:val="clear" w:color="auto" w:fill="E2E2E2"/>
            <w:vAlign w:val="center"/>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Vplyvy navrhovaného materiálu</w:t>
            </w:r>
          </w:p>
        </w:tc>
      </w:tr>
      <w:tr w:rsidR="003501A1" w:rsidRPr="00A179AE" w:rsidTr="00456D18">
        <w:tc>
          <w:tcPr>
            <w:tcW w:w="3846" w:type="dxa"/>
            <w:tcBorders>
              <w:bottom w:val="nil"/>
            </w:tcBorders>
            <w:shd w:val="clear" w:color="auto" w:fill="E2E2E2"/>
          </w:tcPr>
          <w:p w:rsidR="003501A1" w:rsidRPr="00A179AE" w:rsidRDefault="003501A1" w:rsidP="007B71A4">
            <w:pPr>
              <w:rPr>
                <w:b/>
              </w:rPr>
            </w:pPr>
            <w:r w:rsidRPr="00A179AE">
              <w:rPr>
                <w:b/>
              </w:rPr>
              <w:t>Vplyvy na rozpočet verejnej správy</w:t>
            </w:r>
          </w:p>
        </w:tc>
        <w:tc>
          <w:tcPr>
            <w:tcW w:w="541" w:type="dxa"/>
            <w:gridSpan w:val="2"/>
            <w:tcBorders>
              <w:right w:val="nil"/>
            </w:tcBorders>
          </w:tcPr>
          <w:p w:rsidR="003501A1" w:rsidRPr="00A179AE" w:rsidRDefault="003501A1" w:rsidP="007B71A4">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3501A1" w:rsidRPr="00A179AE" w:rsidRDefault="003501A1" w:rsidP="007B71A4">
            <w:pPr>
              <w:rPr>
                <w:b/>
              </w:rPr>
            </w:pPr>
            <w:r w:rsidRPr="00A179AE">
              <w:rPr>
                <w:b/>
              </w:rPr>
              <w:t>Pozitívne</w:t>
            </w:r>
          </w:p>
        </w:tc>
        <w:tc>
          <w:tcPr>
            <w:tcW w:w="569" w:type="dxa"/>
            <w:tcBorders>
              <w:left w:val="nil"/>
              <w:right w:val="nil"/>
            </w:tcBorders>
          </w:tcPr>
          <w:p w:rsidR="003501A1" w:rsidRPr="00A179AE" w:rsidRDefault="00456D18" w:rsidP="007B71A4">
            <w:pPr>
              <w:jc w:val="center"/>
              <w:rPr>
                <w:b/>
              </w:rPr>
            </w:pPr>
            <w:r>
              <w:rPr>
                <w:rFonts w:ascii="MS Gothic" w:eastAsia="MS Gothic" w:hAnsi="MS Gothic" w:hint="eastAsia"/>
                <w:b/>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3501A1" w:rsidP="007B71A4">
            <w:pPr>
              <w:ind w:left="-107" w:right="-108"/>
              <w:jc w:val="center"/>
              <w:rPr>
                <w:b/>
              </w:rPr>
            </w:pPr>
            <w:r w:rsidRPr="00A179AE">
              <w:rPr>
                <w:rFonts w:ascii="MS Mincho" w:eastAsia="MS Mincho" w:hAnsi="MS Mincho" w:cs="MS Mincho" w:hint="eastAsia"/>
                <w:b/>
              </w:rPr>
              <w:t>☐</w:t>
            </w:r>
          </w:p>
        </w:tc>
        <w:tc>
          <w:tcPr>
            <w:tcW w:w="1297" w:type="dxa"/>
            <w:tcBorders>
              <w:left w:val="nil"/>
            </w:tcBorders>
          </w:tcPr>
          <w:p w:rsidR="003501A1" w:rsidRPr="00A179AE" w:rsidRDefault="003501A1" w:rsidP="007B71A4">
            <w:pPr>
              <w:ind w:left="34"/>
              <w:rPr>
                <w:b/>
              </w:rPr>
            </w:pPr>
            <w:r w:rsidRPr="00A179AE">
              <w:rPr>
                <w:b/>
              </w:rPr>
              <w:t>Negatívne</w:t>
            </w:r>
          </w:p>
        </w:tc>
      </w:tr>
      <w:tr w:rsidR="003501A1" w:rsidRPr="00A179AE" w:rsidTr="00456D18">
        <w:tc>
          <w:tcPr>
            <w:tcW w:w="3846" w:type="dxa"/>
            <w:tcBorders>
              <w:top w:val="nil"/>
              <w:bottom w:val="single" w:sz="4" w:space="0" w:color="000000" w:themeColor="text1"/>
            </w:tcBorders>
            <w:shd w:val="clear" w:color="auto" w:fill="E2E2E2"/>
          </w:tcPr>
          <w:p w:rsidR="003501A1" w:rsidRPr="00A179AE" w:rsidRDefault="003501A1" w:rsidP="007B71A4">
            <w:r w:rsidRPr="00A179AE">
              <w:t xml:space="preserve">    z toho rozpočtovo zabezpečené vplyvy</w:t>
            </w:r>
          </w:p>
        </w:tc>
        <w:tc>
          <w:tcPr>
            <w:tcW w:w="541" w:type="dxa"/>
            <w:gridSpan w:val="2"/>
            <w:tcBorders>
              <w:right w:val="nil"/>
            </w:tcBorders>
          </w:tcPr>
          <w:p w:rsidR="003501A1" w:rsidRPr="00A179AE" w:rsidRDefault="003501A1" w:rsidP="007B71A4">
            <w:pPr>
              <w:jc w:val="center"/>
            </w:pPr>
            <w:r w:rsidRPr="00A179AE">
              <w:rPr>
                <w:rFonts w:ascii="MS Mincho" w:eastAsia="MS Mincho" w:hAnsi="MS Mincho" w:cs="MS Mincho" w:hint="eastAsia"/>
              </w:rPr>
              <w:t>☐</w:t>
            </w:r>
          </w:p>
        </w:tc>
        <w:tc>
          <w:tcPr>
            <w:tcW w:w="1281" w:type="dxa"/>
            <w:gridSpan w:val="2"/>
            <w:tcBorders>
              <w:left w:val="nil"/>
              <w:right w:val="nil"/>
            </w:tcBorders>
          </w:tcPr>
          <w:p w:rsidR="003501A1" w:rsidRPr="00A179AE" w:rsidRDefault="003501A1" w:rsidP="007B71A4">
            <w:r w:rsidRPr="00A179AE">
              <w:t>Áno</w:t>
            </w:r>
          </w:p>
        </w:tc>
        <w:tc>
          <w:tcPr>
            <w:tcW w:w="569" w:type="dxa"/>
            <w:tcBorders>
              <w:left w:val="nil"/>
              <w:right w:val="nil"/>
            </w:tcBorders>
          </w:tcPr>
          <w:p w:rsidR="003501A1" w:rsidRPr="00A179AE" w:rsidRDefault="003501A1" w:rsidP="007B71A4">
            <w:pPr>
              <w:jc w:val="center"/>
            </w:pPr>
            <w:r w:rsidRPr="00A179AE">
              <w:rPr>
                <w:rFonts w:ascii="MS Mincho" w:eastAsia="MS Mincho" w:hAnsi="MS Mincho" w:cs="MS Mincho" w:hint="eastAsia"/>
              </w:rPr>
              <w:t>☐</w:t>
            </w:r>
          </w:p>
        </w:tc>
        <w:tc>
          <w:tcPr>
            <w:tcW w:w="1133" w:type="dxa"/>
            <w:tcBorders>
              <w:left w:val="nil"/>
              <w:right w:val="nil"/>
            </w:tcBorders>
          </w:tcPr>
          <w:p w:rsidR="003501A1" w:rsidRPr="00A179AE" w:rsidRDefault="003501A1" w:rsidP="007B71A4">
            <w:r w:rsidRPr="00A179AE">
              <w:t>Nie</w:t>
            </w:r>
          </w:p>
        </w:tc>
        <w:tc>
          <w:tcPr>
            <w:tcW w:w="547" w:type="dxa"/>
            <w:gridSpan w:val="2"/>
            <w:tcBorders>
              <w:left w:val="nil"/>
              <w:right w:val="nil"/>
            </w:tcBorders>
          </w:tcPr>
          <w:p w:rsidR="003501A1" w:rsidRPr="00A179AE" w:rsidRDefault="003501A1" w:rsidP="007B71A4">
            <w:pPr>
              <w:ind w:left="-107" w:right="-108"/>
              <w:jc w:val="center"/>
            </w:pPr>
            <w:r w:rsidRPr="00A179AE">
              <w:rPr>
                <w:rFonts w:ascii="MS Mincho" w:eastAsia="MS Mincho" w:hAnsi="MS Mincho" w:cs="MS Mincho" w:hint="eastAsia"/>
              </w:rPr>
              <w:t>☐</w:t>
            </w:r>
          </w:p>
        </w:tc>
        <w:tc>
          <w:tcPr>
            <w:tcW w:w="1297" w:type="dxa"/>
            <w:tcBorders>
              <w:left w:val="nil"/>
            </w:tcBorders>
          </w:tcPr>
          <w:p w:rsidR="003501A1" w:rsidRPr="00A179AE" w:rsidRDefault="003501A1" w:rsidP="007B71A4">
            <w:pPr>
              <w:ind w:left="34"/>
            </w:pPr>
            <w:r w:rsidRPr="00A179AE">
              <w:t>Čiastočne</w:t>
            </w:r>
          </w:p>
        </w:tc>
      </w:tr>
      <w:tr w:rsidR="003501A1" w:rsidRPr="00A179AE" w:rsidTr="00456D18">
        <w:tc>
          <w:tcPr>
            <w:tcW w:w="3846" w:type="dxa"/>
            <w:tcBorders>
              <w:top w:val="single" w:sz="4" w:space="0" w:color="000000" w:themeColor="text1"/>
              <w:bottom w:val="nil"/>
            </w:tcBorders>
            <w:shd w:val="clear" w:color="auto" w:fill="E2E2E2"/>
          </w:tcPr>
          <w:p w:rsidR="003501A1" w:rsidRPr="00A179AE" w:rsidRDefault="003501A1" w:rsidP="004C794A">
            <w:pPr>
              <w:rPr>
                <w:b/>
              </w:rPr>
            </w:pPr>
            <w:r w:rsidRPr="00A179AE">
              <w:rPr>
                <w:b/>
              </w:rPr>
              <w:t>Vplyvy na podnikateľské prostredie</w:t>
            </w:r>
          </w:p>
        </w:tc>
        <w:tc>
          <w:tcPr>
            <w:tcW w:w="541" w:type="dxa"/>
            <w:gridSpan w:val="2"/>
            <w:tcBorders>
              <w:right w:val="nil"/>
            </w:tcBorders>
          </w:tcPr>
          <w:p w:rsidR="003501A1" w:rsidRPr="00A179AE" w:rsidRDefault="003501A1" w:rsidP="007B71A4">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3501A1" w:rsidRPr="00A179AE" w:rsidRDefault="003501A1" w:rsidP="007B71A4">
            <w:pPr>
              <w:ind w:right="-108"/>
              <w:rPr>
                <w:b/>
              </w:rPr>
            </w:pPr>
            <w:r w:rsidRPr="00A179AE">
              <w:rPr>
                <w:b/>
              </w:rPr>
              <w:t>Pozitívne</w:t>
            </w:r>
          </w:p>
        </w:tc>
        <w:tc>
          <w:tcPr>
            <w:tcW w:w="569" w:type="dxa"/>
            <w:tcBorders>
              <w:left w:val="nil"/>
              <w:right w:val="nil"/>
            </w:tcBorders>
          </w:tcPr>
          <w:p w:rsidR="003501A1" w:rsidRPr="00A179AE" w:rsidRDefault="00456D18" w:rsidP="007B71A4">
            <w:pPr>
              <w:jc w:val="center"/>
              <w:rPr>
                <w:b/>
              </w:rPr>
            </w:pPr>
            <w:r>
              <w:rPr>
                <w:rFonts w:ascii="MS Gothic" w:eastAsia="MS Gothic" w:hAnsi="MS Gothic" w:hint="eastAsia"/>
                <w:b/>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3501A1" w:rsidP="007B71A4">
            <w:pPr>
              <w:jc w:val="center"/>
              <w:rPr>
                <w:b/>
              </w:rPr>
            </w:pPr>
            <w:r w:rsidRPr="00A179AE">
              <w:rPr>
                <w:rFonts w:ascii="MS Mincho" w:eastAsia="MS Mincho" w:hAnsi="MS Mincho" w:cs="MS Mincho" w:hint="eastAsia"/>
                <w:b/>
              </w:rPr>
              <w:t>☐</w:t>
            </w:r>
          </w:p>
        </w:tc>
        <w:tc>
          <w:tcPr>
            <w:tcW w:w="1297" w:type="dxa"/>
            <w:tcBorders>
              <w:left w:val="nil"/>
            </w:tcBorders>
          </w:tcPr>
          <w:p w:rsidR="003501A1" w:rsidRPr="00A179AE" w:rsidRDefault="003501A1" w:rsidP="007B71A4">
            <w:pPr>
              <w:ind w:left="54"/>
              <w:rPr>
                <w:b/>
              </w:rPr>
            </w:pPr>
            <w:r w:rsidRPr="00A179AE">
              <w:rPr>
                <w:b/>
              </w:rPr>
              <w:t>Negatívne</w:t>
            </w:r>
          </w:p>
        </w:tc>
      </w:tr>
      <w:tr w:rsidR="003501A1" w:rsidRPr="00A179AE" w:rsidTr="00456D18">
        <w:tc>
          <w:tcPr>
            <w:tcW w:w="3846"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A179AE" w:rsidRDefault="003501A1" w:rsidP="007B71A4">
            <w:r w:rsidRPr="00A179AE">
              <w:t xml:space="preserve">    z toho vplyvy na MSP</w:t>
            </w:r>
          </w:p>
        </w:tc>
        <w:tc>
          <w:tcPr>
            <w:tcW w:w="541" w:type="dxa"/>
            <w:gridSpan w:val="2"/>
            <w:tcBorders>
              <w:left w:val="single" w:sz="4" w:space="0" w:color="000000" w:themeColor="text1"/>
              <w:right w:val="nil"/>
            </w:tcBorders>
          </w:tcPr>
          <w:p w:rsidR="003501A1" w:rsidRPr="00A179AE" w:rsidRDefault="003501A1" w:rsidP="007B71A4">
            <w:pPr>
              <w:jc w:val="center"/>
            </w:pPr>
            <w:r w:rsidRPr="00A179AE">
              <w:rPr>
                <w:rFonts w:ascii="MS Mincho" w:eastAsia="MS Mincho" w:hAnsi="MS Mincho" w:cs="MS Mincho" w:hint="eastAsia"/>
              </w:rPr>
              <w:t>☐</w:t>
            </w:r>
          </w:p>
        </w:tc>
        <w:tc>
          <w:tcPr>
            <w:tcW w:w="1281" w:type="dxa"/>
            <w:gridSpan w:val="2"/>
            <w:tcBorders>
              <w:left w:val="nil"/>
              <w:right w:val="nil"/>
            </w:tcBorders>
          </w:tcPr>
          <w:p w:rsidR="003501A1" w:rsidRPr="00A179AE" w:rsidRDefault="003501A1" w:rsidP="007B71A4">
            <w:pPr>
              <w:ind w:right="-108"/>
            </w:pPr>
            <w:r w:rsidRPr="00A179AE">
              <w:t>Pozitívne</w:t>
            </w:r>
          </w:p>
        </w:tc>
        <w:tc>
          <w:tcPr>
            <w:tcW w:w="569" w:type="dxa"/>
            <w:tcBorders>
              <w:left w:val="nil"/>
              <w:right w:val="nil"/>
            </w:tcBorders>
          </w:tcPr>
          <w:p w:rsidR="003501A1" w:rsidRPr="00A179AE" w:rsidRDefault="00526B40" w:rsidP="007B71A4">
            <w:pPr>
              <w:jc w:val="center"/>
            </w:pPr>
            <w:r w:rsidRPr="00A179AE">
              <w:rPr>
                <w:rFonts w:ascii="MS Mincho" w:eastAsia="MS Mincho" w:hAnsi="MS Mincho" w:cs="MS Mincho" w:hint="eastAsia"/>
              </w:rPr>
              <w:t>☐</w:t>
            </w:r>
          </w:p>
        </w:tc>
        <w:tc>
          <w:tcPr>
            <w:tcW w:w="1133" w:type="dxa"/>
            <w:tcBorders>
              <w:left w:val="nil"/>
              <w:right w:val="nil"/>
            </w:tcBorders>
          </w:tcPr>
          <w:p w:rsidR="003501A1" w:rsidRPr="00A179AE" w:rsidRDefault="003501A1" w:rsidP="007B71A4">
            <w:r w:rsidRPr="00A179AE">
              <w:t>Žiadne</w:t>
            </w:r>
          </w:p>
        </w:tc>
        <w:tc>
          <w:tcPr>
            <w:tcW w:w="547" w:type="dxa"/>
            <w:gridSpan w:val="2"/>
            <w:tcBorders>
              <w:left w:val="nil"/>
              <w:right w:val="nil"/>
            </w:tcBorders>
          </w:tcPr>
          <w:p w:rsidR="003501A1" w:rsidRPr="00A179AE" w:rsidRDefault="003501A1" w:rsidP="007B71A4">
            <w:pPr>
              <w:jc w:val="center"/>
            </w:pPr>
            <w:r w:rsidRPr="00A179AE">
              <w:rPr>
                <w:rFonts w:ascii="MS Mincho" w:eastAsia="MS Mincho" w:hAnsi="MS Mincho" w:cs="MS Mincho" w:hint="eastAsia"/>
              </w:rPr>
              <w:t>☐</w:t>
            </w:r>
          </w:p>
        </w:tc>
        <w:tc>
          <w:tcPr>
            <w:tcW w:w="1297" w:type="dxa"/>
            <w:tcBorders>
              <w:left w:val="nil"/>
            </w:tcBorders>
          </w:tcPr>
          <w:p w:rsidR="003501A1" w:rsidRPr="00A179AE" w:rsidRDefault="003501A1" w:rsidP="007B71A4">
            <w:pPr>
              <w:ind w:left="54"/>
            </w:pPr>
            <w:r w:rsidRPr="00A179AE">
              <w:t>Negatívne</w:t>
            </w:r>
          </w:p>
        </w:tc>
      </w:tr>
      <w:tr w:rsidR="003501A1" w:rsidRPr="00A179AE" w:rsidTr="00456D18">
        <w:tc>
          <w:tcPr>
            <w:tcW w:w="3846" w:type="dxa"/>
            <w:tcBorders>
              <w:top w:val="single" w:sz="4" w:space="0" w:color="000000" w:themeColor="text1"/>
            </w:tcBorders>
            <w:shd w:val="clear" w:color="auto" w:fill="E2E2E2"/>
          </w:tcPr>
          <w:p w:rsidR="003501A1" w:rsidRPr="00A179AE" w:rsidRDefault="003501A1" w:rsidP="004C794A">
            <w:pPr>
              <w:rPr>
                <w:b/>
              </w:rPr>
            </w:pPr>
            <w:r w:rsidRPr="00A179AE">
              <w:rPr>
                <w:b/>
              </w:rPr>
              <w:t>Sociálne vplyvy</w:t>
            </w:r>
          </w:p>
        </w:tc>
        <w:tc>
          <w:tcPr>
            <w:tcW w:w="541" w:type="dxa"/>
            <w:gridSpan w:val="2"/>
            <w:tcBorders>
              <w:right w:val="nil"/>
            </w:tcBorders>
          </w:tcPr>
          <w:p w:rsidR="003501A1" w:rsidRPr="00A179AE" w:rsidRDefault="003501A1" w:rsidP="007B71A4">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3501A1" w:rsidRPr="00A179AE" w:rsidRDefault="003501A1" w:rsidP="007B71A4">
            <w:pPr>
              <w:ind w:right="-108"/>
              <w:rPr>
                <w:b/>
              </w:rPr>
            </w:pPr>
            <w:r w:rsidRPr="00A179AE">
              <w:rPr>
                <w:b/>
              </w:rPr>
              <w:t>Pozitívne</w:t>
            </w:r>
          </w:p>
        </w:tc>
        <w:tc>
          <w:tcPr>
            <w:tcW w:w="569" w:type="dxa"/>
            <w:tcBorders>
              <w:left w:val="nil"/>
              <w:right w:val="nil"/>
            </w:tcBorders>
          </w:tcPr>
          <w:p w:rsidR="003501A1" w:rsidRPr="00A179AE" w:rsidRDefault="00456D18" w:rsidP="007B71A4">
            <w:pPr>
              <w:jc w:val="center"/>
              <w:rPr>
                <w:b/>
              </w:rPr>
            </w:pPr>
            <w:r>
              <w:rPr>
                <w:rFonts w:ascii="MS Gothic" w:eastAsia="MS Gothic" w:hAnsi="MS Gothic" w:hint="eastAsia"/>
                <w:b/>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3501A1" w:rsidP="007B71A4">
            <w:pPr>
              <w:jc w:val="center"/>
              <w:rPr>
                <w:b/>
              </w:rPr>
            </w:pPr>
            <w:r w:rsidRPr="00A179AE">
              <w:rPr>
                <w:rFonts w:ascii="MS Mincho" w:eastAsia="MS Mincho" w:hAnsi="MS Mincho" w:cs="MS Mincho" w:hint="eastAsia"/>
                <w:b/>
              </w:rPr>
              <w:t>☐</w:t>
            </w:r>
          </w:p>
        </w:tc>
        <w:tc>
          <w:tcPr>
            <w:tcW w:w="1297" w:type="dxa"/>
            <w:tcBorders>
              <w:left w:val="nil"/>
            </w:tcBorders>
          </w:tcPr>
          <w:p w:rsidR="003501A1" w:rsidRPr="00A179AE" w:rsidRDefault="003501A1" w:rsidP="007B71A4">
            <w:pPr>
              <w:ind w:left="54"/>
              <w:rPr>
                <w:b/>
              </w:rPr>
            </w:pPr>
            <w:r w:rsidRPr="00A179AE">
              <w:rPr>
                <w:b/>
              </w:rPr>
              <w:t>Negatívne</w:t>
            </w:r>
          </w:p>
        </w:tc>
      </w:tr>
      <w:tr w:rsidR="003501A1" w:rsidRPr="00A179AE" w:rsidTr="00456D18">
        <w:tc>
          <w:tcPr>
            <w:tcW w:w="3846" w:type="dxa"/>
            <w:shd w:val="clear" w:color="auto" w:fill="E2E2E2"/>
          </w:tcPr>
          <w:p w:rsidR="003501A1" w:rsidRPr="00A179AE" w:rsidRDefault="003501A1" w:rsidP="004C794A">
            <w:pPr>
              <w:rPr>
                <w:b/>
              </w:rPr>
            </w:pPr>
            <w:r w:rsidRPr="00A179AE">
              <w:rPr>
                <w:b/>
              </w:rPr>
              <w:t>Vplyvy na životné prostredie</w:t>
            </w:r>
          </w:p>
        </w:tc>
        <w:tc>
          <w:tcPr>
            <w:tcW w:w="541" w:type="dxa"/>
            <w:gridSpan w:val="2"/>
            <w:tcBorders>
              <w:right w:val="nil"/>
            </w:tcBorders>
          </w:tcPr>
          <w:p w:rsidR="003501A1" w:rsidRPr="00A179AE" w:rsidRDefault="003501A1" w:rsidP="007B71A4">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3501A1" w:rsidRPr="00A179AE" w:rsidRDefault="003501A1" w:rsidP="007B71A4">
            <w:pPr>
              <w:ind w:right="-108"/>
              <w:rPr>
                <w:b/>
              </w:rPr>
            </w:pPr>
            <w:r w:rsidRPr="00A179AE">
              <w:rPr>
                <w:b/>
              </w:rPr>
              <w:t>Pozitívne</w:t>
            </w:r>
          </w:p>
        </w:tc>
        <w:tc>
          <w:tcPr>
            <w:tcW w:w="569" w:type="dxa"/>
            <w:tcBorders>
              <w:left w:val="nil"/>
              <w:right w:val="nil"/>
            </w:tcBorders>
          </w:tcPr>
          <w:p w:rsidR="003501A1" w:rsidRPr="00A179AE" w:rsidRDefault="00456D18" w:rsidP="007B71A4">
            <w:pPr>
              <w:jc w:val="center"/>
              <w:rPr>
                <w:b/>
              </w:rPr>
            </w:pPr>
            <w:r>
              <w:rPr>
                <w:rFonts w:ascii="MS Gothic" w:eastAsia="MS Gothic" w:hAnsi="MS Gothic" w:hint="eastAsia"/>
                <w:b/>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3501A1" w:rsidP="007B71A4">
            <w:pPr>
              <w:jc w:val="center"/>
              <w:rPr>
                <w:b/>
              </w:rPr>
            </w:pPr>
            <w:r w:rsidRPr="00A179AE">
              <w:rPr>
                <w:rFonts w:ascii="MS Mincho" w:eastAsia="MS Mincho" w:hAnsi="MS Mincho" w:cs="MS Mincho" w:hint="eastAsia"/>
                <w:b/>
              </w:rPr>
              <w:t>☐</w:t>
            </w:r>
          </w:p>
        </w:tc>
        <w:tc>
          <w:tcPr>
            <w:tcW w:w="1297" w:type="dxa"/>
            <w:tcBorders>
              <w:left w:val="nil"/>
            </w:tcBorders>
          </w:tcPr>
          <w:p w:rsidR="003501A1" w:rsidRPr="00A179AE" w:rsidRDefault="003501A1" w:rsidP="007B71A4">
            <w:pPr>
              <w:ind w:left="54"/>
              <w:rPr>
                <w:b/>
              </w:rPr>
            </w:pPr>
            <w:r w:rsidRPr="00A179AE">
              <w:rPr>
                <w:b/>
              </w:rPr>
              <w:t>Negatívne</w:t>
            </w:r>
          </w:p>
        </w:tc>
      </w:tr>
      <w:tr w:rsidR="003501A1" w:rsidRPr="00A179AE" w:rsidTr="00456D18">
        <w:tc>
          <w:tcPr>
            <w:tcW w:w="3846" w:type="dxa"/>
            <w:shd w:val="clear" w:color="auto" w:fill="E2E2E2"/>
          </w:tcPr>
          <w:p w:rsidR="003501A1" w:rsidRPr="00A179AE" w:rsidRDefault="003501A1" w:rsidP="004C794A">
            <w:pPr>
              <w:rPr>
                <w:b/>
              </w:rPr>
            </w:pPr>
            <w:r w:rsidRPr="00A179AE">
              <w:rPr>
                <w:b/>
              </w:rPr>
              <w:t>Vplyvy na informatizáciu</w:t>
            </w:r>
          </w:p>
        </w:tc>
        <w:tc>
          <w:tcPr>
            <w:tcW w:w="541" w:type="dxa"/>
            <w:gridSpan w:val="2"/>
            <w:tcBorders>
              <w:right w:val="nil"/>
            </w:tcBorders>
          </w:tcPr>
          <w:p w:rsidR="003501A1" w:rsidRPr="00A179AE" w:rsidRDefault="003501A1" w:rsidP="007B71A4">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3501A1" w:rsidRPr="00A179AE" w:rsidRDefault="003501A1" w:rsidP="007B71A4">
            <w:pPr>
              <w:ind w:right="-108"/>
              <w:rPr>
                <w:b/>
              </w:rPr>
            </w:pPr>
            <w:r w:rsidRPr="00A179AE">
              <w:rPr>
                <w:b/>
              </w:rPr>
              <w:t>Pozitívne</w:t>
            </w:r>
          </w:p>
        </w:tc>
        <w:tc>
          <w:tcPr>
            <w:tcW w:w="569" w:type="dxa"/>
            <w:tcBorders>
              <w:left w:val="nil"/>
              <w:right w:val="nil"/>
            </w:tcBorders>
          </w:tcPr>
          <w:p w:rsidR="003501A1" w:rsidRPr="00A179AE" w:rsidRDefault="00456D18" w:rsidP="007B71A4">
            <w:pPr>
              <w:jc w:val="center"/>
              <w:rPr>
                <w:b/>
              </w:rPr>
            </w:pPr>
            <w:r>
              <w:rPr>
                <w:rFonts w:ascii="MS Gothic" w:eastAsia="MS Gothic" w:hAnsi="MS Gothic" w:hint="eastAsia"/>
                <w:b/>
              </w:rPr>
              <w:t>☒</w:t>
            </w:r>
          </w:p>
        </w:tc>
        <w:tc>
          <w:tcPr>
            <w:tcW w:w="1133" w:type="dxa"/>
            <w:tcBorders>
              <w:left w:val="nil"/>
              <w:right w:val="nil"/>
            </w:tcBorders>
          </w:tcPr>
          <w:p w:rsidR="003501A1" w:rsidRPr="00A179AE" w:rsidRDefault="003501A1" w:rsidP="007B71A4">
            <w:pPr>
              <w:rPr>
                <w:b/>
              </w:rPr>
            </w:pPr>
            <w:r w:rsidRPr="00A179AE">
              <w:rPr>
                <w:b/>
              </w:rPr>
              <w:t>Žiadne</w:t>
            </w:r>
          </w:p>
        </w:tc>
        <w:tc>
          <w:tcPr>
            <w:tcW w:w="547" w:type="dxa"/>
            <w:gridSpan w:val="2"/>
            <w:tcBorders>
              <w:left w:val="nil"/>
              <w:right w:val="nil"/>
            </w:tcBorders>
          </w:tcPr>
          <w:p w:rsidR="003501A1" w:rsidRPr="00A179AE" w:rsidRDefault="003501A1" w:rsidP="007B71A4">
            <w:pPr>
              <w:jc w:val="center"/>
              <w:rPr>
                <w:b/>
              </w:rPr>
            </w:pPr>
            <w:r w:rsidRPr="00A179AE">
              <w:rPr>
                <w:rFonts w:ascii="MS Mincho" w:eastAsia="MS Mincho" w:hAnsi="MS Mincho" w:cs="MS Mincho" w:hint="eastAsia"/>
                <w:b/>
              </w:rPr>
              <w:t>☐</w:t>
            </w:r>
          </w:p>
        </w:tc>
        <w:tc>
          <w:tcPr>
            <w:tcW w:w="1297" w:type="dxa"/>
            <w:tcBorders>
              <w:left w:val="nil"/>
            </w:tcBorders>
          </w:tcPr>
          <w:p w:rsidR="003501A1" w:rsidRPr="00A179AE" w:rsidRDefault="003501A1" w:rsidP="007B71A4">
            <w:pPr>
              <w:ind w:left="54"/>
              <w:rPr>
                <w:b/>
              </w:rPr>
            </w:pPr>
            <w:r w:rsidRPr="00A179AE">
              <w:rPr>
                <w:b/>
              </w:rPr>
              <w:t>Negatívne</w:t>
            </w:r>
          </w:p>
        </w:tc>
      </w:tr>
    </w:tbl>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6"/>
        <w:gridCol w:w="541"/>
        <w:gridCol w:w="1281"/>
        <w:gridCol w:w="569"/>
        <w:gridCol w:w="1133"/>
        <w:gridCol w:w="547"/>
        <w:gridCol w:w="1297"/>
      </w:tblGrid>
      <w:tr w:rsidR="0045465B" w:rsidRPr="00A179AE" w:rsidTr="00692CA4">
        <w:tc>
          <w:tcPr>
            <w:tcW w:w="3846" w:type="dxa"/>
            <w:tcBorders>
              <w:bottom w:val="nil"/>
            </w:tcBorders>
            <w:shd w:val="clear" w:color="auto" w:fill="E2E2E2"/>
          </w:tcPr>
          <w:p w:rsidR="0045465B" w:rsidRPr="00653ADA" w:rsidRDefault="0045465B" w:rsidP="00B83402">
            <w:pPr>
              <w:rPr>
                <w:b/>
              </w:rPr>
            </w:pPr>
            <w:r>
              <w:rPr>
                <w:b/>
                <w:lang w:eastAsia="en-US"/>
              </w:rPr>
              <w:t>V</w:t>
            </w:r>
            <w:r w:rsidRPr="00127DAC">
              <w:rPr>
                <w:b/>
                <w:lang w:eastAsia="en-US"/>
              </w:rPr>
              <w:t>plyv</w:t>
            </w:r>
            <w:r>
              <w:rPr>
                <w:b/>
                <w:lang w:eastAsia="en-US"/>
              </w:rPr>
              <w:t>y</w:t>
            </w:r>
            <w:r w:rsidRPr="00127DAC">
              <w:rPr>
                <w:b/>
                <w:lang w:eastAsia="en-US"/>
              </w:rPr>
              <w:t xml:space="preserve"> na služby verejnej správy pre občana</w:t>
            </w:r>
            <w:r>
              <w:rPr>
                <w:b/>
                <w:lang w:eastAsia="en-US"/>
              </w:rPr>
              <w:t>, z toho</w:t>
            </w:r>
          </w:p>
        </w:tc>
        <w:tc>
          <w:tcPr>
            <w:tcW w:w="541" w:type="dxa"/>
            <w:tcBorders>
              <w:bottom w:val="nil"/>
              <w:right w:val="nil"/>
            </w:tcBorders>
          </w:tcPr>
          <w:p w:rsidR="0045465B" w:rsidRPr="00653ADA" w:rsidRDefault="0045465B" w:rsidP="00B83402">
            <w:pPr>
              <w:jc w:val="center"/>
              <w:rPr>
                <w:rFonts w:eastAsia="MS Mincho"/>
                <w:b/>
              </w:rPr>
            </w:pPr>
          </w:p>
        </w:tc>
        <w:tc>
          <w:tcPr>
            <w:tcW w:w="1281" w:type="dxa"/>
            <w:tcBorders>
              <w:left w:val="nil"/>
              <w:bottom w:val="nil"/>
              <w:right w:val="nil"/>
            </w:tcBorders>
          </w:tcPr>
          <w:p w:rsidR="0045465B" w:rsidRPr="00653ADA" w:rsidRDefault="0045465B" w:rsidP="00B83402">
            <w:pPr>
              <w:ind w:right="-108"/>
              <w:rPr>
                <w:b/>
              </w:rPr>
            </w:pPr>
          </w:p>
        </w:tc>
        <w:tc>
          <w:tcPr>
            <w:tcW w:w="569" w:type="dxa"/>
            <w:tcBorders>
              <w:left w:val="nil"/>
              <w:bottom w:val="nil"/>
              <w:right w:val="nil"/>
            </w:tcBorders>
          </w:tcPr>
          <w:p w:rsidR="0045465B" w:rsidRPr="00653ADA" w:rsidRDefault="0045465B" w:rsidP="00B83402">
            <w:pPr>
              <w:jc w:val="center"/>
              <w:rPr>
                <w:rFonts w:eastAsia="MS Mincho"/>
                <w:b/>
              </w:rPr>
            </w:pPr>
          </w:p>
        </w:tc>
        <w:tc>
          <w:tcPr>
            <w:tcW w:w="1133" w:type="dxa"/>
            <w:tcBorders>
              <w:left w:val="nil"/>
              <w:bottom w:val="nil"/>
              <w:right w:val="nil"/>
            </w:tcBorders>
          </w:tcPr>
          <w:p w:rsidR="0045465B" w:rsidRPr="00653ADA" w:rsidRDefault="0045465B" w:rsidP="00B83402">
            <w:pPr>
              <w:rPr>
                <w:b/>
              </w:rPr>
            </w:pPr>
          </w:p>
        </w:tc>
        <w:tc>
          <w:tcPr>
            <w:tcW w:w="547" w:type="dxa"/>
            <w:tcBorders>
              <w:left w:val="nil"/>
              <w:bottom w:val="nil"/>
              <w:right w:val="nil"/>
            </w:tcBorders>
          </w:tcPr>
          <w:p w:rsidR="0045465B" w:rsidRPr="00653ADA" w:rsidRDefault="0045465B" w:rsidP="00B83402">
            <w:pPr>
              <w:jc w:val="center"/>
              <w:rPr>
                <w:rFonts w:eastAsia="MS Mincho"/>
                <w:b/>
              </w:rPr>
            </w:pPr>
          </w:p>
        </w:tc>
        <w:tc>
          <w:tcPr>
            <w:tcW w:w="1297" w:type="dxa"/>
            <w:tcBorders>
              <w:left w:val="nil"/>
              <w:bottom w:val="nil"/>
            </w:tcBorders>
          </w:tcPr>
          <w:p w:rsidR="0045465B" w:rsidRPr="00653ADA" w:rsidRDefault="0045465B" w:rsidP="00B83402">
            <w:pPr>
              <w:ind w:left="54"/>
              <w:rPr>
                <w:b/>
              </w:rPr>
            </w:pPr>
          </w:p>
        </w:tc>
      </w:tr>
      <w:tr w:rsidR="001A1559" w:rsidRPr="009634B3" w:rsidTr="00692CA4">
        <w:tc>
          <w:tcPr>
            <w:tcW w:w="3846" w:type="dxa"/>
            <w:tcBorders>
              <w:top w:val="nil"/>
              <w:bottom w:val="nil"/>
            </w:tcBorders>
            <w:shd w:val="clear" w:color="auto" w:fill="E2E2E2"/>
          </w:tcPr>
          <w:p w:rsidR="001A1559" w:rsidRPr="009634B3" w:rsidRDefault="001A1559" w:rsidP="00B83402">
            <w:pPr>
              <w:ind w:left="196" w:hanging="196"/>
              <w:rPr>
                <w:b/>
                <w:lang w:eastAsia="en-US"/>
              </w:rPr>
            </w:pPr>
            <w:r w:rsidRPr="009634B3">
              <w:rPr>
                <w:b/>
                <w:lang w:eastAsia="en-US"/>
              </w:rPr>
              <w:t xml:space="preserve">    vplyvy služieb verejnej správy na občana</w:t>
            </w:r>
          </w:p>
        </w:tc>
        <w:tc>
          <w:tcPr>
            <w:tcW w:w="541" w:type="dxa"/>
            <w:tcBorders>
              <w:top w:val="nil"/>
              <w:bottom w:val="nil"/>
              <w:right w:val="nil"/>
            </w:tcBorders>
          </w:tcPr>
          <w:p w:rsidR="001A1559" w:rsidRPr="00A179AE" w:rsidRDefault="001A1559" w:rsidP="00EB1608">
            <w:pPr>
              <w:jc w:val="center"/>
              <w:rPr>
                <w:b/>
              </w:rPr>
            </w:pPr>
            <w:r>
              <w:rPr>
                <w:rFonts w:ascii="MS Gothic" w:eastAsia="MS Gothic" w:hAnsi="MS Gothic" w:hint="eastAsia"/>
                <w:b/>
              </w:rPr>
              <w:t>☐</w:t>
            </w:r>
          </w:p>
        </w:tc>
        <w:tc>
          <w:tcPr>
            <w:tcW w:w="1281" w:type="dxa"/>
            <w:tcBorders>
              <w:top w:val="nil"/>
              <w:left w:val="nil"/>
              <w:bottom w:val="nil"/>
              <w:right w:val="nil"/>
            </w:tcBorders>
          </w:tcPr>
          <w:p w:rsidR="001A1559" w:rsidRPr="00A179AE" w:rsidRDefault="001A1559" w:rsidP="00EB1608">
            <w:pPr>
              <w:ind w:right="-108"/>
              <w:rPr>
                <w:b/>
              </w:rPr>
            </w:pPr>
            <w:r w:rsidRPr="00A179AE">
              <w:rPr>
                <w:b/>
              </w:rPr>
              <w:t>Pozitívne</w:t>
            </w:r>
          </w:p>
        </w:tc>
        <w:tc>
          <w:tcPr>
            <w:tcW w:w="569" w:type="dxa"/>
            <w:tcBorders>
              <w:top w:val="nil"/>
              <w:left w:val="nil"/>
              <w:bottom w:val="nil"/>
              <w:right w:val="nil"/>
            </w:tcBorders>
          </w:tcPr>
          <w:p w:rsidR="001A1559" w:rsidRPr="00A179AE" w:rsidRDefault="00456D18" w:rsidP="00EB1608">
            <w:pPr>
              <w:jc w:val="center"/>
              <w:rPr>
                <w:b/>
              </w:rPr>
            </w:pPr>
            <w:r>
              <w:rPr>
                <w:rFonts w:ascii="MS Gothic" w:eastAsia="MS Gothic" w:hAnsi="MS Gothic" w:hint="eastAsia"/>
                <w:b/>
              </w:rPr>
              <w:t>☒</w:t>
            </w:r>
          </w:p>
        </w:tc>
        <w:tc>
          <w:tcPr>
            <w:tcW w:w="1133" w:type="dxa"/>
            <w:tcBorders>
              <w:top w:val="nil"/>
              <w:left w:val="nil"/>
              <w:bottom w:val="nil"/>
              <w:right w:val="nil"/>
            </w:tcBorders>
          </w:tcPr>
          <w:p w:rsidR="001A1559" w:rsidRPr="00A179AE" w:rsidRDefault="001A1559" w:rsidP="00EB1608">
            <w:pPr>
              <w:rPr>
                <w:b/>
              </w:rPr>
            </w:pPr>
            <w:r w:rsidRPr="00A179AE">
              <w:rPr>
                <w:b/>
              </w:rPr>
              <w:t>Žiadne</w:t>
            </w:r>
          </w:p>
        </w:tc>
        <w:tc>
          <w:tcPr>
            <w:tcW w:w="547" w:type="dxa"/>
            <w:tcBorders>
              <w:top w:val="nil"/>
              <w:left w:val="nil"/>
              <w:bottom w:val="nil"/>
              <w:right w:val="nil"/>
            </w:tcBorders>
          </w:tcPr>
          <w:p w:rsidR="001A1559" w:rsidRPr="00A179AE" w:rsidRDefault="001A1559" w:rsidP="00EB1608">
            <w:pPr>
              <w:jc w:val="center"/>
              <w:rPr>
                <w:b/>
              </w:rPr>
            </w:pPr>
            <w:r w:rsidRPr="00A179AE">
              <w:rPr>
                <w:rFonts w:ascii="MS Mincho" w:eastAsia="MS Mincho" w:hAnsi="MS Mincho" w:cs="MS Mincho" w:hint="eastAsia"/>
                <w:b/>
              </w:rPr>
              <w:t>☐</w:t>
            </w:r>
          </w:p>
        </w:tc>
        <w:tc>
          <w:tcPr>
            <w:tcW w:w="1297" w:type="dxa"/>
            <w:tcBorders>
              <w:top w:val="nil"/>
              <w:left w:val="nil"/>
              <w:bottom w:val="nil"/>
            </w:tcBorders>
          </w:tcPr>
          <w:p w:rsidR="001A1559" w:rsidRPr="00A179AE" w:rsidRDefault="001A1559" w:rsidP="00EB1608">
            <w:pPr>
              <w:ind w:left="54"/>
              <w:rPr>
                <w:b/>
              </w:rPr>
            </w:pPr>
            <w:r w:rsidRPr="00A179AE">
              <w:rPr>
                <w:b/>
              </w:rPr>
              <w:t>Negatívne</w:t>
            </w:r>
          </w:p>
        </w:tc>
      </w:tr>
      <w:tr w:rsidR="001A1559" w:rsidRPr="009634B3" w:rsidTr="00692CA4">
        <w:tc>
          <w:tcPr>
            <w:tcW w:w="3846" w:type="dxa"/>
            <w:tcBorders>
              <w:top w:val="nil"/>
            </w:tcBorders>
            <w:shd w:val="clear" w:color="auto" w:fill="E2E2E2"/>
          </w:tcPr>
          <w:p w:rsidR="001A1559" w:rsidRPr="009634B3" w:rsidRDefault="001A1559" w:rsidP="00B83402">
            <w:pPr>
              <w:ind w:left="168" w:hanging="168"/>
              <w:rPr>
                <w:b/>
                <w:lang w:eastAsia="en-US"/>
              </w:rPr>
            </w:pPr>
            <w:r>
              <w:rPr>
                <w:b/>
                <w:lang w:eastAsia="en-US"/>
              </w:rPr>
              <w:t xml:space="preserve">    </w:t>
            </w:r>
            <w:r w:rsidRPr="009634B3">
              <w:rPr>
                <w:b/>
                <w:lang w:eastAsia="en-US"/>
              </w:rPr>
              <w:t>vplyvy na procesy služieb vo verejnej správe</w:t>
            </w:r>
          </w:p>
        </w:tc>
        <w:tc>
          <w:tcPr>
            <w:tcW w:w="541" w:type="dxa"/>
            <w:tcBorders>
              <w:top w:val="nil"/>
              <w:right w:val="nil"/>
            </w:tcBorders>
          </w:tcPr>
          <w:p w:rsidR="001A1559" w:rsidRPr="00A179AE" w:rsidRDefault="001A1559" w:rsidP="00EB1608">
            <w:pPr>
              <w:jc w:val="center"/>
              <w:rPr>
                <w:b/>
              </w:rPr>
            </w:pPr>
            <w:r w:rsidRPr="00A179AE">
              <w:rPr>
                <w:rFonts w:ascii="MS Mincho" w:eastAsia="MS Mincho" w:hAnsi="MS Mincho" w:cs="MS Mincho" w:hint="eastAsia"/>
                <w:b/>
              </w:rPr>
              <w:t>☐</w:t>
            </w:r>
          </w:p>
        </w:tc>
        <w:tc>
          <w:tcPr>
            <w:tcW w:w="1281" w:type="dxa"/>
            <w:tcBorders>
              <w:top w:val="nil"/>
              <w:left w:val="nil"/>
              <w:right w:val="nil"/>
            </w:tcBorders>
          </w:tcPr>
          <w:p w:rsidR="001A1559" w:rsidRPr="00A179AE" w:rsidRDefault="001A1559" w:rsidP="00EB1608">
            <w:pPr>
              <w:ind w:right="-108"/>
              <w:rPr>
                <w:b/>
              </w:rPr>
            </w:pPr>
            <w:r w:rsidRPr="00A179AE">
              <w:rPr>
                <w:b/>
              </w:rPr>
              <w:t>Pozitívne</w:t>
            </w:r>
          </w:p>
        </w:tc>
        <w:tc>
          <w:tcPr>
            <w:tcW w:w="569" w:type="dxa"/>
            <w:tcBorders>
              <w:top w:val="nil"/>
              <w:left w:val="nil"/>
              <w:right w:val="nil"/>
            </w:tcBorders>
          </w:tcPr>
          <w:p w:rsidR="001A1559" w:rsidRPr="00A179AE" w:rsidRDefault="00456D18" w:rsidP="00EB1608">
            <w:pPr>
              <w:jc w:val="center"/>
              <w:rPr>
                <w:b/>
              </w:rPr>
            </w:pPr>
            <w:r>
              <w:rPr>
                <w:rFonts w:ascii="MS Gothic" w:eastAsia="MS Gothic" w:hAnsi="MS Gothic" w:hint="eastAsia"/>
                <w:b/>
              </w:rPr>
              <w:t>☒</w:t>
            </w:r>
          </w:p>
        </w:tc>
        <w:tc>
          <w:tcPr>
            <w:tcW w:w="1133" w:type="dxa"/>
            <w:tcBorders>
              <w:top w:val="nil"/>
              <w:left w:val="nil"/>
              <w:right w:val="nil"/>
            </w:tcBorders>
          </w:tcPr>
          <w:p w:rsidR="001A1559" w:rsidRPr="00A179AE" w:rsidRDefault="001A1559" w:rsidP="00EB1608">
            <w:pPr>
              <w:rPr>
                <w:b/>
              </w:rPr>
            </w:pPr>
            <w:r w:rsidRPr="00A179AE">
              <w:rPr>
                <w:b/>
              </w:rPr>
              <w:t>Žiadne</w:t>
            </w:r>
          </w:p>
        </w:tc>
        <w:tc>
          <w:tcPr>
            <w:tcW w:w="547" w:type="dxa"/>
            <w:tcBorders>
              <w:top w:val="nil"/>
              <w:left w:val="nil"/>
              <w:right w:val="nil"/>
            </w:tcBorders>
          </w:tcPr>
          <w:p w:rsidR="001A1559" w:rsidRPr="00A179AE" w:rsidRDefault="001A1559" w:rsidP="00EB1608">
            <w:pPr>
              <w:jc w:val="center"/>
              <w:rPr>
                <w:b/>
              </w:rPr>
            </w:pPr>
            <w:r w:rsidRPr="00A179AE">
              <w:rPr>
                <w:rFonts w:ascii="MS Mincho" w:eastAsia="MS Mincho" w:hAnsi="MS Mincho" w:cs="MS Mincho" w:hint="eastAsia"/>
                <w:b/>
              </w:rPr>
              <w:t>☐</w:t>
            </w:r>
          </w:p>
        </w:tc>
        <w:tc>
          <w:tcPr>
            <w:tcW w:w="1297" w:type="dxa"/>
            <w:tcBorders>
              <w:top w:val="nil"/>
              <w:left w:val="nil"/>
            </w:tcBorders>
          </w:tcPr>
          <w:p w:rsidR="001A1559" w:rsidRPr="00A179AE" w:rsidRDefault="001A1559" w:rsidP="00EB1608">
            <w:pPr>
              <w:ind w:left="54"/>
              <w:rPr>
                <w:b/>
              </w:rPr>
            </w:pPr>
            <w:r w:rsidRPr="00A179AE">
              <w:rPr>
                <w:b/>
              </w:rPr>
              <w:t>Negatívne</w:t>
            </w:r>
          </w:p>
        </w:tc>
      </w:tr>
    </w:tbl>
    <w:p w:rsidR="003501A1" w:rsidRPr="00A179AE" w:rsidRDefault="003501A1" w:rsidP="003501A1">
      <w:pPr>
        <w:ind w:right="141"/>
        <w:rPr>
          <w:b/>
        </w:rPr>
      </w:pPr>
    </w:p>
    <w:tbl>
      <w:tblPr>
        <w:tblStyle w:val="Mriekatabuky"/>
        <w:tblW w:w="9210" w:type="dxa"/>
        <w:tblInd w:w="-34" w:type="dxa"/>
        <w:tblLayout w:type="fixed"/>
        <w:tblLook w:val="04A0" w:firstRow="1" w:lastRow="0" w:firstColumn="1" w:lastColumn="0" w:noHBand="0" w:noVBand="1"/>
      </w:tblPr>
      <w:tblGrid>
        <w:gridCol w:w="9210"/>
      </w:tblGrid>
      <w:tr w:rsidR="004F6F1F" w:rsidRPr="00A179AE" w:rsidTr="00692CA4">
        <w:tc>
          <w:tcPr>
            <w:tcW w:w="9210" w:type="dxa"/>
            <w:tcBorders>
              <w:bottom w:val="nil"/>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Poznámky</w:t>
            </w:r>
          </w:p>
        </w:tc>
      </w:tr>
      <w:tr w:rsidR="004F6F1F" w:rsidRPr="00A179AE" w:rsidTr="00692CA4">
        <w:trPr>
          <w:trHeight w:val="713"/>
        </w:trPr>
        <w:tc>
          <w:tcPr>
            <w:tcW w:w="9210" w:type="dxa"/>
            <w:tcBorders>
              <w:top w:val="nil"/>
              <w:bottom w:val="single" w:sz="4" w:space="0" w:color="FFFFFF" w:themeColor="background1"/>
            </w:tcBorders>
          </w:tcPr>
          <w:p w:rsidR="001C6E08" w:rsidRDefault="0063288D" w:rsidP="001C6E08">
            <w:pPr>
              <w:jc w:val="both"/>
            </w:pPr>
            <w:r>
              <w:t xml:space="preserve">Podľa článku </w:t>
            </w:r>
            <w:r w:rsidR="00BC0EC2" w:rsidRPr="00BC0EC2">
              <w:t>11</w:t>
            </w:r>
            <w:r w:rsidR="007D2155">
              <w:t xml:space="preserve"> Dohovoru</w:t>
            </w:r>
            <w:r w:rsidR="00BC0EC2" w:rsidRPr="00BC0EC2">
              <w:t xml:space="preserve"> majú</w:t>
            </w:r>
            <w:r w:rsidR="007D2155">
              <w:t xml:space="preserve"> zmluvné strany</w:t>
            </w:r>
            <w:r w:rsidR="00BC0EC2" w:rsidRPr="00BC0EC2">
              <w:t xml:space="preserve"> </w:t>
            </w:r>
            <w:r>
              <w:t xml:space="preserve">dohovoru </w:t>
            </w:r>
            <w:r w:rsidR="00BC0EC2" w:rsidRPr="00BC0EC2">
              <w:t>vytvoriť alebo určiť v rámci policajného zboru Národné futbalové</w:t>
            </w:r>
            <w:r w:rsidR="00BC0EC2">
              <w:t xml:space="preserve"> i</w:t>
            </w:r>
            <w:r w:rsidR="00BC0EC2" w:rsidRPr="00BC0EC2">
              <w:t>nformačné</w:t>
            </w:r>
            <w:r w:rsidR="00BC0EC2">
              <w:t xml:space="preserve"> stredisko</w:t>
            </w:r>
            <w:r w:rsidR="007D2155">
              <w:t>. V</w:t>
            </w:r>
            <w:r w:rsidR="00BC0EC2">
              <w:t xml:space="preserve"> podmienkach Slovenskej republiky je takýmto útvarom </w:t>
            </w:r>
            <w:r w:rsidR="00BC0EC2" w:rsidRPr="00BC0EC2">
              <w:t>oddelenie diváckeho násilia</w:t>
            </w:r>
            <w:r w:rsidR="00BC0EC2">
              <w:t xml:space="preserve"> Úradu kriminálnej polície </w:t>
            </w:r>
            <w:r w:rsidR="007D2155">
              <w:t xml:space="preserve">v rámci </w:t>
            </w:r>
            <w:r w:rsidR="00BC0EC2">
              <w:t>Prezídia Policajného zboru</w:t>
            </w:r>
            <w:r w:rsidR="007D2155">
              <w:t xml:space="preserve">, ktoré </w:t>
            </w:r>
            <w:r w:rsidR="007D2155" w:rsidRPr="001C6E08">
              <w:t>bolo vytvorené 1.</w:t>
            </w:r>
            <w:r w:rsidR="007D2155">
              <w:t xml:space="preserve"> júl</w:t>
            </w:r>
            <w:r w:rsidR="00D64428">
              <w:t>a</w:t>
            </w:r>
            <w:r w:rsidR="007D2155">
              <w:t xml:space="preserve"> 2018. </w:t>
            </w:r>
            <w:r w:rsidR="00D64428">
              <w:t>Ďalej na základe</w:t>
            </w:r>
            <w:r w:rsidR="007D2155">
              <w:t xml:space="preserve"> článku 13 Dohovoru má byť zriadený Výbor pre ochranu a bezpečnosť na športových podujatiach na úrovni Rady Európy. Vzhľadom na skutočnosť, že predmetný Dohovor</w:t>
            </w:r>
            <w:r w:rsidR="001C6E08">
              <w:t xml:space="preserve"> je multilaterálnou medzinárodnou zmluvou a už </w:t>
            </w:r>
            <w:r w:rsidR="007D2155">
              <w:t>nadobudol platnosť</w:t>
            </w:r>
            <w:r w:rsidR="001C6E08">
              <w:t xml:space="preserve"> pre viaceré</w:t>
            </w:r>
            <w:r w:rsidR="00D64428">
              <w:t xml:space="preserve"> zmluvné strany, uvedený Výbor </w:t>
            </w:r>
            <w:r w:rsidR="001C6E08">
              <w:t xml:space="preserve">bol </w:t>
            </w:r>
            <w:r w:rsidR="00D64428">
              <w:t xml:space="preserve">už </w:t>
            </w:r>
            <w:r w:rsidR="001C6E08">
              <w:t xml:space="preserve">zriadený a funguje ako stály výbor v rámci Rady Európy. </w:t>
            </w:r>
          </w:p>
          <w:p w:rsidR="007A329F" w:rsidRDefault="001C6E08" w:rsidP="00D64428">
            <w:pPr>
              <w:jc w:val="both"/>
            </w:pPr>
            <w:r>
              <w:t>Na základe vyššie uvedeného možno konštatovať, že predkladaný materiál nemá žiadne vplyvy na rozpočet verejnej správy</w:t>
            </w:r>
            <w:r w:rsidR="00D64428">
              <w:t>.</w:t>
            </w:r>
            <w:r>
              <w:t xml:space="preserve"> Výdavky spojené s fungovaním a činnosťou Národného futbalového informačného strediska a so zabezpečením účasti na </w:t>
            </w:r>
            <w:r w:rsidR="00D64428">
              <w:t>zasadnutiach</w:t>
            </w:r>
            <w:r>
              <w:t xml:space="preserve"> </w:t>
            </w:r>
            <w:r w:rsidRPr="001C6E08">
              <w:t>Výbor</w:t>
            </w:r>
            <w:r>
              <w:t>u</w:t>
            </w:r>
            <w:r w:rsidRPr="001C6E08">
              <w:t xml:space="preserve"> pre ochranu a bezpečnosť na športových podujatiach</w:t>
            </w:r>
            <w:r>
              <w:t xml:space="preserve"> v Štrasburgu sú</w:t>
            </w:r>
            <w:r w:rsidR="00D64428">
              <w:t>/budú</w:t>
            </w:r>
            <w:r>
              <w:t xml:space="preserve"> </w:t>
            </w:r>
            <w:r w:rsidR="00D64428">
              <w:t>zabezpečené v rámci limitu výdavkov ako aj schváleného limitu počtu zamestnancov z </w:t>
            </w:r>
            <w:r>
              <w:t>rozpočtovej kapitoly Ministerstva vnútra Slovenskej republiky</w:t>
            </w:r>
            <w:r w:rsidR="00D64428">
              <w:t xml:space="preserve"> na príslušný rok</w:t>
            </w:r>
            <w:r>
              <w:t xml:space="preserve">. Ministerstvo vnútra Slovenskej republiky nepredpokladá dodatočné požiadavky na štátny rozpočet. </w:t>
            </w:r>
          </w:p>
          <w:p w:rsidR="007A329F" w:rsidRPr="001C6E08" w:rsidRDefault="007A329F" w:rsidP="00D64428">
            <w:pPr>
              <w:jc w:val="both"/>
            </w:pPr>
          </w:p>
        </w:tc>
      </w:tr>
      <w:tr w:rsidR="003501A1" w:rsidRPr="00A179AE" w:rsidTr="00692CA4">
        <w:tc>
          <w:tcPr>
            <w:tcW w:w="9210" w:type="dxa"/>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lastRenderedPageBreak/>
              <w:t>Kontakt na spracovateľa</w:t>
            </w:r>
          </w:p>
        </w:tc>
      </w:tr>
      <w:tr w:rsidR="003501A1" w:rsidRPr="00A179AE" w:rsidTr="00692CA4">
        <w:trPr>
          <w:trHeight w:val="586"/>
        </w:trPr>
        <w:tc>
          <w:tcPr>
            <w:tcW w:w="9210" w:type="dxa"/>
            <w:tcBorders>
              <w:top w:val="single" w:sz="4" w:space="0" w:color="FFFFFF" w:themeColor="background1"/>
            </w:tcBorders>
            <w:shd w:val="clear" w:color="auto" w:fill="FFFFFF" w:themeFill="background1"/>
          </w:tcPr>
          <w:p w:rsidR="00346018" w:rsidRDefault="003D12F4" w:rsidP="003D12F4">
            <w:pPr>
              <w:widowControl w:val="0"/>
              <w:adjustRightInd w:val="0"/>
              <w:rPr>
                <w:szCs w:val="22"/>
              </w:rPr>
            </w:pPr>
            <w:r w:rsidRPr="003D12F4">
              <w:rPr>
                <w:szCs w:val="22"/>
              </w:rPr>
              <w:t xml:space="preserve">JUDr. Katarína Hegyi Almásiová, </w:t>
            </w:r>
          </w:p>
          <w:p w:rsidR="003D12F4" w:rsidRPr="003D12F4" w:rsidRDefault="003D12F4" w:rsidP="003D12F4">
            <w:pPr>
              <w:widowControl w:val="0"/>
              <w:adjustRightInd w:val="0"/>
              <w:rPr>
                <w:szCs w:val="22"/>
              </w:rPr>
            </w:pPr>
            <w:r w:rsidRPr="003D12F4">
              <w:rPr>
                <w:szCs w:val="22"/>
              </w:rPr>
              <w:t>odbor zahraničných vecí a európskych záležitostí Kancelárie ministra vnútra,</w:t>
            </w:r>
          </w:p>
          <w:p w:rsidR="00346018" w:rsidRDefault="003D12F4" w:rsidP="008A5638">
            <w:pPr>
              <w:rPr>
                <w:szCs w:val="22"/>
              </w:rPr>
            </w:pPr>
            <w:r w:rsidRPr="003D12F4">
              <w:rPr>
                <w:szCs w:val="22"/>
              </w:rPr>
              <w:t>Ministerstvo vnútra S</w:t>
            </w:r>
            <w:r w:rsidR="008A5638">
              <w:rPr>
                <w:szCs w:val="22"/>
              </w:rPr>
              <w:t>lovenskej republiky</w:t>
            </w:r>
            <w:r w:rsidRPr="003D12F4">
              <w:rPr>
                <w:szCs w:val="22"/>
              </w:rPr>
              <w:t xml:space="preserve">, </w:t>
            </w:r>
          </w:p>
          <w:p w:rsidR="00346018" w:rsidRDefault="003D12F4" w:rsidP="008A5638">
            <w:pPr>
              <w:rPr>
                <w:szCs w:val="22"/>
              </w:rPr>
            </w:pPr>
            <w:r w:rsidRPr="003D12F4">
              <w:rPr>
                <w:szCs w:val="22"/>
              </w:rPr>
              <w:t xml:space="preserve">tel:  +421 2 509 44 196, </w:t>
            </w:r>
          </w:p>
          <w:p w:rsidR="003501A1" w:rsidRPr="00D13B6F" w:rsidRDefault="003D12F4" w:rsidP="008A5638">
            <w:pPr>
              <w:rPr>
                <w:i/>
              </w:rPr>
            </w:pPr>
            <w:r w:rsidRPr="003D12F4">
              <w:rPr>
                <w:szCs w:val="22"/>
              </w:rPr>
              <w:t>e-mail: katarina.almasiova@minv.sk</w:t>
            </w:r>
          </w:p>
        </w:tc>
      </w:tr>
      <w:tr w:rsidR="003501A1" w:rsidRPr="00A179AE" w:rsidTr="00692CA4">
        <w:tc>
          <w:tcPr>
            <w:tcW w:w="9210" w:type="dxa"/>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Zdroje</w:t>
            </w:r>
          </w:p>
        </w:tc>
      </w:tr>
      <w:tr w:rsidR="003501A1" w:rsidRPr="00A179AE" w:rsidTr="00692CA4">
        <w:trPr>
          <w:trHeight w:val="401"/>
        </w:trPr>
        <w:tc>
          <w:tcPr>
            <w:tcW w:w="9210" w:type="dxa"/>
            <w:tcBorders>
              <w:top w:val="single" w:sz="4" w:space="0" w:color="FFFFFF" w:themeColor="background1"/>
            </w:tcBorders>
            <w:shd w:val="clear" w:color="auto" w:fill="FFFFFF" w:themeFill="background1"/>
          </w:tcPr>
          <w:p w:rsidR="003501A1" w:rsidRPr="00A179AE" w:rsidRDefault="003501A1" w:rsidP="007B71A4">
            <w:pPr>
              <w:rPr>
                <w:i/>
              </w:rPr>
            </w:pPr>
          </w:p>
          <w:p w:rsidR="003501A1" w:rsidRPr="00A179AE" w:rsidRDefault="003501A1" w:rsidP="007B71A4">
            <w:pPr>
              <w:rPr>
                <w:b/>
              </w:rPr>
            </w:pPr>
          </w:p>
        </w:tc>
      </w:tr>
      <w:tr w:rsidR="003501A1" w:rsidRPr="00A179AE" w:rsidTr="00692CA4">
        <w:tc>
          <w:tcPr>
            <w:tcW w:w="9210" w:type="dxa"/>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rsidR="003501A1" w:rsidRPr="00A179AE" w:rsidTr="00692CA4">
        <w:tc>
          <w:tcPr>
            <w:tcW w:w="9210" w:type="dxa"/>
            <w:tcBorders>
              <w:top w:val="single" w:sz="4" w:space="0" w:color="FFFFFF" w:themeColor="background1"/>
            </w:tcBorders>
            <w:shd w:val="clear" w:color="auto" w:fill="FFFFFF" w:themeFill="background1"/>
          </w:tcPr>
          <w:p w:rsidR="003501A1" w:rsidRPr="008769B7" w:rsidRDefault="003501A1" w:rsidP="007B71A4">
            <w:pPr>
              <w:rPr>
                <w:i/>
              </w:rPr>
            </w:pPr>
            <w:r w:rsidRPr="00A179AE">
              <w:rPr>
                <w:i/>
              </w:rPr>
              <w:t xml:space="preserve">Uveďte stanovisko </w:t>
            </w:r>
            <w:r>
              <w:rPr>
                <w:i/>
              </w:rPr>
              <w:t>Komisie pre posudzovanie vybraných vplyvov</w:t>
            </w:r>
            <w:r w:rsidRPr="00A179AE">
              <w:rPr>
                <w:i/>
              </w:rPr>
              <w:t>, ktoré Vám bolo zaslané v rámci predbežného pripomienkového konania</w:t>
            </w:r>
          </w:p>
        </w:tc>
      </w:tr>
    </w:tbl>
    <w:p w:rsidR="00CB3623" w:rsidRDefault="00CB3623" w:rsidP="008769B7"/>
    <w:sectPr w:rsidR="00CB3623" w:rsidSect="004C60B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3F" w:rsidRDefault="00E3383F" w:rsidP="003501A1">
      <w:r>
        <w:separator/>
      </w:r>
    </w:p>
  </w:endnote>
  <w:endnote w:type="continuationSeparator" w:id="0">
    <w:p w:rsidR="00E3383F" w:rsidRDefault="00E3383F"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389528"/>
      <w:docPartObj>
        <w:docPartGallery w:val="Page Numbers (Bottom of Page)"/>
        <w:docPartUnique/>
      </w:docPartObj>
    </w:sdtPr>
    <w:sdtContent>
      <w:p w:rsidR="00FF1E8F" w:rsidRDefault="00FF1E8F">
        <w:pPr>
          <w:pStyle w:val="Pta"/>
          <w:jc w:val="center"/>
        </w:pPr>
        <w:r>
          <w:fldChar w:fldCharType="begin"/>
        </w:r>
        <w:r>
          <w:instrText>PAGE   \* MERGEFORMAT</w:instrText>
        </w:r>
        <w:r>
          <w:fldChar w:fldCharType="separate"/>
        </w:r>
        <w:r>
          <w:rPr>
            <w:noProof/>
          </w:rPr>
          <w:t>1</w:t>
        </w:r>
        <w:r>
          <w:fldChar w:fldCharType="end"/>
        </w:r>
      </w:p>
    </w:sdtContent>
  </w:sdt>
  <w:p w:rsidR="00FF1E8F" w:rsidRDefault="00FF1E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3F" w:rsidRDefault="00E3383F" w:rsidP="003501A1">
      <w:r>
        <w:separator/>
      </w:r>
    </w:p>
  </w:footnote>
  <w:footnote w:type="continuationSeparator" w:id="0">
    <w:p w:rsidR="00E3383F" w:rsidRDefault="00E3383F" w:rsidP="0035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29D9"/>
    <w:multiLevelType w:val="hybridMultilevel"/>
    <w:tmpl w:val="6B5414AC"/>
    <w:lvl w:ilvl="0" w:tplc="8A0A2AE2">
      <w:start w:val="2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36A60"/>
    <w:rsid w:val="000A1572"/>
    <w:rsid w:val="000A15AE"/>
    <w:rsid w:val="000D02F6"/>
    <w:rsid w:val="000D40AB"/>
    <w:rsid w:val="000F5363"/>
    <w:rsid w:val="0011693A"/>
    <w:rsid w:val="00127DAC"/>
    <w:rsid w:val="00134C21"/>
    <w:rsid w:val="00175FD8"/>
    <w:rsid w:val="001A1559"/>
    <w:rsid w:val="001A22EC"/>
    <w:rsid w:val="001C6E08"/>
    <w:rsid w:val="001D5C45"/>
    <w:rsid w:val="00257F2B"/>
    <w:rsid w:val="0028265B"/>
    <w:rsid w:val="00292C9A"/>
    <w:rsid w:val="00341506"/>
    <w:rsid w:val="00344A15"/>
    <w:rsid w:val="00346018"/>
    <w:rsid w:val="003501A1"/>
    <w:rsid w:val="00395098"/>
    <w:rsid w:val="003D12F4"/>
    <w:rsid w:val="003E2EEE"/>
    <w:rsid w:val="0043795F"/>
    <w:rsid w:val="0045465B"/>
    <w:rsid w:val="00456D18"/>
    <w:rsid w:val="004C60B8"/>
    <w:rsid w:val="004C794A"/>
    <w:rsid w:val="004F6F1F"/>
    <w:rsid w:val="004F7D6F"/>
    <w:rsid w:val="00505C5D"/>
    <w:rsid w:val="00526B40"/>
    <w:rsid w:val="00542F32"/>
    <w:rsid w:val="00570B48"/>
    <w:rsid w:val="00575A88"/>
    <w:rsid w:val="005A0880"/>
    <w:rsid w:val="005B649D"/>
    <w:rsid w:val="005B7A8D"/>
    <w:rsid w:val="0063288D"/>
    <w:rsid w:val="00653ADA"/>
    <w:rsid w:val="0067354C"/>
    <w:rsid w:val="00690D9A"/>
    <w:rsid w:val="00692CA4"/>
    <w:rsid w:val="006A0C17"/>
    <w:rsid w:val="006A508C"/>
    <w:rsid w:val="006C3B7D"/>
    <w:rsid w:val="006D73E8"/>
    <w:rsid w:val="007169A2"/>
    <w:rsid w:val="0079689A"/>
    <w:rsid w:val="007A329F"/>
    <w:rsid w:val="007B71A4"/>
    <w:rsid w:val="007C41EE"/>
    <w:rsid w:val="007D2155"/>
    <w:rsid w:val="008769B7"/>
    <w:rsid w:val="00887C80"/>
    <w:rsid w:val="008A5638"/>
    <w:rsid w:val="008B3970"/>
    <w:rsid w:val="009634B3"/>
    <w:rsid w:val="009B4649"/>
    <w:rsid w:val="00A01854"/>
    <w:rsid w:val="00A179AE"/>
    <w:rsid w:val="00A742B7"/>
    <w:rsid w:val="00AB2DB9"/>
    <w:rsid w:val="00AC2477"/>
    <w:rsid w:val="00AD0F07"/>
    <w:rsid w:val="00AD2B9B"/>
    <w:rsid w:val="00B540A3"/>
    <w:rsid w:val="00B65A86"/>
    <w:rsid w:val="00B83402"/>
    <w:rsid w:val="00B93F81"/>
    <w:rsid w:val="00BB593C"/>
    <w:rsid w:val="00BC0EC2"/>
    <w:rsid w:val="00BD5811"/>
    <w:rsid w:val="00BD5F9E"/>
    <w:rsid w:val="00BF3078"/>
    <w:rsid w:val="00BF4E2D"/>
    <w:rsid w:val="00C958D6"/>
    <w:rsid w:val="00CA0201"/>
    <w:rsid w:val="00CB170E"/>
    <w:rsid w:val="00CB3623"/>
    <w:rsid w:val="00CC4C06"/>
    <w:rsid w:val="00CC7B0E"/>
    <w:rsid w:val="00D13B6F"/>
    <w:rsid w:val="00D42B0B"/>
    <w:rsid w:val="00D42F2C"/>
    <w:rsid w:val="00D64428"/>
    <w:rsid w:val="00D75D35"/>
    <w:rsid w:val="00DE2A12"/>
    <w:rsid w:val="00DF0BD9"/>
    <w:rsid w:val="00E15E87"/>
    <w:rsid w:val="00E3383F"/>
    <w:rsid w:val="00EB1608"/>
    <w:rsid w:val="00EB59E3"/>
    <w:rsid w:val="00EF466C"/>
    <w:rsid w:val="00F22831"/>
    <w:rsid w:val="00F62771"/>
    <w:rsid w:val="00F62CDE"/>
    <w:rsid w:val="00F67C6C"/>
    <w:rsid w:val="00FF1E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EE5A96-7255-4621-9364-8E8DB1CC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hAnsiTheme="minorHAns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501A1"/>
    <w:rPr>
      <w:rFonts w:ascii="Tahoma" w:hAnsi="Tahoma" w:cs="Tahoma"/>
      <w:sz w:val="16"/>
      <w:szCs w:val="16"/>
      <w:lang w:val="x-none"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locked/>
    <w:rsid w:val="003501A1"/>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locked/>
    <w:rsid w:val="003501A1"/>
    <w:rPr>
      <w:rFonts w:ascii="Times New Roman" w:hAnsi="Times New Roman" w:cs="Times New Roman"/>
      <w:sz w:val="20"/>
      <w:szCs w:val="20"/>
      <w:lang w:val="x-none"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locked/>
    <w:rsid w:val="00F22831"/>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F22831"/>
    <w:rPr>
      <w:rFonts w:cs="Times New Roman"/>
      <w:vertAlign w:val="superscript"/>
    </w:rPr>
  </w:style>
  <w:style w:type="character" w:styleId="Odkaznakomentr">
    <w:name w:val="annotation reference"/>
    <w:basedOn w:val="Predvolenpsmoodseku"/>
    <w:uiPriority w:val="99"/>
    <w:semiHidden/>
    <w:unhideWhenUsed/>
    <w:rsid w:val="00175FD8"/>
    <w:rPr>
      <w:rFonts w:cs="Times New Roman"/>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locked/>
    <w:rsid w:val="00175FD8"/>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locked/>
    <w:rsid w:val="00175FD8"/>
    <w:rPr>
      <w:rFonts w:ascii="Times New Roman" w:hAnsi="Times New Roman" w:cs="Times New Roman"/>
      <w:b/>
      <w:bCs/>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D9B2-E151-459E-9340-307B65A3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1154</Words>
  <Characters>6580</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Kuchár</dc:creator>
  <cp:lastModifiedBy>Nataša Wiedemannová</cp:lastModifiedBy>
  <cp:revision>16</cp:revision>
  <cp:lastPrinted>2021-09-24T09:01:00Z</cp:lastPrinted>
  <dcterms:created xsi:type="dcterms:W3CDTF">2019-08-02T11:42:00Z</dcterms:created>
  <dcterms:modified xsi:type="dcterms:W3CDTF">2021-09-27T08:41:00Z</dcterms:modified>
</cp:coreProperties>
</file>