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376C9" w14:textId="77777777" w:rsidR="00366E68" w:rsidRDefault="00366E68" w:rsidP="00366E6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6D0AE3F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366E68" w14:paraId="72EF973A" w14:textId="77777777" w:rsidTr="00576EA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EB9A4A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366E68" w14:paraId="7144E8DD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C897B1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366E68" w14:paraId="39719E43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BA664B0" w14:textId="47A65AF5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Návrh zákona, ktorým sa mení a dopĺňa zákon č. 8/2009 Z. z. o cestnej premávke a o zmene a doplnení niektorých zákonov v znení neskorších predpisov a ktorým sa menia a dopĺňajú  niektoré zákony</w:t>
            </w:r>
          </w:p>
        </w:tc>
      </w:tr>
      <w:tr w:rsidR="00366E68" w14:paraId="34A7A8F0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6D1409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366E68" w14:paraId="2FF9848C" w14:textId="77777777" w:rsidTr="00576EA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1F08CEFD" w14:textId="5E316022" w:rsidR="00366E68" w:rsidRDefault="00693B46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693B46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  <w:r w:rsidR="002A21CA">
              <w:rPr>
                <w:rFonts w:ascii="Times" w:hAnsi="Times" w:cs="Times"/>
                <w:sz w:val="20"/>
                <w:szCs w:val="20"/>
              </w:rPr>
              <w:t xml:space="preserve"> Miloš SVRČEK, Romana</w:t>
            </w:r>
            <w:r w:rsidR="00FB0F06">
              <w:rPr>
                <w:rFonts w:ascii="Times" w:hAnsi="Times" w:cs="Times"/>
                <w:sz w:val="20"/>
                <w:szCs w:val="20"/>
              </w:rPr>
              <w:t xml:space="preserve"> TABAK, Radovan SLOBODA, Juraj ŠELIGA</w:t>
            </w:r>
          </w:p>
        </w:tc>
      </w:tr>
      <w:tr w:rsidR="00366E68" w14:paraId="5A0E92F7" w14:textId="77777777" w:rsidTr="00576EA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25EB106" w14:textId="77777777" w:rsidR="00366E68" w:rsidRDefault="00366E68" w:rsidP="00576EAC">
            <w:pPr>
              <w:spacing w:line="276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B9F59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366E68" w14:paraId="78EEA05B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FF0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BCC55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366E68" w14:paraId="58DF6CE7" w14:textId="77777777" w:rsidTr="00576EA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AC0C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712D7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366E68" w14:paraId="5730F484" w14:textId="77777777" w:rsidTr="00576EA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E61C0DF" w14:textId="77777777" w:rsidR="00366E68" w:rsidRDefault="00366E68" w:rsidP="00576EA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3E9E57A8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C214D1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749621DF" w14:textId="042F737F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</w:r>
          </w:p>
        </w:tc>
      </w:tr>
      <w:tr w:rsidR="00366E68" w14:paraId="4DB0D3A5" w14:textId="77777777" w:rsidTr="00576EA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95946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46A50F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466D894B" w14:textId="77777777" w:rsidTr="00576EA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3B4387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03E6C05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7338EB38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9A4AF8A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0A9400F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DEF260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366E68" w14:paraId="184A683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F6C758" w14:textId="60215E30" w:rsidR="00366E68" w:rsidRPr="00FB0F06" w:rsidRDefault="00FB0F06" w:rsidP="00FB0F06">
            <w:pPr>
              <w:jc w:val="both"/>
              <w:rPr>
                <w:rFonts w:ascii="Times" w:hAnsi="Times" w:cs="Times"/>
                <w:strike/>
                <w:color w:val="FF0000"/>
                <w:sz w:val="20"/>
                <w:szCs w:val="20"/>
              </w:rPr>
            </w:pPr>
            <w:r w:rsidRPr="00FB0F06">
              <w:rPr>
                <w:sz w:val="20"/>
                <w:szCs w:val="20"/>
              </w:rPr>
              <w:t>Predbiehanie (predchádzanie) je dynamický jazdný úkon, vykonávaný v pohybe, za jazdy, pri ktorom zvyčajne dochádza aj k vybočeniu zo smeru jazdy, a je teda potrebné zohľadniť viaceré faktory, aby bolo predbiehanie bezpečné a nikoho neohrozilo. Jedným z kľúčových aspektov bezpečného predbehnutia je dodržanie dostatočného bočného odstupu od predbiehaného vozidla.</w:t>
            </w:r>
            <w:r w:rsidRPr="00FB0F06">
              <w:rPr>
                <w:sz w:val="20"/>
                <w:szCs w:val="20"/>
              </w:rPr>
              <w:t xml:space="preserve"> </w:t>
            </w:r>
            <w:r w:rsidRPr="00FB0F06">
              <w:rPr>
                <w:sz w:val="20"/>
                <w:szCs w:val="20"/>
              </w:rPr>
              <w:t>Navrhuje sa preto doplnenie pravidla o predbiehaní tak, aby vodič musel prihliadať najmä na rýchlosť, druh svojho i predchádzaného vozidla, poveternostné podmienky a stav a povahu vozovky, čo sú základné parametre dodržania bezpečnosti.</w:t>
            </w:r>
          </w:p>
        </w:tc>
      </w:tr>
      <w:tr w:rsidR="00366E68" w14:paraId="2B81D7D3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CD986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366E68" w14:paraId="01DB196A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8A5BB21" w14:textId="49C86439" w:rsidR="00FB0F06" w:rsidRPr="00786714" w:rsidRDefault="00E86F00" w:rsidP="00FB0F06">
            <w:pPr>
              <w:contextualSpacing/>
              <w:jc w:val="both"/>
              <w:rPr>
                <w:b/>
              </w:rPr>
            </w:pPr>
            <w:r w:rsidRPr="00E86F00">
              <w:rPr>
                <w:rFonts w:ascii="Times" w:hAnsi="Times" w:cs="Times"/>
                <w:sz w:val="20"/>
                <w:szCs w:val="20"/>
              </w:rPr>
              <w:t>V rámci navrh</w:t>
            </w:r>
            <w:r>
              <w:rPr>
                <w:rFonts w:ascii="Times" w:hAnsi="Times" w:cs="Times"/>
                <w:sz w:val="20"/>
                <w:szCs w:val="20"/>
              </w:rPr>
              <w:t>ovanej právnej úpravy sa navrhuje</w:t>
            </w:r>
            <w:r w:rsidRPr="00E86F0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FB0F06" w:rsidRPr="00FB0F06">
              <w:rPr>
                <w:sz w:val="20"/>
                <w:szCs w:val="20"/>
              </w:rPr>
              <w:t>s</w:t>
            </w:r>
            <w:r w:rsidR="00FB0F06" w:rsidRPr="00FB0F06">
              <w:rPr>
                <w:sz w:val="20"/>
                <w:szCs w:val="20"/>
              </w:rPr>
              <w:t>presnenie bočného odstupu najmä pri predbiehaní zraniteľných účastníkov cestnej premávky.</w:t>
            </w:r>
            <w:r w:rsidR="00FB0F06">
              <w:rPr>
                <w:sz w:val="20"/>
                <w:szCs w:val="20"/>
              </w:rPr>
              <w:t xml:space="preserve"> </w:t>
            </w:r>
            <w:r w:rsidR="00FB0F06" w:rsidRPr="00FB0F06">
              <w:rPr>
                <w:sz w:val="20"/>
                <w:szCs w:val="20"/>
              </w:rPr>
              <w:t>Okrem základných parametrov bezpečného predbiehania sa navrhuje do zákona ustanoviť navyše aj minimálnu bočnú vzdialenosť, ktorú by mal predchádzajúci vodič dodržať pri predchádzaní malých motocyklov, cyklistov a chodcov (odstup spravidla najmenej 1 meter pri najvyššej dovolenej rýchlosti do 50 km/h a najmenej 1,5 m v ostatných prípadoch).</w:t>
            </w:r>
          </w:p>
          <w:p w14:paraId="2F419418" w14:textId="39C5143A" w:rsidR="00E86F00" w:rsidRDefault="00E86F00" w:rsidP="00576EAC">
            <w:pPr>
              <w:spacing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10EC0EB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D6AAFE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366E68" w14:paraId="49AA983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AFC3C85" w14:textId="47F9B4BF" w:rsidR="00366E68" w:rsidRDefault="00E86F00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Účastníci cestnej premávky.</w:t>
            </w:r>
          </w:p>
        </w:tc>
      </w:tr>
      <w:tr w:rsidR="00366E68" w14:paraId="30D6BE61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09DCD3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366E68" w14:paraId="2520C948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9524B55" w14:textId="217FDC57" w:rsidR="00366E68" w:rsidRPr="00E86F00" w:rsidRDefault="00E86F00" w:rsidP="00E86F00">
            <w:pPr>
              <w:pStyle w:val="Odsekzoznamu"/>
              <w:spacing w:line="276" w:lineRule="auto"/>
              <w:ind w:left="405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4504887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D69AF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366E68" w14:paraId="2CD70A8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9F5269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Predpokladá sa prijatie/zmena vykonávacích predpisov?                           </w:t>
            </w:r>
            <w:r w:rsidR="00FE30F8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Áno           </w:t>
            </w:r>
            <w:r w:rsidR="00FE30F8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Nie</w:t>
            </w:r>
          </w:p>
        </w:tc>
      </w:tr>
      <w:tr w:rsidR="00366E68" w14:paraId="561D1DC7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0BBF7C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366E68" w14:paraId="0D25AD9D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360C33A2" w14:textId="44CA1D2B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  <w:tr w:rsidR="00366E68" w14:paraId="0EFC9136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98218C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lastRenderedPageBreak/>
              <w:t>  8.  Preskúmanie účelnosti**</w:t>
            </w:r>
          </w:p>
        </w:tc>
      </w:tr>
      <w:tr w:rsidR="00366E68" w14:paraId="74CCE359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A5B8A14" w14:textId="02A1B256" w:rsidR="00366E68" w:rsidRPr="00C75541" w:rsidRDefault="00C75541" w:rsidP="00C75541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       </w:t>
            </w:r>
            <w:r w:rsidRPr="00C75541">
              <w:rPr>
                <w:rFonts w:ascii="Times" w:hAnsi="Times" w:cs="Times"/>
                <w:sz w:val="20"/>
                <w:szCs w:val="20"/>
              </w:rPr>
              <w:t>---</w:t>
            </w:r>
          </w:p>
        </w:tc>
      </w:tr>
    </w:tbl>
    <w:p w14:paraId="733AD579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31C84CF" w14:textId="77777777" w:rsidR="00366E68" w:rsidRDefault="00366E68" w:rsidP="00366E68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681FCACB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26B3C688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59D421C0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366E68" w14:paraId="6D5C1545" w14:textId="77777777" w:rsidTr="00576EA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A1FB47E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366E68" w14:paraId="172D205A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0A8ED8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E333B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045B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AE3B7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1273E62C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CC6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5402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CCE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660253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366E68" w14:paraId="4ECF828F" w14:textId="77777777" w:rsidTr="00576EA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351EC6C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94D1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50ED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F5805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1F5D726" w14:textId="77777777" w:rsidTr="00576EA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74E7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18A4D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3714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6DDB1A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1C4AC6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F4B811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4BA68" w14:textId="13A97173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FA47" w14:textId="6672155A" w:rsidR="00366E68" w:rsidRPr="00235E06" w:rsidRDefault="00366E68" w:rsidP="008B358E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="008B358E"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3E814F1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2F312A92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117C7D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A2859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AB35F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C5049EE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7E8FF1F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C3AE74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83AA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F1605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7CB998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7BD7407C" w14:textId="77777777" w:rsidTr="00576EA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0900854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3D9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43AE7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2884705C" w14:textId="77777777" w:rsidR="00366E68" w:rsidRPr="00235E06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43346182" w14:textId="77777777" w:rsidTr="00576EA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1C56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ED551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A302F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3757E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366E68" w14:paraId="08A46861" w14:textId="77777777" w:rsidTr="00576EA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B8D863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347C0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AB5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790D272A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2644F6EE" w14:textId="77777777" w:rsidR="00366E68" w:rsidRDefault="00366E68" w:rsidP="00366E68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EC1C9F3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366E68" w14:paraId="1930A5DE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2B6D3FAD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366E68" w14:paraId="1C999FA4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A57FD34" w14:textId="77777777" w:rsidR="00366E68" w:rsidRDefault="00366E68" w:rsidP="00576EAC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366E68" w14:paraId="014F7F50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C8E11D9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366E68" w14:paraId="1558F2F7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1D3CC7E" w14:textId="0AF2F6DA" w:rsidR="00366E68" w:rsidRDefault="00FB0F06" w:rsidP="00576EAC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milos_svrcek@nrsr.sk</w:t>
            </w:r>
          </w:p>
        </w:tc>
      </w:tr>
      <w:tr w:rsidR="00366E68" w14:paraId="5B048672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06DAFF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366E68" w14:paraId="32AB8195" w14:textId="77777777" w:rsidTr="00576EA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7A6BCF2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66E68" w14:paraId="52F49BA4" w14:textId="77777777" w:rsidTr="00576EA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896F9A8" w14:textId="77777777" w:rsidR="00366E68" w:rsidRDefault="00366E68" w:rsidP="00576EAC">
            <w:pPr>
              <w:spacing w:line="276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366E68" w14:paraId="6240B379" w14:textId="77777777" w:rsidTr="00576EA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D03B4EE" w14:textId="77777777" w:rsidR="00366E68" w:rsidRDefault="00366E68" w:rsidP="00576EA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67321ED1" w14:textId="77777777" w:rsidR="00366E68" w:rsidRDefault="00366E68" w:rsidP="00366E68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14:paraId="08D52D6B" w14:textId="77777777" w:rsidR="00366E68" w:rsidRPr="00A3271B" w:rsidRDefault="00366E68" w:rsidP="00366E68">
      <w:pPr>
        <w:spacing w:after="200" w:line="276" w:lineRule="auto"/>
        <w:rPr>
          <w:b/>
          <w:bCs/>
          <w:spacing w:val="30"/>
        </w:rPr>
      </w:pPr>
    </w:p>
    <w:p w14:paraId="753C0E27" w14:textId="77777777" w:rsidR="00366E68" w:rsidRDefault="00366E68" w:rsidP="00643E95">
      <w:pPr>
        <w:jc w:val="both"/>
      </w:pPr>
    </w:p>
    <w:p w14:paraId="1BF7D56C" w14:textId="77777777" w:rsidR="00366E68" w:rsidRDefault="00366E68" w:rsidP="006A1DBE">
      <w:pPr>
        <w:ind w:firstLine="720"/>
        <w:jc w:val="both"/>
      </w:pPr>
    </w:p>
    <w:p w14:paraId="0DC34F67" w14:textId="77777777" w:rsidR="00642C04" w:rsidRDefault="00642C04" w:rsidP="00366E68">
      <w:pPr>
        <w:jc w:val="center"/>
        <w:rPr>
          <w:b/>
          <w:caps/>
          <w:spacing w:val="30"/>
          <w:sz w:val="25"/>
          <w:szCs w:val="25"/>
        </w:rPr>
      </w:pPr>
    </w:p>
    <w:p w14:paraId="18C9DA9E" w14:textId="77777777" w:rsidR="00643E95" w:rsidRDefault="00643E95" w:rsidP="00366E68">
      <w:pPr>
        <w:jc w:val="center"/>
        <w:rPr>
          <w:b/>
          <w:caps/>
          <w:spacing w:val="30"/>
          <w:sz w:val="25"/>
          <w:szCs w:val="25"/>
        </w:rPr>
      </w:pPr>
    </w:p>
    <w:p w14:paraId="4959D1DE" w14:textId="4134B00D" w:rsidR="00366E68" w:rsidRDefault="00366E68"/>
    <w:p w14:paraId="1D52B047" w14:textId="77777777" w:rsidR="00E86F00" w:rsidRDefault="00E86F00"/>
    <w:p w14:paraId="62D75839" w14:textId="77777777" w:rsidR="002363CC" w:rsidRDefault="002363CC" w:rsidP="002363CC">
      <w:pPr>
        <w:jc w:val="center"/>
        <w:rPr>
          <w:b/>
          <w:caps/>
          <w:spacing w:val="30"/>
          <w:sz w:val="25"/>
          <w:szCs w:val="25"/>
        </w:rPr>
      </w:pPr>
      <w:r>
        <w:rPr>
          <w:b/>
          <w:caps/>
          <w:spacing w:val="30"/>
          <w:sz w:val="25"/>
          <w:szCs w:val="25"/>
        </w:rPr>
        <w:t>Doložka zlučiteľnosti</w:t>
      </w:r>
    </w:p>
    <w:p w14:paraId="7A607977" w14:textId="77777777" w:rsidR="002363CC" w:rsidRDefault="002363CC" w:rsidP="002363C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návrhu právneho predpisu s právom Európskej únie</w:t>
      </w:r>
    </w:p>
    <w:p w14:paraId="6220C69C" w14:textId="77777777" w:rsidR="002363CC" w:rsidRDefault="002363CC" w:rsidP="002363CC">
      <w:pPr>
        <w:jc w:val="center"/>
        <w:rPr>
          <w:b/>
          <w:sz w:val="25"/>
          <w:szCs w:val="25"/>
        </w:rPr>
      </w:pPr>
    </w:p>
    <w:p w14:paraId="1E703C98" w14:textId="77777777" w:rsidR="002363CC" w:rsidRDefault="002363CC" w:rsidP="002363CC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2363CC" w14:paraId="09E15481" w14:textId="77777777" w:rsidTr="00275CA9">
        <w:tc>
          <w:tcPr>
            <w:tcW w:w="404" w:type="dxa"/>
            <w:hideMark/>
          </w:tcPr>
          <w:p w14:paraId="52D1589A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hideMark/>
          </w:tcPr>
          <w:p w14:paraId="4440ED6D" w14:textId="4B0806A7" w:rsidR="002363CC" w:rsidRDefault="002363CC" w:rsidP="00275CA9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Navrhovateľ právneho predpisu: </w:t>
            </w:r>
            <w:r w:rsidRPr="00693B46">
              <w:rPr>
                <w:sz w:val="25"/>
                <w:szCs w:val="25"/>
              </w:rPr>
              <w:t>Poslanci Národnej rady Slovenskej republiky</w:t>
            </w:r>
            <w:r w:rsidR="00FB0F06">
              <w:rPr>
                <w:sz w:val="25"/>
                <w:szCs w:val="25"/>
              </w:rPr>
              <w:t xml:space="preserve"> Miloš SVRČEK, Romana TABAK, Radovan SLOBODA, Juraj ŠELIGA</w:t>
            </w:r>
          </w:p>
        </w:tc>
      </w:tr>
      <w:tr w:rsidR="002363CC" w14:paraId="0F799670" w14:textId="77777777" w:rsidTr="00275CA9">
        <w:tc>
          <w:tcPr>
            <w:tcW w:w="404" w:type="dxa"/>
          </w:tcPr>
          <w:p w14:paraId="24738D8A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0009B536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79F6D476" w14:textId="77777777" w:rsidTr="00275CA9">
        <w:tc>
          <w:tcPr>
            <w:tcW w:w="404" w:type="dxa"/>
            <w:hideMark/>
          </w:tcPr>
          <w:p w14:paraId="468CF48C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hideMark/>
          </w:tcPr>
          <w:p w14:paraId="288E6649" w14:textId="68831A53" w:rsidR="002363CC" w:rsidRDefault="002363CC" w:rsidP="00C75541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Názov návrhu právneho predpisu:</w:t>
            </w:r>
            <w:r>
              <w:rPr>
                <w:sz w:val="25"/>
                <w:szCs w:val="25"/>
              </w:rPr>
              <w:t xml:space="preserve">  </w:t>
            </w:r>
            <w:r w:rsidR="00C75541" w:rsidRPr="00C75541">
              <w:rPr>
                <w:sz w:val="25"/>
                <w:szCs w:val="25"/>
              </w:rPr>
              <w:t xml:space="preserve">Návrh zákona, ktorým sa mení a dopĺňa zákon č. 8/2009 Z. z. o cestnej premávke a o zmene a doplnení niektorých zákonov v znení neskorších predpisov a ktorým sa menia a dopĺňajú  niektoré zákony </w:t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>
              <w:rPr>
                <w:sz w:val="25"/>
                <w:szCs w:val="25"/>
              </w:rPr>
              <w:fldChar w:fldCharType="end"/>
            </w:r>
            <w:r>
              <w:rPr>
                <w:sz w:val="25"/>
                <w:szCs w:val="25"/>
              </w:rPr>
              <w:fldChar w:fldCharType="begin"/>
            </w:r>
            <w:r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>
              <w:rPr>
                <w:sz w:val="25"/>
                <w:szCs w:val="25"/>
              </w:rPr>
              <w:fldChar w:fldCharType="end"/>
            </w:r>
          </w:p>
        </w:tc>
      </w:tr>
      <w:tr w:rsidR="002363CC" w14:paraId="0960CA99" w14:textId="77777777" w:rsidTr="00275CA9">
        <w:tc>
          <w:tcPr>
            <w:tcW w:w="404" w:type="dxa"/>
          </w:tcPr>
          <w:p w14:paraId="0D4199D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</w:tcPr>
          <w:p w14:paraId="28B6D6F2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4391B6C4" w14:textId="77777777" w:rsidTr="00275CA9">
        <w:tc>
          <w:tcPr>
            <w:tcW w:w="404" w:type="dxa"/>
            <w:hideMark/>
          </w:tcPr>
          <w:p w14:paraId="61490A66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4A20DB72" w14:textId="77777777" w:rsidR="002363CC" w:rsidRDefault="002363CC" w:rsidP="00275CA9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Predmet návrhu právneho predpisu:</w:t>
            </w:r>
          </w:p>
          <w:p w14:paraId="698F8FEF" w14:textId="77777777" w:rsidR="002363CC" w:rsidRDefault="002363CC" w:rsidP="00275CA9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2363CC" w14:paraId="069F0198" w14:textId="77777777" w:rsidTr="00275CA9">
        <w:tc>
          <w:tcPr>
            <w:tcW w:w="404" w:type="dxa"/>
          </w:tcPr>
          <w:p w14:paraId="481D491B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268A6AB9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a) </w:t>
            </w:r>
            <w:r>
              <w:rPr>
                <w:color w:val="000000"/>
                <w:sz w:val="25"/>
                <w:szCs w:val="25"/>
              </w:rPr>
              <w:t>nie je upravený v primárnom práve Európskej únie</w:t>
            </w:r>
          </w:p>
          <w:p w14:paraId="272D13D9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b) </w:t>
            </w:r>
            <w:r>
              <w:rPr>
                <w:color w:val="000000"/>
                <w:sz w:val="25"/>
                <w:szCs w:val="25"/>
              </w:rPr>
              <w:t>nie je upravený v sekundárnom práve Európskej únie</w:t>
            </w:r>
          </w:p>
          <w:p w14:paraId="075F411B" w14:textId="77777777" w:rsidR="002363CC" w:rsidRDefault="002363CC" w:rsidP="00275CA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</w:rPr>
              <w:t xml:space="preserve">c) </w:t>
            </w:r>
            <w:r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14:paraId="6C51510B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6E43D3F2" w14:textId="77777777" w:rsidTr="00275CA9">
        <w:tc>
          <w:tcPr>
            <w:tcW w:w="404" w:type="dxa"/>
          </w:tcPr>
          <w:p w14:paraId="1D0CDB98" w14:textId="77777777" w:rsidR="002363CC" w:rsidRDefault="002363CC" w:rsidP="00275CA9">
            <w:pPr>
              <w:tabs>
                <w:tab w:val="left" w:pos="360"/>
              </w:tabs>
            </w:pPr>
          </w:p>
        </w:tc>
        <w:tc>
          <w:tcPr>
            <w:tcW w:w="9627" w:type="dxa"/>
          </w:tcPr>
          <w:p w14:paraId="1151129D" w14:textId="77777777" w:rsidR="002363CC" w:rsidRDefault="002363CC" w:rsidP="00275CA9">
            <w:pPr>
              <w:pStyle w:val="Odsekzoznamu"/>
              <w:tabs>
                <w:tab w:val="left" w:pos="360"/>
              </w:tabs>
              <w:ind w:left="360"/>
            </w:pPr>
          </w:p>
        </w:tc>
      </w:tr>
      <w:tr w:rsidR="002363CC" w14:paraId="3267F3EE" w14:textId="77777777" w:rsidTr="00275CA9">
        <w:tc>
          <w:tcPr>
            <w:tcW w:w="404" w:type="dxa"/>
          </w:tcPr>
          <w:p w14:paraId="3B26CC9F" w14:textId="77777777" w:rsidR="002363CC" w:rsidRDefault="002363CC" w:rsidP="00275CA9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9627" w:type="dxa"/>
          </w:tcPr>
          <w:p w14:paraId="5A84C434" w14:textId="77777777" w:rsidR="002363CC" w:rsidRDefault="002363CC" w:rsidP="00275CA9">
            <w:pPr>
              <w:tabs>
                <w:tab w:val="left" w:pos="360"/>
              </w:tabs>
            </w:pPr>
          </w:p>
        </w:tc>
      </w:tr>
    </w:tbl>
    <w:p w14:paraId="5905C0A9" w14:textId="77777777" w:rsidR="002363CC" w:rsidRDefault="002363CC" w:rsidP="002363CC">
      <w:pPr>
        <w:tabs>
          <w:tab w:val="left" w:pos="360"/>
        </w:tabs>
      </w:pPr>
    </w:p>
    <w:p w14:paraId="4CBCED02" w14:textId="77777777" w:rsidR="002363CC" w:rsidRDefault="002363CC" w:rsidP="002363CC">
      <w:pPr>
        <w:tabs>
          <w:tab w:val="left" w:pos="360"/>
        </w:tabs>
        <w:jc w:val="both"/>
      </w:pPr>
      <w:r>
        <w:rPr>
          <w:rFonts w:ascii="Times" w:hAnsi="Times" w:cs="Times"/>
          <w:b/>
          <w:bCs/>
          <w:sz w:val="25"/>
          <w:szCs w:val="25"/>
        </w:rPr>
        <w:t>Predmet návrhu právneho predpisu nie je v práve Európskej únie upravený, preto sa body 4 a 5 nevypĺňajú.</w:t>
      </w:r>
    </w:p>
    <w:p w14:paraId="06DD48DC" w14:textId="77777777" w:rsidR="002363CC" w:rsidRDefault="002363CC" w:rsidP="002363CC">
      <w:pPr>
        <w:spacing w:after="200" w:line="276" w:lineRule="auto"/>
        <w:rPr>
          <w:b/>
        </w:rPr>
      </w:pPr>
    </w:p>
    <w:p w14:paraId="7240DF4F" w14:textId="77777777" w:rsidR="002363CC" w:rsidRDefault="002363CC" w:rsidP="002363CC">
      <w:pPr>
        <w:jc w:val="both"/>
        <w:rPr>
          <w:b/>
        </w:rPr>
      </w:pPr>
    </w:p>
    <w:p w14:paraId="3DC3CD2A" w14:textId="77777777" w:rsidR="002363CC" w:rsidRDefault="002363CC" w:rsidP="002363CC">
      <w:pPr>
        <w:ind w:firstLine="720"/>
        <w:jc w:val="both"/>
      </w:pPr>
    </w:p>
    <w:p w14:paraId="1BA29AA7" w14:textId="77777777" w:rsidR="002363CC" w:rsidRPr="00962FCA" w:rsidRDefault="002363CC" w:rsidP="002363CC">
      <w:pPr>
        <w:autoSpaceDE w:val="0"/>
        <w:ind w:firstLine="708"/>
        <w:jc w:val="both"/>
        <w:rPr>
          <w:rFonts w:eastAsia="Times New Roman"/>
        </w:rPr>
      </w:pPr>
    </w:p>
    <w:p w14:paraId="4813BCB4" w14:textId="77777777" w:rsidR="002363CC" w:rsidRDefault="002363CC" w:rsidP="002363CC"/>
    <w:p w14:paraId="383B1C88" w14:textId="77777777" w:rsidR="002363CC" w:rsidRDefault="002363CC" w:rsidP="002363CC"/>
    <w:p w14:paraId="4EC270C3" w14:textId="77777777" w:rsidR="002363CC" w:rsidRDefault="002363CC" w:rsidP="002363CC"/>
    <w:p w14:paraId="146CBD23" w14:textId="77777777" w:rsidR="002363CC" w:rsidRDefault="002363CC" w:rsidP="002363CC"/>
    <w:p w14:paraId="2AA0A874" w14:textId="77777777" w:rsidR="002363CC" w:rsidRDefault="002363CC" w:rsidP="002363CC"/>
    <w:p w14:paraId="706B4194" w14:textId="77777777" w:rsidR="002363CC" w:rsidRDefault="002363CC" w:rsidP="002363CC"/>
    <w:p w14:paraId="5DBFC9FE" w14:textId="77777777" w:rsidR="002363CC" w:rsidRDefault="002363CC" w:rsidP="002363CC"/>
    <w:p w14:paraId="39CFD015" w14:textId="77777777" w:rsidR="00366E68" w:rsidRDefault="00366E68"/>
    <w:p w14:paraId="746E9948" w14:textId="77777777" w:rsidR="00366E68" w:rsidRDefault="00366E68"/>
    <w:p w14:paraId="51FB4F53" w14:textId="77777777" w:rsidR="00366E68" w:rsidRDefault="00366E68"/>
    <w:p w14:paraId="311EF9D8" w14:textId="77777777" w:rsidR="00366E68" w:rsidRDefault="00366E68"/>
    <w:p w14:paraId="0C63B361" w14:textId="77777777" w:rsidR="00366E68" w:rsidRDefault="00366E68"/>
    <w:p w14:paraId="67E556E5" w14:textId="77777777" w:rsidR="00366E68" w:rsidRDefault="00366E68"/>
    <w:p w14:paraId="6443740B" w14:textId="77777777" w:rsidR="00366E68" w:rsidRDefault="00366E68"/>
    <w:p w14:paraId="0AC7B692" w14:textId="77777777" w:rsidR="00366E68" w:rsidRDefault="00366E68"/>
    <w:p w14:paraId="2AB3BA16" w14:textId="77777777" w:rsidR="00366E68" w:rsidRDefault="00366E68"/>
    <w:p w14:paraId="4BF69690" w14:textId="77777777" w:rsidR="00366E68" w:rsidRDefault="00366E68"/>
    <w:p w14:paraId="4DFAF179" w14:textId="77777777" w:rsidR="00366E68" w:rsidRDefault="00366E68"/>
    <w:p w14:paraId="2F0E7CA9" w14:textId="77777777" w:rsidR="00194F85" w:rsidRDefault="00194F85" w:rsidP="00366E68">
      <w:pPr>
        <w:jc w:val="both"/>
        <w:rPr>
          <w:b/>
        </w:rPr>
      </w:pPr>
    </w:p>
    <w:sectPr w:rsidR="00194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2EE"/>
    <w:multiLevelType w:val="hybridMultilevel"/>
    <w:tmpl w:val="60E6ED52"/>
    <w:lvl w:ilvl="0" w:tplc="DEF28270">
      <w:start w:val="7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007E8"/>
    <w:multiLevelType w:val="hybridMultilevel"/>
    <w:tmpl w:val="1436DB26"/>
    <w:lvl w:ilvl="0" w:tplc="A5A07544">
      <w:start w:val="8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A639F"/>
    <w:multiLevelType w:val="hybridMultilevel"/>
    <w:tmpl w:val="2B0A7790"/>
    <w:lvl w:ilvl="0" w:tplc="02780668">
      <w:start w:val="5"/>
      <w:numFmt w:val="bullet"/>
      <w:lvlText w:val="-"/>
      <w:lvlJc w:val="left"/>
      <w:pPr>
        <w:ind w:left="405" w:hanging="360"/>
      </w:pPr>
      <w:rPr>
        <w:rFonts w:ascii="Times" w:eastAsiaTheme="minorEastAsia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BE"/>
    <w:rsid w:val="000F1622"/>
    <w:rsid w:val="00154480"/>
    <w:rsid w:val="00194F85"/>
    <w:rsid w:val="002363CC"/>
    <w:rsid w:val="002A21CA"/>
    <w:rsid w:val="00366E68"/>
    <w:rsid w:val="004C29B2"/>
    <w:rsid w:val="004D56A3"/>
    <w:rsid w:val="004F1D6F"/>
    <w:rsid w:val="0052758C"/>
    <w:rsid w:val="005B393F"/>
    <w:rsid w:val="00642C04"/>
    <w:rsid w:val="00643E95"/>
    <w:rsid w:val="00693B46"/>
    <w:rsid w:val="006A1DBE"/>
    <w:rsid w:val="00741060"/>
    <w:rsid w:val="00834C2F"/>
    <w:rsid w:val="00882EDF"/>
    <w:rsid w:val="008B358E"/>
    <w:rsid w:val="008B3B9B"/>
    <w:rsid w:val="008F7E39"/>
    <w:rsid w:val="00984CFC"/>
    <w:rsid w:val="00985AB6"/>
    <w:rsid w:val="00A217D2"/>
    <w:rsid w:val="00B13544"/>
    <w:rsid w:val="00B157D0"/>
    <w:rsid w:val="00BB695D"/>
    <w:rsid w:val="00C10F55"/>
    <w:rsid w:val="00C3011C"/>
    <w:rsid w:val="00C45DE2"/>
    <w:rsid w:val="00C75541"/>
    <w:rsid w:val="00D12E03"/>
    <w:rsid w:val="00D14B84"/>
    <w:rsid w:val="00DA7182"/>
    <w:rsid w:val="00E35AE9"/>
    <w:rsid w:val="00E503F6"/>
    <w:rsid w:val="00E86F00"/>
    <w:rsid w:val="00EA21C2"/>
    <w:rsid w:val="00EB59B3"/>
    <w:rsid w:val="00FB0F06"/>
    <w:rsid w:val="00FE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F817"/>
  <w15:chartTrackingRefBased/>
  <w15:docId w15:val="{D7787EDC-4A29-4F54-9842-79386E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DB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366E68"/>
    <w:pPr>
      <w:spacing w:before="100" w:beforeAutospacing="1" w:after="100" w:afterAutospacing="1"/>
    </w:pPr>
    <w:rPr>
      <w:rFonts w:eastAsia="Times New Roman"/>
    </w:rPr>
  </w:style>
  <w:style w:type="paragraph" w:styleId="Odsekzoznamu">
    <w:name w:val="List Paragraph"/>
    <w:basedOn w:val="Normlny"/>
    <w:uiPriority w:val="34"/>
    <w:qFormat/>
    <w:rsid w:val="00366E68"/>
    <w:pPr>
      <w:ind w:left="720"/>
      <w:contextualSpacing/>
    </w:pPr>
  </w:style>
  <w:style w:type="table" w:styleId="Mriekatabuky">
    <w:name w:val="Table Grid"/>
    <w:basedOn w:val="Normlnatabuka"/>
    <w:uiPriority w:val="99"/>
    <w:rsid w:val="00366E6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12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2E03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Svrček, Miloš</dc:creator>
  <cp:keywords/>
  <dc:description/>
  <cp:lastModifiedBy>Svrček, Miloš</cp:lastModifiedBy>
  <cp:revision>4</cp:revision>
  <cp:lastPrinted>2021-09-30T21:19:00Z</cp:lastPrinted>
  <dcterms:created xsi:type="dcterms:W3CDTF">2021-09-30T21:10:00Z</dcterms:created>
  <dcterms:modified xsi:type="dcterms:W3CDTF">2021-09-30T21:20:00Z</dcterms:modified>
</cp:coreProperties>
</file>