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C1F" w:rsidRDefault="00652C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Dôvodová správa</w:t>
      </w:r>
    </w:p>
    <w:p w:rsidR="00234C1F" w:rsidRDefault="00234C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234C1F" w:rsidRDefault="00652C2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Všeobecná časť</w:t>
      </w:r>
    </w:p>
    <w:p w:rsidR="00234C1F" w:rsidRDefault="00234C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234C1F" w:rsidRDefault="00652C2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Skupina poslancov Národnej rady Slovenskej republiky predkladá návrh zákona, ktorým sa mení a dopĺňa zákon  č. 582/2004 Z. z. o miestnych daniach a miestnom poplatku za komunálne odpady a drobné stavebné odpady v znení neskorších predpisov (ďalej len „návrh zákona“). </w:t>
      </w:r>
    </w:p>
    <w:p w:rsidR="00234C1F" w:rsidRDefault="00652C2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Cieľom návrhu zákona je vytvoriť obciam, ktoré sú správcom dani z nehnuteľností, právnu možnosť oslobodiť od dane alebo znížiť daň z nehnuteľností (zo stavieb a nebytových priestorov alebo ich častí). </w:t>
      </w:r>
    </w:p>
    <w:p w:rsidR="00234C1F" w:rsidRDefault="00652C2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Ďalej sa navrhuje zaviesť možnosť pre obce určiť si okruh stavieb uvedených v § 17 ods. 3 písmene b), na ktoré sa bude vzťahovať daňová úľava alebo oslobodenie (v súčasnosti museli obce taxatívne prevziať znenie celého písmena b) do VZN obce).</w:t>
      </w:r>
    </w:p>
    <w:p w:rsidR="00234C1F" w:rsidRDefault="00652C2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Zároveň sa tým nepriamo podporí výstavba športovísk a športovej infraštruktúry zo súkromných zdrojov, prípadne, ak ide o športovú infraštruktúru v majetku štátu, na ktorej výstavbu a prevádzku štát vynakladá prostriedky sa môže týmto spôsobom dosiahnuť, aby sa prevádzka športovej infraštruktúry, ktorej cieľom je aj zlepšenie kvality života obyvateľov obce, ako aj vrcholových športovcov, nepredražovala o povinnosť platiť dane zo stavieb.</w:t>
      </w:r>
    </w:p>
    <w:p w:rsidR="00234C1F" w:rsidRDefault="00652C2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 návrhu je možné predpokladať vplyv na rozpočty obcí, ktoré nie sú vyčíslené. Športoviská sú poväčšine vo vlastníctve miest/obcí, takže vplyv na miestne dane by bol zrejme minimálny (negatívne riziko bez čísla), ako aj na daň z príjmu právnických osôb, nakoľko obce (mestské podniky) neplatia výraznú daň z príjmov právnických osôb. Zároveň ide o možnosť oslobodenia alebo zníženia, a preto nie je možné vyčísliť, koľko obcí takúto možnosť využije.</w:t>
      </w:r>
    </w:p>
    <w:p w:rsidR="00234C1F" w:rsidRDefault="00652C2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Návrh zákona má pozitívny vplyv na podnikateľské prostredie, pozitívny vplyv na sociálne vplyvy a žiaden vplyv na informatizáciu, životné prostredie a na služby verejnej správy pre občana.</w:t>
      </w:r>
    </w:p>
    <w:p w:rsidR="00234C1F" w:rsidRDefault="00652C2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Návrh zákona je v súlade s Ústavou Slovenskej republiky a s medzinárodnými zmluvami, ktorými je Slovenská republika viazaná.</w:t>
      </w:r>
    </w:p>
    <w:p w:rsidR="00234C1F" w:rsidRDefault="00652C2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Návrh zákona nie je predmetom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vnútrokomunitárneho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pripomienkového konania.</w:t>
      </w:r>
    </w:p>
    <w:p w:rsidR="00234C1F" w:rsidRDefault="00234C1F"/>
    <w:p w:rsidR="00234C1F" w:rsidRDefault="00234C1F"/>
    <w:p w:rsidR="00234C1F" w:rsidRDefault="00234C1F"/>
    <w:p w:rsidR="00234C1F" w:rsidRDefault="00234C1F"/>
    <w:p w:rsidR="00234C1F" w:rsidRDefault="00234C1F"/>
    <w:p w:rsidR="00234C1F" w:rsidRDefault="00652C20">
      <w:pPr>
        <w:spacing w:after="160" w:line="25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br w:type="page"/>
      </w:r>
    </w:p>
    <w:p w:rsidR="00234C1F" w:rsidRDefault="00652C20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B. Osobitná časť </w:t>
      </w:r>
    </w:p>
    <w:p w:rsidR="00234C1F" w:rsidRDefault="00652C20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 čl. I</w:t>
      </w:r>
    </w:p>
    <w:p w:rsidR="00234C1F" w:rsidRDefault="00652C20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 § 17 ods. 3 písm. b)</w:t>
      </w:r>
    </w:p>
    <w:p w:rsidR="00234C1F" w:rsidRDefault="00652C2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 súlade so zásadou výkonu daňovej politiky vo veci miestnych daní a poplatkov na úrovni samosprávy tak pri určovaní sadzieb miestnych daní a poplatkov ako aj určenia rozsahu úľav a oslobodení sa navrhuje zaviesť možnosť pre obce stanoviť si zníženie alebo oslobodenie stavieb a nebytových priestorov alebo ich častí od dane z nehnuteľností aj pre stavby a nebytové priestory slúžiace na šport a športové aktivity (napr. športové haly, plavárne, a pod.). Z navrhovaného textu teda vyplýva, že sa možnosť oslobodenia od tejto dane alebo zníženie tejto dane nebude vzťahovať na prevádzky, ako sú obchody, kaviarne a podobne, keďže neslúžia na športové aktivity. </w:t>
      </w:r>
    </w:p>
    <w:p w:rsidR="00234C1F" w:rsidRDefault="00652C2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Poznámka pod čiarou Poznámka pod čiarou k odkazu 20b) špecifikuje, ktoré stavby a nebytové priestory sa v zmysle štatistickej klasifikácie stavieb a vyhlášky vykonávajúcej katastrálny zákon považujú za stavby a nebytové priestory slúžiace na šport a športové aktivity.</w:t>
      </w:r>
    </w:p>
    <w:p w:rsidR="00234C1F" w:rsidRDefault="00652C2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 Čl. II</w:t>
      </w:r>
    </w:p>
    <w:p w:rsidR="00234C1F" w:rsidRDefault="00652C2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Navrhuje sa účinnosť návrhu zákona dňom vyhlásenia v Zbierke zákonov Slovenskej republiky tak, aby obce stihli pripraviť VZN na nasledujúci kalendárny rok včas.</w:t>
      </w:r>
    </w:p>
    <w:p w:rsidR="00234C1F" w:rsidRDefault="00652C20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234C1F" w:rsidRDefault="00652C20">
      <w:pPr>
        <w:widowControl w:val="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lastRenderedPageBreak/>
        <w:t>DOLOŽKA ZLUČITEĽNOSTI</w:t>
      </w:r>
    </w:p>
    <w:p w:rsidR="00234C1F" w:rsidRDefault="00652C20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 návrhu zákona s právom Európskej únie</w:t>
      </w:r>
    </w:p>
    <w:tbl>
      <w:tblPr>
        <w:tblStyle w:val="a"/>
        <w:tblW w:w="9480" w:type="dxa"/>
        <w:tblInd w:w="-318" w:type="dxa"/>
        <w:tblLayout w:type="fixed"/>
        <w:tblLook w:val="0400" w:firstRow="0" w:lastRow="0" w:firstColumn="0" w:lastColumn="0" w:noHBand="0" w:noVBand="1"/>
      </w:tblPr>
      <w:tblGrid>
        <w:gridCol w:w="568"/>
        <w:gridCol w:w="8912"/>
      </w:tblGrid>
      <w:tr w:rsidR="00234C1F">
        <w:trPr>
          <w:trHeight w:val="561"/>
        </w:trPr>
        <w:tc>
          <w:tcPr>
            <w:tcW w:w="568" w:type="dxa"/>
          </w:tcPr>
          <w:p w:rsidR="00234C1F" w:rsidRDefault="00234C1F">
            <w:pPr>
              <w:widowControl w:val="0"/>
              <w:tabs>
                <w:tab w:val="left" w:pos="36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2" w:type="dxa"/>
          </w:tcPr>
          <w:p w:rsidR="00234C1F" w:rsidRDefault="00652C20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Navrhovateľ zákona: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D50CD" w:rsidRDefault="00652C20" w:rsidP="00AD50CD">
            <w:pPr>
              <w:widowControl w:val="0"/>
              <w:tabs>
                <w:tab w:val="left" w:pos="360"/>
              </w:tabs>
              <w:spacing w:line="240" w:lineRule="auto"/>
              <w:ind w:left="-250" w:firstLine="9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Skupina poslancov </w:t>
            </w:r>
            <w:r w:rsidR="00AD50CD">
              <w:rPr>
                <w:rFonts w:ascii="Times New Roman" w:eastAsia="Times New Roman" w:hAnsi="Times New Roman" w:cs="Times New Roman"/>
                <w:sz w:val="24"/>
                <w:szCs w:val="24"/>
              </w:rPr>
              <w:t>Národnej rady Slovenskej republiky</w:t>
            </w:r>
            <w:bookmarkStart w:id="0" w:name="_GoBack"/>
            <w:bookmarkEnd w:id="0"/>
          </w:p>
          <w:p w:rsidR="00234C1F" w:rsidRDefault="00234C1F">
            <w:pPr>
              <w:widowControl w:val="0"/>
              <w:tabs>
                <w:tab w:val="left" w:pos="360"/>
              </w:tabs>
              <w:spacing w:line="240" w:lineRule="auto"/>
              <w:ind w:left="-250" w:firstLine="9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4C1F">
        <w:trPr>
          <w:trHeight w:val="287"/>
        </w:trPr>
        <w:tc>
          <w:tcPr>
            <w:tcW w:w="568" w:type="dxa"/>
          </w:tcPr>
          <w:p w:rsidR="00234C1F" w:rsidRDefault="00234C1F">
            <w:pPr>
              <w:widowControl w:val="0"/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2" w:type="dxa"/>
          </w:tcPr>
          <w:p w:rsidR="00234C1F" w:rsidRDefault="00234C1F">
            <w:pPr>
              <w:widowControl w:val="0"/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4C1F">
        <w:trPr>
          <w:trHeight w:val="969"/>
        </w:trPr>
        <w:tc>
          <w:tcPr>
            <w:tcW w:w="568" w:type="dxa"/>
          </w:tcPr>
          <w:p w:rsidR="00234C1F" w:rsidRDefault="00234C1F">
            <w:pPr>
              <w:widowControl w:val="0"/>
              <w:tabs>
                <w:tab w:val="left" w:pos="36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2" w:type="dxa"/>
          </w:tcPr>
          <w:p w:rsidR="00234C1F" w:rsidRDefault="00652C20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Názov návrhu zákona: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34C1F" w:rsidRDefault="00652C20">
            <w:pPr>
              <w:ind w:left="7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Zákon, ktorým sa mení a dopĺňa zákon č. 582/2004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Z.z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o miestnych daniach a miestnom poplatku za komunálne odpady a drobné stavebné odpady</w:t>
            </w:r>
          </w:p>
        </w:tc>
      </w:tr>
      <w:tr w:rsidR="00234C1F">
        <w:trPr>
          <w:trHeight w:val="561"/>
        </w:trPr>
        <w:tc>
          <w:tcPr>
            <w:tcW w:w="568" w:type="dxa"/>
          </w:tcPr>
          <w:p w:rsidR="00234C1F" w:rsidRDefault="00234C1F">
            <w:pPr>
              <w:widowControl w:val="0"/>
              <w:tabs>
                <w:tab w:val="left" w:pos="36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2" w:type="dxa"/>
          </w:tcPr>
          <w:p w:rsidR="00234C1F" w:rsidRDefault="00652C20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Predmet návrhu zákona je upravený v práve Európskej únie:</w:t>
            </w:r>
          </w:p>
          <w:p w:rsidR="00234C1F" w:rsidRDefault="00652C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56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a) v primárnom práve: nie je</w:t>
            </w:r>
          </w:p>
          <w:p w:rsidR="00234C1F" w:rsidRDefault="00652C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56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b) v sekundárnom práve:</w:t>
            </w:r>
          </w:p>
          <w:p w:rsidR="00234C1F" w:rsidRDefault="00652C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56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nie je, gestor: Ministerstvo financií SR</w:t>
            </w:r>
          </w:p>
          <w:p w:rsidR="00234C1F" w:rsidRDefault="00652C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160" w:line="256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c) v judikatúre Súdneho dvora Európskej únie: nie je </w:t>
            </w:r>
          </w:p>
          <w:p w:rsidR="00234C1F" w:rsidRDefault="00652C20">
            <w:pPr>
              <w:widowControl w:val="0"/>
              <w:tabs>
                <w:tab w:val="left" w:pos="36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34C1F" w:rsidRDefault="00652C20">
            <w:pPr>
              <w:widowControl w:val="0"/>
              <w:tabs>
                <w:tab w:val="left" w:pos="36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4.     Záväzky Slovenskej republiky vo vzťahu k Európskej únii:</w:t>
            </w:r>
          </w:p>
          <w:p w:rsidR="00234C1F" w:rsidRDefault="00652C20">
            <w:pPr>
              <w:widowControl w:val="0"/>
              <w:tabs>
                <w:tab w:val="left" w:pos="36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a) uviesť lehotu na prebranie príslušného právneho aktu Európskej únie, príp. aj</w:t>
            </w:r>
          </w:p>
          <w:p w:rsidR="00234C1F" w:rsidRDefault="00652C20">
            <w:pPr>
              <w:widowControl w:val="0"/>
              <w:tabs>
                <w:tab w:val="left" w:pos="36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osobitnú lehotu účinnosti jeho ustanovení: </w:t>
            </w:r>
          </w:p>
          <w:p w:rsidR="00234C1F" w:rsidRDefault="00652C20">
            <w:pPr>
              <w:widowControl w:val="0"/>
              <w:tabs>
                <w:tab w:val="left" w:pos="36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nie je</w:t>
            </w:r>
          </w:p>
          <w:p w:rsidR="00234C1F" w:rsidRDefault="00652C20">
            <w:pPr>
              <w:widowControl w:val="0"/>
              <w:tabs>
                <w:tab w:val="left" w:pos="36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b) uviesť informáciu o začatí konania v rámci „EÚ Pilot“ alebo o začatí postupu</w:t>
            </w:r>
          </w:p>
          <w:p w:rsidR="00234C1F" w:rsidRDefault="00652C20">
            <w:pPr>
              <w:widowControl w:val="0"/>
              <w:tabs>
                <w:tab w:val="left" w:pos="36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Európskej komisie, alebo o konaní Súdneho dvora Európskej únie proti Slovenskej</w:t>
            </w:r>
          </w:p>
          <w:p w:rsidR="00234C1F" w:rsidRDefault="00652C20">
            <w:pPr>
              <w:widowControl w:val="0"/>
              <w:tabs>
                <w:tab w:val="left" w:pos="36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republike podľa čl. 258 a 260 Zmluvy o fungovaní Európskej únie v jej platnom</w:t>
            </w:r>
          </w:p>
          <w:p w:rsidR="00234C1F" w:rsidRDefault="00652C20">
            <w:pPr>
              <w:widowControl w:val="0"/>
              <w:tabs>
                <w:tab w:val="left" w:pos="36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znení, spolu s uvedením konkrétnych vytýkaných nedostatkov a požiadaviek na</w:t>
            </w:r>
          </w:p>
          <w:p w:rsidR="00234C1F" w:rsidRDefault="00652C20">
            <w:pPr>
              <w:widowControl w:val="0"/>
              <w:tabs>
                <w:tab w:val="left" w:pos="36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zabezpečenie nápravy:</w:t>
            </w:r>
          </w:p>
          <w:p w:rsidR="00234C1F" w:rsidRDefault="00652C20">
            <w:pPr>
              <w:widowControl w:val="0"/>
              <w:tabs>
                <w:tab w:val="left" w:pos="36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predmetné konania neboli začaté</w:t>
            </w:r>
          </w:p>
          <w:p w:rsidR="00234C1F" w:rsidRDefault="00652C20">
            <w:pPr>
              <w:widowControl w:val="0"/>
              <w:tabs>
                <w:tab w:val="left" w:pos="36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c) uviesť informáciu o právnych predpisoch, v ktorých sú uvádzané právne akty</w:t>
            </w:r>
          </w:p>
          <w:p w:rsidR="00234C1F" w:rsidRDefault="00652C20">
            <w:pPr>
              <w:widowControl w:val="0"/>
              <w:tabs>
                <w:tab w:val="left" w:pos="36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Európskej únie už prebrané, spolu s uvedením rozsahu ich prebrania, príp. potreby</w:t>
            </w:r>
          </w:p>
          <w:p w:rsidR="00234C1F" w:rsidRDefault="00652C20">
            <w:pPr>
              <w:widowControl w:val="0"/>
              <w:tabs>
                <w:tab w:val="left" w:pos="36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prijatia ďalších úprav:</w:t>
            </w:r>
          </w:p>
          <w:p w:rsidR="00234C1F" w:rsidRDefault="00652C20">
            <w:pPr>
              <w:widowControl w:val="0"/>
              <w:tabs>
                <w:tab w:val="left" w:pos="36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nie sú</w:t>
            </w:r>
          </w:p>
          <w:p w:rsidR="00234C1F" w:rsidRPr="00652C20" w:rsidRDefault="00652C20" w:rsidP="00652C20">
            <w:pPr>
              <w:pStyle w:val="Odsekzoznamu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C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Návrh zákona je zlučiteľný s právom Európskej únie: </w:t>
            </w:r>
            <w:r w:rsidRPr="00652C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úplne</w:t>
            </w:r>
          </w:p>
          <w:p w:rsidR="00652C20" w:rsidRPr="00652C20" w:rsidRDefault="00652C20" w:rsidP="00652C20">
            <w:pPr>
              <w:pStyle w:val="Odsekzoznamu"/>
              <w:widowControl w:val="0"/>
              <w:tabs>
                <w:tab w:val="left" w:pos="36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34C1F" w:rsidRDefault="00652C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Doložka vybraných vplyvov</w:t>
      </w:r>
    </w:p>
    <w:p w:rsidR="00234C1F" w:rsidRDefault="00234C1F">
      <w:pPr>
        <w:spacing w:after="0"/>
        <w:ind w:left="426"/>
        <w:rPr>
          <w:b/>
        </w:rPr>
      </w:pPr>
    </w:p>
    <w:tbl>
      <w:tblPr>
        <w:tblStyle w:val="a0"/>
        <w:tblW w:w="91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11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234C1F">
        <w:tc>
          <w:tcPr>
            <w:tcW w:w="91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E2E2E2"/>
          </w:tcPr>
          <w:p w:rsidR="00234C1F" w:rsidRDefault="00652C20">
            <w:pPr>
              <w:numPr>
                <w:ilvl w:val="0"/>
                <w:numId w:val="1"/>
              </w:numPr>
              <w:ind w:left="426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Základné údaje</w:t>
            </w:r>
          </w:p>
        </w:tc>
      </w:tr>
      <w:tr w:rsidR="00234C1F">
        <w:tc>
          <w:tcPr>
            <w:tcW w:w="91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E2E2E2"/>
          </w:tcPr>
          <w:p w:rsidR="00234C1F" w:rsidRDefault="00652C20">
            <w:pPr>
              <w:ind w:left="14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Názov materiálu</w:t>
            </w:r>
          </w:p>
        </w:tc>
      </w:tr>
      <w:tr w:rsidR="00234C1F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C1F" w:rsidRDefault="00652C2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Zákon, ktorým sa mení a dopĺňa zákon č. 582/2004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Z.z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o miestnych daniach a miestnom poplatku za komunálne odpady a drobné stavebné odpady</w:t>
            </w:r>
          </w:p>
          <w:p w:rsidR="00234C1F" w:rsidRDefault="00234C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4C1F">
        <w:tc>
          <w:tcPr>
            <w:tcW w:w="91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E2E2E2"/>
          </w:tcPr>
          <w:p w:rsidR="00234C1F" w:rsidRDefault="00652C20">
            <w:pPr>
              <w:ind w:left="14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Predkladateľ (a spolupredkladateľ)</w:t>
            </w:r>
          </w:p>
        </w:tc>
      </w:tr>
      <w:tr w:rsidR="00234C1F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4C1F" w:rsidRDefault="00AD50C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Skupina poslancov Národnej rady Slovenskej republiky</w:t>
            </w:r>
          </w:p>
          <w:p w:rsidR="00234C1F" w:rsidRDefault="00234C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4C1F">
        <w:tc>
          <w:tcPr>
            <w:tcW w:w="42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  <w:vAlign w:val="center"/>
          </w:tcPr>
          <w:p w:rsidR="00234C1F" w:rsidRDefault="00652C20">
            <w:pPr>
              <w:ind w:left="14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Charakter predkladaného materiálu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34C1F" w:rsidRDefault="00652C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426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4C1F" w:rsidRDefault="00652C2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Materiál nelegislatívnej povahy</w:t>
            </w:r>
          </w:p>
        </w:tc>
      </w:tr>
      <w:tr w:rsidR="00234C1F">
        <w:tc>
          <w:tcPr>
            <w:tcW w:w="42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  <w:vAlign w:val="center"/>
          </w:tcPr>
          <w:p w:rsidR="00234C1F" w:rsidRDefault="00234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34C1F" w:rsidRDefault="00652C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☒</w:t>
            </w:r>
          </w:p>
        </w:tc>
        <w:tc>
          <w:tcPr>
            <w:tcW w:w="426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4C1F" w:rsidRDefault="00652C20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Materiál legislatívnej povahy</w:t>
            </w:r>
          </w:p>
        </w:tc>
      </w:tr>
      <w:tr w:rsidR="00234C1F">
        <w:tc>
          <w:tcPr>
            <w:tcW w:w="42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  <w:vAlign w:val="center"/>
          </w:tcPr>
          <w:p w:rsidR="00234C1F" w:rsidRDefault="00234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34C1F" w:rsidRDefault="00652C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426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4C1F" w:rsidRDefault="00652C2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Transpozícia práva EÚ</w:t>
            </w:r>
          </w:p>
        </w:tc>
      </w:tr>
      <w:tr w:rsidR="00234C1F">
        <w:tc>
          <w:tcPr>
            <w:tcW w:w="91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FFFFFF"/>
          </w:tcPr>
          <w:p w:rsidR="00234C1F" w:rsidRDefault="00652C20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V prípade transpozície uveďte zoznam transponovaných predpisov:</w:t>
            </w:r>
          </w:p>
          <w:p w:rsidR="00234C1F" w:rsidRDefault="00234C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4C1F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E2E2E2"/>
          </w:tcPr>
          <w:p w:rsidR="00234C1F" w:rsidRDefault="00652C20">
            <w:pPr>
              <w:ind w:left="14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C1F" w:rsidRDefault="00234C1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234C1F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E2E2E2"/>
          </w:tcPr>
          <w:p w:rsidR="00234C1F" w:rsidRDefault="00652C20">
            <w:pPr>
              <w:ind w:left="14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Predpokladaný termín predloženia na 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C1F" w:rsidRDefault="00234C1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234C1F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E2E2E2"/>
          </w:tcPr>
          <w:p w:rsidR="00234C1F" w:rsidRDefault="00652C20">
            <w:pPr>
              <w:ind w:left="142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Predpokladaný termín začiatku a ukončenia ZP**</w:t>
            </w:r>
            <w:r>
              <w:rPr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C1F" w:rsidRDefault="00234C1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234C1F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E2E2E2"/>
          </w:tcPr>
          <w:p w:rsidR="00234C1F" w:rsidRDefault="00652C20">
            <w:pPr>
              <w:ind w:left="142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C1F" w:rsidRDefault="00234C1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234C1F">
        <w:tc>
          <w:tcPr>
            <w:tcW w:w="918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234C1F" w:rsidRDefault="00234C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4C1F">
        <w:tc>
          <w:tcPr>
            <w:tcW w:w="91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E2E2E2"/>
          </w:tcPr>
          <w:p w:rsidR="00234C1F" w:rsidRDefault="00652C20">
            <w:pPr>
              <w:numPr>
                <w:ilvl w:val="0"/>
                <w:numId w:val="1"/>
              </w:numPr>
              <w:ind w:left="426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Definovanie problému</w:t>
            </w:r>
          </w:p>
        </w:tc>
      </w:tr>
      <w:tr w:rsidR="00234C1F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4C1F" w:rsidRDefault="00652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3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Cieľom návrhu zákona je vytvoriť obciam, ktoré sú správcom dani z nehnuteľností, právnu možnosť oslobodiť od dane alebo znížiť daň z nehnuteľností (zo stavieb a nebytových priestorov alebo ich častí). </w:t>
            </w:r>
          </w:p>
          <w:p w:rsidR="00234C1F" w:rsidRDefault="00652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3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Ďalej sa navrhuje zaviesť možnosť pre obce určiť si okruh stavieb uvedených v § 17 ods. 3 písmene b), na ktoré sa bude vzťahovať daňová úľava alebo oslobodenie (v súčasnosti museli obce taxatívne prevziať znenie celého písmena b) do VZN obce).</w:t>
            </w:r>
          </w:p>
          <w:p w:rsidR="00234C1F" w:rsidRDefault="00652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73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Zároveň sa tým nepriamo podporí výstavba športovísk a športovej infraštruktúry zo súkromných zdrojov, prípadne, ak ide o športovú infraštruktúru v majetku štátu, na ktorej výstavbu a prevádzku štát vynakladá prostriedky sa môže týmto spôsobom dosiahnuť, aby sa prevádzka športovej infraštruktúry, ktorej cieľom je aj zlepšenie kvality života obyvateľov obce, ako aj vrcholových športovcov, nepredražovala o povinnosť platiť dane zo stavieb.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234C1F">
        <w:tc>
          <w:tcPr>
            <w:tcW w:w="9180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:rsidR="00234C1F" w:rsidRDefault="00652C20">
            <w:pPr>
              <w:numPr>
                <w:ilvl w:val="0"/>
                <w:numId w:val="1"/>
              </w:numPr>
              <w:ind w:left="426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Ciele a výsledný stav</w:t>
            </w:r>
          </w:p>
        </w:tc>
      </w:tr>
      <w:tr w:rsidR="00234C1F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4C1F" w:rsidRDefault="00652C20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Zrovnoprávniť možnosť oslobodenia od dane z nehnuteľnosti aj stavby a nebytové priestory slúžiace na šport a športové aktivity obdobne, ako existuje možnosť takéhoto oslobodenia pre divadlá, galérie a podobne. </w:t>
            </w:r>
          </w:p>
        </w:tc>
      </w:tr>
      <w:tr w:rsidR="00234C1F">
        <w:tc>
          <w:tcPr>
            <w:tcW w:w="9180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:rsidR="00234C1F" w:rsidRDefault="00652C20">
            <w:pPr>
              <w:numPr>
                <w:ilvl w:val="0"/>
                <w:numId w:val="1"/>
              </w:numPr>
              <w:ind w:left="426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Dotknuté subjekty</w:t>
            </w:r>
          </w:p>
        </w:tc>
      </w:tr>
      <w:tr w:rsidR="00234C1F"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4C1F" w:rsidRDefault="00652C2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Súkromní vlastníci športovísk</w:t>
            </w:r>
          </w:p>
          <w:p w:rsidR="00234C1F" w:rsidRDefault="00652C2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mestá a obce</w:t>
            </w:r>
          </w:p>
          <w:p w:rsidR="00234C1F" w:rsidRDefault="00652C2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VÚC</w:t>
            </w:r>
          </w:p>
          <w:p w:rsidR="00234C1F" w:rsidRDefault="00652C2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Ministerstvo financií SR</w:t>
            </w:r>
          </w:p>
          <w:p w:rsidR="00234C1F" w:rsidRDefault="00652C2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Fond na podporu športu </w:t>
            </w:r>
          </w:p>
        </w:tc>
      </w:tr>
      <w:tr w:rsidR="00234C1F">
        <w:tc>
          <w:tcPr>
            <w:tcW w:w="9180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:rsidR="00234C1F" w:rsidRDefault="00652C20">
            <w:pPr>
              <w:numPr>
                <w:ilvl w:val="0"/>
                <w:numId w:val="1"/>
              </w:numPr>
              <w:ind w:left="426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Alternatívne riešenia</w:t>
            </w:r>
          </w:p>
        </w:tc>
      </w:tr>
      <w:tr w:rsidR="00234C1F">
        <w:trPr>
          <w:trHeight w:val="1524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4C1F" w:rsidRDefault="00652C2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Dotácie na prevádzkovanie športovísk:</w:t>
            </w:r>
          </w:p>
          <w:p w:rsidR="00234C1F" w:rsidRDefault="00652C20">
            <w:pPr>
              <w:ind w:left="31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Fond na podporu športu</w:t>
            </w:r>
          </w:p>
          <w:p w:rsidR="00234C1F" w:rsidRDefault="00652C20">
            <w:pPr>
              <w:ind w:left="31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Ministerstvo školstva, vedy, výskumu a športu SR</w:t>
            </w:r>
          </w:p>
          <w:p w:rsidR="00234C1F" w:rsidRDefault="00652C2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Zachovanie doterajšieho stavu:</w:t>
            </w:r>
          </w:p>
          <w:p w:rsidR="00234C1F" w:rsidRDefault="00652C2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41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potrebné vlastné zdroje vlastníka alebo prevádzkovateľa nehnuteľnosti, stavby alebo nebytového priestoru na šport a športové aktivity, pričom tieto činnosti zvyčajne nedosahujú zisky a hrozí riziko, že tieto nehnuteľnosti budú chátrať z dôvodu nedostatku financií na ich údržbu zapríčineného potrebou platenia daní z nehnuteľností</w:t>
            </w:r>
          </w:p>
        </w:tc>
      </w:tr>
      <w:tr w:rsidR="00234C1F">
        <w:tc>
          <w:tcPr>
            <w:tcW w:w="91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E2E2E2"/>
          </w:tcPr>
          <w:p w:rsidR="00234C1F" w:rsidRDefault="00652C20">
            <w:pPr>
              <w:numPr>
                <w:ilvl w:val="0"/>
                <w:numId w:val="1"/>
              </w:numPr>
              <w:ind w:left="426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Vykonávacie predpisy</w:t>
            </w:r>
          </w:p>
        </w:tc>
      </w:tr>
      <w:tr w:rsidR="00234C1F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234C1F" w:rsidRDefault="00652C20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Predpokladá sa prijatie/zmena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:rsidR="00234C1F" w:rsidRDefault="00652C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☒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234C1F" w:rsidRDefault="00652C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Nie</w:t>
            </w:r>
          </w:p>
        </w:tc>
      </w:tr>
      <w:tr w:rsidR="00234C1F"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4C1F" w:rsidRDefault="00234C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4C1F" w:rsidRDefault="00652C2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Predpokladá sa prijatie všeobecne záväzného nariadenie obcí.</w:t>
            </w:r>
          </w:p>
        </w:tc>
      </w:tr>
      <w:tr w:rsidR="00234C1F">
        <w:tc>
          <w:tcPr>
            <w:tcW w:w="91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E2E2E2"/>
          </w:tcPr>
          <w:p w:rsidR="00234C1F" w:rsidRDefault="00652C20">
            <w:pPr>
              <w:numPr>
                <w:ilvl w:val="0"/>
                <w:numId w:val="1"/>
              </w:numPr>
              <w:ind w:left="426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Transpozícia práva EÚ </w:t>
            </w:r>
          </w:p>
        </w:tc>
      </w:tr>
      <w:tr w:rsidR="00234C1F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34C1F" w:rsidRDefault="00652C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Bezpredmetné</w:t>
            </w:r>
          </w:p>
        </w:tc>
      </w:tr>
      <w:tr w:rsidR="00234C1F">
        <w:trPr>
          <w:trHeight w:val="248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4C1F" w:rsidRDefault="00234C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4C1F">
        <w:tc>
          <w:tcPr>
            <w:tcW w:w="91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E2E2E2"/>
          </w:tcPr>
          <w:p w:rsidR="00234C1F" w:rsidRDefault="00652C20">
            <w:pPr>
              <w:numPr>
                <w:ilvl w:val="0"/>
                <w:numId w:val="1"/>
              </w:numPr>
              <w:ind w:left="426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Preskúmanie účelnosti</w:t>
            </w:r>
          </w:p>
        </w:tc>
      </w:tr>
      <w:tr w:rsidR="00234C1F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4C1F" w:rsidRDefault="00652C2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Preskúmanie účelnosti navrhovaného predpisu bude vykonávané priebežne po nadobudnutí jeho účinnosti, najneskôr pri príprave prípadného návrhu novelizácie predloženej právnej úpravy. </w:t>
            </w:r>
          </w:p>
          <w:p w:rsidR="00234C1F" w:rsidRDefault="00234C1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234C1F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234C1F" w:rsidRDefault="00234C1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34C1F" w:rsidRDefault="00234C1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34C1F" w:rsidRDefault="00652C20">
            <w:pPr>
              <w:ind w:left="142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:rsidR="00234C1F" w:rsidRDefault="00652C2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** vyplniť iba v prípade, ak sa záverečné posúdenie vybraných vplyvov uskutočnilo v zmysle bodu 9.1. jednotnej metodiky.</w:t>
            </w:r>
          </w:p>
          <w:p w:rsidR="00234C1F" w:rsidRDefault="00234C1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34C1F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E2E2E2"/>
            <w:vAlign w:val="center"/>
          </w:tcPr>
          <w:p w:rsidR="00234C1F" w:rsidRDefault="00652C20">
            <w:pPr>
              <w:numPr>
                <w:ilvl w:val="0"/>
                <w:numId w:val="1"/>
              </w:numPr>
              <w:ind w:left="426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Vybrané vplyvy  materiálu</w:t>
            </w:r>
          </w:p>
        </w:tc>
      </w:tr>
      <w:tr w:rsidR="00234C1F"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:rsidR="00234C1F" w:rsidRDefault="00652C2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rozpočet verejnej správy</w:t>
            </w:r>
          </w:p>
        </w:tc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nil"/>
            </w:tcBorders>
          </w:tcPr>
          <w:p w:rsidR="00234C1F" w:rsidRDefault="00652C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nil"/>
              <w:bottom w:val="dotted" w:sz="4" w:space="0" w:color="000000"/>
              <w:right w:val="nil"/>
            </w:tcBorders>
          </w:tcPr>
          <w:p w:rsidR="00234C1F" w:rsidRDefault="00652C2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Pozitívne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dotted" w:sz="4" w:space="0" w:color="000000"/>
              <w:right w:val="nil"/>
            </w:tcBorders>
          </w:tcPr>
          <w:p w:rsidR="00234C1F" w:rsidRDefault="00652C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dotted" w:sz="4" w:space="0" w:color="000000"/>
              <w:right w:val="nil"/>
            </w:tcBorders>
          </w:tcPr>
          <w:p w:rsidR="00234C1F" w:rsidRDefault="00652C2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000000"/>
              <w:left w:val="nil"/>
              <w:bottom w:val="dotted" w:sz="4" w:space="0" w:color="000000"/>
              <w:right w:val="nil"/>
            </w:tcBorders>
          </w:tcPr>
          <w:p w:rsidR="00234C1F" w:rsidRDefault="00652C20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234C1F" w:rsidRDefault="00652C20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Negatívne</w:t>
            </w:r>
          </w:p>
        </w:tc>
      </w:tr>
      <w:tr w:rsidR="00234C1F">
        <w:tc>
          <w:tcPr>
            <w:tcW w:w="3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</w:tcPr>
          <w:p w:rsidR="00234C1F" w:rsidRDefault="00652C2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z toho rozpočtovo zabezpečené vplyvy,         </w:t>
            </w:r>
          </w:p>
          <w:p w:rsidR="00234C1F" w:rsidRDefault="00652C2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v prípade identifikovaného negatívneho </w:t>
            </w:r>
          </w:p>
          <w:p w:rsidR="00234C1F" w:rsidRDefault="00652C2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vplyvu</w:t>
            </w:r>
          </w:p>
        </w:tc>
        <w:tc>
          <w:tcPr>
            <w:tcW w:w="541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4C1F" w:rsidRDefault="00652C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1312" w:type="dxa"/>
            <w:gridSpan w:val="2"/>
            <w:tcBorders>
              <w:top w:val="dotted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34C1F" w:rsidRDefault="00652C2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Áno</w:t>
            </w:r>
          </w:p>
        </w:tc>
        <w:tc>
          <w:tcPr>
            <w:tcW w:w="538" w:type="dxa"/>
            <w:gridSpan w:val="2"/>
            <w:tcBorders>
              <w:top w:val="dotted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34C1F" w:rsidRDefault="00652C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☒</w:t>
            </w:r>
          </w:p>
        </w:tc>
        <w:tc>
          <w:tcPr>
            <w:tcW w:w="1133" w:type="dxa"/>
            <w:tcBorders>
              <w:top w:val="dotted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34C1F" w:rsidRDefault="00652C2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547" w:type="dxa"/>
            <w:gridSpan w:val="2"/>
            <w:tcBorders>
              <w:top w:val="dotted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34C1F" w:rsidRDefault="00652C20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1297" w:type="dxa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4C1F" w:rsidRDefault="00652C20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Čiastočne</w:t>
            </w:r>
          </w:p>
        </w:tc>
      </w:tr>
      <w:tr w:rsidR="00234C1F"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:rsidR="00234C1F" w:rsidRDefault="00652C2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podnikateľské prostredie</w:t>
            </w:r>
          </w:p>
        </w:tc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nil"/>
            </w:tcBorders>
            <w:vAlign w:val="center"/>
          </w:tcPr>
          <w:p w:rsidR="00234C1F" w:rsidRDefault="00652C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☒</w:t>
            </w: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nil"/>
              <w:bottom w:val="dotted" w:sz="4" w:space="0" w:color="000000"/>
              <w:right w:val="nil"/>
            </w:tcBorders>
            <w:vAlign w:val="center"/>
          </w:tcPr>
          <w:p w:rsidR="00234C1F" w:rsidRDefault="00652C20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Pozitívne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dotted" w:sz="4" w:space="0" w:color="000000"/>
              <w:right w:val="nil"/>
            </w:tcBorders>
            <w:vAlign w:val="center"/>
          </w:tcPr>
          <w:p w:rsidR="00234C1F" w:rsidRDefault="00652C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dotted" w:sz="4" w:space="0" w:color="000000"/>
              <w:right w:val="nil"/>
            </w:tcBorders>
            <w:vAlign w:val="center"/>
          </w:tcPr>
          <w:p w:rsidR="00234C1F" w:rsidRDefault="00652C2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000000"/>
              <w:left w:val="nil"/>
              <w:bottom w:val="dotted" w:sz="4" w:space="0" w:color="000000"/>
              <w:right w:val="nil"/>
            </w:tcBorders>
            <w:vAlign w:val="center"/>
          </w:tcPr>
          <w:p w:rsidR="00234C1F" w:rsidRDefault="00652C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234C1F" w:rsidRDefault="00652C20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Negatívne</w:t>
            </w:r>
          </w:p>
        </w:tc>
      </w:tr>
      <w:tr w:rsidR="00234C1F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:rsidR="00234C1F" w:rsidRDefault="00652C2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z toho vplyvy na MSP</w:t>
            </w:r>
          </w:p>
          <w:p w:rsidR="00234C1F" w:rsidRDefault="00234C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nil"/>
            </w:tcBorders>
            <w:vAlign w:val="center"/>
          </w:tcPr>
          <w:p w:rsidR="00234C1F" w:rsidRDefault="00652C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☒</w:t>
            </w:r>
          </w:p>
        </w:tc>
        <w:tc>
          <w:tcPr>
            <w:tcW w:w="1312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center"/>
          </w:tcPr>
          <w:p w:rsidR="00234C1F" w:rsidRDefault="00652C20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Pozitívne</w:t>
            </w:r>
          </w:p>
        </w:tc>
        <w:tc>
          <w:tcPr>
            <w:tcW w:w="538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center"/>
          </w:tcPr>
          <w:p w:rsidR="00234C1F" w:rsidRDefault="00652C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1133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center"/>
          </w:tcPr>
          <w:p w:rsidR="00234C1F" w:rsidRDefault="00652C2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center"/>
          </w:tcPr>
          <w:p w:rsidR="00234C1F" w:rsidRDefault="00652C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1297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234C1F" w:rsidRDefault="00652C20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Negatívne</w:t>
            </w:r>
          </w:p>
        </w:tc>
      </w:tr>
      <w:tr w:rsidR="00234C1F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:rsidR="00234C1F" w:rsidRDefault="00234C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4C1F" w:rsidRDefault="00234C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nil"/>
            </w:tcBorders>
            <w:vAlign w:val="center"/>
          </w:tcPr>
          <w:p w:rsidR="00234C1F" w:rsidRDefault="00234C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center"/>
          </w:tcPr>
          <w:p w:rsidR="00234C1F" w:rsidRDefault="00234C1F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center"/>
          </w:tcPr>
          <w:p w:rsidR="00234C1F" w:rsidRDefault="00234C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center"/>
          </w:tcPr>
          <w:p w:rsidR="00234C1F" w:rsidRDefault="00234C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center"/>
          </w:tcPr>
          <w:p w:rsidR="00234C1F" w:rsidRDefault="00234C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234C1F" w:rsidRDefault="00234C1F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4C1F">
        <w:tc>
          <w:tcPr>
            <w:tcW w:w="3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</w:tcPr>
          <w:p w:rsidR="00234C1F" w:rsidRDefault="00652C2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Mechanizmus znižovania byrokracie    </w:t>
            </w:r>
          </w:p>
          <w:p w:rsidR="00234C1F" w:rsidRDefault="00652C2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a nákladov sa uplatňuje:</w:t>
            </w:r>
          </w:p>
        </w:tc>
        <w:tc>
          <w:tcPr>
            <w:tcW w:w="541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4C1F" w:rsidRDefault="00652C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</w:tc>
        <w:tc>
          <w:tcPr>
            <w:tcW w:w="1596" w:type="dxa"/>
            <w:gridSpan w:val="3"/>
            <w:tcBorders>
              <w:top w:val="dotted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34C1F" w:rsidRDefault="00652C20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Áno</w:t>
            </w:r>
          </w:p>
        </w:tc>
        <w:tc>
          <w:tcPr>
            <w:tcW w:w="254" w:type="dxa"/>
            <w:tcBorders>
              <w:top w:val="dotted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34C1F" w:rsidRDefault="00234C1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dotted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34C1F" w:rsidRDefault="00234C1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tcBorders>
              <w:top w:val="dotted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34C1F" w:rsidRDefault="00652C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☒</w:t>
            </w:r>
          </w:p>
        </w:tc>
        <w:tc>
          <w:tcPr>
            <w:tcW w:w="1297" w:type="dxa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4C1F" w:rsidRDefault="00652C20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Nie</w:t>
            </w:r>
          </w:p>
        </w:tc>
      </w:tr>
      <w:tr w:rsidR="00234C1F"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</w:tcPr>
          <w:p w:rsidR="00234C1F" w:rsidRDefault="00652C2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Sociálne vplyvy</w:t>
            </w:r>
          </w:p>
        </w:tc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4C1F" w:rsidRDefault="00652C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☒</w:t>
            </w: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34C1F" w:rsidRDefault="00652C20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Pozitívne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34C1F" w:rsidRDefault="00652C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34C1F" w:rsidRDefault="00652C2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34C1F" w:rsidRDefault="00652C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4C1F" w:rsidRDefault="00652C20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Negatívne</w:t>
            </w:r>
          </w:p>
        </w:tc>
      </w:tr>
      <w:tr w:rsidR="00234C1F"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</w:tcPr>
          <w:p w:rsidR="00234C1F" w:rsidRDefault="00652C2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životné prostredie</w:t>
            </w:r>
          </w:p>
        </w:tc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4C1F" w:rsidRDefault="00652C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34C1F" w:rsidRDefault="00652C20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Pozitívne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34C1F" w:rsidRDefault="00652C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☒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34C1F" w:rsidRDefault="00652C2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34C1F" w:rsidRDefault="00652C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4C1F" w:rsidRDefault="00652C20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Negatívne</w:t>
            </w:r>
          </w:p>
        </w:tc>
      </w:tr>
      <w:tr w:rsidR="00234C1F"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</w:tcPr>
          <w:p w:rsidR="00234C1F" w:rsidRDefault="00652C2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informatizáciu spoločnosti</w:t>
            </w:r>
          </w:p>
        </w:tc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4C1F" w:rsidRDefault="00652C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34C1F" w:rsidRDefault="00652C20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Pozitívne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34C1F" w:rsidRDefault="00652C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☒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34C1F" w:rsidRDefault="00652C2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34C1F" w:rsidRDefault="00652C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4C1F" w:rsidRDefault="00652C20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Negatívne</w:t>
            </w:r>
          </w:p>
        </w:tc>
      </w:tr>
    </w:tbl>
    <w:p w:rsidR="00234C1F" w:rsidRDefault="00234C1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1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234C1F"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:rsidR="00234C1F" w:rsidRDefault="00652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služby verejnej správy pre občana, z toho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34C1F" w:rsidRDefault="00234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34C1F" w:rsidRDefault="00234C1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34C1F" w:rsidRDefault="00234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34C1F" w:rsidRDefault="00234C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34C1F" w:rsidRDefault="00234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34C1F" w:rsidRDefault="00234C1F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34C1F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:rsidR="00234C1F" w:rsidRDefault="00652C20">
            <w:pPr>
              <w:spacing w:after="0" w:line="240" w:lineRule="auto"/>
              <w:ind w:left="196" w:hanging="196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tc>
          <w:tcPr>
            <w:tcW w:w="541" w:type="dxa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</w:tcPr>
          <w:p w:rsidR="00234C1F" w:rsidRDefault="0065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:rsidR="00234C1F" w:rsidRDefault="00652C2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Pozitívne</w:t>
            </w:r>
          </w:p>
        </w:tc>
        <w:tc>
          <w:tcPr>
            <w:tcW w:w="538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:rsidR="00234C1F" w:rsidRDefault="0065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☒</w:t>
            </w:r>
          </w:p>
        </w:tc>
        <w:tc>
          <w:tcPr>
            <w:tcW w:w="1133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:rsidR="00234C1F" w:rsidRDefault="00652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Žiadne</w:t>
            </w:r>
          </w:p>
        </w:tc>
        <w:tc>
          <w:tcPr>
            <w:tcW w:w="547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:rsidR="00234C1F" w:rsidRDefault="0065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</w:tc>
        <w:tc>
          <w:tcPr>
            <w:tcW w:w="129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234C1F" w:rsidRDefault="00652C20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Negatívne</w:t>
            </w:r>
          </w:p>
        </w:tc>
      </w:tr>
      <w:tr w:rsidR="00234C1F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:rsidR="00234C1F" w:rsidRDefault="00652C20">
            <w:pPr>
              <w:spacing w:after="0" w:line="240" w:lineRule="auto"/>
              <w:ind w:left="168" w:hanging="16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tc>
          <w:tcPr>
            <w:tcW w:w="5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nil"/>
            </w:tcBorders>
            <w:vAlign w:val="center"/>
          </w:tcPr>
          <w:p w:rsidR="00234C1F" w:rsidRDefault="0065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</w:tc>
        <w:tc>
          <w:tcPr>
            <w:tcW w:w="1312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center"/>
          </w:tcPr>
          <w:p w:rsidR="00234C1F" w:rsidRDefault="00652C2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Pozitívne</w:t>
            </w:r>
          </w:p>
        </w:tc>
        <w:tc>
          <w:tcPr>
            <w:tcW w:w="538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center"/>
          </w:tcPr>
          <w:p w:rsidR="00234C1F" w:rsidRDefault="0065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☒</w:t>
            </w:r>
          </w:p>
        </w:tc>
        <w:tc>
          <w:tcPr>
            <w:tcW w:w="1133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center"/>
          </w:tcPr>
          <w:p w:rsidR="00234C1F" w:rsidRDefault="00652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Žiadne</w:t>
            </w:r>
          </w:p>
        </w:tc>
        <w:tc>
          <w:tcPr>
            <w:tcW w:w="547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center"/>
          </w:tcPr>
          <w:p w:rsidR="00234C1F" w:rsidRDefault="0065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</w:tc>
        <w:tc>
          <w:tcPr>
            <w:tcW w:w="1297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234C1F" w:rsidRDefault="00652C20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Negatívne</w:t>
            </w:r>
          </w:p>
        </w:tc>
      </w:tr>
    </w:tbl>
    <w:p w:rsidR="00234C1F" w:rsidRDefault="00234C1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2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234C1F"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</w:tcPr>
          <w:p w:rsidR="00234C1F" w:rsidRDefault="00652C2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manželstvo, rodičovstvo a rodinu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4C1F" w:rsidRDefault="00652C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☒</w:t>
            </w:r>
          </w:p>
        </w:tc>
        <w:tc>
          <w:tcPr>
            <w:tcW w:w="13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34C1F" w:rsidRDefault="00652C20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Pozitívne</w:t>
            </w:r>
          </w:p>
        </w:tc>
        <w:tc>
          <w:tcPr>
            <w:tcW w:w="5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34C1F" w:rsidRDefault="00652C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34C1F" w:rsidRDefault="00652C2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Žiadne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34C1F" w:rsidRDefault="00652C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4C1F" w:rsidRDefault="00652C20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Negatívne</w:t>
            </w:r>
          </w:p>
        </w:tc>
      </w:tr>
    </w:tbl>
    <w:p w:rsidR="00234C1F" w:rsidRDefault="00234C1F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3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80"/>
      </w:tblGrid>
      <w:tr w:rsidR="00234C1F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:rsidR="00234C1F" w:rsidRDefault="00652C20">
            <w:pPr>
              <w:numPr>
                <w:ilvl w:val="0"/>
                <w:numId w:val="1"/>
              </w:numPr>
              <w:ind w:left="426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Poznámky</w:t>
            </w:r>
          </w:p>
        </w:tc>
      </w:tr>
      <w:tr w:rsidR="00234C1F">
        <w:trPr>
          <w:trHeight w:val="713"/>
        </w:trPr>
        <w:tc>
          <w:tcPr>
            <w:tcW w:w="91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234C1F" w:rsidRDefault="00234C1F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34C1F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E2E2E2"/>
          </w:tcPr>
          <w:p w:rsidR="00234C1F" w:rsidRDefault="00652C20">
            <w:pPr>
              <w:numPr>
                <w:ilvl w:val="0"/>
                <w:numId w:val="1"/>
              </w:numPr>
              <w:ind w:left="426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Kontakt na spracovateľa</w:t>
            </w:r>
          </w:p>
        </w:tc>
      </w:tr>
      <w:tr w:rsidR="00234C1F">
        <w:trPr>
          <w:trHeight w:val="586"/>
        </w:trPr>
        <w:tc>
          <w:tcPr>
            <w:tcW w:w="9180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4C1F" w:rsidRDefault="00652C2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Richard_Nemec@nrsr.sk</w:t>
            </w:r>
          </w:p>
        </w:tc>
      </w:tr>
      <w:tr w:rsidR="00234C1F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E2E2E2"/>
          </w:tcPr>
          <w:p w:rsidR="00234C1F" w:rsidRDefault="00652C20">
            <w:pPr>
              <w:numPr>
                <w:ilvl w:val="0"/>
                <w:numId w:val="1"/>
              </w:numPr>
              <w:ind w:left="426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Zdroje</w:t>
            </w:r>
          </w:p>
        </w:tc>
      </w:tr>
      <w:tr w:rsidR="00234C1F">
        <w:trPr>
          <w:trHeight w:val="401"/>
        </w:trPr>
        <w:tc>
          <w:tcPr>
            <w:tcW w:w="9180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4C1F" w:rsidRDefault="00652C2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konzultácie s dotknutými subjektmi</w:t>
            </w:r>
          </w:p>
          <w:p w:rsidR="00234C1F" w:rsidRDefault="00652C2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spolupráca s odborníkmi</w:t>
            </w:r>
          </w:p>
          <w:p w:rsidR="00234C1F" w:rsidRDefault="00652C2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Ministerstvo financií SR </w:t>
            </w:r>
          </w:p>
          <w:p w:rsidR="00234C1F" w:rsidRDefault="00234C1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34C1F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E2E2E2"/>
          </w:tcPr>
          <w:p w:rsidR="00234C1F" w:rsidRDefault="00652C20">
            <w:pPr>
              <w:numPr>
                <w:ilvl w:val="0"/>
                <w:numId w:val="1"/>
              </w:numPr>
              <w:ind w:left="447" w:hanging="425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Stanovisko Komisie na posudzovanie vybraných vplyvov z PPK č. ..........</w:t>
            </w:r>
            <w:r>
              <w:t xml:space="preserve"> </w:t>
            </w:r>
          </w:p>
          <w:p w:rsidR="00234C1F" w:rsidRDefault="00652C20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(v prípade, ak sa uskutočnilo v zmysle bodu 8.1 Jednotnej metodiky)</w:t>
            </w:r>
          </w:p>
        </w:tc>
      </w:tr>
      <w:tr w:rsidR="00234C1F">
        <w:trPr>
          <w:trHeight w:val="1236"/>
        </w:trPr>
        <w:tc>
          <w:tcPr>
            <w:tcW w:w="9180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4C1F" w:rsidRDefault="00234C1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tbl>
            <w:tblPr>
              <w:tblStyle w:val="a4"/>
              <w:tblW w:w="8910" w:type="dxa"/>
              <w:tblInd w:w="284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551"/>
              <w:gridCol w:w="3826"/>
              <w:gridCol w:w="2533"/>
            </w:tblGrid>
            <w:tr w:rsidR="00234C1F">
              <w:trPr>
                <w:trHeight w:val="396"/>
              </w:trPr>
              <w:tc>
                <w:tcPr>
                  <w:tcW w:w="2551" w:type="dxa"/>
                </w:tcPr>
                <w:p w:rsidR="00234C1F" w:rsidRDefault="00652C20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b/>
                      <w:sz w:val="20"/>
                      <w:szCs w:val="20"/>
                    </w:rPr>
                    <w:t>☐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 Súhlasné </w:t>
                  </w:r>
                </w:p>
              </w:tc>
              <w:tc>
                <w:tcPr>
                  <w:tcW w:w="3826" w:type="dxa"/>
                </w:tcPr>
                <w:p w:rsidR="00234C1F" w:rsidRDefault="00652C20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b/>
                      <w:sz w:val="20"/>
                      <w:szCs w:val="20"/>
                    </w:rPr>
                    <w:t>☐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 Súhlasné s návrhom na dopracovanie</w:t>
                  </w:r>
                </w:p>
              </w:tc>
              <w:tc>
                <w:tcPr>
                  <w:tcW w:w="2533" w:type="dxa"/>
                </w:tcPr>
                <w:p w:rsidR="00234C1F" w:rsidRDefault="00652C20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b/>
                      <w:sz w:val="20"/>
                      <w:szCs w:val="20"/>
                    </w:rPr>
                    <w:t>☐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 Nesúhlasné</w:t>
                  </w:r>
                </w:p>
              </w:tc>
            </w:tr>
          </w:tbl>
          <w:p w:rsidR="00234C1F" w:rsidRDefault="00652C2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Uveďte pripomienky zo stanoviska Komisie z časti II. spolu s Vaším vyhodnotením:</w:t>
            </w:r>
          </w:p>
          <w:p w:rsidR="00234C1F" w:rsidRDefault="00234C1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34C1F" w:rsidRDefault="00234C1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34C1F" w:rsidRDefault="00234C1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34C1F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E2E2E2"/>
          </w:tcPr>
          <w:p w:rsidR="00234C1F" w:rsidRDefault="00652C20">
            <w:pPr>
              <w:numPr>
                <w:ilvl w:val="0"/>
                <w:numId w:val="1"/>
              </w:numPr>
              <w:ind w:left="450" w:hanging="425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Stanovisko Komisie na posudzovanie vybraných vplyvov zo záverečného posúdenia č. ..........</w:t>
            </w:r>
            <w:r>
              <w:rPr>
                <w:rFonts w:ascii="Times New Roman" w:eastAsia="Times New Roman" w:hAnsi="Times New Roman" w:cs="Times New Roman"/>
              </w:rPr>
              <w:t xml:space="preserve"> (v prípade, ak sa uskutočnilo v zmysle bodu 9.1. Jednotnej metodiky) </w:t>
            </w:r>
          </w:p>
        </w:tc>
      </w:tr>
      <w:tr w:rsidR="00234C1F">
        <w:tc>
          <w:tcPr>
            <w:tcW w:w="9180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4C1F" w:rsidRDefault="00234C1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tbl>
            <w:tblPr>
              <w:tblStyle w:val="a5"/>
              <w:tblW w:w="8910" w:type="dxa"/>
              <w:tblInd w:w="284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551"/>
              <w:gridCol w:w="3826"/>
              <w:gridCol w:w="2533"/>
            </w:tblGrid>
            <w:tr w:rsidR="00234C1F">
              <w:trPr>
                <w:trHeight w:val="396"/>
              </w:trPr>
              <w:tc>
                <w:tcPr>
                  <w:tcW w:w="2551" w:type="dxa"/>
                </w:tcPr>
                <w:p w:rsidR="00234C1F" w:rsidRDefault="00652C20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b/>
                      <w:sz w:val="20"/>
                      <w:szCs w:val="20"/>
                    </w:rPr>
                    <w:t>☐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  Súhlasné </w:t>
                  </w:r>
                </w:p>
              </w:tc>
              <w:tc>
                <w:tcPr>
                  <w:tcW w:w="3826" w:type="dxa"/>
                </w:tcPr>
                <w:p w:rsidR="00234C1F" w:rsidRDefault="00652C20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b/>
                      <w:sz w:val="20"/>
                      <w:szCs w:val="20"/>
                    </w:rPr>
                    <w:t>☐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 Súhlasné s  návrhom na dopracovanie</w:t>
                  </w:r>
                </w:p>
              </w:tc>
              <w:tc>
                <w:tcPr>
                  <w:tcW w:w="2533" w:type="dxa"/>
                </w:tcPr>
                <w:p w:rsidR="00234C1F" w:rsidRDefault="00652C20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b/>
                      <w:sz w:val="20"/>
                      <w:szCs w:val="20"/>
                    </w:rPr>
                    <w:t>☐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 Nesúhlasné</w:t>
                  </w:r>
                </w:p>
              </w:tc>
            </w:tr>
          </w:tbl>
          <w:p w:rsidR="00234C1F" w:rsidRDefault="00652C2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Uveďte pripomienky zo stanoviska Komisie z časti II. spolu s Vaším vyhodnotením:</w:t>
            </w:r>
          </w:p>
          <w:p w:rsidR="00234C1F" w:rsidRDefault="00234C1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34C1F" w:rsidRDefault="00234C1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34C1F" w:rsidRDefault="00234C1F"/>
    <w:sectPr w:rsidR="00234C1F" w:rsidSect="00234C1F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657C7"/>
    <w:multiLevelType w:val="multilevel"/>
    <w:tmpl w:val="75689B90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8810E36"/>
    <w:multiLevelType w:val="multilevel"/>
    <w:tmpl w:val="1D4E946E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3A35473A"/>
    <w:multiLevelType w:val="multilevel"/>
    <w:tmpl w:val="7B3404BC"/>
    <w:lvl w:ilvl="0">
      <w:start w:val="1"/>
      <w:numFmt w:val="bullet"/>
      <w:lvlText w:val="•"/>
      <w:lvlJc w:val="left"/>
      <w:pPr>
        <w:ind w:left="1068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B6775C9"/>
    <w:multiLevelType w:val="multilevel"/>
    <w:tmpl w:val="CA68880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F584D"/>
    <w:multiLevelType w:val="multilevel"/>
    <w:tmpl w:val="A3D2287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9B30EB"/>
    <w:multiLevelType w:val="multilevel"/>
    <w:tmpl w:val="BA8C311A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6" w15:restartNumberingAfterBreak="0">
    <w:nsid w:val="76C41A46"/>
    <w:multiLevelType w:val="multilevel"/>
    <w:tmpl w:val="68FE5C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34C1F"/>
    <w:rsid w:val="00234C1F"/>
    <w:rsid w:val="00525E34"/>
    <w:rsid w:val="00652C20"/>
    <w:rsid w:val="00AD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6B257"/>
  <w15:docId w15:val="{0BCA56C6-A329-40C8-8F45-75A719EAE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B5BDC"/>
  </w:style>
  <w:style w:type="paragraph" w:styleId="Nadpis1">
    <w:name w:val="heading 1"/>
    <w:basedOn w:val="Normlny1"/>
    <w:next w:val="Normlny1"/>
    <w:rsid w:val="00234C1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1"/>
    <w:next w:val="Normlny1"/>
    <w:rsid w:val="00234C1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1"/>
    <w:next w:val="Normlny1"/>
    <w:rsid w:val="00234C1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1"/>
    <w:next w:val="Normlny1"/>
    <w:rsid w:val="00234C1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1"/>
    <w:next w:val="Normlny1"/>
    <w:rsid w:val="00234C1F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1"/>
    <w:next w:val="Normlny1"/>
    <w:rsid w:val="00234C1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234C1F"/>
  </w:style>
  <w:style w:type="table" w:customStyle="1" w:styleId="TableNormal">
    <w:name w:val="Table Normal"/>
    <w:rsid w:val="00234C1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rsid w:val="00234C1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B5BDC"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B5BDC"/>
    <w:pPr>
      <w:spacing w:after="160" w:line="256" w:lineRule="auto"/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BB5BDC"/>
    <w:rPr>
      <w:rFonts w:ascii="Times New Roman" w:hAnsi="Times New Roman" w:cs="Times New Roman" w:hint="default"/>
      <w:color w:val="000000"/>
    </w:rPr>
  </w:style>
  <w:style w:type="table" w:customStyle="1" w:styleId="Mriekatabuky1">
    <w:name w:val="Mriežka tabuľky1"/>
    <w:basedOn w:val="Normlnatabuka"/>
    <w:uiPriority w:val="59"/>
    <w:rsid w:val="00DF2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F2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25A9"/>
    <w:rPr>
      <w:rFonts w:ascii="Tahoma" w:hAnsi="Tahoma" w:cs="Tahoma"/>
      <w:sz w:val="16"/>
      <w:szCs w:val="16"/>
    </w:rPr>
  </w:style>
  <w:style w:type="paragraph" w:styleId="Podtitul">
    <w:name w:val="Subtitle"/>
    <w:basedOn w:val="Normlny1"/>
    <w:next w:val="Normlny1"/>
    <w:rsid w:val="00234C1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34C1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234C1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234C1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234C1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sid w:val="00234C1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rsid w:val="00234C1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rsid w:val="00234C1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4uLBTycuZSCJHskfKNyHEwMv8A==">AMUW2mUfDwK0jmLv26m1pmOgkBZ/8vbGljvPH16qQ52s8J7Yc4zdtkQRtJcQsv5fPXBZohiJNy9uGKgTApSJttk58LjkvHdvwwNGEIL9DebfHMGxyZ7MTq4=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1420</Words>
  <Characters>8097</Characters>
  <Application>Microsoft Office Word</Application>
  <DocSecurity>0</DocSecurity>
  <Lines>67</Lines>
  <Paragraphs>18</Paragraphs>
  <ScaleCrop>false</ScaleCrop>
  <Company/>
  <LinksUpToDate>false</LinksUpToDate>
  <CharactersWithSpaces>9499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Zajickova</dc:creator>
  <cp:lastModifiedBy>klub OĽANO</cp:lastModifiedBy>
  <cp:revision>5</cp:revision>
  <cp:lastPrinted>2021-10-01T09:43:00Z</cp:lastPrinted>
  <dcterms:created xsi:type="dcterms:W3CDTF">2021-09-30T08:06:00Z</dcterms:created>
  <dcterms:modified xsi:type="dcterms:W3CDTF">2021-10-01T09:44:00Z</dcterms:modified>
</cp:coreProperties>
</file>