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426D7" w14:textId="15921542" w:rsidR="00605F3C" w:rsidRDefault="00605F3C" w:rsidP="00357B90">
      <w:pPr>
        <w:pStyle w:val="Nzov"/>
        <w:jc w:val="both"/>
      </w:pPr>
      <w:r w:rsidRPr="00903474">
        <w:t>Dôvodová správa</w:t>
      </w:r>
    </w:p>
    <w:p w14:paraId="204641F8" w14:textId="77777777" w:rsidR="008732E7" w:rsidRPr="00903474" w:rsidRDefault="008732E7" w:rsidP="00357B90">
      <w:pPr>
        <w:pStyle w:val="Nzov"/>
        <w:jc w:val="both"/>
      </w:pPr>
    </w:p>
    <w:p w14:paraId="54C6408A" w14:textId="7E99E742" w:rsidR="006E362E" w:rsidRDefault="006E362E" w:rsidP="00357B90">
      <w:pPr>
        <w:autoSpaceDE w:val="0"/>
        <w:autoSpaceDN w:val="0"/>
        <w:adjustRightInd w:val="0"/>
        <w:spacing w:line="360" w:lineRule="auto"/>
        <w:jc w:val="both"/>
        <w:rPr>
          <w:b/>
          <w:bCs/>
        </w:rPr>
      </w:pPr>
    </w:p>
    <w:p w14:paraId="4176A867" w14:textId="36D91A24" w:rsidR="008F6C49" w:rsidRPr="008F6C49" w:rsidRDefault="008F6C49" w:rsidP="00357B90">
      <w:pPr>
        <w:autoSpaceDE w:val="0"/>
        <w:autoSpaceDN w:val="0"/>
        <w:adjustRightInd w:val="0"/>
        <w:spacing w:line="360" w:lineRule="auto"/>
        <w:ind w:firstLine="567"/>
        <w:jc w:val="both"/>
      </w:pPr>
      <w:r w:rsidRPr="008F6C49">
        <w:t>Návrh zákona, ktorým sa mení a dopĺňa zákon č. 139/1998 Z. z. o omamných látkach, psychotropných látkach a prípravkoch v znení neskorších predpisov (ďalej len „návrh zákona“) sa predkladá</w:t>
      </w:r>
      <w:r w:rsidR="00A465D7">
        <w:t xml:space="preserve"> </w:t>
      </w:r>
      <w:r w:rsidRPr="008F6C49">
        <w:t xml:space="preserve">na základe  úlohy č. 11 v mesiaci október z Plánu legislatívnych úloh vlády SR na mesiace jún až december 2021. </w:t>
      </w:r>
    </w:p>
    <w:p w14:paraId="10DDFA18" w14:textId="247DFC43" w:rsidR="00161435" w:rsidRDefault="008F6C49" w:rsidP="00357B90">
      <w:pPr>
        <w:autoSpaceDE w:val="0"/>
        <w:autoSpaceDN w:val="0"/>
        <w:adjustRightInd w:val="0"/>
        <w:spacing w:line="360" w:lineRule="auto"/>
        <w:ind w:firstLine="567"/>
        <w:jc w:val="both"/>
      </w:pPr>
      <w:r w:rsidRPr="008F6C49">
        <w:t xml:space="preserve">Cieľom návrhu zákona je doplniť prílohu č. 1 zákona č. 139/1998 Z. z. o omamných látkach, psychotropných látkach a prípravkoch v znení neskorších predpisov (ďalej len „zákon č. 139/1998 Z. z.“) o sedem psychotropných látok I. skupiny  na základe rozhodnutia prijatého na 64. zasadnutí Komisie pre omamné látky Úradu OSN pre omamné látky a kriminalitu v dňoch 12. 4. až 16. 4. 2021 (UNODC - United </w:t>
      </w:r>
      <w:proofErr w:type="spellStart"/>
      <w:r w:rsidRPr="008F6C49">
        <w:t>Nations</w:t>
      </w:r>
      <w:proofErr w:type="spellEnd"/>
      <w:r w:rsidRPr="008F6C49">
        <w:t xml:space="preserve"> Office on </w:t>
      </w:r>
      <w:proofErr w:type="spellStart"/>
      <w:r w:rsidRPr="008F6C49">
        <w:t>Drugs</w:t>
      </w:r>
      <w:proofErr w:type="spellEnd"/>
      <w:r w:rsidRPr="008F6C49">
        <w:t xml:space="preserve"> and </w:t>
      </w:r>
      <w:proofErr w:type="spellStart"/>
      <w:r w:rsidRPr="008F6C49">
        <w:t>Crime</w:t>
      </w:r>
      <w:proofErr w:type="spellEnd"/>
      <w:r w:rsidRPr="008F6C49">
        <w:t>). Toto rozhodnutie bolo prijaté na základe hodnotenia odborného výboru pre drogovú závislosť Svetovej zdravotníckej organizácie.</w:t>
      </w:r>
      <w:r>
        <w:t xml:space="preserve"> </w:t>
      </w:r>
      <w:r w:rsidRPr="008F6C49">
        <w:t xml:space="preserve">Ďalej sa navrhuje zaradiť medzi psychotropné látky I. skupiny dve nové </w:t>
      </w:r>
      <w:proofErr w:type="spellStart"/>
      <w:r w:rsidRPr="008F6C49">
        <w:t>psychoaktívne</w:t>
      </w:r>
      <w:proofErr w:type="spellEnd"/>
      <w:r w:rsidRPr="008F6C49">
        <w:t xml:space="preserve"> látky na základe delegovanej smernice Komisie (EÚ) 2021/802 z 12. marca 2021, </w:t>
      </w:r>
      <w:r w:rsidR="008732E7" w:rsidRPr="008732E7">
        <w:t xml:space="preserve">ktorou sa mení príloha k rámcovému rozhodnutiu Rady 2004/757/SVV, pokiaľ ide o zaradenie nových </w:t>
      </w:r>
      <w:proofErr w:type="spellStart"/>
      <w:r w:rsidR="008732E7" w:rsidRPr="008732E7">
        <w:t>psychoaktívnych</w:t>
      </w:r>
      <w:proofErr w:type="spellEnd"/>
      <w:r w:rsidR="008732E7" w:rsidRPr="008732E7">
        <w:t xml:space="preserve"> látok metyl-3,3-dimetyl-2-{[1-(pent-4-én-1-yl)-1H-indazol-3-karbonyl]amino}butanoát (MDMB-4en-PINACA) a metyl-2-{[1-(4-fluórbutyl)-1H-indol-3-karbonyl]amino}-3,3-dimetylbutanoát (4F-MDMB-BICA) do vymedzenia pojmu drogy (Ú. v. EÚ L 178, 20. 5. 2021)</w:t>
      </w:r>
      <w:r w:rsidR="008732E7">
        <w:t>,</w:t>
      </w:r>
      <w:r w:rsidR="004D59F5">
        <w:t xml:space="preserve"> </w:t>
      </w:r>
      <w:r w:rsidRPr="008F6C49">
        <w:t xml:space="preserve">(ďalej len „smernica (EÚ) 2021/802“). </w:t>
      </w:r>
    </w:p>
    <w:p w14:paraId="7E770402" w14:textId="5D664918" w:rsidR="008F6C49" w:rsidRDefault="008F6C49" w:rsidP="00357B90">
      <w:pPr>
        <w:autoSpaceDE w:val="0"/>
        <w:autoSpaceDN w:val="0"/>
        <w:adjustRightInd w:val="0"/>
        <w:spacing w:line="360" w:lineRule="auto"/>
        <w:ind w:firstLine="567"/>
        <w:jc w:val="both"/>
      </w:pPr>
      <w:r w:rsidRPr="008F6C49">
        <w:t xml:space="preserve">Tieto dve nové </w:t>
      </w:r>
      <w:proofErr w:type="spellStart"/>
      <w:r w:rsidRPr="008F6C49">
        <w:t>psychoaktívne</w:t>
      </w:r>
      <w:proofErr w:type="spellEnd"/>
      <w:r w:rsidRPr="008F6C49">
        <w:t xml:space="preserve"> látky sa navrhujú zaradiť medzi psychotropné látky I. skupiny aj na základe rozhodnutia prijatého na 64. zasadnutí Komisie pre omamné látky Úradu OSN pre omamné látky a kriminalitu v dňoch 12. 4. až 16. 4. 2021 (UNODC - United </w:t>
      </w:r>
      <w:proofErr w:type="spellStart"/>
      <w:r w:rsidRPr="008F6C49">
        <w:t>Nations</w:t>
      </w:r>
      <w:proofErr w:type="spellEnd"/>
      <w:r w:rsidRPr="008F6C49">
        <w:t xml:space="preserve"> Office on </w:t>
      </w:r>
      <w:proofErr w:type="spellStart"/>
      <w:r w:rsidRPr="008F6C49">
        <w:t>Drugs</w:t>
      </w:r>
      <w:proofErr w:type="spellEnd"/>
      <w:r w:rsidRPr="008F6C49">
        <w:t xml:space="preserve"> and </w:t>
      </w:r>
      <w:proofErr w:type="spellStart"/>
      <w:r w:rsidRPr="008F6C49">
        <w:t>Crime</w:t>
      </w:r>
      <w:proofErr w:type="spellEnd"/>
      <w:r w:rsidRPr="008F6C49">
        <w:t>).</w:t>
      </w:r>
    </w:p>
    <w:p w14:paraId="7E482E25" w14:textId="77777777" w:rsidR="0012097D" w:rsidRDefault="008F6C49" w:rsidP="00357B90">
      <w:pPr>
        <w:autoSpaceDE w:val="0"/>
        <w:autoSpaceDN w:val="0"/>
        <w:adjustRightInd w:val="0"/>
        <w:spacing w:line="360" w:lineRule="auto"/>
        <w:ind w:firstLine="567"/>
        <w:jc w:val="both"/>
      </w:pPr>
      <w:r w:rsidRPr="008F6C49">
        <w:t xml:space="preserve">Navrhuje sa tiež preradiť omamnú látku </w:t>
      </w:r>
      <w:proofErr w:type="spellStart"/>
      <w:r w:rsidRPr="008F6C49">
        <w:t>Izotonitazén</w:t>
      </w:r>
      <w:proofErr w:type="spellEnd"/>
      <w:r w:rsidRPr="008F6C49">
        <w:t xml:space="preserve"> z II. skupiny omamných látok do I. skupiny omamných látok, pretože táto omamná látka nemá terapeutické použitie a podľa § 3 ods. 2 zákona č. 139/1998 Z. z.. </w:t>
      </w:r>
      <w:proofErr w:type="spellStart"/>
      <w:r w:rsidR="00960782">
        <w:t>Izotonitazén</w:t>
      </w:r>
      <w:proofErr w:type="spellEnd"/>
      <w:r w:rsidR="00960782">
        <w:t xml:space="preserve"> bol zaradený medzi omamné látky II. skupiny na základe poslaneckého pozmeňovacieho návrhu zákona pri schvaľovaní zákona č. 124/2021 Z. z., ktorým </w:t>
      </w:r>
      <w:r w:rsidR="00960782" w:rsidRPr="00960782">
        <w:t>sa mení a dopĺňa zákon č. 139/1998 Z.</w:t>
      </w:r>
      <w:r w:rsidR="00960782">
        <w:t xml:space="preserve"> </w:t>
      </w:r>
      <w:r w:rsidR="00960782" w:rsidRPr="00960782">
        <w:t>z. o omamných látkach, psychotropných látkach a prípravkoch v znení neskorších predpisov a ktorým sa mení a dopĺňa zákon č. 374/2018 Z.</w:t>
      </w:r>
      <w:r w:rsidR="00960782">
        <w:t xml:space="preserve"> </w:t>
      </w:r>
      <w:r w:rsidR="00960782" w:rsidRPr="00960782">
        <w:t>z., ktorým sa mení a dopĺňa zákon č. 153/2013 Z.</w:t>
      </w:r>
      <w:r w:rsidR="00960782">
        <w:t xml:space="preserve"> </w:t>
      </w:r>
      <w:r w:rsidR="00960782" w:rsidRPr="00960782">
        <w:t>z. o národnom zdravotníckom informačnom systéme a o zmene a doplnení niektorých zákonov v znení neskorších predpisov a ktorým sa menia a dopĺňajú niektoré zákony</w:t>
      </w:r>
      <w:r w:rsidR="00960782">
        <w:t xml:space="preserve">. Poslanecký pozmeňovací návrh zákona bol predložený na základe </w:t>
      </w:r>
      <w:r w:rsidR="00960782" w:rsidRPr="00A8519B">
        <w:t xml:space="preserve">delegovanej smernice Komisie </w:t>
      </w:r>
      <w:r w:rsidR="00960782" w:rsidRPr="00A8519B">
        <w:rPr>
          <w:color w:val="000000"/>
        </w:rPr>
        <w:t xml:space="preserve">(EÚ) 2021/802 </w:t>
      </w:r>
      <w:r w:rsidR="00960782" w:rsidRPr="00E06359">
        <w:rPr>
          <w:color w:val="000000"/>
        </w:rPr>
        <w:t>z 12. marca 2021</w:t>
      </w:r>
      <w:r w:rsidR="00960782">
        <w:rPr>
          <w:color w:val="000000"/>
        </w:rPr>
        <w:t xml:space="preserve">, </w:t>
      </w:r>
      <w:r w:rsidR="00155AF7" w:rsidRPr="00155AF7">
        <w:rPr>
          <w:rStyle w:val="Textzstupnhosymbolu1"/>
          <w:rFonts w:eastAsiaTheme="majorEastAsia"/>
          <w:color w:val="000000"/>
        </w:rPr>
        <w:t xml:space="preserve">ktorou </w:t>
      </w:r>
      <w:r w:rsidR="00155AF7" w:rsidRPr="00155AF7">
        <w:rPr>
          <w:rStyle w:val="Textzstupnhosymbolu1"/>
          <w:rFonts w:eastAsiaTheme="majorEastAsia"/>
          <w:color w:val="000000"/>
        </w:rPr>
        <w:lastRenderedPageBreak/>
        <w:t>sa mení príloha k rámcovému rozhodnutiu Rady 2004/757/SVV, pokiaľ ide o zaradenie nových psychoaktívnych látok metyl-3,3-dimetyl-2-{[1-(pent-4-én-1-yl)-1H-indazol-3-karbonyl]amino}butanoát (MDMB-4en-PINACA) a metyl-2-{[1-(4-fluórbutyl)-1H-indol-3-karbonyl]amino}-3,3-dimetylbutanoát (4F-MDMB-BICA) do vymedzenia pojmu drogy (Ú. v. EÚ L 178, 20. 5. 2021)“</w:t>
      </w:r>
      <w:r w:rsidR="00155AF7">
        <w:rPr>
          <w:rStyle w:val="Textzstupnhosymbolu1"/>
          <w:rFonts w:eastAsiaTheme="majorEastAsia"/>
          <w:color w:val="000000"/>
        </w:rPr>
        <w:t xml:space="preserve">, </w:t>
      </w:r>
      <w:r w:rsidR="00960782">
        <w:rPr>
          <w:color w:val="000000"/>
        </w:rPr>
        <w:t xml:space="preserve">ktorou sa </w:t>
      </w:r>
      <w:proofErr w:type="spellStart"/>
      <w:r w:rsidR="00960782">
        <w:rPr>
          <w:color w:val="000000"/>
        </w:rPr>
        <w:t>izotonitazén</w:t>
      </w:r>
      <w:proofErr w:type="spellEnd"/>
      <w:r w:rsidR="00960782">
        <w:rPr>
          <w:color w:val="000000"/>
        </w:rPr>
        <w:t xml:space="preserve"> zaradil medzi omamné látky.</w:t>
      </w:r>
      <w:r w:rsidRPr="008F6C49">
        <w:t xml:space="preserve"> </w:t>
      </w:r>
    </w:p>
    <w:p w14:paraId="5B6DF3FE" w14:textId="3348789F" w:rsidR="005D210C" w:rsidRDefault="008F6C49" w:rsidP="00357B90">
      <w:pPr>
        <w:autoSpaceDE w:val="0"/>
        <w:autoSpaceDN w:val="0"/>
        <w:adjustRightInd w:val="0"/>
        <w:spacing w:line="360" w:lineRule="auto"/>
        <w:ind w:firstLine="567"/>
        <w:jc w:val="both"/>
        <w:rPr>
          <w:color w:val="000000"/>
        </w:rPr>
      </w:pPr>
      <w:r w:rsidRPr="008F6C49">
        <w:rPr>
          <w:color w:val="000000"/>
        </w:rPr>
        <w:t>V prílohe č. 3 zákona č. 139/1998 Z. z. sa dopĺňa zoznam preberaných právne záväzných aktov Európskej únie.</w:t>
      </w:r>
    </w:p>
    <w:p w14:paraId="24363233" w14:textId="77777777" w:rsidR="00D32F11" w:rsidRPr="00903474" w:rsidRDefault="00D32F11" w:rsidP="00357B90">
      <w:pPr>
        <w:spacing w:line="360" w:lineRule="auto"/>
        <w:ind w:firstLine="567"/>
        <w:jc w:val="both"/>
        <w:rPr>
          <w:rStyle w:val="Textzstupnhosymbolu1"/>
          <w:rFonts w:eastAsiaTheme="majorEastAsia"/>
          <w:color w:val="000000"/>
        </w:rPr>
      </w:pPr>
      <w:r w:rsidRPr="00903474">
        <w:rPr>
          <w:rStyle w:val="Textzstupnhosymbolu1"/>
          <w:rFonts w:eastAsiaTheme="majorEastAsia"/>
          <w:color w:val="000000"/>
        </w:rPr>
        <w:t>Nie je dôvod nesprístupňovania návrhu zákona.</w:t>
      </w:r>
    </w:p>
    <w:p w14:paraId="4E30A54B" w14:textId="77777777" w:rsidR="00D32F11" w:rsidRPr="00903474" w:rsidRDefault="00D32F11" w:rsidP="00357B90">
      <w:pPr>
        <w:spacing w:line="360" w:lineRule="auto"/>
        <w:ind w:firstLine="567"/>
        <w:jc w:val="both"/>
        <w:rPr>
          <w:rStyle w:val="Textzstupnhosymbolu1"/>
          <w:rFonts w:eastAsiaTheme="majorEastAsia"/>
          <w:color w:val="000000"/>
        </w:rPr>
      </w:pPr>
      <w:r w:rsidRPr="00903474">
        <w:rPr>
          <w:rStyle w:val="Textzstupnhosymbolu1"/>
          <w:rFonts w:eastAsiaTheme="majorEastAsia"/>
          <w:color w:val="000000"/>
        </w:rPr>
        <w:t xml:space="preserve">Návrh zákona nie je predmetom </w:t>
      </w:r>
      <w:proofErr w:type="spellStart"/>
      <w:r w:rsidRPr="00903474">
        <w:rPr>
          <w:rStyle w:val="Textzstupnhosymbolu1"/>
          <w:rFonts w:eastAsiaTheme="majorEastAsia"/>
          <w:color w:val="000000"/>
        </w:rPr>
        <w:t>vnútrokomunitárneho</w:t>
      </w:r>
      <w:proofErr w:type="spellEnd"/>
      <w:r w:rsidRPr="00903474">
        <w:rPr>
          <w:rStyle w:val="Textzstupnhosymbolu1"/>
          <w:rFonts w:eastAsiaTheme="majorEastAsia"/>
          <w:color w:val="000000"/>
        </w:rPr>
        <w:t xml:space="preserve"> pripomienkového konania.     </w:t>
      </w:r>
    </w:p>
    <w:p w14:paraId="3B421520" w14:textId="6FBD33C6" w:rsidR="00E85994" w:rsidRPr="00903474" w:rsidRDefault="00E85994" w:rsidP="00357B90">
      <w:pPr>
        <w:tabs>
          <w:tab w:val="left" w:pos="720"/>
          <w:tab w:val="left" w:pos="8520"/>
        </w:tabs>
        <w:suppressAutoHyphens/>
        <w:spacing w:line="360" w:lineRule="auto"/>
        <w:ind w:firstLine="567"/>
        <w:jc w:val="both"/>
        <w:rPr>
          <w:color w:val="000000"/>
          <w:bdr w:val="none" w:sz="0" w:space="0" w:color="auto" w:frame="1"/>
          <w:lang w:eastAsia="en-GB"/>
        </w:rPr>
      </w:pPr>
      <w:r w:rsidRPr="00903474">
        <w:t>Návrh zákona nemá vplyvy na rozpočet verejnej správy, vplyvy na podnikateľské prostredie, sociálne vplyvy, vplyvy na životné prostredie, vplyvy na informatizáciu spoločnosti,</w:t>
      </w:r>
      <w:r w:rsidR="00B35500">
        <w:t xml:space="preserve"> </w:t>
      </w:r>
      <w:r w:rsidRPr="00903474">
        <w:t>vplyvy na služby verejnej správy pre občana</w:t>
      </w:r>
      <w:r w:rsidR="00B35500">
        <w:t xml:space="preserve"> ani</w:t>
      </w:r>
      <w:r w:rsidR="00B35500" w:rsidRPr="00B35500">
        <w:t xml:space="preserve"> vplyvy na manželstvo, rodičovstvo a</w:t>
      </w:r>
      <w:r w:rsidR="00B35500">
        <w:t> </w:t>
      </w:r>
      <w:r w:rsidR="00B35500" w:rsidRPr="00B35500">
        <w:t>rodinu</w:t>
      </w:r>
      <w:r w:rsidR="00B35500">
        <w:t>.</w:t>
      </w:r>
    </w:p>
    <w:p w14:paraId="71312F29" w14:textId="77777777" w:rsidR="00A94E46" w:rsidRDefault="00454F1A" w:rsidP="00357B90">
      <w:pPr>
        <w:spacing w:line="360" w:lineRule="auto"/>
        <w:ind w:firstLine="567"/>
        <w:jc w:val="both"/>
        <w:rPr>
          <w:rStyle w:val="Textzstupnhosymbolu1"/>
          <w:rFonts w:eastAsiaTheme="majorEastAsia" w:cs="EUAlbertina"/>
          <w:color w:val="000000"/>
          <w:lang w:eastAsia="en-US"/>
        </w:rPr>
      </w:pPr>
      <w:r>
        <w:rPr>
          <w:rStyle w:val="Textzstupnhosymbolu1"/>
          <w:rFonts w:eastAsiaTheme="majorEastAsia"/>
          <w:color w:val="000000"/>
        </w:rPr>
        <w:t>N</w:t>
      </w:r>
      <w:r w:rsidR="00D32F11" w:rsidRPr="00903474">
        <w:rPr>
          <w:rStyle w:val="Textzstupnhosymbolu1"/>
          <w:rFonts w:eastAsiaTheme="majorEastAsia"/>
          <w:color w:val="000000"/>
        </w:rPr>
        <w:t>ávrh zákona je v súlade s Ústavou Slovenskej republiky</w:t>
      </w:r>
      <w:r>
        <w:rPr>
          <w:rStyle w:val="Textzstupnhosymbolu1"/>
          <w:rFonts w:eastAsiaTheme="majorEastAsia"/>
          <w:color w:val="000000"/>
        </w:rPr>
        <w:t>, s</w:t>
      </w:r>
      <w:r w:rsidR="003D5AEE">
        <w:rPr>
          <w:rStyle w:val="Textzstupnhosymbolu1"/>
          <w:rFonts w:eastAsiaTheme="majorEastAsia"/>
          <w:color w:val="000000"/>
        </w:rPr>
        <w:t xml:space="preserve"> ústavnými zákonmi a nálezmi ústavného súdu, </w:t>
      </w:r>
      <w:r w:rsidR="00A86F26" w:rsidRPr="0004398A">
        <w:rPr>
          <w:rStyle w:val="Textzstupnhosymbolu1"/>
          <w:rFonts w:eastAsiaTheme="majorEastAsia"/>
          <w:color w:val="auto"/>
        </w:rPr>
        <w:t>zákonmi Slovenskej republiky a ostatnými všeobecne záväznými právnymi predpismi</w:t>
      </w:r>
      <w:r w:rsidR="00D32F11" w:rsidRPr="00903474">
        <w:rPr>
          <w:rStyle w:val="Textzstupnhosymbolu1"/>
          <w:rFonts w:eastAsiaTheme="majorEastAsia"/>
          <w:color w:val="000000"/>
        </w:rPr>
        <w:t>, s medzinárodnými zmluvami a inými medzinárodnými dokumentmi, ktorými je Slovenská republika viazaná.</w:t>
      </w:r>
    </w:p>
    <w:p w14:paraId="06EB1D20" w14:textId="6D3591D5" w:rsidR="00A033AD" w:rsidRDefault="00D32F11" w:rsidP="00357B90">
      <w:pPr>
        <w:spacing w:line="360" w:lineRule="auto"/>
        <w:ind w:firstLine="567"/>
        <w:jc w:val="both"/>
      </w:pPr>
      <w:r w:rsidRPr="00903474">
        <w:rPr>
          <w:rStyle w:val="Textzstupnhosymbolu1"/>
          <w:rFonts w:eastAsiaTheme="majorEastAsia"/>
          <w:color w:val="000000"/>
        </w:rPr>
        <w:t>Návrh zákona je v súlade s</w:t>
      </w:r>
      <w:r w:rsidRPr="00903474">
        <w:t> právom Európskej únie</w:t>
      </w:r>
      <w:r w:rsidR="007331DD">
        <w:t>.</w:t>
      </w:r>
      <w:r w:rsidR="007331DD" w:rsidRPr="00903474" w:rsidDel="007331DD">
        <w:t xml:space="preserve"> </w:t>
      </w:r>
    </w:p>
    <w:p w14:paraId="3B289223" w14:textId="308DE03C" w:rsidR="00F6233C" w:rsidRDefault="00F6233C" w:rsidP="00357B90">
      <w:pPr>
        <w:spacing w:line="360" w:lineRule="auto"/>
        <w:ind w:firstLine="567"/>
        <w:jc w:val="both"/>
      </w:pPr>
    </w:p>
    <w:p w14:paraId="404DBAC5" w14:textId="77777777" w:rsidR="00F6233C" w:rsidRDefault="00F6233C" w:rsidP="00357B90">
      <w:pPr>
        <w:spacing w:line="360" w:lineRule="auto"/>
        <w:ind w:firstLine="567"/>
        <w:jc w:val="both"/>
        <w:sectPr w:rsidR="00F6233C" w:rsidSect="00DC67FC">
          <w:footerReference w:type="default" r:id="rId8"/>
          <w:footerReference w:type="first" r:id="rId9"/>
          <w:pgSz w:w="11906" w:h="16838"/>
          <w:pgMar w:top="1417" w:right="1417" w:bottom="1417" w:left="1417" w:header="708" w:footer="708" w:gutter="0"/>
          <w:pgNumType w:start="1"/>
          <w:cols w:space="708"/>
          <w:docGrid w:linePitch="360"/>
        </w:sectPr>
      </w:pPr>
    </w:p>
    <w:p w14:paraId="586928DE" w14:textId="77777777" w:rsidR="00F6233C" w:rsidRPr="006045CB" w:rsidRDefault="00F6233C" w:rsidP="00357B90">
      <w:pPr>
        <w:jc w:val="center"/>
        <w:rPr>
          <w:b/>
          <w:sz w:val="28"/>
          <w:szCs w:val="28"/>
        </w:rPr>
      </w:pPr>
      <w:r>
        <w:rPr>
          <w:b/>
          <w:sz w:val="28"/>
          <w:szCs w:val="28"/>
        </w:rPr>
        <w:lastRenderedPageBreak/>
        <w:t>D</w:t>
      </w:r>
      <w:r w:rsidRPr="006045CB">
        <w:rPr>
          <w:b/>
          <w:sz w:val="28"/>
          <w:szCs w:val="28"/>
        </w:rPr>
        <w:t>oložka vybraných vplyvov</w:t>
      </w:r>
    </w:p>
    <w:p w14:paraId="5551ACA1" w14:textId="77777777" w:rsidR="00F6233C" w:rsidRPr="00B043B4" w:rsidRDefault="00F6233C" w:rsidP="00357B90">
      <w:pPr>
        <w:spacing w:after="200" w:line="276" w:lineRule="auto"/>
        <w:ind w:left="426"/>
        <w:contextualSpacing/>
        <w:jc w:val="both"/>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6233C" w:rsidRPr="00B043B4" w14:paraId="15AB790E" w14:textId="77777777" w:rsidTr="00E83111">
        <w:tc>
          <w:tcPr>
            <w:tcW w:w="9180" w:type="dxa"/>
            <w:gridSpan w:val="11"/>
            <w:tcBorders>
              <w:bottom w:val="single" w:sz="4" w:space="0" w:color="FFFFFF"/>
            </w:tcBorders>
            <w:shd w:val="clear" w:color="auto" w:fill="E2E2E2"/>
          </w:tcPr>
          <w:p w14:paraId="3958907A"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Základné údaje</w:t>
            </w:r>
          </w:p>
        </w:tc>
      </w:tr>
      <w:tr w:rsidR="00F6233C" w:rsidRPr="00B043B4" w14:paraId="079E8203" w14:textId="77777777" w:rsidTr="00E83111">
        <w:tc>
          <w:tcPr>
            <w:tcW w:w="9180" w:type="dxa"/>
            <w:gridSpan w:val="11"/>
            <w:tcBorders>
              <w:bottom w:val="single" w:sz="4" w:space="0" w:color="FFFFFF"/>
            </w:tcBorders>
            <w:shd w:val="clear" w:color="auto" w:fill="E2E2E2"/>
          </w:tcPr>
          <w:p w14:paraId="6E4FD4AA"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Názov materiálu</w:t>
            </w:r>
          </w:p>
        </w:tc>
      </w:tr>
      <w:tr w:rsidR="00F6233C" w:rsidRPr="00B043B4" w14:paraId="48CF363F" w14:textId="77777777" w:rsidTr="00E83111">
        <w:tc>
          <w:tcPr>
            <w:tcW w:w="9180" w:type="dxa"/>
            <w:gridSpan w:val="11"/>
            <w:tcBorders>
              <w:top w:val="single" w:sz="4" w:space="0" w:color="FFFFFF"/>
              <w:bottom w:val="single" w:sz="4" w:space="0" w:color="auto"/>
            </w:tcBorders>
          </w:tcPr>
          <w:p w14:paraId="66EE5121" w14:textId="77777777" w:rsidR="00F6233C" w:rsidRPr="00B043B4"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Zákon, ktorým sa mení a dopĺňa zákon č. 139/1998 Z. z. o omamných látkach, psychotropných látkach a prípravkoch v znení neskorších predpisov</w:t>
            </w:r>
          </w:p>
          <w:p w14:paraId="5FAB46FD"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2EFE2E11" w14:textId="77777777" w:rsidTr="00E83111">
        <w:tc>
          <w:tcPr>
            <w:tcW w:w="9180" w:type="dxa"/>
            <w:gridSpan w:val="11"/>
            <w:tcBorders>
              <w:top w:val="single" w:sz="4" w:space="0" w:color="auto"/>
              <w:left w:val="single" w:sz="4" w:space="0" w:color="auto"/>
              <w:bottom w:val="single" w:sz="4" w:space="0" w:color="FFFFFF"/>
            </w:tcBorders>
            <w:shd w:val="clear" w:color="auto" w:fill="E2E2E2"/>
          </w:tcPr>
          <w:p w14:paraId="5060DCA9"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F6233C" w:rsidRPr="00B043B4" w14:paraId="762DB223" w14:textId="77777777" w:rsidTr="00E83111">
        <w:tc>
          <w:tcPr>
            <w:tcW w:w="9180" w:type="dxa"/>
            <w:gridSpan w:val="11"/>
            <w:tcBorders>
              <w:top w:val="single" w:sz="4" w:space="0" w:color="FFFFFF"/>
              <w:left w:val="single" w:sz="4" w:space="0" w:color="auto"/>
              <w:bottom w:val="single" w:sz="4" w:space="0" w:color="auto"/>
            </w:tcBorders>
            <w:shd w:val="clear" w:color="auto" w:fill="FFFFFF"/>
          </w:tcPr>
          <w:p w14:paraId="683A0084" w14:textId="77777777" w:rsidR="00F6233C" w:rsidRPr="00B043B4"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Ministerstvo zdravotníctva Slovenskej republiky</w:t>
            </w:r>
          </w:p>
          <w:p w14:paraId="1432A697"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49DDF5D7" w14:textId="77777777" w:rsidTr="00E8311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217ED43"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AF6099D"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BDBC9EA"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F6233C" w:rsidRPr="00B043B4" w14:paraId="0BE8BB62" w14:textId="77777777" w:rsidTr="00E83111">
        <w:tc>
          <w:tcPr>
            <w:tcW w:w="4212" w:type="dxa"/>
            <w:gridSpan w:val="2"/>
            <w:vMerge/>
            <w:tcBorders>
              <w:top w:val="nil"/>
              <w:left w:val="single" w:sz="4" w:space="0" w:color="auto"/>
              <w:bottom w:val="single" w:sz="4" w:space="0" w:color="FFFFFF"/>
            </w:tcBorders>
            <w:shd w:val="clear" w:color="auto" w:fill="E2E2E2"/>
          </w:tcPr>
          <w:p w14:paraId="632D1F28" w14:textId="77777777" w:rsidR="00F6233C" w:rsidRPr="00B043B4" w:rsidRDefault="00F6233C" w:rsidP="00357B90">
            <w:pPr>
              <w:jc w:val="both"/>
              <w:rPr>
                <w:rFonts w:ascii="Times New Roman" w:eastAsia="Times New Roman" w:hAnsi="Times New Roman" w:cs="Times New Roman"/>
                <w:sz w:val="20"/>
                <w:szCs w:val="20"/>
                <w:lang w:eastAsia="sk-SK"/>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55112A81"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E988310" w14:textId="77777777" w:rsidR="00F6233C" w:rsidRPr="00B043B4" w:rsidRDefault="00F6233C" w:rsidP="00357B90">
            <w:pPr>
              <w:ind w:left="175" w:hanging="175"/>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F6233C" w:rsidRPr="00B043B4" w14:paraId="6B796397" w14:textId="77777777" w:rsidTr="00E83111">
        <w:tc>
          <w:tcPr>
            <w:tcW w:w="4212" w:type="dxa"/>
            <w:gridSpan w:val="2"/>
            <w:vMerge/>
            <w:tcBorders>
              <w:top w:val="nil"/>
              <w:left w:val="single" w:sz="4" w:space="0" w:color="auto"/>
              <w:bottom w:val="single" w:sz="4" w:space="0" w:color="auto"/>
            </w:tcBorders>
            <w:shd w:val="clear" w:color="auto" w:fill="E2E2E2"/>
          </w:tcPr>
          <w:p w14:paraId="7A694569" w14:textId="77777777" w:rsidR="00F6233C" w:rsidRPr="00B043B4" w:rsidRDefault="00F6233C" w:rsidP="00357B90">
            <w:pPr>
              <w:jc w:val="both"/>
              <w:rPr>
                <w:rFonts w:ascii="Times New Roman" w:eastAsia="Times New Roman" w:hAnsi="Times New Roman" w:cs="Times New Roman"/>
                <w:sz w:val="20"/>
                <w:szCs w:val="20"/>
                <w:lang w:eastAsia="sk-SK"/>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398D0CB"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88EDB22"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F6233C" w:rsidRPr="00B043B4" w14:paraId="0D212957" w14:textId="77777777" w:rsidTr="00E83111">
        <w:tc>
          <w:tcPr>
            <w:tcW w:w="9180" w:type="dxa"/>
            <w:gridSpan w:val="11"/>
            <w:tcBorders>
              <w:top w:val="single" w:sz="4" w:space="0" w:color="auto"/>
              <w:left w:val="single" w:sz="4" w:space="0" w:color="auto"/>
              <w:bottom w:val="single" w:sz="4" w:space="0" w:color="FFFFFF"/>
            </w:tcBorders>
            <w:shd w:val="clear" w:color="auto" w:fill="FFFFFF"/>
          </w:tcPr>
          <w:p w14:paraId="2AEE998F" w14:textId="77777777" w:rsidR="00F6233C" w:rsidRPr="00B043B4" w:rsidRDefault="00F6233C" w:rsidP="00357B90">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14:paraId="1E85C69D"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2BB9D064" w14:textId="77777777" w:rsidTr="00E8311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C3B99D7"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25899F87" w14:textId="77777777" w:rsidR="00F6233C" w:rsidRPr="00B043B4" w:rsidRDefault="00F6233C" w:rsidP="00357B90">
            <w:pPr>
              <w:jc w:val="both"/>
              <w:rPr>
                <w:rFonts w:ascii="Times New Roman" w:eastAsia="Times New Roman" w:hAnsi="Times New Roman" w:cs="Times New Roman"/>
                <w:i/>
                <w:sz w:val="20"/>
                <w:szCs w:val="20"/>
                <w:lang w:eastAsia="sk-SK"/>
              </w:rPr>
            </w:pPr>
          </w:p>
        </w:tc>
      </w:tr>
      <w:tr w:rsidR="00F6233C" w:rsidRPr="00B043B4" w14:paraId="1EEDAEBD" w14:textId="77777777" w:rsidTr="00E8311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27C57B6"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473D8A41" w14:textId="77777777" w:rsidR="00F6233C" w:rsidRPr="00EA046A" w:rsidRDefault="00F6233C" w:rsidP="00357B90">
            <w:pPr>
              <w:jc w:val="both"/>
              <w:rPr>
                <w:rFonts w:ascii="Times New Roman" w:eastAsia="Times New Roman" w:hAnsi="Times New Roman" w:cs="Times New Roman"/>
                <w:sz w:val="20"/>
                <w:szCs w:val="20"/>
                <w:lang w:eastAsia="sk-SK"/>
              </w:rPr>
            </w:pPr>
            <w:r w:rsidRPr="00EA046A">
              <w:rPr>
                <w:rFonts w:ascii="Times New Roman" w:eastAsia="Times New Roman" w:hAnsi="Times New Roman" w:cs="Times New Roman"/>
                <w:sz w:val="20"/>
                <w:szCs w:val="20"/>
                <w:lang w:eastAsia="sk-SK"/>
              </w:rPr>
              <w:t>august 2021</w:t>
            </w:r>
          </w:p>
        </w:tc>
      </w:tr>
      <w:tr w:rsidR="00F6233C" w:rsidRPr="00B043B4" w14:paraId="1CAFADDF" w14:textId="77777777" w:rsidTr="00E8311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F555B4F" w14:textId="77777777" w:rsidR="00F6233C" w:rsidRPr="00B043B4" w:rsidRDefault="00F6233C" w:rsidP="00357B90">
            <w:pPr>
              <w:spacing w:line="276" w:lineRule="auto"/>
              <w:ind w:left="142"/>
              <w:contextualSpacing/>
              <w:jc w:val="both"/>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289CA697" w14:textId="77777777" w:rsidR="00F6233C" w:rsidRPr="00B043B4" w:rsidRDefault="00F6233C" w:rsidP="00357B90">
            <w:pPr>
              <w:jc w:val="both"/>
              <w:rPr>
                <w:rFonts w:ascii="Times New Roman" w:eastAsia="Times New Roman" w:hAnsi="Times New Roman" w:cs="Times New Roman"/>
                <w:i/>
                <w:sz w:val="20"/>
                <w:szCs w:val="20"/>
                <w:lang w:eastAsia="sk-SK"/>
              </w:rPr>
            </w:pPr>
          </w:p>
        </w:tc>
      </w:tr>
      <w:tr w:rsidR="00F6233C" w:rsidRPr="00B043B4" w14:paraId="60650E7C" w14:textId="77777777" w:rsidTr="00E8311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AAE14A3" w14:textId="77777777" w:rsidR="00F6233C" w:rsidRPr="00B043B4" w:rsidRDefault="00F6233C" w:rsidP="00357B90">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35A75C7" w14:textId="77777777" w:rsidR="00F6233C" w:rsidRPr="00B043B4" w:rsidRDefault="00F6233C" w:rsidP="00357B90">
            <w:pPr>
              <w:jc w:val="both"/>
              <w:rPr>
                <w:rFonts w:ascii="Times New Roman" w:eastAsia="Times New Roman" w:hAnsi="Times New Roman" w:cs="Times New Roman"/>
                <w:i/>
                <w:sz w:val="20"/>
                <w:szCs w:val="20"/>
                <w:lang w:eastAsia="sk-SK"/>
              </w:rPr>
            </w:pPr>
          </w:p>
        </w:tc>
      </w:tr>
      <w:tr w:rsidR="00F6233C" w:rsidRPr="00B043B4" w14:paraId="5F75E949" w14:textId="77777777" w:rsidTr="00E83111">
        <w:tc>
          <w:tcPr>
            <w:tcW w:w="9180" w:type="dxa"/>
            <w:gridSpan w:val="11"/>
            <w:tcBorders>
              <w:top w:val="single" w:sz="4" w:space="0" w:color="auto"/>
              <w:left w:val="nil"/>
              <w:bottom w:val="single" w:sz="4" w:space="0" w:color="auto"/>
              <w:right w:val="nil"/>
            </w:tcBorders>
            <w:shd w:val="clear" w:color="auto" w:fill="FFFFFF"/>
          </w:tcPr>
          <w:p w14:paraId="1FE997EC"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565EBF89" w14:textId="77777777" w:rsidTr="00E831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49838A55"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F6233C" w:rsidRPr="00B043B4" w14:paraId="121F19A6" w14:textId="77777777" w:rsidTr="00E8311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0BE6D0C0" w14:textId="77777777" w:rsidR="00F6233C"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 xml:space="preserve">Doplnenie prílohy č. 1 zákona č. 139/1998 Z. z. o omamných látkach, psychotropných látkach a prípravkoch v znení neskorších predpisov o sedem psychotropných látok I. skupiny a preradenie omamnej látky </w:t>
            </w:r>
            <w:proofErr w:type="spellStart"/>
            <w:r w:rsidRPr="00F901C1">
              <w:rPr>
                <w:rFonts w:ascii="Times New Roman" w:eastAsia="Times New Roman" w:hAnsi="Times New Roman" w:cs="Times New Roman"/>
                <w:sz w:val="20"/>
                <w:szCs w:val="20"/>
                <w:lang w:eastAsia="sk-SK"/>
              </w:rPr>
              <w:t>Izotonitazén</w:t>
            </w:r>
            <w:proofErr w:type="spellEnd"/>
            <w:r w:rsidRPr="00F901C1">
              <w:rPr>
                <w:rFonts w:ascii="Times New Roman" w:eastAsia="Times New Roman" w:hAnsi="Times New Roman" w:cs="Times New Roman"/>
                <w:sz w:val="20"/>
                <w:szCs w:val="20"/>
                <w:lang w:eastAsia="sk-SK"/>
              </w:rPr>
              <w:t xml:space="preserve"> zo skupiny II. omamných látok do skupiny I. omamných látok, pretože nemá terapeutické využitie. </w:t>
            </w:r>
          </w:p>
          <w:p w14:paraId="30E31165" w14:textId="77777777" w:rsidR="00F6233C" w:rsidRPr="00F901C1" w:rsidRDefault="00F6233C" w:rsidP="00357B90">
            <w:pPr>
              <w:jc w:val="both"/>
              <w:rPr>
                <w:rFonts w:ascii="Times New Roman" w:eastAsia="Times New Roman" w:hAnsi="Times New Roman" w:cs="Times New Roman"/>
                <w:b/>
                <w:sz w:val="20"/>
                <w:szCs w:val="20"/>
                <w:lang w:eastAsia="sk-SK"/>
              </w:rPr>
            </w:pPr>
          </w:p>
        </w:tc>
      </w:tr>
      <w:tr w:rsidR="00F6233C" w:rsidRPr="00B043B4" w14:paraId="641DDFD5" w14:textId="77777777" w:rsidTr="00E83111">
        <w:tc>
          <w:tcPr>
            <w:tcW w:w="9180" w:type="dxa"/>
            <w:gridSpan w:val="11"/>
            <w:tcBorders>
              <w:top w:val="single" w:sz="4" w:space="0" w:color="auto"/>
              <w:left w:val="single" w:sz="4" w:space="0" w:color="auto"/>
              <w:bottom w:val="nil"/>
              <w:right w:val="single" w:sz="4" w:space="0" w:color="auto"/>
            </w:tcBorders>
            <w:shd w:val="clear" w:color="auto" w:fill="E2E2E2"/>
          </w:tcPr>
          <w:p w14:paraId="4E27B37F"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F6233C" w:rsidRPr="00B043B4" w14:paraId="575459DD" w14:textId="77777777" w:rsidTr="00E8311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6920E045" w14:textId="77777777" w:rsidR="00F6233C" w:rsidRPr="00F901C1"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Cieľom návrhu je umožniť pružnejšie trestno-právne postihovať nezákonnú činnosť subjektov zameraných na nezákonnú výrobu a predaj omamných látok a psychotropných látok a zosúladiť zákon s právom Európskej únie a so záväzkami Slovenskej republiky vyplývajúcimi s ratifikáciou medzinárodných dohovorov OSN vzťahujúcich sa na omamné látky a psychotropné látky.</w:t>
            </w:r>
          </w:p>
          <w:p w14:paraId="2D489481" w14:textId="77777777" w:rsidR="00F6233C" w:rsidRPr="00F901C1"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 xml:space="preserve">Cieľom návrhu zákona je doplniť prílohu č. 1 zákona č. 139/1998 Z. z. o sedem psychotropných látok a prípravkoch v znení neskorších predpisov na základe rozhodnutia prijatého na 64. zasadnutí Komisie pre omamné látky Úradu OSN pre omamné látky a kriminalitu v dňoch v dňoch 12. 4. až 16. 4. 2021 (UNODC - United </w:t>
            </w:r>
            <w:proofErr w:type="spellStart"/>
            <w:r w:rsidRPr="00F901C1">
              <w:rPr>
                <w:rFonts w:ascii="Times New Roman" w:eastAsia="Times New Roman" w:hAnsi="Times New Roman" w:cs="Times New Roman"/>
                <w:sz w:val="20"/>
                <w:szCs w:val="20"/>
                <w:lang w:eastAsia="sk-SK"/>
              </w:rPr>
              <w:t>Nations</w:t>
            </w:r>
            <w:proofErr w:type="spellEnd"/>
            <w:r w:rsidRPr="00F901C1">
              <w:rPr>
                <w:rFonts w:ascii="Times New Roman" w:eastAsia="Times New Roman" w:hAnsi="Times New Roman" w:cs="Times New Roman"/>
                <w:sz w:val="20"/>
                <w:szCs w:val="20"/>
                <w:lang w:eastAsia="sk-SK"/>
              </w:rPr>
              <w:t xml:space="preserve"> Office on </w:t>
            </w:r>
            <w:proofErr w:type="spellStart"/>
            <w:r w:rsidRPr="00F901C1">
              <w:rPr>
                <w:rFonts w:ascii="Times New Roman" w:eastAsia="Times New Roman" w:hAnsi="Times New Roman" w:cs="Times New Roman"/>
                <w:sz w:val="20"/>
                <w:szCs w:val="20"/>
                <w:lang w:eastAsia="sk-SK"/>
              </w:rPr>
              <w:t>Drugs</w:t>
            </w:r>
            <w:proofErr w:type="spellEnd"/>
            <w:r w:rsidRPr="00F901C1">
              <w:rPr>
                <w:rFonts w:ascii="Times New Roman" w:eastAsia="Times New Roman" w:hAnsi="Times New Roman" w:cs="Times New Roman"/>
                <w:sz w:val="20"/>
                <w:szCs w:val="20"/>
                <w:lang w:eastAsia="sk-SK"/>
              </w:rPr>
              <w:t xml:space="preserve"> and </w:t>
            </w:r>
            <w:proofErr w:type="spellStart"/>
            <w:r w:rsidRPr="00F901C1">
              <w:rPr>
                <w:rFonts w:ascii="Times New Roman" w:eastAsia="Times New Roman" w:hAnsi="Times New Roman" w:cs="Times New Roman"/>
                <w:sz w:val="20"/>
                <w:szCs w:val="20"/>
                <w:lang w:eastAsia="sk-SK"/>
              </w:rPr>
              <w:t>Crime</w:t>
            </w:r>
            <w:proofErr w:type="spellEnd"/>
            <w:r w:rsidRPr="00F901C1">
              <w:rPr>
                <w:rFonts w:ascii="Times New Roman" w:eastAsia="Times New Roman" w:hAnsi="Times New Roman" w:cs="Times New Roman"/>
                <w:sz w:val="20"/>
                <w:szCs w:val="20"/>
                <w:lang w:eastAsia="sk-SK"/>
              </w:rPr>
              <w:t xml:space="preserve">) a preradiť omamnú látku </w:t>
            </w:r>
            <w:proofErr w:type="spellStart"/>
            <w:r w:rsidRPr="00F901C1">
              <w:rPr>
                <w:rFonts w:ascii="Times New Roman" w:eastAsia="Times New Roman" w:hAnsi="Times New Roman" w:cs="Times New Roman"/>
                <w:sz w:val="20"/>
                <w:szCs w:val="20"/>
                <w:lang w:eastAsia="sk-SK"/>
              </w:rPr>
              <w:t>Izotonitazén</w:t>
            </w:r>
            <w:proofErr w:type="spellEnd"/>
            <w:r w:rsidRPr="00F901C1">
              <w:rPr>
                <w:rFonts w:ascii="Times New Roman" w:eastAsia="Times New Roman" w:hAnsi="Times New Roman" w:cs="Times New Roman"/>
                <w:sz w:val="20"/>
                <w:szCs w:val="20"/>
                <w:lang w:eastAsia="sk-SK"/>
              </w:rPr>
              <w:t xml:space="preserve"> zo skupiny II. omamných látok do skupiny I. omamných látok, pretože nemá terapeutické využitie</w:t>
            </w:r>
          </w:p>
          <w:p w14:paraId="5475DFBF" w14:textId="77777777" w:rsidR="00F6233C"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Rozhodnutia OSN boli prijaté na základe hodnotenia odborného výboru pre drogovú závislosť Svetovej zdravotníckej organizácie.</w:t>
            </w:r>
            <w:r>
              <w:t xml:space="preserve"> </w:t>
            </w:r>
            <w:r w:rsidRPr="009E56C3">
              <w:rPr>
                <w:rFonts w:ascii="Times New Roman" w:eastAsia="Times New Roman" w:hAnsi="Times New Roman" w:cs="Times New Roman"/>
                <w:sz w:val="20"/>
                <w:szCs w:val="20"/>
                <w:lang w:eastAsia="sk-SK"/>
              </w:rPr>
              <w:t xml:space="preserve">Ministerstvo vnútra SR uplatnilo v medzirezortnom pripomienkovom konaní návrh na zaradenie ďalších 10 nových </w:t>
            </w:r>
            <w:proofErr w:type="spellStart"/>
            <w:r w:rsidRPr="009E56C3">
              <w:rPr>
                <w:rFonts w:ascii="Times New Roman" w:eastAsia="Times New Roman" w:hAnsi="Times New Roman" w:cs="Times New Roman"/>
                <w:sz w:val="20"/>
                <w:szCs w:val="20"/>
                <w:lang w:eastAsia="sk-SK"/>
              </w:rPr>
              <w:t>psychoaktívnych</w:t>
            </w:r>
            <w:proofErr w:type="spellEnd"/>
            <w:r w:rsidRPr="009E56C3">
              <w:rPr>
                <w:rFonts w:ascii="Times New Roman" w:eastAsia="Times New Roman" w:hAnsi="Times New Roman" w:cs="Times New Roman"/>
                <w:sz w:val="20"/>
                <w:szCs w:val="20"/>
                <w:lang w:eastAsia="sk-SK"/>
              </w:rPr>
              <w:t xml:space="preserve"> látok do skupiny I. psychotropných látok.</w:t>
            </w:r>
          </w:p>
          <w:p w14:paraId="491575C8"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0CD1074C" w14:textId="77777777" w:rsidTr="00E83111">
        <w:tc>
          <w:tcPr>
            <w:tcW w:w="9180" w:type="dxa"/>
            <w:gridSpan w:val="11"/>
            <w:tcBorders>
              <w:top w:val="single" w:sz="4" w:space="0" w:color="auto"/>
              <w:left w:val="single" w:sz="4" w:space="0" w:color="auto"/>
              <w:bottom w:val="nil"/>
              <w:right w:val="single" w:sz="4" w:space="0" w:color="auto"/>
            </w:tcBorders>
            <w:shd w:val="clear" w:color="auto" w:fill="E2E2E2"/>
          </w:tcPr>
          <w:p w14:paraId="5A0855D1"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Dotknuté subjekty</w:t>
            </w:r>
          </w:p>
        </w:tc>
      </w:tr>
      <w:tr w:rsidR="00F6233C" w:rsidRPr="00B043B4" w14:paraId="2D04BCA1" w14:textId="77777777" w:rsidTr="00E83111">
        <w:tc>
          <w:tcPr>
            <w:tcW w:w="9180" w:type="dxa"/>
            <w:gridSpan w:val="11"/>
            <w:tcBorders>
              <w:top w:val="nil"/>
              <w:left w:val="single" w:sz="4" w:space="0" w:color="auto"/>
              <w:bottom w:val="single" w:sz="4" w:space="0" w:color="auto"/>
              <w:right w:val="single" w:sz="4" w:space="0" w:color="auto"/>
            </w:tcBorders>
            <w:shd w:val="clear" w:color="auto" w:fill="FFFFFF"/>
          </w:tcPr>
          <w:p w14:paraId="4A11B651" w14:textId="77777777" w:rsidR="00F6233C"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 xml:space="preserve">Vzhľadom na to, že nové </w:t>
            </w:r>
            <w:proofErr w:type="spellStart"/>
            <w:r w:rsidRPr="00F901C1">
              <w:rPr>
                <w:rFonts w:ascii="Times New Roman" w:eastAsia="Times New Roman" w:hAnsi="Times New Roman" w:cs="Times New Roman"/>
                <w:sz w:val="20"/>
                <w:szCs w:val="20"/>
                <w:lang w:eastAsia="sk-SK"/>
              </w:rPr>
              <w:t>psychoaktívne</w:t>
            </w:r>
            <w:proofErr w:type="spellEnd"/>
            <w:r w:rsidRPr="00F901C1">
              <w:rPr>
                <w:rFonts w:ascii="Times New Roman" w:eastAsia="Times New Roman" w:hAnsi="Times New Roman" w:cs="Times New Roman"/>
                <w:sz w:val="20"/>
                <w:szCs w:val="20"/>
                <w:lang w:eastAsia="sk-SK"/>
              </w:rPr>
              <w:t xml:space="preserve"> látky, ktoré sa dopĺňajú do prílohy č. 1 zákona č. 139/1998 Z. z. nemajú vlastnosti liečiva a nie sú obsiahnuté v žiadnom lieku, dotknutými subjektmi budú len priekupníci a díleri drog, ktorých činnosť je nezákonná a podlieha trestnoprávnej zodpovednosti.</w:t>
            </w:r>
          </w:p>
          <w:p w14:paraId="248C14BF" w14:textId="77777777" w:rsidR="00F6233C" w:rsidRPr="00F901C1" w:rsidRDefault="00F6233C" w:rsidP="00357B90">
            <w:pPr>
              <w:jc w:val="both"/>
              <w:rPr>
                <w:rFonts w:ascii="Times New Roman" w:eastAsia="Times New Roman" w:hAnsi="Times New Roman" w:cs="Times New Roman"/>
                <w:sz w:val="20"/>
                <w:szCs w:val="20"/>
                <w:lang w:eastAsia="sk-SK"/>
              </w:rPr>
            </w:pPr>
          </w:p>
        </w:tc>
      </w:tr>
      <w:tr w:rsidR="00F6233C" w:rsidRPr="00B043B4" w14:paraId="0C53A24B" w14:textId="77777777" w:rsidTr="00E83111">
        <w:tc>
          <w:tcPr>
            <w:tcW w:w="9180" w:type="dxa"/>
            <w:gridSpan w:val="11"/>
            <w:tcBorders>
              <w:top w:val="single" w:sz="4" w:space="0" w:color="auto"/>
              <w:left w:val="single" w:sz="4" w:space="0" w:color="auto"/>
              <w:bottom w:val="nil"/>
              <w:right w:val="single" w:sz="4" w:space="0" w:color="auto"/>
            </w:tcBorders>
            <w:shd w:val="clear" w:color="auto" w:fill="E2E2E2"/>
          </w:tcPr>
          <w:p w14:paraId="29C52CC7"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F6233C" w:rsidRPr="00B043B4" w14:paraId="488E6619" w14:textId="77777777" w:rsidTr="00E83111">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7F85BC1B" w14:textId="77777777" w:rsidR="00F6233C" w:rsidRPr="00F901C1"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 xml:space="preserve">Alternatíva 0: zachovanie súčasného stavu – nezaradením nových </w:t>
            </w:r>
            <w:proofErr w:type="spellStart"/>
            <w:r w:rsidRPr="00F901C1">
              <w:rPr>
                <w:rFonts w:ascii="Times New Roman" w:eastAsia="Times New Roman" w:hAnsi="Times New Roman" w:cs="Times New Roman"/>
                <w:sz w:val="20"/>
                <w:szCs w:val="20"/>
                <w:lang w:eastAsia="sk-SK"/>
              </w:rPr>
              <w:t>psychoaktívnych</w:t>
            </w:r>
            <w:proofErr w:type="spellEnd"/>
            <w:r w:rsidRPr="00F901C1">
              <w:rPr>
                <w:rFonts w:ascii="Times New Roman" w:eastAsia="Times New Roman" w:hAnsi="Times New Roman" w:cs="Times New Roman"/>
                <w:sz w:val="20"/>
                <w:szCs w:val="20"/>
                <w:lang w:eastAsia="sk-SK"/>
              </w:rPr>
              <w:t xml:space="preserve"> látok medzi psychotropné látky a nepreradenie omamnej látky </w:t>
            </w:r>
            <w:proofErr w:type="spellStart"/>
            <w:r w:rsidRPr="00F901C1">
              <w:rPr>
                <w:rFonts w:ascii="Times New Roman" w:eastAsia="Times New Roman" w:hAnsi="Times New Roman" w:cs="Times New Roman"/>
                <w:sz w:val="20"/>
                <w:szCs w:val="20"/>
                <w:lang w:eastAsia="sk-SK"/>
              </w:rPr>
              <w:t>Izotonitazén</w:t>
            </w:r>
            <w:proofErr w:type="spellEnd"/>
            <w:r w:rsidRPr="00F901C1">
              <w:rPr>
                <w:rFonts w:ascii="Times New Roman" w:eastAsia="Times New Roman" w:hAnsi="Times New Roman" w:cs="Times New Roman"/>
                <w:sz w:val="20"/>
                <w:szCs w:val="20"/>
                <w:lang w:eastAsia="sk-SK"/>
              </w:rPr>
              <w:t xml:space="preserve"> do skupiny I. omamných látok by nebolo možné vyvodiť trestno-právnu zodpovednosť za ich nezákonnú výrobu, distribúciu a predaj. Alternatíva 1: zvolená alternatíva – zaradením nových </w:t>
            </w:r>
            <w:proofErr w:type="spellStart"/>
            <w:r w:rsidRPr="00F901C1">
              <w:rPr>
                <w:rFonts w:ascii="Times New Roman" w:eastAsia="Times New Roman" w:hAnsi="Times New Roman" w:cs="Times New Roman"/>
                <w:sz w:val="20"/>
                <w:szCs w:val="20"/>
                <w:lang w:eastAsia="sk-SK"/>
              </w:rPr>
              <w:t>psychoaktívnych</w:t>
            </w:r>
            <w:proofErr w:type="spellEnd"/>
            <w:r w:rsidRPr="00F901C1">
              <w:rPr>
                <w:rFonts w:ascii="Times New Roman" w:eastAsia="Times New Roman" w:hAnsi="Times New Roman" w:cs="Times New Roman"/>
                <w:sz w:val="20"/>
                <w:szCs w:val="20"/>
                <w:lang w:eastAsia="sk-SK"/>
              </w:rPr>
              <w:t xml:space="preserve"> látok medzi psychotropné látky skupiny I. a preradenie omamnej látky </w:t>
            </w:r>
            <w:proofErr w:type="spellStart"/>
            <w:r w:rsidRPr="00F901C1">
              <w:rPr>
                <w:rFonts w:ascii="Times New Roman" w:eastAsia="Times New Roman" w:hAnsi="Times New Roman" w:cs="Times New Roman"/>
                <w:sz w:val="20"/>
                <w:szCs w:val="20"/>
                <w:lang w:eastAsia="sk-SK"/>
              </w:rPr>
              <w:t>Izotonitazén</w:t>
            </w:r>
            <w:proofErr w:type="spellEnd"/>
            <w:r w:rsidRPr="00F901C1">
              <w:rPr>
                <w:rFonts w:ascii="Times New Roman" w:eastAsia="Times New Roman" w:hAnsi="Times New Roman" w:cs="Times New Roman"/>
                <w:sz w:val="20"/>
                <w:szCs w:val="20"/>
                <w:lang w:eastAsia="sk-SK"/>
              </w:rPr>
              <w:t xml:space="preserve"> do skupiny I. omamných látok bude možné vyvodiť trestno-právnu zodpovednosť za ich nezákonnú výrobu, distribúciu a predaj.</w:t>
            </w:r>
          </w:p>
        </w:tc>
      </w:tr>
      <w:tr w:rsidR="00F6233C" w:rsidRPr="00B043B4" w14:paraId="1987818C" w14:textId="77777777" w:rsidTr="00E831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9EFA487"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F6233C" w:rsidRPr="00B043B4" w14:paraId="326E707C" w14:textId="77777777" w:rsidTr="00E83111">
        <w:tc>
          <w:tcPr>
            <w:tcW w:w="6203" w:type="dxa"/>
            <w:gridSpan w:val="7"/>
            <w:tcBorders>
              <w:top w:val="single" w:sz="4" w:space="0" w:color="FFFFFF"/>
              <w:left w:val="single" w:sz="4" w:space="0" w:color="auto"/>
              <w:bottom w:val="nil"/>
              <w:right w:val="nil"/>
            </w:tcBorders>
            <w:shd w:val="clear" w:color="auto" w:fill="FFFFFF"/>
          </w:tcPr>
          <w:p w14:paraId="7E819BAA" w14:textId="77777777" w:rsidR="00F6233C" w:rsidRPr="00B043B4" w:rsidRDefault="00F6233C" w:rsidP="00357B90">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4D3DD7B8"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1929613764"/>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58899D90"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1594626508"/>
                <w14:checkbox>
                  <w14:checked w14:val="1"/>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sidRPr="00B043B4">
              <w:rPr>
                <w:rFonts w:ascii="Times New Roman" w:eastAsia="Times New Roman" w:hAnsi="Times New Roman" w:cs="Times New Roman"/>
                <w:b/>
                <w:sz w:val="20"/>
                <w:szCs w:val="20"/>
                <w:lang w:eastAsia="sk-SK"/>
              </w:rPr>
              <w:t xml:space="preserve">  Nie</w:t>
            </w:r>
          </w:p>
        </w:tc>
      </w:tr>
      <w:tr w:rsidR="00F6233C" w:rsidRPr="00B043B4" w14:paraId="03092552" w14:textId="77777777" w:rsidTr="00E83111">
        <w:tc>
          <w:tcPr>
            <w:tcW w:w="9180" w:type="dxa"/>
            <w:gridSpan w:val="11"/>
            <w:tcBorders>
              <w:top w:val="nil"/>
              <w:left w:val="single" w:sz="4" w:space="0" w:color="auto"/>
              <w:bottom w:val="single" w:sz="4" w:space="0" w:color="auto"/>
              <w:right w:val="single" w:sz="4" w:space="0" w:color="auto"/>
            </w:tcBorders>
            <w:shd w:val="clear" w:color="auto" w:fill="FFFFFF"/>
          </w:tcPr>
          <w:p w14:paraId="51DE1059" w14:textId="77777777" w:rsidR="00F6233C" w:rsidRPr="00B043B4" w:rsidRDefault="00F6233C" w:rsidP="00357B90">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4F26153A"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6515A570" w14:textId="77777777" w:rsidTr="00E831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0E966B3"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F6233C" w:rsidRPr="00B043B4" w14:paraId="514456BF" w14:textId="77777777" w:rsidTr="00E83111">
        <w:trPr>
          <w:trHeight w:val="157"/>
        </w:trPr>
        <w:tc>
          <w:tcPr>
            <w:tcW w:w="9180" w:type="dxa"/>
            <w:gridSpan w:val="11"/>
            <w:tcBorders>
              <w:top w:val="nil"/>
              <w:left w:val="single" w:sz="4" w:space="0" w:color="000000"/>
              <w:bottom w:val="nil"/>
              <w:right w:val="single" w:sz="4" w:space="0" w:color="auto"/>
            </w:tcBorders>
            <w:shd w:val="clear" w:color="auto" w:fill="FFFFFF"/>
          </w:tcPr>
          <w:p w14:paraId="0A78A450" w14:textId="77777777" w:rsidR="00F6233C" w:rsidRPr="00B043B4" w:rsidRDefault="00F6233C" w:rsidP="00357B90">
            <w:pPr>
              <w:jc w:val="both"/>
              <w:rPr>
                <w:rFonts w:ascii="Times New Roman" w:eastAsia="Times New Roman" w:hAnsi="Times New Roman" w:cs="Times New Roman"/>
                <w:i/>
                <w:sz w:val="20"/>
                <w:szCs w:val="20"/>
                <w:lang w:eastAsia="sk-SK"/>
              </w:rPr>
            </w:pPr>
            <w:r w:rsidRPr="00F901C1">
              <w:rPr>
                <w:rFonts w:ascii="Times New Roman" w:eastAsia="Times New Roman" w:hAnsi="Times New Roman" w:cs="Times New Roman"/>
                <w:i/>
                <w:sz w:val="20"/>
                <w:szCs w:val="20"/>
                <w:lang w:eastAsia="sk-SK"/>
              </w:rPr>
              <w:t>Návrh zákona je v súlade s právom Európskej únie a so záväzkami Slovenskej republiky vyplývajúcimi s ratifikáciou medzinárodných dohovorov OSN vzťahujúcich sa na omamné látky a psychotropné látky.</w:t>
            </w:r>
          </w:p>
        </w:tc>
      </w:tr>
      <w:tr w:rsidR="00F6233C" w:rsidRPr="00B043B4" w14:paraId="0CD4C2A9" w14:textId="77777777" w:rsidTr="00E83111">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45C0B461" w14:textId="77777777" w:rsidR="00F6233C" w:rsidRPr="00B043B4" w:rsidRDefault="00F6233C" w:rsidP="00357B90">
            <w:pPr>
              <w:jc w:val="both"/>
              <w:rPr>
                <w:rFonts w:ascii="Times New Roman" w:eastAsia="Times New Roman" w:hAnsi="Times New Roman" w:cs="Times New Roman"/>
                <w:sz w:val="20"/>
                <w:szCs w:val="20"/>
                <w:lang w:eastAsia="sk-SK"/>
              </w:rPr>
            </w:pPr>
          </w:p>
        </w:tc>
      </w:tr>
      <w:tr w:rsidR="00F6233C" w:rsidRPr="00B043B4" w14:paraId="01903808" w14:textId="77777777" w:rsidTr="00E8311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93C8391"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F6233C" w:rsidRPr="00B043B4" w14:paraId="7B923F41" w14:textId="77777777" w:rsidTr="00E8311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4C24308" w14:textId="77777777" w:rsidR="00F6233C" w:rsidRPr="00B043B4" w:rsidRDefault="00F6233C" w:rsidP="00357B90">
            <w:pPr>
              <w:jc w:val="both"/>
              <w:rPr>
                <w:rFonts w:ascii="Times New Roman" w:eastAsia="Times New Roman" w:hAnsi="Times New Roman" w:cs="Times New Roman"/>
                <w:i/>
                <w:sz w:val="20"/>
                <w:szCs w:val="20"/>
                <w:lang w:eastAsia="sk-SK"/>
              </w:rPr>
            </w:pPr>
            <w:r w:rsidRPr="00F901C1">
              <w:rPr>
                <w:rFonts w:ascii="Times New Roman" w:eastAsia="Times New Roman" w:hAnsi="Times New Roman" w:cs="Times New Roman"/>
                <w:i/>
                <w:sz w:val="20"/>
                <w:szCs w:val="20"/>
                <w:lang w:eastAsia="sk-SK"/>
              </w:rPr>
              <w:t>Preskúmanie účelnosti navrhovaného predpisu bude vykonávané priebežne po nadobudnutí jeho účinnosti.</w:t>
            </w:r>
          </w:p>
        </w:tc>
      </w:tr>
      <w:tr w:rsidR="00F6233C" w:rsidRPr="00B043B4" w14:paraId="13CEE4D7" w14:textId="77777777" w:rsidTr="00E83111">
        <w:tc>
          <w:tcPr>
            <w:tcW w:w="9180" w:type="dxa"/>
            <w:gridSpan w:val="11"/>
            <w:tcBorders>
              <w:top w:val="nil"/>
              <w:left w:val="nil"/>
              <w:bottom w:val="single" w:sz="4" w:space="0" w:color="auto"/>
              <w:right w:val="nil"/>
            </w:tcBorders>
            <w:shd w:val="clear" w:color="auto" w:fill="FFFFFF"/>
          </w:tcPr>
          <w:p w14:paraId="3491928B" w14:textId="77777777" w:rsidR="00F6233C" w:rsidRPr="00B043B4" w:rsidRDefault="00F6233C" w:rsidP="00357B90">
            <w:pPr>
              <w:jc w:val="both"/>
              <w:rPr>
                <w:rFonts w:ascii="Times New Roman" w:eastAsia="Times New Roman" w:hAnsi="Times New Roman" w:cs="Times New Roman"/>
                <w:b/>
                <w:sz w:val="20"/>
                <w:szCs w:val="20"/>
                <w:lang w:eastAsia="sk-SK"/>
              </w:rPr>
            </w:pPr>
          </w:p>
          <w:p w14:paraId="4FAFAC59" w14:textId="77777777" w:rsidR="00F6233C" w:rsidRPr="00B043B4" w:rsidRDefault="00F6233C" w:rsidP="00357B90">
            <w:pPr>
              <w:ind w:left="142" w:hanging="142"/>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2173A19C" w14:textId="77777777" w:rsidR="00F6233C"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14:paraId="6C0B97E4" w14:textId="77777777" w:rsidR="00F6233C" w:rsidRPr="00B043B4" w:rsidRDefault="00F6233C" w:rsidP="00357B90">
            <w:pPr>
              <w:jc w:val="both"/>
              <w:rPr>
                <w:rFonts w:ascii="Times New Roman" w:eastAsia="Times New Roman" w:hAnsi="Times New Roman" w:cs="Times New Roman"/>
                <w:b/>
                <w:sz w:val="20"/>
                <w:szCs w:val="20"/>
                <w:lang w:eastAsia="sk-SK"/>
              </w:rPr>
            </w:pPr>
          </w:p>
        </w:tc>
      </w:tr>
      <w:tr w:rsidR="00F6233C" w:rsidRPr="00B043B4" w14:paraId="0EF2F398" w14:textId="77777777" w:rsidTr="00E8311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32DCBE0"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F6233C" w:rsidRPr="00B043B4" w14:paraId="100DC5F8" w14:textId="77777777" w:rsidTr="00E83111">
        <w:tc>
          <w:tcPr>
            <w:tcW w:w="3812" w:type="dxa"/>
            <w:tcBorders>
              <w:top w:val="single" w:sz="4" w:space="0" w:color="auto"/>
              <w:left w:val="single" w:sz="4" w:space="0" w:color="auto"/>
              <w:bottom w:val="nil"/>
              <w:right w:val="single" w:sz="4" w:space="0" w:color="auto"/>
            </w:tcBorders>
            <w:shd w:val="clear" w:color="auto" w:fill="E2E2E2"/>
          </w:tcPr>
          <w:p w14:paraId="1977CFF0"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2470D9C5"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185F1B28"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13A1970A"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392C1561"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B3CED4C" w14:textId="77777777" w:rsidR="00F6233C" w:rsidRPr="00B043B4" w:rsidRDefault="00F6233C" w:rsidP="00357B90">
                <w:pPr>
                  <w:ind w:left="-107" w:right="-108"/>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1B686C41" w14:textId="77777777" w:rsidR="00F6233C" w:rsidRPr="00B043B4" w:rsidRDefault="00F6233C" w:rsidP="00357B90">
            <w:pPr>
              <w:ind w:left="3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233C" w:rsidRPr="00B043B4" w14:paraId="45DB393B" w14:textId="77777777" w:rsidTr="00E83111">
        <w:tc>
          <w:tcPr>
            <w:tcW w:w="3812" w:type="dxa"/>
            <w:tcBorders>
              <w:top w:val="nil"/>
              <w:left w:val="single" w:sz="4" w:space="0" w:color="auto"/>
              <w:bottom w:val="single" w:sz="4" w:space="0" w:color="000000"/>
              <w:right w:val="single" w:sz="4" w:space="0" w:color="auto"/>
            </w:tcBorders>
            <w:shd w:val="clear" w:color="auto" w:fill="E2E2E2"/>
          </w:tcPr>
          <w:p w14:paraId="7B707216" w14:textId="77777777" w:rsidR="00F6233C" w:rsidRDefault="00F6233C" w:rsidP="00357B9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14:paraId="23D5C2A2" w14:textId="77777777" w:rsidR="00F6233C" w:rsidRDefault="00F6233C" w:rsidP="00357B9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14:paraId="5A989871" w14:textId="77777777" w:rsidR="00F6233C" w:rsidRPr="00A340BB" w:rsidRDefault="00F6233C" w:rsidP="00357B9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2B1D0DDB"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14A94621"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3CF422FA"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7CEE9321"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78F4FAC" w14:textId="77777777" w:rsidR="00F6233C" w:rsidRPr="00B043B4" w:rsidRDefault="00F6233C" w:rsidP="00357B90">
                <w:pPr>
                  <w:ind w:left="-107" w:right="-108"/>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FF06EE5" w14:textId="77777777" w:rsidR="00F6233C" w:rsidRPr="00B043B4" w:rsidRDefault="00F6233C" w:rsidP="00357B90">
            <w:pPr>
              <w:ind w:left="34"/>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6233C" w:rsidRPr="00B043B4" w14:paraId="07D69514" w14:textId="77777777" w:rsidTr="00E83111">
        <w:tc>
          <w:tcPr>
            <w:tcW w:w="3812" w:type="dxa"/>
            <w:tcBorders>
              <w:top w:val="single" w:sz="4" w:space="0" w:color="000000"/>
              <w:left w:val="single" w:sz="4" w:space="0" w:color="auto"/>
              <w:bottom w:val="nil"/>
              <w:right w:val="single" w:sz="4" w:space="0" w:color="auto"/>
            </w:tcBorders>
            <w:shd w:val="clear" w:color="auto" w:fill="E2E2E2"/>
          </w:tcPr>
          <w:p w14:paraId="062F77F6"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619BE94"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4B12609"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1B0CDAD3"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73382EE"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E32B9BA"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2B0C0989"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233C" w:rsidRPr="00B043B4" w14:paraId="75EBD17D" w14:textId="77777777" w:rsidTr="00E83111">
        <w:tc>
          <w:tcPr>
            <w:tcW w:w="3812" w:type="dxa"/>
            <w:tcBorders>
              <w:top w:val="nil"/>
              <w:left w:val="single" w:sz="4" w:space="0" w:color="000000"/>
              <w:bottom w:val="nil"/>
              <w:right w:val="single" w:sz="4" w:space="0" w:color="000000"/>
            </w:tcBorders>
            <w:shd w:val="clear" w:color="auto" w:fill="E2E2E2"/>
          </w:tcPr>
          <w:p w14:paraId="4E21DE9B"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14:paraId="0465BEF2" w14:textId="77777777" w:rsidR="00F6233C" w:rsidRPr="00B043B4" w:rsidRDefault="00F6233C" w:rsidP="00357B90">
            <w:pPr>
              <w:jc w:val="both"/>
              <w:rPr>
                <w:rFonts w:ascii="Times New Roman" w:eastAsia="Times New Roman" w:hAnsi="Times New Roman" w:cs="Times New Roman"/>
                <w:sz w:val="20"/>
                <w:szCs w:val="20"/>
                <w:lang w:eastAsia="sk-SK"/>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4E5B0D33"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6163BB7" w14:textId="77777777" w:rsidR="00F6233C" w:rsidRPr="00B043B4" w:rsidRDefault="00F6233C" w:rsidP="00357B90">
            <w:pPr>
              <w:ind w:right="-108"/>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DFD9B51"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353C6957" w14:textId="77777777" w:rsidR="00F6233C" w:rsidRPr="00B043B4" w:rsidRDefault="00F6233C" w:rsidP="00357B90">
            <w:pPr>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69A1EC45" w14:textId="77777777" w:rsidR="00F6233C" w:rsidRPr="00B043B4" w:rsidRDefault="00F6233C" w:rsidP="00357B90">
                <w:pPr>
                  <w:jc w:val="both"/>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3F1FFB7" w14:textId="77777777" w:rsidR="00F6233C" w:rsidRPr="00B043B4" w:rsidRDefault="00F6233C" w:rsidP="00357B90">
            <w:pPr>
              <w:ind w:left="54"/>
              <w:jc w:val="both"/>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6233C" w:rsidRPr="00B043B4" w14:paraId="182C616E" w14:textId="77777777" w:rsidTr="00E83111">
        <w:tc>
          <w:tcPr>
            <w:tcW w:w="3812" w:type="dxa"/>
            <w:tcBorders>
              <w:top w:val="nil"/>
              <w:left w:val="single" w:sz="4" w:space="0" w:color="auto"/>
              <w:bottom w:val="single" w:sz="4" w:space="0" w:color="auto"/>
              <w:right w:val="single" w:sz="4" w:space="0" w:color="auto"/>
            </w:tcBorders>
            <w:shd w:val="clear" w:color="auto" w:fill="E2E2E2"/>
          </w:tcPr>
          <w:p w14:paraId="72D0A995" w14:textId="77777777" w:rsidR="00F6233C" w:rsidRDefault="00F6233C" w:rsidP="00357B90">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14:paraId="4A06BF07"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7FDB39CB"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1845212D"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2F167BB6" w14:textId="77777777" w:rsidR="00F6233C" w:rsidRPr="00B043B4" w:rsidRDefault="00F6233C" w:rsidP="00357B90">
            <w:pPr>
              <w:jc w:val="both"/>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0C94D015" w14:textId="77777777" w:rsidR="00F6233C" w:rsidRPr="00B043B4" w:rsidRDefault="00F6233C" w:rsidP="00357B90">
            <w:pPr>
              <w:jc w:val="both"/>
              <w:rPr>
                <w:rFonts w:ascii="Times New Roman" w:eastAsia="Times New Roman" w:hAnsi="Times New Roman" w:cs="Times New Roman"/>
                <w:b/>
                <w:sz w:val="20"/>
                <w:szCs w:val="20"/>
                <w:lang w:eastAsia="sk-SK"/>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43FF7CBC"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3B612099"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6233C" w:rsidRPr="00B043B4" w14:paraId="3B6BCC78" w14:textId="77777777" w:rsidTr="00E83111">
        <w:tc>
          <w:tcPr>
            <w:tcW w:w="3812" w:type="dxa"/>
            <w:tcBorders>
              <w:top w:val="single" w:sz="4" w:space="0" w:color="000000"/>
              <w:left w:val="single" w:sz="4" w:space="0" w:color="auto"/>
              <w:bottom w:val="single" w:sz="4" w:space="0" w:color="auto"/>
              <w:right w:val="single" w:sz="4" w:space="0" w:color="auto"/>
            </w:tcBorders>
            <w:shd w:val="clear" w:color="auto" w:fill="E2E2E2"/>
          </w:tcPr>
          <w:p w14:paraId="79A27640"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89F656A"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6029090"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B70C438"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024855D"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741D25B6"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D3CAAA9"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233C" w:rsidRPr="00B043B4" w14:paraId="264256F8" w14:textId="77777777" w:rsidTr="00E83111">
        <w:tc>
          <w:tcPr>
            <w:tcW w:w="3812" w:type="dxa"/>
            <w:tcBorders>
              <w:top w:val="single" w:sz="4" w:space="0" w:color="auto"/>
              <w:left w:val="single" w:sz="4" w:space="0" w:color="auto"/>
              <w:bottom w:val="single" w:sz="4" w:space="0" w:color="auto"/>
              <w:right w:val="single" w:sz="4" w:space="0" w:color="auto"/>
            </w:tcBorders>
            <w:shd w:val="clear" w:color="auto" w:fill="E2E2E2"/>
          </w:tcPr>
          <w:p w14:paraId="318FDE7A"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756C1B6"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565269B0"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2AD6778"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41673AF7"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04DDD70"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634E502"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6233C" w:rsidRPr="00B043B4" w14:paraId="3528003C" w14:textId="77777777" w:rsidTr="00E83111">
        <w:tc>
          <w:tcPr>
            <w:tcW w:w="3812" w:type="dxa"/>
            <w:tcBorders>
              <w:top w:val="single" w:sz="4" w:space="0" w:color="auto"/>
              <w:left w:val="single" w:sz="4" w:space="0" w:color="auto"/>
              <w:bottom w:val="single" w:sz="4" w:space="0" w:color="auto"/>
              <w:right w:val="single" w:sz="4" w:space="0" w:color="auto"/>
            </w:tcBorders>
            <w:shd w:val="clear" w:color="auto" w:fill="E2E2E2"/>
          </w:tcPr>
          <w:p w14:paraId="5A0F2862"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128D0B99"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802B7CF"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B526820"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13716AFF"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122642D"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1F69B3EB"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6233C" w:rsidRPr="00B043B4" w14:paraId="24B14EF8" w14:textId="77777777" w:rsidTr="00E83111">
        <w:tc>
          <w:tcPr>
            <w:tcW w:w="3812" w:type="dxa"/>
            <w:tcBorders>
              <w:top w:val="single" w:sz="4" w:space="0" w:color="auto"/>
              <w:left w:val="single" w:sz="4" w:space="0" w:color="auto"/>
              <w:bottom w:val="nil"/>
              <w:right w:val="single" w:sz="4" w:space="0" w:color="auto"/>
            </w:tcBorders>
            <w:shd w:val="clear" w:color="auto" w:fill="E2E2E2"/>
          </w:tcPr>
          <w:p w14:paraId="5A9DD62C" w14:textId="77777777" w:rsidR="00F6233C" w:rsidRPr="00B043B4" w:rsidRDefault="00F6233C" w:rsidP="00357B90">
            <w:pPr>
              <w:jc w:val="both"/>
              <w:rPr>
                <w:b/>
                <w:sz w:val="20"/>
                <w:szCs w:val="20"/>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742E4C68" w14:textId="77777777" w:rsidR="00F6233C" w:rsidRPr="00B043B4" w:rsidRDefault="00F6233C" w:rsidP="00357B90">
            <w:pPr>
              <w:jc w:val="both"/>
              <w:rPr>
                <w:rFonts w:eastAsia="MS Mincho"/>
                <w:b/>
                <w:sz w:val="20"/>
                <w:szCs w:val="20"/>
              </w:rPr>
            </w:pPr>
          </w:p>
        </w:tc>
        <w:tc>
          <w:tcPr>
            <w:tcW w:w="1281" w:type="dxa"/>
            <w:tcBorders>
              <w:top w:val="single" w:sz="4" w:space="0" w:color="auto"/>
              <w:left w:val="nil"/>
              <w:bottom w:val="nil"/>
              <w:right w:val="nil"/>
            </w:tcBorders>
            <w:shd w:val="clear" w:color="auto" w:fill="auto"/>
          </w:tcPr>
          <w:p w14:paraId="2F362206" w14:textId="77777777" w:rsidR="00F6233C" w:rsidRPr="00B043B4" w:rsidRDefault="00F6233C" w:rsidP="00357B90">
            <w:pPr>
              <w:ind w:right="-108"/>
              <w:jc w:val="both"/>
              <w:rPr>
                <w:b/>
                <w:sz w:val="20"/>
                <w:szCs w:val="20"/>
              </w:rPr>
            </w:pPr>
          </w:p>
        </w:tc>
        <w:tc>
          <w:tcPr>
            <w:tcW w:w="569" w:type="dxa"/>
            <w:gridSpan w:val="2"/>
            <w:tcBorders>
              <w:top w:val="single" w:sz="4" w:space="0" w:color="auto"/>
              <w:left w:val="nil"/>
              <w:bottom w:val="nil"/>
              <w:right w:val="nil"/>
            </w:tcBorders>
            <w:shd w:val="clear" w:color="auto" w:fill="auto"/>
          </w:tcPr>
          <w:p w14:paraId="4AC41DEA" w14:textId="77777777" w:rsidR="00F6233C" w:rsidRPr="00B043B4" w:rsidRDefault="00F6233C" w:rsidP="00357B90">
            <w:pPr>
              <w:jc w:val="both"/>
              <w:rPr>
                <w:rFonts w:eastAsia="MS Mincho"/>
                <w:b/>
                <w:sz w:val="20"/>
                <w:szCs w:val="20"/>
              </w:rPr>
            </w:pPr>
          </w:p>
        </w:tc>
        <w:tc>
          <w:tcPr>
            <w:tcW w:w="1133" w:type="dxa"/>
            <w:tcBorders>
              <w:top w:val="single" w:sz="4" w:space="0" w:color="auto"/>
              <w:left w:val="nil"/>
              <w:bottom w:val="nil"/>
              <w:right w:val="nil"/>
            </w:tcBorders>
            <w:shd w:val="clear" w:color="auto" w:fill="auto"/>
          </w:tcPr>
          <w:p w14:paraId="60BC7CC3" w14:textId="77777777" w:rsidR="00F6233C" w:rsidRPr="00B043B4" w:rsidRDefault="00F6233C" w:rsidP="00357B90">
            <w:pPr>
              <w:jc w:val="both"/>
              <w:rPr>
                <w:b/>
                <w:sz w:val="20"/>
                <w:szCs w:val="20"/>
              </w:rPr>
            </w:pPr>
          </w:p>
        </w:tc>
        <w:tc>
          <w:tcPr>
            <w:tcW w:w="547" w:type="dxa"/>
            <w:tcBorders>
              <w:top w:val="single" w:sz="4" w:space="0" w:color="auto"/>
              <w:left w:val="nil"/>
              <w:bottom w:val="nil"/>
              <w:right w:val="nil"/>
            </w:tcBorders>
            <w:shd w:val="clear" w:color="auto" w:fill="auto"/>
          </w:tcPr>
          <w:p w14:paraId="3A0B2E1D" w14:textId="77777777" w:rsidR="00F6233C" w:rsidRPr="00B043B4" w:rsidRDefault="00F6233C" w:rsidP="00357B90">
            <w:pPr>
              <w:jc w:val="both"/>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59F4F03E" w14:textId="77777777" w:rsidR="00F6233C" w:rsidRPr="00B043B4" w:rsidRDefault="00F6233C" w:rsidP="00357B90">
            <w:pPr>
              <w:ind w:left="54"/>
              <w:jc w:val="both"/>
              <w:rPr>
                <w:b/>
                <w:sz w:val="20"/>
                <w:szCs w:val="20"/>
              </w:rPr>
            </w:pPr>
          </w:p>
        </w:tc>
      </w:tr>
      <w:tr w:rsidR="00F6233C" w:rsidRPr="00B043B4" w14:paraId="616621C4" w14:textId="77777777" w:rsidTr="00E83111">
        <w:tc>
          <w:tcPr>
            <w:tcW w:w="3812" w:type="dxa"/>
            <w:tcBorders>
              <w:top w:val="nil"/>
              <w:left w:val="single" w:sz="4" w:space="0" w:color="auto"/>
              <w:bottom w:val="nil"/>
              <w:right w:val="single" w:sz="4" w:space="0" w:color="auto"/>
            </w:tcBorders>
            <w:shd w:val="clear" w:color="auto" w:fill="E2E2E2"/>
          </w:tcPr>
          <w:p w14:paraId="412F4EC5" w14:textId="77777777" w:rsidR="00F6233C" w:rsidRPr="00B043B4" w:rsidRDefault="00F6233C" w:rsidP="00357B90">
            <w:pPr>
              <w:ind w:left="196" w:hanging="196"/>
              <w:jc w:val="both"/>
              <w:rPr>
                <w:rFonts w:eastAsia="Calibri"/>
                <w:b/>
                <w:sz w:val="20"/>
                <w:szCs w:val="20"/>
              </w:rPr>
            </w:pPr>
            <w:r w:rsidRPr="00B043B4">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EEDAAC4"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0EBCFAD2" w14:textId="77777777" w:rsidR="00F6233C" w:rsidRPr="00B043B4" w:rsidRDefault="00F6233C" w:rsidP="00357B90">
            <w:pPr>
              <w:ind w:right="-108"/>
              <w:jc w:val="both"/>
              <w:rPr>
                <w:b/>
                <w:sz w:val="20"/>
                <w:szCs w:val="20"/>
              </w:rPr>
            </w:pPr>
            <w:r w:rsidRPr="00B043B4">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02EF070F"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26EE89D7" w14:textId="77777777" w:rsidR="00F6233C" w:rsidRPr="00B043B4" w:rsidRDefault="00F6233C" w:rsidP="00357B90">
            <w:pPr>
              <w:jc w:val="both"/>
              <w:rPr>
                <w:b/>
                <w:sz w:val="20"/>
                <w:szCs w:val="20"/>
              </w:rPr>
            </w:pPr>
            <w:r w:rsidRPr="00B043B4">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82ACA36"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0C9C4094" w14:textId="77777777" w:rsidR="00F6233C" w:rsidRPr="00B043B4" w:rsidRDefault="00F6233C" w:rsidP="00357B90">
            <w:pPr>
              <w:ind w:left="54"/>
              <w:jc w:val="both"/>
              <w:rPr>
                <w:b/>
                <w:sz w:val="20"/>
                <w:szCs w:val="20"/>
              </w:rPr>
            </w:pPr>
            <w:r w:rsidRPr="00B043B4">
              <w:rPr>
                <w:b/>
                <w:sz w:val="20"/>
                <w:szCs w:val="20"/>
              </w:rPr>
              <w:t>Negatívne</w:t>
            </w:r>
          </w:p>
        </w:tc>
      </w:tr>
      <w:tr w:rsidR="00F6233C" w:rsidRPr="00B043B4" w14:paraId="1EBAB19F" w14:textId="77777777" w:rsidTr="00E83111">
        <w:tc>
          <w:tcPr>
            <w:tcW w:w="3812" w:type="dxa"/>
            <w:tcBorders>
              <w:top w:val="nil"/>
              <w:left w:val="single" w:sz="4" w:space="0" w:color="auto"/>
              <w:bottom w:val="nil"/>
              <w:right w:val="single" w:sz="4" w:space="0" w:color="auto"/>
            </w:tcBorders>
            <w:shd w:val="clear" w:color="auto" w:fill="E2E2E2"/>
          </w:tcPr>
          <w:p w14:paraId="262A384B" w14:textId="77777777" w:rsidR="00F6233C" w:rsidRPr="00B043B4" w:rsidRDefault="00F6233C" w:rsidP="00357B90">
            <w:pPr>
              <w:ind w:left="168" w:hanging="168"/>
              <w:jc w:val="both"/>
              <w:rPr>
                <w:rFonts w:eastAsia="Calibri"/>
                <w:b/>
                <w:sz w:val="20"/>
                <w:szCs w:val="20"/>
              </w:rPr>
            </w:pPr>
            <w:r w:rsidRPr="00B043B4">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3CBE51CA"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C54833A" w14:textId="77777777" w:rsidR="00F6233C" w:rsidRPr="00B043B4" w:rsidRDefault="00F6233C" w:rsidP="00357B90">
            <w:pPr>
              <w:ind w:right="-108"/>
              <w:jc w:val="both"/>
              <w:rPr>
                <w:b/>
                <w:sz w:val="20"/>
                <w:szCs w:val="20"/>
              </w:rPr>
            </w:pPr>
            <w:r w:rsidRPr="00B043B4">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013B47E7"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5A4217E6" w14:textId="77777777" w:rsidR="00F6233C" w:rsidRPr="00B043B4" w:rsidRDefault="00F6233C" w:rsidP="00357B90">
            <w:pPr>
              <w:jc w:val="both"/>
              <w:rPr>
                <w:b/>
                <w:sz w:val="20"/>
                <w:szCs w:val="20"/>
              </w:rPr>
            </w:pPr>
            <w:r w:rsidRPr="00B043B4">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349BA820" w14:textId="77777777" w:rsidR="00F6233C" w:rsidRPr="00B043B4" w:rsidRDefault="00F6233C" w:rsidP="00357B90">
                <w:pPr>
                  <w:jc w:val="both"/>
                  <w:rPr>
                    <w:b/>
                    <w:sz w:val="20"/>
                    <w:szCs w:val="20"/>
                  </w:rPr>
                </w:pPr>
                <w:r>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528DA333" w14:textId="77777777" w:rsidR="00F6233C" w:rsidRPr="00B043B4" w:rsidRDefault="00F6233C" w:rsidP="00357B90">
            <w:pPr>
              <w:ind w:left="54"/>
              <w:jc w:val="both"/>
              <w:rPr>
                <w:b/>
                <w:sz w:val="20"/>
                <w:szCs w:val="20"/>
              </w:rPr>
            </w:pPr>
            <w:r w:rsidRPr="00B043B4">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6233C" w:rsidRPr="00B043B4" w14:paraId="470E5CED" w14:textId="77777777" w:rsidTr="00E83111">
        <w:tc>
          <w:tcPr>
            <w:tcW w:w="3812" w:type="dxa"/>
            <w:tcBorders>
              <w:top w:val="single" w:sz="4" w:space="0" w:color="000000"/>
              <w:left w:val="single" w:sz="4" w:space="0" w:color="auto"/>
              <w:bottom w:val="single" w:sz="4" w:space="0" w:color="auto"/>
              <w:right w:val="single" w:sz="4" w:space="0" w:color="auto"/>
            </w:tcBorders>
            <w:shd w:val="clear" w:color="auto" w:fill="E2E2E2"/>
          </w:tcPr>
          <w:p w14:paraId="7B3CEF49" w14:textId="77777777" w:rsidR="00F6233C" w:rsidRPr="00B043B4" w:rsidRDefault="00F6233C" w:rsidP="00357B90">
            <w:pPr>
              <w:jc w:val="both"/>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6BB4AB25"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0D168C60" w14:textId="77777777" w:rsidR="00F6233C" w:rsidRPr="00B043B4" w:rsidRDefault="00F6233C" w:rsidP="00357B90">
            <w:pPr>
              <w:ind w:right="-108"/>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51401F0"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5B9B1D77"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68C650CB" w14:textId="77777777" w:rsidR="00F6233C" w:rsidRPr="00B043B4" w:rsidRDefault="00F6233C" w:rsidP="00357B90">
                <w:pPr>
                  <w:jc w:val="both"/>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B167189" w14:textId="77777777" w:rsidR="00F6233C" w:rsidRPr="00B043B4" w:rsidRDefault="00F6233C" w:rsidP="00357B90">
            <w:pPr>
              <w:ind w:left="54"/>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14:paraId="0D0FC6DE" w14:textId="77777777" w:rsidR="00F6233C" w:rsidRPr="00B043B4" w:rsidRDefault="00F6233C" w:rsidP="00357B90">
      <w:pPr>
        <w:ind w:right="141"/>
        <w:jc w:val="both"/>
        <w:rPr>
          <w:b/>
          <w:sz w:val="20"/>
          <w:szCs w:val="20"/>
        </w:rPr>
      </w:pPr>
    </w:p>
    <w:tbl>
      <w:tblPr>
        <w:tblStyle w:val="Mriekatabuky1"/>
        <w:tblW w:w="9176" w:type="dxa"/>
        <w:tblLayout w:type="fixed"/>
        <w:tblLook w:val="04A0" w:firstRow="1" w:lastRow="0" w:firstColumn="1" w:lastColumn="0" w:noHBand="0" w:noVBand="1"/>
      </w:tblPr>
      <w:tblGrid>
        <w:gridCol w:w="9176"/>
      </w:tblGrid>
      <w:tr w:rsidR="00F6233C" w:rsidRPr="00B043B4" w14:paraId="701954CB" w14:textId="77777777" w:rsidTr="00E83111">
        <w:tc>
          <w:tcPr>
            <w:tcW w:w="9176" w:type="dxa"/>
            <w:tcBorders>
              <w:top w:val="single" w:sz="4" w:space="0" w:color="auto"/>
              <w:left w:val="single" w:sz="4" w:space="0" w:color="auto"/>
              <w:bottom w:val="nil"/>
              <w:right w:val="single" w:sz="4" w:space="0" w:color="auto"/>
            </w:tcBorders>
            <w:shd w:val="clear" w:color="auto" w:fill="E2E2E2"/>
          </w:tcPr>
          <w:p w14:paraId="314CF32A"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Poznámky</w:t>
            </w:r>
          </w:p>
        </w:tc>
      </w:tr>
      <w:tr w:rsidR="00F6233C" w:rsidRPr="00B043B4" w14:paraId="4AB53D95" w14:textId="77777777" w:rsidTr="00E83111">
        <w:trPr>
          <w:trHeight w:val="713"/>
        </w:trPr>
        <w:tc>
          <w:tcPr>
            <w:tcW w:w="9176" w:type="dxa"/>
            <w:tcBorders>
              <w:top w:val="nil"/>
              <w:left w:val="single" w:sz="4" w:space="0" w:color="auto"/>
              <w:bottom w:val="single" w:sz="4" w:space="0" w:color="FFFFFF"/>
              <w:right w:val="single" w:sz="4" w:space="0" w:color="auto"/>
            </w:tcBorders>
            <w:shd w:val="clear" w:color="auto" w:fill="auto"/>
          </w:tcPr>
          <w:p w14:paraId="16D6D4FA" w14:textId="77777777" w:rsidR="00F6233C" w:rsidRPr="00F901C1" w:rsidRDefault="00F6233C" w:rsidP="00357B90">
            <w:pPr>
              <w:jc w:val="both"/>
              <w:rPr>
                <w:rFonts w:ascii="Times New Roman" w:eastAsia="Calibri" w:hAnsi="Times New Roman" w:cs="Times New Roman"/>
                <w:b/>
              </w:rPr>
            </w:pPr>
            <w:r w:rsidRPr="00F901C1">
              <w:rPr>
                <w:rFonts w:ascii="Times New Roman" w:eastAsia="Times New Roman" w:hAnsi="Times New Roman" w:cs="Times New Roman"/>
                <w:sz w:val="20"/>
                <w:szCs w:val="20"/>
                <w:lang w:eastAsia="sk-SK"/>
              </w:rPr>
              <w:t>-</w:t>
            </w:r>
          </w:p>
        </w:tc>
      </w:tr>
      <w:tr w:rsidR="00F6233C" w:rsidRPr="00B043B4" w14:paraId="2814643E" w14:textId="77777777" w:rsidTr="00E831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260850E7"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F6233C" w:rsidRPr="00B043B4" w14:paraId="7F8020FA" w14:textId="77777777" w:rsidTr="00E83111">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1566C73" w14:textId="77777777" w:rsidR="00F6233C" w:rsidRPr="00A954A4" w:rsidRDefault="00F6233C" w:rsidP="00357B90">
            <w:pPr>
              <w:pStyle w:val="Normlnywebov"/>
              <w:spacing w:before="0" w:beforeAutospacing="0" w:after="0" w:afterAutospacing="0"/>
              <w:jc w:val="both"/>
              <w:rPr>
                <w:rFonts w:ascii="Times" w:hAnsi="Times" w:cs="Times"/>
                <w:sz w:val="20"/>
                <w:szCs w:val="20"/>
              </w:rPr>
            </w:pPr>
            <w:r w:rsidRPr="00A954A4">
              <w:rPr>
                <w:rFonts w:ascii="Times" w:hAnsi="Times" w:cs="Times"/>
                <w:sz w:val="20"/>
                <w:szCs w:val="20"/>
              </w:rPr>
              <w:t>RNDr. Jozef Slaný, CSc., odbor farmácie SFLP, Ministerstvo zdravotníctva SR</w:t>
            </w:r>
          </w:p>
          <w:p w14:paraId="5B8B4E05" w14:textId="77777777" w:rsidR="00F6233C" w:rsidRPr="00A954A4" w:rsidRDefault="00F73F58" w:rsidP="00357B90">
            <w:pPr>
              <w:pStyle w:val="Normlnywebov"/>
              <w:spacing w:before="0" w:beforeAutospacing="0" w:after="0" w:afterAutospacing="0"/>
              <w:jc w:val="both"/>
              <w:rPr>
                <w:rFonts w:ascii="Times" w:hAnsi="Times" w:cs="Times"/>
                <w:sz w:val="20"/>
                <w:szCs w:val="20"/>
              </w:rPr>
            </w:pPr>
            <w:hyperlink r:id="rId10" w:history="1">
              <w:r w:rsidR="00F6233C" w:rsidRPr="00A954A4">
                <w:rPr>
                  <w:rStyle w:val="Hypertextovprepojenie"/>
                  <w:rFonts w:ascii="Times" w:hAnsi="Times" w:cs="Times"/>
                  <w:sz w:val="20"/>
                  <w:szCs w:val="20"/>
                </w:rPr>
                <w:t>jozef.slany@health.gov.sk</w:t>
              </w:r>
            </w:hyperlink>
            <w:r w:rsidR="00F6233C" w:rsidRPr="00A954A4">
              <w:rPr>
                <w:rFonts w:ascii="Times" w:hAnsi="Times" w:cs="Times"/>
                <w:sz w:val="20"/>
                <w:szCs w:val="20"/>
              </w:rPr>
              <w:t> </w:t>
            </w:r>
          </w:p>
          <w:p w14:paraId="0A3CF248" w14:textId="77777777" w:rsidR="00F6233C" w:rsidRPr="00A954A4" w:rsidRDefault="00F6233C" w:rsidP="00357B90">
            <w:pPr>
              <w:pStyle w:val="Normlnywebov"/>
              <w:jc w:val="both"/>
              <w:rPr>
                <w:rFonts w:ascii="Times" w:hAnsi="Times" w:cs="Times"/>
                <w:sz w:val="20"/>
                <w:szCs w:val="20"/>
              </w:rPr>
            </w:pPr>
            <w:r w:rsidRPr="00A954A4">
              <w:rPr>
                <w:rFonts w:ascii="Times" w:hAnsi="Times" w:cs="Times"/>
                <w:sz w:val="20"/>
                <w:szCs w:val="20"/>
              </w:rPr>
              <w:t>PharmDr. Martina Hromádková, riaditeľka  odboru farmácie, Ministerstvo zdravotníctva SR</w:t>
            </w:r>
          </w:p>
          <w:p w14:paraId="5F276D2D" w14:textId="77777777" w:rsidR="00F6233C" w:rsidRDefault="00F73F58" w:rsidP="00357B90">
            <w:pPr>
              <w:jc w:val="both"/>
              <w:rPr>
                <w:rFonts w:ascii="Times New Roman" w:eastAsia="Times New Roman" w:hAnsi="Times New Roman" w:cs="Times New Roman"/>
                <w:i/>
                <w:sz w:val="20"/>
                <w:szCs w:val="20"/>
                <w:lang w:eastAsia="sk-SK"/>
              </w:rPr>
            </w:pPr>
            <w:hyperlink r:id="rId11" w:history="1">
              <w:r w:rsidR="00F6233C" w:rsidRPr="00A954A4">
                <w:rPr>
                  <w:rStyle w:val="Hypertextovprepojenie"/>
                  <w:rFonts w:ascii="Times" w:hAnsi="Times" w:cs="Times"/>
                  <w:sz w:val="20"/>
                  <w:szCs w:val="20"/>
                </w:rPr>
                <w:t>martina.hromadkova@health.gov.sk</w:t>
              </w:r>
            </w:hyperlink>
          </w:p>
          <w:p w14:paraId="069439F5" w14:textId="77777777" w:rsidR="00F6233C" w:rsidRPr="00B043B4" w:rsidRDefault="00F6233C" w:rsidP="00357B90">
            <w:pPr>
              <w:jc w:val="both"/>
              <w:rPr>
                <w:rFonts w:ascii="Times New Roman" w:eastAsia="Times New Roman" w:hAnsi="Times New Roman" w:cs="Times New Roman"/>
                <w:i/>
                <w:sz w:val="20"/>
                <w:szCs w:val="20"/>
                <w:lang w:eastAsia="sk-SK"/>
              </w:rPr>
            </w:pPr>
          </w:p>
        </w:tc>
      </w:tr>
      <w:tr w:rsidR="00F6233C" w:rsidRPr="00B043B4" w14:paraId="09F0596A" w14:textId="77777777" w:rsidTr="00E831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717E00C4" w14:textId="77777777" w:rsidR="00F6233C" w:rsidRPr="00B043B4" w:rsidRDefault="00F6233C" w:rsidP="00357B90">
            <w:pPr>
              <w:numPr>
                <w:ilvl w:val="0"/>
                <w:numId w:val="3"/>
              </w:numPr>
              <w:ind w:left="426"/>
              <w:contextualSpacing/>
              <w:jc w:val="both"/>
              <w:rPr>
                <w:rFonts w:ascii="Times New Roman" w:eastAsia="Calibri" w:hAnsi="Times New Roman" w:cs="Times New Roman"/>
                <w:b/>
              </w:rPr>
            </w:pPr>
            <w:r w:rsidRPr="00B043B4">
              <w:rPr>
                <w:rFonts w:ascii="Times New Roman" w:eastAsia="Calibri" w:hAnsi="Times New Roman" w:cs="Times New Roman"/>
                <w:b/>
              </w:rPr>
              <w:t>Zdroje</w:t>
            </w:r>
          </w:p>
        </w:tc>
      </w:tr>
      <w:tr w:rsidR="00F6233C" w:rsidRPr="00B043B4" w14:paraId="3B8DB24D" w14:textId="77777777" w:rsidTr="00E83111">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4A2F4DF" w14:textId="77777777" w:rsidR="00F6233C" w:rsidRPr="00F901C1" w:rsidRDefault="00F6233C" w:rsidP="00357B90">
            <w:pPr>
              <w:jc w:val="both"/>
              <w:rPr>
                <w:rFonts w:ascii="Times New Roman" w:eastAsia="Times New Roman" w:hAnsi="Times New Roman" w:cs="Times New Roman"/>
                <w:sz w:val="20"/>
                <w:szCs w:val="20"/>
                <w:lang w:eastAsia="sk-SK"/>
              </w:rPr>
            </w:pPr>
            <w:r w:rsidRPr="00F901C1">
              <w:rPr>
                <w:rFonts w:ascii="Times New Roman" w:eastAsia="Times New Roman" w:hAnsi="Times New Roman" w:cs="Times New Roman"/>
                <w:sz w:val="20"/>
                <w:szCs w:val="20"/>
                <w:lang w:eastAsia="sk-SK"/>
              </w:rPr>
              <w:t xml:space="preserve">Rozhodnutie prijaté na 64. zasadnutí Komisie pre omamné látky Úradu OSN pre omamné látky a kriminalitu v dňoch 12. 4. až 16. 4. 2021  (UNODC - United </w:t>
            </w:r>
            <w:proofErr w:type="spellStart"/>
            <w:r w:rsidRPr="00F901C1">
              <w:rPr>
                <w:rFonts w:ascii="Times New Roman" w:eastAsia="Times New Roman" w:hAnsi="Times New Roman" w:cs="Times New Roman"/>
                <w:sz w:val="20"/>
                <w:szCs w:val="20"/>
                <w:lang w:eastAsia="sk-SK"/>
              </w:rPr>
              <w:t>Nations</w:t>
            </w:r>
            <w:proofErr w:type="spellEnd"/>
            <w:r w:rsidRPr="00F901C1">
              <w:rPr>
                <w:rFonts w:ascii="Times New Roman" w:eastAsia="Times New Roman" w:hAnsi="Times New Roman" w:cs="Times New Roman"/>
                <w:sz w:val="20"/>
                <w:szCs w:val="20"/>
                <w:lang w:eastAsia="sk-SK"/>
              </w:rPr>
              <w:t xml:space="preserve"> Office on </w:t>
            </w:r>
            <w:proofErr w:type="spellStart"/>
            <w:r w:rsidRPr="00F901C1">
              <w:rPr>
                <w:rFonts w:ascii="Times New Roman" w:eastAsia="Times New Roman" w:hAnsi="Times New Roman" w:cs="Times New Roman"/>
                <w:sz w:val="20"/>
                <w:szCs w:val="20"/>
                <w:lang w:eastAsia="sk-SK"/>
              </w:rPr>
              <w:t>Drugs</w:t>
            </w:r>
            <w:proofErr w:type="spellEnd"/>
            <w:r w:rsidRPr="00F901C1">
              <w:rPr>
                <w:rFonts w:ascii="Times New Roman" w:eastAsia="Times New Roman" w:hAnsi="Times New Roman" w:cs="Times New Roman"/>
                <w:sz w:val="20"/>
                <w:szCs w:val="20"/>
                <w:lang w:eastAsia="sk-SK"/>
              </w:rPr>
              <w:t xml:space="preserve"> and </w:t>
            </w:r>
            <w:proofErr w:type="spellStart"/>
            <w:r w:rsidRPr="00F901C1">
              <w:rPr>
                <w:rFonts w:ascii="Times New Roman" w:eastAsia="Times New Roman" w:hAnsi="Times New Roman" w:cs="Times New Roman"/>
                <w:sz w:val="20"/>
                <w:szCs w:val="20"/>
                <w:lang w:eastAsia="sk-SK"/>
              </w:rPr>
              <w:t>Crime</w:t>
            </w:r>
            <w:proofErr w:type="spellEnd"/>
            <w:r w:rsidRPr="00F901C1">
              <w:rPr>
                <w:rFonts w:ascii="Times New Roman" w:eastAsia="Times New Roman" w:hAnsi="Times New Roman" w:cs="Times New Roman"/>
                <w:sz w:val="20"/>
                <w:szCs w:val="20"/>
                <w:lang w:eastAsia="sk-SK"/>
              </w:rPr>
              <w:t>).</w:t>
            </w:r>
          </w:p>
          <w:p w14:paraId="5A990625" w14:textId="77777777" w:rsidR="00F6233C" w:rsidRPr="00B043B4" w:rsidRDefault="00F6233C" w:rsidP="00357B90">
            <w:pPr>
              <w:jc w:val="both"/>
              <w:rPr>
                <w:rFonts w:ascii="Times New Roman" w:eastAsia="Times New Roman" w:hAnsi="Times New Roman" w:cs="Times New Roman"/>
                <w:b/>
                <w:sz w:val="20"/>
                <w:szCs w:val="20"/>
                <w:lang w:eastAsia="sk-SK"/>
              </w:rPr>
            </w:pPr>
          </w:p>
        </w:tc>
      </w:tr>
      <w:tr w:rsidR="00F6233C" w:rsidRPr="00B043B4" w14:paraId="34C30FF4" w14:textId="77777777" w:rsidTr="00E83111">
        <w:tc>
          <w:tcPr>
            <w:tcW w:w="9176" w:type="dxa"/>
            <w:tcBorders>
              <w:top w:val="single" w:sz="4" w:space="0" w:color="auto"/>
              <w:left w:val="single" w:sz="4" w:space="0" w:color="auto"/>
              <w:bottom w:val="single" w:sz="4" w:space="0" w:color="FFFFFF"/>
              <w:right w:val="single" w:sz="4" w:space="0" w:color="auto"/>
            </w:tcBorders>
            <w:shd w:val="clear" w:color="auto" w:fill="E2E2E2"/>
          </w:tcPr>
          <w:p w14:paraId="45FE0D4A" w14:textId="77777777" w:rsidR="00F6233C" w:rsidRPr="00B043B4" w:rsidRDefault="00F6233C" w:rsidP="00357B90">
            <w:pPr>
              <w:numPr>
                <w:ilvl w:val="0"/>
                <w:numId w:val="3"/>
              </w:numPr>
              <w:ind w:left="447"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14:paraId="3E509724" w14:textId="77777777" w:rsidR="00F6233C" w:rsidRPr="00B043B4" w:rsidRDefault="00F6233C" w:rsidP="00357B90">
            <w:pPr>
              <w:ind w:left="502"/>
              <w:jc w:val="both"/>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F6233C" w:rsidRPr="00B043B4" w14:paraId="7F3C79B5" w14:textId="77777777" w:rsidTr="00E83111">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3A47CF3E" w14:textId="77777777" w:rsidR="00F6233C" w:rsidRPr="00B043B4" w:rsidRDefault="00F6233C" w:rsidP="00357B90">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6233C" w:rsidRPr="00B043B4" w14:paraId="289FA4F4" w14:textId="77777777" w:rsidTr="00E83111">
              <w:trPr>
                <w:trHeight w:val="396"/>
              </w:trPr>
              <w:tc>
                <w:tcPr>
                  <w:tcW w:w="2552" w:type="dxa"/>
                </w:tcPr>
                <w:p w14:paraId="6FE661ED"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1874910888"/>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 xml:space="preserve">Súhlasné </w:t>
                  </w:r>
                </w:p>
              </w:tc>
              <w:tc>
                <w:tcPr>
                  <w:tcW w:w="3827" w:type="dxa"/>
                </w:tcPr>
                <w:p w14:paraId="7447AA38"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1697888127"/>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Súhlasné s návrhom na dopracovanie</w:t>
                  </w:r>
                </w:p>
              </w:tc>
              <w:tc>
                <w:tcPr>
                  <w:tcW w:w="2534" w:type="dxa"/>
                </w:tcPr>
                <w:p w14:paraId="7C5A208C" w14:textId="77777777" w:rsidR="00F6233C" w:rsidRPr="00B043B4" w:rsidRDefault="00F73F58" w:rsidP="00357B90">
                  <w:pPr>
                    <w:ind w:right="459"/>
                    <w:jc w:val="both"/>
                    <w:rPr>
                      <w:rFonts w:ascii="Times New Roman" w:eastAsia="Times New Roman" w:hAnsi="Times New Roman" w:cs="Times New Roman"/>
                      <w:b/>
                      <w:sz w:val="20"/>
                      <w:szCs w:val="20"/>
                      <w:lang w:eastAsia="sk-SK"/>
                    </w:rPr>
                  </w:pPr>
                  <w:sdt>
                    <w:sdtPr>
                      <w:rPr>
                        <w:b/>
                        <w:sz w:val="20"/>
                        <w:szCs w:val="20"/>
                      </w:rPr>
                      <w:id w:val="-647822913"/>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Nesúhlasné</w:t>
                  </w:r>
                </w:p>
              </w:tc>
            </w:tr>
          </w:tbl>
          <w:p w14:paraId="0F87F57E"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6DE195DF" w14:textId="77777777" w:rsidR="00F6233C" w:rsidRPr="00B043B4" w:rsidRDefault="00F6233C" w:rsidP="00357B90">
            <w:pPr>
              <w:jc w:val="both"/>
              <w:rPr>
                <w:rFonts w:ascii="Times New Roman" w:eastAsia="Times New Roman" w:hAnsi="Times New Roman" w:cs="Times New Roman"/>
                <w:b/>
                <w:sz w:val="20"/>
                <w:szCs w:val="20"/>
                <w:lang w:eastAsia="sk-SK"/>
              </w:rPr>
            </w:pPr>
          </w:p>
          <w:p w14:paraId="023F8793" w14:textId="77777777" w:rsidR="00F6233C" w:rsidRPr="00B043B4" w:rsidRDefault="00F6233C" w:rsidP="00357B90">
            <w:pPr>
              <w:jc w:val="both"/>
              <w:rPr>
                <w:rFonts w:ascii="Times New Roman" w:eastAsia="Times New Roman" w:hAnsi="Times New Roman" w:cs="Times New Roman"/>
                <w:b/>
                <w:sz w:val="20"/>
                <w:szCs w:val="20"/>
                <w:lang w:eastAsia="sk-SK"/>
              </w:rPr>
            </w:pPr>
          </w:p>
          <w:p w14:paraId="5A40B3BF" w14:textId="77777777" w:rsidR="00F6233C" w:rsidRPr="00B043B4" w:rsidRDefault="00F6233C" w:rsidP="00357B90">
            <w:pPr>
              <w:jc w:val="both"/>
              <w:rPr>
                <w:rFonts w:ascii="Times New Roman" w:eastAsia="Times New Roman" w:hAnsi="Times New Roman" w:cs="Times New Roman"/>
                <w:b/>
                <w:sz w:val="20"/>
                <w:szCs w:val="20"/>
                <w:lang w:eastAsia="sk-SK"/>
              </w:rPr>
            </w:pPr>
          </w:p>
        </w:tc>
      </w:tr>
      <w:tr w:rsidR="00F6233C" w:rsidRPr="00B043B4" w14:paraId="3DCA885F" w14:textId="77777777" w:rsidTr="00E83111">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4E1604FF" w14:textId="77777777" w:rsidR="00F6233C" w:rsidRPr="00B043B4" w:rsidRDefault="00F6233C" w:rsidP="00357B90">
            <w:pPr>
              <w:numPr>
                <w:ilvl w:val="0"/>
                <w:numId w:val="3"/>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F6233C" w:rsidRPr="00B043B4" w14:paraId="180CFD0C" w14:textId="77777777" w:rsidTr="00E83111">
        <w:tblPrEx>
          <w:tblBorders>
            <w:insideH w:val="single" w:sz="4" w:space="0" w:color="FFFFFF"/>
            <w:insideV w:val="single" w:sz="4" w:space="0" w:color="FFFFFF"/>
          </w:tblBorders>
        </w:tblPrEx>
        <w:tc>
          <w:tcPr>
            <w:tcW w:w="9176" w:type="dxa"/>
            <w:shd w:val="clear" w:color="auto" w:fill="FFFFFF"/>
          </w:tcPr>
          <w:p w14:paraId="1DDE8745" w14:textId="77777777" w:rsidR="00F6233C" w:rsidRPr="00B043B4" w:rsidRDefault="00F6233C" w:rsidP="00357B90">
            <w:pPr>
              <w:jc w:val="both"/>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6233C" w:rsidRPr="00B043B4" w14:paraId="04D3C917" w14:textId="77777777" w:rsidTr="00E83111">
              <w:trPr>
                <w:trHeight w:val="396"/>
              </w:trPr>
              <w:tc>
                <w:tcPr>
                  <w:tcW w:w="2552" w:type="dxa"/>
                </w:tcPr>
                <w:p w14:paraId="7CF824F9"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888232876"/>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 xml:space="preserve">Súhlasné </w:t>
                  </w:r>
                </w:p>
              </w:tc>
              <w:tc>
                <w:tcPr>
                  <w:tcW w:w="3827" w:type="dxa"/>
                </w:tcPr>
                <w:p w14:paraId="56AF6C87" w14:textId="77777777" w:rsidR="00F6233C" w:rsidRPr="00B043B4" w:rsidRDefault="00F73F58" w:rsidP="00357B90">
                  <w:pPr>
                    <w:jc w:val="both"/>
                    <w:rPr>
                      <w:rFonts w:ascii="Times New Roman" w:eastAsia="Times New Roman" w:hAnsi="Times New Roman" w:cs="Times New Roman"/>
                      <w:b/>
                      <w:sz w:val="20"/>
                      <w:szCs w:val="20"/>
                      <w:lang w:eastAsia="sk-SK"/>
                    </w:rPr>
                  </w:pPr>
                  <w:sdt>
                    <w:sdtPr>
                      <w:rPr>
                        <w:b/>
                        <w:sz w:val="20"/>
                        <w:szCs w:val="20"/>
                      </w:rPr>
                      <w:id w:val="953831761"/>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Súhlasné s  návrhom na dopracovanie</w:t>
                  </w:r>
                </w:p>
              </w:tc>
              <w:tc>
                <w:tcPr>
                  <w:tcW w:w="2534" w:type="dxa"/>
                </w:tcPr>
                <w:p w14:paraId="22E34B7D" w14:textId="77777777" w:rsidR="00F6233C" w:rsidRPr="00B043B4" w:rsidRDefault="00F73F58" w:rsidP="00357B90">
                  <w:pPr>
                    <w:ind w:right="459"/>
                    <w:jc w:val="both"/>
                    <w:rPr>
                      <w:rFonts w:ascii="Times New Roman" w:eastAsia="Times New Roman" w:hAnsi="Times New Roman" w:cs="Times New Roman"/>
                      <w:b/>
                      <w:sz w:val="20"/>
                      <w:szCs w:val="20"/>
                      <w:lang w:eastAsia="sk-SK"/>
                    </w:rPr>
                  </w:pPr>
                  <w:sdt>
                    <w:sdtPr>
                      <w:rPr>
                        <w:b/>
                        <w:sz w:val="20"/>
                        <w:szCs w:val="20"/>
                      </w:rPr>
                      <w:id w:val="-361740452"/>
                      <w14:checkbox>
                        <w14:checked w14:val="0"/>
                        <w14:checkedState w14:val="2612" w14:font="MS Gothic"/>
                        <w14:uncheckedState w14:val="2610" w14:font="MS Gothic"/>
                      </w14:checkbox>
                    </w:sdtPr>
                    <w:sdtEndPr/>
                    <w:sdtContent>
                      <w:r w:rsidR="00F6233C">
                        <w:rPr>
                          <w:rFonts w:ascii="MS Gothic" w:eastAsia="MS Gothic" w:hAnsi="MS Gothic" w:cs="Times New Roman" w:hint="eastAsia"/>
                          <w:b/>
                          <w:sz w:val="20"/>
                          <w:szCs w:val="20"/>
                          <w:lang w:eastAsia="sk-SK"/>
                        </w:rPr>
                        <w:t>☐</w:t>
                      </w:r>
                    </w:sdtContent>
                  </w:sdt>
                  <w:r w:rsidR="00F6233C">
                    <w:rPr>
                      <w:rFonts w:ascii="Times New Roman" w:eastAsia="Times New Roman" w:hAnsi="Times New Roman" w:cs="Times New Roman"/>
                      <w:b/>
                      <w:sz w:val="20"/>
                      <w:szCs w:val="20"/>
                      <w:lang w:eastAsia="sk-SK"/>
                    </w:rPr>
                    <w:t xml:space="preserve">  </w:t>
                  </w:r>
                  <w:r w:rsidR="00F6233C" w:rsidRPr="00B043B4">
                    <w:rPr>
                      <w:rFonts w:ascii="Times New Roman" w:eastAsia="Times New Roman" w:hAnsi="Times New Roman" w:cs="Times New Roman"/>
                      <w:b/>
                      <w:sz w:val="20"/>
                      <w:szCs w:val="20"/>
                      <w:lang w:eastAsia="sk-SK"/>
                    </w:rPr>
                    <w:t>Nesúhlasné</w:t>
                  </w:r>
                </w:p>
              </w:tc>
            </w:tr>
          </w:tbl>
          <w:p w14:paraId="4BD62031" w14:textId="77777777" w:rsidR="00F6233C" w:rsidRPr="00B043B4" w:rsidRDefault="00F6233C" w:rsidP="00357B90">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14:paraId="709DD16A" w14:textId="77777777" w:rsidR="00F6233C" w:rsidRPr="00B043B4" w:rsidRDefault="00F6233C" w:rsidP="00357B90">
            <w:pPr>
              <w:jc w:val="both"/>
              <w:rPr>
                <w:rFonts w:ascii="Times New Roman" w:eastAsia="Times New Roman" w:hAnsi="Times New Roman" w:cs="Times New Roman"/>
                <w:b/>
                <w:sz w:val="20"/>
                <w:szCs w:val="20"/>
                <w:lang w:eastAsia="sk-SK"/>
              </w:rPr>
            </w:pPr>
          </w:p>
          <w:p w14:paraId="7177B2A3" w14:textId="77777777" w:rsidR="00F6233C" w:rsidRPr="00B043B4" w:rsidRDefault="00F6233C" w:rsidP="00357B90">
            <w:pPr>
              <w:jc w:val="both"/>
              <w:rPr>
                <w:rFonts w:ascii="Times New Roman" w:eastAsia="Times New Roman" w:hAnsi="Times New Roman" w:cs="Times New Roman"/>
                <w:b/>
                <w:sz w:val="20"/>
                <w:szCs w:val="20"/>
                <w:lang w:eastAsia="sk-SK"/>
              </w:rPr>
            </w:pPr>
          </w:p>
        </w:tc>
      </w:tr>
    </w:tbl>
    <w:p w14:paraId="45546324" w14:textId="77777777" w:rsidR="00F6233C" w:rsidRDefault="00F6233C" w:rsidP="00357B90">
      <w:pPr>
        <w:jc w:val="both"/>
      </w:pPr>
    </w:p>
    <w:p w14:paraId="1061486A" w14:textId="77777777" w:rsidR="00F6233C" w:rsidRDefault="00F6233C" w:rsidP="00357B90">
      <w:pPr>
        <w:spacing w:line="360" w:lineRule="auto"/>
        <w:ind w:firstLine="567"/>
        <w:jc w:val="both"/>
        <w:sectPr w:rsidR="00F6233C" w:rsidSect="00DC67FC">
          <w:pgSz w:w="11906" w:h="16838"/>
          <w:pgMar w:top="1417" w:right="1417" w:bottom="1417" w:left="1417" w:header="708" w:footer="708" w:gutter="0"/>
          <w:cols w:space="708"/>
          <w:docGrid w:linePitch="360"/>
        </w:sectPr>
      </w:pPr>
    </w:p>
    <w:p w14:paraId="16934028" w14:textId="77777777" w:rsidR="00F6233C" w:rsidRPr="00136F79" w:rsidRDefault="00F6233C" w:rsidP="00357B90">
      <w:pPr>
        <w:jc w:val="center"/>
        <w:rPr>
          <w:b/>
          <w:caps/>
          <w:spacing w:val="30"/>
        </w:rPr>
      </w:pPr>
      <w:r w:rsidRPr="00136F79">
        <w:rPr>
          <w:b/>
          <w:caps/>
          <w:spacing w:val="30"/>
        </w:rPr>
        <w:lastRenderedPageBreak/>
        <w:t>Doložka zlučiteľnosti</w:t>
      </w:r>
    </w:p>
    <w:p w14:paraId="2A1100EB" w14:textId="6734B07E" w:rsidR="00F6233C" w:rsidRPr="00136F79" w:rsidRDefault="00F6233C" w:rsidP="00357B90">
      <w:pPr>
        <w:jc w:val="center"/>
        <w:rPr>
          <w:b/>
        </w:rPr>
      </w:pPr>
      <w:r>
        <w:rPr>
          <w:b/>
        </w:rPr>
        <w:t>návrhu zákona</w:t>
      </w:r>
      <w:r w:rsidRPr="00136F79">
        <w:rPr>
          <w:b/>
        </w:rPr>
        <w:t xml:space="preserve"> s právom Európskej únie</w:t>
      </w:r>
    </w:p>
    <w:p w14:paraId="695D0EA9" w14:textId="77777777" w:rsidR="00F6233C" w:rsidRDefault="00F6233C" w:rsidP="00357B90">
      <w:pPr>
        <w:jc w:val="both"/>
      </w:pPr>
    </w:p>
    <w:p w14:paraId="32085AB0" w14:textId="77777777" w:rsidR="00F6233C" w:rsidRPr="00136F79" w:rsidRDefault="00F6233C" w:rsidP="00357B90">
      <w:pPr>
        <w:jc w:val="both"/>
      </w:pPr>
    </w:p>
    <w:p w14:paraId="058BDDFE" w14:textId="77777777" w:rsidR="00F6233C" w:rsidRPr="00136F79" w:rsidRDefault="00F6233C" w:rsidP="00357B90">
      <w:pPr>
        <w:ind w:left="360" w:hanging="360"/>
        <w:jc w:val="both"/>
        <w:rPr>
          <w:b/>
        </w:rPr>
      </w:pPr>
      <w:r w:rsidRPr="00136F79">
        <w:rPr>
          <w:b/>
        </w:rPr>
        <w:t>1.</w:t>
      </w:r>
      <w:r w:rsidRPr="00136F79">
        <w:rPr>
          <w:b/>
        </w:rPr>
        <w:tab/>
      </w:r>
      <w:r>
        <w:rPr>
          <w:b/>
        </w:rPr>
        <w:t xml:space="preserve">      </w:t>
      </w:r>
      <w:r w:rsidRPr="00DC2202">
        <w:rPr>
          <w:b/>
        </w:rPr>
        <w:t>Navrhovateľ zákona:</w:t>
      </w:r>
      <w:r w:rsidRPr="00136F79">
        <w:t xml:space="preserve"> </w:t>
      </w:r>
      <w:r>
        <w:t>Ministerstvo zdravotníctva Slovenskej republiky</w:t>
      </w:r>
    </w:p>
    <w:p w14:paraId="61D01AC2" w14:textId="77777777" w:rsidR="00F6233C" w:rsidRPr="00136F79" w:rsidRDefault="00F6233C" w:rsidP="00357B90">
      <w:pPr>
        <w:tabs>
          <w:tab w:val="left" w:pos="360"/>
        </w:tabs>
        <w:ind w:left="360"/>
        <w:jc w:val="both"/>
      </w:pPr>
      <w:r w:rsidRPr="00136F79">
        <w:t xml:space="preserve"> </w:t>
      </w:r>
    </w:p>
    <w:p w14:paraId="079F7B3E" w14:textId="77777777" w:rsidR="00F6233C" w:rsidRPr="00136F79" w:rsidRDefault="00F6233C" w:rsidP="00357B90">
      <w:pPr>
        <w:pStyle w:val="Zkladntext"/>
        <w:ind w:left="705" w:hanging="705"/>
        <w:rPr>
          <w:b w:val="0"/>
        </w:rPr>
      </w:pPr>
      <w:r w:rsidRPr="00136F79">
        <w:t>2.</w:t>
      </w:r>
      <w:r w:rsidRPr="00136F79">
        <w:tab/>
      </w:r>
      <w:r>
        <w:tab/>
        <w:t>Názov návrhu zákona</w:t>
      </w:r>
      <w:r w:rsidRPr="00136F79">
        <w:rPr>
          <w:b w:val="0"/>
        </w:rPr>
        <w:t>:</w:t>
      </w:r>
      <w:r w:rsidRPr="00136F79">
        <w:t xml:space="preserve"> </w:t>
      </w:r>
      <w:r w:rsidRPr="00136F79">
        <w:rPr>
          <w:b w:val="0"/>
        </w:rPr>
        <w:t>Návrh zákona, ktorým sa mení a dopĺňa zákon č. 139/1998 Z. z. o omamných látkach, psychotropných látkach a prípravkoch v znení neskorších predpisov</w:t>
      </w:r>
    </w:p>
    <w:p w14:paraId="0C47A92E" w14:textId="77777777" w:rsidR="00F6233C" w:rsidRPr="00136F79" w:rsidRDefault="00F6233C" w:rsidP="00357B90">
      <w:pPr>
        <w:ind w:firstLine="426"/>
        <w:jc w:val="both"/>
      </w:pPr>
    </w:p>
    <w:p w14:paraId="34321145" w14:textId="77777777" w:rsidR="00F6233C" w:rsidRPr="00EB74EE" w:rsidRDefault="00F6233C" w:rsidP="00357B90">
      <w:pPr>
        <w:ind w:left="360" w:hanging="360"/>
        <w:jc w:val="both"/>
        <w:rPr>
          <w:b/>
        </w:rPr>
      </w:pPr>
      <w:r w:rsidRPr="00136F79">
        <w:rPr>
          <w:b/>
        </w:rPr>
        <w:t>3.</w:t>
      </w:r>
      <w:r w:rsidRPr="00136F79">
        <w:rPr>
          <w:b/>
        </w:rPr>
        <w:tab/>
      </w:r>
      <w:r>
        <w:rPr>
          <w:b/>
        </w:rPr>
        <w:tab/>
      </w:r>
      <w:r w:rsidRPr="00136F79">
        <w:rPr>
          <w:b/>
        </w:rPr>
        <w:t>Pr</w:t>
      </w:r>
      <w:r>
        <w:rPr>
          <w:b/>
        </w:rPr>
        <w:t xml:space="preserve">edmet </w:t>
      </w:r>
      <w:r w:rsidRPr="00136F79">
        <w:rPr>
          <w:b/>
        </w:rPr>
        <w:t xml:space="preserve">návrhu </w:t>
      </w:r>
      <w:r>
        <w:rPr>
          <w:b/>
        </w:rPr>
        <w:t>zákona</w:t>
      </w:r>
      <w:r>
        <w:t xml:space="preserve"> </w:t>
      </w:r>
      <w:r>
        <w:rPr>
          <w:b/>
        </w:rPr>
        <w:t>je upravený v práve Európskej únie</w:t>
      </w:r>
    </w:p>
    <w:p w14:paraId="7FCD4972" w14:textId="77777777" w:rsidR="00F6233C" w:rsidRPr="00EB74EE" w:rsidRDefault="00F6233C" w:rsidP="00357B90">
      <w:pPr>
        <w:pStyle w:val="Odsekzoznamu"/>
        <w:widowControl w:val="0"/>
        <w:numPr>
          <w:ilvl w:val="0"/>
          <w:numId w:val="6"/>
        </w:numPr>
        <w:tabs>
          <w:tab w:val="left" w:pos="1068"/>
        </w:tabs>
        <w:autoSpaceDE w:val="0"/>
        <w:autoSpaceDN w:val="0"/>
        <w:adjustRightInd w:val="0"/>
        <w:jc w:val="both"/>
        <w:rPr>
          <w:i/>
        </w:rPr>
      </w:pPr>
      <w:r w:rsidRPr="00EB74EE">
        <w:rPr>
          <w:i/>
        </w:rPr>
        <w:t xml:space="preserve">v primárnom práve </w:t>
      </w:r>
    </w:p>
    <w:p w14:paraId="0187A243" w14:textId="77777777" w:rsidR="00F6233C" w:rsidRDefault="00F6233C" w:rsidP="00357B90">
      <w:pPr>
        <w:pStyle w:val="Odsekzoznamu"/>
        <w:widowControl w:val="0"/>
        <w:numPr>
          <w:ilvl w:val="0"/>
          <w:numId w:val="8"/>
        </w:numPr>
        <w:autoSpaceDE w:val="0"/>
        <w:autoSpaceDN w:val="0"/>
        <w:adjustRightInd w:val="0"/>
        <w:jc w:val="both"/>
      </w:pPr>
      <w:r w:rsidRPr="00EB74EE">
        <w:t xml:space="preserve">Článok 168 Zmluvy o fungovaní Európskej únie (Hlava XIV – Verejné zdravie) </w:t>
      </w:r>
    </w:p>
    <w:p w14:paraId="4B68A3F4" w14:textId="77777777" w:rsidR="00F6233C" w:rsidRPr="00EB74EE" w:rsidRDefault="00F6233C" w:rsidP="00357B90">
      <w:pPr>
        <w:pStyle w:val="Odsekzoznamu"/>
        <w:ind w:left="1068"/>
        <w:jc w:val="both"/>
      </w:pPr>
    </w:p>
    <w:p w14:paraId="0866A9A7" w14:textId="77777777" w:rsidR="00F6233C" w:rsidRPr="00EB74EE" w:rsidRDefault="00F6233C" w:rsidP="00357B90">
      <w:pPr>
        <w:pStyle w:val="Odsekzoznamu"/>
        <w:widowControl w:val="0"/>
        <w:numPr>
          <w:ilvl w:val="0"/>
          <w:numId w:val="6"/>
        </w:numPr>
        <w:autoSpaceDE w:val="0"/>
        <w:autoSpaceDN w:val="0"/>
        <w:adjustRightInd w:val="0"/>
        <w:jc w:val="both"/>
      </w:pPr>
      <w:r w:rsidRPr="00EB74EE">
        <w:rPr>
          <w:i/>
        </w:rPr>
        <w:t>sekundárnom práve Európskej únie</w:t>
      </w:r>
    </w:p>
    <w:p w14:paraId="65871AB9" w14:textId="77777777" w:rsidR="00F6233C" w:rsidRPr="00EB74EE" w:rsidRDefault="00F6233C" w:rsidP="00357B90">
      <w:pPr>
        <w:pStyle w:val="Odsekzoznamu"/>
        <w:widowControl w:val="0"/>
        <w:numPr>
          <w:ilvl w:val="0"/>
          <w:numId w:val="7"/>
        </w:numPr>
        <w:autoSpaceDE w:val="0"/>
        <w:autoSpaceDN w:val="0"/>
        <w:adjustRightInd w:val="0"/>
        <w:jc w:val="both"/>
      </w:pPr>
      <w:r>
        <w:t xml:space="preserve">Rámcové rozhodnutie Rady 2004/757/SVV z 25. októbra 2004, ktorým sa stanovujú minimálne ustanovenia o znakoch skutkových podstát trestných činov a trestov v oblasti nezákonného obchodu s drogami (Ú. v. EÚ L 335, 11.11.2004) v platnom znení. </w:t>
      </w:r>
      <w:r w:rsidRPr="00EB74EE">
        <w:t>Gestor - Ministerstvo zdravotníctva SR.</w:t>
      </w:r>
    </w:p>
    <w:p w14:paraId="0B1907BF" w14:textId="77777777" w:rsidR="00F6233C" w:rsidRPr="00485118" w:rsidRDefault="00F6233C" w:rsidP="00357B90">
      <w:pPr>
        <w:pStyle w:val="Odsekzoznamu"/>
        <w:widowControl w:val="0"/>
        <w:numPr>
          <w:ilvl w:val="0"/>
          <w:numId w:val="7"/>
        </w:numPr>
        <w:autoSpaceDE w:val="0"/>
        <w:autoSpaceDN w:val="0"/>
        <w:adjustRightInd w:val="0"/>
        <w:jc w:val="both"/>
        <w:rPr>
          <w:rFonts w:ascii="inherit" w:hAnsi="inherit"/>
          <w:bCs/>
          <w:color w:val="000000"/>
        </w:rPr>
      </w:pPr>
      <w:r w:rsidRPr="00B93A64">
        <w:t>Delegovaná smernica Komisie (EÚ) 202</w:t>
      </w:r>
      <w:r>
        <w:t>1</w:t>
      </w:r>
      <w:r w:rsidRPr="00B93A64">
        <w:t>/8</w:t>
      </w:r>
      <w:r>
        <w:t>02</w:t>
      </w:r>
      <w:r w:rsidRPr="00B93A64">
        <w:t xml:space="preserve"> z </w:t>
      </w:r>
      <w:r>
        <w:t>12</w:t>
      </w:r>
      <w:r w:rsidRPr="00B93A64">
        <w:t xml:space="preserve">. </w:t>
      </w:r>
      <w:r>
        <w:t>marca</w:t>
      </w:r>
      <w:r w:rsidRPr="00B93A64">
        <w:t xml:space="preserve"> 202</w:t>
      </w:r>
      <w:r>
        <w:t>1</w:t>
      </w:r>
      <w:r w:rsidRPr="00B93A64">
        <w:t>, ktorou sa mení príloha k rámcovému rozhodnutiu Rady 2004/757/SVV,</w:t>
      </w:r>
      <w:r>
        <w:t xml:space="preserve"> </w:t>
      </w:r>
      <w:r w:rsidRPr="00B93A64">
        <w:rPr>
          <w:rFonts w:ascii="inherit" w:hAnsi="inherit"/>
          <w:bCs/>
          <w:color w:val="000000"/>
        </w:rPr>
        <w:t xml:space="preserve">pokiaľ ide o zaradenie nových </w:t>
      </w:r>
      <w:proofErr w:type="spellStart"/>
      <w:r w:rsidRPr="00B93A64">
        <w:rPr>
          <w:rFonts w:ascii="inherit" w:hAnsi="inherit"/>
          <w:bCs/>
          <w:color w:val="000000"/>
        </w:rPr>
        <w:t>psychoaktívnych</w:t>
      </w:r>
      <w:proofErr w:type="spellEnd"/>
      <w:r w:rsidRPr="00B93A64">
        <w:rPr>
          <w:rFonts w:ascii="inherit" w:hAnsi="inherit"/>
          <w:bCs/>
          <w:color w:val="000000"/>
        </w:rPr>
        <w:t xml:space="preserve"> látok metyl-3,3-dimetyl-2-{[1-(pent-4-én-1-yl)-1</w:t>
      </w:r>
      <w:r w:rsidRPr="00B93A64">
        <w:rPr>
          <w:rFonts w:ascii="inherit" w:hAnsi="inherit"/>
          <w:bCs/>
          <w:i/>
          <w:iCs/>
          <w:color w:val="000000"/>
        </w:rPr>
        <w:t>H</w:t>
      </w:r>
      <w:r w:rsidRPr="00B93A64">
        <w:rPr>
          <w:rFonts w:ascii="inherit" w:hAnsi="inherit"/>
          <w:bCs/>
          <w:color w:val="000000"/>
        </w:rPr>
        <w:t>-indazol-3-karbonyl]amino}butanoát (MDMB-4en-PINACA) a metyl-2-{[1-(4-fluórbutyl)-1</w:t>
      </w:r>
      <w:r w:rsidRPr="00B93A64">
        <w:rPr>
          <w:rFonts w:ascii="inherit" w:hAnsi="inherit"/>
          <w:bCs/>
          <w:i/>
          <w:iCs/>
          <w:color w:val="000000"/>
        </w:rPr>
        <w:t>H</w:t>
      </w:r>
      <w:r w:rsidRPr="00B93A64">
        <w:rPr>
          <w:rFonts w:ascii="inherit" w:hAnsi="inherit"/>
          <w:bCs/>
          <w:color w:val="000000"/>
        </w:rPr>
        <w:t>-indol-3-karbonyl]amino}-3,3-dimetylbutanoát (4F-MDMB-BICA) do vymedzenia pojmu drogy</w:t>
      </w:r>
      <w:r>
        <w:rPr>
          <w:rFonts w:ascii="inherit" w:hAnsi="inherit"/>
          <w:bCs/>
          <w:color w:val="000000"/>
        </w:rPr>
        <w:t xml:space="preserve"> (</w:t>
      </w:r>
      <w:r w:rsidRPr="00B93A64">
        <w:rPr>
          <w:rFonts w:ascii="inherit" w:hAnsi="inherit"/>
          <w:bCs/>
          <w:color w:val="000000"/>
        </w:rPr>
        <w:t>Ú.</w:t>
      </w:r>
      <w:r>
        <w:rPr>
          <w:rFonts w:ascii="inherit" w:hAnsi="inherit"/>
          <w:bCs/>
          <w:color w:val="000000"/>
        </w:rPr>
        <w:t xml:space="preserve"> </w:t>
      </w:r>
      <w:r w:rsidRPr="00B93A64">
        <w:rPr>
          <w:rFonts w:ascii="inherit" w:hAnsi="inherit"/>
          <w:bCs/>
          <w:color w:val="000000"/>
        </w:rPr>
        <w:t xml:space="preserve">v. EÚ L </w:t>
      </w:r>
      <w:r>
        <w:rPr>
          <w:rFonts w:ascii="inherit" w:hAnsi="inherit"/>
          <w:bCs/>
          <w:color w:val="000000"/>
        </w:rPr>
        <w:t>1</w:t>
      </w:r>
      <w:r w:rsidRPr="00B93A64">
        <w:rPr>
          <w:rFonts w:ascii="inherit" w:hAnsi="inherit"/>
          <w:bCs/>
          <w:color w:val="000000"/>
        </w:rPr>
        <w:t>7</w:t>
      </w:r>
      <w:r>
        <w:rPr>
          <w:rFonts w:ascii="inherit" w:hAnsi="inherit"/>
          <w:bCs/>
          <w:color w:val="000000"/>
        </w:rPr>
        <w:t>8</w:t>
      </w:r>
      <w:r w:rsidRPr="00B93A64">
        <w:rPr>
          <w:rFonts w:ascii="inherit" w:hAnsi="inherit"/>
          <w:bCs/>
          <w:color w:val="000000"/>
        </w:rPr>
        <w:t xml:space="preserve">, </w:t>
      </w:r>
      <w:r>
        <w:rPr>
          <w:rFonts w:ascii="inherit" w:hAnsi="inherit"/>
          <w:bCs/>
          <w:color w:val="000000"/>
        </w:rPr>
        <w:t>20. 5</w:t>
      </w:r>
      <w:r w:rsidRPr="00B93A64">
        <w:rPr>
          <w:rFonts w:ascii="inherit" w:hAnsi="inherit"/>
          <w:bCs/>
          <w:color w:val="000000"/>
        </w:rPr>
        <w:t>.</w:t>
      </w:r>
      <w:r>
        <w:rPr>
          <w:rFonts w:ascii="inherit" w:hAnsi="inherit"/>
          <w:bCs/>
          <w:color w:val="000000"/>
        </w:rPr>
        <w:t xml:space="preserve"> </w:t>
      </w:r>
      <w:r w:rsidRPr="00B93A64">
        <w:rPr>
          <w:rFonts w:ascii="inherit" w:hAnsi="inherit"/>
          <w:bCs/>
          <w:color w:val="000000"/>
        </w:rPr>
        <w:t>202</w:t>
      </w:r>
      <w:r>
        <w:rPr>
          <w:rFonts w:ascii="inherit" w:hAnsi="inherit"/>
          <w:bCs/>
          <w:color w:val="000000"/>
        </w:rPr>
        <w:t>1</w:t>
      </w:r>
      <w:r w:rsidRPr="00B93A64">
        <w:rPr>
          <w:rFonts w:ascii="inherit" w:hAnsi="inherit"/>
          <w:bCs/>
          <w:color w:val="000000"/>
        </w:rPr>
        <w:t>).</w:t>
      </w:r>
      <w:r>
        <w:rPr>
          <w:rFonts w:ascii="inherit" w:hAnsi="inherit"/>
          <w:bCs/>
          <w:color w:val="000000"/>
        </w:rPr>
        <w:t xml:space="preserve"> </w:t>
      </w:r>
      <w:r w:rsidRPr="00EB74EE">
        <w:t>G</w:t>
      </w:r>
      <w:r>
        <w:t xml:space="preserve">estor - </w:t>
      </w:r>
      <w:r w:rsidRPr="00EB74EE">
        <w:t>Ministerstvo zdravotníctva SR</w:t>
      </w:r>
      <w:r>
        <w:t>.</w:t>
      </w:r>
    </w:p>
    <w:p w14:paraId="5A4AEA60" w14:textId="77777777" w:rsidR="00F6233C" w:rsidRPr="00EB74EE" w:rsidRDefault="00F6233C" w:rsidP="00357B90">
      <w:pPr>
        <w:pStyle w:val="Odsekzoznamu"/>
        <w:ind w:left="1069"/>
        <w:jc w:val="both"/>
        <w:rPr>
          <w:rFonts w:ascii="inherit" w:hAnsi="inherit"/>
          <w:bCs/>
          <w:color w:val="000000"/>
        </w:rPr>
      </w:pPr>
    </w:p>
    <w:p w14:paraId="070E435D" w14:textId="77777777" w:rsidR="00F6233C" w:rsidRPr="00EB74EE" w:rsidRDefault="00F6233C" w:rsidP="00357B90">
      <w:pPr>
        <w:pStyle w:val="Odsekzoznamu"/>
        <w:widowControl w:val="0"/>
        <w:numPr>
          <w:ilvl w:val="0"/>
          <w:numId w:val="6"/>
        </w:numPr>
        <w:autoSpaceDE w:val="0"/>
        <w:autoSpaceDN w:val="0"/>
        <w:adjustRightInd w:val="0"/>
        <w:jc w:val="both"/>
        <w:rPr>
          <w:i/>
        </w:rPr>
      </w:pPr>
      <w:r w:rsidRPr="00EB74EE">
        <w:rPr>
          <w:i/>
        </w:rPr>
        <w:t>nie je obsiahnutá v judikatúre Súdneho dvora Európskej únie.</w:t>
      </w:r>
    </w:p>
    <w:p w14:paraId="493AFC22" w14:textId="77777777" w:rsidR="00F6233C" w:rsidRPr="00136F79" w:rsidRDefault="00F6233C" w:rsidP="00357B90">
      <w:pPr>
        <w:jc w:val="both"/>
      </w:pPr>
    </w:p>
    <w:p w14:paraId="76E78AC7" w14:textId="77777777" w:rsidR="00F6233C" w:rsidRPr="00EB74EE" w:rsidRDefault="00F6233C" w:rsidP="00357B90">
      <w:pPr>
        <w:ind w:left="360" w:hanging="360"/>
        <w:jc w:val="both"/>
        <w:rPr>
          <w:b/>
        </w:rPr>
      </w:pPr>
      <w:r w:rsidRPr="00136F79">
        <w:rPr>
          <w:b/>
        </w:rPr>
        <w:t>4.</w:t>
      </w:r>
      <w:r w:rsidRPr="00136F79">
        <w:rPr>
          <w:b/>
        </w:rPr>
        <w:tab/>
      </w:r>
      <w:r>
        <w:rPr>
          <w:b/>
        </w:rPr>
        <w:tab/>
      </w:r>
      <w:r w:rsidRPr="00136F79">
        <w:rPr>
          <w:b/>
        </w:rPr>
        <w:t xml:space="preserve">Záväzky Slovenskej republiky vo vzťahu k Európskej únii: </w:t>
      </w:r>
    </w:p>
    <w:p w14:paraId="2BC3D9BF" w14:textId="77777777" w:rsidR="00F6233C" w:rsidRDefault="00F6233C" w:rsidP="00357B90">
      <w:pPr>
        <w:ind w:left="709" w:hanging="349"/>
        <w:jc w:val="both"/>
      </w:pPr>
      <w:r w:rsidRPr="00136F79">
        <w:t>a)</w:t>
      </w:r>
      <w:r w:rsidRPr="00136F79">
        <w:tab/>
        <w:t>lehota na prebratie smernice alebo lehota na implementáciu nariadenia alebo rozhodnutia</w:t>
      </w:r>
    </w:p>
    <w:p w14:paraId="13854C21" w14:textId="77777777" w:rsidR="00F6233C" w:rsidRDefault="00F6233C" w:rsidP="00357B90">
      <w:pPr>
        <w:ind w:left="709" w:hanging="1"/>
        <w:jc w:val="both"/>
      </w:pPr>
      <w:r>
        <w:t>-     9. december 2021</w:t>
      </w:r>
    </w:p>
    <w:p w14:paraId="7BC65C5C" w14:textId="77777777" w:rsidR="00F6233C" w:rsidRPr="00136F79" w:rsidRDefault="00F6233C" w:rsidP="00357B90">
      <w:pPr>
        <w:ind w:left="709" w:hanging="1"/>
        <w:jc w:val="both"/>
      </w:pPr>
    </w:p>
    <w:p w14:paraId="03D2357A" w14:textId="77777777" w:rsidR="00F6233C" w:rsidRPr="00EB74EE" w:rsidRDefault="00F6233C" w:rsidP="00357B90">
      <w:pPr>
        <w:pStyle w:val="Odsekzoznamu"/>
        <w:widowControl w:val="0"/>
        <w:numPr>
          <w:ilvl w:val="0"/>
          <w:numId w:val="4"/>
        </w:numPr>
        <w:autoSpaceDE w:val="0"/>
        <w:autoSpaceDN w:val="0"/>
        <w:adjustRightInd w:val="0"/>
        <w:ind w:left="709"/>
        <w:jc w:val="both"/>
      </w:pPr>
      <w:r w:rsidRPr="00A66577">
        <w:t>informácia o konaní začatom proti Slovenskej republike o porušení podľa čl. 258 až 260 Zmluvy o fungovaní Európskej únie</w:t>
      </w:r>
    </w:p>
    <w:p w14:paraId="325A4D22" w14:textId="77777777" w:rsidR="00F6233C" w:rsidRDefault="00F6233C" w:rsidP="00357B90">
      <w:pPr>
        <w:pStyle w:val="Odsekzoznamu"/>
        <w:widowControl w:val="0"/>
        <w:numPr>
          <w:ilvl w:val="0"/>
          <w:numId w:val="7"/>
        </w:numPr>
        <w:autoSpaceDE w:val="0"/>
        <w:autoSpaceDN w:val="0"/>
        <w:adjustRightInd w:val="0"/>
        <w:jc w:val="both"/>
      </w:pPr>
      <w:r w:rsidRPr="00EB74EE">
        <w:t>nie je  začaté konanie proti Slovenskej republike</w:t>
      </w:r>
    </w:p>
    <w:p w14:paraId="4D4DD396" w14:textId="77777777" w:rsidR="00F6233C" w:rsidRPr="00EB74EE" w:rsidRDefault="00F6233C" w:rsidP="00357B90">
      <w:pPr>
        <w:pStyle w:val="Odsekzoznamu"/>
        <w:ind w:left="1069"/>
        <w:jc w:val="both"/>
      </w:pPr>
    </w:p>
    <w:p w14:paraId="3DBB1136" w14:textId="77777777" w:rsidR="00F6233C" w:rsidRDefault="00F6233C" w:rsidP="00357B90">
      <w:pPr>
        <w:pStyle w:val="Odsekzoznamu"/>
        <w:widowControl w:val="0"/>
        <w:numPr>
          <w:ilvl w:val="0"/>
          <w:numId w:val="5"/>
        </w:numPr>
        <w:autoSpaceDE w:val="0"/>
        <w:autoSpaceDN w:val="0"/>
        <w:adjustRightInd w:val="0"/>
        <w:jc w:val="both"/>
      </w:pPr>
      <w:r w:rsidRPr="00C2619F">
        <w:t>informácia o právnych predpisoch, v ktorých sú preberané smernice už prebraté spolu s uvedením rozsahu tohto prebratia</w:t>
      </w:r>
    </w:p>
    <w:p w14:paraId="4C9017CA" w14:textId="77777777" w:rsidR="00F6233C" w:rsidRDefault="00F6233C" w:rsidP="00357B90">
      <w:pPr>
        <w:pStyle w:val="Odsekzoznamu"/>
        <w:widowControl w:val="0"/>
        <w:numPr>
          <w:ilvl w:val="0"/>
          <w:numId w:val="7"/>
        </w:numPr>
        <w:autoSpaceDE w:val="0"/>
        <w:autoSpaceDN w:val="0"/>
        <w:adjustRightInd w:val="0"/>
        <w:jc w:val="both"/>
      </w:pPr>
      <w:r>
        <w:t xml:space="preserve">Zákon č. 287/2018 Z. z., </w:t>
      </w:r>
      <w:r w:rsidRPr="007901F8">
        <w:t>ktorým sa mení a dopĺňa zákon č. 139/1998 Z.</w:t>
      </w:r>
      <w:r>
        <w:t xml:space="preserve"> </w:t>
      </w:r>
      <w:r w:rsidRPr="007901F8">
        <w:t>z. o omamných látkach, psychotropných látkach a prípravkoch v znení neskorších predpisov a ktorým sa dopĺňa zákon č. 576/2004 Z.</w:t>
      </w:r>
      <w:r>
        <w:t xml:space="preserve"> </w:t>
      </w:r>
      <w:r w:rsidRPr="007901F8">
        <w:t>z. o zdravotnej starostlivosti, službách súvisiacich s poskytovaním zdravotnej starostlivosti a o zmene a doplnení niektorých zákonov v znení neskorších predpisov</w:t>
      </w:r>
      <w:r>
        <w:t>.</w:t>
      </w:r>
    </w:p>
    <w:p w14:paraId="4EED6BAF" w14:textId="77777777" w:rsidR="00F6233C" w:rsidRDefault="00F6233C" w:rsidP="00357B90">
      <w:pPr>
        <w:pStyle w:val="Odsekzoznamu"/>
        <w:widowControl w:val="0"/>
        <w:numPr>
          <w:ilvl w:val="0"/>
          <w:numId w:val="7"/>
        </w:numPr>
        <w:autoSpaceDE w:val="0"/>
        <w:autoSpaceDN w:val="0"/>
        <w:adjustRightInd w:val="0"/>
        <w:jc w:val="both"/>
      </w:pPr>
      <w:r>
        <w:t xml:space="preserve">Zákon č. </w:t>
      </w:r>
      <w:r w:rsidRPr="00677D21">
        <w:t>72/2019 Z.</w:t>
      </w:r>
      <w:r>
        <w:t xml:space="preserve"> </w:t>
      </w:r>
      <w:r w:rsidRPr="00677D21">
        <w:t>z.</w:t>
      </w:r>
      <w:r>
        <w:t xml:space="preserve"> </w:t>
      </w:r>
      <w:r w:rsidRPr="00677D21">
        <w:t>zo 16. októbra 2019,</w:t>
      </w:r>
      <w:r>
        <w:t xml:space="preserve"> </w:t>
      </w:r>
      <w:r w:rsidRPr="00677D21">
        <w:t>ktorým sa mení a dopĺňa zákon č. 139/1998 Z.</w:t>
      </w:r>
      <w:r>
        <w:t xml:space="preserve"> </w:t>
      </w:r>
      <w:r w:rsidRPr="00677D21">
        <w:t>z. o omamných látkach, psychotropných látkach a prípravkoch v znení neskorších predpisov</w:t>
      </w:r>
      <w:r>
        <w:t>.</w:t>
      </w:r>
    </w:p>
    <w:p w14:paraId="05490779" w14:textId="77777777" w:rsidR="00F6233C" w:rsidRPr="00C2619F" w:rsidRDefault="00F6233C" w:rsidP="00357B90">
      <w:pPr>
        <w:pStyle w:val="Odsekzoznamu"/>
        <w:widowControl w:val="0"/>
        <w:numPr>
          <w:ilvl w:val="0"/>
          <w:numId w:val="7"/>
        </w:numPr>
        <w:autoSpaceDE w:val="0"/>
        <w:autoSpaceDN w:val="0"/>
        <w:adjustRightInd w:val="0"/>
        <w:jc w:val="both"/>
      </w:pPr>
      <w:r w:rsidRPr="00677D21">
        <w:t>Z</w:t>
      </w:r>
      <w:r>
        <w:t xml:space="preserve">ákon č. 124/2021 Z. z. </w:t>
      </w:r>
      <w:r w:rsidRPr="00677D21">
        <w:t>z 18. marca 2021,</w:t>
      </w:r>
      <w:r>
        <w:t xml:space="preserve"> </w:t>
      </w:r>
      <w:r w:rsidRPr="00677D21">
        <w:t>ktorým sa mení a dopĺňa zákon č. 139/1998 Z.</w:t>
      </w:r>
      <w:r>
        <w:t xml:space="preserve"> </w:t>
      </w:r>
      <w:r w:rsidRPr="00677D21">
        <w:t xml:space="preserve">z. o omamných látkach, psychotropných látkach a prípravkoch v znení </w:t>
      </w:r>
      <w:r w:rsidRPr="00677D21">
        <w:lastRenderedPageBreak/>
        <w:t>neskorších predpisov a ktorým sa mení a dopĺňa zákon č. 374/2018 Z.</w:t>
      </w:r>
      <w:r>
        <w:t xml:space="preserve"> </w:t>
      </w:r>
      <w:r w:rsidRPr="00677D21">
        <w:t>z., ktorým sa mení a dopĺňa zákon č. 153/2013 Z.</w:t>
      </w:r>
      <w:r>
        <w:t xml:space="preserve"> </w:t>
      </w:r>
      <w:r w:rsidRPr="00677D21">
        <w:t>z. o národnom zdravotníckom informačnom systéme a o zmene a doplnení niektorých zákonov v znení neskorších predpisov a ktorým sa menia a dopĺňajú niektoré zákony</w:t>
      </w:r>
      <w:r>
        <w:t>.</w:t>
      </w:r>
    </w:p>
    <w:p w14:paraId="5DB059D6" w14:textId="77777777" w:rsidR="00F6233C" w:rsidRPr="00136F79" w:rsidRDefault="00F6233C" w:rsidP="00357B90">
      <w:pPr>
        <w:jc w:val="both"/>
      </w:pPr>
      <w:r>
        <w:t xml:space="preserve">   </w:t>
      </w:r>
    </w:p>
    <w:p w14:paraId="51735F60" w14:textId="77777777" w:rsidR="00F6233C" w:rsidRDefault="00F6233C" w:rsidP="00357B90">
      <w:pPr>
        <w:jc w:val="both"/>
        <w:rPr>
          <w:b/>
        </w:rPr>
      </w:pPr>
      <w:r w:rsidRPr="00136F79">
        <w:rPr>
          <w:b/>
        </w:rPr>
        <w:t>5.</w:t>
      </w:r>
      <w:r w:rsidRPr="00136F79">
        <w:rPr>
          <w:b/>
        </w:rPr>
        <w:tab/>
      </w:r>
      <w:r w:rsidRPr="00EB74EE">
        <w:rPr>
          <w:b/>
        </w:rPr>
        <w:t xml:space="preserve">Návrh zákona je úplne zlučiteľný s právom Európskej únie </w:t>
      </w:r>
    </w:p>
    <w:p w14:paraId="521ED0A6" w14:textId="77777777" w:rsidR="00F6233C" w:rsidRDefault="00F6233C" w:rsidP="00357B90">
      <w:pPr>
        <w:jc w:val="both"/>
        <w:rPr>
          <w:b/>
        </w:rPr>
      </w:pPr>
    </w:p>
    <w:p w14:paraId="033743EE" w14:textId="77777777" w:rsidR="00F6233C" w:rsidRDefault="00F6233C" w:rsidP="00357B90">
      <w:pPr>
        <w:jc w:val="both"/>
        <w:rPr>
          <w:b/>
        </w:rPr>
      </w:pPr>
    </w:p>
    <w:p w14:paraId="7A35A9D8" w14:textId="77777777" w:rsidR="00F6233C" w:rsidRDefault="00F6233C" w:rsidP="00357B90">
      <w:pPr>
        <w:jc w:val="both"/>
        <w:rPr>
          <w:b/>
        </w:rPr>
      </w:pPr>
    </w:p>
    <w:p w14:paraId="77C1C000" w14:textId="77777777" w:rsidR="00F6233C" w:rsidRDefault="00F6233C" w:rsidP="00357B90">
      <w:pPr>
        <w:jc w:val="both"/>
        <w:rPr>
          <w:b/>
        </w:rPr>
      </w:pPr>
    </w:p>
    <w:p w14:paraId="5EEFAC92" w14:textId="77777777" w:rsidR="00F6233C" w:rsidRPr="00EB74EE" w:rsidRDefault="00F6233C" w:rsidP="00357B90">
      <w:pPr>
        <w:jc w:val="both"/>
        <w:rPr>
          <w:b/>
        </w:rPr>
      </w:pPr>
    </w:p>
    <w:p w14:paraId="372DF994" w14:textId="77777777" w:rsidR="00F6233C" w:rsidRDefault="00F6233C" w:rsidP="00357B90">
      <w:pPr>
        <w:spacing w:line="360" w:lineRule="auto"/>
        <w:ind w:firstLine="567"/>
        <w:jc w:val="both"/>
        <w:sectPr w:rsidR="00F6233C" w:rsidSect="00DC67FC">
          <w:pgSz w:w="11906" w:h="16838"/>
          <w:pgMar w:top="1417" w:right="1417" w:bottom="1417" w:left="1417" w:header="708" w:footer="708" w:gutter="0"/>
          <w:cols w:space="708"/>
          <w:docGrid w:linePitch="360"/>
        </w:sectPr>
      </w:pPr>
    </w:p>
    <w:p w14:paraId="3CC5366A" w14:textId="77777777" w:rsidR="00F6233C" w:rsidRPr="00E56512" w:rsidRDefault="00F6233C" w:rsidP="00357B90">
      <w:pPr>
        <w:pStyle w:val="Nzov"/>
        <w:spacing w:line="360" w:lineRule="auto"/>
        <w:contextualSpacing/>
        <w:jc w:val="both"/>
      </w:pPr>
      <w:r w:rsidRPr="00E56512">
        <w:lastRenderedPageBreak/>
        <w:t>Osobitná časť</w:t>
      </w:r>
    </w:p>
    <w:p w14:paraId="74C5437E" w14:textId="77777777" w:rsidR="00F6233C" w:rsidRDefault="00F6233C" w:rsidP="00357B90">
      <w:pPr>
        <w:pStyle w:val="Nzov"/>
        <w:spacing w:line="360" w:lineRule="auto"/>
        <w:contextualSpacing/>
        <w:jc w:val="both"/>
      </w:pPr>
    </w:p>
    <w:p w14:paraId="4EBB2173" w14:textId="77777777" w:rsidR="00F6233C" w:rsidRPr="00AC0B6C" w:rsidRDefault="00F6233C" w:rsidP="00357B90">
      <w:pPr>
        <w:pStyle w:val="Nzov"/>
        <w:spacing w:line="360" w:lineRule="auto"/>
        <w:contextualSpacing/>
        <w:jc w:val="both"/>
      </w:pPr>
      <w:r>
        <w:t>K Č</w:t>
      </w:r>
      <w:r w:rsidRPr="00E56512">
        <w:t>l. I</w:t>
      </w:r>
    </w:p>
    <w:p w14:paraId="7BFF092C" w14:textId="77777777" w:rsidR="00F6233C" w:rsidRPr="00E56512" w:rsidRDefault="00F6233C" w:rsidP="00357B90">
      <w:pPr>
        <w:pStyle w:val="Nzov"/>
        <w:spacing w:line="360" w:lineRule="auto"/>
        <w:contextualSpacing/>
        <w:jc w:val="both"/>
        <w:rPr>
          <w:b w:val="0"/>
        </w:rPr>
      </w:pPr>
      <w:r w:rsidRPr="00E56512">
        <w:rPr>
          <w:b w:val="0"/>
        </w:rPr>
        <w:t>K bodom 1 a 14</w:t>
      </w:r>
    </w:p>
    <w:p w14:paraId="020FD95F" w14:textId="77777777" w:rsidR="00F6233C" w:rsidRPr="00E56512" w:rsidRDefault="00F6233C" w:rsidP="00357B90">
      <w:pPr>
        <w:pStyle w:val="Standard"/>
        <w:spacing w:after="0" w:line="360" w:lineRule="auto"/>
        <w:ind w:firstLine="708"/>
        <w:contextualSpacing/>
        <w:rPr>
          <w:rFonts w:ascii="Times New Roman" w:hAnsi="Times New Roman" w:cs="Times New Roman"/>
          <w:sz w:val="24"/>
          <w:szCs w:val="24"/>
        </w:rPr>
      </w:pPr>
      <w:r w:rsidRPr="00E56512">
        <w:rPr>
          <w:rFonts w:ascii="Times New Roman" w:hAnsi="Times New Roman" w:cs="Times New Roman"/>
          <w:sz w:val="24"/>
          <w:szCs w:val="24"/>
        </w:rPr>
        <w:t xml:space="preserve">Na základe rozhodnutia prijatého na 64. zasadnutí Komisie pre omamné látky Úradu OSN pre omamné látky a kriminalitu v dňoch 12. 4. až 16. 4. 2021 sa zaraďuje do skupiny I.  omamných látok </w:t>
      </w:r>
      <w:proofErr w:type="spellStart"/>
      <w:r w:rsidRPr="00E56512">
        <w:rPr>
          <w:rFonts w:ascii="Times New Roman" w:hAnsi="Times New Roman" w:cs="Times New Roman"/>
          <w:sz w:val="24"/>
          <w:szCs w:val="24"/>
        </w:rPr>
        <w:t>Izotonitazén</w:t>
      </w:r>
      <w:proofErr w:type="spellEnd"/>
      <w:r w:rsidRPr="00E56512">
        <w:rPr>
          <w:rFonts w:ascii="Times New Roman" w:hAnsi="Times New Roman" w:cs="Times New Roman"/>
          <w:sz w:val="24"/>
          <w:szCs w:val="24"/>
        </w:rPr>
        <w:t>. Látka  vykazuje podobnú účinnosť ako</w:t>
      </w:r>
      <w:r>
        <w:rPr>
          <w:rFonts w:ascii="Times New Roman" w:hAnsi="Times New Roman" w:cs="Times New Roman"/>
          <w:sz w:val="24"/>
          <w:szCs w:val="24"/>
        </w:rPr>
        <w:t xml:space="preserve"> </w:t>
      </w:r>
      <w:proofErr w:type="spellStart"/>
      <w:r>
        <w:rPr>
          <w:rFonts w:ascii="Times New Roman" w:hAnsi="Times New Roman" w:cs="Times New Roman"/>
          <w:sz w:val="24"/>
          <w:szCs w:val="24"/>
        </w:rPr>
        <w:t>morfín</w:t>
      </w:r>
      <w:proofErr w:type="spellEnd"/>
      <w:r>
        <w:rPr>
          <w:rFonts w:ascii="Times New Roman" w:hAnsi="Times New Roman" w:cs="Times New Roman"/>
          <w:sz w:val="24"/>
          <w:szCs w:val="24"/>
        </w:rPr>
        <w:t xml:space="preserve">, ale na rozdiel od </w:t>
      </w:r>
      <w:proofErr w:type="spellStart"/>
      <w:r>
        <w:rPr>
          <w:rFonts w:ascii="Times New Roman" w:hAnsi="Times New Roman" w:cs="Times New Roman"/>
          <w:sz w:val="24"/>
          <w:szCs w:val="24"/>
        </w:rPr>
        <w:t>morfí</w:t>
      </w:r>
      <w:r w:rsidRPr="00E56512">
        <w:rPr>
          <w:rFonts w:ascii="Times New Roman" w:hAnsi="Times New Roman" w:cs="Times New Roman"/>
          <w:sz w:val="24"/>
          <w:szCs w:val="24"/>
        </w:rPr>
        <w:t>nu</w:t>
      </w:r>
      <w:proofErr w:type="spellEnd"/>
      <w:r w:rsidRPr="00E56512">
        <w:rPr>
          <w:rFonts w:ascii="Times New Roman" w:hAnsi="Times New Roman" w:cs="Times New Roman"/>
          <w:sz w:val="24"/>
          <w:szCs w:val="24"/>
        </w:rPr>
        <w:t xml:space="preserve"> sa vo forme lieku nepoužíva. Táto látka bola na základe poslaneckého pozmeňovacieho návrhu zaradená medzi omamné látky II. skupiny na základe delegovanej smernice Komisie č. 2020/1687, z 2. septembra 2020, ktorou sa mení príloha k rámcovému rozhodnutiu Rady 2004/757/SVV, pokiaľ ide o zahrnutie novej </w:t>
      </w:r>
      <w:proofErr w:type="spellStart"/>
      <w:r w:rsidRPr="00E56512">
        <w:rPr>
          <w:rFonts w:ascii="Times New Roman" w:hAnsi="Times New Roman" w:cs="Times New Roman"/>
          <w:sz w:val="24"/>
          <w:szCs w:val="24"/>
        </w:rPr>
        <w:t>psychoaktívnej</w:t>
      </w:r>
      <w:proofErr w:type="spellEnd"/>
      <w:r w:rsidRPr="00E56512">
        <w:rPr>
          <w:rFonts w:ascii="Times New Roman" w:hAnsi="Times New Roman" w:cs="Times New Roman"/>
          <w:sz w:val="24"/>
          <w:szCs w:val="24"/>
        </w:rPr>
        <w:t xml:space="preserve"> látky N, N-dietyl-2-[[4-(1-metyletoxy) </w:t>
      </w:r>
      <w:proofErr w:type="spellStart"/>
      <w:r w:rsidRPr="00E56512">
        <w:rPr>
          <w:rFonts w:ascii="Times New Roman" w:hAnsi="Times New Roman" w:cs="Times New Roman"/>
          <w:sz w:val="24"/>
          <w:szCs w:val="24"/>
        </w:rPr>
        <w:t>fenyl</w:t>
      </w:r>
      <w:proofErr w:type="spellEnd"/>
      <w:r w:rsidRPr="00E56512">
        <w:rPr>
          <w:rFonts w:ascii="Times New Roman" w:hAnsi="Times New Roman" w:cs="Times New Roman"/>
          <w:sz w:val="24"/>
          <w:szCs w:val="24"/>
        </w:rPr>
        <w:t>]</w:t>
      </w:r>
      <w:proofErr w:type="spellStart"/>
      <w:r w:rsidRPr="00E56512">
        <w:rPr>
          <w:rFonts w:ascii="Times New Roman" w:hAnsi="Times New Roman" w:cs="Times New Roman"/>
          <w:sz w:val="24"/>
          <w:szCs w:val="24"/>
        </w:rPr>
        <w:t>metyl</w:t>
      </w:r>
      <w:proofErr w:type="spellEnd"/>
      <w:r w:rsidRPr="00E56512">
        <w:rPr>
          <w:rFonts w:ascii="Times New Roman" w:hAnsi="Times New Roman" w:cs="Times New Roman"/>
          <w:sz w:val="24"/>
          <w:szCs w:val="24"/>
        </w:rPr>
        <w:t xml:space="preserve">]-5-nitro-1H-benzimidazol-1- </w:t>
      </w:r>
      <w:proofErr w:type="spellStart"/>
      <w:r w:rsidRPr="00E56512">
        <w:rPr>
          <w:rFonts w:ascii="Times New Roman" w:hAnsi="Times New Roman" w:cs="Times New Roman"/>
          <w:sz w:val="24"/>
          <w:szCs w:val="24"/>
        </w:rPr>
        <w:t>etánamín</w:t>
      </w:r>
      <w:proofErr w:type="spellEnd"/>
      <w:r w:rsidRPr="00E56512">
        <w:rPr>
          <w:rFonts w:ascii="Times New Roman" w:hAnsi="Times New Roman" w:cs="Times New Roman"/>
          <w:sz w:val="24"/>
          <w:szCs w:val="24"/>
        </w:rPr>
        <w:t xml:space="preserve"> (</w:t>
      </w:r>
      <w:proofErr w:type="spellStart"/>
      <w:r w:rsidRPr="00E56512">
        <w:rPr>
          <w:rFonts w:ascii="Times New Roman" w:hAnsi="Times New Roman" w:cs="Times New Roman"/>
          <w:sz w:val="24"/>
          <w:szCs w:val="24"/>
        </w:rPr>
        <w:t>izotonitazén</w:t>
      </w:r>
      <w:proofErr w:type="spellEnd"/>
      <w:r w:rsidRPr="00E56512">
        <w:rPr>
          <w:rFonts w:ascii="Times New Roman" w:hAnsi="Times New Roman" w:cs="Times New Roman"/>
          <w:sz w:val="24"/>
          <w:szCs w:val="24"/>
        </w:rPr>
        <w:t xml:space="preserve">) do vymedzenia pojmu drogy (Ú. v. EÚ L 178, 20. 5. 2021), (ďalej len „delegovaná smernica Komisie (EÚ) 2021/802 z 12. marca 2021“). </w:t>
      </w:r>
      <w:r>
        <w:rPr>
          <w:rFonts w:ascii="Times New Roman" w:hAnsi="Times New Roman" w:cs="Times New Roman"/>
          <w:sz w:val="24"/>
          <w:szCs w:val="24"/>
        </w:rPr>
        <w:t xml:space="preserve">Vzhľadom na to, že </w:t>
      </w:r>
      <w:proofErr w:type="spellStart"/>
      <w:r>
        <w:rPr>
          <w:rFonts w:ascii="Times New Roman" w:hAnsi="Times New Roman" w:cs="Times New Roman"/>
          <w:sz w:val="24"/>
          <w:szCs w:val="24"/>
        </w:rPr>
        <w:t>I</w:t>
      </w:r>
      <w:r w:rsidRPr="00E56512">
        <w:rPr>
          <w:rFonts w:ascii="Times New Roman" w:hAnsi="Times New Roman" w:cs="Times New Roman"/>
          <w:sz w:val="24"/>
          <w:szCs w:val="24"/>
        </w:rPr>
        <w:t>zotonitazén</w:t>
      </w:r>
      <w:proofErr w:type="spellEnd"/>
      <w:r w:rsidRPr="00E56512">
        <w:rPr>
          <w:rFonts w:ascii="Times New Roman" w:hAnsi="Times New Roman" w:cs="Times New Roman"/>
          <w:sz w:val="24"/>
          <w:szCs w:val="24"/>
        </w:rPr>
        <w:t xml:space="preserve"> sa nepoužíva pri liečbe, navrhuje sa v súlade s § 3 ods. 2 zákona  č. 139/1998 Z. z. o omamných látkach, psychotropných látkach a prípravkoch v znení neskorších predpisov (ďalej len „§ 3 ods. 2 zákona“) </w:t>
      </w:r>
      <w:r>
        <w:rPr>
          <w:rFonts w:ascii="Times New Roman" w:hAnsi="Times New Roman" w:cs="Times New Roman"/>
          <w:sz w:val="24"/>
          <w:szCs w:val="24"/>
        </w:rPr>
        <w:t xml:space="preserve">vyradiť </w:t>
      </w:r>
      <w:proofErr w:type="spellStart"/>
      <w:r>
        <w:rPr>
          <w:rFonts w:ascii="Times New Roman" w:hAnsi="Times New Roman" w:cs="Times New Roman"/>
          <w:sz w:val="24"/>
          <w:szCs w:val="24"/>
        </w:rPr>
        <w:t>I</w:t>
      </w:r>
      <w:r w:rsidRPr="00E56512">
        <w:rPr>
          <w:rFonts w:ascii="Times New Roman" w:hAnsi="Times New Roman" w:cs="Times New Roman"/>
          <w:sz w:val="24"/>
          <w:szCs w:val="24"/>
        </w:rPr>
        <w:t>zotonitazén</w:t>
      </w:r>
      <w:proofErr w:type="spellEnd"/>
      <w:r w:rsidRPr="00E56512">
        <w:rPr>
          <w:rFonts w:ascii="Times New Roman" w:hAnsi="Times New Roman" w:cs="Times New Roman"/>
          <w:sz w:val="24"/>
          <w:szCs w:val="24"/>
        </w:rPr>
        <w:t xml:space="preserve"> z II. skupiny omamných látok a zaradiť túto látku do I. skupiny omamných látok. Látka spôsobuje eufóriu, má podobné vlastnosti ako </w:t>
      </w:r>
      <w:proofErr w:type="spellStart"/>
      <w:r w:rsidRPr="00E56512">
        <w:rPr>
          <w:rFonts w:ascii="Times New Roman" w:hAnsi="Times New Roman" w:cs="Times New Roman"/>
          <w:sz w:val="24"/>
          <w:szCs w:val="24"/>
        </w:rPr>
        <w:t>ópioidové</w:t>
      </w:r>
      <w:proofErr w:type="spellEnd"/>
      <w:r w:rsidRPr="00E56512">
        <w:rPr>
          <w:rFonts w:ascii="Times New Roman" w:hAnsi="Times New Roman" w:cs="Times New Roman"/>
          <w:sz w:val="24"/>
          <w:szCs w:val="24"/>
        </w:rPr>
        <w:t xml:space="preserve"> analgetiká (</w:t>
      </w:r>
      <w:proofErr w:type="spellStart"/>
      <w:r w:rsidRPr="00E56512">
        <w:rPr>
          <w:rFonts w:ascii="Times New Roman" w:hAnsi="Times New Roman" w:cs="Times New Roman"/>
          <w:sz w:val="24"/>
          <w:szCs w:val="24"/>
        </w:rPr>
        <w:t>anodyná</w:t>
      </w:r>
      <w:proofErr w:type="spellEnd"/>
      <w:r w:rsidRPr="00E56512">
        <w:rPr>
          <w:rFonts w:ascii="Times New Roman" w:hAnsi="Times New Roman" w:cs="Times New Roman"/>
          <w:sz w:val="24"/>
          <w:szCs w:val="24"/>
        </w:rPr>
        <w:t xml:space="preserve">), ktoré sa používajú ako lieky a sú zaradené do II. skupiny omamných látok. </w:t>
      </w:r>
      <w:r w:rsidRPr="00E56512">
        <w:rPr>
          <w:rFonts w:ascii="Times New Roman" w:hAnsi="Times New Roman" w:cs="Times New Roman"/>
          <w:sz w:val="24"/>
          <w:szCs w:val="24"/>
          <w:lang w:eastAsia="sk-SK"/>
        </w:rPr>
        <w:t xml:space="preserve">Podľa zákona č. 362/2011 Z. z. o liekoch a zdravotníckych pomôckach a o zmene a doplnení niektorých zákonov v znení neskorších predpisov (ďalej len „zákon č. 362/2011 Z. z.“) </w:t>
      </w:r>
      <w:r w:rsidRPr="00E56512">
        <w:rPr>
          <w:rFonts w:ascii="Times New Roman" w:hAnsi="Times New Roman" w:cs="Times New Roman"/>
          <w:sz w:val="24"/>
          <w:szCs w:val="24"/>
        </w:rPr>
        <w:t xml:space="preserve">sa predpisujú na osobitné tlačivá lekárskych predpisov so šikmým modrým pruhom s dvomi kópiami, aby sa zabezpečila evidencia a kontrola vydaných liekov z ich obsahom. Je nebezpečné, aby sa takáto omamná látka voľne predávala na ulici a vyrábala sa nezákonnými subjektmi. </w:t>
      </w:r>
    </w:p>
    <w:p w14:paraId="3512B2B5" w14:textId="77777777" w:rsidR="00F6233C" w:rsidRPr="00E56512" w:rsidRDefault="00F6233C" w:rsidP="00357B90">
      <w:pPr>
        <w:pStyle w:val="Standard"/>
        <w:spacing w:after="0" w:line="360" w:lineRule="auto"/>
        <w:ind w:firstLine="708"/>
        <w:contextualSpacing/>
        <w:rPr>
          <w:rFonts w:ascii="Times New Roman" w:hAnsi="Times New Roman" w:cs="Times New Roman"/>
          <w:sz w:val="24"/>
          <w:szCs w:val="24"/>
        </w:rPr>
      </w:pPr>
    </w:p>
    <w:p w14:paraId="295E8F24" w14:textId="77777777" w:rsidR="00F6233C" w:rsidRPr="00E56512" w:rsidRDefault="00F6233C" w:rsidP="00357B90">
      <w:pPr>
        <w:pStyle w:val="Textbody"/>
        <w:spacing w:after="0" w:line="360" w:lineRule="auto"/>
        <w:rPr>
          <w:rFonts w:ascii="Times New Roman" w:hAnsi="Times New Roman" w:cs="Times New Roman"/>
          <w:sz w:val="24"/>
          <w:szCs w:val="24"/>
          <w:lang w:eastAsia="sk-SK"/>
        </w:rPr>
      </w:pPr>
      <w:r w:rsidRPr="00E56512">
        <w:rPr>
          <w:rFonts w:ascii="Times New Roman" w:hAnsi="Times New Roman" w:cs="Times New Roman"/>
          <w:sz w:val="24"/>
          <w:szCs w:val="24"/>
          <w:lang w:eastAsia="sk-SK"/>
        </w:rPr>
        <w:t>K bodu 2</w:t>
      </w:r>
    </w:p>
    <w:p w14:paraId="2BA62A33" w14:textId="4680069B" w:rsidR="00F6233C" w:rsidRDefault="00F6233C" w:rsidP="00357B90">
      <w:pPr>
        <w:autoSpaceDE w:val="0"/>
        <w:adjustRightInd w:val="0"/>
        <w:spacing w:line="360" w:lineRule="auto"/>
        <w:ind w:firstLine="709"/>
        <w:jc w:val="both"/>
        <w:rPr>
          <w:rFonts w:eastAsiaTheme="minorHAnsi"/>
        </w:rPr>
      </w:pPr>
      <w:r w:rsidRPr="00E56512">
        <w:t xml:space="preserve">Ministerstva vnútra SR navrhlo látku Alfa D2PV zaradiť do skupiny I.  psychotropných látok. Je to </w:t>
      </w:r>
      <w:r w:rsidRPr="00E56512">
        <w:rPr>
          <w:rFonts w:eastAsiaTheme="minorHAnsi"/>
        </w:rPr>
        <w:t xml:space="preserve">nová </w:t>
      </w:r>
      <w:proofErr w:type="spellStart"/>
      <w:r w:rsidRPr="00E56512">
        <w:rPr>
          <w:rFonts w:eastAsiaTheme="minorHAnsi"/>
        </w:rPr>
        <w:t>psychoaktívna</w:t>
      </w:r>
      <w:proofErr w:type="spellEnd"/>
      <w:r w:rsidRPr="00E56512">
        <w:rPr>
          <w:rFonts w:eastAsiaTheme="minorHAnsi"/>
        </w:rPr>
        <w:t xml:space="preserve"> látka dostupná vo forme väčších kryštálov hnedej farby. Okrem stimulačného účinku vyvoláva stratu vedomia a zhoršenie kognitívnych a motorických funkcií ako aj halucinácie opakujúce sa aj v čase, keď lázka nebola konzumovaná, tzv. </w:t>
      </w:r>
      <w:proofErr w:type="spellStart"/>
      <w:r w:rsidRPr="00E56512">
        <w:rPr>
          <w:rFonts w:eastAsiaTheme="minorHAnsi"/>
        </w:rPr>
        <w:t>flashback</w:t>
      </w:r>
      <w:proofErr w:type="spellEnd"/>
      <w:r w:rsidRPr="00E56512">
        <w:rPr>
          <w:rFonts w:eastAsiaTheme="minorHAnsi"/>
        </w:rPr>
        <w:t xml:space="preserve">. Neexistujú žiadne kontrolované štúdie o jeho liečebnom alebo priemyselnom využití. </w:t>
      </w:r>
    </w:p>
    <w:p w14:paraId="388A3CD4" w14:textId="77777777" w:rsidR="00357B90" w:rsidRPr="00E56512" w:rsidRDefault="00357B90" w:rsidP="00357B90">
      <w:pPr>
        <w:autoSpaceDE w:val="0"/>
        <w:adjustRightInd w:val="0"/>
        <w:spacing w:line="360" w:lineRule="auto"/>
        <w:ind w:firstLine="709"/>
        <w:jc w:val="both"/>
      </w:pPr>
    </w:p>
    <w:p w14:paraId="20ADC35E" w14:textId="77777777" w:rsidR="00F6233C" w:rsidRPr="00E56512" w:rsidRDefault="00F6233C" w:rsidP="00357B90">
      <w:pPr>
        <w:pStyle w:val="Nzov"/>
        <w:spacing w:line="360" w:lineRule="auto"/>
        <w:contextualSpacing/>
        <w:jc w:val="both"/>
      </w:pPr>
      <w:r w:rsidRPr="00E56512">
        <w:rPr>
          <w:b w:val="0"/>
        </w:rPr>
        <w:t>K bodu 3</w:t>
      </w:r>
    </w:p>
    <w:p w14:paraId="452CA2A6" w14:textId="77777777" w:rsidR="00F6233C" w:rsidRPr="00E56512" w:rsidRDefault="00F6233C" w:rsidP="00357B90">
      <w:pPr>
        <w:pStyle w:val="Textbody"/>
        <w:spacing w:after="0" w:line="360" w:lineRule="auto"/>
        <w:ind w:firstLine="709"/>
        <w:rPr>
          <w:rFonts w:ascii="Times New Roman" w:hAnsi="Times New Roman" w:cs="Times New Roman"/>
          <w:sz w:val="24"/>
          <w:szCs w:val="24"/>
        </w:rPr>
      </w:pPr>
      <w:r w:rsidRPr="00E56512">
        <w:rPr>
          <w:rFonts w:ascii="Times New Roman" w:hAnsi="Times New Roman" w:cs="Times New Roman"/>
          <w:sz w:val="24"/>
          <w:szCs w:val="24"/>
        </w:rPr>
        <w:lastRenderedPageBreak/>
        <w:t xml:space="preserve">Na základe rozhodnutia prijatého na 64. zasadnutí Komisie pre omamné látky Úradu OSN pre omamné látky a kriminalitu v dňoch 12. 4. až 16. 4. 2021 sa zaraďujú do skupiny I. psychotropných látok dve nové látky: </w:t>
      </w:r>
      <w:proofErr w:type="spellStart"/>
      <w:r w:rsidRPr="00E56512">
        <w:rPr>
          <w:rFonts w:ascii="Times New Roman" w:hAnsi="Times New Roman" w:cs="Times New Roman"/>
          <w:sz w:val="24"/>
          <w:szCs w:val="24"/>
        </w:rPr>
        <w:t>difenidín</w:t>
      </w:r>
      <w:proofErr w:type="spellEnd"/>
      <w:r w:rsidRPr="00E56512">
        <w:rPr>
          <w:rFonts w:ascii="Times New Roman" w:hAnsi="Times New Roman" w:cs="Times New Roman"/>
          <w:sz w:val="24"/>
          <w:szCs w:val="24"/>
        </w:rPr>
        <w:t xml:space="preserve"> a </w:t>
      </w:r>
      <w:proofErr w:type="spellStart"/>
      <w:r w:rsidRPr="00E56512">
        <w:rPr>
          <w:rFonts w:ascii="Times New Roman" w:hAnsi="Times New Roman" w:cs="Times New Roman"/>
          <w:sz w:val="24"/>
          <w:szCs w:val="24"/>
        </w:rPr>
        <w:t>diklazepam</w:t>
      </w:r>
      <w:proofErr w:type="spellEnd"/>
      <w:r w:rsidRPr="00E56512">
        <w:rPr>
          <w:rFonts w:ascii="Times New Roman" w:hAnsi="Times New Roman" w:cs="Times New Roman"/>
          <w:sz w:val="24"/>
          <w:szCs w:val="24"/>
        </w:rPr>
        <w:t xml:space="preserve">. Ani jedna z týchto látok nemá terapeutické použitie a preto sa v súlade s § 3 ods. 2 zákona navrhujú zaradiť do I. skupiny psychotropných látok. Svetová zdravotnícka organizácia vo svojom stanovisku uviedla, že </w:t>
      </w:r>
      <w:proofErr w:type="spellStart"/>
      <w:r w:rsidRPr="00E56512">
        <w:rPr>
          <w:rFonts w:ascii="Times New Roman" w:hAnsi="Times New Roman" w:cs="Times New Roman"/>
          <w:sz w:val="24"/>
          <w:szCs w:val="24"/>
        </w:rPr>
        <w:t>difenidín</w:t>
      </w:r>
      <w:proofErr w:type="spellEnd"/>
      <w:r w:rsidRPr="00E56512">
        <w:rPr>
          <w:rFonts w:ascii="Times New Roman" w:hAnsi="Times New Roman" w:cs="Times New Roman"/>
          <w:sz w:val="24"/>
          <w:szCs w:val="24"/>
        </w:rPr>
        <w:t xml:space="preserve"> a </w:t>
      </w:r>
      <w:proofErr w:type="spellStart"/>
      <w:r w:rsidRPr="00E56512">
        <w:rPr>
          <w:rFonts w:ascii="Times New Roman" w:hAnsi="Times New Roman" w:cs="Times New Roman"/>
          <w:sz w:val="24"/>
          <w:szCs w:val="24"/>
        </w:rPr>
        <w:t>diklazepam</w:t>
      </w:r>
      <w:proofErr w:type="spellEnd"/>
      <w:r w:rsidRPr="00E56512">
        <w:rPr>
          <w:rFonts w:ascii="Times New Roman" w:hAnsi="Times New Roman" w:cs="Times New Roman"/>
          <w:sz w:val="24"/>
          <w:szCs w:val="24"/>
        </w:rPr>
        <w:t xml:space="preserve">, ak sa vyrábajú nezákonne predstavujú  riziko  pre verejné zdravie. </w:t>
      </w:r>
    </w:p>
    <w:p w14:paraId="5C68884E" w14:textId="77777777" w:rsidR="00F6233C" w:rsidRPr="00E56512" w:rsidRDefault="00F6233C" w:rsidP="00357B90">
      <w:pPr>
        <w:pStyle w:val="Textbody"/>
        <w:spacing w:after="0" w:line="360" w:lineRule="auto"/>
        <w:ind w:firstLine="709"/>
        <w:rPr>
          <w:rFonts w:ascii="Times New Roman" w:hAnsi="Times New Roman" w:cs="Times New Roman"/>
          <w:sz w:val="24"/>
          <w:szCs w:val="24"/>
        </w:rPr>
      </w:pPr>
    </w:p>
    <w:p w14:paraId="3141F58C" w14:textId="77777777" w:rsidR="00F6233C" w:rsidRPr="00E56512" w:rsidRDefault="00F6233C" w:rsidP="00357B90">
      <w:pPr>
        <w:pStyle w:val="Nzov"/>
        <w:spacing w:line="360" w:lineRule="auto"/>
        <w:ind w:hanging="47"/>
        <w:contextualSpacing/>
        <w:jc w:val="both"/>
        <w:rPr>
          <w:b w:val="0"/>
        </w:rPr>
      </w:pPr>
      <w:r w:rsidRPr="00E56512">
        <w:rPr>
          <w:b w:val="0"/>
        </w:rPr>
        <w:t>K bodu 4</w:t>
      </w:r>
    </w:p>
    <w:p w14:paraId="4A75D433" w14:textId="77777777" w:rsidR="00F6233C" w:rsidRPr="00E56512" w:rsidRDefault="00F6233C" w:rsidP="00357B90">
      <w:pPr>
        <w:autoSpaceDE w:val="0"/>
        <w:adjustRightInd w:val="0"/>
        <w:spacing w:line="360" w:lineRule="auto"/>
        <w:ind w:firstLine="708"/>
        <w:jc w:val="both"/>
      </w:pPr>
      <w:r w:rsidRPr="00E56512">
        <w:rPr>
          <w:rFonts w:eastAsiaTheme="minorHAnsi"/>
        </w:rPr>
        <w:t xml:space="preserve">Látka </w:t>
      </w:r>
      <w:proofErr w:type="spellStart"/>
      <w:r w:rsidRPr="00E56512">
        <w:rPr>
          <w:rFonts w:eastAsiaTheme="minorHAnsi"/>
        </w:rPr>
        <w:t>efenidín</w:t>
      </w:r>
      <w:proofErr w:type="spellEnd"/>
      <w:r w:rsidRPr="00E56512">
        <w:rPr>
          <w:rFonts w:eastAsiaTheme="minorHAnsi"/>
        </w:rPr>
        <w:t xml:space="preserve"> je menej známa nová </w:t>
      </w:r>
      <w:proofErr w:type="spellStart"/>
      <w:r w:rsidRPr="00E56512">
        <w:rPr>
          <w:rFonts w:eastAsiaTheme="minorHAnsi"/>
        </w:rPr>
        <w:t>disociačná</w:t>
      </w:r>
      <w:proofErr w:type="spellEnd"/>
      <w:r w:rsidRPr="00E56512">
        <w:rPr>
          <w:rFonts w:eastAsiaTheme="minorHAnsi"/>
        </w:rPr>
        <w:t xml:space="preserve"> látka z triedy </w:t>
      </w:r>
      <w:proofErr w:type="spellStart"/>
      <w:r w:rsidRPr="00E56512">
        <w:rPr>
          <w:rFonts w:eastAsiaTheme="minorHAnsi"/>
        </w:rPr>
        <w:t>diaryletylamínov</w:t>
      </w:r>
      <w:proofErr w:type="spellEnd"/>
      <w:r w:rsidRPr="00E56512">
        <w:rPr>
          <w:rFonts w:eastAsiaTheme="minorHAnsi"/>
        </w:rPr>
        <w:t xml:space="preserve"> štrukturálne je príbuzná s </w:t>
      </w:r>
      <w:proofErr w:type="spellStart"/>
      <w:r w:rsidRPr="00E56512">
        <w:rPr>
          <w:rFonts w:eastAsiaTheme="minorHAnsi"/>
        </w:rPr>
        <w:t>diaryletylamínmi</w:t>
      </w:r>
      <w:proofErr w:type="spellEnd"/>
      <w:r w:rsidRPr="00E56512">
        <w:rPr>
          <w:rFonts w:eastAsiaTheme="minorHAnsi"/>
        </w:rPr>
        <w:t xml:space="preserve">, napr.: </w:t>
      </w:r>
      <w:proofErr w:type="spellStart"/>
      <w:r w:rsidRPr="00E56512">
        <w:rPr>
          <w:rFonts w:eastAsiaTheme="minorHAnsi"/>
        </w:rPr>
        <w:t>difenidínom</w:t>
      </w:r>
      <w:proofErr w:type="spellEnd"/>
      <w:r w:rsidRPr="00E56512">
        <w:rPr>
          <w:rFonts w:eastAsiaTheme="minorHAnsi"/>
        </w:rPr>
        <w:t xml:space="preserve"> a </w:t>
      </w:r>
      <w:proofErr w:type="spellStart"/>
      <w:r w:rsidRPr="00E56512">
        <w:rPr>
          <w:rFonts w:eastAsiaTheme="minorHAnsi"/>
        </w:rPr>
        <w:t>metoxfenidínom</w:t>
      </w:r>
      <w:proofErr w:type="spellEnd"/>
      <w:r w:rsidRPr="00E56512">
        <w:rPr>
          <w:rFonts w:eastAsiaTheme="minorHAnsi"/>
        </w:rPr>
        <w:t xml:space="preserve">. Účinky konzumácie sú útlm, halucinácie, anestézia, </w:t>
      </w:r>
      <w:proofErr w:type="spellStart"/>
      <w:r w:rsidRPr="00E56512">
        <w:rPr>
          <w:rFonts w:eastAsiaTheme="minorHAnsi"/>
        </w:rPr>
        <w:t>disociačná</w:t>
      </w:r>
      <w:proofErr w:type="spellEnd"/>
      <w:r w:rsidRPr="00E56512">
        <w:rPr>
          <w:rFonts w:eastAsiaTheme="minorHAnsi"/>
        </w:rPr>
        <w:t xml:space="preserve"> anestézia (stavy mimo tela), poruchy pamäte atď. Neexistujú žiadne kontrolované štúdie o jeho liečebnom alebo priemyselnom využití. Navrhované zaradenie – I. skupina, omamné látky. </w:t>
      </w:r>
      <w:r w:rsidRPr="00E56512">
        <w:t xml:space="preserve">Ministerstvo vnútra SR  navrhuje zaradiť túto látku do I. skupiny omamných látok. S prihliadnutím na ustanovenie § 3 ods. 2 zákona Ministerstvo zdravotníctva SR navrhuje zaradenie látky do I. skupiny psychotropných látok.    </w:t>
      </w:r>
    </w:p>
    <w:p w14:paraId="255A884A" w14:textId="77777777" w:rsidR="00F6233C" w:rsidRPr="00E56512" w:rsidRDefault="00F6233C" w:rsidP="00357B90">
      <w:pPr>
        <w:pStyle w:val="Nzov"/>
        <w:spacing w:line="360" w:lineRule="auto"/>
        <w:ind w:hanging="47"/>
        <w:contextualSpacing/>
        <w:jc w:val="both"/>
        <w:rPr>
          <w:b w:val="0"/>
        </w:rPr>
      </w:pPr>
    </w:p>
    <w:p w14:paraId="1D2B379B" w14:textId="77777777" w:rsidR="00F6233C" w:rsidRPr="00E56512" w:rsidRDefault="00F6233C" w:rsidP="00357B90">
      <w:pPr>
        <w:pStyle w:val="Nzov"/>
        <w:spacing w:line="360" w:lineRule="auto"/>
        <w:ind w:hanging="47"/>
        <w:contextualSpacing/>
        <w:jc w:val="both"/>
        <w:rPr>
          <w:b w:val="0"/>
        </w:rPr>
      </w:pPr>
      <w:r w:rsidRPr="00E56512">
        <w:rPr>
          <w:b w:val="0"/>
        </w:rPr>
        <w:t>K bodu 5</w:t>
      </w:r>
    </w:p>
    <w:p w14:paraId="1E00FC0B" w14:textId="77777777" w:rsidR="00F6233C" w:rsidRPr="00E56512" w:rsidRDefault="00F6233C" w:rsidP="00357B90">
      <w:pPr>
        <w:autoSpaceDE w:val="0"/>
        <w:adjustRightInd w:val="0"/>
        <w:spacing w:line="360" w:lineRule="auto"/>
        <w:ind w:firstLine="708"/>
        <w:jc w:val="both"/>
        <w:rPr>
          <w:rFonts w:eastAsiaTheme="minorHAnsi"/>
        </w:rPr>
      </w:pPr>
      <w:r w:rsidRPr="00E56512">
        <w:t xml:space="preserve">Ministerstva vnútra SR navrhlo látku </w:t>
      </w:r>
      <w:proofErr w:type="spellStart"/>
      <w:r w:rsidRPr="00E56512">
        <w:t>eutylón</w:t>
      </w:r>
      <w:proofErr w:type="spellEnd"/>
      <w:r w:rsidRPr="00E56512">
        <w:t xml:space="preserve"> zaradiť do skupiny I.  psychotropných látok. J</w:t>
      </w:r>
      <w:r w:rsidRPr="00E56512">
        <w:rPr>
          <w:rFonts w:eastAsiaTheme="minorHAnsi"/>
        </w:rPr>
        <w:t xml:space="preserve">e stimulačnou látkou zo skupiny </w:t>
      </w:r>
      <w:proofErr w:type="spellStart"/>
      <w:r w:rsidRPr="00E56512">
        <w:rPr>
          <w:rFonts w:eastAsiaTheme="minorHAnsi"/>
        </w:rPr>
        <w:t>katinónov</w:t>
      </w:r>
      <w:proofErr w:type="spellEnd"/>
      <w:r w:rsidRPr="00E56512">
        <w:rPr>
          <w:rFonts w:eastAsiaTheme="minorHAnsi"/>
        </w:rPr>
        <w:t xml:space="preserve">. Je dostupná vo forme bielych kryštálov, vôňou pripomína 3-CMC, 4-CMC alebo 3-MMC. Účinky konzumácie </w:t>
      </w:r>
      <w:proofErr w:type="spellStart"/>
      <w:r w:rsidRPr="00E56512">
        <w:rPr>
          <w:rFonts w:eastAsiaTheme="minorHAnsi"/>
        </w:rPr>
        <w:t>eutylónu</w:t>
      </w:r>
      <w:proofErr w:type="spellEnd"/>
      <w:r w:rsidRPr="00E56512">
        <w:rPr>
          <w:rFonts w:eastAsiaTheme="minorHAnsi"/>
        </w:rPr>
        <w:t xml:space="preserve"> sú podobné ako u </w:t>
      </w:r>
      <w:proofErr w:type="spellStart"/>
      <w:r w:rsidRPr="00E56512">
        <w:rPr>
          <w:rFonts w:eastAsiaTheme="minorHAnsi"/>
        </w:rPr>
        <w:t>amfetamínov</w:t>
      </w:r>
      <w:proofErr w:type="spellEnd"/>
      <w:r w:rsidRPr="00E56512">
        <w:rPr>
          <w:rFonts w:eastAsiaTheme="minorHAnsi"/>
        </w:rPr>
        <w:t xml:space="preserve"> a iných </w:t>
      </w:r>
      <w:proofErr w:type="spellStart"/>
      <w:r w:rsidRPr="00E56512">
        <w:rPr>
          <w:rFonts w:eastAsiaTheme="minorHAnsi"/>
        </w:rPr>
        <w:t>stimulantov</w:t>
      </w:r>
      <w:proofErr w:type="spellEnd"/>
      <w:r w:rsidRPr="00E56512">
        <w:rPr>
          <w:rFonts w:eastAsiaTheme="minorHAnsi"/>
        </w:rPr>
        <w:t xml:space="preserve">, t. j. má stimulujúce účinky, potláča chuť do jedla, spôsobuje dehydratáciu halucinácie, psychózy a záchvaty. Neexistujú žiadne kontrolované štúdie o jeho liečebnom alebo priemyselnom využití. </w:t>
      </w:r>
      <w:r w:rsidRPr="00E56512">
        <w:t xml:space="preserve">Na základe návrhu Ministerstva vnútra SR sa látka </w:t>
      </w:r>
      <w:r w:rsidRPr="00E56512">
        <w:rPr>
          <w:rFonts w:eastAsiaTheme="minorHAnsi"/>
          <w:bCs/>
        </w:rPr>
        <w:t xml:space="preserve">3-fluórfenmetrazín navrhuje zaradiť </w:t>
      </w:r>
      <w:r w:rsidRPr="00E56512">
        <w:t>do skupiny I.  psychotropných látok. Látka je d</w:t>
      </w:r>
      <w:r w:rsidRPr="00E56512">
        <w:rPr>
          <w:rFonts w:eastAsiaTheme="minorHAnsi"/>
        </w:rPr>
        <w:t xml:space="preserve">ostupná vo forme bieleho kryštalického prášku, prípadne v tabletách. 3-fluórfenmetrazín je derivát </w:t>
      </w:r>
      <w:proofErr w:type="spellStart"/>
      <w:r w:rsidRPr="00E56512">
        <w:rPr>
          <w:rFonts w:eastAsiaTheme="minorHAnsi"/>
        </w:rPr>
        <w:t>fenmetrazínu</w:t>
      </w:r>
      <w:proofErr w:type="spellEnd"/>
      <w:r w:rsidRPr="00E56512">
        <w:rPr>
          <w:rFonts w:eastAsiaTheme="minorHAnsi"/>
        </w:rPr>
        <w:t xml:space="preserve">, látky </w:t>
      </w:r>
      <w:proofErr w:type="spellStart"/>
      <w:r w:rsidRPr="00E56512">
        <w:rPr>
          <w:rFonts w:eastAsiaTheme="minorHAnsi"/>
        </w:rPr>
        <w:t>amfetamínového</w:t>
      </w:r>
      <w:proofErr w:type="spellEnd"/>
      <w:r w:rsidRPr="00E56512">
        <w:rPr>
          <w:rFonts w:eastAsiaTheme="minorHAnsi"/>
        </w:rPr>
        <w:t xml:space="preserve"> typu, ktorý je zaradená do skupiny II psychotropných látok a je uvedená v zozname II Dohovoru OSN o psychotropných látkach z roku 1971. U ľudí sú jej účinky podobné účinkom </w:t>
      </w:r>
      <w:proofErr w:type="spellStart"/>
      <w:r w:rsidRPr="00E56512">
        <w:rPr>
          <w:rFonts w:eastAsiaTheme="minorHAnsi"/>
        </w:rPr>
        <w:t>amfetamínu</w:t>
      </w:r>
      <w:proofErr w:type="spellEnd"/>
      <w:r w:rsidRPr="00E56512">
        <w:rPr>
          <w:rFonts w:eastAsiaTheme="minorHAnsi"/>
        </w:rPr>
        <w:t xml:space="preserve">, t. j. má stimulačné účinky, zvyšuje zhovorčivosť, vyvoláva nespavosť a pod. Medzi nežiaduce fyzické účinky patrí </w:t>
      </w:r>
      <w:proofErr w:type="spellStart"/>
      <w:r w:rsidRPr="00E56512">
        <w:rPr>
          <w:rFonts w:eastAsiaTheme="minorHAnsi"/>
        </w:rPr>
        <w:t>tachykardia</w:t>
      </w:r>
      <w:proofErr w:type="spellEnd"/>
      <w:r w:rsidRPr="00E56512">
        <w:rPr>
          <w:rFonts w:eastAsiaTheme="minorHAnsi"/>
        </w:rPr>
        <w:t xml:space="preserve">, delírium a vznik záchvatov. Neexistujú žiadne kontrolované štúdie o jej liečebnom alebo priemyselnom využití, preto sa navrhuje zaradenie </w:t>
      </w:r>
      <w:r w:rsidRPr="00E56512">
        <w:t>do skupiny I.  psychotropných látok</w:t>
      </w:r>
      <w:r w:rsidRPr="00E56512">
        <w:rPr>
          <w:rFonts w:eastAsiaTheme="minorHAnsi"/>
        </w:rPr>
        <w:t xml:space="preserve">. </w:t>
      </w:r>
      <w:r w:rsidRPr="00E56512">
        <w:t xml:space="preserve">Ministerstva vnútra SR  navrhuje zaradiť túto látku do I. skupiny omamných látok. </w:t>
      </w:r>
      <w:r w:rsidRPr="00E56512">
        <w:lastRenderedPageBreak/>
        <w:t xml:space="preserve">S prihliadnutím na ustanovenie § 3 ods. 2 zákona Ministerstvo zdravotníctva SR navrhuje zaradenie látky do I. skupiny psychotropných látok. </w:t>
      </w:r>
    </w:p>
    <w:p w14:paraId="26D1F775" w14:textId="77777777" w:rsidR="00F6233C" w:rsidRPr="00E56512" w:rsidRDefault="00F6233C" w:rsidP="00357B90">
      <w:pPr>
        <w:pStyle w:val="Nzov"/>
        <w:spacing w:line="360" w:lineRule="auto"/>
        <w:contextualSpacing/>
        <w:jc w:val="both"/>
        <w:rPr>
          <w:b w:val="0"/>
        </w:rPr>
      </w:pPr>
    </w:p>
    <w:p w14:paraId="600F0597" w14:textId="77777777" w:rsidR="00F6233C" w:rsidRPr="00E56512" w:rsidRDefault="00F6233C" w:rsidP="00357B90">
      <w:pPr>
        <w:pStyle w:val="Nzov"/>
        <w:spacing w:line="360" w:lineRule="auto"/>
        <w:contextualSpacing/>
        <w:jc w:val="both"/>
      </w:pPr>
      <w:r w:rsidRPr="00E56512">
        <w:rPr>
          <w:b w:val="0"/>
        </w:rPr>
        <w:t>K bodu 6</w:t>
      </w:r>
    </w:p>
    <w:p w14:paraId="3B5653A3" w14:textId="77777777" w:rsidR="00F6233C" w:rsidRDefault="00F6233C" w:rsidP="00357B90">
      <w:pPr>
        <w:pStyle w:val="Textbody"/>
        <w:spacing w:line="360" w:lineRule="auto"/>
        <w:ind w:firstLine="708"/>
        <w:rPr>
          <w:rFonts w:ascii="Times New Roman" w:hAnsi="Times New Roman" w:cs="Times New Roman"/>
          <w:sz w:val="24"/>
          <w:szCs w:val="24"/>
          <w:lang w:eastAsia="sk-SK"/>
        </w:rPr>
      </w:pPr>
      <w:r w:rsidRPr="00AC0B6C">
        <w:rPr>
          <w:rFonts w:ascii="Times New Roman" w:hAnsi="Times New Roman" w:cs="Times New Roman"/>
          <w:sz w:val="24"/>
          <w:szCs w:val="24"/>
          <w:lang w:eastAsia="sk-SK"/>
        </w:rPr>
        <w:t xml:space="preserve">V prílohe č. 1 I. skupine psychotropných látok sa opravuje znenie riadku „4F-MBMB-BINACA, 4F-MBMB-BINACA, chemicky </w:t>
      </w:r>
      <w:proofErr w:type="spellStart"/>
      <w:r w:rsidRPr="00AC0B6C">
        <w:rPr>
          <w:rFonts w:ascii="Times New Roman" w:hAnsi="Times New Roman" w:cs="Times New Roman"/>
          <w:sz w:val="24"/>
          <w:szCs w:val="24"/>
          <w:lang w:eastAsia="sk-SK"/>
        </w:rPr>
        <w:t>metyl</w:t>
      </w:r>
      <w:proofErr w:type="spellEnd"/>
      <w:r w:rsidRPr="00AC0B6C">
        <w:rPr>
          <w:rFonts w:ascii="Times New Roman" w:hAnsi="Times New Roman" w:cs="Times New Roman"/>
          <w:sz w:val="24"/>
          <w:szCs w:val="24"/>
          <w:lang w:eastAsia="sk-SK"/>
        </w:rPr>
        <w:t xml:space="preserve"> 2-(1-(4-fluórbutyl)-1H-indazol-3-karboxamido)-3,3-dimetylbutanoá</w:t>
      </w:r>
      <w:r>
        <w:rPr>
          <w:rFonts w:ascii="Times New Roman" w:hAnsi="Times New Roman" w:cs="Times New Roman"/>
          <w:sz w:val="24"/>
          <w:szCs w:val="24"/>
          <w:lang w:eastAsia="sk-SK"/>
        </w:rPr>
        <w:t>t“ tým, že sa z neho vypúšťa duplicitná časť v názve:</w:t>
      </w:r>
      <w:r w:rsidRPr="00AC0B6C">
        <w:rPr>
          <w:rFonts w:ascii="Times New Roman" w:hAnsi="Times New Roman" w:cs="Times New Roman"/>
          <w:sz w:val="24"/>
          <w:szCs w:val="24"/>
          <w:lang w:eastAsia="sk-SK"/>
        </w:rPr>
        <w:t xml:space="preserve"> </w:t>
      </w:r>
      <w:r>
        <w:rPr>
          <w:rFonts w:ascii="Times New Roman" w:hAnsi="Times New Roman" w:cs="Times New Roman"/>
          <w:sz w:val="24"/>
          <w:szCs w:val="24"/>
          <w:lang w:eastAsia="sk-SK"/>
        </w:rPr>
        <w:t>„</w:t>
      </w:r>
      <w:r w:rsidRPr="00AC0B6C">
        <w:rPr>
          <w:rFonts w:ascii="Times New Roman" w:hAnsi="Times New Roman" w:cs="Times New Roman"/>
          <w:sz w:val="24"/>
          <w:szCs w:val="24"/>
          <w:lang w:eastAsia="sk-SK"/>
        </w:rPr>
        <w:t>4F-MBMB-BINACA</w:t>
      </w:r>
      <w:r>
        <w:rPr>
          <w:rFonts w:ascii="Times New Roman" w:hAnsi="Times New Roman" w:cs="Times New Roman"/>
          <w:sz w:val="24"/>
          <w:szCs w:val="24"/>
          <w:lang w:eastAsia="sk-SK"/>
        </w:rPr>
        <w:t>“</w:t>
      </w:r>
      <w:r w:rsidRPr="00AC0B6C">
        <w:rPr>
          <w:rFonts w:ascii="Times New Roman" w:hAnsi="Times New Roman" w:cs="Times New Roman"/>
          <w:sz w:val="24"/>
          <w:szCs w:val="24"/>
          <w:lang w:eastAsia="sk-SK"/>
        </w:rPr>
        <w:t>.</w:t>
      </w:r>
    </w:p>
    <w:p w14:paraId="79D36FA0" w14:textId="77777777" w:rsidR="00F6233C" w:rsidRPr="00E56512" w:rsidRDefault="00F6233C" w:rsidP="00357B90">
      <w:pPr>
        <w:pStyle w:val="Textbody"/>
        <w:rPr>
          <w:rFonts w:ascii="Times New Roman" w:hAnsi="Times New Roman" w:cs="Times New Roman"/>
          <w:sz w:val="24"/>
          <w:szCs w:val="24"/>
          <w:lang w:eastAsia="sk-SK"/>
        </w:rPr>
      </w:pPr>
    </w:p>
    <w:p w14:paraId="3F6E3E0B" w14:textId="77777777" w:rsidR="00F6233C" w:rsidRPr="00E56512" w:rsidRDefault="00F6233C" w:rsidP="00357B90">
      <w:pPr>
        <w:pStyle w:val="Textbody"/>
        <w:rPr>
          <w:rFonts w:ascii="Times New Roman" w:hAnsi="Times New Roman" w:cs="Times New Roman"/>
          <w:sz w:val="24"/>
          <w:szCs w:val="24"/>
          <w:lang w:eastAsia="sk-SK"/>
        </w:rPr>
      </w:pPr>
      <w:r w:rsidRPr="00E56512">
        <w:rPr>
          <w:rFonts w:ascii="Times New Roman" w:hAnsi="Times New Roman" w:cs="Times New Roman"/>
          <w:sz w:val="24"/>
          <w:szCs w:val="24"/>
          <w:lang w:eastAsia="sk-SK"/>
        </w:rPr>
        <w:t xml:space="preserve">K bodu 7 </w:t>
      </w:r>
    </w:p>
    <w:p w14:paraId="034EFBA6" w14:textId="77777777" w:rsidR="00F6233C" w:rsidRDefault="00F6233C" w:rsidP="00357B90">
      <w:pPr>
        <w:pStyle w:val="Textbody"/>
        <w:spacing w:after="0" w:line="360" w:lineRule="auto"/>
        <w:ind w:firstLine="708"/>
        <w:rPr>
          <w:rFonts w:ascii="Times New Roman" w:hAnsi="Times New Roman" w:cs="Times New Roman"/>
          <w:sz w:val="24"/>
          <w:szCs w:val="24"/>
        </w:rPr>
      </w:pPr>
      <w:r w:rsidRPr="00E56512">
        <w:rPr>
          <w:rFonts w:ascii="Times New Roman" w:hAnsi="Times New Roman" w:cs="Times New Roman"/>
          <w:sz w:val="24"/>
          <w:szCs w:val="24"/>
        </w:rPr>
        <w:t xml:space="preserve">Na základe rozhodnutia prijatého na 64. zasadnutí Komisie pre omamné látky Úradu OSN pre omamné látky a kriminalitu v dňoch 12. 4. až 16. 4. 2021 a delegovanej smernice Komisie (EÚ) 2021/802 z 12. marca 2021, ktorou sa mení príloha k rámcovému rozhodnutiu Rady 2004/757/SVV, pokiaľ ide o zaradenie nových </w:t>
      </w:r>
      <w:proofErr w:type="spellStart"/>
      <w:r w:rsidRPr="00E56512">
        <w:rPr>
          <w:rFonts w:ascii="Times New Roman" w:hAnsi="Times New Roman" w:cs="Times New Roman"/>
          <w:sz w:val="24"/>
          <w:szCs w:val="24"/>
        </w:rPr>
        <w:t>psychoaktívnych</w:t>
      </w:r>
      <w:proofErr w:type="spellEnd"/>
      <w:r w:rsidRPr="00E56512">
        <w:rPr>
          <w:rFonts w:ascii="Times New Roman" w:hAnsi="Times New Roman" w:cs="Times New Roman"/>
          <w:sz w:val="24"/>
          <w:szCs w:val="24"/>
        </w:rPr>
        <w:t xml:space="preserve"> látok metyl-3,3-dimetyl-2-{[1-(pent-4-én-1-yl)-1H-indazol-3-karbonyl]amino}butanoát (MDMB-4en-PINACA) a metyl-2-{[1-(4-fluórbutyl)-1H-indol-3-karbonyl]amino}-3,3-dimetylbutanoát (4F-MDMB-BICA) do vymedzenia pojmu drogy (Ú. v. EÚ L 178, 20. 5. 2021) sa zaraďuje do skupiny I.  psychotropných látok</w:t>
      </w:r>
      <w:r w:rsidRPr="00E56512">
        <w:rPr>
          <w:rFonts w:ascii="Times New Roman" w:hAnsi="Times New Roman" w:cs="Times New Roman"/>
          <w:sz w:val="24"/>
          <w:szCs w:val="24"/>
        </w:rPr>
        <w:tab/>
        <w:t xml:space="preserve">látka 4F-MDMB-BICA.  Látka 4F-MDMB-BICA nemá terapeutické použitie a preto sa v súlade s § 3 ods. 2 zákona navrhuje zaradiť do I. skupiny psychotropných látok.   Sedem členských štátov kontroluje látku 4F-MDMB-BICA podľa vnútroštátnych právnych predpisov o kontrole drog, štyri členské štáty ju kontrolujú podľa právnych predpisov o nových </w:t>
      </w:r>
      <w:proofErr w:type="spellStart"/>
      <w:r w:rsidRPr="00E56512">
        <w:rPr>
          <w:rFonts w:ascii="Times New Roman" w:hAnsi="Times New Roman" w:cs="Times New Roman"/>
          <w:sz w:val="24"/>
          <w:szCs w:val="24"/>
        </w:rPr>
        <w:t>psychoaktívnych</w:t>
      </w:r>
      <w:proofErr w:type="spellEnd"/>
      <w:r w:rsidRPr="00E56512">
        <w:rPr>
          <w:rFonts w:ascii="Times New Roman" w:hAnsi="Times New Roman" w:cs="Times New Roman"/>
          <w:sz w:val="24"/>
          <w:szCs w:val="24"/>
        </w:rPr>
        <w:t xml:space="preserve"> látkach a jeden členský štát ju kontroluje podľa iných právnych predpisov. Vzhľadom na to, že tieto vnútroštátne kontrolné opatrenia sú už zavedené, zahrnutie látky 4F-MDMB-BICA do vymedzenia pojmu drogy (Ú. v. EÚ L 178, 20. 5. 2021), čím sa táto látka stane predmetom trestnoprávnych ustanovení o trestných činoch a sankciách, ako sú vymedzené v rámcovom rozhodnutí 2004/757 a tým sa pomôže predísť vzniku prekážok pri cezhraničnom presadzovaní práva a justičnej spolupráci a prispeje sa k ochrane pred rizikami, ktoré môžu predstavovať jej dostupnosť a užívanie.</w:t>
      </w:r>
    </w:p>
    <w:p w14:paraId="0818C602" w14:textId="77777777" w:rsidR="00F6233C" w:rsidRPr="00E56512" w:rsidRDefault="00F6233C" w:rsidP="00357B90">
      <w:pPr>
        <w:pStyle w:val="Textbody"/>
        <w:spacing w:after="0" w:line="360" w:lineRule="auto"/>
        <w:ind w:firstLine="708"/>
        <w:rPr>
          <w:rFonts w:ascii="Times New Roman" w:hAnsi="Times New Roman" w:cs="Times New Roman"/>
          <w:sz w:val="24"/>
          <w:szCs w:val="24"/>
        </w:rPr>
      </w:pPr>
    </w:p>
    <w:p w14:paraId="3970DEC5" w14:textId="77777777" w:rsidR="00F6233C" w:rsidRPr="00E56512" w:rsidRDefault="00F6233C" w:rsidP="00357B90">
      <w:pPr>
        <w:pStyle w:val="Textbody"/>
        <w:spacing w:after="0" w:line="360" w:lineRule="auto"/>
        <w:rPr>
          <w:rFonts w:ascii="Times New Roman" w:hAnsi="Times New Roman" w:cs="Times New Roman"/>
          <w:sz w:val="24"/>
          <w:szCs w:val="24"/>
          <w:lang w:eastAsia="sk-SK"/>
        </w:rPr>
      </w:pPr>
      <w:r w:rsidRPr="00E56512">
        <w:rPr>
          <w:rFonts w:ascii="Times New Roman" w:hAnsi="Times New Roman" w:cs="Times New Roman"/>
          <w:sz w:val="24"/>
          <w:szCs w:val="24"/>
          <w:lang w:eastAsia="sk-SK"/>
        </w:rPr>
        <w:t>K bodu 8</w:t>
      </w:r>
    </w:p>
    <w:p w14:paraId="3A1F0433" w14:textId="77777777" w:rsidR="00F6233C" w:rsidRPr="00E56512" w:rsidRDefault="00F6233C" w:rsidP="00357B90">
      <w:pPr>
        <w:pStyle w:val="Textbody"/>
        <w:spacing w:after="0" w:line="360" w:lineRule="auto"/>
        <w:ind w:firstLine="708"/>
        <w:rPr>
          <w:rFonts w:ascii="Times New Roman" w:hAnsi="Times New Roman" w:cs="Times New Roman"/>
          <w:sz w:val="24"/>
          <w:szCs w:val="24"/>
          <w:lang w:eastAsia="sk-SK"/>
        </w:rPr>
      </w:pPr>
      <w:r w:rsidRPr="00E56512">
        <w:rPr>
          <w:rFonts w:ascii="Times New Roman" w:hAnsi="Times New Roman" w:cs="Times New Roman"/>
          <w:sz w:val="24"/>
          <w:szCs w:val="24"/>
          <w:lang w:eastAsia="sk-SK"/>
        </w:rPr>
        <w:t xml:space="preserve">Na základe rozhodnutia prijatého na 64. zasadnutí Komisie pre omamné látky Úradu OSN pre omamné látky a kriminalitu v dňoch 12. 4. až 16. 4. 2021 sa zaraďuje do skupiny I.  psychotropných látok látka </w:t>
      </w:r>
      <w:proofErr w:type="spellStart"/>
      <w:r w:rsidRPr="00E56512">
        <w:rPr>
          <w:rFonts w:ascii="Times New Roman" w:hAnsi="Times New Roman" w:cs="Times New Roman"/>
          <w:sz w:val="24"/>
          <w:szCs w:val="24"/>
          <w:lang w:eastAsia="sk-SK"/>
        </w:rPr>
        <w:t>Flubromazolam</w:t>
      </w:r>
      <w:proofErr w:type="spellEnd"/>
      <w:r w:rsidRPr="00E56512">
        <w:rPr>
          <w:rFonts w:ascii="Times New Roman" w:hAnsi="Times New Roman" w:cs="Times New Roman"/>
          <w:sz w:val="24"/>
          <w:szCs w:val="24"/>
          <w:lang w:eastAsia="sk-SK"/>
        </w:rPr>
        <w:t xml:space="preserve">. Táto látka nemá terapeutické použitie a preto sa v </w:t>
      </w:r>
      <w:r w:rsidRPr="00E56512">
        <w:rPr>
          <w:rFonts w:ascii="Times New Roman" w:hAnsi="Times New Roman" w:cs="Times New Roman"/>
          <w:sz w:val="24"/>
          <w:szCs w:val="24"/>
          <w:lang w:eastAsia="sk-SK"/>
        </w:rPr>
        <w:lastRenderedPageBreak/>
        <w:t xml:space="preserve">súlade s § 3 ods. 2 zákona navrhuje zaradiť do I. skupiny psychotropných látok.   Ide o silne účinný derivát </w:t>
      </w:r>
      <w:proofErr w:type="spellStart"/>
      <w:r w:rsidRPr="00E56512">
        <w:rPr>
          <w:rFonts w:ascii="Times New Roman" w:hAnsi="Times New Roman" w:cs="Times New Roman"/>
          <w:sz w:val="24"/>
          <w:szCs w:val="24"/>
          <w:lang w:eastAsia="sk-SK"/>
        </w:rPr>
        <w:t>benzodiazepínu</w:t>
      </w:r>
      <w:proofErr w:type="spellEnd"/>
      <w:r w:rsidRPr="00E56512">
        <w:rPr>
          <w:rFonts w:ascii="Times New Roman" w:hAnsi="Times New Roman" w:cs="Times New Roman"/>
          <w:sz w:val="24"/>
          <w:szCs w:val="24"/>
          <w:lang w:eastAsia="sk-SK"/>
        </w:rPr>
        <w:t xml:space="preserve">, ktorý vyvoláva dlhotrvajúci depresívny účinok na centrálny nervový systém. Zosilňuje účinok kyseliny gama </w:t>
      </w:r>
      <w:proofErr w:type="spellStart"/>
      <w:r w:rsidRPr="00E56512">
        <w:rPr>
          <w:rFonts w:ascii="Times New Roman" w:hAnsi="Times New Roman" w:cs="Times New Roman"/>
          <w:sz w:val="24"/>
          <w:szCs w:val="24"/>
          <w:lang w:eastAsia="sk-SK"/>
        </w:rPr>
        <w:t>amíno</w:t>
      </w:r>
      <w:proofErr w:type="spellEnd"/>
      <w:r w:rsidRPr="00E56512">
        <w:rPr>
          <w:rFonts w:ascii="Times New Roman" w:hAnsi="Times New Roman" w:cs="Times New Roman"/>
          <w:sz w:val="24"/>
          <w:szCs w:val="24"/>
          <w:lang w:eastAsia="sk-SK"/>
        </w:rPr>
        <w:t xml:space="preserve"> maslovej (GABA), ktorá ako </w:t>
      </w:r>
      <w:proofErr w:type="spellStart"/>
      <w:r w:rsidRPr="00E56512">
        <w:rPr>
          <w:rFonts w:ascii="Times New Roman" w:hAnsi="Times New Roman" w:cs="Times New Roman"/>
          <w:sz w:val="24"/>
          <w:szCs w:val="24"/>
          <w:lang w:eastAsia="sk-SK"/>
        </w:rPr>
        <w:t>neuromediátor</w:t>
      </w:r>
      <w:proofErr w:type="spellEnd"/>
      <w:r w:rsidRPr="00E56512">
        <w:rPr>
          <w:rFonts w:ascii="Times New Roman" w:hAnsi="Times New Roman" w:cs="Times New Roman"/>
          <w:sz w:val="24"/>
          <w:szCs w:val="24"/>
          <w:lang w:eastAsia="sk-SK"/>
        </w:rPr>
        <w:t xml:space="preserve">, inhibítor, sa viaže na receptory </w:t>
      </w:r>
      <w:proofErr w:type="spellStart"/>
      <w:r w:rsidRPr="00E56512">
        <w:rPr>
          <w:rFonts w:ascii="Times New Roman" w:hAnsi="Times New Roman" w:cs="Times New Roman"/>
          <w:sz w:val="24"/>
          <w:szCs w:val="24"/>
          <w:lang w:eastAsia="sk-SK"/>
        </w:rPr>
        <w:t>benzodiazapínov</w:t>
      </w:r>
      <w:proofErr w:type="spellEnd"/>
      <w:r w:rsidRPr="00E56512">
        <w:rPr>
          <w:rFonts w:ascii="Times New Roman" w:hAnsi="Times New Roman" w:cs="Times New Roman"/>
          <w:sz w:val="24"/>
          <w:szCs w:val="24"/>
          <w:lang w:eastAsia="sk-SK"/>
        </w:rPr>
        <w:t xml:space="preserve">.   Tento mechanizmus účinku má podobný efekt aký má </w:t>
      </w:r>
      <w:proofErr w:type="spellStart"/>
      <w:r w:rsidRPr="00E56512">
        <w:rPr>
          <w:rFonts w:ascii="Times New Roman" w:hAnsi="Times New Roman" w:cs="Times New Roman"/>
          <w:sz w:val="24"/>
          <w:szCs w:val="24"/>
          <w:lang w:eastAsia="sk-SK"/>
        </w:rPr>
        <w:t>triazolam</w:t>
      </w:r>
      <w:proofErr w:type="spellEnd"/>
      <w:r w:rsidRPr="00E56512">
        <w:rPr>
          <w:rFonts w:ascii="Times New Roman" w:hAnsi="Times New Roman" w:cs="Times New Roman"/>
          <w:sz w:val="24"/>
          <w:szCs w:val="24"/>
          <w:lang w:eastAsia="sk-SK"/>
        </w:rPr>
        <w:t xml:space="preserve"> a </w:t>
      </w:r>
      <w:proofErr w:type="spellStart"/>
      <w:r w:rsidRPr="00E56512">
        <w:rPr>
          <w:rFonts w:ascii="Times New Roman" w:hAnsi="Times New Roman" w:cs="Times New Roman"/>
          <w:sz w:val="24"/>
          <w:szCs w:val="24"/>
          <w:lang w:eastAsia="sk-SK"/>
        </w:rPr>
        <w:t>alprazolam</w:t>
      </w:r>
      <w:proofErr w:type="spellEnd"/>
      <w:r w:rsidRPr="00E56512">
        <w:rPr>
          <w:rFonts w:ascii="Times New Roman" w:hAnsi="Times New Roman" w:cs="Times New Roman"/>
          <w:sz w:val="24"/>
          <w:szCs w:val="24"/>
          <w:lang w:eastAsia="sk-SK"/>
        </w:rPr>
        <w:t xml:space="preserve">, ktoré sú rovnako derivátmi </w:t>
      </w:r>
      <w:proofErr w:type="spellStart"/>
      <w:r w:rsidRPr="00E56512">
        <w:rPr>
          <w:rFonts w:ascii="Times New Roman" w:hAnsi="Times New Roman" w:cs="Times New Roman"/>
          <w:sz w:val="24"/>
          <w:szCs w:val="24"/>
          <w:lang w:eastAsia="sk-SK"/>
        </w:rPr>
        <w:t>benzodiazepínu</w:t>
      </w:r>
      <w:proofErr w:type="spellEnd"/>
      <w:r w:rsidRPr="00E56512">
        <w:rPr>
          <w:rFonts w:ascii="Times New Roman" w:hAnsi="Times New Roman" w:cs="Times New Roman"/>
          <w:sz w:val="24"/>
          <w:szCs w:val="24"/>
          <w:lang w:eastAsia="sk-SK"/>
        </w:rPr>
        <w:t xml:space="preserve"> a sú zaradené medzi psychotropné látky III. skupiny. </w:t>
      </w:r>
      <w:proofErr w:type="spellStart"/>
      <w:r w:rsidRPr="00E56512">
        <w:rPr>
          <w:rFonts w:ascii="Times New Roman" w:hAnsi="Times New Roman" w:cs="Times New Roman"/>
          <w:sz w:val="24"/>
          <w:szCs w:val="24"/>
          <w:lang w:eastAsia="sk-SK"/>
        </w:rPr>
        <w:t>Farmakokinetická</w:t>
      </w:r>
      <w:proofErr w:type="spellEnd"/>
      <w:r w:rsidRPr="00E56512">
        <w:rPr>
          <w:rFonts w:ascii="Times New Roman" w:hAnsi="Times New Roman" w:cs="Times New Roman"/>
          <w:sz w:val="24"/>
          <w:szCs w:val="24"/>
          <w:lang w:eastAsia="sk-SK"/>
        </w:rPr>
        <w:t xml:space="preserve"> štúdia preukázala, že 0,5 mg </w:t>
      </w:r>
      <w:proofErr w:type="spellStart"/>
      <w:r w:rsidRPr="00E56512">
        <w:rPr>
          <w:rFonts w:ascii="Times New Roman" w:hAnsi="Times New Roman" w:cs="Times New Roman"/>
          <w:sz w:val="24"/>
          <w:szCs w:val="24"/>
          <w:lang w:eastAsia="sk-SK"/>
        </w:rPr>
        <w:t>flubromazolu</w:t>
      </w:r>
      <w:proofErr w:type="spellEnd"/>
      <w:r w:rsidRPr="00E56512">
        <w:rPr>
          <w:rFonts w:ascii="Times New Roman" w:hAnsi="Times New Roman" w:cs="Times New Roman"/>
          <w:sz w:val="24"/>
          <w:szCs w:val="24"/>
          <w:lang w:eastAsia="sk-SK"/>
        </w:rPr>
        <w:t xml:space="preserve"> vyvolala silný sedatívny účinok počas 10 hodín a čiastočnú amnéziu počas viac ako 24 hodín. Ako </w:t>
      </w:r>
      <w:proofErr w:type="spellStart"/>
      <w:r w:rsidRPr="00E56512">
        <w:rPr>
          <w:rFonts w:ascii="Times New Roman" w:hAnsi="Times New Roman" w:cs="Times New Roman"/>
          <w:sz w:val="24"/>
          <w:szCs w:val="24"/>
          <w:lang w:eastAsia="sk-SK"/>
        </w:rPr>
        <w:t>antidotum</w:t>
      </w:r>
      <w:proofErr w:type="spellEnd"/>
      <w:r w:rsidRPr="00E56512">
        <w:rPr>
          <w:rFonts w:ascii="Times New Roman" w:hAnsi="Times New Roman" w:cs="Times New Roman"/>
          <w:sz w:val="24"/>
          <w:szCs w:val="24"/>
          <w:lang w:eastAsia="sk-SK"/>
        </w:rPr>
        <w:t xml:space="preserve"> tohto účinku možno použiť </w:t>
      </w:r>
      <w:proofErr w:type="spellStart"/>
      <w:r w:rsidRPr="00E56512">
        <w:rPr>
          <w:rFonts w:ascii="Times New Roman" w:hAnsi="Times New Roman" w:cs="Times New Roman"/>
          <w:sz w:val="24"/>
          <w:szCs w:val="24"/>
          <w:lang w:eastAsia="sk-SK"/>
        </w:rPr>
        <w:t>flumazenil</w:t>
      </w:r>
      <w:proofErr w:type="spellEnd"/>
      <w:r w:rsidRPr="00E56512">
        <w:rPr>
          <w:rFonts w:ascii="Times New Roman" w:hAnsi="Times New Roman" w:cs="Times New Roman"/>
          <w:sz w:val="24"/>
          <w:szCs w:val="24"/>
          <w:lang w:eastAsia="sk-SK"/>
        </w:rPr>
        <w:t xml:space="preserve">, ktorý je antagonistom </w:t>
      </w:r>
      <w:proofErr w:type="spellStart"/>
      <w:r w:rsidRPr="00E56512">
        <w:rPr>
          <w:rFonts w:ascii="Times New Roman" w:hAnsi="Times New Roman" w:cs="Times New Roman"/>
          <w:sz w:val="24"/>
          <w:szCs w:val="24"/>
          <w:lang w:eastAsia="sk-SK"/>
        </w:rPr>
        <w:t>benzodiazepínov</w:t>
      </w:r>
      <w:proofErr w:type="spellEnd"/>
      <w:r w:rsidRPr="00E56512">
        <w:rPr>
          <w:rFonts w:ascii="Times New Roman" w:hAnsi="Times New Roman" w:cs="Times New Roman"/>
          <w:sz w:val="24"/>
          <w:szCs w:val="24"/>
          <w:lang w:eastAsia="sk-SK"/>
        </w:rPr>
        <w:t xml:space="preserve">. Zneužíva sa pre svoj </w:t>
      </w:r>
      <w:proofErr w:type="spellStart"/>
      <w:r w:rsidRPr="00E56512">
        <w:rPr>
          <w:rFonts w:ascii="Times New Roman" w:hAnsi="Times New Roman" w:cs="Times New Roman"/>
          <w:sz w:val="24"/>
          <w:szCs w:val="24"/>
          <w:lang w:eastAsia="sk-SK"/>
        </w:rPr>
        <w:t>anxiolytický</w:t>
      </w:r>
      <w:proofErr w:type="spellEnd"/>
      <w:r w:rsidRPr="00E56512">
        <w:rPr>
          <w:rFonts w:ascii="Times New Roman" w:hAnsi="Times New Roman" w:cs="Times New Roman"/>
          <w:sz w:val="24"/>
          <w:szCs w:val="24"/>
          <w:lang w:eastAsia="sk-SK"/>
        </w:rPr>
        <w:t xml:space="preserve">, </w:t>
      </w:r>
      <w:proofErr w:type="spellStart"/>
      <w:r w:rsidRPr="00E56512">
        <w:rPr>
          <w:rFonts w:ascii="Times New Roman" w:hAnsi="Times New Roman" w:cs="Times New Roman"/>
          <w:sz w:val="24"/>
          <w:szCs w:val="24"/>
          <w:lang w:eastAsia="sk-SK"/>
        </w:rPr>
        <w:t>euforizujúci</w:t>
      </w:r>
      <w:proofErr w:type="spellEnd"/>
      <w:r w:rsidRPr="00E56512">
        <w:rPr>
          <w:rFonts w:ascii="Times New Roman" w:hAnsi="Times New Roman" w:cs="Times New Roman"/>
          <w:sz w:val="24"/>
          <w:szCs w:val="24"/>
          <w:lang w:eastAsia="sk-SK"/>
        </w:rPr>
        <w:t xml:space="preserve"> a sedatívny účinok. Táto látka sa veľmi  často zneužíva ako liečivo a predáva sa ako farmaceutický </w:t>
      </w:r>
      <w:proofErr w:type="spellStart"/>
      <w:r w:rsidRPr="00E56512">
        <w:rPr>
          <w:rFonts w:ascii="Times New Roman" w:hAnsi="Times New Roman" w:cs="Times New Roman"/>
          <w:sz w:val="24"/>
          <w:szCs w:val="24"/>
          <w:lang w:eastAsia="sk-SK"/>
        </w:rPr>
        <w:t>benzodiazepín</w:t>
      </w:r>
      <w:proofErr w:type="spellEnd"/>
      <w:r w:rsidRPr="00E56512">
        <w:rPr>
          <w:rFonts w:ascii="Times New Roman" w:hAnsi="Times New Roman" w:cs="Times New Roman"/>
          <w:sz w:val="24"/>
          <w:szCs w:val="24"/>
          <w:lang w:eastAsia="sk-SK"/>
        </w:rPr>
        <w:t>. Následne sa vyskytli intoxikácie, ktoré vyžadovali hospitalizáciu.</w:t>
      </w:r>
    </w:p>
    <w:p w14:paraId="52F0DE82" w14:textId="77777777" w:rsidR="00F6233C" w:rsidRPr="00E56512" w:rsidRDefault="00F6233C" w:rsidP="00357B90">
      <w:pPr>
        <w:pStyle w:val="Textbody"/>
        <w:spacing w:after="0" w:line="360" w:lineRule="auto"/>
        <w:rPr>
          <w:rFonts w:ascii="Times New Roman" w:hAnsi="Times New Roman" w:cs="Times New Roman"/>
          <w:sz w:val="24"/>
          <w:szCs w:val="24"/>
          <w:lang w:eastAsia="sk-SK"/>
        </w:rPr>
      </w:pPr>
    </w:p>
    <w:p w14:paraId="7D951417" w14:textId="77777777" w:rsidR="00F6233C" w:rsidRPr="00E56512" w:rsidRDefault="00F6233C" w:rsidP="00357B90">
      <w:pPr>
        <w:pStyle w:val="Textbody"/>
        <w:spacing w:after="0" w:line="360" w:lineRule="auto"/>
        <w:rPr>
          <w:rFonts w:ascii="Times New Roman" w:hAnsi="Times New Roman" w:cs="Times New Roman"/>
          <w:sz w:val="24"/>
          <w:szCs w:val="24"/>
          <w:lang w:eastAsia="sk-SK"/>
        </w:rPr>
      </w:pPr>
      <w:r w:rsidRPr="00E56512">
        <w:rPr>
          <w:rFonts w:ascii="Times New Roman" w:hAnsi="Times New Roman" w:cs="Times New Roman"/>
          <w:sz w:val="24"/>
          <w:szCs w:val="24"/>
          <w:lang w:eastAsia="sk-SK"/>
        </w:rPr>
        <w:t>K bodu 9</w:t>
      </w:r>
    </w:p>
    <w:p w14:paraId="5B30A1A7" w14:textId="77777777" w:rsidR="00F6233C" w:rsidRPr="00E56512" w:rsidRDefault="00F6233C" w:rsidP="00357B90">
      <w:pPr>
        <w:autoSpaceDE w:val="0"/>
        <w:adjustRightInd w:val="0"/>
        <w:spacing w:line="360" w:lineRule="auto"/>
        <w:ind w:firstLine="708"/>
        <w:jc w:val="both"/>
      </w:pPr>
      <w:r w:rsidRPr="00E56512">
        <w:rPr>
          <w:rFonts w:eastAsiaTheme="minorHAnsi"/>
        </w:rPr>
        <w:t xml:space="preserve">Látka </w:t>
      </w:r>
      <w:r w:rsidRPr="00E56512">
        <w:rPr>
          <w:shd w:val="clear" w:color="auto" w:fill="FFFFFF"/>
        </w:rPr>
        <w:t>(</w:t>
      </w:r>
      <w:r w:rsidRPr="00E56512">
        <w:rPr>
          <w:bCs/>
          <w:shd w:val="clear" w:color="auto" w:fill="FFFFFF"/>
        </w:rPr>
        <w:t>3-HO-PCP</w:t>
      </w:r>
      <w:r w:rsidRPr="00E56512">
        <w:rPr>
          <w:shd w:val="clear" w:color="auto" w:fill="FFFFFF"/>
        </w:rPr>
        <w:t xml:space="preserve">), </w:t>
      </w:r>
      <w:r w:rsidRPr="00E56512">
        <w:rPr>
          <w:bCs/>
          <w:shd w:val="clear" w:color="auto" w:fill="FFFFFF"/>
        </w:rPr>
        <w:t>3-hydroxyfencyklidín</w:t>
      </w:r>
      <w:r w:rsidRPr="00E56512">
        <w:rPr>
          <w:rFonts w:eastAsiaTheme="minorHAnsi"/>
        </w:rPr>
        <w:t xml:space="preserve"> je syntetická látka z chemickej triedy </w:t>
      </w:r>
      <w:proofErr w:type="spellStart"/>
      <w:r w:rsidRPr="00E56512">
        <w:rPr>
          <w:rFonts w:eastAsiaTheme="minorHAnsi"/>
        </w:rPr>
        <w:t>arylcyklohexylamínov</w:t>
      </w:r>
      <w:proofErr w:type="spellEnd"/>
      <w:r w:rsidRPr="00E56512">
        <w:rPr>
          <w:rFonts w:eastAsiaTheme="minorHAnsi"/>
        </w:rPr>
        <w:t xml:space="preserve">, pričom je vyššia pravdepodobnosť vzniku závislosti ako u </w:t>
      </w:r>
      <w:proofErr w:type="spellStart"/>
      <w:r w:rsidRPr="00E56512">
        <w:rPr>
          <w:rFonts w:eastAsiaTheme="minorHAnsi"/>
        </w:rPr>
        <w:t>difenidínu</w:t>
      </w:r>
      <w:proofErr w:type="spellEnd"/>
      <w:r w:rsidRPr="00E56512">
        <w:rPr>
          <w:rFonts w:eastAsiaTheme="minorHAnsi"/>
        </w:rPr>
        <w:t xml:space="preserve">, </w:t>
      </w:r>
      <w:proofErr w:type="spellStart"/>
      <w:r w:rsidRPr="00E56512">
        <w:rPr>
          <w:rFonts w:eastAsiaTheme="minorHAnsi"/>
        </w:rPr>
        <w:t>efenidínu</w:t>
      </w:r>
      <w:proofErr w:type="spellEnd"/>
      <w:r w:rsidRPr="00E56512">
        <w:rPr>
          <w:rFonts w:eastAsiaTheme="minorHAnsi"/>
        </w:rPr>
        <w:t xml:space="preserve">, DCK alebo </w:t>
      </w:r>
      <w:proofErr w:type="spellStart"/>
      <w:r w:rsidRPr="00E56512">
        <w:rPr>
          <w:rFonts w:eastAsiaTheme="minorHAnsi"/>
        </w:rPr>
        <w:t>ketamínu</w:t>
      </w:r>
      <w:proofErr w:type="spellEnd"/>
      <w:r w:rsidRPr="00E56512">
        <w:rPr>
          <w:rFonts w:eastAsiaTheme="minorHAnsi"/>
        </w:rPr>
        <w:t xml:space="preserve">. Po podaní vyvoláva silné </w:t>
      </w:r>
      <w:proofErr w:type="spellStart"/>
      <w:r w:rsidRPr="00E56512">
        <w:rPr>
          <w:rFonts w:eastAsiaTheme="minorHAnsi"/>
        </w:rPr>
        <w:t>disociačné</w:t>
      </w:r>
      <w:proofErr w:type="spellEnd"/>
      <w:r w:rsidRPr="00E56512">
        <w:rPr>
          <w:rFonts w:eastAsiaTheme="minorHAnsi"/>
        </w:rPr>
        <w:t xml:space="preserve">, halucinogénne a v závislosti od množstva konzumovanej látky utlmujúce alebo stimulujúce účinky, vrátane porúch pamäte od amnézie po tzv. „smrť ega“ (úplná pamäťová disfunkcia krátkodobej aj dlhodobej pamäte, t. j. osoba má zablokované všetky mentálne asociácie, pripojené významy, získané preferencie a hodnotové úsudky, stráca pocit seba samého a neuvedomuje svoju vlastnú existenciu. Neexistujú žiadne kontrolované štúdie o jej liečebnom alebo priemyselnom využití. </w:t>
      </w:r>
      <w:r w:rsidRPr="00E56512">
        <w:t xml:space="preserve">Ministerstva vnútra SR  navrhuje zaradiť túto látku do I. skupiny omamných látok. S prihliadnutím na ustanovenie § 3 ods. 2 zákona Ministerstvo zdravotníctva SR navrhuje zaradenie látky do I. skupiny psychotropných látok.    </w:t>
      </w:r>
    </w:p>
    <w:p w14:paraId="73B661B3" w14:textId="77777777" w:rsidR="00F6233C" w:rsidRPr="00E56512" w:rsidRDefault="00F6233C" w:rsidP="00357B90">
      <w:pPr>
        <w:spacing w:line="360" w:lineRule="auto"/>
        <w:contextualSpacing/>
        <w:jc w:val="both"/>
      </w:pPr>
    </w:p>
    <w:p w14:paraId="36CF0EA8" w14:textId="77777777" w:rsidR="00F6233C" w:rsidRPr="00E56512" w:rsidRDefault="00F6233C" w:rsidP="00357B90">
      <w:pPr>
        <w:spacing w:line="360" w:lineRule="auto"/>
        <w:contextualSpacing/>
        <w:jc w:val="both"/>
      </w:pPr>
      <w:r w:rsidRPr="00E56512">
        <w:t>K bodu 10</w:t>
      </w:r>
    </w:p>
    <w:p w14:paraId="68D1E446" w14:textId="550AADE9" w:rsidR="00F6233C" w:rsidRPr="00357B90" w:rsidRDefault="00F6233C" w:rsidP="00357B90">
      <w:pPr>
        <w:pStyle w:val="Nzov"/>
        <w:spacing w:line="360" w:lineRule="auto"/>
        <w:ind w:firstLine="708"/>
        <w:contextualSpacing/>
        <w:jc w:val="both"/>
        <w:rPr>
          <w:b w:val="0"/>
        </w:rPr>
      </w:pPr>
      <w:r w:rsidRPr="00E56512">
        <w:rPr>
          <w:b w:val="0"/>
        </w:rPr>
        <w:t xml:space="preserve">Na základe rozhodnutia prijatého na 64. zasadnutí Komisie pre omamné látky Úradu OSN pre omamné látky a kriminalitu v dňoch 12. 4. až 16. 4. 2021 sa zaraďuje do skupiny I.  psychotropných látok látka </w:t>
      </w:r>
      <w:proofErr w:type="spellStart"/>
      <w:r w:rsidRPr="00E56512">
        <w:rPr>
          <w:b w:val="0"/>
        </w:rPr>
        <w:t>klonazolam</w:t>
      </w:r>
      <w:proofErr w:type="spellEnd"/>
      <w:r w:rsidRPr="00E56512">
        <w:rPr>
          <w:b w:val="0"/>
        </w:rPr>
        <w:t xml:space="preserve">. Predáva sa vo forme prášku, nápoja, tekutiny a tabliet. Táto látka nemá terapeutické použitie a preto sa v súlade s § 3 ods. 2 zákona navrhuje zaradiť do I. skupiny psychotropných látok.   Svetová zdravotnícka organizácia vo svojom stanovisku uviedla, že látka </w:t>
      </w:r>
      <w:proofErr w:type="spellStart"/>
      <w:r w:rsidRPr="00E56512">
        <w:rPr>
          <w:b w:val="0"/>
        </w:rPr>
        <w:t>klonazolam</w:t>
      </w:r>
      <w:proofErr w:type="spellEnd"/>
      <w:r w:rsidRPr="00E56512">
        <w:rPr>
          <w:b w:val="0"/>
        </w:rPr>
        <w:t>, ak sa vyrába nezákonne predstavuje  riziko  pre verejné zdravie.</w:t>
      </w:r>
      <w:r w:rsidRPr="00E56512">
        <w:t xml:space="preserve">  </w:t>
      </w:r>
      <w:r w:rsidRPr="00E56512">
        <w:rPr>
          <w:b w:val="0"/>
        </w:rPr>
        <w:t xml:space="preserve">Ide o silne účinný derivát </w:t>
      </w:r>
      <w:proofErr w:type="spellStart"/>
      <w:r w:rsidRPr="00E56512">
        <w:rPr>
          <w:b w:val="0"/>
        </w:rPr>
        <w:t>benzodiazepínu</w:t>
      </w:r>
      <w:proofErr w:type="spellEnd"/>
      <w:r w:rsidRPr="00E56512">
        <w:rPr>
          <w:b w:val="0"/>
        </w:rPr>
        <w:t xml:space="preserve">, ktorý vyvoláva dlhotrvajúci depresívny účinok na centrálny nervový systém. Zosilňuje účinok kyseliny gama </w:t>
      </w:r>
      <w:proofErr w:type="spellStart"/>
      <w:r w:rsidRPr="00E56512">
        <w:rPr>
          <w:b w:val="0"/>
        </w:rPr>
        <w:t>amíno</w:t>
      </w:r>
      <w:proofErr w:type="spellEnd"/>
      <w:r w:rsidRPr="00E56512">
        <w:rPr>
          <w:b w:val="0"/>
        </w:rPr>
        <w:t xml:space="preserve"> maslovej (GABA), ktorá ako </w:t>
      </w:r>
      <w:proofErr w:type="spellStart"/>
      <w:r w:rsidRPr="00E56512">
        <w:rPr>
          <w:b w:val="0"/>
        </w:rPr>
        <w:lastRenderedPageBreak/>
        <w:t>neuromediátor</w:t>
      </w:r>
      <w:proofErr w:type="spellEnd"/>
      <w:r w:rsidRPr="00E56512">
        <w:rPr>
          <w:b w:val="0"/>
        </w:rPr>
        <w:t xml:space="preserve">, inhibítor, sa viaže na receptory </w:t>
      </w:r>
      <w:proofErr w:type="spellStart"/>
      <w:r w:rsidRPr="00E56512">
        <w:rPr>
          <w:b w:val="0"/>
        </w:rPr>
        <w:t>benzodiazapínov</w:t>
      </w:r>
      <w:proofErr w:type="spellEnd"/>
      <w:r w:rsidRPr="00E56512">
        <w:rPr>
          <w:b w:val="0"/>
        </w:rPr>
        <w:t xml:space="preserve">.   Tento mechanizmus účinku má podobný efekt aký má </w:t>
      </w:r>
      <w:proofErr w:type="spellStart"/>
      <w:r w:rsidRPr="00E56512">
        <w:rPr>
          <w:b w:val="0"/>
        </w:rPr>
        <w:t>triazolam</w:t>
      </w:r>
      <w:proofErr w:type="spellEnd"/>
      <w:r w:rsidRPr="00E56512">
        <w:rPr>
          <w:b w:val="0"/>
        </w:rPr>
        <w:t xml:space="preserve"> a </w:t>
      </w:r>
      <w:proofErr w:type="spellStart"/>
      <w:r w:rsidRPr="00E56512">
        <w:rPr>
          <w:b w:val="0"/>
        </w:rPr>
        <w:t>alprazolam</w:t>
      </w:r>
      <w:proofErr w:type="spellEnd"/>
      <w:r w:rsidRPr="00E56512">
        <w:rPr>
          <w:b w:val="0"/>
        </w:rPr>
        <w:t xml:space="preserve">, ktoré sú rovnako derivátmi </w:t>
      </w:r>
      <w:proofErr w:type="spellStart"/>
      <w:r w:rsidRPr="00E56512">
        <w:rPr>
          <w:b w:val="0"/>
        </w:rPr>
        <w:t>benzodiazepínu</w:t>
      </w:r>
      <w:proofErr w:type="spellEnd"/>
      <w:r w:rsidRPr="00E56512">
        <w:rPr>
          <w:b w:val="0"/>
        </w:rPr>
        <w:t xml:space="preserve"> a sú zaradené medzi psychotropné látky III. skupiny. Ako </w:t>
      </w:r>
      <w:proofErr w:type="spellStart"/>
      <w:r w:rsidRPr="00E56512">
        <w:rPr>
          <w:b w:val="0"/>
        </w:rPr>
        <w:t>antidotum</w:t>
      </w:r>
      <w:proofErr w:type="spellEnd"/>
      <w:r w:rsidRPr="00E56512">
        <w:rPr>
          <w:b w:val="0"/>
        </w:rPr>
        <w:t xml:space="preserve"> </w:t>
      </w:r>
      <w:proofErr w:type="spellStart"/>
      <w:r w:rsidRPr="00E56512">
        <w:rPr>
          <w:b w:val="0"/>
        </w:rPr>
        <w:t>klonazolamu</w:t>
      </w:r>
      <w:proofErr w:type="spellEnd"/>
      <w:r w:rsidRPr="00E56512">
        <w:rPr>
          <w:b w:val="0"/>
        </w:rPr>
        <w:t xml:space="preserve"> možno použiť </w:t>
      </w:r>
      <w:proofErr w:type="spellStart"/>
      <w:r w:rsidRPr="00E56512">
        <w:rPr>
          <w:b w:val="0"/>
        </w:rPr>
        <w:t>flumazenil</w:t>
      </w:r>
      <w:proofErr w:type="spellEnd"/>
      <w:r w:rsidRPr="00E56512">
        <w:rPr>
          <w:b w:val="0"/>
        </w:rPr>
        <w:t xml:space="preserve">, ktorý je antagonistom </w:t>
      </w:r>
      <w:proofErr w:type="spellStart"/>
      <w:r w:rsidRPr="00E56512">
        <w:rPr>
          <w:b w:val="0"/>
        </w:rPr>
        <w:t>benzodiazepínov</w:t>
      </w:r>
      <w:proofErr w:type="spellEnd"/>
      <w:r w:rsidRPr="00E56512">
        <w:rPr>
          <w:b w:val="0"/>
        </w:rPr>
        <w:t xml:space="preserve">. Zneužíva sa pre svoj </w:t>
      </w:r>
      <w:proofErr w:type="spellStart"/>
      <w:r w:rsidRPr="00E56512">
        <w:rPr>
          <w:b w:val="0"/>
        </w:rPr>
        <w:t>anxiolytický</w:t>
      </w:r>
      <w:proofErr w:type="spellEnd"/>
      <w:r w:rsidRPr="00E56512">
        <w:rPr>
          <w:b w:val="0"/>
        </w:rPr>
        <w:t xml:space="preserve">, </w:t>
      </w:r>
      <w:proofErr w:type="spellStart"/>
      <w:r w:rsidRPr="00E56512">
        <w:rPr>
          <w:b w:val="0"/>
        </w:rPr>
        <w:t>euforizujúci</w:t>
      </w:r>
      <w:proofErr w:type="spellEnd"/>
      <w:r w:rsidRPr="00E56512">
        <w:rPr>
          <w:b w:val="0"/>
        </w:rPr>
        <w:t xml:space="preserve"> a sedatívny účinok. Táto látka sa veľmi  často zneužíva ako liečivo a predáva sa ako farmaceutický </w:t>
      </w:r>
      <w:proofErr w:type="spellStart"/>
      <w:r w:rsidRPr="00E56512">
        <w:rPr>
          <w:b w:val="0"/>
        </w:rPr>
        <w:t>benzodiazepín</w:t>
      </w:r>
      <w:proofErr w:type="spellEnd"/>
      <w:r w:rsidRPr="00E56512">
        <w:rPr>
          <w:b w:val="0"/>
        </w:rPr>
        <w:t>. Následne sa vyskytli intoxikácie, ktoré vyžadovali hospitalizáciu.</w:t>
      </w:r>
      <w:r w:rsidR="00357B90">
        <w:rPr>
          <w:b w:val="0"/>
        </w:rPr>
        <w:t xml:space="preserve"> </w:t>
      </w:r>
      <w:r w:rsidRPr="00357B90">
        <w:rPr>
          <w:b w:val="0"/>
        </w:rPr>
        <w:t xml:space="preserve">V mnohých oblastiach sa zvyšuje konzumácia tejto látky, pretože zvyšuje účinok iných drog vrátane </w:t>
      </w:r>
      <w:proofErr w:type="spellStart"/>
      <w:r w:rsidRPr="00357B90">
        <w:rPr>
          <w:b w:val="0"/>
        </w:rPr>
        <w:t>opioidov</w:t>
      </w:r>
      <w:proofErr w:type="spellEnd"/>
      <w:r w:rsidRPr="00357B90">
        <w:rPr>
          <w:b w:val="0"/>
        </w:rPr>
        <w:t xml:space="preserve">, čo môže vyvolať utlmenie CNS, ktoré sa prejavuje najčastejšie </w:t>
      </w:r>
      <w:proofErr w:type="spellStart"/>
      <w:r w:rsidRPr="00357B90">
        <w:rPr>
          <w:b w:val="0"/>
        </w:rPr>
        <w:t>somnolenciou</w:t>
      </w:r>
      <w:proofErr w:type="spellEnd"/>
      <w:r w:rsidRPr="00357B90">
        <w:rPr>
          <w:b w:val="0"/>
        </w:rPr>
        <w:t xml:space="preserve">, konfúziou a stratou vedomia. Na návrh Ministerstva vnútra SR  sa zaraďuje do skupiny I.  psychotropných látok látka </w:t>
      </w:r>
      <w:proofErr w:type="spellStart"/>
      <w:r w:rsidRPr="00357B90">
        <w:rPr>
          <w:b w:val="0"/>
        </w:rPr>
        <w:t>kratom</w:t>
      </w:r>
      <w:proofErr w:type="spellEnd"/>
      <w:r w:rsidRPr="00357B90">
        <w:rPr>
          <w:b w:val="0"/>
        </w:rPr>
        <w:t xml:space="preserve">. Táto látka obsahuje aktívne zložky alkaloidy </w:t>
      </w:r>
      <w:proofErr w:type="spellStart"/>
      <w:r w:rsidRPr="00357B90">
        <w:rPr>
          <w:b w:val="0"/>
        </w:rPr>
        <w:t>mitragynín</w:t>
      </w:r>
      <w:proofErr w:type="spellEnd"/>
      <w:r w:rsidRPr="00357B90">
        <w:rPr>
          <w:b w:val="0"/>
        </w:rPr>
        <w:t xml:space="preserve"> a 7-hydroxymitragynín s potencionálnymi analgetickými, protizápalovými alebo </w:t>
      </w:r>
      <w:proofErr w:type="spellStart"/>
      <w:r w:rsidRPr="00357B90">
        <w:rPr>
          <w:b w:val="0"/>
        </w:rPr>
        <w:t>svalovorelaxačnými</w:t>
      </w:r>
      <w:proofErr w:type="spellEnd"/>
      <w:r w:rsidRPr="00357B90">
        <w:rPr>
          <w:b w:val="0"/>
        </w:rPr>
        <w:t xml:space="preserve"> účinkami. Tmavozelené listy rastliny sa zvyčajne sušia a drvia na prášok. Dostupné sú aj vo forme pasty, kapsuly či tablety, prípadne sa môže taktiež variť ako čaj. Podľa EMCDDA vyvoláva v prípade </w:t>
      </w:r>
      <w:proofErr w:type="spellStart"/>
      <w:r w:rsidRPr="00357B90">
        <w:rPr>
          <w:b w:val="0"/>
        </w:rPr>
        <w:t>kratomu</w:t>
      </w:r>
      <w:proofErr w:type="spellEnd"/>
      <w:r w:rsidRPr="00357B90">
        <w:rPr>
          <w:b w:val="0"/>
        </w:rPr>
        <w:t xml:space="preserve"> stimulačné účinky, napr.: bdelosť, družnosť, točenie hlavy a znížená motorická koordinácia, už malá dávka s hmotnosťou len pár gramov. Účinky sa zvyčajne prejavia do desiatich minút po požití a môžu trvať až jeden a pol hodiny. Vyššia dávka môže vyvolať účinky podobné ako po užití sedatív s trvaním do šesť hodín. Pravidelné užívanie môže vyvolať vznik závislosti s vedľajšími účinkami, napr.: nevoľnosť až zvracanie, poškodenie pečene, potenie, triaška, nespavosť či halucinácie. </w:t>
      </w:r>
      <w:proofErr w:type="spellStart"/>
      <w:r w:rsidRPr="00357B90">
        <w:rPr>
          <w:b w:val="0"/>
        </w:rPr>
        <w:t>Singh</w:t>
      </w:r>
      <w:proofErr w:type="spellEnd"/>
      <w:r w:rsidRPr="00357B90">
        <w:rPr>
          <w:b w:val="0"/>
        </w:rPr>
        <w:t xml:space="preserve"> a kol. (2014) v svojej štúdii uvádzajú, že z 293 používateľov</w:t>
      </w:r>
      <w:r w:rsidR="00357B90">
        <w:rPr>
          <w:b w:val="0"/>
        </w:rPr>
        <w:t xml:space="preserve"> </w:t>
      </w:r>
      <w:proofErr w:type="spellStart"/>
      <w:r w:rsidRPr="00357B90">
        <w:rPr>
          <w:b w:val="0"/>
        </w:rPr>
        <w:t>kratomu</w:t>
      </w:r>
      <w:proofErr w:type="spellEnd"/>
      <w:r w:rsidRPr="00357B90">
        <w:rPr>
          <w:b w:val="0"/>
        </w:rPr>
        <w:t xml:space="preserve"> viac ako polovica bežných používateľov (&gt; 6 mesiacov užívania) mala diagnostikovanú ťažkú formu závislosti, zatiaľ čo u 45% bola zistená mierna forma závislosti od kratomu1. </w:t>
      </w:r>
      <w:proofErr w:type="spellStart"/>
      <w:r w:rsidRPr="00357B90">
        <w:rPr>
          <w:b w:val="0"/>
        </w:rPr>
        <w:t>Kratom</w:t>
      </w:r>
      <w:proofErr w:type="spellEnd"/>
      <w:r w:rsidRPr="00357B90">
        <w:rPr>
          <w:b w:val="0"/>
        </w:rPr>
        <w:t xml:space="preserve"> patrí na zoznam zakázaných látok v Poľsku a v niektorých štátoch USA. V SRN a Rakúsku patrí medzi kontrolované látky, ktorých predaj je obmedzený. Ministerstva vnútra SR  navrhuje zaradiť </w:t>
      </w:r>
      <w:proofErr w:type="spellStart"/>
      <w:r w:rsidRPr="00357B90">
        <w:rPr>
          <w:b w:val="0"/>
        </w:rPr>
        <w:t>kratom</w:t>
      </w:r>
      <w:proofErr w:type="spellEnd"/>
      <w:r w:rsidRPr="00357B90">
        <w:rPr>
          <w:b w:val="0"/>
        </w:rPr>
        <w:t xml:space="preserve"> do I. skupiny, psychotropných látok.</w:t>
      </w:r>
    </w:p>
    <w:p w14:paraId="572F4199" w14:textId="77777777" w:rsidR="00F6233C" w:rsidRPr="00E56512" w:rsidRDefault="00F6233C" w:rsidP="00357B90">
      <w:pPr>
        <w:pStyle w:val="Nzov"/>
        <w:spacing w:line="360" w:lineRule="auto"/>
        <w:contextualSpacing/>
        <w:jc w:val="both"/>
        <w:rPr>
          <w:b w:val="0"/>
        </w:rPr>
      </w:pPr>
    </w:p>
    <w:p w14:paraId="4AF46133" w14:textId="77777777" w:rsidR="00F6233C" w:rsidRPr="00E56512" w:rsidRDefault="00F6233C" w:rsidP="00357B90">
      <w:pPr>
        <w:pStyle w:val="Nzov"/>
        <w:spacing w:line="360" w:lineRule="auto"/>
        <w:contextualSpacing/>
        <w:jc w:val="both"/>
        <w:rPr>
          <w:b w:val="0"/>
        </w:rPr>
      </w:pPr>
      <w:r w:rsidRPr="00E56512">
        <w:rPr>
          <w:b w:val="0"/>
        </w:rPr>
        <w:t>K bodu 11</w:t>
      </w:r>
    </w:p>
    <w:p w14:paraId="1C41BA78" w14:textId="77777777" w:rsidR="00F6233C" w:rsidRDefault="00F6233C" w:rsidP="00357B90">
      <w:pPr>
        <w:pStyle w:val="Textbody"/>
        <w:spacing w:after="0" w:line="360" w:lineRule="auto"/>
        <w:ind w:firstLine="708"/>
        <w:rPr>
          <w:rFonts w:ascii="Times New Roman" w:hAnsi="Times New Roman" w:cs="Times New Roman"/>
          <w:sz w:val="24"/>
          <w:szCs w:val="24"/>
          <w:lang w:eastAsia="sk-SK"/>
        </w:rPr>
      </w:pPr>
      <w:r w:rsidRPr="00E56512">
        <w:rPr>
          <w:rFonts w:ascii="Times New Roman" w:hAnsi="Times New Roman" w:cs="Times New Roman"/>
          <w:sz w:val="24"/>
          <w:szCs w:val="24"/>
        </w:rPr>
        <w:t xml:space="preserve">Na základe rozhodnutia prijatého na 64. zasadnutí Komisie pre omamné látky Úradu OSN pre omamné látky a kriminalitu v dňoch 12. 4. až 16. 4. 2021 a delegovanej smernice Komisie (EÚ) 2021/802 z 12. marca 2021, ktorou sa mení príloha k rámcovému rozhodnutiu Rady 2004/757/SVV, pokiaľ ide o zaradenie nových </w:t>
      </w:r>
      <w:proofErr w:type="spellStart"/>
      <w:r w:rsidRPr="00E56512">
        <w:rPr>
          <w:rFonts w:ascii="Times New Roman" w:hAnsi="Times New Roman" w:cs="Times New Roman"/>
          <w:sz w:val="24"/>
          <w:szCs w:val="24"/>
        </w:rPr>
        <w:t>psychoaktívnych</w:t>
      </w:r>
      <w:proofErr w:type="spellEnd"/>
      <w:r w:rsidRPr="00E56512">
        <w:rPr>
          <w:rFonts w:ascii="Times New Roman" w:hAnsi="Times New Roman" w:cs="Times New Roman"/>
          <w:sz w:val="24"/>
          <w:szCs w:val="24"/>
        </w:rPr>
        <w:t xml:space="preserve"> látok metyl-3,3-dimetyl-2-{[1-(pent-4-én-1-yl)-1H-indazol-3-karbonyl]amino}butanoát (MDMB-4en-PINACA) a metyl-2-{[1-(4-fluórbutyl)-1H-indol-3-karbonyl]amino}-3,3-dimetylbutanoát (4F-MDMB-BICA) do vymedzenia pojmu drogy (Ú. v. EÚ L 178, 20. 5. 2021) sa zaraďuje do skupiny I </w:t>
      </w:r>
      <w:r w:rsidRPr="00E56512">
        <w:rPr>
          <w:rFonts w:ascii="Times New Roman" w:hAnsi="Times New Roman" w:cs="Times New Roman"/>
          <w:sz w:val="24"/>
          <w:szCs w:val="24"/>
        </w:rPr>
        <w:lastRenderedPageBreak/>
        <w:t>psychotropných látok</w:t>
      </w:r>
      <w:r w:rsidRPr="00E56512">
        <w:rPr>
          <w:rFonts w:ascii="Times New Roman" w:hAnsi="Times New Roman" w:cs="Times New Roman"/>
          <w:sz w:val="24"/>
          <w:szCs w:val="24"/>
        </w:rPr>
        <w:tab/>
        <w:t xml:space="preserve">látka MDMB-4en-PINACA.  Látka MDMB-4en-PINACA nemá terapeutické použitie a preto sa v súlade s § 3 ods. 2 zákona navrhuje zaradiť do I. skupiny psychotropných látok. Deväť členských štátov kontroluje látku MDMB-4en-PINACA podľa vnútroštátnych právnych predpisov o kontrole drog, štyri členské štáty ju kontrolujú podľa právnych predpisov o nových </w:t>
      </w:r>
      <w:proofErr w:type="spellStart"/>
      <w:r w:rsidRPr="00E56512">
        <w:rPr>
          <w:rFonts w:ascii="Times New Roman" w:hAnsi="Times New Roman" w:cs="Times New Roman"/>
          <w:sz w:val="24"/>
          <w:szCs w:val="24"/>
        </w:rPr>
        <w:t>psychoaktívnych</w:t>
      </w:r>
      <w:proofErr w:type="spellEnd"/>
      <w:r w:rsidRPr="00E56512">
        <w:rPr>
          <w:rFonts w:ascii="Times New Roman" w:hAnsi="Times New Roman" w:cs="Times New Roman"/>
          <w:sz w:val="24"/>
          <w:szCs w:val="24"/>
        </w:rPr>
        <w:t xml:space="preserve"> látkach a jeden členský štát ju kontroluje podľa iných právnych predpisov. Vzhľadom na to, že tieto vnútroštátne kontrolné opatrenia sú už zavedené, zahrnutie látky MDMB-4en-PINACA do vymedzenia pojmu drogy (Ú. v. EÚ L 178, 20. 5. 2021), čím sa táto látka stane predmetom trestnoprávnych ustanovení o trestných činoch a sankciách, ako sú vymedzené v rámcovom rozhodnutí 2004/757 a tým sa pomôže predísť vzniku prekážok pri cezhraničnom presadzovaní práva a justičnej spolupráci a prispeje sa k ochrane pred rizikami, ktoré môžu predstavovať jej dostupnosť a užívanie. Na  návrh Ministerstva vnútra SR  sa zaraďuje do skupiny I.  psychotropných látok látka MDPEP. Je to menej známa nová </w:t>
      </w:r>
      <w:proofErr w:type="spellStart"/>
      <w:r w:rsidRPr="00E56512">
        <w:rPr>
          <w:rFonts w:ascii="Times New Roman" w:hAnsi="Times New Roman" w:cs="Times New Roman"/>
          <w:sz w:val="24"/>
          <w:szCs w:val="24"/>
        </w:rPr>
        <w:t>psychoaktívna</w:t>
      </w:r>
      <w:proofErr w:type="spellEnd"/>
      <w:r w:rsidRPr="00E56512">
        <w:rPr>
          <w:rFonts w:ascii="Times New Roman" w:hAnsi="Times New Roman" w:cs="Times New Roman"/>
          <w:sz w:val="24"/>
          <w:szCs w:val="24"/>
        </w:rPr>
        <w:t xml:space="preserve"> látka vo forme bielych až hnedastých kryštálov so stimulačným účinkom výraznejším ako α-PVP a pod. Účinky konzumácie sú podobné ako u </w:t>
      </w:r>
      <w:proofErr w:type="spellStart"/>
      <w:r w:rsidRPr="00E56512">
        <w:rPr>
          <w:rFonts w:ascii="Times New Roman" w:hAnsi="Times New Roman" w:cs="Times New Roman"/>
          <w:sz w:val="24"/>
          <w:szCs w:val="24"/>
        </w:rPr>
        <w:t>amfetamínov</w:t>
      </w:r>
      <w:proofErr w:type="spellEnd"/>
      <w:r w:rsidRPr="00E56512">
        <w:rPr>
          <w:rFonts w:ascii="Times New Roman" w:hAnsi="Times New Roman" w:cs="Times New Roman"/>
          <w:sz w:val="24"/>
          <w:szCs w:val="24"/>
        </w:rPr>
        <w:t xml:space="preserve"> a iných </w:t>
      </w:r>
      <w:proofErr w:type="spellStart"/>
      <w:r w:rsidRPr="00E56512">
        <w:rPr>
          <w:rFonts w:ascii="Times New Roman" w:hAnsi="Times New Roman" w:cs="Times New Roman"/>
          <w:sz w:val="24"/>
          <w:szCs w:val="24"/>
        </w:rPr>
        <w:t>stimulantov</w:t>
      </w:r>
      <w:proofErr w:type="spellEnd"/>
      <w:r w:rsidRPr="00E56512">
        <w:rPr>
          <w:rFonts w:ascii="Times New Roman" w:hAnsi="Times New Roman" w:cs="Times New Roman"/>
          <w:sz w:val="24"/>
          <w:szCs w:val="24"/>
        </w:rPr>
        <w:t>, t. j. má stimulujúce účinky, potláča chuť do jedla, spôsobuje dehydratáciu halucinácie, a pod. Neexistujú žiadne kontrolované štúdie o jeho liečebnom alebo priemyselnom využití, preto sa navrhuje táto látka zaradiť do skupiny I.  psychotropných látok</w:t>
      </w:r>
      <w:r>
        <w:rPr>
          <w:rFonts w:ascii="Times New Roman" w:hAnsi="Times New Roman" w:cs="Times New Roman"/>
          <w:sz w:val="24"/>
          <w:szCs w:val="24"/>
        </w:rPr>
        <w:t>.</w:t>
      </w:r>
    </w:p>
    <w:p w14:paraId="209B5860" w14:textId="77777777" w:rsidR="00F6233C" w:rsidRDefault="00F6233C" w:rsidP="00357B90">
      <w:pPr>
        <w:pStyle w:val="Nzov"/>
        <w:spacing w:line="360" w:lineRule="auto"/>
        <w:contextualSpacing/>
        <w:jc w:val="both"/>
        <w:rPr>
          <w:rFonts w:eastAsia="SimSun"/>
          <w:b w:val="0"/>
          <w:bCs w:val="0"/>
        </w:rPr>
      </w:pPr>
    </w:p>
    <w:p w14:paraId="029A18FF" w14:textId="77777777" w:rsidR="00F6233C" w:rsidRPr="00E56512" w:rsidRDefault="00F6233C" w:rsidP="00357B90">
      <w:pPr>
        <w:pStyle w:val="Nzov"/>
        <w:spacing w:line="360" w:lineRule="auto"/>
        <w:contextualSpacing/>
        <w:jc w:val="both"/>
        <w:rPr>
          <w:b w:val="0"/>
        </w:rPr>
      </w:pPr>
      <w:r w:rsidRPr="00E56512">
        <w:rPr>
          <w:b w:val="0"/>
        </w:rPr>
        <w:t>K bodu 12</w:t>
      </w:r>
    </w:p>
    <w:p w14:paraId="3F970004" w14:textId="0EA35CA6" w:rsidR="00F6233C" w:rsidRPr="00357B90" w:rsidRDefault="00F6233C" w:rsidP="00357B90">
      <w:pPr>
        <w:autoSpaceDE w:val="0"/>
        <w:adjustRightInd w:val="0"/>
        <w:spacing w:line="360" w:lineRule="auto"/>
        <w:ind w:firstLine="709"/>
        <w:jc w:val="both"/>
        <w:rPr>
          <w:rFonts w:eastAsiaTheme="minorHAnsi"/>
        </w:rPr>
      </w:pPr>
      <w:r w:rsidRPr="00E56512">
        <w:t xml:space="preserve">Na základe návrhu Ministerstva vnútra SR sa látka </w:t>
      </w:r>
      <w:r w:rsidRPr="00E56512">
        <w:rPr>
          <w:rFonts w:eastAsiaTheme="minorHAnsi"/>
          <w:bCs/>
        </w:rPr>
        <w:t>5-Metoxy - N,N-</w:t>
      </w:r>
      <w:proofErr w:type="spellStart"/>
      <w:r w:rsidRPr="00E56512">
        <w:rPr>
          <w:rFonts w:eastAsiaTheme="minorHAnsi"/>
          <w:bCs/>
        </w:rPr>
        <w:t>dialyltryptamín</w:t>
      </w:r>
      <w:proofErr w:type="spellEnd"/>
      <w:r w:rsidRPr="00E56512">
        <w:rPr>
          <w:rFonts w:eastAsiaTheme="minorHAnsi"/>
          <w:bCs/>
        </w:rPr>
        <w:t xml:space="preserve"> navrhuje zaradiť </w:t>
      </w:r>
      <w:r w:rsidRPr="00E56512">
        <w:t xml:space="preserve">do skupiny I.  psychotropných látok. </w:t>
      </w:r>
      <w:r w:rsidRPr="00E56512">
        <w:rPr>
          <w:rFonts w:eastAsiaTheme="minorHAnsi"/>
        </w:rPr>
        <w:t>Je to pevná látka, najčastejšie sa vyskytuje vo forme kryštalického prášku bielej, sivobielej, sivej alebo svetlohnedej farby s pálením. Zaistené</w:t>
      </w:r>
      <w:r w:rsidR="00357B90">
        <w:rPr>
          <w:rFonts w:eastAsiaTheme="minorHAnsi"/>
        </w:rPr>
        <w:t xml:space="preserve"> </w:t>
      </w:r>
      <w:r w:rsidRPr="00E56512">
        <w:rPr>
          <w:rFonts w:eastAsiaTheme="minorHAnsi"/>
        </w:rPr>
        <w:t>boli aj žlté, fialové alebo zelené tablety. 5-MeO-DALT má chemickú štruktúru podobnú halucinogénu 3- [2- (</w:t>
      </w:r>
      <w:proofErr w:type="spellStart"/>
      <w:r w:rsidRPr="00E56512">
        <w:rPr>
          <w:rFonts w:eastAsiaTheme="minorHAnsi"/>
        </w:rPr>
        <w:t>dimetylamino</w:t>
      </w:r>
      <w:proofErr w:type="spellEnd"/>
      <w:r w:rsidRPr="00E56512">
        <w:rPr>
          <w:rFonts w:eastAsiaTheme="minorHAnsi"/>
        </w:rPr>
        <w:t xml:space="preserve">) etyl] </w:t>
      </w:r>
      <w:proofErr w:type="spellStart"/>
      <w:r w:rsidRPr="00E56512">
        <w:rPr>
          <w:rFonts w:eastAsiaTheme="minorHAnsi"/>
        </w:rPr>
        <w:t>indolu</w:t>
      </w:r>
      <w:proofErr w:type="spellEnd"/>
      <w:r w:rsidRPr="00E56512">
        <w:rPr>
          <w:rFonts w:eastAsiaTheme="minorHAnsi"/>
        </w:rPr>
        <w:t xml:space="preserve"> (DMT). Táto látka je v SR zaradená do skupiny I. psychotropných látok, je  uvedená v zozname I Dohovoru o psychotropných látkach z roku 1971. Účinky 5-MeO-DALT sú podobné ako u iných halucinogénov, napr. DOM a LSD. Neexistujú žiadne kontrolované štúdie o jeho liečebnom alebo priemyselnom využití.  </w:t>
      </w:r>
      <w:r w:rsidRPr="00E56512">
        <w:t xml:space="preserve">Ministerstvo vnútra SR  navrhuje zaradiť túto látku do I. skupiny omamných látok. S prihliadnutím na ustanovenie § 3 ods. 2 zákona Ministerstvo zdravotníctva SR navrhuje zaradenie látky do I. skupiny psychotropných látok. Na základe návrhu Ministerstva vnútra SR sa látka </w:t>
      </w:r>
      <w:r w:rsidRPr="00E56512">
        <w:rPr>
          <w:rFonts w:eastAsiaTheme="minorHAnsi"/>
          <w:bCs/>
        </w:rPr>
        <w:t xml:space="preserve">2 </w:t>
      </w:r>
      <w:r w:rsidRPr="00E56512">
        <w:rPr>
          <w:rFonts w:eastAsia="Times New Roman,Bold"/>
          <w:bCs/>
        </w:rPr>
        <w:t xml:space="preserve">– </w:t>
      </w:r>
      <w:proofErr w:type="spellStart"/>
      <w:r w:rsidRPr="00E56512">
        <w:rPr>
          <w:rFonts w:eastAsiaTheme="minorHAnsi"/>
          <w:bCs/>
        </w:rPr>
        <w:t>Metoxyetoxydifenidín</w:t>
      </w:r>
      <w:proofErr w:type="spellEnd"/>
      <w:r w:rsidRPr="00E56512">
        <w:rPr>
          <w:rFonts w:eastAsiaTheme="minorHAnsi"/>
          <w:bCs/>
        </w:rPr>
        <w:t xml:space="preserve"> navrhuje zaradiť </w:t>
      </w:r>
      <w:r w:rsidRPr="00E56512">
        <w:t>do skupiny I.  psychotropných látok. Je d</w:t>
      </w:r>
      <w:r w:rsidRPr="00E56512">
        <w:rPr>
          <w:rFonts w:eastAsiaTheme="minorHAnsi"/>
        </w:rPr>
        <w:t xml:space="preserve">ostupná  vo forme prášku alebo tabliet. Látka 2-MeO-difenidín je štrukturálne podobná </w:t>
      </w:r>
      <w:proofErr w:type="spellStart"/>
      <w:r w:rsidRPr="00E56512">
        <w:rPr>
          <w:rFonts w:eastAsiaTheme="minorHAnsi"/>
        </w:rPr>
        <w:t>fencyklidínu</w:t>
      </w:r>
      <w:proofErr w:type="spellEnd"/>
      <w:r w:rsidRPr="00E56512">
        <w:rPr>
          <w:rFonts w:eastAsiaTheme="minorHAnsi"/>
        </w:rPr>
        <w:t xml:space="preserve">, ktorý je kontrolovaný podľa Prílohy II Dohovoru o psychotropných látkach z roku 1971.V SR je </w:t>
      </w:r>
      <w:proofErr w:type="spellStart"/>
      <w:r w:rsidRPr="00E56512">
        <w:rPr>
          <w:rFonts w:eastAsiaTheme="minorHAnsi"/>
        </w:rPr>
        <w:t>fencyklidín</w:t>
      </w:r>
      <w:proofErr w:type="spellEnd"/>
      <w:r w:rsidRPr="00E56512">
        <w:rPr>
          <w:rFonts w:eastAsiaTheme="minorHAnsi"/>
        </w:rPr>
        <w:t xml:space="preserve"> zaradený do skupiny II. </w:t>
      </w:r>
      <w:r w:rsidRPr="00E56512">
        <w:rPr>
          <w:rFonts w:eastAsiaTheme="minorHAnsi"/>
        </w:rPr>
        <w:lastRenderedPageBreak/>
        <w:t xml:space="preserve">psychotropných látok.  Látka ovplyvňuje správanie, vyvoláva útlm, </w:t>
      </w:r>
      <w:proofErr w:type="spellStart"/>
      <w:r w:rsidRPr="00E56512">
        <w:rPr>
          <w:rFonts w:eastAsiaTheme="minorHAnsi"/>
        </w:rPr>
        <w:t>depersonalizáciu</w:t>
      </w:r>
      <w:proofErr w:type="spellEnd"/>
      <w:r w:rsidRPr="00E56512">
        <w:rPr>
          <w:rFonts w:eastAsiaTheme="minorHAnsi"/>
        </w:rPr>
        <w:t xml:space="preserve">, halucinácie, bludy a paranoje. Z fyzických účinkov sa vyskytuje </w:t>
      </w:r>
      <w:proofErr w:type="spellStart"/>
      <w:r w:rsidRPr="00E56512">
        <w:rPr>
          <w:rFonts w:eastAsiaTheme="minorHAnsi"/>
        </w:rPr>
        <w:t>tachykardia</w:t>
      </w:r>
      <w:proofErr w:type="spellEnd"/>
      <w:r w:rsidRPr="00E56512">
        <w:rPr>
          <w:rFonts w:eastAsiaTheme="minorHAnsi"/>
        </w:rPr>
        <w:t xml:space="preserve">, synkopa a </w:t>
      </w:r>
      <w:proofErr w:type="spellStart"/>
      <w:r w:rsidRPr="00E56512">
        <w:rPr>
          <w:rFonts w:eastAsiaTheme="minorHAnsi"/>
        </w:rPr>
        <w:t>hypertermia</w:t>
      </w:r>
      <w:proofErr w:type="spellEnd"/>
      <w:r w:rsidRPr="00E56512">
        <w:rPr>
          <w:rFonts w:eastAsiaTheme="minorHAnsi"/>
        </w:rPr>
        <w:t xml:space="preserve">. Neexistujú žiadne kontrolované štúdie o jeho liečebnom alebo priemyselnom využití. </w:t>
      </w:r>
      <w:r w:rsidRPr="00E56512">
        <w:t xml:space="preserve">Ministerstvo vnútra SR  navrhuje zaradiť túto látku do I. skupiny omamných látok. S prihliadnutím na ustanovenie § 3 ods. 2 zákona Ministerstvo zdravotníctva SR navrhuje zaradenie látky do I. skupiny psychotropných látok. Na základe rozhodnutia prijatého na 64. zasadnutí Komisie pre omamné látky Úradu OSN pre omamné látky a kriminalitu v dňoch 12. 4. až 16. 4. 2021 sa zaraďuje do skupiny I.  psychotropných látok látka 3– </w:t>
      </w:r>
      <w:proofErr w:type="spellStart"/>
      <w:r w:rsidRPr="00E56512">
        <w:t>metoxyfencyklidín</w:t>
      </w:r>
      <w:proofErr w:type="spellEnd"/>
      <w:r w:rsidRPr="00E56512">
        <w:t xml:space="preserve">. Predáva sa vo forme prášku a tabliet. Táto látka nemá terapeutické použitie a preto sa v súlade s § 3 ods. 2 zákona navrhuje zaradiť do I. skupiny psychotropných látok.  Svetová zdravotnícka organizácia vo svojom stanovisku uviedla, že látka 3– </w:t>
      </w:r>
      <w:proofErr w:type="spellStart"/>
      <w:r w:rsidRPr="00E56512">
        <w:t>metoxyfencyklidín</w:t>
      </w:r>
      <w:proofErr w:type="spellEnd"/>
      <w:r w:rsidRPr="00E56512">
        <w:t xml:space="preserve">, ak sa vyrába nezákonne predstavuje  riziko  pre verejné zdravie. Je </w:t>
      </w:r>
      <w:proofErr w:type="spellStart"/>
      <w:r w:rsidRPr="00E56512">
        <w:t>antagonistomreceptorov</w:t>
      </w:r>
      <w:proofErr w:type="spellEnd"/>
      <w:r w:rsidRPr="00E56512">
        <w:t xml:space="preserve"> N-</w:t>
      </w:r>
      <w:proofErr w:type="spellStart"/>
      <w:r w:rsidRPr="00E56512">
        <w:t>metyl</w:t>
      </w:r>
      <w:proofErr w:type="spellEnd"/>
      <w:r w:rsidRPr="00E56512">
        <w:t xml:space="preserve">-D- </w:t>
      </w:r>
      <w:proofErr w:type="spellStart"/>
      <w:r w:rsidRPr="00E56512">
        <w:t>aspartátu</w:t>
      </w:r>
      <w:proofErr w:type="spellEnd"/>
      <w:r w:rsidRPr="00E56512">
        <w:t xml:space="preserve"> (NMDA), ktorého mechanizmus účinku a vlastnosti sú podobné </w:t>
      </w:r>
      <w:proofErr w:type="spellStart"/>
      <w:r w:rsidRPr="00E56512">
        <w:t>fencyklidínu</w:t>
      </w:r>
      <w:proofErr w:type="spellEnd"/>
      <w:r w:rsidRPr="00E56512">
        <w:t>. Tieto účinky sa prejavujú mentálnymi zmenami ako sú konfúzia, dezorientácia, halucinácie a iné psychotické symptómy. Ďalšími účinkami sú kardiovaskulárne účinky ako hypertenzia a </w:t>
      </w:r>
      <w:proofErr w:type="spellStart"/>
      <w:r w:rsidRPr="00E56512">
        <w:t>tachykardia</w:t>
      </w:r>
      <w:proofErr w:type="spellEnd"/>
      <w:r w:rsidRPr="00E56512">
        <w:t xml:space="preserve"> spojené so psychózami, konfúziou a agitáciou, najmä u ľudí s vrodenými psychotickými ochoreniami. Prípady vážnych a smrteľných intoxikácií boli signalizované z viacerých regiónov.    </w:t>
      </w:r>
    </w:p>
    <w:p w14:paraId="1EE86728" w14:textId="77777777" w:rsidR="00F6233C" w:rsidRPr="00E56512" w:rsidRDefault="00F6233C" w:rsidP="00357B90">
      <w:pPr>
        <w:pStyle w:val="Nzov"/>
        <w:spacing w:line="360" w:lineRule="auto"/>
        <w:contextualSpacing/>
        <w:jc w:val="both"/>
        <w:rPr>
          <w:b w:val="0"/>
        </w:rPr>
      </w:pPr>
    </w:p>
    <w:p w14:paraId="54CA2ADE" w14:textId="77777777" w:rsidR="00F6233C" w:rsidRPr="00E56512" w:rsidRDefault="00F6233C" w:rsidP="00357B90">
      <w:pPr>
        <w:pStyle w:val="Nzov"/>
        <w:spacing w:line="360" w:lineRule="auto"/>
        <w:contextualSpacing/>
        <w:jc w:val="both"/>
        <w:rPr>
          <w:b w:val="0"/>
        </w:rPr>
      </w:pPr>
      <w:r w:rsidRPr="00E56512">
        <w:rPr>
          <w:b w:val="0"/>
        </w:rPr>
        <w:t>K bodu 13</w:t>
      </w:r>
    </w:p>
    <w:p w14:paraId="6ADB6F79" w14:textId="77777777" w:rsidR="00F6233C" w:rsidRPr="00E56512" w:rsidRDefault="00F6233C" w:rsidP="00357B90">
      <w:pPr>
        <w:autoSpaceDE w:val="0"/>
        <w:adjustRightInd w:val="0"/>
        <w:spacing w:line="360" w:lineRule="auto"/>
        <w:ind w:firstLine="708"/>
        <w:jc w:val="both"/>
        <w:rPr>
          <w:rFonts w:eastAsiaTheme="minorHAnsi"/>
        </w:rPr>
      </w:pPr>
      <w:r w:rsidRPr="00E56512">
        <w:t xml:space="preserve">Na základe návrhu Ministerstva vnútra SR sa látka </w:t>
      </w:r>
      <w:proofErr w:type="spellStart"/>
      <w:r w:rsidRPr="00E56512">
        <w:t>MXPr</w:t>
      </w:r>
      <w:proofErr w:type="spellEnd"/>
      <w:r w:rsidRPr="00E56512">
        <w:rPr>
          <w:rFonts w:eastAsiaTheme="minorHAnsi"/>
          <w:bCs/>
        </w:rPr>
        <w:t xml:space="preserve"> navrhuje zaradiť </w:t>
      </w:r>
      <w:r w:rsidRPr="00E56512">
        <w:t xml:space="preserve">do skupiny I.  psychotropných látok. </w:t>
      </w:r>
      <w:proofErr w:type="spellStart"/>
      <w:r w:rsidRPr="00E56512">
        <w:rPr>
          <w:rFonts w:eastAsiaTheme="minorHAnsi"/>
        </w:rPr>
        <w:t>MXPr</w:t>
      </w:r>
      <w:proofErr w:type="spellEnd"/>
      <w:r w:rsidRPr="00E56512">
        <w:rPr>
          <w:rFonts w:eastAsiaTheme="minorHAnsi"/>
        </w:rPr>
        <w:t xml:space="preserve"> je nová halucinogénna látka z triedy </w:t>
      </w:r>
      <w:proofErr w:type="spellStart"/>
      <w:r w:rsidRPr="00E56512">
        <w:rPr>
          <w:rFonts w:eastAsiaTheme="minorHAnsi"/>
        </w:rPr>
        <w:t>arylcyklohexylamínov</w:t>
      </w:r>
      <w:proofErr w:type="spellEnd"/>
      <w:r w:rsidRPr="00E56512">
        <w:rPr>
          <w:rFonts w:eastAsiaTheme="minorHAnsi"/>
        </w:rPr>
        <w:t xml:space="preserve"> s účinkami podobnými </w:t>
      </w:r>
      <w:proofErr w:type="spellStart"/>
      <w:r w:rsidRPr="00E56512">
        <w:rPr>
          <w:rFonts w:eastAsiaTheme="minorHAnsi"/>
        </w:rPr>
        <w:t>ketamínu</w:t>
      </w:r>
      <w:proofErr w:type="spellEnd"/>
      <w:r w:rsidRPr="00E56512">
        <w:rPr>
          <w:rFonts w:eastAsiaTheme="minorHAnsi"/>
        </w:rPr>
        <w:t xml:space="preserve"> a </w:t>
      </w:r>
      <w:proofErr w:type="spellStart"/>
      <w:r w:rsidRPr="00E56512">
        <w:rPr>
          <w:rFonts w:eastAsiaTheme="minorHAnsi"/>
        </w:rPr>
        <w:t>fencyklidínu</w:t>
      </w:r>
      <w:proofErr w:type="spellEnd"/>
      <w:r w:rsidRPr="00E56512">
        <w:rPr>
          <w:rFonts w:eastAsiaTheme="minorHAnsi"/>
        </w:rPr>
        <w:t xml:space="preserve"> (PCP). Dostupný je ako biely až hnedastý prášok. K najčastejším prejavom konzumácie </w:t>
      </w:r>
      <w:proofErr w:type="spellStart"/>
      <w:r w:rsidRPr="00E56512">
        <w:rPr>
          <w:rFonts w:eastAsiaTheme="minorHAnsi"/>
        </w:rPr>
        <w:t>MXPr</w:t>
      </w:r>
      <w:proofErr w:type="spellEnd"/>
      <w:r w:rsidRPr="00E56512">
        <w:rPr>
          <w:rFonts w:eastAsiaTheme="minorHAnsi"/>
        </w:rPr>
        <w:t xml:space="preserve"> patrí sčervenanie kože, nezrozumiteľná reč, depresia, nespavosť, strata koordinácie, dezorientácia, psychotické epizódy a halucinácie, zhoršené kognitívne funkcie, skreslené vnímanie a pod. Neexistujú žiadne kontrolované štúdie o jeho liečebnom alebo priemyselnom využití. </w:t>
      </w:r>
    </w:p>
    <w:p w14:paraId="7F505337" w14:textId="77777777" w:rsidR="00F6233C" w:rsidRPr="00E56512" w:rsidRDefault="00F6233C" w:rsidP="00357B90">
      <w:pPr>
        <w:autoSpaceDE w:val="0"/>
        <w:adjustRightInd w:val="0"/>
        <w:spacing w:line="360" w:lineRule="auto"/>
        <w:ind w:firstLine="709"/>
        <w:jc w:val="both"/>
      </w:pPr>
    </w:p>
    <w:p w14:paraId="4795524D" w14:textId="77777777" w:rsidR="00F6233C" w:rsidRPr="00E56512" w:rsidRDefault="00F6233C" w:rsidP="00357B90">
      <w:pPr>
        <w:pStyle w:val="Textbody"/>
        <w:spacing w:after="0" w:line="360" w:lineRule="auto"/>
        <w:rPr>
          <w:rFonts w:ascii="Times New Roman" w:hAnsi="Times New Roman" w:cs="Times New Roman"/>
          <w:sz w:val="24"/>
          <w:szCs w:val="24"/>
          <w:lang w:eastAsia="sk-SK"/>
        </w:rPr>
      </w:pPr>
      <w:r w:rsidRPr="00E56512">
        <w:rPr>
          <w:rFonts w:ascii="Times New Roman" w:hAnsi="Times New Roman" w:cs="Times New Roman"/>
          <w:sz w:val="24"/>
          <w:szCs w:val="24"/>
          <w:lang w:eastAsia="sk-SK"/>
        </w:rPr>
        <w:t>K bodu 15</w:t>
      </w:r>
    </w:p>
    <w:p w14:paraId="46832E69" w14:textId="77777777" w:rsidR="00F6233C" w:rsidRPr="00E56512" w:rsidRDefault="00F6233C" w:rsidP="00357B90">
      <w:pPr>
        <w:pStyle w:val="Textbody"/>
        <w:spacing w:line="360" w:lineRule="auto"/>
        <w:ind w:firstLine="708"/>
        <w:rPr>
          <w:rFonts w:ascii="Times New Roman" w:hAnsi="Times New Roman" w:cs="Times New Roman"/>
          <w:sz w:val="24"/>
          <w:szCs w:val="24"/>
          <w:lang w:eastAsia="sk-SK"/>
        </w:rPr>
      </w:pPr>
      <w:r w:rsidRPr="00E56512">
        <w:rPr>
          <w:rFonts w:ascii="Times New Roman" w:hAnsi="Times New Roman" w:cs="Times New Roman"/>
          <w:sz w:val="24"/>
          <w:szCs w:val="24"/>
          <w:lang w:eastAsia="sk-SK"/>
        </w:rPr>
        <w:t xml:space="preserve">Transpozičná príloha sa dopĺňa bodom 4, ktorým sa odkazuje v súlade s článkom 2 odsekom 2 delegovanej smernice Komisie 2021/802 na </w:t>
      </w:r>
      <w:r w:rsidRPr="00E56512">
        <w:rPr>
          <w:rFonts w:ascii="Times New Roman" w:hAnsi="Times New Roman" w:cs="Times New Roman"/>
          <w:sz w:val="24"/>
          <w:szCs w:val="24"/>
        </w:rPr>
        <w:t xml:space="preserve">delegovanú smernicu Komisie (EÚ) 2021/802 z 12. marca 2021, ktorou sa mení príloha k rámcovému rozhodnutiu Rady 2004/757/SVV, pokiaľ ide o zaradenie nových </w:t>
      </w:r>
      <w:proofErr w:type="spellStart"/>
      <w:r w:rsidRPr="00E56512">
        <w:rPr>
          <w:rFonts w:ascii="Times New Roman" w:hAnsi="Times New Roman" w:cs="Times New Roman"/>
          <w:sz w:val="24"/>
          <w:szCs w:val="24"/>
        </w:rPr>
        <w:t>psychoaktívnych</w:t>
      </w:r>
      <w:proofErr w:type="spellEnd"/>
      <w:r w:rsidRPr="00E56512">
        <w:rPr>
          <w:rFonts w:ascii="Times New Roman" w:hAnsi="Times New Roman" w:cs="Times New Roman"/>
          <w:sz w:val="24"/>
          <w:szCs w:val="24"/>
        </w:rPr>
        <w:t xml:space="preserve"> látok metyl-3,3-dimetyl-2-{[1-(pent-4-én-1-yl)-1</w:t>
      </w:r>
      <w:r w:rsidRPr="00E56512">
        <w:rPr>
          <w:rFonts w:ascii="Times New Roman" w:hAnsi="Times New Roman" w:cs="Times New Roman"/>
          <w:i/>
          <w:iCs/>
          <w:sz w:val="24"/>
          <w:szCs w:val="24"/>
        </w:rPr>
        <w:t>H</w:t>
      </w:r>
      <w:r w:rsidRPr="00E56512">
        <w:rPr>
          <w:rFonts w:ascii="Times New Roman" w:hAnsi="Times New Roman" w:cs="Times New Roman"/>
          <w:sz w:val="24"/>
          <w:szCs w:val="24"/>
        </w:rPr>
        <w:t>-indazol-3-karbonyl]amino}butanoát (MDMB-4en-PINACA) a metyl-2-</w:t>
      </w:r>
      <w:r w:rsidRPr="00E56512">
        <w:rPr>
          <w:rFonts w:ascii="Times New Roman" w:hAnsi="Times New Roman" w:cs="Times New Roman"/>
          <w:sz w:val="24"/>
          <w:szCs w:val="24"/>
        </w:rPr>
        <w:lastRenderedPageBreak/>
        <w:t>{[1-(4-fluórbutyl)-1</w:t>
      </w:r>
      <w:r w:rsidRPr="00E56512">
        <w:rPr>
          <w:rFonts w:ascii="Times New Roman" w:hAnsi="Times New Roman" w:cs="Times New Roman"/>
          <w:i/>
          <w:iCs/>
          <w:sz w:val="24"/>
          <w:szCs w:val="24"/>
        </w:rPr>
        <w:t>H</w:t>
      </w:r>
      <w:r w:rsidRPr="00E56512">
        <w:rPr>
          <w:rFonts w:ascii="Times New Roman" w:hAnsi="Times New Roman" w:cs="Times New Roman"/>
          <w:sz w:val="24"/>
          <w:szCs w:val="24"/>
        </w:rPr>
        <w:t xml:space="preserve">-indol-3-karbonyl]amino}-3,3-dimetylbutanoát (4F-MDMB-BICA) do vymedzenia pojmu drogy </w:t>
      </w:r>
      <w:r w:rsidRPr="00E56512">
        <w:rPr>
          <w:rFonts w:ascii="Times New Roman" w:hAnsi="Times New Roman" w:cs="Times New Roman"/>
          <w:color w:val="000000"/>
          <w:sz w:val="24"/>
          <w:szCs w:val="24"/>
          <w:shd w:val="clear" w:color="auto" w:fill="FBFBFB"/>
        </w:rPr>
        <w:t>(Ú. v. EÚ L 178, 20. 5. 2021)</w:t>
      </w:r>
      <w:r w:rsidRPr="00E56512">
        <w:rPr>
          <w:rFonts w:ascii="Times New Roman" w:hAnsi="Times New Roman" w:cs="Times New Roman"/>
          <w:sz w:val="24"/>
          <w:szCs w:val="24"/>
        </w:rPr>
        <w:t>.</w:t>
      </w:r>
    </w:p>
    <w:p w14:paraId="31985533" w14:textId="77777777" w:rsidR="00F6233C" w:rsidRPr="00E56512" w:rsidRDefault="00F6233C" w:rsidP="00357B90">
      <w:pPr>
        <w:pStyle w:val="Standard"/>
        <w:spacing w:after="0" w:line="360" w:lineRule="auto"/>
        <w:ind w:left="708"/>
        <w:contextualSpacing/>
        <w:rPr>
          <w:rFonts w:ascii="Times New Roman" w:hAnsi="Times New Roman" w:cs="Times New Roman"/>
          <w:sz w:val="24"/>
          <w:szCs w:val="24"/>
        </w:rPr>
      </w:pPr>
    </w:p>
    <w:p w14:paraId="3C096450" w14:textId="77777777" w:rsidR="00F6233C" w:rsidRPr="00E56512" w:rsidRDefault="00F6233C" w:rsidP="00357B90">
      <w:pPr>
        <w:pStyle w:val="Standard"/>
        <w:spacing w:line="360" w:lineRule="auto"/>
        <w:contextualSpacing/>
        <w:rPr>
          <w:rFonts w:ascii="Times New Roman" w:hAnsi="Times New Roman" w:cs="Times New Roman"/>
          <w:sz w:val="24"/>
          <w:szCs w:val="24"/>
        </w:rPr>
      </w:pPr>
      <w:r>
        <w:rPr>
          <w:rFonts w:ascii="Times New Roman" w:hAnsi="Times New Roman" w:cs="Times New Roman"/>
          <w:b/>
          <w:sz w:val="24"/>
          <w:szCs w:val="24"/>
        </w:rPr>
        <w:t>K Č</w:t>
      </w:r>
      <w:r w:rsidRPr="00E56512">
        <w:rPr>
          <w:rFonts w:ascii="Times New Roman" w:hAnsi="Times New Roman" w:cs="Times New Roman"/>
          <w:b/>
          <w:sz w:val="24"/>
          <w:szCs w:val="24"/>
        </w:rPr>
        <w:t>l. II</w:t>
      </w:r>
    </w:p>
    <w:p w14:paraId="4F5A2249" w14:textId="77777777" w:rsidR="00F6233C" w:rsidRPr="00E56512" w:rsidRDefault="00F6233C" w:rsidP="00357B90">
      <w:pPr>
        <w:pStyle w:val="Standard"/>
        <w:spacing w:line="360" w:lineRule="auto"/>
        <w:ind w:firstLine="708"/>
        <w:contextualSpacing/>
        <w:rPr>
          <w:rFonts w:ascii="Times New Roman" w:hAnsi="Times New Roman" w:cs="Times New Roman"/>
          <w:sz w:val="24"/>
          <w:szCs w:val="24"/>
        </w:rPr>
      </w:pPr>
      <w:r w:rsidRPr="00E56512">
        <w:rPr>
          <w:rFonts w:ascii="Times New Roman" w:hAnsi="Times New Roman" w:cs="Times New Roman"/>
          <w:sz w:val="24"/>
          <w:szCs w:val="24"/>
        </w:rPr>
        <w:t>Navrhuje sa dátum nadobudnutia účinnosti zákona.</w:t>
      </w:r>
    </w:p>
    <w:p w14:paraId="4DE01E4F" w14:textId="674402D8" w:rsidR="00F6233C" w:rsidRDefault="00F6233C" w:rsidP="00357B90">
      <w:pPr>
        <w:spacing w:line="360" w:lineRule="auto"/>
        <w:ind w:firstLine="567"/>
        <w:jc w:val="both"/>
      </w:pPr>
    </w:p>
    <w:p w14:paraId="4B0847DE" w14:textId="1C856476" w:rsidR="001D3500" w:rsidRPr="009236A3" w:rsidRDefault="00B674C8" w:rsidP="00B674C8">
      <w:pPr>
        <w:suppressAutoHyphens/>
        <w:autoSpaceDN w:val="0"/>
        <w:spacing w:line="360" w:lineRule="auto"/>
        <w:contextualSpacing/>
        <w:jc w:val="both"/>
        <w:textAlignment w:val="baseline"/>
        <w:rPr>
          <w:rFonts w:eastAsia="SimSun"/>
          <w:kern w:val="3"/>
        </w:rPr>
      </w:pPr>
      <w:r>
        <w:t>V Bratislave dňa 29</w:t>
      </w:r>
      <w:r w:rsidR="001D3500" w:rsidRPr="009236A3">
        <w:t>. septembra 2021</w:t>
      </w:r>
    </w:p>
    <w:p w14:paraId="17B9F97D" w14:textId="77777777" w:rsidR="001D3500" w:rsidRPr="009236A3" w:rsidRDefault="001D3500" w:rsidP="00357B90">
      <w:pPr>
        <w:pStyle w:val="Normlnywebov"/>
        <w:spacing w:line="276" w:lineRule="auto"/>
        <w:jc w:val="both"/>
      </w:pPr>
    </w:p>
    <w:p w14:paraId="54A4E682" w14:textId="77777777" w:rsidR="001D3500" w:rsidRPr="009236A3" w:rsidRDefault="001D3500" w:rsidP="00357B90">
      <w:pPr>
        <w:pStyle w:val="Normlnywebov"/>
        <w:spacing w:line="276" w:lineRule="auto"/>
        <w:jc w:val="both"/>
      </w:pPr>
    </w:p>
    <w:p w14:paraId="552BE89C" w14:textId="77777777" w:rsidR="001D3500" w:rsidRPr="009236A3" w:rsidRDefault="001D3500" w:rsidP="00357B90">
      <w:pPr>
        <w:pStyle w:val="Normlnywebov"/>
        <w:spacing w:line="276" w:lineRule="auto"/>
        <w:jc w:val="both"/>
      </w:pPr>
    </w:p>
    <w:p w14:paraId="10878B48" w14:textId="77777777" w:rsidR="001D3500" w:rsidRPr="009236A3" w:rsidRDefault="001D3500" w:rsidP="00357B90">
      <w:pPr>
        <w:pStyle w:val="Normlnywebov"/>
        <w:spacing w:line="276" w:lineRule="auto"/>
        <w:jc w:val="both"/>
      </w:pPr>
    </w:p>
    <w:p w14:paraId="3AF6FE22" w14:textId="77777777" w:rsidR="001D3500" w:rsidRPr="009236A3" w:rsidRDefault="001D3500" w:rsidP="00357B90">
      <w:pPr>
        <w:pStyle w:val="Normlnywebov"/>
        <w:spacing w:line="276" w:lineRule="auto"/>
        <w:jc w:val="center"/>
      </w:pPr>
    </w:p>
    <w:p w14:paraId="308021F0" w14:textId="42064F7D" w:rsidR="001D3500" w:rsidRPr="009236A3" w:rsidRDefault="001D3500" w:rsidP="00357B90">
      <w:pPr>
        <w:pStyle w:val="Normlnywebov"/>
        <w:spacing w:line="276" w:lineRule="auto"/>
        <w:jc w:val="center"/>
        <w:rPr>
          <w:b/>
        </w:rPr>
      </w:pPr>
      <w:r w:rsidRPr="009236A3">
        <w:rPr>
          <w:b/>
        </w:rPr>
        <w:t xml:space="preserve">Eduard </w:t>
      </w:r>
      <w:proofErr w:type="spellStart"/>
      <w:r w:rsidRPr="009236A3">
        <w:rPr>
          <w:b/>
        </w:rPr>
        <w:t>Heger</w:t>
      </w:r>
      <w:proofErr w:type="spellEnd"/>
      <w:r w:rsidR="00BB5E24">
        <w:rPr>
          <w:b/>
        </w:rPr>
        <w:t xml:space="preserve"> v. r.</w:t>
      </w:r>
    </w:p>
    <w:p w14:paraId="3EA2C7E2" w14:textId="77777777" w:rsidR="001D3500" w:rsidRPr="009236A3" w:rsidRDefault="001D3500" w:rsidP="00357B90">
      <w:pPr>
        <w:pStyle w:val="Normlnywebov"/>
        <w:spacing w:line="276" w:lineRule="auto"/>
        <w:jc w:val="center"/>
        <w:rPr>
          <w:b/>
        </w:rPr>
      </w:pPr>
      <w:r w:rsidRPr="009236A3">
        <w:rPr>
          <w:b/>
        </w:rPr>
        <w:t>predseda vlády</w:t>
      </w:r>
    </w:p>
    <w:p w14:paraId="05DAFED3" w14:textId="77777777" w:rsidR="001D3500" w:rsidRPr="009236A3" w:rsidRDefault="001D3500" w:rsidP="00357B90">
      <w:pPr>
        <w:pStyle w:val="Normlnywebov"/>
        <w:spacing w:line="276" w:lineRule="auto"/>
        <w:jc w:val="center"/>
        <w:rPr>
          <w:b/>
        </w:rPr>
      </w:pPr>
      <w:r w:rsidRPr="009236A3">
        <w:rPr>
          <w:b/>
        </w:rPr>
        <w:t>Slovenskej republiky</w:t>
      </w:r>
    </w:p>
    <w:p w14:paraId="3D6E9056" w14:textId="77777777" w:rsidR="001D3500" w:rsidRPr="009236A3" w:rsidRDefault="001D3500" w:rsidP="00357B90">
      <w:pPr>
        <w:pStyle w:val="Normlnywebov"/>
        <w:spacing w:line="276" w:lineRule="auto"/>
        <w:jc w:val="center"/>
        <w:rPr>
          <w:b/>
        </w:rPr>
      </w:pPr>
    </w:p>
    <w:p w14:paraId="55A4091C" w14:textId="77777777" w:rsidR="001D3500" w:rsidRPr="009236A3" w:rsidRDefault="001D3500" w:rsidP="00357B90">
      <w:pPr>
        <w:pStyle w:val="Normlnywebov"/>
        <w:spacing w:line="276" w:lineRule="auto"/>
        <w:jc w:val="center"/>
        <w:rPr>
          <w:b/>
        </w:rPr>
      </w:pPr>
    </w:p>
    <w:p w14:paraId="10FE5729" w14:textId="77777777" w:rsidR="001D3500" w:rsidRPr="009236A3" w:rsidRDefault="001D3500" w:rsidP="00357B90">
      <w:pPr>
        <w:pStyle w:val="Normlnywebov"/>
        <w:spacing w:line="276" w:lineRule="auto"/>
        <w:jc w:val="center"/>
        <w:rPr>
          <w:b/>
        </w:rPr>
      </w:pPr>
    </w:p>
    <w:p w14:paraId="08626729" w14:textId="77777777" w:rsidR="001D3500" w:rsidRPr="009236A3" w:rsidRDefault="001D3500" w:rsidP="00357B90">
      <w:pPr>
        <w:pStyle w:val="Normlnywebov"/>
        <w:spacing w:line="276" w:lineRule="auto"/>
        <w:jc w:val="center"/>
        <w:rPr>
          <w:b/>
        </w:rPr>
      </w:pPr>
    </w:p>
    <w:p w14:paraId="421C4A44" w14:textId="77777777" w:rsidR="001D3500" w:rsidRPr="009236A3" w:rsidRDefault="001D3500" w:rsidP="00357B90">
      <w:pPr>
        <w:pStyle w:val="Normlnywebov"/>
        <w:spacing w:line="276" w:lineRule="auto"/>
        <w:jc w:val="center"/>
        <w:rPr>
          <w:b/>
        </w:rPr>
      </w:pPr>
    </w:p>
    <w:p w14:paraId="5259D949" w14:textId="0D5458E3" w:rsidR="001D3500" w:rsidRPr="009236A3" w:rsidRDefault="001D3500" w:rsidP="00357B90">
      <w:pPr>
        <w:pStyle w:val="Normlnywebov"/>
        <w:spacing w:line="276" w:lineRule="auto"/>
        <w:jc w:val="center"/>
        <w:rPr>
          <w:b/>
        </w:rPr>
      </w:pPr>
      <w:r w:rsidRPr="009236A3">
        <w:rPr>
          <w:b/>
        </w:rPr>
        <w:t>Vladimír Lengvarský</w:t>
      </w:r>
      <w:r w:rsidR="00BB5E24">
        <w:rPr>
          <w:b/>
        </w:rPr>
        <w:t xml:space="preserve"> v. r.</w:t>
      </w:r>
      <w:bookmarkStart w:id="0" w:name="_GoBack"/>
      <w:bookmarkEnd w:id="0"/>
    </w:p>
    <w:p w14:paraId="5BF1A367" w14:textId="77777777" w:rsidR="001D3500" w:rsidRPr="009236A3" w:rsidRDefault="001D3500" w:rsidP="00357B90">
      <w:pPr>
        <w:pStyle w:val="Normlnywebov"/>
        <w:spacing w:line="276" w:lineRule="auto"/>
        <w:jc w:val="center"/>
        <w:rPr>
          <w:b/>
        </w:rPr>
      </w:pPr>
      <w:r w:rsidRPr="009236A3">
        <w:rPr>
          <w:b/>
        </w:rPr>
        <w:t>minister zdravotníctva</w:t>
      </w:r>
    </w:p>
    <w:p w14:paraId="1798CA02" w14:textId="512C99DF" w:rsidR="00B35500" w:rsidRPr="001D3500" w:rsidRDefault="001D3500" w:rsidP="00357B90">
      <w:pPr>
        <w:pStyle w:val="Normlnywebov"/>
        <w:spacing w:line="276" w:lineRule="auto"/>
        <w:jc w:val="center"/>
        <w:rPr>
          <w:rStyle w:val="Textzstupnhosymbolu1"/>
          <w:color w:val="auto"/>
        </w:rPr>
      </w:pPr>
      <w:r w:rsidRPr="009236A3">
        <w:rPr>
          <w:b/>
        </w:rPr>
        <w:t>Slovenskej republiky</w:t>
      </w:r>
    </w:p>
    <w:sectPr w:rsidR="00B35500" w:rsidRPr="001D3500" w:rsidSect="00DC67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7FEC4" w14:textId="77777777" w:rsidR="00F73F58" w:rsidRDefault="00F73F58">
      <w:r>
        <w:separator/>
      </w:r>
    </w:p>
  </w:endnote>
  <w:endnote w:type="continuationSeparator" w:id="0">
    <w:p w14:paraId="00ECD495" w14:textId="77777777" w:rsidR="00F73F58" w:rsidRDefault="00F7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 New Roman,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755358"/>
      <w:docPartObj>
        <w:docPartGallery w:val="Page Numbers (Bottom of Page)"/>
        <w:docPartUnique/>
      </w:docPartObj>
    </w:sdtPr>
    <w:sdtEndPr/>
    <w:sdtContent>
      <w:p w14:paraId="6B549F85" w14:textId="36BA4936" w:rsidR="00DC67FC" w:rsidRDefault="00DC67FC">
        <w:pPr>
          <w:pStyle w:val="Pta"/>
          <w:jc w:val="center"/>
        </w:pPr>
        <w:r>
          <w:fldChar w:fldCharType="begin"/>
        </w:r>
        <w:r>
          <w:instrText>PAGE   \* MERGEFORMAT</w:instrText>
        </w:r>
        <w:r>
          <w:fldChar w:fldCharType="separate"/>
        </w:r>
        <w:r w:rsidR="00BB5E24">
          <w:rPr>
            <w:noProof/>
          </w:rPr>
          <w:t>15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41E89" w14:textId="7024308E" w:rsidR="00DC67FC" w:rsidRDefault="00DC67FC">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09B76" w14:textId="77777777" w:rsidR="00F73F58" w:rsidRDefault="00F73F58">
      <w:r>
        <w:separator/>
      </w:r>
    </w:p>
  </w:footnote>
  <w:footnote w:type="continuationSeparator" w:id="0">
    <w:p w14:paraId="3489669B" w14:textId="77777777" w:rsidR="00F73F58" w:rsidRDefault="00F73F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B2EA8"/>
    <w:multiLevelType w:val="hybridMultilevel"/>
    <w:tmpl w:val="7DC0BEE0"/>
    <w:lvl w:ilvl="0" w:tplc="0EB804DA">
      <w:start w:val="2"/>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 w15:restartNumberingAfterBreak="0">
    <w:nsid w:val="23D43480"/>
    <w:multiLevelType w:val="multilevel"/>
    <w:tmpl w:val="3DBEFF6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2E0C5049"/>
    <w:multiLevelType w:val="hybridMultilevel"/>
    <w:tmpl w:val="6B005684"/>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57192ACB"/>
    <w:multiLevelType w:val="hybridMultilevel"/>
    <w:tmpl w:val="3CB8E0E0"/>
    <w:lvl w:ilvl="0" w:tplc="A4E46522">
      <w:start w:val="2"/>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5C806FFB"/>
    <w:multiLevelType w:val="hybridMultilevel"/>
    <w:tmpl w:val="28D49538"/>
    <w:lvl w:ilvl="0" w:tplc="2D125D08">
      <w:start w:val="1"/>
      <w:numFmt w:val="lowerLetter"/>
      <w:lvlText w:val="%1)"/>
      <w:lvlJc w:val="left"/>
      <w:pPr>
        <w:ind w:left="1068" w:hanging="360"/>
      </w:pPr>
      <w:rPr>
        <w:rFonts w:hint="default"/>
        <w:i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5CB67311"/>
    <w:multiLevelType w:val="hybridMultilevel"/>
    <w:tmpl w:val="67C80438"/>
    <w:lvl w:ilvl="0" w:tplc="2BACDA46">
      <w:start w:val="1"/>
      <w:numFmt w:val="lowerLetter"/>
      <w:lvlText w:val="%1)"/>
      <w:lvlJc w:val="left"/>
      <w:pPr>
        <w:ind w:left="720" w:hanging="360"/>
      </w:pPr>
      <w:rPr>
        <w:rFonts w:hint="default"/>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3C33B4"/>
    <w:multiLevelType w:val="hybridMultilevel"/>
    <w:tmpl w:val="71AC4536"/>
    <w:lvl w:ilvl="0" w:tplc="041B0017">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B8"/>
    <w:rsid w:val="00005D91"/>
    <w:rsid w:val="000064E7"/>
    <w:rsid w:val="00026B8A"/>
    <w:rsid w:val="00030474"/>
    <w:rsid w:val="0004398A"/>
    <w:rsid w:val="000665ED"/>
    <w:rsid w:val="00080C07"/>
    <w:rsid w:val="000B1FCB"/>
    <w:rsid w:val="000B4B2C"/>
    <w:rsid w:val="000B635C"/>
    <w:rsid w:val="000C0F0A"/>
    <w:rsid w:val="000C1A71"/>
    <w:rsid w:val="000D12AE"/>
    <w:rsid w:val="000D4E41"/>
    <w:rsid w:val="000E54B0"/>
    <w:rsid w:val="001102C4"/>
    <w:rsid w:val="0012097D"/>
    <w:rsid w:val="00155AF7"/>
    <w:rsid w:val="00161435"/>
    <w:rsid w:val="00195B2A"/>
    <w:rsid w:val="001D3500"/>
    <w:rsid w:val="001D4F64"/>
    <w:rsid w:val="001D57D5"/>
    <w:rsid w:val="00202880"/>
    <w:rsid w:val="00235454"/>
    <w:rsid w:val="00251199"/>
    <w:rsid w:val="00256300"/>
    <w:rsid w:val="0026076E"/>
    <w:rsid w:val="00290250"/>
    <w:rsid w:val="002A5DF9"/>
    <w:rsid w:val="002C5660"/>
    <w:rsid w:val="002D78EA"/>
    <w:rsid w:val="0030701C"/>
    <w:rsid w:val="00320508"/>
    <w:rsid w:val="00330082"/>
    <w:rsid w:val="0033576E"/>
    <w:rsid w:val="00357B90"/>
    <w:rsid w:val="003729CB"/>
    <w:rsid w:val="003822D8"/>
    <w:rsid w:val="003868ED"/>
    <w:rsid w:val="00390CC1"/>
    <w:rsid w:val="003A6EE9"/>
    <w:rsid w:val="003B53AD"/>
    <w:rsid w:val="003D5AEE"/>
    <w:rsid w:val="003F29D9"/>
    <w:rsid w:val="003F70FA"/>
    <w:rsid w:val="00454F1A"/>
    <w:rsid w:val="004756CA"/>
    <w:rsid w:val="004B0D67"/>
    <w:rsid w:val="004B280C"/>
    <w:rsid w:val="004B51C7"/>
    <w:rsid w:val="004C6E3B"/>
    <w:rsid w:val="004D59F5"/>
    <w:rsid w:val="0052144E"/>
    <w:rsid w:val="00522CB6"/>
    <w:rsid w:val="00533177"/>
    <w:rsid w:val="00554297"/>
    <w:rsid w:val="00556940"/>
    <w:rsid w:val="00567D34"/>
    <w:rsid w:val="005833A5"/>
    <w:rsid w:val="00595720"/>
    <w:rsid w:val="005A445F"/>
    <w:rsid w:val="005A67F0"/>
    <w:rsid w:val="005D210C"/>
    <w:rsid w:val="005D339F"/>
    <w:rsid w:val="005D7DEE"/>
    <w:rsid w:val="005E4458"/>
    <w:rsid w:val="005E7CAD"/>
    <w:rsid w:val="005F00E9"/>
    <w:rsid w:val="005F3988"/>
    <w:rsid w:val="005F5585"/>
    <w:rsid w:val="00605F3C"/>
    <w:rsid w:val="0060782E"/>
    <w:rsid w:val="00615A43"/>
    <w:rsid w:val="00633915"/>
    <w:rsid w:val="00633B65"/>
    <w:rsid w:val="0063736D"/>
    <w:rsid w:val="00653A85"/>
    <w:rsid w:val="00666E6C"/>
    <w:rsid w:val="006A2AAB"/>
    <w:rsid w:val="006B10DF"/>
    <w:rsid w:val="006C2931"/>
    <w:rsid w:val="006C3D83"/>
    <w:rsid w:val="006E362E"/>
    <w:rsid w:val="006F1977"/>
    <w:rsid w:val="00716091"/>
    <w:rsid w:val="007259D2"/>
    <w:rsid w:val="00726356"/>
    <w:rsid w:val="007331DD"/>
    <w:rsid w:val="00740672"/>
    <w:rsid w:val="00742F31"/>
    <w:rsid w:val="007809FE"/>
    <w:rsid w:val="007831C1"/>
    <w:rsid w:val="00786A4A"/>
    <w:rsid w:val="00790E49"/>
    <w:rsid w:val="007936A2"/>
    <w:rsid w:val="00793D38"/>
    <w:rsid w:val="007C6F61"/>
    <w:rsid w:val="007E0763"/>
    <w:rsid w:val="007F277D"/>
    <w:rsid w:val="007F640D"/>
    <w:rsid w:val="00804AE6"/>
    <w:rsid w:val="00806FA6"/>
    <w:rsid w:val="00807378"/>
    <w:rsid w:val="00815B2D"/>
    <w:rsid w:val="00846152"/>
    <w:rsid w:val="008536D8"/>
    <w:rsid w:val="00856AF4"/>
    <w:rsid w:val="00864A73"/>
    <w:rsid w:val="008732E7"/>
    <w:rsid w:val="00891844"/>
    <w:rsid w:val="008B07F7"/>
    <w:rsid w:val="008D1F66"/>
    <w:rsid w:val="008F614E"/>
    <w:rsid w:val="008F6C49"/>
    <w:rsid w:val="00903474"/>
    <w:rsid w:val="00912724"/>
    <w:rsid w:val="0094393A"/>
    <w:rsid w:val="00960782"/>
    <w:rsid w:val="00961E12"/>
    <w:rsid w:val="009804CD"/>
    <w:rsid w:val="00980611"/>
    <w:rsid w:val="00990F5E"/>
    <w:rsid w:val="00995180"/>
    <w:rsid w:val="009C02BB"/>
    <w:rsid w:val="009C3713"/>
    <w:rsid w:val="009D6FBE"/>
    <w:rsid w:val="00A033AD"/>
    <w:rsid w:val="00A05468"/>
    <w:rsid w:val="00A16340"/>
    <w:rsid w:val="00A16392"/>
    <w:rsid w:val="00A236FB"/>
    <w:rsid w:val="00A3008A"/>
    <w:rsid w:val="00A31B56"/>
    <w:rsid w:val="00A465D7"/>
    <w:rsid w:val="00A73410"/>
    <w:rsid w:val="00A76645"/>
    <w:rsid w:val="00A83D3E"/>
    <w:rsid w:val="00A86F26"/>
    <w:rsid w:val="00A94E46"/>
    <w:rsid w:val="00AA7348"/>
    <w:rsid w:val="00B1376D"/>
    <w:rsid w:val="00B32EDA"/>
    <w:rsid w:val="00B35500"/>
    <w:rsid w:val="00B520C0"/>
    <w:rsid w:val="00B674C8"/>
    <w:rsid w:val="00B734D6"/>
    <w:rsid w:val="00BB07B8"/>
    <w:rsid w:val="00BB5E24"/>
    <w:rsid w:val="00BC4AD2"/>
    <w:rsid w:val="00BE3622"/>
    <w:rsid w:val="00BE7305"/>
    <w:rsid w:val="00C172B5"/>
    <w:rsid w:val="00C23138"/>
    <w:rsid w:val="00C260D8"/>
    <w:rsid w:val="00C313C6"/>
    <w:rsid w:val="00C41E0B"/>
    <w:rsid w:val="00C44D05"/>
    <w:rsid w:val="00C76A1D"/>
    <w:rsid w:val="00C82BB3"/>
    <w:rsid w:val="00C9707D"/>
    <w:rsid w:val="00CA3507"/>
    <w:rsid w:val="00CB144C"/>
    <w:rsid w:val="00CB3568"/>
    <w:rsid w:val="00CF3A69"/>
    <w:rsid w:val="00CF6368"/>
    <w:rsid w:val="00D0360B"/>
    <w:rsid w:val="00D32F11"/>
    <w:rsid w:val="00D44AEE"/>
    <w:rsid w:val="00D77C53"/>
    <w:rsid w:val="00DC67FC"/>
    <w:rsid w:val="00DD6E3E"/>
    <w:rsid w:val="00DF0DF1"/>
    <w:rsid w:val="00DF4E86"/>
    <w:rsid w:val="00E06350"/>
    <w:rsid w:val="00E1251F"/>
    <w:rsid w:val="00E2396C"/>
    <w:rsid w:val="00E2587C"/>
    <w:rsid w:val="00E33A7A"/>
    <w:rsid w:val="00E413E1"/>
    <w:rsid w:val="00E518FB"/>
    <w:rsid w:val="00E5323A"/>
    <w:rsid w:val="00E75EC3"/>
    <w:rsid w:val="00E85994"/>
    <w:rsid w:val="00E91B50"/>
    <w:rsid w:val="00E946CC"/>
    <w:rsid w:val="00E97B8E"/>
    <w:rsid w:val="00EE0137"/>
    <w:rsid w:val="00EF04BB"/>
    <w:rsid w:val="00F103CF"/>
    <w:rsid w:val="00F2534D"/>
    <w:rsid w:val="00F30629"/>
    <w:rsid w:val="00F52115"/>
    <w:rsid w:val="00F56C23"/>
    <w:rsid w:val="00F6233C"/>
    <w:rsid w:val="00F72780"/>
    <w:rsid w:val="00F73F58"/>
    <w:rsid w:val="00F814C4"/>
    <w:rsid w:val="00FA6FC2"/>
    <w:rsid w:val="00FE757D"/>
    <w:rsid w:val="00FF3F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5417C4"/>
  <w14:defaultImageDpi w14:val="0"/>
  <w15:docId w15:val="{3B8DDBB9-525C-4D00-8808-F45CFB45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basedOn w:val="Normlny"/>
    <w:next w:val="Normlny"/>
    <w:link w:val="Nadpis1Char"/>
    <w:uiPriority w:val="9"/>
    <w:qFormat/>
    <w:pPr>
      <w:keepNext/>
      <w:spacing w:line="240" w:lineRule="atLeast"/>
      <w:outlineLvl w:val="0"/>
    </w:pPr>
    <w:rPr>
      <w:b/>
      <w:bCs/>
      <w:color w:val="FF0000"/>
      <w:sz w:val="22"/>
      <w:szCs w:val="22"/>
    </w:rPr>
  </w:style>
  <w:style w:type="paragraph" w:styleId="Nadpis5">
    <w:name w:val="heading 5"/>
    <w:basedOn w:val="Normlny"/>
    <w:next w:val="Normlny"/>
    <w:link w:val="Nadpis5Char"/>
    <w:uiPriority w:val="9"/>
    <w:qFormat/>
    <w:pPr>
      <w:keepNext/>
      <w:overflowPunct w:val="0"/>
      <w:autoSpaceDE w:val="0"/>
      <w:autoSpaceDN w:val="0"/>
      <w:adjustRightInd w:val="0"/>
      <w:spacing w:line="240" w:lineRule="atLeast"/>
      <w:jc w:val="center"/>
      <w:textAlignment w:val="baseline"/>
      <w:outlineLvl w:val="4"/>
    </w:pPr>
    <w:rPr>
      <w:b/>
      <w:bCs/>
      <w:color w:val="000000"/>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5Char">
    <w:name w:val="Nadpis 5 Char"/>
    <w:basedOn w:val="Predvolenpsmoodseku"/>
    <w:link w:val="Nadpis5"/>
    <w:uiPriority w:val="9"/>
    <w:semiHidden/>
    <w:locked/>
    <w:rPr>
      <w:rFonts w:asciiTheme="minorHAnsi" w:eastAsiaTheme="minorEastAsia" w:hAnsiTheme="minorHAnsi" w:cs="Times New Roman"/>
      <w:b/>
      <w:bCs/>
      <w:i/>
      <w:iCs/>
      <w:sz w:val="26"/>
      <w:szCs w:val="26"/>
    </w:rPr>
  </w:style>
  <w:style w:type="paragraph" w:styleId="Nzov">
    <w:name w:val="Title"/>
    <w:basedOn w:val="Normlny"/>
    <w:link w:val="NzovChar"/>
    <w:qFormat/>
    <w:pPr>
      <w:jc w:val="center"/>
    </w:pPr>
    <w:rPr>
      <w:b/>
      <w:bCs/>
    </w:rPr>
  </w:style>
  <w:style w:type="character" w:customStyle="1" w:styleId="NzovChar">
    <w:name w:val="Názov Char"/>
    <w:basedOn w:val="Predvolenpsmoodseku"/>
    <w:link w:val="Nzov"/>
    <w:locked/>
    <w:rPr>
      <w:rFonts w:asciiTheme="majorHAnsi" w:eastAsiaTheme="majorEastAsia" w:hAnsiTheme="majorHAnsi" w:cs="Times New Roman"/>
      <w:b/>
      <w:bCs/>
      <w:kern w:val="28"/>
      <w:sz w:val="32"/>
      <w:szCs w:val="32"/>
    </w:rPr>
  </w:style>
  <w:style w:type="paragraph" w:styleId="Zkladntext">
    <w:name w:val="Body Text"/>
    <w:basedOn w:val="Normlny"/>
    <w:link w:val="ZkladntextChar"/>
    <w:uiPriority w:val="99"/>
    <w:pPr>
      <w:jc w:val="both"/>
    </w:pPr>
    <w:rPr>
      <w:b/>
      <w:bCs/>
    </w:rPr>
  </w:style>
  <w:style w:type="character" w:customStyle="1" w:styleId="ZkladntextChar">
    <w:name w:val="Základný text Char"/>
    <w:basedOn w:val="Predvolenpsmoodseku"/>
    <w:link w:val="Zkladntext"/>
    <w:uiPriority w:val="99"/>
    <w:locked/>
    <w:rPr>
      <w:rFonts w:cs="Times New Roman"/>
      <w:sz w:val="24"/>
      <w:szCs w:val="24"/>
    </w:rPr>
  </w:style>
  <w:style w:type="paragraph" w:styleId="Zarkazkladnhotextu">
    <w:name w:val="Body Text Indent"/>
    <w:basedOn w:val="Normlny"/>
    <w:link w:val="ZarkazkladnhotextuChar"/>
    <w:uiPriority w:val="99"/>
    <w:pPr>
      <w:spacing w:line="360" w:lineRule="auto"/>
      <w:jc w:val="both"/>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odtitul">
    <w:name w:val="Subtitle"/>
    <w:basedOn w:val="Normlny"/>
    <w:link w:val="PodtitulChar"/>
    <w:uiPriority w:val="11"/>
    <w:qFormat/>
    <w:pPr>
      <w:spacing w:line="360" w:lineRule="auto"/>
      <w:jc w:val="center"/>
    </w:pPr>
    <w:rPr>
      <w:b/>
      <w:bCs/>
    </w:rPr>
  </w:style>
  <w:style w:type="character" w:customStyle="1" w:styleId="PodtitulChar">
    <w:name w:val="Podtitul Char"/>
    <w:basedOn w:val="Predvolenpsmoodseku"/>
    <w:link w:val="Podtitul"/>
    <w:uiPriority w:val="11"/>
    <w:locked/>
    <w:rPr>
      <w:rFonts w:asciiTheme="majorHAnsi" w:eastAsiaTheme="majorEastAsia" w:hAnsiTheme="majorHAnsi" w:cs="Times New Roman"/>
      <w:sz w:val="24"/>
      <w:szCs w:val="24"/>
    </w:rPr>
  </w:style>
  <w:style w:type="paragraph" w:styleId="Hlavika">
    <w:name w:val="header"/>
    <w:basedOn w:val="Normlny"/>
    <w:link w:val="HlavikaChar"/>
    <w:uiPriority w:val="99"/>
    <w:pPr>
      <w:tabs>
        <w:tab w:val="center" w:pos="4153"/>
        <w:tab w:val="right" w:pos="8306"/>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Pta">
    <w:name w:val="footer"/>
    <w:basedOn w:val="Normlny"/>
    <w:link w:val="PtaChar"/>
    <w:uiPriority w:val="99"/>
    <w:pPr>
      <w:tabs>
        <w:tab w:val="center" w:pos="4153"/>
        <w:tab w:val="right" w:pos="8306"/>
      </w:tabs>
    </w:pPr>
  </w:style>
  <w:style w:type="character" w:customStyle="1" w:styleId="PtaChar">
    <w:name w:val="Päta Char"/>
    <w:basedOn w:val="Predvolenpsmoodseku"/>
    <w:link w:val="Pta"/>
    <w:uiPriority w:val="99"/>
    <w:locked/>
    <w:rPr>
      <w:rFonts w:cs="Times New Roman"/>
      <w:sz w:val="24"/>
      <w:szCs w:val="24"/>
    </w:rPr>
  </w:style>
  <w:style w:type="paragraph" w:styleId="Zarkazkladnhotextu2">
    <w:name w:val="Body Text Indent 2"/>
    <w:basedOn w:val="Normlny"/>
    <w:link w:val="Zarkazkladnhotextu2Char"/>
    <w:uiPriority w:val="99"/>
    <w:pPr>
      <w:ind w:firstLine="360"/>
      <w:jc w:val="both"/>
    </w:pPr>
  </w:style>
  <w:style w:type="character" w:customStyle="1" w:styleId="Zarkazkladnhotextu2Char">
    <w:name w:val="Zarážka základného textu 2 Char"/>
    <w:basedOn w:val="Predvolenpsmoodseku"/>
    <w:link w:val="Zarkazkladnhotextu2"/>
    <w:uiPriority w:val="99"/>
    <w:locked/>
    <w:rsid w:val="00A16392"/>
    <w:rPr>
      <w:rFonts w:cs="Times New Roman"/>
      <w:sz w:val="24"/>
    </w:rPr>
  </w:style>
  <w:style w:type="character" w:styleId="slostrany">
    <w:name w:val="page number"/>
    <w:basedOn w:val="Predvolenpsmoodseku"/>
    <w:uiPriority w:val="99"/>
    <w:rPr>
      <w:rFonts w:cs="Times New Roman"/>
    </w:rPr>
  </w:style>
  <w:style w:type="paragraph" w:styleId="Odsekzoznamu">
    <w:name w:val="List Paragraph"/>
    <w:basedOn w:val="Normlny"/>
    <w:uiPriority w:val="34"/>
    <w:qFormat/>
    <w:rsid w:val="00522CB6"/>
    <w:pPr>
      <w:ind w:left="720"/>
      <w:contextualSpacing/>
    </w:pPr>
  </w:style>
  <w:style w:type="paragraph" w:styleId="Textbubliny">
    <w:name w:val="Balloon Text"/>
    <w:basedOn w:val="Normlny"/>
    <w:link w:val="TextbublinyChar"/>
    <w:uiPriority w:val="99"/>
    <w:rsid w:val="00846152"/>
    <w:rPr>
      <w:rFonts w:ascii="Tahoma" w:hAnsi="Tahoma" w:cs="Tahoma"/>
      <w:sz w:val="16"/>
      <w:szCs w:val="16"/>
    </w:rPr>
  </w:style>
  <w:style w:type="character" w:customStyle="1" w:styleId="TextbublinyChar">
    <w:name w:val="Text bubliny Char"/>
    <w:basedOn w:val="Predvolenpsmoodseku"/>
    <w:link w:val="Textbubliny"/>
    <w:uiPriority w:val="99"/>
    <w:locked/>
    <w:rsid w:val="00846152"/>
    <w:rPr>
      <w:rFonts w:ascii="Tahoma" w:hAnsi="Tahoma" w:cs="Tahoma"/>
      <w:sz w:val="16"/>
      <w:szCs w:val="16"/>
    </w:rPr>
  </w:style>
  <w:style w:type="paragraph" w:customStyle="1" w:styleId="Default">
    <w:name w:val="Default"/>
    <w:rsid w:val="00E946CC"/>
    <w:pPr>
      <w:autoSpaceDE w:val="0"/>
      <w:autoSpaceDN w:val="0"/>
      <w:adjustRightInd w:val="0"/>
    </w:pPr>
    <w:rPr>
      <w:rFonts w:ascii="EUAlbertina" w:hAnsi="EUAlbertina" w:cs="EUAlbertina"/>
      <w:color w:val="000000"/>
      <w:sz w:val="24"/>
      <w:szCs w:val="24"/>
    </w:rPr>
  </w:style>
  <w:style w:type="character" w:customStyle="1" w:styleId="Textzstupnhosymbolu1">
    <w:name w:val="Text zástupného symbolu1"/>
    <w:semiHidden/>
    <w:rsid w:val="00D32F11"/>
    <w:rPr>
      <w:rFonts w:ascii="Times New Roman" w:hAnsi="Times New Roman"/>
      <w:color w:val="808080"/>
    </w:rPr>
  </w:style>
  <w:style w:type="character" w:styleId="Odkaznakomentr">
    <w:name w:val="annotation reference"/>
    <w:basedOn w:val="Predvolenpsmoodseku"/>
    <w:semiHidden/>
    <w:unhideWhenUsed/>
    <w:rsid w:val="00454F1A"/>
    <w:rPr>
      <w:sz w:val="16"/>
      <w:szCs w:val="16"/>
    </w:rPr>
  </w:style>
  <w:style w:type="paragraph" w:styleId="Textkomentra">
    <w:name w:val="annotation text"/>
    <w:basedOn w:val="Normlny"/>
    <w:link w:val="TextkomentraChar"/>
    <w:semiHidden/>
    <w:unhideWhenUsed/>
    <w:rsid w:val="00454F1A"/>
    <w:rPr>
      <w:sz w:val="20"/>
      <w:szCs w:val="20"/>
    </w:rPr>
  </w:style>
  <w:style w:type="character" w:customStyle="1" w:styleId="TextkomentraChar">
    <w:name w:val="Text komentára Char"/>
    <w:basedOn w:val="Predvolenpsmoodseku"/>
    <w:link w:val="Textkomentra"/>
    <w:semiHidden/>
    <w:rsid w:val="00454F1A"/>
  </w:style>
  <w:style w:type="paragraph" w:styleId="Predmetkomentra">
    <w:name w:val="annotation subject"/>
    <w:basedOn w:val="Textkomentra"/>
    <w:next w:val="Textkomentra"/>
    <w:link w:val="PredmetkomentraChar"/>
    <w:semiHidden/>
    <w:unhideWhenUsed/>
    <w:rsid w:val="00454F1A"/>
    <w:rPr>
      <w:b/>
      <w:bCs/>
    </w:rPr>
  </w:style>
  <w:style w:type="character" w:customStyle="1" w:styleId="PredmetkomentraChar">
    <w:name w:val="Predmet komentára Char"/>
    <w:basedOn w:val="TextkomentraChar"/>
    <w:link w:val="Predmetkomentra"/>
    <w:semiHidden/>
    <w:rsid w:val="00454F1A"/>
    <w:rPr>
      <w:b/>
      <w:bCs/>
    </w:rPr>
  </w:style>
  <w:style w:type="paragraph" w:styleId="Revzia">
    <w:name w:val="Revision"/>
    <w:hidden/>
    <w:uiPriority w:val="99"/>
    <w:semiHidden/>
    <w:rsid w:val="00454F1A"/>
    <w:rPr>
      <w:sz w:val="24"/>
      <w:szCs w:val="24"/>
    </w:rPr>
  </w:style>
  <w:style w:type="table" w:customStyle="1" w:styleId="Mriekatabuky1">
    <w:name w:val="Mriežka tabuľky1"/>
    <w:basedOn w:val="Normlnatabuka"/>
    <w:next w:val="Mriekatabuky"/>
    <w:uiPriority w:val="59"/>
    <w:rsid w:val="00F623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rsid w:val="00F6233C"/>
    <w:pPr>
      <w:spacing w:before="100" w:beforeAutospacing="1" w:after="100" w:afterAutospacing="1"/>
    </w:pPr>
  </w:style>
  <w:style w:type="character" w:styleId="Hypertextovprepojenie">
    <w:name w:val="Hyperlink"/>
    <w:uiPriority w:val="99"/>
    <w:semiHidden/>
    <w:unhideWhenUsed/>
    <w:rsid w:val="00F6233C"/>
    <w:rPr>
      <w:color w:val="0000FF"/>
      <w:u w:val="single"/>
    </w:rPr>
  </w:style>
  <w:style w:type="table" w:styleId="Mriekatabuky">
    <w:name w:val="Table Grid"/>
    <w:basedOn w:val="Normlnatabuka"/>
    <w:rsid w:val="00F62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F6233C"/>
    <w:pPr>
      <w:suppressAutoHyphens/>
      <w:autoSpaceDN w:val="0"/>
      <w:spacing w:after="160" w:line="259" w:lineRule="auto"/>
      <w:jc w:val="both"/>
      <w:textAlignment w:val="baseline"/>
    </w:pPr>
    <w:rPr>
      <w:rFonts w:ascii="Calibri" w:eastAsia="SimSun" w:hAnsi="Calibri" w:cs="F"/>
      <w:kern w:val="3"/>
      <w:sz w:val="22"/>
      <w:szCs w:val="22"/>
      <w:lang w:eastAsia="en-US"/>
    </w:rPr>
  </w:style>
  <w:style w:type="paragraph" w:customStyle="1" w:styleId="Textbody">
    <w:name w:val="Text body"/>
    <w:basedOn w:val="Standard"/>
    <w:rsid w:val="00F6233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hromadkova@health.gov.sk" TargetMode="External"/><Relationship Id="rId5" Type="http://schemas.openxmlformats.org/officeDocument/2006/relationships/webSettings" Target="webSettings.xml"/><Relationship Id="rId10" Type="http://schemas.openxmlformats.org/officeDocument/2006/relationships/hyperlink" Target="mailto:jozef.slany@health.gov.sk"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ôvodová-všeobecná"/>
    <f:field ref="objsubject" par="" edit="true" text=""/>
    <f:field ref="objcreatedby" par="" text="Bugyiová, Veronika"/>
    <f:field ref="objcreatedat" par="" text="20.8.2021 16:05:42"/>
    <f:field ref="objchangedby" par="" text="Administrator, System"/>
    <f:field ref="objmodifiedat" par="" text="20.8.2021 16:05: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4624</Words>
  <Characters>26360</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Dôvodová správa</vt:lpstr>
    </vt:vector>
  </TitlesOfParts>
  <Company>Ministerstvo zdravotníctva SR</Company>
  <LinksUpToDate>false</LinksUpToDate>
  <CharactersWithSpaces>30923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subject/>
  <dc:creator>Jozef Slaný</dc:creator>
  <cp:keywords/>
  <dc:description/>
  <cp:lastModifiedBy>Skýpalová Petra</cp:lastModifiedBy>
  <cp:revision>3</cp:revision>
  <cp:lastPrinted>2017-06-05T13:32:00Z</cp:lastPrinted>
  <dcterms:created xsi:type="dcterms:W3CDTF">2021-09-29T13:50:00Z</dcterms:created>
  <dcterms:modified xsi:type="dcterms:W3CDTF">2021-09-29T13:50:00Z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139/1998 Z. z. o omamných látkach, psychotropných látkach a prípravkoch v znení neskorších predpisov informovaná prostredníctvom predbežnej informácie, ktorá bola zverejnená</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Veronika Bugyiová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ktorým sa mení a dopĺňa zákon č. 139/1998 Z. z. o omamných látkach, psychotropných látkach a prípravkoch v znení neskorších predpisov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SR</vt:lpwstr>
  </property>
  <property fmtid="{D5CDD505-2E9C-101B-9397-08002B2CF9AE}" pid="23" name="FSC#SKEDITIONSLOVLEX@103.510:plnynazovpredpis">
    <vt:lpwstr> Zákon, ktorým sa mení a dopĺňa zákon č. 139/1998 Z. z. o omamných látkach, psychotropných látkach a prípravkoch v znení neskorších predpisov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20121-2021-OL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LP/2021/468</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Článok 168 Zmluvy o fungovaní Európskej únie (Hlava XIV – Verejné zdravie) </vt:lpwstr>
  </property>
  <property fmtid="{D5CDD505-2E9C-101B-9397-08002B2CF9AE}" pid="47" name="FSC#SKEDITIONSLOVLEX@103.510:AttrStrListDocPropSekundarneLegPravoPO">
    <vt:lpwstr>Delegovaná smernica Komisie (EÚ) 2021/802 z 12. marca 2021, ktorou sa mení príloha k rámcovému rozhodnutiu Rady 2004/757/SVV, pokiaľ ide o zaradenie nových psychoaktívnych látok metyl-3,3-dimetyl-2-{[1-(pent-4-én-1-yl)-1H-indazol-3-karbonyl]amino}butanoát</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vt:lpwstr>
  </property>
  <property fmtid="{D5CDD505-2E9C-101B-9397-08002B2CF9AE}" pid="52" name="FSC#SKEDITIONSLOVLEX@103.510:AttrStrListDocPropLehotaPrebratieSmernice">
    <vt:lpwstr>9. december 2021</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začaté konanie proti Slovenskej republike</vt:lpwstr>
  </property>
  <property fmtid="{D5CDD505-2E9C-101B-9397-08002B2CF9AE}" pid="55" name="FSC#SKEDITIONSLOVLEX@103.510:AttrStrListDocPropInfoUzPreberanePP">
    <vt:lpwstr>nie  sú</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Alternatíva 0: zachovanie súčasného stavu – nezaradením nových psychoaktívnych látok  medzi psychotropné látky a nepreradenie omamnej látky Izotonitazén do skupiny I. omamných látok by nebolo možné vyvodiť trestno-právnu zodpovednosť za ich nezákonnú výro</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sa predkladá na základe &amp;nbsp;úlohy č. 11 v mesiaci október z Plánu legislatívnych úloh vlády SR na mesiace jún až december 2021.&lt;/p&gt;&lt;p&gt;Cieľom návrhu zákona je doplniť prílohu č. 1 zákona č. 139/1998 Z. z. o&amp;nbsp;omamných látkach, psychotr</vt:lpwstr>
  </property>
  <property fmtid="{D5CDD505-2E9C-101B-9397-08002B2CF9AE}" pid="150" name="FSC#SKEDITIONSLOVLEX@103.510:vytvorenedna">
    <vt:lpwstr>20. 8. 2021</vt:lpwstr>
  </property>
  <property fmtid="{D5CDD505-2E9C-101B-9397-08002B2CF9AE}" pid="151" name="FSC#COOSYSTEM@1.1:Container">
    <vt:lpwstr>COO.2145.1000.3.4517487</vt:lpwstr>
  </property>
  <property fmtid="{D5CDD505-2E9C-101B-9397-08002B2CF9AE}" pid="152" name="FSC#FSCFOLIO@1.1001:docpropproject">
    <vt:lpwstr/>
  </property>
</Properties>
</file>