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B2A22" w14:textId="387071DD" w:rsidR="00E85629" w:rsidRPr="009F2FC0" w:rsidRDefault="00E85629" w:rsidP="009F2FC0">
      <w:pPr>
        <w:autoSpaceDE w:val="0"/>
        <w:autoSpaceDN w:val="0"/>
        <w:adjustRightInd w:val="0"/>
        <w:spacing w:after="160" w:line="276" w:lineRule="auto"/>
        <w:ind w:right="-432"/>
        <w:jc w:val="center"/>
        <w:rPr>
          <w:rFonts w:ascii="Times" w:hAnsi="Times" w:cs="Times New Roman"/>
          <w:b/>
          <w:bCs/>
        </w:rPr>
      </w:pPr>
      <w:r w:rsidRPr="009F2FC0">
        <w:rPr>
          <w:rFonts w:ascii="Times" w:hAnsi="Times" w:cs="Times New Roman"/>
          <w:b/>
          <w:bCs/>
        </w:rPr>
        <w:t>D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ô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v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o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d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o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v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á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 xml:space="preserve"> 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s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p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r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á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v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a</w:t>
      </w:r>
      <w:r w:rsidR="008E5293">
        <w:rPr>
          <w:rFonts w:ascii="Times" w:hAnsi="Times" w:cs="Times New Roman"/>
          <w:b/>
          <w:bCs/>
        </w:rPr>
        <w:t xml:space="preserve"> </w:t>
      </w:r>
    </w:p>
    <w:p w14:paraId="66ABFD31" w14:textId="77777777" w:rsidR="009B3EF9" w:rsidRPr="009F2FC0" w:rsidRDefault="009B3EF9" w:rsidP="009F2FC0">
      <w:pPr>
        <w:autoSpaceDE w:val="0"/>
        <w:autoSpaceDN w:val="0"/>
        <w:adjustRightInd w:val="0"/>
        <w:spacing w:after="160" w:line="276" w:lineRule="auto"/>
        <w:ind w:right="-432"/>
        <w:jc w:val="center"/>
        <w:rPr>
          <w:rFonts w:ascii="Times" w:hAnsi="Times" w:cs="Times New Roman"/>
          <w:b/>
          <w:bCs/>
        </w:rPr>
      </w:pPr>
    </w:p>
    <w:p w14:paraId="6F1D2C65" w14:textId="1779FCA7" w:rsidR="00E85629" w:rsidRPr="009F2FC0" w:rsidRDefault="00E85629" w:rsidP="009F2F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</w:rPr>
      </w:pPr>
      <w:r w:rsidRPr="009F2FC0">
        <w:rPr>
          <w:rFonts w:ascii="Times" w:hAnsi="Times" w:cs="Times New Roman"/>
          <w:b/>
          <w:bCs/>
        </w:rPr>
        <w:tab/>
        <w:t>Všeobecná časť</w:t>
      </w:r>
    </w:p>
    <w:p w14:paraId="4F63F479" w14:textId="77777777" w:rsidR="00A2629B" w:rsidRDefault="00A2629B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</w:p>
    <w:p w14:paraId="65B96E3A" w14:textId="429453E9" w:rsidR="00B463C8" w:rsidRDefault="008E5293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eastAsia="Times New Roman" w:hAnsi="Times" w:cs="Times New Roman"/>
          <w:lang w:eastAsia="cs-CZ"/>
        </w:rPr>
      </w:pPr>
      <w:r>
        <w:rPr>
          <w:rFonts w:ascii="Times" w:hAnsi="Times" w:cs="Times New Roman"/>
        </w:rPr>
        <w:t>N</w:t>
      </w:r>
      <w:r w:rsidR="00E85629" w:rsidRPr="009F2FC0">
        <w:rPr>
          <w:rFonts w:ascii="Times" w:hAnsi="Times" w:cs="Times New Roman"/>
        </w:rPr>
        <w:t xml:space="preserve">ávrh zákona, </w:t>
      </w:r>
      <w:r w:rsidR="00B465E4" w:rsidRPr="00B465E4">
        <w:rPr>
          <w:rFonts w:ascii="Times" w:hAnsi="Times" w:cs="Times New Roman"/>
        </w:rPr>
        <w:t xml:space="preserve">ktorým sa </w:t>
      </w:r>
      <w:r w:rsidR="00AD15E4">
        <w:rPr>
          <w:rFonts w:ascii="Times" w:hAnsi="Times" w:cs="Times New Roman"/>
        </w:rPr>
        <w:t xml:space="preserve">mení a </w:t>
      </w:r>
      <w:r w:rsidR="00D405E0">
        <w:rPr>
          <w:rFonts w:ascii="Times" w:hAnsi="Times" w:cs="Times New Roman"/>
        </w:rPr>
        <w:t>dopĺňa</w:t>
      </w:r>
      <w:r w:rsidR="00D405E0" w:rsidRPr="00B465E4">
        <w:rPr>
          <w:rFonts w:ascii="Times" w:hAnsi="Times" w:cs="Times New Roman"/>
        </w:rPr>
        <w:t xml:space="preserve"> </w:t>
      </w:r>
      <w:r w:rsidR="00B465E4" w:rsidRPr="00B465E4">
        <w:rPr>
          <w:rFonts w:ascii="Times" w:hAnsi="Times" w:cs="Times New Roman"/>
        </w:rPr>
        <w:t>zákon č. 343/2015 Z. z. o verejnom obstarávaní a</w:t>
      </w:r>
      <w:r w:rsidR="00D3690D">
        <w:rPr>
          <w:rFonts w:ascii="Times" w:hAnsi="Times" w:cs="Times New Roman"/>
        </w:rPr>
        <w:t> </w:t>
      </w:r>
      <w:r w:rsidR="00B465E4" w:rsidRPr="00B465E4">
        <w:rPr>
          <w:rFonts w:ascii="Times" w:hAnsi="Times" w:cs="Times New Roman"/>
        </w:rPr>
        <w:t>o</w:t>
      </w:r>
      <w:r w:rsidR="00D3690D">
        <w:rPr>
          <w:rFonts w:ascii="Times" w:hAnsi="Times" w:cs="Times New Roman"/>
        </w:rPr>
        <w:t> </w:t>
      </w:r>
      <w:r w:rsidR="00B465E4" w:rsidRPr="00B465E4">
        <w:rPr>
          <w:rFonts w:ascii="Times" w:hAnsi="Times" w:cs="Times New Roman"/>
        </w:rPr>
        <w:t xml:space="preserve">zmene a doplnení niektorých zákonov v znení neskorších predpisov </w:t>
      </w:r>
      <w:r w:rsidR="00666346">
        <w:rPr>
          <w:rFonts w:ascii="Times" w:eastAsia="Times New Roman" w:hAnsi="Times" w:cs="Times New Roman"/>
          <w:lang w:eastAsia="cs-CZ"/>
        </w:rPr>
        <w:t xml:space="preserve">(ďalej </w:t>
      </w:r>
      <w:r w:rsidR="00AD15E4">
        <w:rPr>
          <w:rFonts w:ascii="Times" w:eastAsia="Times New Roman" w:hAnsi="Times" w:cs="Times New Roman"/>
          <w:lang w:eastAsia="cs-CZ"/>
        </w:rPr>
        <w:t>len</w:t>
      </w:r>
      <w:r w:rsidR="00666346">
        <w:rPr>
          <w:rFonts w:ascii="Times" w:eastAsia="Times New Roman" w:hAnsi="Times" w:cs="Times New Roman"/>
          <w:lang w:eastAsia="cs-CZ"/>
        </w:rPr>
        <w:t xml:space="preserve"> „zákon </w:t>
      </w:r>
      <w:r w:rsidR="00B465E4">
        <w:rPr>
          <w:rFonts w:ascii="Times" w:eastAsia="Times New Roman" w:hAnsi="Times" w:cs="Times New Roman"/>
          <w:lang w:eastAsia="cs-CZ"/>
        </w:rPr>
        <w:t>o VO</w:t>
      </w:r>
      <w:r w:rsidR="00666346">
        <w:rPr>
          <w:rFonts w:ascii="Times" w:eastAsia="Times New Roman" w:hAnsi="Times" w:cs="Times New Roman"/>
          <w:lang w:eastAsia="cs-CZ"/>
        </w:rPr>
        <w:t>“)</w:t>
      </w:r>
      <w:r>
        <w:rPr>
          <w:rFonts w:ascii="Times" w:eastAsia="Times New Roman" w:hAnsi="Times" w:cs="Times New Roman"/>
          <w:lang w:eastAsia="cs-CZ"/>
        </w:rPr>
        <w:t xml:space="preserve"> </w:t>
      </w:r>
      <w:r w:rsidRPr="009F2FC0">
        <w:rPr>
          <w:rFonts w:ascii="Times" w:hAnsi="Times" w:cs="Times New Roman"/>
        </w:rPr>
        <w:t>predklad</w:t>
      </w:r>
      <w:r w:rsidR="00A2629B">
        <w:rPr>
          <w:rFonts w:ascii="Times" w:hAnsi="Times" w:cs="Times New Roman"/>
        </w:rPr>
        <w:t>á</w:t>
      </w:r>
      <w:r w:rsidRPr="009F2FC0">
        <w:rPr>
          <w:rFonts w:ascii="Times" w:hAnsi="Times" w:cs="Times New Roman"/>
        </w:rPr>
        <w:t xml:space="preserve"> na </w:t>
      </w:r>
      <w:r w:rsidR="00AD15E4">
        <w:rPr>
          <w:rFonts w:ascii="Times" w:hAnsi="Times" w:cs="Times New Roman"/>
        </w:rPr>
        <w:t xml:space="preserve">rokovanie </w:t>
      </w:r>
      <w:r w:rsidRPr="009F2FC0">
        <w:rPr>
          <w:rFonts w:ascii="Times" w:hAnsi="Times" w:cs="Times New Roman"/>
        </w:rPr>
        <w:t>Národnej rady Slovenskej republiky</w:t>
      </w:r>
      <w:r>
        <w:rPr>
          <w:rFonts w:ascii="Times" w:hAnsi="Times" w:cs="Times New Roman"/>
        </w:rPr>
        <w:t xml:space="preserve"> </w:t>
      </w:r>
      <w:r w:rsidR="00A2629B">
        <w:rPr>
          <w:rFonts w:ascii="Times" w:hAnsi="Times" w:cs="Times New Roman"/>
        </w:rPr>
        <w:t>poslanec</w:t>
      </w:r>
      <w:r w:rsidR="00AD15E4">
        <w:rPr>
          <w:rFonts w:ascii="Times" w:hAnsi="Times" w:cs="Times New Roman"/>
        </w:rPr>
        <w:t xml:space="preserve"> Národnej rady Slovenskej republiky</w:t>
      </w:r>
      <w:r w:rsidR="00A2629B">
        <w:rPr>
          <w:rFonts w:ascii="Times" w:hAnsi="Times" w:cs="Times New Roman"/>
        </w:rPr>
        <w:t xml:space="preserve"> Jozef ŠIMKO</w:t>
      </w:r>
      <w:r w:rsidR="00316067">
        <w:rPr>
          <w:rFonts w:ascii="Times" w:hAnsi="Times" w:cs="Times New Roman"/>
        </w:rPr>
        <w:t xml:space="preserve">. </w:t>
      </w:r>
    </w:p>
    <w:p w14:paraId="55A40FEA" w14:textId="3B3FA82E" w:rsidR="00B465E4" w:rsidRPr="00E36E71" w:rsidRDefault="00AB080F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Nadobúdanie</w:t>
      </w:r>
      <w:r w:rsidR="00D3690D" w:rsidRPr="00E36E71">
        <w:rPr>
          <w:rFonts w:ascii="Times" w:hAnsi="Times" w:cs="Times New Roman"/>
        </w:rPr>
        <w:t xml:space="preserve"> nájomných bytov samosprávami za účelom ich prenájmu oprávneným fyzickým osobám na účely sociálneho bývania je </w:t>
      </w:r>
      <w:r w:rsidR="006D284B" w:rsidRPr="00E36E71">
        <w:rPr>
          <w:rFonts w:ascii="Times" w:hAnsi="Times" w:cs="Times New Roman"/>
        </w:rPr>
        <w:t>jedným z kľúčových prvkov sociálnej politiky štátu a významným nástrojom na rozvoj miest a obcí Slovenska</w:t>
      </w:r>
      <w:r w:rsidR="00B465E4" w:rsidRPr="00E36E71">
        <w:rPr>
          <w:rFonts w:ascii="Times" w:hAnsi="Times" w:cs="Times New Roman"/>
        </w:rPr>
        <w:t xml:space="preserve">. </w:t>
      </w:r>
      <w:r w:rsidR="006D284B" w:rsidRPr="00E36E71">
        <w:rPr>
          <w:rFonts w:ascii="Times" w:hAnsi="Times" w:cs="Times New Roman"/>
        </w:rPr>
        <w:t xml:space="preserve">Významný podiel nájomných bytov sa </w:t>
      </w:r>
      <w:r>
        <w:rPr>
          <w:rFonts w:ascii="Times" w:hAnsi="Times" w:cs="Times New Roman"/>
        </w:rPr>
        <w:t>nadobúda</w:t>
      </w:r>
      <w:r w:rsidR="006D284B" w:rsidRPr="00E36E71">
        <w:rPr>
          <w:rFonts w:ascii="Times" w:hAnsi="Times" w:cs="Times New Roman"/>
        </w:rPr>
        <w:t xml:space="preserve"> formou zmluvy o budúcej kúpnej zmluve, kde obec alebo mesto uzatvorí so</w:t>
      </w:r>
      <w:r w:rsidR="00C70D73">
        <w:rPr>
          <w:rFonts w:ascii="Times" w:hAnsi="Times" w:cs="Times New Roman"/>
        </w:rPr>
        <w:t> </w:t>
      </w:r>
      <w:r w:rsidR="006D284B" w:rsidRPr="00E36E71">
        <w:rPr>
          <w:rFonts w:ascii="Times" w:hAnsi="Times" w:cs="Times New Roman"/>
        </w:rPr>
        <w:t>zhotoviteľom zmluvu o budúcej kúpnej zmluve a následnú kúpnu zmluvu uzatvoria až po postavení nájomných bytov. Financovanie počas výstavby zabezpečuje</w:t>
      </w:r>
      <w:r w:rsidR="00C70D73">
        <w:rPr>
          <w:rFonts w:ascii="Times" w:hAnsi="Times" w:cs="Times New Roman"/>
        </w:rPr>
        <w:t xml:space="preserve"> zhotoviteľ</w:t>
      </w:r>
      <w:r w:rsidR="006D284B" w:rsidRPr="00E36E71">
        <w:rPr>
          <w:rFonts w:ascii="Times" w:hAnsi="Times" w:cs="Times New Roman"/>
        </w:rPr>
        <w:t>, ktorý tak znáša všetky riziká.</w:t>
      </w:r>
    </w:p>
    <w:p w14:paraId="37F43784" w14:textId="714101AD" w:rsidR="006D284B" w:rsidRPr="00E36E71" w:rsidRDefault="006D284B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  <w:r w:rsidRPr="00E36E71">
        <w:rPr>
          <w:rFonts w:ascii="Times" w:hAnsi="Times" w:cs="Times New Roman"/>
        </w:rPr>
        <w:t>Obce a samosprávy sú verejnými obstarávateľmi a musia teda postupovať podľa zákona o VO.</w:t>
      </w:r>
      <w:r w:rsidR="005B7DDD" w:rsidRPr="00E36E71">
        <w:rPr>
          <w:rFonts w:ascii="Times" w:hAnsi="Times" w:cs="Times New Roman"/>
        </w:rPr>
        <w:t xml:space="preserve"> Podľa § 1 ods. 2 písm. c) zákona o VO sa tento zákon nevzťahuje na nadobúdanie existujúcich stavieb. Výklad tohto ustanovenia a posúdenie, či sa vzťahuje aj na obstarávanie nehnuteľností na základe budúcich zmlúv spôsobuje v praxi veľký problém, čoho dôkazom sú udelené pokuty za porušenie zákona o VO a prebiehajúce súdne spory o neplatnosť zmlúv alebo o</w:t>
      </w:r>
      <w:r w:rsidR="00360CFF" w:rsidRPr="00E36E71">
        <w:rPr>
          <w:rFonts w:ascii="Times" w:hAnsi="Times" w:cs="Times New Roman"/>
        </w:rPr>
        <w:t> preskúmanie zákonnosti rozhodnutia Úradu pre verejné obstarávanie, ktorý pokuty ukladá</w:t>
      </w:r>
      <w:r w:rsidR="005B7DDD" w:rsidRPr="00E36E71">
        <w:rPr>
          <w:rFonts w:ascii="Times" w:hAnsi="Times" w:cs="Times New Roman"/>
        </w:rPr>
        <w:t>.</w:t>
      </w:r>
    </w:p>
    <w:p w14:paraId="5E7F64CC" w14:textId="0689294C" w:rsidR="00250E99" w:rsidRDefault="00B465E4" w:rsidP="00DE731F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  <w:r w:rsidRPr="00E36E71">
        <w:rPr>
          <w:rFonts w:ascii="Times" w:hAnsi="Times" w:cs="Times New Roman"/>
        </w:rPr>
        <w:t xml:space="preserve">Cieľom </w:t>
      </w:r>
      <w:r w:rsidR="00360CFF" w:rsidRPr="00E36E71">
        <w:rPr>
          <w:rFonts w:ascii="Times" w:hAnsi="Times" w:cs="Times New Roman"/>
        </w:rPr>
        <w:t xml:space="preserve">tejto </w:t>
      </w:r>
      <w:r w:rsidRPr="00E36E71">
        <w:rPr>
          <w:rFonts w:ascii="Times" w:hAnsi="Times" w:cs="Times New Roman"/>
        </w:rPr>
        <w:t xml:space="preserve">novely je </w:t>
      </w:r>
      <w:r w:rsidR="00360CFF" w:rsidRPr="00E36E71">
        <w:rPr>
          <w:rFonts w:ascii="Times" w:hAnsi="Times" w:cs="Times New Roman"/>
        </w:rPr>
        <w:t xml:space="preserve">riešiť niektoré z dôsledkov, ktoré tento problém spôsobil. Výška pokuty je stanovená priamo zákonom o VO a pre mnohé obce a mestá je neúnosne vysoká. </w:t>
      </w:r>
      <w:r w:rsidR="00AB080F">
        <w:rPr>
          <w:rFonts w:ascii="Times" w:hAnsi="Times" w:cs="Times New Roman"/>
        </w:rPr>
        <w:t>Nadobúdanie</w:t>
      </w:r>
      <w:r w:rsidR="00360CFF" w:rsidRPr="00E36E71">
        <w:rPr>
          <w:rFonts w:ascii="Times" w:hAnsi="Times" w:cs="Times New Roman"/>
        </w:rPr>
        <w:t xml:space="preserve"> nájomných bytov financujú mestá a obce z verejných </w:t>
      </w:r>
      <w:r w:rsidR="00E36E71" w:rsidRPr="00E36E71">
        <w:rPr>
          <w:rFonts w:ascii="Times" w:hAnsi="Times" w:cs="Times New Roman"/>
        </w:rPr>
        <w:t>prostriedkov, ktoré musia v prípade zániku poskytovania sociálneho bývania</w:t>
      </w:r>
      <w:r w:rsidR="00E36E71">
        <w:rPr>
          <w:rFonts w:ascii="Times" w:hAnsi="Times" w:cs="Times New Roman"/>
        </w:rPr>
        <w:t xml:space="preserve"> vrátiť. Dostávajú sa tak do víru veľmi nepriaznivých situácií, pretože im</w:t>
      </w:r>
      <w:r w:rsidR="00360CFF">
        <w:rPr>
          <w:rFonts w:ascii="Times" w:hAnsi="Times" w:cs="Times New Roman"/>
        </w:rPr>
        <w:t xml:space="preserve"> </w:t>
      </w:r>
      <w:r w:rsidR="00E36E71">
        <w:rPr>
          <w:rFonts w:ascii="Times" w:hAnsi="Times" w:cs="Times New Roman"/>
        </w:rPr>
        <w:t>hrozí nútená správa a zastavenie ďalších rozvojových aktivít. Navrhuje sa preto stanoviť podmienky, za ktorých je možné samosprávam odpustiť pohľadávky, ktoré voči nim eviduje štát z titulu právoplatného rozhodnutia o uložení pokuty pre porušenie zákona o VO.</w:t>
      </w:r>
      <w:r w:rsidR="00DE731F">
        <w:rPr>
          <w:rFonts w:ascii="Times" w:hAnsi="Times" w:cs="Times New Roman"/>
        </w:rPr>
        <w:t xml:space="preserve"> </w:t>
      </w:r>
      <w:r w:rsidR="00E36E71">
        <w:rPr>
          <w:rFonts w:ascii="Times" w:hAnsi="Times" w:cs="Times New Roman"/>
        </w:rPr>
        <w:t xml:space="preserve">Vzniknutou situáciou sú dotknutí aj dobromyseľní užívatelia sociálnych nájomných bytov, keďže v dôsledku vyhlásenia neplatnosti zmluvy medzi samosprávou a zhotoviteľom môžu prísť o strechu nad hlavou. </w:t>
      </w:r>
    </w:p>
    <w:p w14:paraId="65EB5983" w14:textId="4B433404" w:rsidR="00046FC4" w:rsidRPr="00046FC4" w:rsidRDefault="00F547F9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Navrhuje sa, aby zákon nadobudol účinnosť </w:t>
      </w:r>
      <w:r w:rsidR="00A51651" w:rsidRPr="00DE6F87">
        <w:rPr>
          <w:rFonts w:ascii="Times" w:hAnsi="Times" w:cs="Times New Roman"/>
        </w:rPr>
        <w:t xml:space="preserve">1. </w:t>
      </w:r>
      <w:r w:rsidR="001F03CC" w:rsidRPr="00DE6F87">
        <w:rPr>
          <w:rFonts w:ascii="Times" w:hAnsi="Times" w:cs="Times New Roman"/>
        </w:rPr>
        <w:t>januára</w:t>
      </w:r>
      <w:r w:rsidR="00A51651" w:rsidRPr="00DE6F87">
        <w:rPr>
          <w:rFonts w:ascii="Times" w:hAnsi="Times" w:cs="Times New Roman"/>
        </w:rPr>
        <w:t xml:space="preserve"> </w:t>
      </w:r>
      <w:r w:rsidR="001F03CC" w:rsidRPr="00DE6F87">
        <w:rPr>
          <w:rFonts w:ascii="Times" w:hAnsi="Times" w:cs="Times New Roman"/>
        </w:rPr>
        <w:t>2022</w:t>
      </w:r>
      <w:r w:rsidR="00046FC4" w:rsidRPr="00AD15E4">
        <w:rPr>
          <w:rFonts w:ascii="Times" w:hAnsi="Times" w:cs="Times New Roman"/>
        </w:rPr>
        <w:t>.</w:t>
      </w:r>
    </w:p>
    <w:p w14:paraId="781C8170" w14:textId="77777777" w:rsidR="00046FC4" w:rsidRPr="00046FC4" w:rsidRDefault="00046FC4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  <w:r w:rsidRPr="00046FC4">
        <w:rPr>
          <w:rFonts w:ascii="Times" w:hAnsi="Times" w:cs="Times New Roman"/>
        </w:rPr>
        <w:t>Návrh zákona je v súlade s Ústavou Slovenskej republiky, ústavnými zákonmi, nálezmi Ústavného súdu Slovenskej republiky, medzinárodnými zmluvami, ktorými je Slovenská republika viazaná a súčasne je v súlade s právom Európskej únie.</w:t>
      </w:r>
    </w:p>
    <w:p w14:paraId="76D68A06" w14:textId="77777777" w:rsidR="00046FC4" w:rsidRPr="00046FC4" w:rsidRDefault="00046FC4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  <w:r w:rsidRPr="00046FC4">
        <w:rPr>
          <w:rFonts w:ascii="Times" w:hAnsi="Times" w:cs="Times New Roman"/>
        </w:rPr>
        <w:t>Návrh zákona nie je predmetom vnútrokomunitárneho pripomienkového konania.</w:t>
      </w:r>
    </w:p>
    <w:p w14:paraId="08A6DEE4" w14:textId="19227D17" w:rsidR="00775ED4" w:rsidRDefault="00046FC4" w:rsidP="00E36E71">
      <w:pPr>
        <w:autoSpaceDE w:val="0"/>
        <w:autoSpaceDN w:val="0"/>
        <w:adjustRightInd w:val="0"/>
        <w:spacing w:after="120" w:line="276" w:lineRule="auto"/>
        <w:ind w:left="357" w:right="-431" w:firstLine="635"/>
        <w:jc w:val="both"/>
        <w:rPr>
          <w:rFonts w:ascii="Times" w:hAnsi="Times" w:cs="Times New Roman"/>
        </w:rPr>
      </w:pPr>
      <w:r w:rsidRPr="00046FC4">
        <w:rPr>
          <w:rFonts w:ascii="Times" w:hAnsi="Times" w:cs="Times New Roman"/>
        </w:rPr>
        <w:lastRenderedPageBreak/>
        <w:t xml:space="preserve">Návrh zákona má </w:t>
      </w:r>
      <w:r w:rsidR="00AD15E4">
        <w:rPr>
          <w:rFonts w:ascii="Times" w:hAnsi="Times" w:cs="Times New Roman"/>
        </w:rPr>
        <w:t xml:space="preserve">pozitívny sociálny vplyv a pozitívny vplyv na manželstvo, rodičovstvo a rodinu. Návrh zákona má pozitívny a zároveň negatívny </w:t>
      </w:r>
      <w:r w:rsidRPr="00046FC4">
        <w:rPr>
          <w:rFonts w:ascii="Times" w:hAnsi="Times" w:cs="Times New Roman"/>
        </w:rPr>
        <w:t>vplyv na rozpočet verejnej správy</w:t>
      </w:r>
      <w:r w:rsidR="00AD15E4">
        <w:rPr>
          <w:rFonts w:ascii="Times" w:hAnsi="Times" w:cs="Times New Roman"/>
        </w:rPr>
        <w:t>.</w:t>
      </w:r>
      <w:r w:rsidRPr="00046FC4">
        <w:rPr>
          <w:rFonts w:ascii="Times" w:hAnsi="Times" w:cs="Times New Roman"/>
        </w:rPr>
        <w:t xml:space="preserve"> </w:t>
      </w:r>
      <w:r w:rsidR="00AD15E4">
        <w:rPr>
          <w:rFonts w:ascii="Times" w:hAnsi="Times" w:cs="Times New Roman"/>
        </w:rPr>
        <w:t xml:space="preserve">Návrh zákona nemá vplyv </w:t>
      </w:r>
      <w:r w:rsidRPr="00046FC4">
        <w:rPr>
          <w:rFonts w:ascii="Times" w:hAnsi="Times" w:cs="Times New Roman"/>
        </w:rPr>
        <w:t xml:space="preserve">na podnikateľské prostredie, </w:t>
      </w:r>
      <w:r w:rsidR="0034488A">
        <w:rPr>
          <w:rFonts w:ascii="Times" w:hAnsi="Times" w:cs="Times New Roman"/>
        </w:rPr>
        <w:t xml:space="preserve">na životné prostredie, na služby pre občana ani </w:t>
      </w:r>
      <w:r w:rsidRPr="00046FC4">
        <w:rPr>
          <w:rFonts w:ascii="Times" w:hAnsi="Times" w:cs="Times New Roman"/>
        </w:rPr>
        <w:t>vplyv na informatizáciu spoločnosti.</w:t>
      </w:r>
    </w:p>
    <w:p w14:paraId="536A8D13" w14:textId="2F564080" w:rsidR="00E85629" w:rsidRPr="009F2FC0" w:rsidRDefault="00E85629" w:rsidP="008E5293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  <w:b/>
          <w:bCs/>
        </w:rPr>
      </w:pPr>
      <w:r w:rsidRPr="000D421E">
        <w:rPr>
          <w:rFonts w:ascii="Times" w:hAnsi="Times" w:cs="Times New Roman"/>
          <w:b/>
          <w:bCs/>
        </w:rPr>
        <w:br w:type="page"/>
      </w:r>
      <w:r w:rsidRPr="009F2FC0">
        <w:rPr>
          <w:rFonts w:ascii="Times" w:hAnsi="Times" w:cs="Times New Roman"/>
          <w:b/>
          <w:bCs/>
        </w:rPr>
        <w:lastRenderedPageBreak/>
        <w:t xml:space="preserve">B. </w:t>
      </w:r>
      <w:r w:rsidR="00666346">
        <w:rPr>
          <w:rFonts w:ascii="Times" w:hAnsi="Times" w:cs="Times New Roman"/>
          <w:b/>
          <w:bCs/>
        </w:rPr>
        <w:tab/>
      </w:r>
      <w:r w:rsidR="00775ED4">
        <w:rPr>
          <w:rFonts w:ascii="Times" w:hAnsi="Times" w:cs="Times New Roman"/>
          <w:b/>
          <w:bCs/>
        </w:rPr>
        <w:tab/>
      </w:r>
      <w:r w:rsidRPr="009F2FC0">
        <w:rPr>
          <w:rFonts w:ascii="Times" w:hAnsi="Times" w:cs="Times New Roman"/>
          <w:b/>
          <w:bCs/>
        </w:rPr>
        <w:t xml:space="preserve">Osobitná časť </w:t>
      </w:r>
    </w:p>
    <w:p w14:paraId="39B2FB41" w14:textId="77777777"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  <w:u w:val="single"/>
        </w:rPr>
      </w:pPr>
    </w:p>
    <w:p w14:paraId="225DAEED" w14:textId="271B8AE7" w:rsidR="00E85629" w:rsidRPr="008E5293" w:rsidRDefault="009C064B" w:rsidP="009C064B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</w:rPr>
      </w:pPr>
      <w:r>
        <w:rPr>
          <w:rFonts w:ascii="Times" w:hAnsi="Times" w:cs="Times New Roman"/>
          <w:b/>
          <w:bCs/>
        </w:rPr>
        <w:t>Č</w:t>
      </w:r>
      <w:r w:rsidR="00E85629" w:rsidRPr="008E5293">
        <w:rPr>
          <w:rFonts w:ascii="Times" w:hAnsi="Times" w:cs="Times New Roman"/>
          <w:b/>
          <w:bCs/>
        </w:rPr>
        <w:t xml:space="preserve">l. I </w:t>
      </w:r>
    </w:p>
    <w:p w14:paraId="25CEE778" w14:textId="2F313E32" w:rsidR="00131577" w:rsidRDefault="00131577" w:rsidP="00C70D73">
      <w:pPr>
        <w:autoSpaceDE w:val="0"/>
        <w:autoSpaceDN w:val="0"/>
        <w:adjustRightInd w:val="0"/>
        <w:spacing w:after="120" w:line="276" w:lineRule="auto"/>
        <w:ind w:right="-431"/>
        <w:jc w:val="both"/>
        <w:rPr>
          <w:rFonts w:ascii="Times" w:hAnsi="Times" w:cs="Times New Roman"/>
        </w:rPr>
      </w:pPr>
    </w:p>
    <w:p w14:paraId="0F2BCD86" w14:textId="05266994" w:rsidR="009C064B" w:rsidRPr="009C064B" w:rsidRDefault="009C064B" w:rsidP="00C70D73">
      <w:pPr>
        <w:autoSpaceDE w:val="0"/>
        <w:autoSpaceDN w:val="0"/>
        <w:adjustRightInd w:val="0"/>
        <w:spacing w:after="120" w:line="276" w:lineRule="auto"/>
        <w:ind w:right="-431"/>
        <w:jc w:val="both"/>
        <w:rPr>
          <w:rFonts w:ascii="Times" w:hAnsi="Times" w:cs="Times New Roman"/>
          <w:b/>
        </w:rPr>
      </w:pPr>
      <w:r w:rsidRPr="009C064B">
        <w:rPr>
          <w:rFonts w:ascii="Times" w:hAnsi="Times" w:cs="Times New Roman"/>
          <w:b/>
        </w:rPr>
        <w:t>K bodu 1</w:t>
      </w:r>
    </w:p>
    <w:p w14:paraId="20B7243C" w14:textId="1B72DA3B" w:rsidR="00B63D71" w:rsidRPr="003558FD" w:rsidRDefault="00E37AF7" w:rsidP="00AB080F">
      <w:pPr>
        <w:autoSpaceDE w:val="0"/>
        <w:autoSpaceDN w:val="0"/>
        <w:adjustRightInd w:val="0"/>
        <w:spacing w:after="120" w:line="276" w:lineRule="auto"/>
        <w:ind w:right="-431" w:firstLine="708"/>
        <w:jc w:val="both"/>
        <w:rPr>
          <w:rFonts w:ascii="Times New Roman" w:hAnsi="Times New Roman" w:cs="Times New Roman"/>
          <w:color w:val="000000"/>
        </w:rPr>
      </w:pPr>
      <w:r w:rsidRPr="003558FD">
        <w:rPr>
          <w:rFonts w:ascii="Times New Roman" w:hAnsi="Times New Roman" w:cs="Times New Roman"/>
          <w:color w:val="000000"/>
        </w:rPr>
        <w:t xml:space="preserve">Výška pokuty za porušenie zákona o VO vyplýva priamo zo zákona. </w:t>
      </w:r>
      <w:r w:rsidR="00A9196F" w:rsidRPr="003558FD">
        <w:rPr>
          <w:rFonts w:ascii="Times New Roman" w:hAnsi="Times New Roman" w:cs="Times New Roman"/>
          <w:color w:val="000000"/>
        </w:rPr>
        <w:t xml:space="preserve">V prípade </w:t>
      </w:r>
      <w:r w:rsidR="00AB080F">
        <w:rPr>
          <w:rFonts w:ascii="Times New Roman" w:hAnsi="Times New Roman" w:cs="Times New Roman"/>
          <w:color w:val="000000"/>
        </w:rPr>
        <w:t>nadobúdania</w:t>
      </w:r>
      <w:r w:rsidR="00A9196F" w:rsidRPr="003558FD">
        <w:rPr>
          <w:rFonts w:ascii="Times New Roman" w:hAnsi="Times New Roman" w:cs="Times New Roman"/>
          <w:color w:val="000000"/>
        </w:rPr>
        <w:t xml:space="preserve"> nájomných bytov je však takto stanovená výška pokuty pre samosprávy neprimerane vysoká</w:t>
      </w:r>
      <w:r w:rsidR="00A56E76" w:rsidRPr="003558FD">
        <w:rPr>
          <w:rFonts w:ascii="Times New Roman" w:hAnsi="Times New Roman" w:cs="Times New Roman"/>
          <w:color w:val="000000"/>
        </w:rPr>
        <w:t xml:space="preserve"> a teda sankčný efekt udelenej pokuty je neprimeraný miere a závažnosti zavinenia.</w:t>
      </w:r>
      <w:r w:rsidRPr="003558FD">
        <w:rPr>
          <w:rFonts w:ascii="Times New Roman" w:hAnsi="Times New Roman" w:cs="Times New Roman"/>
          <w:color w:val="000000"/>
        </w:rPr>
        <w:t xml:space="preserve"> Právoplatnosťou rozhodnutia Úradu pre verejné obstarávanie sa uložená pokuta stáva pohľadávkou štátu a jej hospodárenie sa už riadi vnútroštátnou úpravou, konkrétne </w:t>
      </w:r>
      <w:r w:rsidR="00A56E76" w:rsidRPr="003558FD">
        <w:rPr>
          <w:rFonts w:ascii="Times New Roman" w:hAnsi="Times New Roman" w:cs="Times New Roman"/>
          <w:color w:val="000000"/>
        </w:rPr>
        <w:t>zákonom č. 374/2014 Z. z. o pohľadávkach štátu a o zmene a doplnení niektorých zákonov v znení neskorších predpisov</w:t>
      </w:r>
      <w:r w:rsidR="0098634F" w:rsidRPr="003558FD">
        <w:rPr>
          <w:rFonts w:ascii="Times New Roman" w:hAnsi="Times New Roman" w:cs="Times New Roman"/>
          <w:color w:val="000000"/>
        </w:rPr>
        <w:t xml:space="preserve"> (ďalej len „zákon o pohľadávkach štátu“)</w:t>
      </w:r>
      <w:r w:rsidR="00A56E76" w:rsidRPr="003558FD">
        <w:rPr>
          <w:rFonts w:ascii="Times New Roman" w:hAnsi="Times New Roman" w:cs="Times New Roman"/>
          <w:color w:val="000000"/>
        </w:rPr>
        <w:t>.</w:t>
      </w:r>
    </w:p>
    <w:p w14:paraId="0D5BFC72" w14:textId="66C76004" w:rsidR="0098634F" w:rsidRDefault="0098634F" w:rsidP="00AB080F">
      <w:pPr>
        <w:autoSpaceDE w:val="0"/>
        <w:autoSpaceDN w:val="0"/>
        <w:adjustRightInd w:val="0"/>
        <w:spacing w:after="120" w:line="276" w:lineRule="auto"/>
        <w:ind w:right="-431" w:firstLine="708"/>
        <w:jc w:val="both"/>
        <w:rPr>
          <w:rFonts w:ascii="Times New Roman" w:hAnsi="Times New Roman" w:cs="Times New Roman"/>
          <w:color w:val="000000"/>
        </w:rPr>
      </w:pPr>
      <w:r w:rsidRPr="003558FD">
        <w:rPr>
          <w:rFonts w:ascii="Times New Roman" w:hAnsi="Times New Roman" w:cs="Times New Roman"/>
          <w:color w:val="000000"/>
        </w:rPr>
        <w:t>Štát ako vlastník pohľadávky voči samospráve sa môže rozhodnúť jej túto pohľadávku odpustiť. Inštitút odpustenia dlhu pozná tak verejné právo (</w:t>
      </w:r>
      <w:r w:rsidR="00611D1D" w:rsidRPr="003558FD">
        <w:rPr>
          <w:rFonts w:ascii="Times New Roman" w:hAnsi="Times New Roman" w:cs="Times New Roman"/>
          <w:color w:val="000000"/>
        </w:rPr>
        <w:t xml:space="preserve">napr. </w:t>
      </w:r>
      <w:r w:rsidRPr="003558FD">
        <w:rPr>
          <w:rFonts w:ascii="Times New Roman" w:hAnsi="Times New Roman" w:cs="Times New Roman"/>
          <w:color w:val="000000"/>
        </w:rPr>
        <w:t>§ 10 zákona o pohľadávkach štátu) ako aj súkromné právo (napr. § 574 Občianskeho zákonníka).</w:t>
      </w:r>
      <w:r w:rsidR="00CF75FF" w:rsidRPr="003558FD">
        <w:rPr>
          <w:rFonts w:ascii="Times New Roman" w:hAnsi="Times New Roman" w:cs="Times New Roman"/>
          <w:color w:val="000000"/>
        </w:rPr>
        <w:t xml:space="preserve"> Navrhujeme aby tak štát urobil a priamo zákonom odpustil samosprávam pohľadávky štátu, ktoré vznikli z právoplatného rozhodnutia Úradu pre verejné obstarávanie. Rozsah odpustených pohľadávok je stanovenými</w:t>
      </w:r>
      <w:r w:rsidR="00CF75FF">
        <w:rPr>
          <w:rFonts w:ascii="Times New Roman" w:hAnsi="Times New Roman" w:cs="Times New Roman"/>
          <w:color w:val="000000"/>
        </w:rPr>
        <w:t xml:space="preserve"> kritériami výrazne obmedzený. Odpustenie sa vzťahuje len na pohľadávky</w:t>
      </w:r>
      <w:r w:rsidR="004811AC">
        <w:rPr>
          <w:rFonts w:ascii="Times New Roman" w:hAnsi="Times New Roman" w:cs="Times New Roman"/>
          <w:color w:val="000000"/>
        </w:rPr>
        <w:t>, ktoré už vznikli a ktoré nie sú do nadobudnutia účinnosti zákona uhradené. Odpustenie sa ďalej vzťahuje len na tie pohľadávky, ktoré vznikli</w:t>
      </w:r>
      <w:r w:rsidR="00CF75FF">
        <w:rPr>
          <w:rFonts w:ascii="Times New Roman" w:hAnsi="Times New Roman" w:cs="Times New Roman"/>
          <w:color w:val="000000"/>
        </w:rPr>
        <w:t xml:space="preserve"> z udelených pokút v súvislosti s</w:t>
      </w:r>
      <w:r w:rsidR="00AB080F">
        <w:rPr>
          <w:rFonts w:ascii="Times New Roman" w:hAnsi="Times New Roman" w:cs="Times New Roman"/>
          <w:color w:val="000000"/>
        </w:rPr>
        <w:t xml:space="preserve"> nadobúdaním </w:t>
      </w:r>
      <w:r w:rsidR="00CF75FF">
        <w:rPr>
          <w:rFonts w:ascii="Times New Roman" w:hAnsi="Times New Roman" w:cs="Times New Roman"/>
          <w:color w:val="000000"/>
        </w:rPr>
        <w:t>nájomných bytov resp.</w:t>
      </w:r>
      <w:r w:rsidR="004811AC">
        <w:rPr>
          <w:rFonts w:ascii="Times New Roman" w:hAnsi="Times New Roman" w:cs="Times New Roman"/>
          <w:color w:val="000000"/>
        </w:rPr>
        <w:t> </w:t>
      </w:r>
      <w:r w:rsidR="00CF75FF">
        <w:rPr>
          <w:rFonts w:ascii="Times New Roman" w:hAnsi="Times New Roman" w:cs="Times New Roman"/>
          <w:color w:val="000000"/>
        </w:rPr>
        <w:t>súvisiacej vybavenosti. Zavádza sa aj časové obmedzenie, t. j. odpustí sa len tá pohľadávka štátu voči samospráve, ktor</w:t>
      </w:r>
      <w:r w:rsidR="004811AC">
        <w:rPr>
          <w:rFonts w:ascii="Times New Roman" w:hAnsi="Times New Roman" w:cs="Times New Roman"/>
          <w:color w:val="000000"/>
        </w:rPr>
        <w:t xml:space="preserve">á vnikla ako dôsledok konania samosprávy </w:t>
      </w:r>
      <w:r w:rsidR="00CF75FF">
        <w:rPr>
          <w:rFonts w:ascii="Times New Roman" w:hAnsi="Times New Roman" w:cs="Times New Roman"/>
          <w:color w:val="000000"/>
        </w:rPr>
        <w:t>v období od 1.</w:t>
      </w:r>
      <w:r w:rsidR="004811AC">
        <w:rPr>
          <w:rFonts w:ascii="Times New Roman" w:hAnsi="Times New Roman" w:cs="Times New Roman"/>
          <w:color w:val="000000"/>
        </w:rPr>
        <w:t> </w:t>
      </w:r>
      <w:r w:rsidR="00CF75FF">
        <w:rPr>
          <w:rFonts w:ascii="Times New Roman" w:hAnsi="Times New Roman" w:cs="Times New Roman"/>
          <w:color w:val="000000"/>
        </w:rPr>
        <w:t xml:space="preserve">januára 2016 </w:t>
      </w:r>
      <w:r w:rsidR="00CF75FF" w:rsidRPr="00DE6F87">
        <w:rPr>
          <w:rFonts w:ascii="Times New Roman" w:hAnsi="Times New Roman" w:cs="Times New Roman"/>
          <w:color w:val="000000"/>
        </w:rPr>
        <w:t xml:space="preserve">do </w:t>
      </w:r>
      <w:r w:rsidR="00A51651" w:rsidRPr="00DE6F87">
        <w:rPr>
          <w:rFonts w:ascii="Times New Roman" w:hAnsi="Times New Roman" w:cs="Times New Roman"/>
          <w:color w:val="000000"/>
        </w:rPr>
        <w:t>31. augusta 2021</w:t>
      </w:r>
      <w:r w:rsidR="00CF75FF">
        <w:rPr>
          <w:rFonts w:ascii="Times New Roman" w:hAnsi="Times New Roman" w:cs="Times New Roman"/>
          <w:color w:val="000000"/>
        </w:rPr>
        <w:t xml:space="preserve">. </w:t>
      </w:r>
      <w:r w:rsidR="003558FD" w:rsidRPr="003558FD">
        <w:rPr>
          <w:rFonts w:ascii="Times New Roman" w:hAnsi="Times New Roman" w:cs="Times New Roman"/>
          <w:color w:val="000000"/>
        </w:rPr>
        <w:t>Ak nejaká samospráva bude uskutočňovať obstarávanie nájomných bytov po nadobudnutí účinnosti tohto zákona a poruší pri tom zákon o VO, návrh zákona sa na pohľadávku štátu vzniknutú z takto udelenej pokuty vzťahovať nebude a samospráva ju bude musieť zaplatiť.</w:t>
      </w:r>
    </w:p>
    <w:p w14:paraId="2F58BB5E" w14:textId="746B5F6A" w:rsidR="004811AC" w:rsidRDefault="004811AC" w:rsidP="00AB080F">
      <w:pPr>
        <w:autoSpaceDE w:val="0"/>
        <w:autoSpaceDN w:val="0"/>
        <w:adjustRightInd w:val="0"/>
        <w:spacing w:after="120" w:line="276" w:lineRule="auto"/>
        <w:ind w:right="-431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Kritériá pre odpustenie pohľadávok by mohli splniť aj tie pohľadávky, ktoré v budúcnosti ešte len vzniknú (napr. preto, že Úrad pre verejné obstarávanie vedie konanie o uložení pokuty, ale ešte právoplatne nerozhodol). Pre tieto pohľadávky navrhujeme zaviesť mechanizmus, podľa ktorého môže </w:t>
      </w:r>
      <w:r w:rsidR="00AB080F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láda Slovenskej republiky na základe návrhu Ministerstva financií Slovenskej republiky svojim rozhodnutím tieto pohľadávky odpustiť. Obdobný mechanizmus zániku pohľadávky už </w:t>
      </w:r>
      <w:r w:rsidR="00467443">
        <w:rPr>
          <w:rFonts w:ascii="Times New Roman" w:hAnsi="Times New Roman" w:cs="Times New Roman"/>
          <w:color w:val="000000"/>
        </w:rPr>
        <w:t>slovenský právny poriadok</w:t>
      </w:r>
      <w:r>
        <w:rPr>
          <w:rFonts w:ascii="Times New Roman" w:hAnsi="Times New Roman" w:cs="Times New Roman"/>
          <w:color w:val="000000"/>
        </w:rPr>
        <w:t xml:space="preserve"> pozná a to v § 13 ods. 1 písm. f) zákona o pohľadávkach štátu.</w:t>
      </w:r>
      <w:r w:rsidR="00467443">
        <w:rPr>
          <w:rFonts w:ascii="Times New Roman" w:hAnsi="Times New Roman" w:cs="Times New Roman"/>
          <w:color w:val="000000"/>
        </w:rPr>
        <w:t xml:space="preserve"> Vzhľadom na nejednotnosť použitej terminológie v zákone o pohľadávkach štátu čo sa týka zániku pohľadávky (§ 13 ods. 1 písm. d) - odpustenie dlhu, § 13 ods. 1 písm. f) - odpustenie pohľadávky štátu) sa pre odstránenie pochybností navrhuje na tento mechanizmus vylúčiť uplatnenie § 10 zákona o pohľadávkach štátu.</w:t>
      </w:r>
    </w:p>
    <w:p w14:paraId="51DED4A4" w14:textId="0A438FC1" w:rsidR="00131577" w:rsidRPr="008E5293" w:rsidRDefault="00131577" w:rsidP="00C70D73">
      <w:pPr>
        <w:autoSpaceDE w:val="0"/>
        <w:autoSpaceDN w:val="0"/>
        <w:adjustRightInd w:val="0"/>
        <w:spacing w:after="120" w:line="276" w:lineRule="auto"/>
        <w:ind w:right="-431" w:firstLine="708"/>
        <w:jc w:val="both"/>
        <w:rPr>
          <w:rFonts w:ascii="Times" w:hAnsi="Times" w:cs="Times New Roman"/>
        </w:rPr>
      </w:pPr>
      <w:r w:rsidRPr="008E5293">
        <w:rPr>
          <w:rFonts w:ascii="Times" w:hAnsi="Times" w:cs="Times New Roman"/>
          <w:b/>
          <w:bCs/>
        </w:rPr>
        <w:t xml:space="preserve">K čl. </w:t>
      </w:r>
      <w:r w:rsidR="000E3920" w:rsidRPr="008E5293">
        <w:rPr>
          <w:rFonts w:ascii="Times" w:hAnsi="Times" w:cs="Times New Roman"/>
          <w:b/>
          <w:bCs/>
        </w:rPr>
        <w:t>II</w:t>
      </w:r>
    </w:p>
    <w:p w14:paraId="10318195" w14:textId="78EE61F7" w:rsidR="00FE10C3" w:rsidRPr="009F2FC0" w:rsidRDefault="00F547F9" w:rsidP="00C70D73">
      <w:pPr>
        <w:autoSpaceDE w:val="0"/>
        <w:autoSpaceDN w:val="0"/>
        <w:adjustRightInd w:val="0"/>
        <w:spacing w:after="120" w:line="276" w:lineRule="auto"/>
        <w:ind w:right="-431" w:firstLine="708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Ustanovenie upravuje nadobudnutie účinnosti tohto zákona</w:t>
      </w:r>
      <w:r w:rsidR="00B63D71">
        <w:rPr>
          <w:rFonts w:ascii="Times" w:hAnsi="Times" w:cs="Times New Roman"/>
        </w:rPr>
        <w:t>.</w:t>
      </w:r>
    </w:p>
    <w:p w14:paraId="4CCBDD8C" w14:textId="77777777" w:rsidR="009D04A2" w:rsidRPr="009F2FC0" w:rsidRDefault="009D04A2" w:rsidP="00C70D73">
      <w:pPr>
        <w:autoSpaceDE w:val="0"/>
        <w:autoSpaceDN w:val="0"/>
        <w:adjustRightInd w:val="0"/>
        <w:spacing w:after="120" w:line="276" w:lineRule="auto"/>
        <w:ind w:right="-431" w:firstLine="709"/>
        <w:jc w:val="both"/>
        <w:rPr>
          <w:rFonts w:ascii="Times" w:hAnsi="Times" w:cs="Times New Roman"/>
        </w:rPr>
      </w:pPr>
    </w:p>
    <w:p w14:paraId="41A8BF7E" w14:textId="77777777" w:rsidR="00360D2B" w:rsidRDefault="00360D2B" w:rsidP="009F2FC0">
      <w:pPr>
        <w:spacing w:line="276" w:lineRule="auto"/>
        <w:rPr>
          <w:rFonts w:ascii="Times" w:hAnsi="Times"/>
        </w:rPr>
        <w:sectPr w:rsidR="00360D2B" w:rsidSect="003D4990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43FF312E" w14:textId="560FA93B" w:rsidR="003D4990" w:rsidRPr="0063135F" w:rsidRDefault="003D4990" w:rsidP="00B40045">
      <w:pPr>
        <w:pStyle w:val="Standard"/>
        <w:pageBreakBefore/>
        <w:suppressAutoHyphens w:val="0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sectPr w:rsidR="003D4990" w:rsidRPr="0063135F" w:rsidSect="003D49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1BC9B" w14:textId="77777777" w:rsidR="00B03557" w:rsidRDefault="00B03557" w:rsidP="002E0540">
      <w:r>
        <w:separator/>
      </w:r>
    </w:p>
  </w:endnote>
  <w:endnote w:type="continuationSeparator" w:id="0">
    <w:p w14:paraId="08D62A88" w14:textId="77777777" w:rsidR="00B03557" w:rsidRDefault="00B03557" w:rsidP="002E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D9BEB" w14:textId="77777777" w:rsidR="00B03557" w:rsidRDefault="00B03557" w:rsidP="002E0540">
      <w:r>
        <w:separator/>
      </w:r>
    </w:p>
  </w:footnote>
  <w:footnote w:type="continuationSeparator" w:id="0">
    <w:p w14:paraId="03745F6D" w14:textId="77777777" w:rsidR="00B03557" w:rsidRDefault="00B03557" w:rsidP="002E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035"/>
    <w:multiLevelType w:val="hybridMultilevel"/>
    <w:tmpl w:val="DADE2A2E"/>
    <w:lvl w:ilvl="0" w:tplc="DFECE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1654AA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9BE7590"/>
    <w:multiLevelType w:val="hybridMultilevel"/>
    <w:tmpl w:val="A7482560"/>
    <w:lvl w:ilvl="0" w:tplc="9E1654AA">
      <w:start w:val="1"/>
      <w:numFmt w:val="lowerLetter"/>
      <w:lvlText w:val="%1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26D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5" w15:restartNumberingAfterBreak="0">
    <w:nsid w:val="20436E62"/>
    <w:multiLevelType w:val="hybridMultilevel"/>
    <w:tmpl w:val="EB26A7B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A140C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62316A"/>
    <w:multiLevelType w:val="hybridMultilevel"/>
    <w:tmpl w:val="EFB2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30103"/>
    <w:multiLevelType w:val="hybridMultilevel"/>
    <w:tmpl w:val="139234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29"/>
    <w:rsid w:val="00024E79"/>
    <w:rsid w:val="00026665"/>
    <w:rsid w:val="0002750E"/>
    <w:rsid w:val="000324C6"/>
    <w:rsid w:val="00046FC4"/>
    <w:rsid w:val="000575C0"/>
    <w:rsid w:val="00071431"/>
    <w:rsid w:val="000751E5"/>
    <w:rsid w:val="000827B4"/>
    <w:rsid w:val="00097191"/>
    <w:rsid w:val="000D421E"/>
    <w:rsid w:val="000E3920"/>
    <w:rsid w:val="00131577"/>
    <w:rsid w:val="00146022"/>
    <w:rsid w:val="00147C1E"/>
    <w:rsid w:val="00152617"/>
    <w:rsid w:val="001536E0"/>
    <w:rsid w:val="00163BE3"/>
    <w:rsid w:val="0019381C"/>
    <w:rsid w:val="001C54C3"/>
    <w:rsid w:val="001D62C7"/>
    <w:rsid w:val="001E3D9D"/>
    <w:rsid w:val="001F03CC"/>
    <w:rsid w:val="002355E8"/>
    <w:rsid w:val="00250537"/>
    <w:rsid w:val="00250E99"/>
    <w:rsid w:val="00253CC9"/>
    <w:rsid w:val="00265E15"/>
    <w:rsid w:val="00271727"/>
    <w:rsid w:val="002929C1"/>
    <w:rsid w:val="002A3AA8"/>
    <w:rsid w:val="002B3932"/>
    <w:rsid w:val="002D3FB5"/>
    <w:rsid w:val="002E0540"/>
    <w:rsid w:val="002E3D20"/>
    <w:rsid w:val="002E49CD"/>
    <w:rsid w:val="0030546A"/>
    <w:rsid w:val="00305F3A"/>
    <w:rsid w:val="00316067"/>
    <w:rsid w:val="00323A28"/>
    <w:rsid w:val="0034488A"/>
    <w:rsid w:val="00344BAB"/>
    <w:rsid w:val="00345F74"/>
    <w:rsid w:val="003558FD"/>
    <w:rsid w:val="00360CFF"/>
    <w:rsid w:val="00360D2B"/>
    <w:rsid w:val="00361AF3"/>
    <w:rsid w:val="003B63C6"/>
    <w:rsid w:val="003D4990"/>
    <w:rsid w:val="003F6E88"/>
    <w:rsid w:val="003F775B"/>
    <w:rsid w:val="004032E0"/>
    <w:rsid w:val="00404C2C"/>
    <w:rsid w:val="00412C16"/>
    <w:rsid w:val="00417ECB"/>
    <w:rsid w:val="00420EAA"/>
    <w:rsid w:val="004340A4"/>
    <w:rsid w:val="00467443"/>
    <w:rsid w:val="004811AC"/>
    <w:rsid w:val="004A464A"/>
    <w:rsid w:val="004C17F3"/>
    <w:rsid w:val="004D0547"/>
    <w:rsid w:val="004D4B5C"/>
    <w:rsid w:val="004F65BE"/>
    <w:rsid w:val="00500AEA"/>
    <w:rsid w:val="00502723"/>
    <w:rsid w:val="00505482"/>
    <w:rsid w:val="00512327"/>
    <w:rsid w:val="00543044"/>
    <w:rsid w:val="005554D3"/>
    <w:rsid w:val="00562EA8"/>
    <w:rsid w:val="005643AF"/>
    <w:rsid w:val="00573EA1"/>
    <w:rsid w:val="00580B02"/>
    <w:rsid w:val="005B10D3"/>
    <w:rsid w:val="005B7DDD"/>
    <w:rsid w:val="005C031B"/>
    <w:rsid w:val="006065DC"/>
    <w:rsid w:val="00606C7D"/>
    <w:rsid w:val="00611D1D"/>
    <w:rsid w:val="00616087"/>
    <w:rsid w:val="006277EC"/>
    <w:rsid w:val="0063135F"/>
    <w:rsid w:val="00653245"/>
    <w:rsid w:val="00661FB9"/>
    <w:rsid w:val="00666346"/>
    <w:rsid w:val="006831CB"/>
    <w:rsid w:val="006B03DC"/>
    <w:rsid w:val="006D284B"/>
    <w:rsid w:val="006F07F6"/>
    <w:rsid w:val="00712F54"/>
    <w:rsid w:val="0071498F"/>
    <w:rsid w:val="00714DE5"/>
    <w:rsid w:val="007228F8"/>
    <w:rsid w:val="00740209"/>
    <w:rsid w:val="00775ED4"/>
    <w:rsid w:val="00784A19"/>
    <w:rsid w:val="007B0519"/>
    <w:rsid w:val="007B23ED"/>
    <w:rsid w:val="007D6A3D"/>
    <w:rsid w:val="00806EF3"/>
    <w:rsid w:val="0080770D"/>
    <w:rsid w:val="008377EF"/>
    <w:rsid w:val="00852D5C"/>
    <w:rsid w:val="0087677C"/>
    <w:rsid w:val="00877DDD"/>
    <w:rsid w:val="008A634C"/>
    <w:rsid w:val="008E2D63"/>
    <w:rsid w:val="008E5293"/>
    <w:rsid w:val="008F1922"/>
    <w:rsid w:val="00940FB9"/>
    <w:rsid w:val="009425F8"/>
    <w:rsid w:val="00950111"/>
    <w:rsid w:val="009615C5"/>
    <w:rsid w:val="00975231"/>
    <w:rsid w:val="0098634F"/>
    <w:rsid w:val="00996E69"/>
    <w:rsid w:val="009B3EF9"/>
    <w:rsid w:val="009C064B"/>
    <w:rsid w:val="009D04A2"/>
    <w:rsid w:val="009E2ADF"/>
    <w:rsid w:val="009F2FC0"/>
    <w:rsid w:val="00A162F4"/>
    <w:rsid w:val="00A2629B"/>
    <w:rsid w:val="00A27B80"/>
    <w:rsid w:val="00A40865"/>
    <w:rsid w:val="00A443CB"/>
    <w:rsid w:val="00A45233"/>
    <w:rsid w:val="00A4679C"/>
    <w:rsid w:val="00A468C1"/>
    <w:rsid w:val="00A51651"/>
    <w:rsid w:val="00A56E76"/>
    <w:rsid w:val="00A6324D"/>
    <w:rsid w:val="00A9196F"/>
    <w:rsid w:val="00A95B05"/>
    <w:rsid w:val="00AA72F1"/>
    <w:rsid w:val="00AB080F"/>
    <w:rsid w:val="00AB4949"/>
    <w:rsid w:val="00AD15E4"/>
    <w:rsid w:val="00AD5241"/>
    <w:rsid w:val="00AD7DF9"/>
    <w:rsid w:val="00AE1D46"/>
    <w:rsid w:val="00AE6B4A"/>
    <w:rsid w:val="00AF2DFD"/>
    <w:rsid w:val="00B03557"/>
    <w:rsid w:val="00B2229F"/>
    <w:rsid w:val="00B32E0F"/>
    <w:rsid w:val="00B40045"/>
    <w:rsid w:val="00B463C8"/>
    <w:rsid w:val="00B465E4"/>
    <w:rsid w:val="00B53287"/>
    <w:rsid w:val="00B63D71"/>
    <w:rsid w:val="00B82CE2"/>
    <w:rsid w:val="00B939C0"/>
    <w:rsid w:val="00B94D9D"/>
    <w:rsid w:val="00B957CA"/>
    <w:rsid w:val="00C01073"/>
    <w:rsid w:val="00C1417F"/>
    <w:rsid w:val="00C400A3"/>
    <w:rsid w:val="00C431D8"/>
    <w:rsid w:val="00C70D73"/>
    <w:rsid w:val="00C72FF0"/>
    <w:rsid w:val="00C734DB"/>
    <w:rsid w:val="00CB5447"/>
    <w:rsid w:val="00CC4CE7"/>
    <w:rsid w:val="00CD394A"/>
    <w:rsid w:val="00CE2AF7"/>
    <w:rsid w:val="00CF75FF"/>
    <w:rsid w:val="00D05E50"/>
    <w:rsid w:val="00D1448F"/>
    <w:rsid w:val="00D14AB2"/>
    <w:rsid w:val="00D16677"/>
    <w:rsid w:val="00D27FF3"/>
    <w:rsid w:val="00D34D69"/>
    <w:rsid w:val="00D354E2"/>
    <w:rsid w:val="00D3690D"/>
    <w:rsid w:val="00D405E0"/>
    <w:rsid w:val="00D429F9"/>
    <w:rsid w:val="00D779C9"/>
    <w:rsid w:val="00D826DE"/>
    <w:rsid w:val="00D91CC6"/>
    <w:rsid w:val="00DA15CA"/>
    <w:rsid w:val="00DA5FFE"/>
    <w:rsid w:val="00DE2FE5"/>
    <w:rsid w:val="00DE6F87"/>
    <w:rsid w:val="00DE731F"/>
    <w:rsid w:val="00DF61FD"/>
    <w:rsid w:val="00DF6C1A"/>
    <w:rsid w:val="00E36E71"/>
    <w:rsid w:val="00E37AF7"/>
    <w:rsid w:val="00E439F2"/>
    <w:rsid w:val="00E54551"/>
    <w:rsid w:val="00E820CB"/>
    <w:rsid w:val="00E85629"/>
    <w:rsid w:val="00ED0F3B"/>
    <w:rsid w:val="00F034B5"/>
    <w:rsid w:val="00F11283"/>
    <w:rsid w:val="00F1481A"/>
    <w:rsid w:val="00F438CE"/>
    <w:rsid w:val="00F547F9"/>
    <w:rsid w:val="00F622F9"/>
    <w:rsid w:val="00F932EF"/>
    <w:rsid w:val="00FD793B"/>
    <w:rsid w:val="00FE10C3"/>
    <w:rsid w:val="00FE14AF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D8F2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rsid w:val="00E820CB"/>
    <w:pPr>
      <w:suppressAutoHyphens/>
      <w:autoSpaceDN w:val="0"/>
      <w:spacing w:after="255" w:line="264" w:lineRule="auto"/>
      <w:textAlignment w:val="baseline"/>
    </w:pPr>
    <w:rPr>
      <w:rFonts w:ascii="Alegreya" w:eastAsia="Alegreya" w:hAnsi="Alegreya" w:cs="Alegreya"/>
      <w:kern w:val="3"/>
      <w:sz w:val="21"/>
      <w:lang w:eastAsia="zh-CN"/>
    </w:rPr>
  </w:style>
  <w:style w:type="paragraph" w:customStyle="1" w:styleId="Standard">
    <w:name w:val="Standard"/>
    <w:rsid w:val="00E820CB"/>
    <w:pPr>
      <w:suppressAutoHyphens/>
      <w:autoSpaceDN w:val="0"/>
      <w:spacing w:before="255" w:line="264" w:lineRule="auto"/>
      <w:textAlignment w:val="baseline"/>
    </w:pPr>
    <w:rPr>
      <w:rFonts w:ascii="Alegreya" w:eastAsia="Alegreya" w:hAnsi="Alegreya" w:cs="Alegreya"/>
      <w:kern w:val="3"/>
      <w:sz w:val="22"/>
      <w:lang w:eastAsia="zh-CN"/>
    </w:rPr>
  </w:style>
  <w:style w:type="paragraph" w:styleId="Bezriadkovania">
    <w:name w:val="No Spacing"/>
    <w:uiPriority w:val="1"/>
    <w:qFormat/>
    <w:rsid w:val="009D04A2"/>
    <w:rPr>
      <w:sz w:val="22"/>
      <w:szCs w:val="22"/>
    </w:rPr>
  </w:style>
  <w:style w:type="paragraph" w:styleId="Odsekzoznamu">
    <w:name w:val="List Paragraph"/>
    <w:basedOn w:val="Normlny"/>
    <w:uiPriority w:val="34"/>
    <w:qFormat/>
    <w:rsid w:val="000827B4"/>
    <w:pPr>
      <w:ind w:left="720"/>
      <w:contextualSpacing/>
    </w:pPr>
  </w:style>
  <w:style w:type="character" w:customStyle="1" w:styleId="Bodytext3">
    <w:name w:val="Body text (3)"/>
    <w:basedOn w:val="Predvolenpsmoodseku"/>
    <w:link w:val="Bodytext31"/>
    <w:uiPriority w:val="99"/>
    <w:rsid w:val="00D05E50"/>
    <w:rPr>
      <w:rFonts w:ascii="Times New Roman" w:hAnsi="Times New Roman" w:cs="Times New Roman"/>
      <w:shd w:val="clear" w:color="auto" w:fill="FFFFFF"/>
    </w:rPr>
  </w:style>
  <w:style w:type="paragraph" w:customStyle="1" w:styleId="Bodytext31">
    <w:name w:val="Body text (3)1"/>
    <w:basedOn w:val="Normlny"/>
    <w:link w:val="Bodytext3"/>
    <w:uiPriority w:val="99"/>
    <w:rsid w:val="00D05E50"/>
    <w:pPr>
      <w:shd w:val="clear" w:color="auto" w:fill="FFFFFF"/>
      <w:spacing w:before="240" w:line="278" w:lineRule="exact"/>
      <w:ind w:hanging="520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9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920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D16677"/>
  </w:style>
  <w:style w:type="character" w:styleId="Odkaznakomentr">
    <w:name w:val="annotation reference"/>
    <w:basedOn w:val="Predvolenpsmoodseku"/>
    <w:uiPriority w:val="99"/>
    <w:semiHidden/>
    <w:unhideWhenUsed/>
    <w:rsid w:val="007228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28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28F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28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28F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831CB"/>
  </w:style>
  <w:style w:type="paragraph" w:styleId="Zkladntext">
    <w:name w:val="Body Text"/>
    <w:basedOn w:val="Normlny"/>
    <w:link w:val="ZkladntextChar"/>
    <w:uiPriority w:val="99"/>
    <w:semiHidden/>
    <w:unhideWhenUsed/>
    <w:rsid w:val="00360D2B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60D2B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60D2B"/>
    <w:pPr>
      <w:spacing w:after="120" w:line="480" w:lineRule="auto"/>
    </w:pPr>
    <w:rPr>
      <w:rFonts w:eastAsia="Times New Roman" w:cs="Times New Roman"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60D2B"/>
    <w:rPr>
      <w:rFonts w:eastAsia="Times New Roman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2E05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0540"/>
  </w:style>
  <w:style w:type="paragraph" w:styleId="Pta">
    <w:name w:val="footer"/>
    <w:basedOn w:val="Normlny"/>
    <w:link w:val="PtaChar"/>
    <w:uiPriority w:val="99"/>
    <w:unhideWhenUsed/>
    <w:rsid w:val="002E05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2021-09-22T16:06:00Z</dcterms:created>
  <dcterms:modified xsi:type="dcterms:W3CDTF">2021-10-01T07:29:00Z</dcterms:modified>
</cp:coreProperties>
</file>