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57" w:rsidRPr="00732E57" w:rsidRDefault="00732E57" w:rsidP="007C7F8B">
      <w:pPr>
        <w:spacing w:line="240" w:lineRule="auto"/>
        <w:jc w:val="right"/>
        <w:rPr>
          <w:rFonts w:eastAsia="Calibri"/>
          <w:lang w:eastAsia="en-US"/>
        </w:rPr>
      </w:pPr>
      <w:bookmarkStart w:id="0" w:name="_GoBack"/>
      <w:bookmarkEnd w:id="0"/>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B4719C">
        <w:trPr>
          <w:trHeight w:val="3198"/>
        </w:trPr>
        <w:tc>
          <w:tcPr>
            <w:tcW w:w="9371" w:type="dxa"/>
          </w:tcPr>
          <w:p w:rsidR="00337789" w:rsidRDefault="009B084B" w:rsidP="00324AB6">
            <w:pPr>
              <w:spacing w:line="240" w:lineRule="auto"/>
              <w:rPr>
                <w:sz w:val="22"/>
                <w:szCs w:val="22"/>
              </w:rPr>
            </w:pPr>
            <w:r>
              <w:rPr>
                <w:sz w:val="22"/>
                <w:szCs w:val="22"/>
              </w:rPr>
              <w:t>Vládnym n</w:t>
            </w:r>
            <w:r w:rsidR="00324AB6" w:rsidRPr="00324AB6">
              <w:rPr>
                <w:sz w:val="22"/>
                <w:szCs w:val="22"/>
              </w:rPr>
              <w:t>ávrhom sa, aj v súvislosti so zavedením Informačného systému sociálnych služieb, mení register poskytovateľov sociálnych služieb na register sociálnych služieb. Dostupnosť občanov k relevantným informáciám o poskytovaných sociálnych službách a ich poskytovateľov sa výrazne zvýši a tieto informácie budú pre nich prehľadnejšie, čím sa zároveň v niektorých prípadoch zníži potreba priamej osobnej konzultác</w:t>
            </w:r>
            <w:r w:rsidR="0017453F">
              <w:rPr>
                <w:sz w:val="22"/>
                <w:szCs w:val="22"/>
              </w:rPr>
              <w:t>ie občanom so samosprávou, ktorí</w:t>
            </w:r>
            <w:r w:rsidR="00324AB6" w:rsidRPr="00324AB6">
              <w:rPr>
                <w:sz w:val="22"/>
                <w:szCs w:val="22"/>
              </w:rPr>
              <w:t xml:space="preserve"> si budú vedieť informácie o poskytovateľoch a sociálnych službách </w:t>
            </w:r>
            <w:r w:rsidR="0017453F">
              <w:rPr>
                <w:sz w:val="22"/>
                <w:szCs w:val="22"/>
              </w:rPr>
              <w:t xml:space="preserve">zistiť </w:t>
            </w:r>
            <w:r w:rsidR="00324AB6" w:rsidRPr="00324AB6">
              <w:rPr>
                <w:sz w:val="22"/>
                <w:szCs w:val="22"/>
              </w:rPr>
              <w:t>priamo; pôsobnosť samosprávy pri poskytovaní základného sociálneho poradenstva tím nie je dotknutá.</w:t>
            </w:r>
          </w:p>
          <w:p w:rsidR="00324AB6" w:rsidRDefault="00324AB6" w:rsidP="00324AB6">
            <w:pPr>
              <w:spacing w:line="240" w:lineRule="auto"/>
              <w:rPr>
                <w:sz w:val="22"/>
                <w:szCs w:val="22"/>
              </w:rPr>
            </w:pPr>
          </w:p>
          <w:p w:rsidR="00324AB6" w:rsidRDefault="006C3FD2" w:rsidP="00324AB6">
            <w:pPr>
              <w:spacing w:line="240" w:lineRule="auto"/>
              <w:rPr>
                <w:sz w:val="22"/>
                <w:szCs w:val="22"/>
              </w:rPr>
            </w:pPr>
            <w:r>
              <w:rPr>
                <w:sz w:val="22"/>
                <w:szCs w:val="22"/>
              </w:rPr>
              <w:t xml:space="preserve">Taktiež sa upravujú </w:t>
            </w:r>
            <w:r w:rsidR="00324AB6">
              <w:rPr>
                <w:sz w:val="22"/>
                <w:szCs w:val="22"/>
              </w:rPr>
              <w:t>podmienk</w:t>
            </w:r>
            <w:r>
              <w:rPr>
                <w:sz w:val="22"/>
                <w:szCs w:val="22"/>
              </w:rPr>
              <w:t>y</w:t>
            </w:r>
            <w:r w:rsidR="00324AB6">
              <w:rPr>
                <w:sz w:val="22"/>
                <w:szCs w:val="22"/>
              </w:rPr>
              <w:t xml:space="preserve"> poskytnutia alebo zabezpečenia sociálnej služby podmienenej odkázanosťou zavedením tzv. „informovaného výberu“, t.</w:t>
            </w:r>
            <w:r w:rsidR="0017453F">
              <w:rPr>
                <w:sz w:val="22"/>
                <w:szCs w:val="22"/>
              </w:rPr>
              <w:t xml:space="preserve"> </w:t>
            </w:r>
            <w:r w:rsidR="00324AB6">
              <w:rPr>
                <w:sz w:val="22"/>
                <w:szCs w:val="22"/>
              </w:rPr>
              <w:t>j. povinnosti samosprávy pred samotným poskytnutím alebo zabezpečením sociálnej služby poskytnúť odkázanej osobe dostatok relevantných informácií</w:t>
            </w:r>
            <w:r>
              <w:rPr>
                <w:sz w:val="22"/>
                <w:szCs w:val="22"/>
              </w:rPr>
              <w:t>,</w:t>
            </w:r>
            <w:r w:rsidR="00324AB6">
              <w:rPr>
                <w:sz w:val="22"/>
                <w:szCs w:val="22"/>
              </w:rPr>
              <w:t xml:space="preserve"> v rámci jej realizácie práva na dostupnosť zrozumiteľných informácií</w:t>
            </w:r>
            <w:r>
              <w:rPr>
                <w:sz w:val="22"/>
                <w:szCs w:val="22"/>
              </w:rPr>
              <w:t>.</w:t>
            </w:r>
            <w:r w:rsidR="00324AB6">
              <w:rPr>
                <w:sz w:val="22"/>
                <w:szCs w:val="22"/>
              </w:rPr>
              <w:t xml:space="preserve"> </w:t>
            </w:r>
          </w:p>
          <w:p w:rsidR="00324AB6" w:rsidRPr="00324AB6" w:rsidRDefault="00324AB6" w:rsidP="00324AB6">
            <w:pPr>
              <w:spacing w:line="240" w:lineRule="auto"/>
              <w:rPr>
                <w:sz w:val="22"/>
                <w:szCs w:val="22"/>
              </w:rPr>
            </w:pPr>
          </w:p>
        </w:tc>
      </w:tr>
      <w:tr w:rsidR="00337789" w:rsidRPr="005C4B9C" w:rsidTr="009C2704">
        <w:trPr>
          <w:trHeight w:val="212"/>
        </w:trPr>
        <w:tc>
          <w:tcPr>
            <w:tcW w:w="9371" w:type="dxa"/>
          </w:tcPr>
          <w:p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rsidTr="00B4719C">
        <w:trPr>
          <w:trHeight w:val="89"/>
        </w:trPr>
        <w:tc>
          <w:tcPr>
            <w:tcW w:w="9371" w:type="dxa"/>
          </w:tcPr>
          <w:p w:rsidR="00337789" w:rsidRPr="00F36EF9" w:rsidRDefault="00337789" w:rsidP="007C7F8B">
            <w:pPr>
              <w:spacing w:line="240" w:lineRule="auto"/>
              <w:rPr>
                <w:i/>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6C3FD2">
        <w:trPr>
          <w:trHeight w:val="261"/>
        </w:trPr>
        <w:tc>
          <w:tcPr>
            <w:tcW w:w="9371" w:type="dxa"/>
          </w:tcPr>
          <w:p w:rsidR="00337789" w:rsidRPr="00D3615C" w:rsidRDefault="00337789" w:rsidP="007C7F8B">
            <w:pPr>
              <w:spacing w:line="240" w:lineRule="auto"/>
              <w:rPr>
                <w:i/>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B4719C">
        <w:trPr>
          <w:trHeight w:val="439"/>
        </w:trPr>
        <w:tc>
          <w:tcPr>
            <w:tcW w:w="9371" w:type="dxa"/>
          </w:tcPr>
          <w:p w:rsidR="00337789" w:rsidRPr="006C3FD2" w:rsidRDefault="006C3FD2" w:rsidP="007C7F8B">
            <w:pPr>
              <w:spacing w:line="240" w:lineRule="auto"/>
              <w:rPr>
                <w:sz w:val="22"/>
                <w:szCs w:val="22"/>
              </w:rPr>
            </w:pPr>
            <w:r w:rsidRPr="006C3FD2">
              <w:rPr>
                <w:sz w:val="22"/>
                <w:szCs w:val="22"/>
              </w:rPr>
              <w:t>Poskytnutie alebo zabezpečenie sociálnej služby podľa § 8 zákona o sociálnych službách</w:t>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B4719C">
        <w:trPr>
          <w:trHeight w:val="323"/>
        </w:trPr>
        <w:tc>
          <w:tcPr>
            <w:tcW w:w="9371" w:type="dxa"/>
          </w:tcPr>
          <w:p w:rsidR="00337789" w:rsidRPr="00B1031A" w:rsidRDefault="006C3FD2" w:rsidP="007C7F8B">
            <w:pPr>
              <w:spacing w:line="240" w:lineRule="auto"/>
              <w:rPr>
                <w:sz w:val="22"/>
                <w:szCs w:val="22"/>
              </w:rPr>
            </w:pPr>
            <w:r>
              <w:rPr>
                <w:sz w:val="22"/>
                <w:szCs w:val="22"/>
              </w:rPr>
              <w:t>Obec a vyšší územný celok</w:t>
            </w:r>
          </w:p>
        </w:tc>
      </w:tr>
      <w:tr w:rsidR="00337789" w:rsidRPr="005C4B9C" w:rsidTr="009C2704">
        <w:trPr>
          <w:trHeight w:val="423"/>
        </w:trPr>
        <w:tc>
          <w:tcPr>
            <w:tcW w:w="9371" w:type="dxa"/>
          </w:tcPr>
          <w:p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rsidTr="00B4719C">
        <w:trPr>
          <w:trHeight w:val="397"/>
        </w:trPr>
        <w:tc>
          <w:tcPr>
            <w:tcW w:w="9371" w:type="dxa"/>
          </w:tcPr>
          <w:p w:rsidR="00337789" w:rsidRPr="006C3FD2" w:rsidRDefault="006C3FD2" w:rsidP="007C7F8B">
            <w:pPr>
              <w:spacing w:line="240" w:lineRule="auto"/>
              <w:rPr>
                <w:sz w:val="22"/>
                <w:szCs w:val="22"/>
              </w:rPr>
            </w:pPr>
            <w:r w:rsidRPr="006C3FD2">
              <w:rPr>
                <w:sz w:val="22"/>
                <w:szCs w:val="22"/>
              </w:rPr>
              <w:t>Bez vplyvu</w:t>
            </w:r>
          </w:p>
        </w:tc>
      </w:tr>
      <w:tr w:rsidR="00337789" w:rsidRPr="005C4B9C" w:rsidTr="009C2704">
        <w:trPr>
          <w:trHeight w:val="20"/>
        </w:trPr>
        <w:tc>
          <w:tcPr>
            <w:tcW w:w="9371" w:type="dxa"/>
          </w:tcPr>
          <w:p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rsidTr="009C2704">
        <w:trPr>
          <w:trHeight w:val="616"/>
        </w:trPr>
        <w:tc>
          <w:tcPr>
            <w:tcW w:w="9371" w:type="dxa"/>
          </w:tcPr>
          <w:p w:rsidR="00337789" w:rsidRPr="006C3FD2" w:rsidRDefault="006C3FD2" w:rsidP="00E12E3B">
            <w:pPr>
              <w:spacing w:line="240" w:lineRule="auto"/>
              <w:rPr>
                <w:sz w:val="22"/>
                <w:szCs w:val="22"/>
              </w:rPr>
            </w:pPr>
            <w:r>
              <w:rPr>
                <w:sz w:val="22"/>
                <w:szCs w:val="22"/>
              </w:rPr>
              <w:t>Zmena nemá priam</w:t>
            </w:r>
            <w:r w:rsidR="00E12E3B">
              <w:rPr>
                <w:sz w:val="22"/>
                <w:szCs w:val="22"/>
              </w:rPr>
              <w:t>y</w:t>
            </w:r>
            <w:r>
              <w:rPr>
                <w:sz w:val="22"/>
                <w:szCs w:val="22"/>
              </w:rPr>
              <w:t xml:space="preserve"> vplyv na poskytnutie alebo zabezpečenie sociálnej služby, ale na to, aby občan pri rozhodovaní o výbere poskytovateľa sociálnej služby mal dostatok relevantných informácií.</w:t>
            </w:r>
          </w:p>
        </w:tc>
      </w:tr>
      <w:tr w:rsidR="00337789" w:rsidRPr="005C4B9C" w:rsidTr="009C2704">
        <w:trPr>
          <w:trHeight w:val="20"/>
        </w:trPr>
        <w:tc>
          <w:tcPr>
            <w:tcW w:w="9371" w:type="dxa"/>
            <w:shd w:val="clear" w:color="auto" w:fill="C0C0C0"/>
            <w:vAlign w:val="center"/>
          </w:tcPr>
          <w:p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7C7F8B">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7C7F8B">
            <w:pPr>
              <w:spacing w:line="240" w:lineRule="auto"/>
              <w:rPr>
                <w:b/>
              </w:rPr>
            </w:pPr>
            <w:r>
              <w:rPr>
                <w:i/>
              </w:rPr>
              <w:t xml:space="preserve">Zníženie priamych finančných nákladov </w:t>
            </w:r>
          </w:p>
        </w:tc>
      </w:tr>
      <w:tr w:rsidR="00337789" w:rsidRPr="005C4B9C" w:rsidTr="00B4719C">
        <w:trPr>
          <w:trHeight w:val="308"/>
        </w:trPr>
        <w:tc>
          <w:tcPr>
            <w:tcW w:w="9371" w:type="dxa"/>
          </w:tcPr>
          <w:p w:rsidR="00337789" w:rsidRPr="006C3FD2" w:rsidRDefault="006C3FD2" w:rsidP="007C7F8B">
            <w:pPr>
              <w:spacing w:line="240" w:lineRule="auto"/>
              <w:rPr>
                <w:b/>
                <w:i/>
              </w:rPr>
            </w:pPr>
            <w:r w:rsidRPr="006C3FD2">
              <w:rPr>
                <w:sz w:val="22"/>
                <w:szCs w:val="22"/>
              </w:rPr>
              <w:t>Bez vplyvu</w:t>
            </w:r>
          </w:p>
        </w:tc>
      </w:tr>
      <w:tr w:rsidR="00337789" w:rsidRPr="005C4B9C" w:rsidTr="009C2704">
        <w:trPr>
          <w:trHeight w:val="294"/>
        </w:trPr>
        <w:tc>
          <w:tcPr>
            <w:tcW w:w="9371" w:type="dxa"/>
          </w:tcPr>
          <w:p w:rsidR="00337789" w:rsidRPr="00E43AA2" w:rsidRDefault="00337789" w:rsidP="007C7F8B">
            <w:pPr>
              <w:spacing w:line="240" w:lineRule="auto"/>
              <w:rPr>
                <w:i/>
              </w:rPr>
            </w:pPr>
            <w:r w:rsidRPr="00E43AA2">
              <w:rPr>
                <w:i/>
              </w:rPr>
              <w:t xml:space="preserve">Zvýšenie </w:t>
            </w:r>
            <w:r>
              <w:rPr>
                <w:i/>
              </w:rPr>
              <w:t>priamych finančných nákladov</w:t>
            </w:r>
          </w:p>
        </w:tc>
      </w:tr>
      <w:tr w:rsidR="00337789" w:rsidRPr="005C4B9C" w:rsidTr="00B4719C">
        <w:trPr>
          <w:trHeight w:val="304"/>
        </w:trPr>
        <w:tc>
          <w:tcPr>
            <w:tcW w:w="9371" w:type="dxa"/>
          </w:tcPr>
          <w:p w:rsidR="00337789" w:rsidRPr="00E43AA2" w:rsidRDefault="006C3FD2" w:rsidP="007C7F8B">
            <w:pPr>
              <w:spacing w:line="240" w:lineRule="auto"/>
              <w:rPr>
                <w:i/>
              </w:rPr>
            </w:pPr>
            <w:r w:rsidRPr="006C3FD2">
              <w:rPr>
                <w:sz w:val="22"/>
                <w:szCs w:val="22"/>
              </w:rPr>
              <w:t>Bez vplyvu</w:t>
            </w:r>
          </w:p>
        </w:tc>
      </w:tr>
      <w:tr w:rsidR="00337789" w:rsidRPr="005C4B9C" w:rsidTr="009C2704">
        <w:trPr>
          <w:trHeight w:val="214"/>
        </w:trPr>
        <w:tc>
          <w:tcPr>
            <w:tcW w:w="9371" w:type="dxa"/>
          </w:tcPr>
          <w:p w:rsidR="00337789" w:rsidRPr="00E43AA2" w:rsidRDefault="00337789" w:rsidP="007C7F8B">
            <w:pPr>
              <w:spacing w:line="240" w:lineRule="auto"/>
              <w:rPr>
                <w:i/>
              </w:rPr>
            </w:pPr>
            <w:r>
              <w:rPr>
                <w:i/>
              </w:rPr>
              <w:t>Zníženie nepriamych finančných nákladov</w:t>
            </w:r>
          </w:p>
        </w:tc>
      </w:tr>
      <w:tr w:rsidR="00337789" w:rsidRPr="005C4B9C" w:rsidTr="00B4719C">
        <w:trPr>
          <w:trHeight w:val="302"/>
        </w:trPr>
        <w:tc>
          <w:tcPr>
            <w:tcW w:w="9371" w:type="dxa"/>
          </w:tcPr>
          <w:p w:rsidR="00337789" w:rsidRDefault="006C3FD2" w:rsidP="007C7F8B">
            <w:pPr>
              <w:spacing w:line="240" w:lineRule="auto"/>
              <w:rPr>
                <w:i/>
              </w:rPr>
            </w:pPr>
            <w:r w:rsidRPr="006C3FD2">
              <w:rPr>
                <w:sz w:val="22"/>
                <w:szCs w:val="22"/>
              </w:rPr>
              <w:lastRenderedPageBreak/>
              <w:t>Bez vplyvu</w:t>
            </w:r>
          </w:p>
        </w:tc>
      </w:tr>
      <w:tr w:rsidR="00337789" w:rsidRPr="005C4B9C" w:rsidTr="009C2704">
        <w:trPr>
          <w:trHeight w:val="388"/>
        </w:trPr>
        <w:tc>
          <w:tcPr>
            <w:tcW w:w="9371" w:type="dxa"/>
          </w:tcPr>
          <w:p w:rsidR="00337789" w:rsidRPr="00E43AA2" w:rsidRDefault="00337789" w:rsidP="007C7F8B">
            <w:pPr>
              <w:spacing w:line="240" w:lineRule="auto"/>
              <w:rPr>
                <w:i/>
              </w:rPr>
            </w:pPr>
            <w:r w:rsidRPr="00E43AA2">
              <w:rPr>
                <w:i/>
              </w:rPr>
              <w:t xml:space="preserve">Zvýšenie </w:t>
            </w:r>
            <w:r>
              <w:rPr>
                <w:i/>
              </w:rPr>
              <w:t>nepriamych finančných nákladov</w:t>
            </w:r>
          </w:p>
        </w:tc>
      </w:tr>
      <w:tr w:rsidR="00337789" w:rsidRPr="005C4B9C" w:rsidTr="00B4719C">
        <w:trPr>
          <w:trHeight w:val="315"/>
        </w:trPr>
        <w:tc>
          <w:tcPr>
            <w:tcW w:w="9371" w:type="dxa"/>
          </w:tcPr>
          <w:p w:rsidR="00337789" w:rsidRPr="00E43AA2" w:rsidRDefault="006C3FD2" w:rsidP="007C7F8B">
            <w:pPr>
              <w:spacing w:line="240" w:lineRule="auto"/>
              <w:rPr>
                <w:i/>
              </w:rPr>
            </w:pPr>
            <w:r w:rsidRPr="006C3FD2">
              <w:rPr>
                <w:sz w:val="22"/>
                <w:szCs w:val="22"/>
              </w:rPr>
              <w:t>Bez vplyvu</w:t>
            </w:r>
          </w:p>
        </w:tc>
      </w:tr>
      <w:tr w:rsidR="00337789" w:rsidRPr="005C4B9C" w:rsidTr="009C2704">
        <w:trPr>
          <w:trHeight w:val="388"/>
        </w:trPr>
        <w:tc>
          <w:tcPr>
            <w:tcW w:w="9371" w:type="dxa"/>
          </w:tcPr>
          <w:p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Zvýšenie času vybavenia požiadavky (popíšte)</w:t>
            </w:r>
          </w:p>
        </w:tc>
      </w:tr>
      <w:tr w:rsidR="00337789" w:rsidRPr="005C4B9C" w:rsidTr="006C3FD2">
        <w:trPr>
          <w:trHeight w:val="505"/>
        </w:trPr>
        <w:tc>
          <w:tcPr>
            <w:tcW w:w="9371" w:type="dxa"/>
          </w:tcPr>
          <w:p w:rsidR="00337789" w:rsidRPr="003C3251" w:rsidRDefault="007B741E" w:rsidP="007C7F8B">
            <w:pPr>
              <w:spacing w:line="240" w:lineRule="auto"/>
              <w:rPr>
                <w:b/>
              </w:rPr>
            </w:pPr>
            <w:r>
              <w:rPr>
                <w:sz w:val="22"/>
                <w:szCs w:val="22"/>
              </w:rPr>
              <w:t>V niektorých prípadoch sa realizáciou povinnosti samosprávy pred samotným poskytnutím alebo zabezpečením sociálnej služby poskytnúť odkázanej osobe dostatok relevantných informácií, v rámci jej realizácie práva na dostupnosť zrozumiteľných informácií, môže čas potrebný na poskytnutie alebo zabezpečenie sociálnej služby predĺžiť.</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Zníženie času  vybavenia požiadavky (popíšte)</w:t>
            </w:r>
          </w:p>
        </w:tc>
      </w:tr>
      <w:tr w:rsidR="00337789" w:rsidRPr="005C4B9C" w:rsidTr="006C3FD2">
        <w:trPr>
          <w:trHeight w:val="589"/>
        </w:trPr>
        <w:tc>
          <w:tcPr>
            <w:tcW w:w="9371" w:type="dxa"/>
          </w:tcPr>
          <w:p w:rsidR="007B741E" w:rsidRDefault="0017453F" w:rsidP="0017453F">
            <w:pPr>
              <w:spacing w:line="240" w:lineRule="auto"/>
              <w:rPr>
                <w:sz w:val="22"/>
                <w:szCs w:val="22"/>
              </w:rPr>
            </w:pPr>
            <w:r>
              <w:rPr>
                <w:sz w:val="22"/>
                <w:szCs w:val="22"/>
              </w:rPr>
              <w:t>Zmenou</w:t>
            </w:r>
            <w:r w:rsidRPr="00324AB6">
              <w:rPr>
                <w:sz w:val="22"/>
                <w:szCs w:val="22"/>
              </w:rPr>
              <w:t xml:space="preserve"> registr</w:t>
            </w:r>
            <w:r>
              <w:rPr>
                <w:sz w:val="22"/>
                <w:szCs w:val="22"/>
              </w:rPr>
              <w:t>a</w:t>
            </w:r>
            <w:r w:rsidRPr="00324AB6">
              <w:rPr>
                <w:sz w:val="22"/>
                <w:szCs w:val="22"/>
              </w:rPr>
              <w:t xml:space="preserve"> poskytovateľov sociálnych služieb na register sociálnych služieb</w:t>
            </w:r>
            <w:r>
              <w:rPr>
                <w:sz w:val="22"/>
                <w:szCs w:val="22"/>
              </w:rPr>
              <w:t xml:space="preserve"> sa zníži čas potrebný na vyhľadanie adekvátnej sociálnej služby na ktorú je občan odkázan</w:t>
            </w:r>
            <w:r w:rsidR="007B741E">
              <w:rPr>
                <w:sz w:val="22"/>
                <w:szCs w:val="22"/>
              </w:rPr>
              <w:t>ý, aj v súvislosti so s možným znížením potreby</w:t>
            </w:r>
            <w:r w:rsidR="007B741E" w:rsidRPr="00324AB6">
              <w:rPr>
                <w:sz w:val="22"/>
                <w:szCs w:val="22"/>
              </w:rPr>
              <w:t xml:space="preserve"> priamej osobnej konzultác</w:t>
            </w:r>
            <w:r w:rsidR="007B741E">
              <w:rPr>
                <w:sz w:val="22"/>
                <w:szCs w:val="22"/>
              </w:rPr>
              <w:t>ie občanom so samosprávou</w:t>
            </w:r>
            <w:r w:rsidRPr="00324AB6">
              <w:rPr>
                <w:sz w:val="22"/>
                <w:szCs w:val="22"/>
              </w:rPr>
              <w:t>.</w:t>
            </w:r>
            <w:r>
              <w:rPr>
                <w:sz w:val="22"/>
                <w:szCs w:val="22"/>
              </w:rPr>
              <w:t xml:space="preserve"> </w:t>
            </w:r>
          </w:p>
          <w:p w:rsidR="00337789" w:rsidRPr="007B741E" w:rsidRDefault="0017453F" w:rsidP="007B741E">
            <w:pPr>
              <w:spacing w:line="240" w:lineRule="auto"/>
              <w:rPr>
                <w:sz w:val="22"/>
                <w:szCs w:val="22"/>
              </w:rPr>
            </w:pPr>
            <w:r>
              <w:rPr>
                <w:sz w:val="22"/>
                <w:szCs w:val="22"/>
              </w:rPr>
              <w:t xml:space="preserve">Rovnako sa čas na vyhľadanie sociálnej služby zníži aj prostredníctvom zavedenej povinnosti samosprávy, poskytnúť občanovi dostatok relevantných informácií o poskytovateľoch konkrétnej sociálnej služby. </w:t>
            </w:r>
          </w:p>
        </w:tc>
      </w:tr>
      <w:tr w:rsidR="00337789" w:rsidRPr="005C4B9C" w:rsidTr="009C2704">
        <w:trPr>
          <w:trHeight w:val="424"/>
        </w:trPr>
        <w:tc>
          <w:tcPr>
            <w:tcW w:w="9371" w:type="dxa"/>
          </w:tcPr>
          <w:p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rsidTr="009C2704">
        <w:trPr>
          <w:trHeight w:val="734"/>
        </w:trPr>
        <w:tc>
          <w:tcPr>
            <w:tcW w:w="9371" w:type="dxa"/>
          </w:tcPr>
          <w:p w:rsidR="00337789" w:rsidRPr="006C3FD2" w:rsidRDefault="006C3FD2" w:rsidP="006C3FD2">
            <w:pPr>
              <w:spacing w:line="240" w:lineRule="auto"/>
              <w:rPr>
                <w:iCs/>
              </w:rPr>
            </w:pPr>
            <w:r>
              <w:rPr>
                <w:iCs/>
              </w:rPr>
              <w:t>Osoby odkázané na základe rozhodnutia na pomoc inej osoby. Veľkosť skupiny osôb, ktoré budú mať záujem o poskytnutie alebo zabezpečenie služby nie je možné exaktne určiť.</w:t>
            </w:r>
          </w:p>
        </w:tc>
      </w:tr>
      <w:tr w:rsidR="00337789" w:rsidRPr="005C4B9C" w:rsidTr="009C2704">
        <w:trPr>
          <w:trHeight w:val="20"/>
        </w:trPr>
        <w:tc>
          <w:tcPr>
            <w:tcW w:w="9371" w:type="dxa"/>
          </w:tcPr>
          <w:p w:rsidR="00337789" w:rsidRPr="005C4B9C" w:rsidRDefault="00337789"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 xml:space="preserve">Nové povinnosti (identifikujte) </w:t>
            </w:r>
          </w:p>
        </w:tc>
      </w:tr>
      <w:tr w:rsidR="00337789" w:rsidRPr="005C4B9C" w:rsidTr="00B4719C">
        <w:trPr>
          <w:trHeight w:val="373"/>
        </w:trPr>
        <w:tc>
          <w:tcPr>
            <w:tcW w:w="9371" w:type="dxa"/>
          </w:tcPr>
          <w:p w:rsidR="00337789" w:rsidRPr="005C4B9C" w:rsidRDefault="006C3FD2" w:rsidP="007C7F8B">
            <w:pPr>
              <w:spacing w:line="240" w:lineRule="auto"/>
              <w:rPr>
                <w:i/>
                <w:iCs/>
              </w:rPr>
            </w:pPr>
            <w:r w:rsidRPr="006C3FD2">
              <w:rPr>
                <w:sz w:val="22"/>
                <w:szCs w:val="22"/>
              </w:rPr>
              <w:t>Bez vplyvu</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B4719C">
        <w:trPr>
          <w:trHeight w:val="441"/>
        </w:trPr>
        <w:tc>
          <w:tcPr>
            <w:tcW w:w="9371" w:type="dxa"/>
          </w:tcPr>
          <w:p w:rsidR="00337789" w:rsidRDefault="006C3FD2" w:rsidP="007C7F8B">
            <w:pPr>
              <w:spacing w:line="240" w:lineRule="auto"/>
              <w:rPr>
                <w:i/>
                <w:iCs/>
              </w:rPr>
            </w:pPr>
            <w:r w:rsidRPr="006C3FD2">
              <w:rPr>
                <w:sz w:val="22"/>
                <w:szCs w:val="22"/>
              </w:rPr>
              <w:t>Bez vplyvu</w:t>
            </w:r>
          </w:p>
          <w:p w:rsidR="00CD477A" w:rsidRPr="00B1784E" w:rsidRDefault="00CD477A" w:rsidP="007C7F8B">
            <w:pPr>
              <w:spacing w:line="240" w:lineRule="auto"/>
              <w:rPr>
                <w:i/>
                <w:iCs/>
              </w:rPr>
            </w:pPr>
          </w:p>
        </w:tc>
      </w:tr>
      <w:tr w:rsidR="00337789" w:rsidRPr="005C4B9C" w:rsidTr="009C2704">
        <w:trPr>
          <w:trHeight w:val="20"/>
        </w:trPr>
        <w:tc>
          <w:tcPr>
            <w:tcW w:w="9371" w:type="dxa"/>
            <w:shd w:val="clear" w:color="auto" w:fill="BFBFBF"/>
            <w:vAlign w:val="center"/>
          </w:tcPr>
          <w:p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rsidTr="00B4719C">
        <w:trPr>
          <w:trHeight w:val="413"/>
        </w:trPr>
        <w:tc>
          <w:tcPr>
            <w:tcW w:w="9371" w:type="dxa"/>
          </w:tcPr>
          <w:p w:rsidR="00337789" w:rsidRPr="006C3FD2" w:rsidRDefault="006C3FD2" w:rsidP="007C7F8B">
            <w:pPr>
              <w:spacing w:line="240" w:lineRule="auto"/>
            </w:pPr>
            <w:r w:rsidRPr="006C3FD2">
              <w:t>Obce a vyššie územné celky</w:t>
            </w:r>
          </w:p>
        </w:tc>
      </w:tr>
      <w:tr w:rsidR="00337789" w:rsidRPr="005C4B9C" w:rsidTr="009C2704">
        <w:trPr>
          <w:trHeight w:val="20"/>
        </w:trPr>
        <w:tc>
          <w:tcPr>
            <w:tcW w:w="9371" w:type="dxa"/>
          </w:tcPr>
          <w:p w:rsidR="00337789" w:rsidRPr="005C4B9C" w:rsidRDefault="00337789"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Nové povinnosti (identifikujte)</w:t>
            </w:r>
          </w:p>
        </w:tc>
      </w:tr>
      <w:tr w:rsidR="00337789" w:rsidRPr="005C4B9C" w:rsidTr="009C2704">
        <w:trPr>
          <w:trHeight w:val="674"/>
        </w:trPr>
        <w:tc>
          <w:tcPr>
            <w:tcW w:w="9371" w:type="dxa"/>
          </w:tcPr>
          <w:p w:rsidR="00337789" w:rsidRPr="006C3FD2" w:rsidRDefault="006C3FD2" w:rsidP="00222418">
            <w:pPr>
              <w:spacing w:line="240" w:lineRule="auto"/>
              <w:rPr>
                <w:iCs/>
              </w:rPr>
            </w:pPr>
            <w:r>
              <w:rPr>
                <w:iCs/>
              </w:rPr>
              <w:t>Vzniká povinnosť pred poskytnutím alebo zabezpečením sociálnej služby občanovi, ktorý o ňu požiadať poskytnúť dostatok relevantných informácií</w:t>
            </w:r>
            <w:r w:rsidR="00222418">
              <w:rPr>
                <w:iCs/>
              </w:rPr>
              <w:t xml:space="preserve"> </w:t>
            </w:r>
            <w:r w:rsidR="00222418">
              <w:rPr>
                <w:bCs/>
              </w:rPr>
              <w:t>v jemu</w:t>
            </w:r>
            <w:r w:rsidR="00222418" w:rsidRPr="000A5249">
              <w:rPr>
                <w:bCs/>
              </w:rPr>
              <w:t xml:space="preserve"> zrozumiteľnej forme o druhu, mieste, cieľoch a spôsobe poskytovania sociálnej služby, o úhrade za sociálnu službu a o cieľovej skupine, ktorej je poskytovaná</w:t>
            </w:r>
            <w:r w:rsidR="00222418">
              <w:rPr>
                <w:iCs/>
              </w:rPr>
              <w:t>. Nejde o negatívny vplyv, nakoľko táto povinnosť bude realizovaná</w:t>
            </w:r>
            <w:r>
              <w:rPr>
                <w:iCs/>
              </w:rPr>
              <w:t xml:space="preserve"> už v rámci existujúcej pôsobnosti</w:t>
            </w:r>
            <w:r w:rsidR="00222418">
              <w:rPr>
                <w:iCs/>
              </w:rPr>
              <w:t xml:space="preserve"> samosprávy pri poskytovaní</w:t>
            </w:r>
            <w:r>
              <w:rPr>
                <w:iCs/>
              </w:rPr>
              <w:t xml:space="preserve"> základného sociálneho poradenstva</w:t>
            </w:r>
            <w:r w:rsidR="00222418">
              <w:rPr>
                <w:iCs/>
              </w:rPr>
              <w:t>.</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6C3FD2">
        <w:trPr>
          <w:trHeight w:val="302"/>
        </w:trPr>
        <w:tc>
          <w:tcPr>
            <w:tcW w:w="9371" w:type="dxa"/>
          </w:tcPr>
          <w:p w:rsidR="00337789" w:rsidRPr="00B1784E" w:rsidRDefault="00337789" w:rsidP="007C7F8B">
            <w:pPr>
              <w:spacing w:line="240" w:lineRule="auto"/>
              <w:rPr>
                <w:i/>
                <w:iCs/>
              </w:rPr>
            </w:pPr>
          </w:p>
        </w:tc>
      </w:tr>
    </w:tbl>
    <w:p w:rsidR="006821D1" w:rsidRDefault="006821D1" w:rsidP="00B4719C">
      <w:pPr>
        <w:pStyle w:val="Odsekzoznamu"/>
        <w:autoSpaceDE w:val="0"/>
        <w:autoSpaceDN w:val="0"/>
        <w:spacing w:line="240" w:lineRule="auto"/>
        <w:ind w:left="0"/>
        <w:contextualSpacing/>
        <w:rPr>
          <w:rFonts w:eastAsia="Calibri"/>
          <w:bCs/>
          <w:color w:val="000000"/>
          <w:lang w:eastAsia="en-US"/>
        </w:rPr>
      </w:pPr>
    </w:p>
    <w:sectPr w:rsidR="006821D1" w:rsidSect="00033F71">
      <w:footerReference w:type="default" r:id="rId8"/>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C7" w:rsidRDefault="005931C7">
      <w:r>
        <w:separator/>
      </w:r>
    </w:p>
  </w:endnote>
  <w:endnote w:type="continuationSeparator" w:id="0">
    <w:p w:rsidR="005931C7" w:rsidRDefault="0059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71" w:rsidRDefault="00033F71">
    <w:pPr>
      <w:pStyle w:val="Pta"/>
      <w:jc w:val="right"/>
    </w:pPr>
    <w:r>
      <w:fldChar w:fldCharType="begin"/>
    </w:r>
    <w:r>
      <w:instrText>PAGE   \* MERGEFORMAT</w:instrText>
    </w:r>
    <w:r>
      <w:fldChar w:fldCharType="separate"/>
    </w:r>
    <w:r w:rsidR="00D960FF">
      <w:rPr>
        <w:noProof/>
      </w:rPr>
      <w:t>2</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C7" w:rsidRDefault="005931C7">
      <w:r>
        <w:separator/>
      </w:r>
    </w:p>
  </w:footnote>
  <w:footnote w:type="continuationSeparator" w:id="0">
    <w:p w:rsidR="005931C7" w:rsidRDefault="005931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2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8B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93E"/>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453F"/>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418"/>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BA7"/>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4AB6"/>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6CA3"/>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31C7"/>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269"/>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745"/>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3FD2"/>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5A"/>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2F2"/>
    <w:rsid w:val="007B741E"/>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AFC"/>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84C"/>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7B0"/>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084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4D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09EF"/>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9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60FF"/>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E3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185"/>
    <w:rsid w:val="00EC3721"/>
    <w:rsid w:val="00EC4FA5"/>
    <w:rsid w:val="00EC5189"/>
    <w:rsid w:val="00EC557B"/>
    <w:rsid w:val="00EC58A5"/>
    <w:rsid w:val="00EC5B1E"/>
    <w:rsid w:val="00EC69A3"/>
    <w:rsid w:val="00EC69BA"/>
    <w:rsid w:val="00EC6C58"/>
    <w:rsid w:val="00EC7056"/>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1A2"/>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CF1F5D-6EED-440A-A5F4-B9E0B851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5655-E1D7-47A9-BEED-48683908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Cebulakova Monika</cp:lastModifiedBy>
  <cp:revision>4</cp:revision>
  <cp:lastPrinted>2021-09-30T05:40:00Z</cp:lastPrinted>
  <dcterms:created xsi:type="dcterms:W3CDTF">2021-09-30T05:32:00Z</dcterms:created>
  <dcterms:modified xsi:type="dcterms:W3CDTF">2021-09-30T05:40:00Z</dcterms:modified>
</cp:coreProperties>
</file>