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9449" w14:textId="764F5A3A" w:rsidR="009E3459" w:rsidRDefault="009E3459" w:rsidP="009E3459">
      <w:pPr>
        <w:pStyle w:val="Nzov"/>
        <w:pBdr>
          <w:bottom w:val="single" w:sz="6" w:space="1" w:color="auto"/>
        </w:pBdr>
        <w:rPr>
          <w:rFonts w:ascii="Book Antiqua" w:hAnsi="Book Antiqua"/>
          <w:caps/>
          <w:sz w:val="24"/>
          <w:szCs w:val="24"/>
        </w:rPr>
      </w:pPr>
      <w:r w:rsidRPr="002C4B70">
        <w:rPr>
          <w:rFonts w:ascii="Book Antiqua" w:hAnsi="Book Antiqua"/>
          <w:caps/>
          <w:sz w:val="24"/>
          <w:szCs w:val="24"/>
        </w:rPr>
        <w:t>Národná rada Slovenskej republiky</w:t>
      </w:r>
    </w:p>
    <w:p w14:paraId="65D48F68" w14:textId="77777777" w:rsidR="009E3459" w:rsidRPr="002C4B70" w:rsidRDefault="009E3459" w:rsidP="009E3459">
      <w:pPr>
        <w:pStyle w:val="Nzov"/>
        <w:rPr>
          <w:rFonts w:ascii="Book Antiqua" w:hAnsi="Book Antiqua"/>
          <w:caps/>
          <w:sz w:val="24"/>
          <w:szCs w:val="24"/>
        </w:rPr>
      </w:pPr>
    </w:p>
    <w:p w14:paraId="268E6F49" w14:textId="77777777" w:rsidR="009E3459" w:rsidRPr="002C4B70" w:rsidRDefault="009E3459" w:rsidP="009E3459">
      <w:pPr>
        <w:pStyle w:val="Nzov"/>
        <w:rPr>
          <w:rFonts w:ascii="Book Antiqua" w:hAnsi="Book Antiqua"/>
          <w:caps/>
          <w:sz w:val="24"/>
          <w:szCs w:val="24"/>
        </w:rPr>
      </w:pPr>
    </w:p>
    <w:p w14:paraId="41500994" w14:textId="77777777" w:rsidR="009E3459" w:rsidRPr="002C4B70" w:rsidRDefault="009E3459" w:rsidP="009E3459">
      <w:pPr>
        <w:pStyle w:val="Nzov"/>
        <w:rPr>
          <w:rFonts w:ascii="Book Antiqua" w:hAnsi="Book Antiqua"/>
          <w:b w:val="0"/>
          <w:sz w:val="24"/>
          <w:szCs w:val="24"/>
        </w:rPr>
      </w:pPr>
      <w:r w:rsidRPr="002C4B70">
        <w:rPr>
          <w:rFonts w:ascii="Book Antiqua" w:hAnsi="Book Antiqua"/>
          <w:b w:val="0"/>
          <w:sz w:val="24"/>
          <w:szCs w:val="24"/>
        </w:rPr>
        <w:t>VIII. volebné obdobie</w:t>
      </w:r>
    </w:p>
    <w:p w14:paraId="368C463D" w14:textId="77777777" w:rsidR="009E3459" w:rsidRPr="002C4B70" w:rsidRDefault="009E3459" w:rsidP="009E3459">
      <w:pPr>
        <w:pStyle w:val="Nzov"/>
        <w:jc w:val="both"/>
        <w:rPr>
          <w:rFonts w:ascii="Book Antiqua" w:hAnsi="Book Antiqua"/>
        </w:rPr>
      </w:pPr>
    </w:p>
    <w:p w14:paraId="3E6F52F9" w14:textId="77777777" w:rsidR="009E3459" w:rsidRPr="002C4B70" w:rsidRDefault="009E3459" w:rsidP="009E3459">
      <w:pPr>
        <w:rPr>
          <w:rFonts w:ascii="Book Antiqua" w:hAnsi="Book Antiqua"/>
          <w:bCs/>
        </w:rPr>
      </w:pPr>
    </w:p>
    <w:p w14:paraId="4FCEF8DE" w14:textId="77777777" w:rsidR="009E3459" w:rsidRPr="002C4B70" w:rsidRDefault="009E3459" w:rsidP="009E3459">
      <w:pPr>
        <w:jc w:val="center"/>
        <w:rPr>
          <w:rFonts w:ascii="Book Antiqua" w:hAnsi="Book Antiqua"/>
          <w:b/>
          <w:bCs/>
        </w:rPr>
      </w:pPr>
      <w:r w:rsidRPr="002C4B70">
        <w:rPr>
          <w:rFonts w:ascii="Book Antiqua" w:hAnsi="Book Antiqua"/>
          <w:b/>
          <w:bCs/>
        </w:rPr>
        <w:t>NÁVRH</w:t>
      </w:r>
    </w:p>
    <w:p w14:paraId="522E3164" w14:textId="77777777" w:rsidR="009E3459" w:rsidRPr="002C4B70" w:rsidRDefault="009E3459" w:rsidP="009E3459">
      <w:pPr>
        <w:pStyle w:val="Normlnywebov"/>
        <w:spacing w:before="0" w:beforeAutospacing="0" w:after="0" w:afterAutospacing="0"/>
        <w:jc w:val="center"/>
        <w:rPr>
          <w:rFonts w:ascii="Book Antiqua" w:hAnsi="Book Antiqua"/>
          <w:b/>
          <w:bCs/>
        </w:rPr>
      </w:pPr>
    </w:p>
    <w:p w14:paraId="5129B3E0" w14:textId="77777777" w:rsidR="009E3459" w:rsidRPr="002C4B70" w:rsidRDefault="009E3459" w:rsidP="009E3459">
      <w:pPr>
        <w:pStyle w:val="Normlnywebov"/>
        <w:spacing w:before="0" w:beforeAutospacing="0" w:after="0" w:afterAutospacing="0"/>
        <w:jc w:val="center"/>
        <w:rPr>
          <w:rFonts w:ascii="Book Antiqua" w:hAnsi="Book Antiqua"/>
          <w:b/>
          <w:bCs/>
        </w:rPr>
      </w:pPr>
    </w:p>
    <w:p w14:paraId="47E67D74" w14:textId="77777777" w:rsidR="009E3459" w:rsidRPr="002C4B70" w:rsidRDefault="009E3459" w:rsidP="009E3459">
      <w:pPr>
        <w:pStyle w:val="Normlnywebov"/>
        <w:spacing w:before="0" w:beforeAutospacing="0" w:after="0" w:afterAutospacing="0"/>
        <w:jc w:val="center"/>
        <w:rPr>
          <w:rFonts w:ascii="Book Antiqua" w:hAnsi="Book Antiqua"/>
          <w:b/>
          <w:bCs/>
        </w:rPr>
      </w:pPr>
      <w:r w:rsidRPr="002C4B70">
        <w:rPr>
          <w:rFonts w:ascii="Book Antiqua" w:hAnsi="Book Antiqua"/>
          <w:b/>
          <w:bCs/>
        </w:rPr>
        <w:t xml:space="preserve">Ú S T A V N Ý  Z Á K O N </w:t>
      </w:r>
    </w:p>
    <w:p w14:paraId="7067A640" w14:textId="77777777" w:rsidR="009E3459" w:rsidRPr="002C4B70" w:rsidRDefault="009E3459" w:rsidP="009E3459">
      <w:pPr>
        <w:pStyle w:val="Normlnywebov"/>
        <w:spacing w:before="0" w:beforeAutospacing="0" w:after="0" w:afterAutospacing="0"/>
        <w:jc w:val="center"/>
        <w:rPr>
          <w:rFonts w:ascii="Book Antiqua" w:hAnsi="Book Antiqua"/>
        </w:rPr>
      </w:pPr>
    </w:p>
    <w:p w14:paraId="5361E0A8" w14:textId="77777777" w:rsidR="009E3459" w:rsidRPr="00920EA0" w:rsidRDefault="009E3459" w:rsidP="009E3459">
      <w:pPr>
        <w:pStyle w:val="Normlnywebov"/>
        <w:spacing w:before="0" w:beforeAutospacing="0" w:after="0" w:afterAutospacing="0"/>
        <w:jc w:val="center"/>
        <w:rPr>
          <w:rFonts w:ascii="Book Antiqua" w:hAnsi="Book Antiqua"/>
          <w:bCs/>
        </w:rPr>
      </w:pPr>
      <w:r w:rsidRPr="00920EA0">
        <w:rPr>
          <w:rFonts w:ascii="Book Antiqua" w:hAnsi="Book Antiqua"/>
          <w:bCs/>
        </w:rPr>
        <w:t>z ... 2021</w:t>
      </w:r>
    </w:p>
    <w:p w14:paraId="6CF46D29" w14:textId="77777777" w:rsidR="009E3459" w:rsidRPr="002C4B70" w:rsidRDefault="009E3459" w:rsidP="009E3459">
      <w:pPr>
        <w:pStyle w:val="Normlnywebov"/>
        <w:spacing w:before="0" w:beforeAutospacing="0" w:after="0" w:afterAutospacing="0"/>
        <w:jc w:val="center"/>
        <w:rPr>
          <w:rFonts w:ascii="Book Antiqua" w:hAnsi="Book Antiqua"/>
        </w:rPr>
      </w:pPr>
    </w:p>
    <w:p w14:paraId="780CBFD1" w14:textId="77777777" w:rsidR="009E3459" w:rsidRPr="002C4B70" w:rsidRDefault="009E3459" w:rsidP="009E3459">
      <w:pPr>
        <w:jc w:val="center"/>
        <w:rPr>
          <w:rFonts w:ascii="Book Antiqua" w:hAnsi="Book Antiqua"/>
        </w:rPr>
      </w:pPr>
      <w:r w:rsidRPr="002C4B70">
        <w:rPr>
          <w:rFonts w:ascii="Book Antiqua" w:hAnsi="Book Antiqua"/>
          <w:b/>
          <w:bCs/>
        </w:rPr>
        <w:t>ktorým sa mení a dopĺňa ústavný zákon č. 493/2011 Z. z. o rozpočtovej zodpovednosti</w:t>
      </w:r>
    </w:p>
    <w:p w14:paraId="1C27B3EF" w14:textId="77777777" w:rsidR="009E3459" w:rsidRPr="002C4B70" w:rsidRDefault="009E3459" w:rsidP="009E3459">
      <w:pPr>
        <w:pStyle w:val="Normlnywebov"/>
        <w:spacing w:before="0" w:beforeAutospacing="0" w:after="0" w:afterAutospacing="0"/>
        <w:rPr>
          <w:rFonts w:ascii="Book Antiqua" w:hAnsi="Book Antiqua"/>
          <w:b/>
          <w:bCs/>
        </w:rPr>
      </w:pPr>
      <w:r w:rsidRPr="002C4B70">
        <w:rPr>
          <w:rFonts w:ascii="Book Antiqua" w:hAnsi="Book Antiqua"/>
          <w:b/>
          <w:bCs/>
        </w:rPr>
        <w:t> </w:t>
      </w:r>
    </w:p>
    <w:p w14:paraId="3A2E86CE" w14:textId="77777777" w:rsidR="009E3459" w:rsidRPr="002C4B70" w:rsidRDefault="009E3459" w:rsidP="009E3459">
      <w:pPr>
        <w:pStyle w:val="Normlnywebov"/>
        <w:spacing w:before="0" w:beforeAutospacing="0" w:after="0" w:afterAutospacing="0"/>
        <w:rPr>
          <w:rFonts w:ascii="Book Antiqua" w:hAnsi="Book Antiqua"/>
        </w:rPr>
      </w:pPr>
    </w:p>
    <w:p w14:paraId="25F66268" w14:textId="77777777" w:rsidR="009E3459" w:rsidRPr="002C4B70" w:rsidRDefault="009E3459" w:rsidP="009E3459">
      <w:pPr>
        <w:pStyle w:val="Normlnywebov"/>
        <w:spacing w:before="0" w:beforeAutospacing="0" w:after="0" w:afterAutospacing="0"/>
        <w:rPr>
          <w:rFonts w:ascii="Book Antiqua" w:hAnsi="Book Antiqua"/>
        </w:rPr>
      </w:pPr>
      <w:r w:rsidRPr="002C4B70">
        <w:rPr>
          <w:rFonts w:ascii="Book Antiqua" w:hAnsi="Book Antiqua"/>
        </w:rPr>
        <w:t>Národná rada Slovenskej republiky sa uzniesla na tomto ústavnom zákone:</w:t>
      </w:r>
    </w:p>
    <w:p w14:paraId="7829F3E3" w14:textId="77777777" w:rsidR="009E3459" w:rsidRPr="002C4B70" w:rsidRDefault="009E3459" w:rsidP="009E3459">
      <w:pPr>
        <w:jc w:val="center"/>
        <w:rPr>
          <w:rFonts w:ascii="Book Antiqua" w:hAnsi="Book Antiqua"/>
          <w:b/>
        </w:rPr>
      </w:pPr>
    </w:p>
    <w:p w14:paraId="7C7E4FEF" w14:textId="77777777" w:rsidR="009E3459" w:rsidRPr="002C4B70" w:rsidRDefault="009E3459" w:rsidP="009E3459">
      <w:pPr>
        <w:jc w:val="center"/>
        <w:rPr>
          <w:rFonts w:ascii="Book Antiqua" w:hAnsi="Book Antiqua"/>
          <w:b/>
        </w:rPr>
      </w:pPr>
      <w:r w:rsidRPr="002C4B70">
        <w:rPr>
          <w:rFonts w:ascii="Book Antiqua" w:hAnsi="Book Antiqua"/>
          <w:b/>
        </w:rPr>
        <w:t>Čl. I</w:t>
      </w:r>
    </w:p>
    <w:p w14:paraId="14CD896D" w14:textId="77777777" w:rsidR="009E3459" w:rsidRPr="002C4B70" w:rsidRDefault="009E3459" w:rsidP="009E3459">
      <w:pPr>
        <w:rPr>
          <w:rFonts w:ascii="Book Antiqua" w:hAnsi="Book Antiqua"/>
        </w:rPr>
      </w:pPr>
    </w:p>
    <w:p w14:paraId="2C1DC8FB" w14:textId="77777777" w:rsidR="009E3459" w:rsidRPr="002C4B70" w:rsidRDefault="009E3459" w:rsidP="009E3459">
      <w:pPr>
        <w:pStyle w:val="Odsekzoznamu"/>
        <w:numPr>
          <w:ilvl w:val="0"/>
          <w:numId w:val="13"/>
        </w:numPr>
        <w:spacing w:after="160" w:line="259" w:lineRule="auto"/>
        <w:rPr>
          <w:rFonts w:ascii="Book Antiqua" w:hAnsi="Book Antiqua"/>
        </w:rPr>
      </w:pPr>
      <w:r w:rsidRPr="002C4B70">
        <w:rPr>
          <w:rFonts w:ascii="Book Antiqua" w:hAnsi="Book Antiqua"/>
        </w:rPr>
        <w:t>V čl. 7 sa vypúšťa odsek 3.</w:t>
      </w:r>
    </w:p>
    <w:p w14:paraId="0DB4095F" w14:textId="77777777" w:rsidR="009E3459" w:rsidRPr="002C4B70" w:rsidRDefault="009E3459" w:rsidP="009E3459">
      <w:pPr>
        <w:pStyle w:val="Odsekzoznamu"/>
        <w:ind w:left="361"/>
        <w:rPr>
          <w:rFonts w:ascii="Book Antiqua" w:hAnsi="Book Antiqua"/>
        </w:rPr>
      </w:pPr>
    </w:p>
    <w:p w14:paraId="4ED8403A" w14:textId="44FFB97F" w:rsidR="009E3459" w:rsidRPr="002C4B70" w:rsidRDefault="009E3459" w:rsidP="009E3459">
      <w:pPr>
        <w:pStyle w:val="Odsekzoznamu"/>
        <w:numPr>
          <w:ilvl w:val="0"/>
          <w:numId w:val="13"/>
        </w:numPr>
        <w:spacing w:after="160" w:line="259" w:lineRule="auto"/>
        <w:rPr>
          <w:rFonts w:ascii="Book Antiqua" w:hAnsi="Book Antiqua"/>
        </w:rPr>
      </w:pPr>
      <w:r w:rsidRPr="002C4B70">
        <w:rPr>
          <w:rFonts w:ascii="Book Antiqua" w:hAnsi="Book Antiqua"/>
        </w:rPr>
        <w:t>Za čl. 7 sa vkladá čl. 7a, ktorý vrátane nadpisu znie:</w:t>
      </w:r>
    </w:p>
    <w:p w14:paraId="5924CC2F" w14:textId="77777777" w:rsidR="009E3459" w:rsidRPr="002C4B70" w:rsidRDefault="009E3459" w:rsidP="009E3459">
      <w:pPr>
        <w:jc w:val="center"/>
        <w:rPr>
          <w:rFonts w:ascii="Book Antiqua" w:hAnsi="Book Antiqua"/>
        </w:rPr>
      </w:pPr>
      <w:r w:rsidRPr="002C4B70">
        <w:rPr>
          <w:rFonts w:ascii="Book Antiqua" w:hAnsi="Book Antiqua"/>
        </w:rPr>
        <w:t>„Čl. 7a</w:t>
      </w:r>
    </w:p>
    <w:p w14:paraId="73B9FC1D" w14:textId="77777777" w:rsidR="009E3459" w:rsidRPr="002C4B70" w:rsidRDefault="009E3459" w:rsidP="009E3459">
      <w:pPr>
        <w:jc w:val="center"/>
        <w:rPr>
          <w:rFonts w:ascii="Book Antiqua" w:hAnsi="Book Antiqua"/>
        </w:rPr>
      </w:pPr>
      <w:r w:rsidRPr="002C4B70">
        <w:rPr>
          <w:rFonts w:ascii="Book Antiqua" w:hAnsi="Book Antiqua"/>
        </w:rPr>
        <w:t>Limit verejných výdavkov</w:t>
      </w:r>
    </w:p>
    <w:p w14:paraId="4109EAF5" w14:textId="77777777" w:rsidR="009E3459" w:rsidRPr="002C4B70" w:rsidRDefault="009E3459" w:rsidP="009E3459">
      <w:pPr>
        <w:jc w:val="center"/>
        <w:rPr>
          <w:rFonts w:ascii="Book Antiqua" w:hAnsi="Book Antiqua"/>
        </w:rPr>
      </w:pPr>
    </w:p>
    <w:p w14:paraId="34878DC0"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t>Limit verejných výdavkov je hlavným rozpočtovým nástrojom na zabezpečenie dlhodobej udržateľnosti. Limitom verejných výdavkov sa rozumie maximálna výška celkových časovo rozlíšených konsolidovaných výdavkov verejnej správy v jednotnej metodike platnej pre Európsku úniu určená podľa odseku 3 a vyjadrená sumou; limit verejných výdavkov sa nevzťahuje na výdavky územnej samosprávy, prostriedky z rozpočtu Európskej únie a prostriedky štátneho rozpočtu určené na financovanie spoločných programov Slovenskej republiky a Európskej únie, odvody Európskej únii, výdavky na správu dlhu verejnej správy, jednorazové výdavky a vplyv hospodárskeho cyklu na výdavky verejnej správy.</w:t>
      </w:r>
    </w:p>
    <w:p w14:paraId="4F55C2EF" w14:textId="77777777" w:rsidR="009E3459" w:rsidRPr="002C4B70" w:rsidRDefault="009E3459" w:rsidP="009E3459">
      <w:pPr>
        <w:jc w:val="both"/>
        <w:rPr>
          <w:rFonts w:ascii="Book Antiqua" w:hAnsi="Book Antiqua"/>
        </w:rPr>
      </w:pPr>
    </w:p>
    <w:p w14:paraId="28242FE7"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t>Limit verejných výdavkov sa určuje na každý rozpočtový rok príslušného volebného obdobia národnej rady počnúc rokom nasledujúcim po roku, v ktorom bolo schválené programové vyhlásenie vlády a vyslovená dôvera vláde po voľbách do národnej rady. Ak limit verejných výdavkov nie je určený podľa prvej vety na všetky roky, na ktoré sa zostavuje rozpočet verejnej správy, rada vypočíta limit verejných výdavkov na každý rok, na ktorý sa zostavuje rozpočet verejnej správy.</w:t>
      </w:r>
    </w:p>
    <w:p w14:paraId="0F4E8C09" w14:textId="77777777" w:rsidR="009E3459" w:rsidRPr="002C4B70" w:rsidRDefault="009E3459" w:rsidP="009E3459">
      <w:pPr>
        <w:jc w:val="both"/>
        <w:rPr>
          <w:rFonts w:ascii="Book Antiqua" w:hAnsi="Book Antiqua"/>
        </w:rPr>
      </w:pPr>
    </w:p>
    <w:p w14:paraId="535EE3F3" w14:textId="44B79A7F"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lastRenderedPageBreak/>
        <w:t>Limit verejných výdavkov podľa odsekov 1 a 2 prvej vety vypočítava rada a predkladá ho na rokovanie národnej rady do 60 dní po schválení programového vyhlásenia vlády a vyslovení dôvery vláde po voľbách do národnej rady. Limit verejných výdavkov podľa odseku 2 druhej vety rada vypočíta v termíne aktualizácie limitu verejných výdavkov podľa odseku 9 a predkladá ho na rokovanie príslušného výboru národnej rady.</w:t>
      </w:r>
      <w:r w:rsidRPr="002C4B70">
        <w:rPr>
          <w:rFonts w:ascii="Book Antiqua" w:hAnsi="Book Antiqua"/>
          <w:b/>
        </w:rPr>
        <w:t xml:space="preserve"> </w:t>
      </w:r>
      <w:r w:rsidRPr="002C4B70">
        <w:rPr>
          <w:rFonts w:ascii="Book Antiqua" w:hAnsi="Book Antiqua"/>
        </w:rPr>
        <w:t>Limit verejných výdavkov sa vypočítava zo zápornej  hodnoty plánovaného salda verejnej správy upraveného o vplyv hospodárskeho cyklu a o jednorazové vplyvy (ďalej len  „štrukturálne saldo“), od ktorého sa odpočítajú konsolidované výdavky na správu dlhu verejnej správy, odvod do rozpočtu Európskej únie a prostriedky štátneho rozpočtu určené na financovanie spoločných programov Slovenskej republiky a Európskej únie a</w:t>
      </w:r>
      <w:r w:rsidR="007E438A">
        <w:rPr>
          <w:rFonts w:ascii="Book Antiqua" w:hAnsi="Book Antiqua"/>
        </w:rPr>
        <w:t> pripočítajú</w:t>
      </w:r>
    </w:p>
    <w:p w14:paraId="7A5BC155"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predpokladaný výsledok hospodárenia územnej samosprávy,</w:t>
      </w:r>
    </w:p>
    <w:p w14:paraId="2D14D4D6"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predpokladané konsolidované daňové príjmy vrátane príjmov poistných fondov, upravené o vplyv hospodárskeho cyklu a jednorazové vplyvy,</w:t>
      </w:r>
    </w:p>
    <w:p w14:paraId="1335F26E"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predpokladané konsolidované nedaňové príjmy, granty a transfery upravené o  jednorazové vplyvy okrem prostriedkov z rozpočtu Európskej únie.</w:t>
      </w:r>
    </w:p>
    <w:p w14:paraId="17A233E4" w14:textId="77777777" w:rsidR="009E3459" w:rsidRPr="002C4B70" w:rsidRDefault="009E3459" w:rsidP="009E3459">
      <w:pPr>
        <w:jc w:val="both"/>
        <w:rPr>
          <w:rFonts w:ascii="Book Antiqua" w:hAnsi="Book Antiqua"/>
        </w:rPr>
      </w:pPr>
    </w:p>
    <w:p w14:paraId="44AD61B5"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t>Príjmy uvedené v odseku 3 písm. b) a c) sa znižujú o zodpovedajúce príjmy územnej samosprávy.</w:t>
      </w:r>
    </w:p>
    <w:p w14:paraId="4A8A3937" w14:textId="77777777" w:rsidR="009E3459" w:rsidRPr="002C4B70" w:rsidRDefault="009E3459" w:rsidP="009E3459">
      <w:pPr>
        <w:jc w:val="both"/>
        <w:rPr>
          <w:rFonts w:ascii="Book Antiqua" w:hAnsi="Book Antiqua"/>
        </w:rPr>
      </w:pPr>
    </w:p>
    <w:p w14:paraId="33C1D25E"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t>V rámci limitu verejných výdavkov sa povinne rozpočtujú v čase sa zvyšujúce rezervy tak, aby sa zabezpečilo krytie nepredvídaných rozpočtových vplyvov.</w:t>
      </w:r>
    </w:p>
    <w:p w14:paraId="2DB01C64" w14:textId="77777777" w:rsidR="009E3459" w:rsidRPr="002C4B70" w:rsidRDefault="009E3459" w:rsidP="009E3459">
      <w:pPr>
        <w:jc w:val="both"/>
        <w:rPr>
          <w:rFonts w:ascii="Book Antiqua" w:hAnsi="Book Antiqua"/>
        </w:rPr>
      </w:pPr>
    </w:p>
    <w:p w14:paraId="583E03AA"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t xml:space="preserve">Východiskom pre určenie hodnoty plánovaného štrukturálneho salda podľa odseku 3 je ukazovateľ dlhodobej udržateľnosti s primeraným zohľadnením miery rizika spojeného s dlhodobou udržateľnosťou. Na každý rozpočtový rok príslušného volebného obdobia národnej rady počnúc rokom nasledujúcim po roku, v ktorom bolo schválené programové vyhlásenie vlády a vyslovená dôvera vláde po voľbách do národnej rady rada vypočíta hodnotu plánovaného štrukturálneho salda tak, aby pri vysokom riziku v súvislosti s dlhodobou udržateľnosťou sa zlepšil ukazovateľ dlhodobej udržateľnosti o 1 % hrubého domáceho produktu, pri strednom riziku sa zlepšil ukazovateľ dlhodobej udržateľnosti o 0,5 % hrubého domáceho produktu a aby sa pri nízkom riziku nezmenil ukazovateľ dlhodobej udržateľnosti. Ak je hospodárenie Slovenskej republiky dlhodobo udržateľné, rada vypočíta hodnotu plánovaného štrukturálneho salda tak, aby ukazovateľ dlhodobej udržateľnosti dosahoval v každom rozpočtovom roku nulovú hodnotu. </w:t>
      </w:r>
      <w:r w:rsidRPr="002C4B70">
        <w:rPr>
          <w:rFonts w:ascii="Book Antiqua" w:hAnsi="Book Antiqua"/>
          <w:bCs/>
        </w:rPr>
        <w:t>Hodnota plánovaného štrukturálneho salda sa vypočíta tak, aby sa zohľadnili opatrenia, ktoré sa majú uplatniť podľa čl. 5 ods. 6 písm. c) a čl. 5 ods. 7 písm. a).</w:t>
      </w:r>
    </w:p>
    <w:p w14:paraId="5E1F7AB4" w14:textId="77777777" w:rsidR="009E3459" w:rsidRPr="002C4B70" w:rsidRDefault="009E3459" w:rsidP="009E3459">
      <w:pPr>
        <w:jc w:val="both"/>
        <w:rPr>
          <w:rFonts w:ascii="Book Antiqua" w:hAnsi="Book Antiqua"/>
        </w:rPr>
      </w:pPr>
    </w:p>
    <w:p w14:paraId="78B34572"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lastRenderedPageBreak/>
        <w:t xml:space="preserve">Ak by sa hodnota plánovaného štrukturálneho salda v dôsledku postupu podľa odseku 6 zlepšila na úroveň štrukturálneho prebytku vyššieho ako 2 % hrubého domáceho produktu, zlepšenie štrukturálneho salda sa určí tak, aby štrukturálny prebytok nepresiahol  2 % hrubého domáceho produktu. </w:t>
      </w:r>
    </w:p>
    <w:p w14:paraId="107C2280" w14:textId="77777777" w:rsidR="009E3459" w:rsidRPr="002C4B70" w:rsidRDefault="009E3459" w:rsidP="009E3459">
      <w:pPr>
        <w:jc w:val="both"/>
        <w:rPr>
          <w:rFonts w:ascii="Book Antiqua" w:hAnsi="Book Antiqua"/>
        </w:rPr>
      </w:pPr>
    </w:p>
    <w:p w14:paraId="05443430"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t>Limit verejných výdavkov na nasledujúce štyri roky schvaľuje národná rada uznesením, ktoré je všeobecne záväzné a zverejňuje sa v Zbierke zákonov Slovenskej republiky. V období uplatňovania opatrení podľa čl. 5 ods. 4 až 8 nemožno pri prerokúvaní návrhov zákonov v pléne národnej rady predkladať pozmeňujúce návrhy alebo doplňujúce návrhy s dôsledkom na prekročenie limitu verejných výdavkov, ktoré neboli prerokované vo výboroch národnej rady. Vláda je povinná zosúladiť návrh rozpočtu verejnej správy s platným limitom verejných výdavkov. Ak vláda  predložila národnej rade návrh rozpočtu verejnej správy, ktorý prekračuje platný limit verejných výdavkov a na rokovaní národnej rady sa neschváli pozmeňujúci návrh alebo doplňujúci návrh, ktorým sa zosúladí návrh rozpočtu verejnej správy s platným limitom verejných výdavkov, vláda je povinná ho vziať späť a do 30 dní predložiť návrh rozpočtu verejnej správy, ktorý neprekračuje platný limit verejných výdavkov.</w:t>
      </w:r>
    </w:p>
    <w:p w14:paraId="2492C4F2" w14:textId="77777777" w:rsidR="009E3459" w:rsidRPr="002C4B70" w:rsidRDefault="009E3459" w:rsidP="009E3459">
      <w:pPr>
        <w:pStyle w:val="Odsekzoznamu"/>
        <w:ind w:left="360"/>
        <w:jc w:val="both"/>
        <w:rPr>
          <w:rFonts w:ascii="Book Antiqua" w:hAnsi="Book Antiqua"/>
        </w:rPr>
      </w:pPr>
    </w:p>
    <w:p w14:paraId="2D9A3189" w14:textId="77777777" w:rsidR="009E3459" w:rsidRPr="002C4B70" w:rsidRDefault="009E3459" w:rsidP="009E3459">
      <w:pPr>
        <w:pStyle w:val="Odsekzoznamu"/>
        <w:numPr>
          <w:ilvl w:val="0"/>
          <w:numId w:val="11"/>
        </w:numPr>
        <w:jc w:val="both"/>
        <w:rPr>
          <w:rFonts w:ascii="Book Antiqua" w:hAnsi="Book Antiqua"/>
        </w:rPr>
      </w:pPr>
      <w:r w:rsidRPr="002C4B70">
        <w:rPr>
          <w:rFonts w:ascii="Book Antiqua" w:hAnsi="Book Antiqua"/>
        </w:rPr>
        <w:t>Aktualizovaný limit verejných výdavkov rada vypočíta do 30. júna rozpočtového roka a do 30 dní od doručenia žiadosti vlády o aktualizáciu limitu verejných výdavkov. Pri výpočte aktualizovaného limitu verejných výdavkov sa zohľadňujú</w:t>
      </w:r>
    </w:p>
    <w:p w14:paraId="0F6B2266"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 xml:space="preserve">vplyvy zmien v dlhodobej udržateľnosti vyvolané legislatívnymi zmenami schválenými národnou radou; ak sa uplatňujú opatrenia podľa čl. 5 ods. 4 až 8 a celkové vplyvy týchto legislatívnych zmien zlepšujú ukazovateľ dlhodobej udržateľnosti, pri aktualizácii limitu verejných výdavkov sa ich vplyv na štrukturálne saldo </w:t>
      </w:r>
      <w:r w:rsidRPr="002C4B70">
        <w:rPr>
          <w:rFonts w:ascii="Book Antiqua" w:hAnsi="Book Antiqua"/>
          <w:bCs/>
        </w:rPr>
        <w:t>nezohľadní</w:t>
      </w:r>
      <w:r w:rsidRPr="002C4B70">
        <w:rPr>
          <w:rFonts w:ascii="Book Antiqua" w:hAnsi="Book Antiqua"/>
        </w:rPr>
        <w:t>,</w:t>
      </w:r>
    </w:p>
    <w:p w14:paraId="1C135D6D"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vplyvy plnenia limitu verejných výdavkov v predchádzajúcich rozpočtových rokoch na základe hodnotenia podľa odseku 17,</w:t>
      </w:r>
    </w:p>
    <w:p w14:paraId="2DF3E52E"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vplyvy legislatívnych zmien na príjmy verejnej správy,</w:t>
      </w:r>
    </w:p>
    <w:p w14:paraId="00ABF39A"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rozdiel medzi skutočnou výškou prijatých grantov a transferov upravenou o jednorazové vplyvy, okrem prostriedkov z rozpočtu Európskej únie a ich predpokladanou výškou podľa odseku 3,</w:t>
      </w:r>
    </w:p>
    <w:p w14:paraId="5FACFEE9"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rozdiel medzi skutočnou výškou nedaňových príjmov upravenou o jednorazové vplyvy, ktoré neposudzujú výbory podľa čl. 8 ods. 1 a ich predpokladanou výškou podľa odseku 3,</w:t>
      </w:r>
    </w:p>
    <w:p w14:paraId="0ABC11AE"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rozdiel medzi skutočnou výškou odvodu do rozpočtu Európskej únie a jeho predpokladanou výškou podľa odseku 3,</w:t>
      </w:r>
    </w:p>
    <w:p w14:paraId="6BFF07C4"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rozdiel medzi skutočnými výdavkami štátneho rozpočtu určenými na financovanie spoločných programov Slovenskej republiky a Európskej únie a ich predpokladanou výškou podľa odseku 3,</w:t>
      </w:r>
    </w:p>
    <w:p w14:paraId="31D9D5F4"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t xml:space="preserve">rozdiel medzi skutočným výsledkom hospodárenia územnej samosprávy a predpokladaným výsledkom hospodárenia územnej samosprávy podľa odseku 3 písm. a), </w:t>
      </w:r>
    </w:p>
    <w:p w14:paraId="0CF1ACEA" w14:textId="77777777" w:rsidR="009E3459" w:rsidRPr="002C4B70" w:rsidRDefault="009E3459" w:rsidP="009E3459">
      <w:pPr>
        <w:pStyle w:val="Odsekzoznamu"/>
        <w:numPr>
          <w:ilvl w:val="1"/>
          <w:numId w:val="11"/>
        </w:numPr>
        <w:jc w:val="both"/>
        <w:rPr>
          <w:rFonts w:ascii="Book Antiqua" w:hAnsi="Book Antiqua"/>
        </w:rPr>
      </w:pPr>
      <w:r w:rsidRPr="002C4B70">
        <w:rPr>
          <w:rFonts w:ascii="Book Antiqua" w:hAnsi="Book Antiqua"/>
        </w:rPr>
        <w:lastRenderedPageBreak/>
        <w:t xml:space="preserve">vplyvy opatrení podľa čl. 5 ods. 6 písm. c) a čl. 5 ods. 7 písm. a). </w:t>
      </w:r>
    </w:p>
    <w:p w14:paraId="2E83341F" w14:textId="77777777" w:rsidR="009E3459" w:rsidRPr="002C4B70" w:rsidRDefault="009E3459" w:rsidP="009E3459">
      <w:pPr>
        <w:pStyle w:val="Odsekzoznamu"/>
        <w:ind w:left="1428"/>
        <w:jc w:val="both"/>
        <w:rPr>
          <w:rFonts w:ascii="Book Antiqua" w:hAnsi="Book Antiqua"/>
        </w:rPr>
      </w:pPr>
    </w:p>
    <w:p w14:paraId="7A735C0E"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Rada aktualizuje limit verejných výdavkov do 30 dní odo dňa zverejnenia prognóz vypracovaných výbormi podľa čl. 8 ods. 2, ak zistený rozdiel medzi aktuálnymi prognózami príjmov vypracovanými výbormi podľa čl. 8 ods. 2 a ich predpokladanou výškou podľa odseku 3 dosahuje v jednom roku v absolútnom vyjadrení aspoň 3 % hrubého domáceho produktu postupom podľa odsekov 3, 4, 6 a 7.</w:t>
      </w:r>
    </w:p>
    <w:p w14:paraId="369F7A46" w14:textId="77777777" w:rsidR="009E3459" w:rsidRPr="002C4B70" w:rsidRDefault="009E3459" w:rsidP="009E3459">
      <w:pPr>
        <w:pStyle w:val="Odsekzoznamu"/>
        <w:ind w:left="1134"/>
        <w:jc w:val="both"/>
        <w:rPr>
          <w:rFonts w:ascii="Book Antiqua" w:hAnsi="Book Antiqua"/>
        </w:rPr>
      </w:pPr>
    </w:p>
    <w:p w14:paraId="1F22AC91"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Rada môže mimoriadne aktualizovať limit verejných výdavkov aj po schválení legislatívnych zmien v národnej rade ovplyvňujúcich dlhodobú udržateľnosť; ak sa uplatňujú opatrenia podľa čl. 5 ods. 4 až 8 a celkové vplyvy týchto legislatívnych zmien zlepšujú ukazovateľ dlhodobej udržateľnosti, pri aktualizácii limitu verejných výdavkov sa ich vplyv na štrukturálne saldo nezohľadní.</w:t>
      </w:r>
    </w:p>
    <w:p w14:paraId="1043080D" w14:textId="77777777" w:rsidR="009E3459" w:rsidRPr="002C4B70" w:rsidRDefault="009E3459" w:rsidP="009E3459">
      <w:pPr>
        <w:pStyle w:val="Odsekzoznamu"/>
        <w:rPr>
          <w:rFonts w:ascii="Book Antiqua" w:hAnsi="Book Antiqua"/>
        </w:rPr>
      </w:pPr>
    </w:p>
    <w:p w14:paraId="7698983C"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 xml:space="preserve">Ak vláda vyhlási mimoriadnu okolnosť podľa odseku 13, rada do 15 dní odo dňa jej vyhlásenia aktualizuje limit verejných výdavkov. Zmena plánovaného štrukturálneho salda určená podľa odseku 6 sa upraví tak, aby počas rokov predpokladaného trvania mimoriadnej okolnosti nedošlo k zmene ukazovateľa dlhodobej udržateľnosti. Vláda môže počas trvania mimoriadnej okolnosti prekročiť takto určený limit verejných výdavkov po schválení národnou radou po stanovisku rady predloženom do hlasovania národnej rady. </w:t>
      </w:r>
    </w:p>
    <w:p w14:paraId="57153ADE" w14:textId="77777777" w:rsidR="009E3459" w:rsidRPr="002C4B70" w:rsidRDefault="009E3459" w:rsidP="009E3459">
      <w:pPr>
        <w:pStyle w:val="Odsekzoznamu"/>
        <w:rPr>
          <w:rFonts w:ascii="Book Antiqua" w:hAnsi="Book Antiqua"/>
        </w:rPr>
      </w:pPr>
    </w:p>
    <w:p w14:paraId="64804744" w14:textId="77777777" w:rsidR="009E3459" w:rsidRPr="002C4B70" w:rsidRDefault="009E3459" w:rsidP="009E3459">
      <w:pPr>
        <w:pStyle w:val="Odsekzoznamu"/>
        <w:numPr>
          <w:ilvl w:val="0"/>
          <w:numId w:val="11"/>
        </w:numPr>
        <w:ind w:left="1134" w:hanging="426"/>
        <w:jc w:val="both"/>
        <w:rPr>
          <w:rFonts w:ascii="Book Antiqua" w:hAnsi="Book Antiqua"/>
          <w:bCs/>
        </w:rPr>
      </w:pPr>
      <w:r w:rsidRPr="002C4B70">
        <w:rPr>
          <w:rFonts w:ascii="Book Antiqua" w:hAnsi="Book Antiqua"/>
        </w:rPr>
        <w:t xml:space="preserve">Vláda </w:t>
      </w:r>
      <w:r w:rsidRPr="002C4B70">
        <w:rPr>
          <w:rFonts w:ascii="Book Antiqua" w:hAnsi="Book Antiqua"/>
          <w:bCs/>
        </w:rPr>
        <w:t xml:space="preserve">môže vyhlásiť mimoriadnu okolnosť po tom, ako Štatistický úrad Slovenskej republiky zverejní, že hrubý domáci produkt za predchádzajúci štvrťrok vyjadrený v stálych cenách medziročne klesol a na základe bezprostredne nasledujúcej prognózy Výboru pre makroekonomické prognózy príslušný ročný hrubý domáci produkt vyjadrený v stálych cenách </w:t>
      </w:r>
    </w:p>
    <w:p w14:paraId="283AD5C5" w14:textId="77777777" w:rsidR="009E3459" w:rsidRPr="002C4B70" w:rsidRDefault="009E3459" w:rsidP="009E3459">
      <w:pPr>
        <w:pStyle w:val="Odsekzoznamu"/>
        <w:numPr>
          <w:ilvl w:val="0"/>
          <w:numId w:val="12"/>
        </w:numPr>
        <w:jc w:val="both"/>
        <w:rPr>
          <w:rFonts w:ascii="Book Antiqua" w:hAnsi="Book Antiqua"/>
          <w:bCs/>
        </w:rPr>
      </w:pPr>
      <w:r w:rsidRPr="002C4B70">
        <w:rPr>
          <w:rFonts w:ascii="Book Antiqua" w:hAnsi="Book Antiqua"/>
          <w:bCs/>
        </w:rPr>
        <w:t>klesne medziročne aspoň o tri percentuálne body; mimoriadna okolnosť trvá 12 mesiacov odo dňa vyhlásenia vládou, ak odsek 14 neustanovuje inak alebo</w:t>
      </w:r>
    </w:p>
    <w:p w14:paraId="7427A6C7" w14:textId="77777777" w:rsidR="009E3459" w:rsidRPr="002C4B70" w:rsidRDefault="009E3459" w:rsidP="009E3459">
      <w:pPr>
        <w:pStyle w:val="Odsekzoznamu"/>
        <w:numPr>
          <w:ilvl w:val="0"/>
          <w:numId w:val="12"/>
        </w:numPr>
        <w:jc w:val="both"/>
        <w:rPr>
          <w:rFonts w:ascii="Book Antiqua" w:hAnsi="Book Antiqua"/>
        </w:rPr>
      </w:pPr>
      <w:r w:rsidRPr="002C4B70">
        <w:rPr>
          <w:rFonts w:ascii="Book Antiqua" w:hAnsi="Book Antiqua"/>
          <w:bCs/>
        </w:rPr>
        <w:t>klesne medziročne aspoň o šesť percentuálnych bodov; mimoriadna okolnosť trvá 24 mesiacov odo dňa vyhlásenia vládou, ak odsek 14 neustanovuje inak.</w:t>
      </w:r>
    </w:p>
    <w:p w14:paraId="303613AF" w14:textId="77777777" w:rsidR="009E3459" w:rsidRPr="002C4B70" w:rsidRDefault="009E3459" w:rsidP="009E3459">
      <w:pPr>
        <w:pStyle w:val="Odsekzoznamu"/>
        <w:ind w:left="1428"/>
        <w:jc w:val="both"/>
        <w:rPr>
          <w:rFonts w:ascii="Book Antiqua" w:hAnsi="Book Antiqua"/>
        </w:rPr>
      </w:pPr>
    </w:p>
    <w:p w14:paraId="259DEFED"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 xml:space="preserve">Ak </w:t>
      </w:r>
      <w:r w:rsidRPr="002C4B70">
        <w:rPr>
          <w:rFonts w:ascii="Book Antiqua" w:hAnsi="Book Antiqua"/>
          <w:bCs/>
        </w:rPr>
        <w:t xml:space="preserve">Štatistický úrad Slovenskej republiky zverejní, že hrubý domáci produkt za rok, na základe ktorého bola vyhlásená mimoriadna okolnosť podľa odseku 13, vyjadrený v stálych cenách klesol medziročne o menej ako tri percentuálne body alebo neklesol, obdobie podľa odseku 13 sa ukončuje dňom zverejnenia. Ak Štatistický úrad Slovenskej republiky zverejní, že hrubý domáci produkt za rok, na základe ktorého bola vyhlásená mimoriadna okolnosť podľa odseku 13, vyjadrený v stálych cenách klesol medziročne o menej ako šesť percentuálnych bodov, ale klesol aspoň o tri </w:t>
      </w:r>
      <w:r w:rsidRPr="002C4B70">
        <w:rPr>
          <w:rFonts w:ascii="Book Antiqua" w:hAnsi="Book Antiqua"/>
          <w:bCs/>
        </w:rPr>
        <w:lastRenderedPageBreak/>
        <w:t>percentuálne body, obdobie podľa odseku 13 písm. b) sa skracuje na 12 mesiacov alebo sa ukončuje dňom zverejnenia, ak toto obdobie trvá už viac ako 12 mesiacov. Ak Štatistický úrad Slovenskej republiky zverejní, že hrubý domáci produkt za rok, na základe ktorého bola vyhlásená mimoriadna okolnosť podľa odseku 13, vyjadrený v stálych cenách klesol medziročne aspoň o šesť percentuálnych bodov, obdobie podľa odseku 13 písm. a) sa predlžuje na 24 mesiacov.</w:t>
      </w:r>
    </w:p>
    <w:p w14:paraId="370A1849" w14:textId="77777777" w:rsidR="009E3459" w:rsidRPr="002C4B70" w:rsidRDefault="009E3459" w:rsidP="009E3459">
      <w:pPr>
        <w:pStyle w:val="Odsekzoznamu"/>
        <w:rPr>
          <w:rFonts w:ascii="Book Antiqua" w:hAnsi="Book Antiqua"/>
        </w:rPr>
      </w:pPr>
    </w:p>
    <w:p w14:paraId="19528369"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 xml:space="preserve">Po ukončení mimoriadnej okolnosti podľa odseku 13 alebo odseku 14, rada do 30 dní aktualizuje limit verejných výdavkov postupom podľa odsekov 3, 4, 6 a 7. Východiskom aktualizácie je limit verejných výdavkov vypočítaný podľa postupu v odseku 12 za rok, v ktorom došlo k ukončeniu mimoriadnej okolnosti. Po ukončení mimoriadnej okolnosti sa v najbližšom rozpočtovom roku limit verejných výdavkov určí na základe polovičných hodnôt zlepšenia ukazovateľa dlhodobej udržateľnosti uvedených v odseku 6. </w:t>
      </w:r>
    </w:p>
    <w:p w14:paraId="0D881349" w14:textId="77777777" w:rsidR="009E3459" w:rsidRPr="002C4B70" w:rsidRDefault="009E3459" w:rsidP="009E3459">
      <w:pPr>
        <w:pStyle w:val="Odsekzoznamu"/>
        <w:rPr>
          <w:rFonts w:ascii="Book Antiqua" w:hAnsi="Book Antiqua"/>
        </w:rPr>
      </w:pPr>
    </w:p>
    <w:p w14:paraId="38589D94"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Ak v roku konania volieb do národnej rady nebolo schválené programové vyhlásenie vlády a vyslovená dôvera vláde do 30. septembra po voľbách do národnej rady, rada vypočíta a zverejní limit verejných výdavkov postupom podľa odsekov 3, 4, 6 a 7 na  každý rozpočtový rok volebného obdobia nasledujúceho po roku, v ktorom sa uskutočnili voľby do národnej rady; odsek 3 prvá veta sa nepoužije. Po schválení programového vyhlásenia vlády a vyslovení dôvery vláde po voľbách do národnej rady sa postupuje podľa odsekov 3, 4, 6 a 7.</w:t>
      </w:r>
    </w:p>
    <w:p w14:paraId="3AA20A3D" w14:textId="77777777" w:rsidR="009E3459" w:rsidRPr="002C4B70" w:rsidRDefault="009E3459" w:rsidP="009E3459">
      <w:pPr>
        <w:pStyle w:val="Odsekzoznamu"/>
        <w:rPr>
          <w:rFonts w:ascii="Book Antiqua" w:hAnsi="Book Antiqua"/>
        </w:rPr>
      </w:pPr>
    </w:p>
    <w:p w14:paraId="756F86F8"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Plnenie limitu verejných výdavkov za predchádzajúci rozpočtový rok hodnotí a zverejňuje rada každoročne do 15. júna.</w:t>
      </w:r>
      <w:r w:rsidRPr="002C4B70">
        <w:rPr>
          <w:rFonts w:ascii="Book Antiqua" w:hAnsi="Book Antiqua"/>
          <w:i/>
        </w:rPr>
        <w:t xml:space="preserve"> </w:t>
      </w:r>
      <w:r w:rsidRPr="002C4B70">
        <w:rPr>
          <w:rFonts w:ascii="Book Antiqua" w:hAnsi="Book Antiqua"/>
        </w:rPr>
        <w:t>V hodnotení sa zohľadňujú</w:t>
      </w:r>
    </w:p>
    <w:p w14:paraId="5299DCDE" w14:textId="77777777" w:rsidR="009E3459" w:rsidRPr="002C4B70" w:rsidRDefault="009E3459" w:rsidP="009E3459">
      <w:pPr>
        <w:pStyle w:val="Odsekzoznamu"/>
        <w:numPr>
          <w:ilvl w:val="1"/>
          <w:numId w:val="11"/>
        </w:numPr>
        <w:ind w:left="1418" w:hanging="283"/>
        <w:jc w:val="both"/>
        <w:rPr>
          <w:rFonts w:ascii="Book Antiqua" w:hAnsi="Book Antiqua"/>
        </w:rPr>
      </w:pPr>
      <w:r w:rsidRPr="002C4B70">
        <w:rPr>
          <w:rFonts w:ascii="Book Antiqua" w:hAnsi="Book Antiqua"/>
        </w:rPr>
        <w:t>vplyvy schválených legislatívnych zmien na príjmy rozpočtu verejnej správy alebo dlhodobú udržateľnosť,</w:t>
      </w:r>
    </w:p>
    <w:p w14:paraId="73BB0564" w14:textId="77777777" w:rsidR="009E3459" w:rsidRPr="002C4B70" w:rsidRDefault="009E3459" w:rsidP="009E3459">
      <w:pPr>
        <w:pStyle w:val="Odsekzoznamu"/>
        <w:numPr>
          <w:ilvl w:val="1"/>
          <w:numId w:val="11"/>
        </w:numPr>
        <w:ind w:left="1418" w:hanging="283"/>
        <w:jc w:val="both"/>
        <w:rPr>
          <w:rFonts w:ascii="Book Antiqua" w:hAnsi="Book Antiqua"/>
        </w:rPr>
      </w:pPr>
      <w:r w:rsidRPr="002C4B70">
        <w:rPr>
          <w:rFonts w:ascii="Book Antiqua" w:hAnsi="Book Antiqua"/>
        </w:rPr>
        <w:t>vplyvy zmien zaradenia jednotlivých subjektov do sektora verejnej správy a ich vyradenia a ďalšie vplyvy vychádzajúce z jednotnej metodiky platnej pre Európsku úniu,</w:t>
      </w:r>
    </w:p>
    <w:p w14:paraId="68CAB7E0" w14:textId="77777777" w:rsidR="009E3459" w:rsidRPr="002C4B70" w:rsidRDefault="009E3459" w:rsidP="009E3459">
      <w:pPr>
        <w:pStyle w:val="Odsekzoznamu"/>
        <w:numPr>
          <w:ilvl w:val="1"/>
          <w:numId w:val="11"/>
        </w:numPr>
        <w:ind w:left="1418" w:hanging="283"/>
        <w:jc w:val="both"/>
        <w:rPr>
          <w:rFonts w:ascii="Book Antiqua" w:hAnsi="Book Antiqua"/>
        </w:rPr>
      </w:pPr>
      <w:r w:rsidRPr="002C4B70">
        <w:rPr>
          <w:rFonts w:ascii="Book Antiqua" w:hAnsi="Book Antiqua"/>
        </w:rPr>
        <w:t>vplyvy použitia nevyčerpaných finančných prostriedkov z minulých rokov,</w:t>
      </w:r>
    </w:p>
    <w:p w14:paraId="43FCF19A" w14:textId="77777777" w:rsidR="009E3459" w:rsidRPr="002C4B70" w:rsidRDefault="009E3459" w:rsidP="009E3459">
      <w:pPr>
        <w:pStyle w:val="Odsekzoznamu"/>
        <w:numPr>
          <w:ilvl w:val="1"/>
          <w:numId w:val="11"/>
        </w:numPr>
        <w:ind w:left="1418" w:hanging="283"/>
        <w:jc w:val="both"/>
        <w:rPr>
          <w:rFonts w:ascii="Book Antiqua" w:hAnsi="Book Antiqua"/>
        </w:rPr>
      </w:pPr>
      <w:r w:rsidRPr="002C4B70">
        <w:rPr>
          <w:rFonts w:ascii="Book Antiqua" w:hAnsi="Book Antiqua"/>
        </w:rPr>
        <w:t>jednorazové vplyvy na verejné výdavky.</w:t>
      </w:r>
    </w:p>
    <w:p w14:paraId="59CD89FE" w14:textId="77777777" w:rsidR="009E3459" w:rsidRPr="002C4B70" w:rsidRDefault="009E3459" w:rsidP="009E3459">
      <w:pPr>
        <w:pStyle w:val="Odsekzoznamu"/>
        <w:ind w:left="1418"/>
        <w:jc w:val="both"/>
        <w:rPr>
          <w:rFonts w:ascii="Book Antiqua" w:hAnsi="Book Antiqua"/>
        </w:rPr>
      </w:pPr>
    </w:p>
    <w:p w14:paraId="3D33C870"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Realizácia výdavkov subjektov verejnej správy z účelovo určených príjmov nad rámec limitu verejných výdavkov sa považuje za dodržanie limitu verejných výdavkov; túto skutočnosť rada zohľadní pri hodnotení plnenia limitu verejných výdavkov.</w:t>
      </w:r>
    </w:p>
    <w:p w14:paraId="069D5180" w14:textId="77777777" w:rsidR="009E3459" w:rsidRPr="002C4B70" w:rsidRDefault="009E3459" w:rsidP="009E3459">
      <w:pPr>
        <w:ind w:left="426"/>
        <w:rPr>
          <w:rFonts w:ascii="Book Antiqua" w:hAnsi="Book Antiqua"/>
        </w:rPr>
      </w:pPr>
    </w:p>
    <w:p w14:paraId="5C4C42B0"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 xml:space="preserve">Ak rada vyhodnotí, že limit verejných výdavkov za predchádzajúci rozpočtový rok nebol splnený, vláda do 30 dní od zverejnenia hodnotenia radou zasiela národnej rade písomné zdôvodnenie nesplnenia limitu </w:t>
      </w:r>
      <w:r w:rsidRPr="002C4B70">
        <w:rPr>
          <w:rFonts w:ascii="Book Antiqua" w:hAnsi="Book Antiqua"/>
        </w:rPr>
        <w:lastRenderedPageBreak/>
        <w:t>výdavkov za predchádzajúci rozpočtový rok. Ak rada vyhodnotí, že limity verejných výdavkov za dva predchádzajúce rozpočtové roky neboli splnené a ich celková odchýlka dosiahla aspoň 1 % hrubého domáceho produktu, vláda do 30 dní od zverejnenia hodnotenia radou požiada národnú radu o vyslovenie dôvery vláde; vláda nie je povinná požiadať národnú radu o vyslovenie dôvery vláde v roku, v ktorom bolo schválené programové vyhlásenie vlády a vyslovená dôvera vláde po voľbách do národnej rady a v nasledujúcom roku.</w:t>
      </w:r>
    </w:p>
    <w:p w14:paraId="74A733B3" w14:textId="77777777" w:rsidR="009E3459" w:rsidRPr="002C4B70" w:rsidRDefault="009E3459" w:rsidP="009E3459">
      <w:pPr>
        <w:pStyle w:val="Odsekzoznamu"/>
        <w:ind w:left="1134"/>
        <w:jc w:val="both"/>
        <w:rPr>
          <w:rFonts w:ascii="Book Antiqua" w:hAnsi="Book Antiqua"/>
        </w:rPr>
      </w:pPr>
    </w:p>
    <w:p w14:paraId="4D774B18" w14:textId="77777777" w:rsidR="009E3459" w:rsidRPr="002C4B70" w:rsidRDefault="009E3459" w:rsidP="009E3459">
      <w:pPr>
        <w:pStyle w:val="Odsekzoznamu"/>
        <w:numPr>
          <w:ilvl w:val="0"/>
          <w:numId w:val="11"/>
        </w:numPr>
        <w:ind w:left="1134" w:hanging="426"/>
        <w:jc w:val="both"/>
        <w:rPr>
          <w:rFonts w:ascii="Book Antiqua" w:hAnsi="Book Antiqua"/>
        </w:rPr>
      </w:pPr>
      <w:r w:rsidRPr="002C4B70">
        <w:rPr>
          <w:rFonts w:ascii="Book Antiqua" w:hAnsi="Book Antiqua"/>
        </w:rPr>
        <w:t>Metodiku výpočtu limitu verejných výdavkov podľa odseku 3, aktualizácie limitu verejných výdavkov podľa odsekov 9 až 12 a 15 a hodnotenia plnenia limitu verejných výdavkov podľa odseku 17 vypracúva a zverejňuje rada. Pri výpočte limitu verejných výdavkov a pri jeho aktualizácii rada postupuje podľa metodiky platnej k 1. januáru roka, v ktorom sa vypočítava limit verejných výdavkov alebo sa takýto limit aktualizuje. Aktualizovaný limit verejných výdavkov podľa odsekov 9 až 12 a 15 rada predkladá na rokovanie príslušného výboru národnej rady. Ak predložený aktualizovaný limit verejných výdavkov nie je v súlade s týmto ústavným zákonom, príslušný výbor národnej rady ho vráti rade na dopracovanie s odôvodnením nesúladu; inak predložený aktualizovaný limit verejných výdavkov schváli uznesením, ktoré je všeobecne záväzné a zverejňuje sa v Zbierke zákonov Slovenskej republiky.“.</w:t>
      </w:r>
    </w:p>
    <w:p w14:paraId="7488B54D" w14:textId="77777777" w:rsidR="009E3459" w:rsidRPr="002C4B70" w:rsidRDefault="009E3459" w:rsidP="009E3459">
      <w:pPr>
        <w:jc w:val="both"/>
        <w:rPr>
          <w:rFonts w:ascii="Book Antiqua" w:hAnsi="Book Antiqua"/>
        </w:rPr>
      </w:pPr>
    </w:p>
    <w:p w14:paraId="3BA04628" w14:textId="77777777" w:rsidR="009E3459" w:rsidRPr="002C4B70" w:rsidRDefault="009E3459" w:rsidP="009E3459">
      <w:pPr>
        <w:pStyle w:val="Odsekzoznamu"/>
        <w:numPr>
          <w:ilvl w:val="0"/>
          <w:numId w:val="13"/>
        </w:numPr>
        <w:spacing w:after="160" w:line="259" w:lineRule="auto"/>
        <w:rPr>
          <w:rFonts w:ascii="Book Antiqua" w:hAnsi="Book Antiqua"/>
        </w:rPr>
      </w:pPr>
      <w:r w:rsidRPr="002C4B70">
        <w:rPr>
          <w:rFonts w:ascii="Book Antiqua" w:hAnsi="Book Antiqua"/>
        </w:rPr>
        <w:t>Za čl. 13 sa vkladá čl. 13a, ktorý vrátane nadpisu znie:</w:t>
      </w:r>
    </w:p>
    <w:p w14:paraId="0EB037B0" w14:textId="77777777" w:rsidR="009E3459" w:rsidRPr="002C4B70" w:rsidRDefault="009E3459" w:rsidP="009E3459">
      <w:pPr>
        <w:jc w:val="center"/>
        <w:rPr>
          <w:rFonts w:ascii="Book Antiqua" w:hAnsi="Book Antiqua"/>
        </w:rPr>
      </w:pPr>
      <w:r w:rsidRPr="002C4B70">
        <w:rPr>
          <w:rFonts w:ascii="Book Antiqua" w:hAnsi="Book Antiqua"/>
        </w:rPr>
        <w:t>„Čl. 13a</w:t>
      </w:r>
    </w:p>
    <w:p w14:paraId="19551589" w14:textId="77777777" w:rsidR="009E3459" w:rsidRPr="002C4B70" w:rsidRDefault="009E3459" w:rsidP="009E3459">
      <w:pPr>
        <w:jc w:val="center"/>
        <w:rPr>
          <w:rFonts w:ascii="Book Antiqua" w:hAnsi="Book Antiqua"/>
        </w:rPr>
      </w:pPr>
      <w:r w:rsidRPr="002C4B70">
        <w:rPr>
          <w:rFonts w:ascii="Book Antiqua" w:hAnsi="Book Antiqua"/>
        </w:rPr>
        <w:t>Prechodné ustanovenia k úpravám účinným od 1. januára 2022</w:t>
      </w:r>
    </w:p>
    <w:p w14:paraId="7027DDE4" w14:textId="77777777" w:rsidR="009E3459" w:rsidRPr="002C4B70" w:rsidRDefault="009E3459" w:rsidP="009E3459">
      <w:pPr>
        <w:rPr>
          <w:rFonts w:ascii="Book Antiqua" w:hAnsi="Book Antiqua"/>
        </w:rPr>
      </w:pPr>
    </w:p>
    <w:p w14:paraId="44786BB7" w14:textId="77777777" w:rsidR="009E3459" w:rsidRPr="002C4B70" w:rsidRDefault="009E3459" w:rsidP="009E3459">
      <w:pPr>
        <w:pStyle w:val="Odsekzoznamu"/>
        <w:numPr>
          <w:ilvl w:val="0"/>
          <w:numId w:val="14"/>
        </w:numPr>
        <w:spacing w:line="259" w:lineRule="auto"/>
        <w:ind w:left="1134"/>
        <w:jc w:val="both"/>
        <w:rPr>
          <w:rFonts w:ascii="Book Antiqua" w:hAnsi="Book Antiqua"/>
        </w:rPr>
      </w:pPr>
      <w:r w:rsidRPr="002C4B70">
        <w:rPr>
          <w:rFonts w:ascii="Book Antiqua" w:hAnsi="Book Antiqua"/>
        </w:rPr>
        <w:t xml:space="preserve">Limit verejných výdavkov sa prvýkrát určuje postupom podľa čl. 7a ods. 2 prvej vety na volebné obdobie národnej rady, v ktorom bolo schválené programové vyhlásenie vlády a vyslovená dôvera vláde po nadobudnutí účinnosti tohto ústavného zákona. </w:t>
      </w:r>
    </w:p>
    <w:p w14:paraId="5AC916EF" w14:textId="77777777" w:rsidR="009E3459" w:rsidRPr="002C4B70" w:rsidRDefault="009E3459" w:rsidP="009E3459">
      <w:pPr>
        <w:pStyle w:val="Odsekzoznamu"/>
        <w:rPr>
          <w:rFonts w:ascii="Book Antiqua" w:hAnsi="Book Antiqua"/>
        </w:rPr>
      </w:pPr>
    </w:p>
    <w:p w14:paraId="6F81A54A" w14:textId="77777777" w:rsidR="009E3459" w:rsidRPr="002C4B70" w:rsidRDefault="009E3459" w:rsidP="009E3459">
      <w:pPr>
        <w:pStyle w:val="Odsekzoznamu"/>
        <w:numPr>
          <w:ilvl w:val="0"/>
          <w:numId w:val="14"/>
        </w:numPr>
        <w:spacing w:line="259" w:lineRule="auto"/>
        <w:ind w:left="1134"/>
        <w:jc w:val="both"/>
        <w:rPr>
          <w:rFonts w:ascii="Book Antiqua" w:hAnsi="Book Antiqua"/>
        </w:rPr>
      </w:pPr>
      <w:r w:rsidRPr="002C4B70">
        <w:rPr>
          <w:rFonts w:ascii="Book Antiqua" w:hAnsi="Book Antiqua"/>
        </w:rPr>
        <w:t>V VIII. volebnom období národnej rady sa limit verejných výdavkov určuje na roky 2023 a 2024; ustanovenia čl. 7a ods. 2 prvej vety, ods. 3 prvej vety, ods. 6 druhej vety a ods. 8 prvej vety sa nepoužijú. V roku 2022 rada vypočíta a predloží na rokovanie národnej rady do 30 dní po zverejnení správy o dlhodobej udržateľnosti limit verejných výdavkov na roky 2023 a 2024 postupom podľa čl. 7a ods. 3, 4, 6 a 7, pričom predbežný limit verejných výdavkov rada vypočíta a predloží ministerstvu financií do 31. marca 2022. Limit verejných výdavkov na roky 2023 a 2024 schvaľuje národná rada uznesením, ktoré je všeobecne záväzné a zverejňuje sa v Zbierke zákonov Slovenskej republiky.</w:t>
      </w:r>
    </w:p>
    <w:p w14:paraId="5BAEF93F" w14:textId="77777777" w:rsidR="009E3459" w:rsidRPr="002C4B70" w:rsidRDefault="009E3459" w:rsidP="009E3459">
      <w:pPr>
        <w:pStyle w:val="Odsekzoznamu"/>
        <w:rPr>
          <w:rFonts w:ascii="Book Antiqua" w:hAnsi="Book Antiqua"/>
        </w:rPr>
      </w:pPr>
    </w:p>
    <w:p w14:paraId="629CDF58" w14:textId="77777777" w:rsidR="009E3459" w:rsidRPr="002C4B70" w:rsidRDefault="009E3459" w:rsidP="009E3459">
      <w:pPr>
        <w:pStyle w:val="Odsekzoznamu"/>
        <w:numPr>
          <w:ilvl w:val="0"/>
          <w:numId w:val="14"/>
        </w:numPr>
        <w:spacing w:line="259" w:lineRule="auto"/>
        <w:ind w:left="1134"/>
        <w:jc w:val="both"/>
        <w:rPr>
          <w:rFonts w:ascii="Book Antiqua" w:hAnsi="Book Antiqua"/>
        </w:rPr>
      </w:pPr>
      <w:r w:rsidRPr="002C4B70">
        <w:rPr>
          <w:rFonts w:ascii="Book Antiqua" w:hAnsi="Book Antiqua"/>
        </w:rPr>
        <w:t>V roku 2022 výbory vypracujú prognózy podľa čl. 8 ods. 2 v znení účinnom od 1. januára 2022 do 28. februára 2022.“.</w:t>
      </w:r>
    </w:p>
    <w:p w14:paraId="724BF5C5" w14:textId="77777777" w:rsidR="009E3459" w:rsidRPr="002C4B70" w:rsidRDefault="009E3459" w:rsidP="009E3459">
      <w:pPr>
        <w:pStyle w:val="Odsekzoznamu"/>
        <w:ind w:left="928"/>
        <w:jc w:val="center"/>
        <w:rPr>
          <w:rFonts w:ascii="Book Antiqua" w:hAnsi="Book Antiqua"/>
          <w:b/>
        </w:rPr>
      </w:pPr>
      <w:r w:rsidRPr="002C4B70">
        <w:rPr>
          <w:rFonts w:ascii="Book Antiqua" w:hAnsi="Book Antiqua"/>
          <w:b/>
        </w:rPr>
        <w:lastRenderedPageBreak/>
        <w:t>Čl. II</w:t>
      </w:r>
    </w:p>
    <w:p w14:paraId="67207FCC" w14:textId="77777777" w:rsidR="009E3459" w:rsidRPr="002C4B70" w:rsidRDefault="009E3459" w:rsidP="009E3459">
      <w:pPr>
        <w:pStyle w:val="Odsekzoznamu"/>
        <w:ind w:left="928"/>
        <w:jc w:val="center"/>
        <w:rPr>
          <w:rFonts w:ascii="Book Antiqua" w:hAnsi="Book Antiqua"/>
        </w:rPr>
      </w:pPr>
    </w:p>
    <w:p w14:paraId="1726B57C" w14:textId="5F505D6C" w:rsidR="000222C7" w:rsidRPr="00924E59" w:rsidRDefault="009E3459" w:rsidP="00924E59">
      <w:pPr>
        <w:pStyle w:val="Odsekzoznamu"/>
        <w:ind w:left="928"/>
        <w:jc w:val="both"/>
        <w:rPr>
          <w:rFonts w:ascii="Book Antiqua" w:hAnsi="Book Antiqua"/>
        </w:rPr>
      </w:pPr>
      <w:r w:rsidRPr="002C4B70">
        <w:rPr>
          <w:rFonts w:ascii="Book Antiqua" w:hAnsi="Book Antiqua"/>
        </w:rPr>
        <w:t>Tento ústavný zákon n</w:t>
      </w:r>
      <w:r w:rsidR="00924E59">
        <w:rPr>
          <w:rFonts w:ascii="Book Antiqua" w:hAnsi="Book Antiqua"/>
        </w:rPr>
        <w:t>adobúda účinnosť 1. januára 2022</w:t>
      </w:r>
      <w:r w:rsidRPr="002C4B70">
        <w:rPr>
          <w:rFonts w:ascii="Book Antiqua" w:hAnsi="Book Antiqua"/>
        </w:rPr>
        <w:t>.</w:t>
      </w:r>
      <w:bookmarkStart w:id="0" w:name="_GoBack"/>
      <w:bookmarkEnd w:id="0"/>
    </w:p>
    <w:sectPr w:rsidR="000222C7" w:rsidRPr="00924E59" w:rsidSect="00450A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E0A6" w14:textId="77777777" w:rsidR="00F53EA5" w:rsidRDefault="00F53EA5" w:rsidP="00315A87">
      <w:r>
        <w:separator/>
      </w:r>
    </w:p>
  </w:endnote>
  <w:endnote w:type="continuationSeparator" w:id="0">
    <w:p w14:paraId="049772ED" w14:textId="77777777" w:rsidR="00F53EA5" w:rsidRDefault="00F53EA5" w:rsidP="003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EEEC" w14:textId="77777777" w:rsidR="00F53EA5" w:rsidRDefault="00F53EA5" w:rsidP="00315A87">
      <w:r>
        <w:separator/>
      </w:r>
    </w:p>
  </w:footnote>
  <w:footnote w:type="continuationSeparator" w:id="0">
    <w:p w14:paraId="3F693DDC" w14:textId="77777777" w:rsidR="00F53EA5" w:rsidRDefault="00F53EA5" w:rsidP="0031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E3B"/>
    <w:multiLevelType w:val="hybridMultilevel"/>
    <w:tmpl w:val="A4FCFA4C"/>
    <w:lvl w:ilvl="0" w:tplc="992840A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7562D25"/>
    <w:multiLevelType w:val="hybridMultilevel"/>
    <w:tmpl w:val="4C56EA1A"/>
    <w:lvl w:ilvl="0" w:tplc="041B000F">
      <w:start w:val="1"/>
      <w:numFmt w:val="decimal"/>
      <w:lvlText w:val="%1."/>
      <w:lvlJc w:val="left"/>
      <w:pPr>
        <w:ind w:left="361" w:hanging="360"/>
      </w:p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2" w15:restartNumberingAfterBreak="0">
    <w:nsid w:val="0A714A47"/>
    <w:multiLevelType w:val="hybridMultilevel"/>
    <w:tmpl w:val="0B3C75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08526B"/>
    <w:multiLevelType w:val="hybridMultilevel"/>
    <w:tmpl w:val="A1A02162"/>
    <w:lvl w:ilvl="0" w:tplc="42508214">
      <w:start w:val="1"/>
      <w:numFmt w:val="decimal"/>
      <w:lvlText w:val="%1."/>
      <w:lvlJc w:val="left"/>
      <w:pPr>
        <w:ind w:left="720" w:hanging="360"/>
      </w:pPr>
      <w:rPr>
        <w:rFonts w:eastAsia="Times New Roman" w:cs="Times New Roman" w:hint="default"/>
        <w:b w:val="0"/>
        <w:color w:val="231F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E63CFF"/>
    <w:multiLevelType w:val="hybridMultilevel"/>
    <w:tmpl w:val="604CCD1E"/>
    <w:lvl w:ilvl="0" w:tplc="DCCC1FD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B0681832">
      <w:start w:val="1"/>
      <w:numFmt w:val="decimal"/>
      <w:lvlText w:val="%7."/>
      <w:lvlJc w:val="left"/>
      <w:pPr>
        <w:ind w:left="5040" w:hanging="360"/>
      </w:pPr>
      <w:rPr>
        <w:rFonts w:ascii="Times New Roman" w:eastAsiaTheme="minorHAnsi" w:hAnsi="Times New Roman" w:cs="Times New Roman"/>
      </w:r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9E4E76"/>
    <w:multiLevelType w:val="hybridMultilevel"/>
    <w:tmpl w:val="EA8CA572"/>
    <w:lvl w:ilvl="0" w:tplc="051C662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2D362570"/>
    <w:multiLevelType w:val="hybridMultilevel"/>
    <w:tmpl w:val="E41CA1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C6123F0"/>
    <w:multiLevelType w:val="hybridMultilevel"/>
    <w:tmpl w:val="A4DC1C92"/>
    <w:lvl w:ilvl="0" w:tplc="0CFECF9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D64541D"/>
    <w:multiLevelType w:val="multilevel"/>
    <w:tmpl w:val="60FABD72"/>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 w15:restartNumberingAfterBreak="0">
    <w:nsid w:val="499B1377"/>
    <w:multiLevelType w:val="hybridMultilevel"/>
    <w:tmpl w:val="916EA4CA"/>
    <w:lvl w:ilvl="0" w:tplc="CE0A0A6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E1F30A5"/>
    <w:multiLevelType w:val="hybridMultilevel"/>
    <w:tmpl w:val="13120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705074"/>
    <w:multiLevelType w:val="hybridMultilevel"/>
    <w:tmpl w:val="0B3C75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9D86DC5"/>
    <w:multiLevelType w:val="hybridMultilevel"/>
    <w:tmpl w:val="6A76C9FA"/>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66D42B38"/>
    <w:multiLevelType w:val="hybridMultilevel"/>
    <w:tmpl w:val="874CD8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0"/>
  </w:num>
  <w:num w:numId="4">
    <w:abstractNumId w:val="9"/>
  </w:num>
  <w:num w:numId="5">
    <w:abstractNumId w:val="7"/>
  </w:num>
  <w:num w:numId="6">
    <w:abstractNumId w:val="0"/>
  </w:num>
  <w:num w:numId="7">
    <w:abstractNumId w:val="2"/>
  </w:num>
  <w:num w:numId="8">
    <w:abstractNumId w:val="13"/>
  </w:num>
  <w:num w:numId="9">
    <w:abstractNumId w:val="5"/>
  </w:num>
  <w:num w:numId="10">
    <w:abstractNumId w:val="11"/>
  </w:num>
  <w:num w:numId="11">
    <w:abstractNumId w:val="8"/>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F8"/>
    <w:rsid w:val="000222C7"/>
    <w:rsid w:val="00026FF8"/>
    <w:rsid w:val="00076CC6"/>
    <w:rsid w:val="000B450C"/>
    <w:rsid w:val="000C70DA"/>
    <w:rsid w:val="000D2E53"/>
    <w:rsid w:val="000D3A37"/>
    <w:rsid w:val="000E1C3B"/>
    <w:rsid w:val="000E310D"/>
    <w:rsid w:val="000F0F6F"/>
    <w:rsid w:val="000F1380"/>
    <w:rsid w:val="000F4272"/>
    <w:rsid w:val="00113A5A"/>
    <w:rsid w:val="0011595B"/>
    <w:rsid w:val="00120770"/>
    <w:rsid w:val="00122FC2"/>
    <w:rsid w:val="00134A54"/>
    <w:rsid w:val="001367B0"/>
    <w:rsid w:val="00144062"/>
    <w:rsid w:val="001459A7"/>
    <w:rsid w:val="0015522B"/>
    <w:rsid w:val="00166A51"/>
    <w:rsid w:val="001717B1"/>
    <w:rsid w:val="00191453"/>
    <w:rsid w:val="00195FF0"/>
    <w:rsid w:val="001B5AC4"/>
    <w:rsid w:val="001B62D9"/>
    <w:rsid w:val="001B7DF3"/>
    <w:rsid w:val="001C7A84"/>
    <w:rsid w:val="001D1370"/>
    <w:rsid w:val="001D66A3"/>
    <w:rsid w:val="001E271E"/>
    <w:rsid w:val="001E5E02"/>
    <w:rsid w:val="002026B4"/>
    <w:rsid w:val="0021153E"/>
    <w:rsid w:val="002126CF"/>
    <w:rsid w:val="00220626"/>
    <w:rsid w:val="002248F6"/>
    <w:rsid w:val="0022529E"/>
    <w:rsid w:val="00243657"/>
    <w:rsid w:val="00243799"/>
    <w:rsid w:val="00251AFB"/>
    <w:rsid w:val="002613AF"/>
    <w:rsid w:val="002637A5"/>
    <w:rsid w:val="00273F9E"/>
    <w:rsid w:val="002835DF"/>
    <w:rsid w:val="00290E5D"/>
    <w:rsid w:val="0029474D"/>
    <w:rsid w:val="002A10BC"/>
    <w:rsid w:val="002B1719"/>
    <w:rsid w:val="002C02E3"/>
    <w:rsid w:val="002D3D18"/>
    <w:rsid w:val="002E1092"/>
    <w:rsid w:val="002E3DED"/>
    <w:rsid w:val="002F1482"/>
    <w:rsid w:val="002F5EBF"/>
    <w:rsid w:val="00312673"/>
    <w:rsid w:val="00315A87"/>
    <w:rsid w:val="00317EA7"/>
    <w:rsid w:val="003375F9"/>
    <w:rsid w:val="003420A4"/>
    <w:rsid w:val="003548FB"/>
    <w:rsid w:val="00355DF8"/>
    <w:rsid w:val="003608EA"/>
    <w:rsid w:val="00365988"/>
    <w:rsid w:val="00376567"/>
    <w:rsid w:val="00384A20"/>
    <w:rsid w:val="00392D5C"/>
    <w:rsid w:val="00392FEC"/>
    <w:rsid w:val="00393EA5"/>
    <w:rsid w:val="0039747B"/>
    <w:rsid w:val="003A3B7B"/>
    <w:rsid w:val="003A5A0D"/>
    <w:rsid w:val="003C59B5"/>
    <w:rsid w:val="003E126A"/>
    <w:rsid w:val="003F408B"/>
    <w:rsid w:val="003F77CD"/>
    <w:rsid w:val="0041067C"/>
    <w:rsid w:val="00412EA8"/>
    <w:rsid w:val="00414FCE"/>
    <w:rsid w:val="00442391"/>
    <w:rsid w:val="00444BCC"/>
    <w:rsid w:val="00450A28"/>
    <w:rsid w:val="00452619"/>
    <w:rsid w:val="00472D5D"/>
    <w:rsid w:val="00474ADD"/>
    <w:rsid w:val="00476C21"/>
    <w:rsid w:val="004931CF"/>
    <w:rsid w:val="00496A32"/>
    <w:rsid w:val="00496EE0"/>
    <w:rsid w:val="004A3E2C"/>
    <w:rsid w:val="004A567E"/>
    <w:rsid w:val="004D1EE2"/>
    <w:rsid w:val="004E18D5"/>
    <w:rsid w:val="004F0540"/>
    <w:rsid w:val="004F1872"/>
    <w:rsid w:val="004F7E83"/>
    <w:rsid w:val="00511153"/>
    <w:rsid w:val="00527A12"/>
    <w:rsid w:val="00532326"/>
    <w:rsid w:val="0054294B"/>
    <w:rsid w:val="005514DF"/>
    <w:rsid w:val="0055359C"/>
    <w:rsid w:val="005741B6"/>
    <w:rsid w:val="005748BA"/>
    <w:rsid w:val="005849AA"/>
    <w:rsid w:val="005A2487"/>
    <w:rsid w:val="005B0047"/>
    <w:rsid w:val="005C2B5D"/>
    <w:rsid w:val="005D18E8"/>
    <w:rsid w:val="005E64C3"/>
    <w:rsid w:val="005F4357"/>
    <w:rsid w:val="006245E9"/>
    <w:rsid w:val="00640C06"/>
    <w:rsid w:val="00647D2B"/>
    <w:rsid w:val="00661B75"/>
    <w:rsid w:val="00663192"/>
    <w:rsid w:val="00687BDE"/>
    <w:rsid w:val="006905B0"/>
    <w:rsid w:val="006A0405"/>
    <w:rsid w:val="006A2A48"/>
    <w:rsid w:val="006B1572"/>
    <w:rsid w:val="006F48CF"/>
    <w:rsid w:val="006F5A82"/>
    <w:rsid w:val="006F6BF8"/>
    <w:rsid w:val="006F7055"/>
    <w:rsid w:val="0071290A"/>
    <w:rsid w:val="007218AB"/>
    <w:rsid w:val="00723FC1"/>
    <w:rsid w:val="00740E04"/>
    <w:rsid w:val="007458F1"/>
    <w:rsid w:val="00746072"/>
    <w:rsid w:val="00764629"/>
    <w:rsid w:val="0076690F"/>
    <w:rsid w:val="00772916"/>
    <w:rsid w:val="00774D36"/>
    <w:rsid w:val="00784319"/>
    <w:rsid w:val="007858C5"/>
    <w:rsid w:val="00791D62"/>
    <w:rsid w:val="007A3179"/>
    <w:rsid w:val="007A60C4"/>
    <w:rsid w:val="007B2565"/>
    <w:rsid w:val="007B5ED5"/>
    <w:rsid w:val="007B6D46"/>
    <w:rsid w:val="007D10BF"/>
    <w:rsid w:val="007D3D90"/>
    <w:rsid w:val="007D7456"/>
    <w:rsid w:val="007E0DA2"/>
    <w:rsid w:val="007E438A"/>
    <w:rsid w:val="007F147B"/>
    <w:rsid w:val="007F3CB7"/>
    <w:rsid w:val="008078FC"/>
    <w:rsid w:val="008177D6"/>
    <w:rsid w:val="00823364"/>
    <w:rsid w:val="00837877"/>
    <w:rsid w:val="008523D9"/>
    <w:rsid w:val="008553F9"/>
    <w:rsid w:val="008719ED"/>
    <w:rsid w:val="00882EC4"/>
    <w:rsid w:val="008A27B6"/>
    <w:rsid w:val="008A3335"/>
    <w:rsid w:val="008B0940"/>
    <w:rsid w:val="008B487C"/>
    <w:rsid w:val="008E38AA"/>
    <w:rsid w:val="008F562B"/>
    <w:rsid w:val="00902E8E"/>
    <w:rsid w:val="00911577"/>
    <w:rsid w:val="00924E59"/>
    <w:rsid w:val="00927423"/>
    <w:rsid w:val="00934976"/>
    <w:rsid w:val="00936F27"/>
    <w:rsid w:val="009374D4"/>
    <w:rsid w:val="00937679"/>
    <w:rsid w:val="0094187B"/>
    <w:rsid w:val="00943BA1"/>
    <w:rsid w:val="00944446"/>
    <w:rsid w:val="00944C31"/>
    <w:rsid w:val="0094671B"/>
    <w:rsid w:val="00950795"/>
    <w:rsid w:val="00956A39"/>
    <w:rsid w:val="009625E6"/>
    <w:rsid w:val="00972F78"/>
    <w:rsid w:val="00977BE6"/>
    <w:rsid w:val="00997038"/>
    <w:rsid w:val="009A5681"/>
    <w:rsid w:val="009B3C7E"/>
    <w:rsid w:val="009B6B8A"/>
    <w:rsid w:val="009B6EF2"/>
    <w:rsid w:val="009C4F09"/>
    <w:rsid w:val="009E3459"/>
    <w:rsid w:val="00A10A36"/>
    <w:rsid w:val="00A2405F"/>
    <w:rsid w:val="00A26DF2"/>
    <w:rsid w:val="00A37F27"/>
    <w:rsid w:val="00A5140A"/>
    <w:rsid w:val="00A55FCF"/>
    <w:rsid w:val="00A62BA4"/>
    <w:rsid w:val="00A64F41"/>
    <w:rsid w:val="00A65321"/>
    <w:rsid w:val="00A72F79"/>
    <w:rsid w:val="00A85D83"/>
    <w:rsid w:val="00A87A4D"/>
    <w:rsid w:val="00A90DCB"/>
    <w:rsid w:val="00A9791A"/>
    <w:rsid w:val="00AA0244"/>
    <w:rsid w:val="00AA4642"/>
    <w:rsid w:val="00AA4F49"/>
    <w:rsid w:val="00AD61AB"/>
    <w:rsid w:val="00AE212B"/>
    <w:rsid w:val="00AE26DD"/>
    <w:rsid w:val="00AE4888"/>
    <w:rsid w:val="00AE5128"/>
    <w:rsid w:val="00AE6275"/>
    <w:rsid w:val="00AE6CEF"/>
    <w:rsid w:val="00AF3E6D"/>
    <w:rsid w:val="00B13C00"/>
    <w:rsid w:val="00B16FB6"/>
    <w:rsid w:val="00B32B22"/>
    <w:rsid w:val="00B519D3"/>
    <w:rsid w:val="00B52FB6"/>
    <w:rsid w:val="00B56A74"/>
    <w:rsid w:val="00B7503C"/>
    <w:rsid w:val="00B768B1"/>
    <w:rsid w:val="00B77E2A"/>
    <w:rsid w:val="00B82B4A"/>
    <w:rsid w:val="00B83E13"/>
    <w:rsid w:val="00B92160"/>
    <w:rsid w:val="00B974EA"/>
    <w:rsid w:val="00BA26F3"/>
    <w:rsid w:val="00BA5820"/>
    <w:rsid w:val="00BC4E65"/>
    <w:rsid w:val="00BC53B7"/>
    <w:rsid w:val="00BE04C0"/>
    <w:rsid w:val="00BE3A84"/>
    <w:rsid w:val="00BE4D66"/>
    <w:rsid w:val="00C139E3"/>
    <w:rsid w:val="00C210C5"/>
    <w:rsid w:val="00C35D3F"/>
    <w:rsid w:val="00C544E2"/>
    <w:rsid w:val="00C61FB1"/>
    <w:rsid w:val="00C663A5"/>
    <w:rsid w:val="00C66B12"/>
    <w:rsid w:val="00C779DA"/>
    <w:rsid w:val="00C85130"/>
    <w:rsid w:val="00C975EF"/>
    <w:rsid w:val="00CC39A5"/>
    <w:rsid w:val="00CC7324"/>
    <w:rsid w:val="00CD076A"/>
    <w:rsid w:val="00CF5193"/>
    <w:rsid w:val="00D03809"/>
    <w:rsid w:val="00D111F8"/>
    <w:rsid w:val="00D1744B"/>
    <w:rsid w:val="00D24847"/>
    <w:rsid w:val="00D27DCB"/>
    <w:rsid w:val="00D33F44"/>
    <w:rsid w:val="00D35302"/>
    <w:rsid w:val="00D51FC3"/>
    <w:rsid w:val="00D54367"/>
    <w:rsid w:val="00D6011F"/>
    <w:rsid w:val="00D72D34"/>
    <w:rsid w:val="00D822E9"/>
    <w:rsid w:val="00DA0825"/>
    <w:rsid w:val="00DA3EBF"/>
    <w:rsid w:val="00DB26F1"/>
    <w:rsid w:val="00DB457A"/>
    <w:rsid w:val="00DD7574"/>
    <w:rsid w:val="00DE56A9"/>
    <w:rsid w:val="00E129F9"/>
    <w:rsid w:val="00E17FD8"/>
    <w:rsid w:val="00E21846"/>
    <w:rsid w:val="00E22DC1"/>
    <w:rsid w:val="00E31D48"/>
    <w:rsid w:val="00E36B8E"/>
    <w:rsid w:val="00E75F42"/>
    <w:rsid w:val="00E8769E"/>
    <w:rsid w:val="00E92C16"/>
    <w:rsid w:val="00E96C09"/>
    <w:rsid w:val="00EA31C2"/>
    <w:rsid w:val="00EA44D1"/>
    <w:rsid w:val="00EA5452"/>
    <w:rsid w:val="00EC0B98"/>
    <w:rsid w:val="00EE569C"/>
    <w:rsid w:val="00EF6F1F"/>
    <w:rsid w:val="00F156BD"/>
    <w:rsid w:val="00F16DF6"/>
    <w:rsid w:val="00F177B8"/>
    <w:rsid w:val="00F444F8"/>
    <w:rsid w:val="00F53EA5"/>
    <w:rsid w:val="00F63AF2"/>
    <w:rsid w:val="00F71C4B"/>
    <w:rsid w:val="00F72625"/>
    <w:rsid w:val="00F91E94"/>
    <w:rsid w:val="00F94E39"/>
    <w:rsid w:val="00FA7630"/>
    <w:rsid w:val="00FC34C8"/>
    <w:rsid w:val="00FE3A0B"/>
    <w:rsid w:val="00FF3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0CAD0"/>
  <w15:docId w15:val="{AC8F6A97-201E-443E-A5B5-5F5204B8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5DF8"/>
    <w:rPr>
      <w:rFonts w:ascii="Times New Roman" w:hAnsi="Times New Roman" w:cs="Times New Roman"/>
      <w:sz w:val="24"/>
      <w:szCs w:val="24"/>
    </w:rPr>
  </w:style>
  <w:style w:type="paragraph" w:styleId="Nadpis1">
    <w:name w:val="heading 1"/>
    <w:basedOn w:val="Normlny"/>
    <w:link w:val="Nadpis1Char"/>
    <w:uiPriority w:val="9"/>
    <w:qFormat/>
    <w:rsid w:val="004F1872"/>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F1872"/>
    <w:rPr>
      <w:rFonts w:ascii="Times New Roman" w:hAnsi="Times New Roman" w:cs="Times New Roman"/>
      <w:b/>
      <w:bCs/>
      <w:kern w:val="36"/>
      <w:sz w:val="48"/>
      <w:szCs w:val="48"/>
    </w:rPr>
  </w:style>
  <w:style w:type="paragraph" w:styleId="Odsekzoznamu">
    <w:name w:val="List Paragraph"/>
    <w:basedOn w:val="Normlny"/>
    <w:link w:val="OdsekzoznamuChar"/>
    <w:uiPriority w:val="34"/>
    <w:qFormat/>
    <w:rsid w:val="00355DF8"/>
    <w:pPr>
      <w:ind w:left="720"/>
      <w:contextualSpacing/>
    </w:pPr>
  </w:style>
  <w:style w:type="character" w:styleId="Odkaznakomentr">
    <w:name w:val="annotation reference"/>
    <w:uiPriority w:val="99"/>
    <w:semiHidden/>
    <w:unhideWhenUsed/>
    <w:rsid w:val="002835DF"/>
    <w:rPr>
      <w:rFonts w:cs="Times New Roman"/>
      <w:sz w:val="16"/>
    </w:rPr>
  </w:style>
  <w:style w:type="paragraph" w:styleId="Textkomentra">
    <w:name w:val="annotation text"/>
    <w:basedOn w:val="Normlny"/>
    <w:link w:val="TextkomentraChar"/>
    <w:uiPriority w:val="99"/>
    <w:unhideWhenUsed/>
    <w:rsid w:val="002835DF"/>
    <w:rPr>
      <w:sz w:val="20"/>
      <w:szCs w:val="20"/>
    </w:rPr>
  </w:style>
  <w:style w:type="character" w:customStyle="1" w:styleId="TextkomentraChar">
    <w:name w:val="Text komentára Char"/>
    <w:link w:val="Textkomentra"/>
    <w:uiPriority w:val="99"/>
    <w:locked/>
    <w:rsid w:val="002835DF"/>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2835DF"/>
    <w:rPr>
      <w:b/>
    </w:rPr>
  </w:style>
  <w:style w:type="character" w:customStyle="1" w:styleId="PredmetkomentraChar">
    <w:name w:val="Predmet komentára Char"/>
    <w:link w:val="Predmetkomentra"/>
    <w:uiPriority w:val="99"/>
    <w:semiHidden/>
    <w:locked/>
    <w:rsid w:val="002835DF"/>
    <w:rPr>
      <w:rFonts w:ascii="Times New Roman" w:hAnsi="Times New Roman" w:cs="Times New Roman"/>
      <w:b/>
    </w:rPr>
  </w:style>
  <w:style w:type="paragraph" w:styleId="Textbubliny">
    <w:name w:val="Balloon Text"/>
    <w:basedOn w:val="Normlny"/>
    <w:link w:val="TextbublinyChar"/>
    <w:uiPriority w:val="99"/>
    <w:semiHidden/>
    <w:unhideWhenUsed/>
    <w:rsid w:val="002835DF"/>
    <w:rPr>
      <w:rFonts w:ascii="Tahoma" w:hAnsi="Tahoma"/>
      <w:sz w:val="16"/>
      <w:szCs w:val="20"/>
    </w:rPr>
  </w:style>
  <w:style w:type="character" w:customStyle="1" w:styleId="TextbublinyChar">
    <w:name w:val="Text bubliny Char"/>
    <w:link w:val="Textbubliny"/>
    <w:uiPriority w:val="99"/>
    <w:semiHidden/>
    <w:locked/>
    <w:rsid w:val="002835DF"/>
    <w:rPr>
      <w:rFonts w:ascii="Tahoma" w:hAnsi="Tahoma" w:cs="Times New Roman"/>
      <w:sz w:val="16"/>
    </w:rPr>
  </w:style>
  <w:style w:type="paragraph" w:styleId="Textpoznmkypodiarou">
    <w:name w:val="footnote text"/>
    <w:basedOn w:val="Normlny"/>
    <w:link w:val="TextpoznmkypodiarouChar"/>
    <w:uiPriority w:val="99"/>
    <w:semiHidden/>
    <w:unhideWhenUsed/>
    <w:rsid w:val="00315A87"/>
    <w:rPr>
      <w:sz w:val="20"/>
      <w:szCs w:val="20"/>
    </w:rPr>
  </w:style>
  <w:style w:type="character" w:customStyle="1" w:styleId="TextpoznmkypodiarouChar">
    <w:name w:val="Text poznámky pod čiarou Char"/>
    <w:link w:val="Textpoznmkypodiarou"/>
    <w:uiPriority w:val="99"/>
    <w:semiHidden/>
    <w:locked/>
    <w:rsid w:val="00315A87"/>
    <w:rPr>
      <w:rFonts w:ascii="Times New Roman" w:hAnsi="Times New Roman" w:cs="Times New Roman"/>
    </w:rPr>
  </w:style>
  <w:style w:type="character" w:styleId="Odkaznapoznmkupodiarou">
    <w:name w:val="footnote reference"/>
    <w:uiPriority w:val="99"/>
    <w:semiHidden/>
    <w:unhideWhenUsed/>
    <w:rsid w:val="00315A87"/>
    <w:rPr>
      <w:rFonts w:cs="Times New Roman"/>
      <w:vertAlign w:val="superscript"/>
    </w:rPr>
  </w:style>
  <w:style w:type="paragraph" w:styleId="Revzia">
    <w:name w:val="Revision"/>
    <w:hidden/>
    <w:uiPriority w:val="99"/>
    <w:semiHidden/>
    <w:rsid w:val="00972F78"/>
    <w:rPr>
      <w:rFonts w:ascii="Times New Roman" w:hAnsi="Times New Roman" w:cs="Times New Roman"/>
      <w:sz w:val="24"/>
      <w:szCs w:val="24"/>
    </w:rPr>
  </w:style>
  <w:style w:type="character" w:customStyle="1" w:styleId="h1a">
    <w:name w:val="h1a"/>
    <w:rsid w:val="004F1872"/>
  </w:style>
  <w:style w:type="paragraph" w:styleId="Normlnywebov">
    <w:name w:val="Normal (Web)"/>
    <w:basedOn w:val="Normlny"/>
    <w:uiPriority w:val="99"/>
    <w:unhideWhenUsed/>
    <w:rsid w:val="004F1872"/>
    <w:pPr>
      <w:spacing w:before="100" w:beforeAutospacing="1" w:after="100" w:afterAutospacing="1"/>
    </w:pPr>
  </w:style>
  <w:style w:type="character" w:styleId="Hypertextovprepojenie">
    <w:name w:val="Hyperlink"/>
    <w:uiPriority w:val="99"/>
    <w:unhideWhenUsed/>
    <w:rsid w:val="004F1872"/>
    <w:rPr>
      <w:color w:val="0000FF"/>
      <w:u w:val="single"/>
    </w:rPr>
  </w:style>
  <w:style w:type="character" w:styleId="PremennHTML">
    <w:name w:val="HTML Variable"/>
    <w:uiPriority w:val="99"/>
    <w:unhideWhenUsed/>
    <w:rsid w:val="00376567"/>
    <w:rPr>
      <w:i/>
    </w:rPr>
  </w:style>
  <w:style w:type="paragraph" w:customStyle="1" w:styleId="Default">
    <w:name w:val="Default"/>
    <w:rsid w:val="000222C7"/>
    <w:pPr>
      <w:widowControl w:val="0"/>
      <w:suppressAutoHyphens/>
      <w:autoSpaceDE w:val="0"/>
    </w:pPr>
    <w:rPr>
      <w:rFonts w:ascii="Liberation Serif" w:hAnsi="Liberation Serif" w:cs="Liberation Serif"/>
      <w:color w:val="000000"/>
      <w:kern w:val="1"/>
      <w:sz w:val="24"/>
      <w:szCs w:val="24"/>
      <w:lang w:eastAsia="zh-CN" w:bidi="hi-IN"/>
    </w:rPr>
  </w:style>
  <w:style w:type="paragraph" w:styleId="Nzov">
    <w:name w:val="Title"/>
    <w:basedOn w:val="Normlny"/>
    <w:link w:val="NzovChar"/>
    <w:qFormat/>
    <w:rsid w:val="009E3459"/>
    <w:pPr>
      <w:widowControl w:val="0"/>
      <w:autoSpaceDE w:val="0"/>
      <w:autoSpaceDN w:val="0"/>
      <w:adjustRightInd w:val="0"/>
      <w:jc w:val="center"/>
    </w:pPr>
    <w:rPr>
      <w:b/>
      <w:sz w:val="26"/>
      <w:szCs w:val="20"/>
    </w:rPr>
  </w:style>
  <w:style w:type="character" w:customStyle="1" w:styleId="NzovChar">
    <w:name w:val="Názov Char"/>
    <w:basedOn w:val="Predvolenpsmoodseku"/>
    <w:link w:val="Nzov"/>
    <w:rsid w:val="009E3459"/>
    <w:rPr>
      <w:rFonts w:ascii="Times New Roman" w:hAnsi="Times New Roman" w:cs="Times New Roman"/>
      <w:b/>
      <w:sz w:val="26"/>
    </w:rPr>
  </w:style>
  <w:style w:type="character" w:customStyle="1" w:styleId="OdsekzoznamuChar">
    <w:name w:val="Odsek zoznamu Char"/>
    <w:basedOn w:val="Predvolenpsmoodseku"/>
    <w:link w:val="Odsekzoznamu"/>
    <w:uiPriority w:val="34"/>
    <w:rsid w:val="009E34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670">
      <w:marLeft w:val="0"/>
      <w:marRight w:val="0"/>
      <w:marTop w:val="0"/>
      <w:marBottom w:val="0"/>
      <w:divBdr>
        <w:top w:val="none" w:sz="0" w:space="0" w:color="auto"/>
        <w:left w:val="none" w:sz="0" w:space="0" w:color="auto"/>
        <w:bottom w:val="none" w:sz="0" w:space="0" w:color="auto"/>
        <w:right w:val="none" w:sz="0" w:space="0" w:color="auto"/>
      </w:divBdr>
    </w:div>
    <w:div w:id="43214671">
      <w:marLeft w:val="0"/>
      <w:marRight w:val="0"/>
      <w:marTop w:val="0"/>
      <w:marBottom w:val="0"/>
      <w:divBdr>
        <w:top w:val="none" w:sz="0" w:space="0" w:color="auto"/>
        <w:left w:val="none" w:sz="0" w:space="0" w:color="auto"/>
        <w:bottom w:val="none" w:sz="0" w:space="0" w:color="auto"/>
        <w:right w:val="none" w:sz="0" w:space="0" w:color="auto"/>
      </w:divBdr>
      <w:divsChild>
        <w:div w:id="43214674">
          <w:marLeft w:val="0"/>
          <w:marRight w:val="0"/>
          <w:marTop w:val="0"/>
          <w:marBottom w:val="0"/>
          <w:divBdr>
            <w:top w:val="none" w:sz="0" w:space="0" w:color="auto"/>
            <w:left w:val="none" w:sz="0" w:space="0" w:color="auto"/>
            <w:bottom w:val="none" w:sz="0" w:space="0" w:color="auto"/>
            <w:right w:val="none" w:sz="0" w:space="0" w:color="auto"/>
          </w:divBdr>
        </w:div>
      </w:divsChild>
    </w:div>
    <w:div w:id="43214672">
      <w:marLeft w:val="0"/>
      <w:marRight w:val="0"/>
      <w:marTop w:val="0"/>
      <w:marBottom w:val="0"/>
      <w:divBdr>
        <w:top w:val="none" w:sz="0" w:space="0" w:color="auto"/>
        <w:left w:val="none" w:sz="0" w:space="0" w:color="auto"/>
        <w:bottom w:val="none" w:sz="0" w:space="0" w:color="auto"/>
        <w:right w:val="none" w:sz="0" w:space="0" w:color="auto"/>
      </w:divBdr>
      <w:divsChild>
        <w:div w:id="43214675">
          <w:marLeft w:val="0"/>
          <w:marRight w:val="0"/>
          <w:marTop w:val="0"/>
          <w:marBottom w:val="0"/>
          <w:divBdr>
            <w:top w:val="none" w:sz="0" w:space="0" w:color="auto"/>
            <w:left w:val="none" w:sz="0" w:space="0" w:color="auto"/>
            <w:bottom w:val="none" w:sz="0" w:space="0" w:color="auto"/>
            <w:right w:val="none" w:sz="0" w:space="0" w:color="auto"/>
          </w:divBdr>
        </w:div>
      </w:divsChild>
    </w:div>
    <w:div w:id="43214673">
      <w:marLeft w:val="0"/>
      <w:marRight w:val="0"/>
      <w:marTop w:val="0"/>
      <w:marBottom w:val="0"/>
      <w:divBdr>
        <w:top w:val="none" w:sz="0" w:space="0" w:color="auto"/>
        <w:left w:val="none" w:sz="0" w:space="0" w:color="auto"/>
        <w:bottom w:val="none" w:sz="0" w:space="0" w:color="auto"/>
        <w:right w:val="none" w:sz="0" w:space="0" w:color="auto"/>
      </w:divBdr>
    </w:div>
    <w:div w:id="292635219">
      <w:bodyDiv w:val="1"/>
      <w:marLeft w:val="0"/>
      <w:marRight w:val="0"/>
      <w:marTop w:val="0"/>
      <w:marBottom w:val="0"/>
      <w:divBdr>
        <w:top w:val="none" w:sz="0" w:space="0" w:color="auto"/>
        <w:left w:val="none" w:sz="0" w:space="0" w:color="auto"/>
        <w:bottom w:val="none" w:sz="0" w:space="0" w:color="auto"/>
        <w:right w:val="none" w:sz="0" w:space="0" w:color="auto"/>
      </w:divBdr>
      <w:divsChild>
        <w:div w:id="291374744">
          <w:marLeft w:val="0"/>
          <w:marRight w:val="0"/>
          <w:marTop w:val="0"/>
          <w:marBottom w:val="0"/>
          <w:divBdr>
            <w:top w:val="none" w:sz="0" w:space="0" w:color="auto"/>
            <w:left w:val="none" w:sz="0" w:space="0" w:color="auto"/>
            <w:bottom w:val="none" w:sz="0" w:space="0" w:color="auto"/>
            <w:right w:val="none" w:sz="0" w:space="0" w:color="auto"/>
          </w:divBdr>
        </w:div>
      </w:divsChild>
    </w:div>
    <w:div w:id="620769490">
      <w:bodyDiv w:val="1"/>
      <w:marLeft w:val="0"/>
      <w:marRight w:val="0"/>
      <w:marTop w:val="0"/>
      <w:marBottom w:val="0"/>
      <w:divBdr>
        <w:top w:val="none" w:sz="0" w:space="0" w:color="auto"/>
        <w:left w:val="none" w:sz="0" w:space="0" w:color="auto"/>
        <w:bottom w:val="none" w:sz="0" w:space="0" w:color="auto"/>
        <w:right w:val="none" w:sz="0" w:space="0" w:color="auto"/>
      </w:divBdr>
      <w:divsChild>
        <w:div w:id="1494954253">
          <w:marLeft w:val="0"/>
          <w:marRight w:val="0"/>
          <w:marTop w:val="0"/>
          <w:marBottom w:val="0"/>
          <w:divBdr>
            <w:top w:val="none" w:sz="0" w:space="0" w:color="auto"/>
            <w:left w:val="none" w:sz="0" w:space="0" w:color="auto"/>
            <w:bottom w:val="none" w:sz="0" w:space="0" w:color="auto"/>
            <w:right w:val="none" w:sz="0" w:space="0" w:color="auto"/>
          </w:divBdr>
        </w:div>
        <w:div w:id="1544639368">
          <w:marLeft w:val="0"/>
          <w:marRight w:val="0"/>
          <w:marTop w:val="0"/>
          <w:marBottom w:val="0"/>
          <w:divBdr>
            <w:top w:val="none" w:sz="0" w:space="0" w:color="auto"/>
            <w:left w:val="none" w:sz="0" w:space="0" w:color="auto"/>
            <w:bottom w:val="none" w:sz="0" w:space="0" w:color="auto"/>
            <w:right w:val="none" w:sz="0" w:space="0" w:color="auto"/>
          </w:divBdr>
        </w:div>
      </w:divsChild>
    </w:div>
    <w:div w:id="649361376">
      <w:bodyDiv w:val="1"/>
      <w:marLeft w:val="0"/>
      <w:marRight w:val="0"/>
      <w:marTop w:val="0"/>
      <w:marBottom w:val="0"/>
      <w:divBdr>
        <w:top w:val="none" w:sz="0" w:space="0" w:color="auto"/>
        <w:left w:val="none" w:sz="0" w:space="0" w:color="auto"/>
        <w:bottom w:val="none" w:sz="0" w:space="0" w:color="auto"/>
        <w:right w:val="none" w:sz="0" w:space="0" w:color="auto"/>
      </w:divBdr>
      <w:divsChild>
        <w:div w:id="1188182526">
          <w:marLeft w:val="0"/>
          <w:marRight w:val="0"/>
          <w:marTop w:val="0"/>
          <w:marBottom w:val="0"/>
          <w:divBdr>
            <w:top w:val="none" w:sz="0" w:space="0" w:color="auto"/>
            <w:left w:val="none" w:sz="0" w:space="0" w:color="auto"/>
            <w:bottom w:val="none" w:sz="0" w:space="0" w:color="auto"/>
            <w:right w:val="none" w:sz="0" w:space="0" w:color="auto"/>
          </w:divBdr>
        </w:div>
        <w:div w:id="1286500624">
          <w:marLeft w:val="0"/>
          <w:marRight w:val="0"/>
          <w:marTop w:val="0"/>
          <w:marBottom w:val="0"/>
          <w:divBdr>
            <w:top w:val="none" w:sz="0" w:space="0" w:color="auto"/>
            <w:left w:val="none" w:sz="0" w:space="0" w:color="auto"/>
            <w:bottom w:val="none" w:sz="0" w:space="0" w:color="auto"/>
            <w:right w:val="none" w:sz="0" w:space="0" w:color="auto"/>
          </w:divBdr>
        </w:div>
      </w:divsChild>
    </w:div>
    <w:div w:id="824709259">
      <w:bodyDiv w:val="1"/>
      <w:marLeft w:val="0"/>
      <w:marRight w:val="0"/>
      <w:marTop w:val="0"/>
      <w:marBottom w:val="0"/>
      <w:divBdr>
        <w:top w:val="none" w:sz="0" w:space="0" w:color="auto"/>
        <w:left w:val="none" w:sz="0" w:space="0" w:color="auto"/>
        <w:bottom w:val="none" w:sz="0" w:space="0" w:color="auto"/>
        <w:right w:val="none" w:sz="0" w:space="0" w:color="auto"/>
      </w:divBdr>
      <w:divsChild>
        <w:div w:id="636686669">
          <w:marLeft w:val="0"/>
          <w:marRight w:val="0"/>
          <w:marTop w:val="0"/>
          <w:marBottom w:val="0"/>
          <w:divBdr>
            <w:top w:val="none" w:sz="0" w:space="0" w:color="auto"/>
            <w:left w:val="none" w:sz="0" w:space="0" w:color="auto"/>
            <w:bottom w:val="none" w:sz="0" w:space="0" w:color="auto"/>
            <w:right w:val="none" w:sz="0" w:space="0" w:color="auto"/>
          </w:divBdr>
        </w:div>
      </w:divsChild>
    </w:div>
    <w:div w:id="1067924626">
      <w:bodyDiv w:val="1"/>
      <w:marLeft w:val="0"/>
      <w:marRight w:val="0"/>
      <w:marTop w:val="0"/>
      <w:marBottom w:val="0"/>
      <w:divBdr>
        <w:top w:val="none" w:sz="0" w:space="0" w:color="auto"/>
        <w:left w:val="none" w:sz="0" w:space="0" w:color="auto"/>
        <w:bottom w:val="none" w:sz="0" w:space="0" w:color="auto"/>
        <w:right w:val="none" w:sz="0" w:space="0" w:color="auto"/>
      </w:divBdr>
      <w:divsChild>
        <w:div w:id="115221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E46A-D532-4EE2-AC73-B4699798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2168</Words>
  <Characters>12360</Characters>
  <Application>Microsoft Office Word</Application>
  <DocSecurity>0</DocSecurity>
  <Lines>103</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Kancelaria NR SR</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Meszaros</dc:creator>
  <cp:lastModifiedBy>Beluský, Martin</cp:lastModifiedBy>
  <cp:revision>64</cp:revision>
  <cp:lastPrinted>2021-08-30T09:47:00Z</cp:lastPrinted>
  <dcterms:created xsi:type="dcterms:W3CDTF">2019-08-22T16:32:00Z</dcterms:created>
  <dcterms:modified xsi:type="dcterms:W3CDTF">2021-09-29T06:31:00Z</dcterms:modified>
</cp:coreProperties>
</file>