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B9449" w14:textId="764F5A3A" w:rsidR="009E3459" w:rsidRDefault="009E3459" w:rsidP="009E3459">
      <w:pPr>
        <w:pStyle w:val="Nzov"/>
        <w:pBdr>
          <w:bottom w:val="single" w:sz="6" w:space="1" w:color="auto"/>
        </w:pBdr>
        <w:rPr>
          <w:rFonts w:ascii="Book Antiqua" w:hAnsi="Book Antiqua"/>
          <w:caps/>
          <w:sz w:val="24"/>
          <w:szCs w:val="24"/>
        </w:rPr>
      </w:pPr>
      <w:r w:rsidRPr="002C4B70">
        <w:rPr>
          <w:rFonts w:ascii="Book Antiqua" w:hAnsi="Book Antiqua"/>
          <w:caps/>
          <w:sz w:val="24"/>
          <w:szCs w:val="24"/>
        </w:rPr>
        <w:t>Národná rada Slovenskej republiky</w:t>
      </w:r>
    </w:p>
    <w:p w14:paraId="65D48F68" w14:textId="77777777" w:rsidR="009E3459" w:rsidRPr="002C4B70" w:rsidRDefault="009E3459" w:rsidP="009E3459">
      <w:pPr>
        <w:pStyle w:val="Nzov"/>
        <w:rPr>
          <w:rFonts w:ascii="Book Antiqua" w:hAnsi="Book Antiqua"/>
          <w:caps/>
          <w:sz w:val="24"/>
          <w:szCs w:val="24"/>
        </w:rPr>
      </w:pPr>
    </w:p>
    <w:p w14:paraId="268E6F49" w14:textId="77777777" w:rsidR="009E3459" w:rsidRPr="002C4B70" w:rsidRDefault="009E3459" w:rsidP="009E3459">
      <w:pPr>
        <w:pStyle w:val="Nzov"/>
        <w:rPr>
          <w:rFonts w:ascii="Book Antiqua" w:hAnsi="Book Antiqua"/>
          <w:caps/>
          <w:sz w:val="24"/>
          <w:szCs w:val="24"/>
        </w:rPr>
      </w:pPr>
    </w:p>
    <w:p w14:paraId="41500994" w14:textId="77777777" w:rsidR="009E3459" w:rsidRPr="002C4B70" w:rsidRDefault="009E3459" w:rsidP="009E3459">
      <w:pPr>
        <w:pStyle w:val="Nzov"/>
        <w:rPr>
          <w:rFonts w:ascii="Book Antiqua" w:hAnsi="Book Antiqua"/>
          <w:b w:val="0"/>
          <w:sz w:val="24"/>
          <w:szCs w:val="24"/>
        </w:rPr>
      </w:pPr>
      <w:r w:rsidRPr="002C4B70">
        <w:rPr>
          <w:rFonts w:ascii="Book Antiqua" w:hAnsi="Book Antiqua"/>
          <w:b w:val="0"/>
          <w:sz w:val="24"/>
          <w:szCs w:val="24"/>
        </w:rPr>
        <w:t>VIII. volebné obdobie</w:t>
      </w:r>
    </w:p>
    <w:p w14:paraId="368C463D" w14:textId="77777777" w:rsidR="009E3459" w:rsidRPr="002C4B70" w:rsidRDefault="009E3459" w:rsidP="009E3459">
      <w:pPr>
        <w:pStyle w:val="Nzov"/>
        <w:jc w:val="both"/>
        <w:rPr>
          <w:rFonts w:ascii="Book Antiqua" w:hAnsi="Book Antiqua"/>
        </w:rPr>
      </w:pPr>
    </w:p>
    <w:p w14:paraId="3E6F52F9" w14:textId="77777777" w:rsidR="009E3459" w:rsidRPr="002C4B70" w:rsidRDefault="009E3459" w:rsidP="009E3459">
      <w:pPr>
        <w:rPr>
          <w:rFonts w:ascii="Book Antiqua" w:hAnsi="Book Antiqua"/>
          <w:bCs/>
        </w:rPr>
      </w:pPr>
    </w:p>
    <w:p w14:paraId="4FCEF8DE" w14:textId="77777777" w:rsidR="009E3459" w:rsidRPr="002C4B70" w:rsidRDefault="009E3459" w:rsidP="009E3459">
      <w:pPr>
        <w:jc w:val="center"/>
        <w:rPr>
          <w:rFonts w:ascii="Book Antiqua" w:hAnsi="Book Antiqua"/>
          <w:b/>
          <w:bCs/>
        </w:rPr>
      </w:pPr>
      <w:r w:rsidRPr="002C4B70">
        <w:rPr>
          <w:rFonts w:ascii="Book Antiqua" w:hAnsi="Book Antiqua"/>
          <w:b/>
          <w:bCs/>
        </w:rPr>
        <w:t>NÁVRH</w:t>
      </w:r>
    </w:p>
    <w:p w14:paraId="522E3164" w14:textId="77777777" w:rsidR="009E3459" w:rsidRPr="002C4B70" w:rsidRDefault="009E3459" w:rsidP="009E3459">
      <w:pPr>
        <w:pStyle w:val="Normlnywebov"/>
        <w:spacing w:before="0" w:beforeAutospacing="0" w:after="0" w:afterAutospacing="0"/>
        <w:jc w:val="center"/>
        <w:rPr>
          <w:rFonts w:ascii="Book Antiqua" w:hAnsi="Book Antiqua"/>
          <w:b/>
          <w:bCs/>
        </w:rPr>
      </w:pPr>
    </w:p>
    <w:p w14:paraId="5129B3E0" w14:textId="77777777" w:rsidR="009E3459" w:rsidRPr="002C4B70" w:rsidRDefault="009E3459" w:rsidP="009E3459">
      <w:pPr>
        <w:pStyle w:val="Normlnywebov"/>
        <w:spacing w:before="0" w:beforeAutospacing="0" w:after="0" w:afterAutospacing="0"/>
        <w:jc w:val="center"/>
        <w:rPr>
          <w:rFonts w:ascii="Book Antiqua" w:hAnsi="Book Antiqua"/>
          <w:b/>
          <w:bCs/>
        </w:rPr>
      </w:pPr>
    </w:p>
    <w:p w14:paraId="47E67D74" w14:textId="77777777" w:rsidR="009E3459" w:rsidRPr="002C4B70" w:rsidRDefault="009E3459" w:rsidP="009E3459">
      <w:pPr>
        <w:pStyle w:val="Normlnywebov"/>
        <w:spacing w:before="0" w:beforeAutospacing="0" w:after="0" w:afterAutospacing="0"/>
        <w:jc w:val="center"/>
        <w:rPr>
          <w:rFonts w:ascii="Book Antiqua" w:hAnsi="Book Antiqua"/>
          <w:b/>
          <w:bCs/>
        </w:rPr>
      </w:pPr>
      <w:r w:rsidRPr="002C4B70">
        <w:rPr>
          <w:rFonts w:ascii="Book Antiqua" w:hAnsi="Book Antiqua"/>
          <w:b/>
          <w:bCs/>
        </w:rPr>
        <w:t xml:space="preserve">Ú S T A V N Ý  Z Á K O N </w:t>
      </w:r>
    </w:p>
    <w:p w14:paraId="7067A640" w14:textId="77777777" w:rsidR="009E3459" w:rsidRPr="002C4B70" w:rsidRDefault="009E3459" w:rsidP="009E3459">
      <w:pPr>
        <w:pStyle w:val="Normlnywebov"/>
        <w:spacing w:before="0" w:beforeAutospacing="0" w:after="0" w:afterAutospacing="0"/>
        <w:jc w:val="center"/>
        <w:rPr>
          <w:rFonts w:ascii="Book Antiqua" w:hAnsi="Book Antiqua"/>
        </w:rPr>
      </w:pPr>
    </w:p>
    <w:p w14:paraId="5361E0A8" w14:textId="77777777" w:rsidR="009E3459" w:rsidRPr="00920EA0" w:rsidRDefault="009E3459" w:rsidP="009E3459">
      <w:pPr>
        <w:pStyle w:val="Normlnywebov"/>
        <w:spacing w:before="0" w:beforeAutospacing="0" w:after="0" w:afterAutospacing="0"/>
        <w:jc w:val="center"/>
        <w:rPr>
          <w:rFonts w:ascii="Book Antiqua" w:hAnsi="Book Antiqua"/>
          <w:bCs/>
        </w:rPr>
      </w:pPr>
      <w:r w:rsidRPr="00920EA0">
        <w:rPr>
          <w:rFonts w:ascii="Book Antiqua" w:hAnsi="Book Antiqua"/>
          <w:bCs/>
        </w:rPr>
        <w:t>z ... 2021</w:t>
      </w:r>
    </w:p>
    <w:p w14:paraId="6CF46D29" w14:textId="77777777" w:rsidR="009E3459" w:rsidRPr="002C4B70" w:rsidRDefault="009E3459" w:rsidP="009E3459">
      <w:pPr>
        <w:pStyle w:val="Normlnywebov"/>
        <w:spacing w:before="0" w:beforeAutospacing="0" w:after="0" w:afterAutospacing="0"/>
        <w:jc w:val="center"/>
        <w:rPr>
          <w:rFonts w:ascii="Book Antiqua" w:hAnsi="Book Antiqua"/>
        </w:rPr>
      </w:pPr>
    </w:p>
    <w:p w14:paraId="780CBFD1" w14:textId="77777777" w:rsidR="009E3459" w:rsidRPr="002C4B70" w:rsidRDefault="009E3459" w:rsidP="009E3459">
      <w:pPr>
        <w:jc w:val="center"/>
        <w:rPr>
          <w:rFonts w:ascii="Book Antiqua" w:hAnsi="Book Antiqua"/>
        </w:rPr>
      </w:pPr>
      <w:r w:rsidRPr="002C4B70">
        <w:rPr>
          <w:rFonts w:ascii="Book Antiqua" w:hAnsi="Book Antiqua"/>
          <w:b/>
          <w:bCs/>
        </w:rPr>
        <w:t>ktorým sa mení a dopĺňa ústavný zákon č. 493/2011 Z. z. o rozpočtovej zodpovednosti</w:t>
      </w:r>
    </w:p>
    <w:p w14:paraId="1C27B3EF" w14:textId="77777777" w:rsidR="009E3459" w:rsidRPr="002C4B70" w:rsidRDefault="009E3459" w:rsidP="009E3459">
      <w:pPr>
        <w:pStyle w:val="Normlnywebov"/>
        <w:spacing w:before="0" w:beforeAutospacing="0" w:after="0" w:afterAutospacing="0"/>
        <w:rPr>
          <w:rFonts w:ascii="Book Antiqua" w:hAnsi="Book Antiqua"/>
          <w:b/>
          <w:bCs/>
        </w:rPr>
      </w:pPr>
      <w:r w:rsidRPr="002C4B70">
        <w:rPr>
          <w:rFonts w:ascii="Book Antiqua" w:hAnsi="Book Antiqua"/>
          <w:b/>
          <w:bCs/>
        </w:rPr>
        <w:t> </w:t>
      </w:r>
    </w:p>
    <w:p w14:paraId="3A2E86CE" w14:textId="77777777" w:rsidR="009E3459" w:rsidRPr="002C4B70" w:rsidRDefault="009E3459" w:rsidP="009E3459">
      <w:pPr>
        <w:pStyle w:val="Normlnywebov"/>
        <w:spacing w:before="0" w:beforeAutospacing="0" w:after="0" w:afterAutospacing="0"/>
        <w:rPr>
          <w:rFonts w:ascii="Book Antiqua" w:hAnsi="Book Antiqua"/>
        </w:rPr>
      </w:pPr>
    </w:p>
    <w:p w14:paraId="25F66268" w14:textId="77777777" w:rsidR="009E3459" w:rsidRPr="002C4B70" w:rsidRDefault="009E3459" w:rsidP="009E3459">
      <w:pPr>
        <w:pStyle w:val="Normlnywebov"/>
        <w:spacing w:before="0" w:beforeAutospacing="0" w:after="0" w:afterAutospacing="0"/>
        <w:rPr>
          <w:rFonts w:ascii="Book Antiqua" w:hAnsi="Book Antiqua"/>
        </w:rPr>
      </w:pPr>
      <w:r w:rsidRPr="002C4B70">
        <w:rPr>
          <w:rFonts w:ascii="Book Antiqua" w:hAnsi="Book Antiqua"/>
        </w:rPr>
        <w:t>Národná rada Slovenskej republiky sa uzniesla na tomto ústavnom zákone:</w:t>
      </w:r>
    </w:p>
    <w:p w14:paraId="7829F3E3" w14:textId="77777777" w:rsidR="009E3459" w:rsidRPr="002C4B70" w:rsidRDefault="009E3459" w:rsidP="009E3459">
      <w:pPr>
        <w:jc w:val="center"/>
        <w:rPr>
          <w:rFonts w:ascii="Book Antiqua" w:hAnsi="Book Antiqua"/>
          <w:b/>
        </w:rPr>
      </w:pPr>
    </w:p>
    <w:p w14:paraId="7C7E4FEF" w14:textId="77777777" w:rsidR="009E3459" w:rsidRPr="002C4B70" w:rsidRDefault="009E3459" w:rsidP="009E3459">
      <w:pPr>
        <w:jc w:val="center"/>
        <w:rPr>
          <w:rFonts w:ascii="Book Antiqua" w:hAnsi="Book Antiqua"/>
          <w:b/>
        </w:rPr>
      </w:pPr>
      <w:r w:rsidRPr="002C4B70">
        <w:rPr>
          <w:rFonts w:ascii="Book Antiqua" w:hAnsi="Book Antiqua"/>
          <w:b/>
        </w:rPr>
        <w:t>Čl. I</w:t>
      </w:r>
    </w:p>
    <w:p w14:paraId="14CD896D" w14:textId="77777777" w:rsidR="009E3459" w:rsidRPr="002C4B70" w:rsidRDefault="009E3459" w:rsidP="009E3459">
      <w:pPr>
        <w:rPr>
          <w:rFonts w:ascii="Book Antiqua" w:hAnsi="Book Antiqua"/>
        </w:rPr>
      </w:pPr>
    </w:p>
    <w:p w14:paraId="2C1DC8FB" w14:textId="77777777" w:rsidR="009E3459" w:rsidRPr="002C4B70" w:rsidRDefault="009E3459" w:rsidP="009E3459">
      <w:pPr>
        <w:pStyle w:val="Odsekzoznamu"/>
        <w:numPr>
          <w:ilvl w:val="0"/>
          <w:numId w:val="13"/>
        </w:numPr>
        <w:spacing w:after="160" w:line="259" w:lineRule="auto"/>
        <w:rPr>
          <w:rFonts w:ascii="Book Antiqua" w:hAnsi="Book Antiqua"/>
        </w:rPr>
      </w:pPr>
      <w:r w:rsidRPr="002C4B70">
        <w:rPr>
          <w:rFonts w:ascii="Book Antiqua" w:hAnsi="Book Antiqua"/>
        </w:rPr>
        <w:t>V čl. 7 sa vypúšťa odsek 3.</w:t>
      </w:r>
    </w:p>
    <w:p w14:paraId="0DB4095F" w14:textId="77777777" w:rsidR="009E3459" w:rsidRPr="002C4B70" w:rsidRDefault="009E3459" w:rsidP="009E3459">
      <w:pPr>
        <w:pStyle w:val="Odsekzoznamu"/>
        <w:ind w:left="361"/>
        <w:rPr>
          <w:rFonts w:ascii="Book Antiqua" w:hAnsi="Book Antiqua"/>
        </w:rPr>
      </w:pPr>
    </w:p>
    <w:p w14:paraId="4ED8403A" w14:textId="44FFB97F" w:rsidR="009E3459" w:rsidRPr="002C4B70" w:rsidRDefault="009E3459" w:rsidP="009E3459">
      <w:pPr>
        <w:pStyle w:val="Odsekzoznamu"/>
        <w:numPr>
          <w:ilvl w:val="0"/>
          <w:numId w:val="13"/>
        </w:numPr>
        <w:spacing w:after="160" w:line="259" w:lineRule="auto"/>
        <w:rPr>
          <w:rFonts w:ascii="Book Antiqua" w:hAnsi="Book Antiqua"/>
        </w:rPr>
      </w:pPr>
      <w:r w:rsidRPr="002C4B70">
        <w:rPr>
          <w:rFonts w:ascii="Book Antiqua" w:hAnsi="Book Antiqua"/>
        </w:rPr>
        <w:t>Za čl. 7 sa vkladá čl. 7a, ktorý vrátane nadpisu znie:</w:t>
      </w:r>
    </w:p>
    <w:p w14:paraId="5924CC2F" w14:textId="77777777" w:rsidR="009E3459" w:rsidRPr="002C4B70" w:rsidRDefault="009E3459" w:rsidP="009E3459">
      <w:pPr>
        <w:jc w:val="center"/>
        <w:rPr>
          <w:rFonts w:ascii="Book Antiqua" w:hAnsi="Book Antiqua"/>
        </w:rPr>
      </w:pPr>
      <w:r w:rsidRPr="002C4B70">
        <w:rPr>
          <w:rFonts w:ascii="Book Antiqua" w:hAnsi="Book Antiqua"/>
        </w:rPr>
        <w:t>„Čl. 7a</w:t>
      </w:r>
    </w:p>
    <w:p w14:paraId="73B9FC1D" w14:textId="77777777" w:rsidR="009E3459" w:rsidRPr="002C4B70" w:rsidRDefault="009E3459" w:rsidP="009E3459">
      <w:pPr>
        <w:jc w:val="center"/>
        <w:rPr>
          <w:rFonts w:ascii="Book Antiqua" w:hAnsi="Book Antiqua"/>
        </w:rPr>
      </w:pPr>
      <w:r w:rsidRPr="002C4B70">
        <w:rPr>
          <w:rFonts w:ascii="Book Antiqua" w:hAnsi="Book Antiqua"/>
        </w:rPr>
        <w:t>Limit verejných výdavkov</w:t>
      </w:r>
    </w:p>
    <w:p w14:paraId="4109EAF5" w14:textId="77777777" w:rsidR="009E3459" w:rsidRPr="002C4B70" w:rsidRDefault="009E3459" w:rsidP="009E3459">
      <w:pPr>
        <w:jc w:val="center"/>
        <w:rPr>
          <w:rFonts w:ascii="Book Antiqua" w:hAnsi="Book Antiqua"/>
        </w:rPr>
      </w:pPr>
    </w:p>
    <w:p w14:paraId="34878DC0" w14:textId="77777777" w:rsidR="009E3459" w:rsidRPr="002C4B70" w:rsidRDefault="009E3459" w:rsidP="009E3459">
      <w:pPr>
        <w:pStyle w:val="Odsekzoznamu"/>
        <w:numPr>
          <w:ilvl w:val="0"/>
          <w:numId w:val="11"/>
        </w:numPr>
        <w:jc w:val="both"/>
        <w:rPr>
          <w:rFonts w:ascii="Book Antiqua" w:hAnsi="Book Antiqua"/>
        </w:rPr>
      </w:pPr>
      <w:r w:rsidRPr="002C4B70">
        <w:rPr>
          <w:rFonts w:ascii="Book Antiqua" w:hAnsi="Book Antiqua"/>
        </w:rPr>
        <w:t>Limit verejných výdavkov je hlavným rozpočtovým nástrojom na zabezpečenie dlhodobej udržateľnosti. Limitom verejných výdavkov sa rozumie maximálna výška celkových časovo rozlíšených konsolidovaných výdavkov verejnej správy v jednotnej metodike platnej pre Európsku úniu určená podľa odseku 3 a vyjadrená sumou; limit verejných výdavkov sa nevzťahuje na výdavky územnej samosprávy, prostriedky z rozpočtu Európskej únie a prostriedky štátneho rozpočtu určené na financovanie spoločných programov Slovenskej republiky a Európskej únie, odvody Európskej únii, výdavky na správu dlhu verejnej správy, jednorazové výdavky a vplyv hospodárskeho cyklu na výdavky verejnej správy.</w:t>
      </w:r>
    </w:p>
    <w:p w14:paraId="4F55C2EF" w14:textId="77777777" w:rsidR="009E3459" w:rsidRPr="002C4B70" w:rsidRDefault="009E3459" w:rsidP="009E3459">
      <w:pPr>
        <w:jc w:val="both"/>
        <w:rPr>
          <w:rFonts w:ascii="Book Antiqua" w:hAnsi="Book Antiqua"/>
        </w:rPr>
      </w:pPr>
    </w:p>
    <w:p w14:paraId="28242FE7" w14:textId="77777777" w:rsidR="009E3459" w:rsidRPr="002C4B70" w:rsidRDefault="009E3459" w:rsidP="009E3459">
      <w:pPr>
        <w:pStyle w:val="Odsekzoznamu"/>
        <w:numPr>
          <w:ilvl w:val="0"/>
          <w:numId w:val="11"/>
        </w:numPr>
        <w:jc w:val="both"/>
        <w:rPr>
          <w:rFonts w:ascii="Book Antiqua" w:hAnsi="Book Antiqua"/>
        </w:rPr>
      </w:pPr>
      <w:r w:rsidRPr="002C4B70">
        <w:rPr>
          <w:rFonts w:ascii="Book Antiqua" w:hAnsi="Book Antiqua"/>
        </w:rPr>
        <w:t>Limit verejných výdavkov sa určuje na každý rozpočtový rok príslušného volebného obdobia národnej rady počnúc rokom nasledujúcim po roku, v ktorom bolo schválené programové vyhlásenie vlády a vyslovená dôvera vláde po voľbách do národnej rady. Ak limit verejných výdavkov nie je určený podľa prvej vety na všetky roky, na ktoré sa zostavuje rozpočet verejnej správy, rada vypočíta limit verejných výdavkov na každý rok, na ktorý sa zostavuje rozpočet verejnej správy.</w:t>
      </w:r>
    </w:p>
    <w:p w14:paraId="0F4E8C09" w14:textId="77777777" w:rsidR="009E3459" w:rsidRPr="002C4B70" w:rsidRDefault="009E3459" w:rsidP="009E3459">
      <w:pPr>
        <w:jc w:val="both"/>
        <w:rPr>
          <w:rFonts w:ascii="Book Antiqua" w:hAnsi="Book Antiqua"/>
        </w:rPr>
      </w:pPr>
    </w:p>
    <w:p w14:paraId="535EE3F3" w14:textId="44B79A7F" w:rsidR="009E3459" w:rsidRPr="002C4B70" w:rsidRDefault="009E3459" w:rsidP="009E3459">
      <w:pPr>
        <w:pStyle w:val="Odsekzoznamu"/>
        <w:numPr>
          <w:ilvl w:val="0"/>
          <w:numId w:val="11"/>
        </w:numPr>
        <w:jc w:val="both"/>
        <w:rPr>
          <w:rFonts w:ascii="Book Antiqua" w:hAnsi="Book Antiqua"/>
        </w:rPr>
      </w:pPr>
      <w:r w:rsidRPr="002C4B70">
        <w:rPr>
          <w:rFonts w:ascii="Book Antiqua" w:hAnsi="Book Antiqua"/>
        </w:rPr>
        <w:lastRenderedPageBreak/>
        <w:t>Limit verejných výdavkov podľa odsekov 1 a 2 prvej vety vypočítava rada a predkladá ho na rokovanie národnej rady do 60 dní po schválení programového vyhlásenia vlády a vyslovení dôvery vláde po voľbách do národnej rady. Limit verejných výdavkov podľa odseku 2 druhej vety rada vypočíta v termíne aktualizácie limitu verejných výdavkov podľa odseku 9 a predkladá ho na rokovanie príslušného výboru národnej rady.</w:t>
      </w:r>
      <w:r w:rsidRPr="002C4B70">
        <w:rPr>
          <w:rFonts w:ascii="Book Antiqua" w:hAnsi="Book Antiqua"/>
          <w:b/>
        </w:rPr>
        <w:t xml:space="preserve"> </w:t>
      </w:r>
      <w:r w:rsidRPr="002C4B70">
        <w:rPr>
          <w:rFonts w:ascii="Book Antiqua" w:hAnsi="Book Antiqua"/>
        </w:rPr>
        <w:t>Limit verejných výdavkov sa vypočítava zo zápornej  hodnoty plánovaného salda verejnej správy upraveného o vplyv hospodárskeho cyklu a o jednorazové vplyvy (ďalej len  „štrukturálne saldo“), od ktorého sa odpočítajú konsolidované výdavky na správu dlhu verejnej správy, odvod do rozpočtu Európskej únie a prostriedky štátneho rozpočtu určené na financovanie spoločných programov Slovenskej republiky a Európskej únie a</w:t>
      </w:r>
      <w:r w:rsidR="007E438A">
        <w:rPr>
          <w:rFonts w:ascii="Book Antiqua" w:hAnsi="Book Antiqua"/>
        </w:rPr>
        <w:t> pripočítajú</w:t>
      </w:r>
    </w:p>
    <w:p w14:paraId="7A5BC155" w14:textId="77777777" w:rsidR="009E3459" w:rsidRPr="002C4B70" w:rsidRDefault="009E3459" w:rsidP="009E3459">
      <w:pPr>
        <w:pStyle w:val="Odsekzoznamu"/>
        <w:numPr>
          <w:ilvl w:val="1"/>
          <w:numId w:val="11"/>
        </w:numPr>
        <w:jc w:val="both"/>
        <w:rPr>
          <w:rFonts w:ascii="Book Antiqua" w:hAnsi="Book Antiqua"/>
        </w:rPr>
      </w:pPr>
      <w:r w:rsidRPr="002C4B70">
        <w:rPr>
          <w:rFonts w:ascii="Book Antiqua" w:hAnsi="Book Antiqua"/>
        </w:rPr>
        <w:t>predpokladaný výsledok hospodárenia územnej samosprávy,</w:t>
      </w:r>
    </w:p>
    <w:p w14:paraId="2D14D4D6" w14:textId="77777777" w:rsidR="009E3459" w:rsidRPr="002C4B70" w:rsidRDefault="009E3459" w:rsidP="009E3459">
      <w:pPr>
        <w:pStyle w:val="Odsekzoznamu"/>
        <w:numPr>
          <w:ilvl w:val="1"/>
          <w:numId w:val="11"/>
        </w:numPr>
        <w:jc w:val="both"/>
        <w:rPr>
          <w:rFonts w:ascii="Book Antiqua" w:hAnsi="Book Antiqua"/>
        </w:rPr>
      </w:pPr>
      <w:r w:rsidRPr="002C4B70">
        <w:rPr>
          <w:rFonts w:ascii="Book Antiqua" w:hAnsi="Book Antiqua"/>
        </w:rPr>
        <w:t>predpokladané konsolidované daňové príjmy vrátane príjmov poistných fondov, upravené o vplyv hospodárskeho cyklu a jednorazové vplyvy,</w:t>
      </w:r>
    </w:p>
    <w:p w14:paraId="1335F26E" w14:textId="77777777" w:rsidR="009E3459" w:rsidRPr="002C4B70" w:rsidRDefault="009E3459" w:rsidP="009E3459">
      <w:pPr>
        <w:pStyle w:val="Odsekzoznamu"/>
        <w:numPr>
          <w:ilvl w:val="1"/>
          <w:numId w:val="11"/>
        </w:numPr>
        <w:jc w:val="both"/>
        <w:rPr>
          <w:rFonts w:ascii="Book Antiqua" w:hAnsi="Book Antiqua"/>
        </w:rPr>
      </w:pPr>
      <w:r w:rsidRPr="002C4B70">
        <w:rPr>
          <w:rFonts w:ascii="Book Antiqua" w:hAnsi="Book Antiqua"/>
        </w:rPr>
        <w:t>predpokladané konsolidované nedaňové príjmy, granty a transfery upravené o  jednorazové vplyvy okrem prostriedkov z rozpočtu Európskej únie.</w:t>
      </w:r>
    </w:p>
    <w:p w14:paraId="17A233E4" w14:textId="77777777" w:rsidR="009E3459" w:rsidRPr="002C4B70" w:rsidRDefault="009E3459" w:rsidP="009E3459">
      <w:pPr>
        <w:jc w:val="both"/>
        <w:rPr>
          <w:rFonts w:ascii="Book Antiqua" w:hAnsi="Book Antiqua"/>
        </w:rPr>
      </w:pPr>
    </w:p>
    <w:p w14:paraId="44AD61B5" w14:textId="77777777" w:rsidR="009E3459" w:rsidRPr="002C4B70" w:rsidRDefault="009E3459" w:rsidP="009E3459">
      <w:pPr>
        <w:pStyle w:val="Odsekzoznamu"/>
        <w:numPr>
          <w:ilvl w:val="0"/>
          <w:numId w:val="11"/>
        </w:numPr>
        <w:jc w:val="both"/>
        <w:rPr>
          <w:rFonts w:ascii="Book Antiqua" w:hAnsi="Book Antiqua"/>
        </w:rPr>
      </w:pPr>
      <w:r w:rsidRPr="002C4B70">
        <w:rPr>
          <w:rFonts w:ascii="Book Antiqua" w:hAnsi="Book Antiqua"/>
        </w:rPr>
        <w:t>Príjmy uvedené v odseku 3 písm. b) a c) sa znižujú o zodpovedajúce príjmy územnej samosprávy.</w:t>
      </w:r>
    </w:p>
    <w:p w14:paraId="4A8A3937" w14:textId="77777777" w:rsidR="009E3459" w:rsidRPr="002C4B70" w:rsidRDefault="009E3459" w:rsidP="009E3459">
      <w:pPr>
        <w:jc w:val="both"/>
        <w:rPr>
          <w:rFonts w:ascii="Book Antiqua" w:hAnsi="Book Antiqua"/>
        </w:rPr>
      </w:pPr>
    </w:p>
    <w:p w14:paraId="33C1D25E" w14:textId="77777777" w:rsidR="009E3459" w:rsidRPr="002C4B70" w:rsidRDefault="009E3459" w:rsidP="009E3459">
      <w:pPr>
        <w:pStyle w:val="Odsekzoznamu"/>
        <w:numPr>
          <w:ilvl w:val="0"/>
          <w:numId w:val="11"/>
        </w:numPr>
        <w:jc w:val="both"/>
        <w:rPr>
          <w:rFonts w:ascii="Book Antiqua" w:hAnsi="Book Antiqua"/>
        </w:rPr>
      </w:pPr>
      <w:r w:rsidRPr="002C4B70">
        <w:rPr>
          <w:rFonts w:ascii="Book Antiqua" w:hAnsi="Book Antiqua"/>
        </w:rPr>
        <w:t>V rámci limitu verejných výdavkov sa povinne rozpočtujú v čase sa zvyšujúce rezervy tak, aby sa zabezpečilo krytie nepredvídaných rozpočtových vplyvov.</w:t>
      </w:r>
    </w:p>
    <w:p w14:paraId="2DB01C64" w14:textId="77777777" w:rsidR="009E3459" w:rsidRPr="002C4B70" w:rsidRDefault="009E3459" w:rsidP="009E3459">
      <w:pPr>
        <w:jc w:val="both"/>
        <w:rPr>
          <w:rFonts w:ascii="Book Antiqua" w:hAnsi="Book Antiqua"/>
        </w:rPr>
      </w:pPr>
    </w:p>
    <w:p w14:paraId="583E03AA" w14:textId="77777777" w:rsidR="009E3459" w:rsidRPr="002C4B70" w:rsidRDefault="009E3459" w:rsidP="009E3459">
      <w:pPr>
        <w:pStyle w:val="Odsekzoznamu"/>
        <w:numPr>
          <w:ilvl w:val="0"/>
          <w:numId w:val="11"/>
        </w:numPr>
        <w:jc w:val="both"/>
        <w:rPr>
          <w:rFonts w:ascii="Book Antiqua" w:hAnsi="Book Antiqua"/>
        </w:rPr>
      </w:pPr>
      <w:r w:rsidRPr="002C4B70">
        <w:rPr>
          <w:rFonts w:ascii="Book Antiqua" w:hAnsi="Book Antiqua"/>
        </w:rPr>
        <w:t xml:space="preserve">Východiskom pre určenie hodnoty plánovaného štrukturálneho salda podľa odseku 3 je ukazovateľ dlhodobej udržateľnosti s primeraným zohľadnením miery rizika spojeného s dlhodobou udržateľnosťou. Na každý rozpočtový rok príslušného volebného obdobia národnej rady počnúc rokom nasledujúcim po roku, v ktorom bolo schválené programové vyhlásenie vlády a vyslovená dôvera vláde po voľbách do národnej rady rada vypočíta hodnotu plánovaného štrukturálneho salda tak, aby pri vysokom riziku v súvislosti s dlhodobou udržateľnosťou sa zlepšil ukazovateľ dlhodobej udržateľnosti o 1 % hrubého domáceho produktu, pri strednom riziku sa zlepšil ukazovateľ dlhodobej udržateľnosti o 0,5 % hrubého domáceho produktu a aby sa pri nízkom riziku nezmenil ukazovateľ dlhodobej udržateľnosti. Ak je hospodárenie Slovenskej republiky dlhodobo udržateľné, rada vypočíta hodnotu plánovaného štrukturálneho salda tak, aby ukazovateľ dlhodobej udržateľnosti dosahoval v každom rozpočtovom roku nulovú hodnotu. </w:t>
      </w:r>
      <w:r w:rsidRPr="002C4B70">
        <w:rPr>
          <w:rFonts w:ascii="Book Antiqua" w:hAnsi="Book Antiqua"/>
          <w:bCs/>
        </w:rPr>
        <w:t>Hodnota plánovaného štrukturálneho salda sa vypočíta tak, aby sa zohľadnili opatrenia, ktoré sa majú uplatniť podľa čl. 5 ods. 6 písm. c) a čl. 5 ods. 7 písm. a).</w:t>
      </w:r>
    </w:p>
    <w:p w14:paraId="5E1F7AB4" w14:textId="77777777" w:rsidR="009E3459" w:rsidRPr="002C4B70" w:rsidRDefault="009E3459" w:rsidP="009E3459">
      <w:pPr>
        <w:jc w:val="both"/>
        <w:rPr>
          <w:rFonts w:ascii="Book Antiqua" w:hAnsi="Book Antiqua"/>
        </w:rPr>
      </w:pPr>
    </w:p>
    <w:p w14:paraId="78B34572" w14:textId="77777777" w:rsidR="009E3459" w:rsidRPr="002C4B70" w:rsidRDefault="009E3459" w:rsidP="009E3459">
      <w:pPr>
        <w:pStyle w:val="Odsekzoznamu"/>
        <w:numPr>
          <w:ilvl w:val="0"/>
          <w:numId w:val="11"/>
        </w:numPr>
        <w:jc w:val="both"/>
        <w:rPr>
          <w:rFonts w:ascii="Book Antiqua" w:hAnsi="Book Antiqua"/>
        </w:rPr>
      </w:pPr>
      <w:r w:rsidRPr="002C4B70">
        <w:rPr>
          <w:rFonts w:ascii="Book Antiqua" w:hAnsi="Book Antiqua"/>
        </w:rPr>
        <w:lastRenderedPageBreak/>
        <w:t xml:space="preserve">Ak by sa hodnota plánovaného štrukturálneho salda v dôsledku postupu podľa odseku 6 zlepšila na úroveň štrukturálneho prebytku vyššieho ako 2 % hrubého domáceho produktu, zlepšenie štrukturálneho salda sa určí tak, aby štrukturálny prebytok nepresiahol  2 % hrubého domáceho produktu. </w:t>
      </w:r>
    </w:p>
    <w:p w14:paraId="107C2280" w14:textId="77777777" w:rsidR="009E3459" w:rsidRPr="002C4B70" w:rsidRDefault="009E3459" w:rsidP="009E3459">
      <w:pPr>
        <w:jc w:val="both"/>
        <w:rPr>
          <w:rFonts w:ascii="Book Antiqua" w:hAnsi="Book Antiqua"/>
        </w:rPr>
      </w:pPr>
    </w:p>
    <w:p w14:paraId="05443430" w14:textId="77777777" w:rsidR="009E3459" w:rsidRPr="002C4B70" w:rsidRDefault="009E3459" w:rsidP="009E3459">
      <w:pPr>
        <w:pStyle w:val="Odsekzoznamu"/>
        <w:numPr>
          <w:ilvl w:val="0"/>
          <w:numId w:val="11"/>
        </w:numPr>
        <w:jc w:val="both"/>
        <w:rPr>
          <w:rFonts w:ascii="Book Antiqua" w:hAnsi="Book Antiqua"/>
        </w:rPr>
      </w:pPr>
      <w:r w:rsidRPr="002C4B70">
        <w:rPr>
          <w:rFonts w:ascii="Book Antiqua" w:hAnsi="Book Antiqua"/>
        </w:rPr>
        <w:t>Limit verejných výdavkov na nasledujúce štyri roky schvaľuje národná rada uznesením, ktoré je všeobecne záväzné a zverejňuje sa v Zbierke zákonov Slovenskej republiky. V období uplatňovania opatrení podľa čl. 5 ods. 4 až 8 nemožno pri prerokúvaní návrhov zákonov v pléne národnej rady predkladať pozmeňujúce návrhy alebo doplňujúce návrhy s dôsledkom na prekročenie limitu verejných výdavkov, ktoré neboli prerokované vo výboroch národnej rady. Vláda je povinná zosúladiť návrh rozpočtu verejnej správy s platným limitom verejných výdavkov. Ak vláda  predložila národnej rade návrh rozpočtu verejnej správy, ktorý prekračuje platný limit verejných výdavkov a na rokovaní národnej rady sa neschváli pozmeňujúci návrh alebo doplňujúci návrh, ktorým sa zosúladí návrh rozpočtu verejnej správy s platným limitom verejných výdavkov, vláda je povinná ho vziať späť a do 30 dní predložiť návrh rozpočtu verejnej správy, ktorý neprekračuje platný limit verejných výdavkov.</w:t>
      </w:r>
    </w:p>
    <w:p w14:paraId="2492C4F2" w14:textId="77777777" w:rsidR="009E3459" w:rsidRPr="002C4B70" w:rsidRDefault="009E3459" w:rsidP="009E3459">
      <w:pPr>
        <w:pStyle w:val="Odsekzoznamu"/>
        <w:ind w:left="360"/>
        <w:jc w:val="both"/>
        <w:rPr>
          <w:rFonts w:ascii="Book Antiqua" w:hAnsi="Book Antiqua"/>
        </w:rPr>
      </w:pPr>
    </w:p>
    <w:p w14:paraId="2D9A3189" w14:textId="77777777" w:rsidR="009E3459" w:rsidRPr="002C4B70" w:rsidRDefault="009E3459" w:rsidP="009E3459">
      <w:pPr>
        <w:pStyle w:val="Odsekzoznamu"/>
        <w:numPr>
          <w:ilvl w:val="0"/>
          <w:numId w:val="11"/>
        </w:numPr>
        <w:jc w:val="both"/>
        <w:rPr>
          <w:rFonts w:ascii="Book Antiqua" w:hAnsi="Book Antiqua"/>
        </w:rPr>
      </w:pPr>
      <w:r w:rsidRPr="002C4B70">
        <w:rPr>
          <w:rFonts w:ascii="Book Antiqua" w:hAnsi="Book Antiqua"/>
        </w:rPr>
        <w:t>Aktualizovaný limit verejných výdavkov rada vypočíta do 30. júna rozpočtového roka a do 30 dní od doručenia žiadosti vlády o aktualizáciu limitu verejných výdavkov. Pri výpočte aktualizovaného limitu verejných výdavkov sa zohľadňujú</w:t>
      </w:r>
    </w:p>
    <w:p w14:paraId="0F6B2266" w14:textId="77777777" w:rsidR="009E3459" w:rsidRPr="002C4B70" w:rsidRDefault="009E3459" w:rsidP="009E3459">
      <w:pPr>
        <w:pStyle w:val="Odsekzoznamu"/>
        <w:numPr>
          <w:ilvl w:val="1"/>
          <w:numId w:val="11"/>
        </w:numPr>
        <w:jc w:val="both"/>
        <w:rPr>
          <w:rFonts w:ascii="Book Antiqua" w:hAnsi="Book Antiqua"/>
        </w:rPr>
      </w:pPr>
      <w:r w:rsidRPr="002C4B70">
        <w:rPr>
          <w:rFonts w:ascii="Book Antiqua" w:hAnsi="Book Antiqua"/>
        </w:rPr>
        <w:t xml:space="preserve">vplyvy zmien v dlhodobej udržateľnosti vyvolané legislatívnymi zmenami schválenými národnou radou; ak sa uplatňujú opatrenia podľa čl. 5 ods. 4 až 8 a celkové vplyvy týchto legislatívnych zmien zlepšujú ukazovateľ dlhodobej udržateľnosti, pri aktualizácii limitu verejných výdavkov sa ich vplyv na štrukturálne saldo </w:t>
      </w:r>
      <w:r w:rsidRPr="002C4B70">
        <w:rPr>
          <w:rFonts w:ascii="Book Antiqua" w:hAnsi="Book Antiqua"/>
          <w:bCs/>
        </w:rPr>
        <w:t>nezohľadní</w:t>
      </w:r>
      <w:r w:rsidRPr="002C4B70">
        <w:rPr>
          <w:rFonts w:ascii="Book Antiqua" w:hAnsi="Book Antiqua"/>
        </w:rPr>
        <w:t>,</w:t>
      </w:r>
    </w:p>
    <w:p w14:paraId="1C135D6D" w14:textId="77777777" w:rsidR="009E3459" w:rsidRPr="002C4B70" w:rsidRDefault="009E3459" w:rsidP="009E3459">
      <w:pPr>
        <w:pStyle w:val="Odsekzoznamu"/>
        <w:numPr>
          <w:ilvl w:val="1"/>
          <w:numId w:val="11"/>
        </w:numPr>
        <w:jc w:val="both"/>
        <w:rPr>
          <w:rFonts w:ascii="Book Antiqua" w:hAnsi="Book Antiqua"/>
        </w:rPr>
      </w:pPr>
      <w:r w:rsidRPr="002C4B70">
        <w:rPr>
          <w:rFonts w:ascii="Book Antiqua" w:hAnsi="Book Antiqua"/>
        </w:rPr>
        <w:t>vplyvy plnenia limitu verejných výdavkov v predchádzajúcich rozpočtových rokoch na základe hodnotenia podľa odseku 17,</w:t>
      </w:r>
    </w:p>
    <w:p w14:paraId="2DF3E52E" w14:textId="77777777" w:rsidR="009E3459" w:rsidRPr="002C4B70" w:rsidRDefault="009E3459" w:rsidP="009E3459">
      <w:pPr>
        <w:pStyle w:val="Odsekzoznamu"/>
        <w:numPr>
          <w:ilvl w:val="1"/>
          <w:numId w:val="11"/>
        </w:numPr>
        <w:jc w:val="both"/>
        <w:rPr>
          <w:rFonts w:ascii="Book Antiqua" w:hAnsi="Book Antiqua"/>
        </w:rPr>
      </w:pPr>
      <w:r w:rsidRPr="002C4B70">
        <w:rPr>
          <w:rFonts w:ascii="Book Antiqua" w:hAnsi="Book Antiqua"/>
        </w:rPr>
        <w:t>vplyvy legislatívnych zmien na príjmy verejnej správy,</w:t>
      </w:r>
    </w:p>
    <w:p w14:paraId="00ABF39A" w14:textId="77777777" w:rsidR="009E3459" w:rsidRPr="002C4B70" w:rsidRDefault="009E3459" w:rsidP="009E3459">
      <w:pPr>
        <w:pStyle w:val="Odsekzoznamu"/>
        <w:numPr>
          <w:ilvl w:val="1"/>
          <w:numId w:val="11"/>
        </w:numPr>
        <w:jc w:val="both"/>
        <w:rPr>
          <w:rFonts w:ascii="Book Antiqua" w:hAnsi="Book Antiqua"/>
        </w:rPr>
      </w:pPr>
      <w:r w:rsidRPr="002C4B70">
        <w:rPr>
          <w:rFonts w:ascii="Book Antiqua" w:hAnsi="Book Antiqua"/>
        </w:rPr>
        <w:t>rozdiel medzi skutočnou výškou prijatých grantov a transferov upravenou o jednorazové vplyvy, okrem prostriedkov z rozpočtu Európskej únie a ich predpokladanou výškou podľa odseku 3,</w:t>
      </w:r>
    </w:p>
    <w:p w14:paraId="5FACFEE9" w14:textId="77777777" w:rsidR="009E3459" w:rsidRPr="002C4B70" w:rsidRDefault="009E3459" w:rsidP="009E3459">
      <w:pPr>
        <w:pStyle w:val="Odsekzoznamu"/>
        <w:numPr>
          <w:ilvl w:val="1"/>
          <w:numId w:val="11"/>
        </w:numPr>
        <w:jc w:val="both"/>
        <w:rPr>
          <w:rFonts w:ascii="Book Antiqua" w:hAnsi="Book Antiqua"/>
        </w:rPr>
      </w:pPr>
      <w:r w:rsidRPr="002C4B70">
        <w:rPr>
          <w:rFonts w:ascii="Book Antiqua" w:hAnsi="Book Antiqua"/>
        </w:rPr>
        <w:t>rozdiel medzi skutočnou výškou nedaňových príjmov upravenou o jednorazové vplyvy, ktoré neposudzujú výbory podľa čl. 8 ods. 1 a ich predpokladanou výškou podľa odseku 3,</w:t>
      </w:r>
    </w:p>
    <w:p w14:paraId="0ABC11AE" w14:textId="77777777" w:rsidR="009E3459" w:rsidRPr="002C4B70" w:rsidRDefault="009E3459" w:rsidP="009E3459">
      <w:pPr>
        <w:pStyle w:val="Odsekzoznamu"/>
        <w:numPr>
          <w:ilvl w:val="1"/>
          <w:numId w:val="11"/>
        </w:numPr>
        <w:jc w:val="both"/>
        <w:rPr>
          <w:rFonts w:ascii="Book Antiqua" w:hAnsi="Book Antiqua"/>
        </w:rPr>
      </w:pPr>
      <w:r w:rsidRPr="002C4B70">
        <w:rPr>
          <w:rFonts w:ascii="Book Antiqua" w:hAnsi="Book Antiqua"/>
        </w:rPr>
        <w:t>rozdiel medzi skutočnou výškou odvodu do rozpočtu Európskej únie a jeho predpokladanou výškou podľa odseku 3,</w:t>
      </w:r>
    </w:p>
    <w:p w14:paraId="6BFF07C4" w14:textId="77777777" w:rsidR="009E3459" w:rsidRPr="002C4B70" w:rsidRDefault="009E3459" w:rsidP="009E3459">
      <w:pPr>
        <w:pStyle w:val="Odsekzoznamu"/>
        <w:numPr>
          <w:ilvl w:val="1"/>
          <w:numId w:val="11"/>
        </w:numPr>
        <w:jc w:val="both"/>
        <w:rPr>
          <w:rFonts w:ascii="Book Antiqua" w:hAnsi="Book Antiqua"/>
        </w:rPr>
      </w:pPr>
      <w:r w:rsidRPr="002C4B70">
        <w:rPr>
          <w:rFonts w:ascii="Book Antiqua" w:hAnsi="Book Antiqua"/>
        </w:rPr>
        <w:t>rozdiel medzi skutočnými výdavkami štátneho rozpočtu určenými na financovanie spoločných programov Slovenskej republiky a Európskej únie a ich predpokladanou výškou podľa odseku 3,</w:t>
      </w:r>
    </w:p>
    <w:p w14:paraId="31D9D5F4" w14:textId="77777777" w:rsidR="009E3459" w:rsidRPr="002C4B70" w:rsidRDefault="009E3459" w:rsidP="009E3459">
      <w:pPr>
        <w:pStyle w:val="Odsekzoznamu"/>
        <w:numPr>
          <w:ilvl w:val="1"/>
          <w:numId w:val="11"/>
        </w:numPr>
        <w:jc w:val="both"/>
        <w:rPr>
          <w:rFonts w:ascii="Book Antiqua" w:hAnsi="Book Antiqua"/>
        </w:rPr>
      </w:pPr>
      <w:r w:rsidRPr="002C4B70">
        <w:rPr>
          <w:rFonts w:ascii="Book Antiqua" w:hAnsi="Book Antiqua"/>
        </w:rPr>
        <w:t xml:space="preserve">rozdiel medzi skutočným výsledkom hospodárenia územnej samosprávy a predpokladaným výsledkom hospodárenia územnej samosprávy podľa odseku 3 písm. a), </w:t>
      </w:r>
    </w:p>
    <w:p w14:paraId="0CF1ACEA" w14:textId="77777777" w:rsidR="009E3459" w:rsidRPr="002C4B70" w:rsidRDefault="009E3459" w:rsidP="009E3459">
      <w:pPr>
        <w:pStyle w:val="Odsekzoznamu"/>
        <w:numPr>
          <w:ilvl w:val="1"/>
          <w:numId w:val="11"/>
        </w:numPr>
        <w:jc w:val="both"/>
        <w:rPr>
          <w:rFonts w:ascii="Book Antiqua" w:hAnsi="Book Antiqua"/>
        </w:rPr>
      </w:pPr>
      <w:r w:rsidRPr="002C4B70">
        <w:rPr>
          <w:rFonts w:ascii="Book Antiqua" w:hAnsi="Book Antiqua"/>
        </w:rPr>
        <w:lastRenderedPageBreak/>
        <w:t xml:space="preserve">vplyvy opatrení podľa čl. 5 ods. 6 písm. c) a čl. 5 ods. 7 písm. a). </w:t>
      </w:r>
    </w:p>
    <w:p w14:paraId="2E83341F" w14:textId="77777777" w:rsidR="009E3459" w:rsidRPr="002C4B70" w:rsidRDefault="009E3459" w:rsidP="009E3459">
      <w:pPr>
        <w:pStyle w:val="Odsekzoznamu"/>
        <w:ind w:left="1428"/>
        <w:jc w:val="both"/>
        <w:rPr>
          <w:rFonts w:ascii="Book Antiqua" w:hAnsi="Book Antiqua"/>
        </w:rPr>
      </w:pPr>
    </w:p>
    <w:p w14:paraId="7A735C0E" w14:textId="77777777" w:rsidR="009E3459" w:rsidRPr="002C4B70" w:rsidRDefault="009E3459" w:rsidP="009E3459">
      <w:pPr>
        <w:pStyle w:val="Odsekzoznamu"/>
        <w:numPr>
          <w:ilvl w:val="0"/>
          <w:numId w:val="11"/>
        </w:numPr>
        <w:ind w:left="1134" w:hanging="426"/>
        <w:jc w:val="both"/>
        <w:rPr>
          <w:rFonts w:ascii="Book Antiqua" w:hAnsi="Book Antiqua"/>
        </w:rPr>
      </w:pPr>
      <w:r w:rsidRPr="002C4B70">
        <w:rPr>
          <w:rFonts w:ascii="Book Antiqua" w:hAnsi="Book Antiqua"/>
        </w:rPr>
        <w:t>Rada aktualizuje limit verejných výdavkov do 30 dní odo dňa zverejnenia prognóz vypracovaných výbormi podľa čl. 8 ods. 2, ak zistený rozdiel medzi aktuálnymi prognózami príjmov vypracovanými výbormi podľa čl. 8 ods. 2 a ich predpokladanou výškou podľa odseku 3 dosahuje v jednom roku v absolútnom vyjadrení aspoň 3 % hrubého domáceho produktu postupom podľa odsekov 3, 4, 6 a 7.</w:t>
      </w:r>
    </w:p>
    <w:p w14:paraId="369F7A46" w14:textId="77777777" w:rsidR="009E3459" w:rsidRPr="002C4B70" w:rsidRDefault="009E3459" w:rsidP="009E3459">
      <w:pPr>
        <w:pStyle w:val="Odsekzoznamu"/>
        <w:ind w:left="1134"/>
        <w:jc w:val="both"/>
        <w:rPr>
          <w:rFonts w:ascii="Book Antiqua" w:hAnsi="Book Antiqua"/>
        </w:rPr>
      </w:pPr>
    </w:p>
    <w:p w14:paraId="1F22AC91" w14:textId="77777777" w:rsidR="009E3459" w:rsidRPr="002C4B70" w:rsidRDefault="009E3459" w:rsidP="009E3459">
      <w:pPr>
        <w:pStyle w:val="Odsekzoznamu"/>
        <w:numPr>
          <w:ilvl w:val="0"/>
          <w:numId w:val="11"/>
        </w:numPr>
        <w:ind w:left="1134" w:hanging="426"/>
        <w:jc w:val="both"/>
        <w:rPr>
          <w:rFonts w:ascii="Book Antiqua" w:hAnsi="Book Antiqua"/>
        </w:rPr>
      </w:pPr>
      <w:r w:rsidRPr="002C4B70">
        <w:rPr>
          <w:rFonts w:ascii="Book Antiqua" w:hAnsi="Book Antiqua"/>
        </w:rPr>
        <w:t>Rada môže mimoriadne aktualizovať limit verejných výdavkov aj po schválení legislatívnych zmien v národnej rade ovplyvňujúcich dlhodobú udržateľnosť; ak sa uplatňujú opatrenia podľa čl. 5 ods. 4 až 8 a celkové vplyvy týchto legislatívnych zmien zlepšujú ukazovateľ dlhodobej udržateľnosti, pri aktualizácii limitu verejných výdavkov sa ich vplyv na štrukturálne saldo nezohľadní.</w:t>
      </w:r>
    </w:p>
    <w:p w14:paraId="1043080D" w14:textId="77777777" w:rsidR="009E3459" w:rsidRPr="002C4B70" w:rsidRDefault="009E3459" w:rsidP="009E3459">
      <w:pPr>
        <w:pStyle w:val="Odsekzoznamu"/>
        <w:rPr>
          <w:rFonts w:ascii="Book Antiqua" w:hAnsi="Book Antiqua"/>
        </w:rPr>
      </w:pPr>
    </w:p>
    <w:p w14:paraId="7698983C" w14:textId="77777777" w:rsidR="009E3459" w:rsidRPr="002C4B70" w:rsidRDefault="009E3459" w:rsidP="009E3459">
      <w:pPr>
        <w:pStyle w:val="Odsekzoznamu"/>
        <w:numPr>
          <w:ilvl w:val="0"/>
          <w:numId w:val="11"/>
        </w:numPr>
        <w:ind w:left="1134" w:hanging="426"/>
        <w:jc w:val="both"/>
        <w:rPr>
          <w:rFonts w:ascii="Book Antiqua" w:hAnsi="Book Antiqua"/>
        </w:rPr>
      </w:pPr>
      <w:r w:rsidRPr="002C4B70">
        <w:rPr>
          <w:rFonts w:ascii="Book Antiqua" w:hAnsi="Book Antiqua"/>
        </w:rPr>
        <w:t xml:space="preserve">Ak vláda vyhlási mimoriadnu okolnosť podľa odseku 13, rada do 15 dní odo dňa jej vyhlásenia aktualizuje limit verejných výdavkov. Zmena plánovaného štrukturálneho salda určená podľa odseku 6 sa upraví tak, aby počas rokov predpokladaného trvania mimoriadnej okolnosti nedošlo k zmene ukazovateľa dlhodobej udržateľnosti. Vláda môže počas trvania mimoriadnej okolnosti prekročiť takto určený limit verejných výdavkov po schválení národnou radou po stanovisku rady predloženom do hlasovania národnej rady. </w:t>
      </w:r>
    </w:p>
    <w:p w14:paraId="57153ADE" w14:textId="77777777" w:rsidR="009E3459" w:rsidRPr="002C4B70" w:rsidRDefault="009E3459" w:rsidP="009E3459">
      <w:pPr>
        <w:pStyle w:val="Odsekzoznamu"/>
        <w:rPr>
          <w:rFonts w:ascii="Book Antiqua" w:hAnsi="Book Antiqua"/>
        </w:rPr>
      </w:pPr>
    </w:p>
    <w:p w14:paraId="64804744" w14:textId="77777777" w:rsidR="009E3459" w:rsidRPr="002C4B70" w:rsidRDefault="009E3459" w:rsidP="009E3459">
      <w:pPr>
        <w:pStyle w:val="Odsekzoznamu"/>
        <w:numPr>
          <w:ilvl w:val="0"/>
          <w:numId w:val="11"/>
        </w:numPr>
        <w:ind w:left="1134" w:hanging="426"/>
        <w:jc w:val="both"/>
        <w:rPr>
          <w:rFonts w:ascii="Book Antiqua" w:hAnsi="Book Antiqua"/>
          <w:bCs/>
        </w:rPr>
      </w:pPr>
      <w:r w:rsidRPr="002C4B70">
        <w:rPr>
          <w:rFonts w:ascii="Book Antiqua" w:hAnsi="Book Antiqua"/>
        </w:rPr>
        <w:t xml:space="preserve">Vláda </w:t>
      </w:r>
      <w:r w:rsidRPr="002C4B70">
        <w:rPr>
          <w:rFonts w:ascii="Book Antiqua" w:hAnsi="Book Antiqua"/>
          <w:bCs/>
        </w:rPr>
        <w:t xml:space="preserve">môže vyhlásiť mimoriadnu okolnosť po tom, ako Štatistický úrad Slovenskej republiky zverejní, že hrubý domáci produkt za predchádzajúci štvrťrok vyjadrený v stálych cenách medziročne klesol a na základe bezprostredne nasledujúcej prognózy Výboru pre makroekonomické prognózy príslušný ročný hrubý domáci produkt vyjadrený v stálych cenách </w:t>
      </w:r>
    </w:p>
    <w:p w14:paraId="283AD5C5" w14:textId="77777777" w:rsidR="009E3459" w:rsidRPr="002C4B70" w:rsidRDefault="009E3459" w:rsidP="009E3459">
      <w:pPr>
        <w:pStyle w:val="Odsekzoznamu"/>
        <w:numPr>
          <w:ilvl w:val="0"/>
          <w:numId w:val="12"/>
        </w:numPr>
        <w:jc w:val="both"/>
        <w:rPr>
          <w:rFonts w:ascii="Book Antiqua" w:hAnsi="Book Antiqua"/>
          <w:bCs/>
        </w:rPr>
      </w:pPr>
      <w:r w:rsidRPr="002C4B70">
        <w:rPr>
          <w:rFonts w:ascii="Book Antiqua" w:hAnsi="Book Antiqua"/>
          <w:bCs/>
        </w:rPr>
        <w:t>klesne medziročne aspoň o tri percentuálne body; mimoriadna okolnosť trvá 12 mesiacov odo dňa vyhlásenia vládou, ak odsek 14 neustanovuje inak alebo</w:t>
      </w:r>
    </w:p>
    <w:p w14:paraId="7427A6C7" w14:textId="77777777" w:rsidR="009E3459" w:rsidRPr="002C4B70" w:rsidRDefault="009E3459" w:rsidP="009E3459">
      <w:pPr>
        <w:pStyle w:val="Odsekzoznamu"/>
        <w:numPr>
          <w:ilvl w:val="0"/>
          <w:numId w:val="12"/>
        </w:numPr>
        <w:jc w:val="both"/>
        <w:rPr>
          <w:rFonts w:ascii="Book Antiqua" w:hAnsi="Book Antiqua"/>
        </w:rPr>
      </w:pPr>
      <w:r w:rsidRPr="002C4B70">
        <w:rPr>
          <w:rFonts w:ascii="Book Antiqua" w:hAnsi="Book Antiqua"/>
          <w:bCs/>
        </w:rPr>
        <w:t>klesne medziročne aspoň o šesť percentuálnych bodov; mimoriadna okolnosť trvá 24 mesiacov odo dňa vyhlásenia vládou, ak odsek 14 neustanovuje inak.</w:t>
      </w:r>
    </w:p>
    <w:p w14:paraId="303613AF" w14:textId="77777777" w:rsidR="009E3459" w:rsidRPr="002C4B70" w:rsidRDefault="009E3459" w:rsidP="009E3459">
      <w:pPr>
        <w:pStyle w:val="Odsekzoznamu"/>
        <w:ind w:left="1428"/>
        <w:jc w:val="both"/>
        <w:rPr>
          <w:rFonts w:ascii="Book Antiqua" w:hAnsi="Book Antiqua"/>
        </w:rPr>
      </w:pPr>
    </w:p>
    <w:p w14:paraId="259DEFED" w14:textId="77777777" w:rsidR="009E3459" w:rsidRPr="002C4B70" w:rsidRDefault="009E3459" w:rsidP="009E3459">
      <w:pPr>
        <w:pStyle w:val="Odsekzoznamu"/>
        <w:numPr>
          <w:ilvl w:val="0"/>
          <w:numId w:val="11"/>
        </w:numPr>
        <w:ind w:left="1134" w:hanging="426"/>
        <w:jc w:val="both"/>
        <w:rPr>
          <w:rFonts w:ascii="Book Antiqua" w:hAnsi="Book Antiqua"/>
        </w:rPr>
      </w:pPr>
      <w:r w:rsidRPr="002C4B70">
        <w:rPr>
          <w:rFonts w:ascii="Book Antiqua" w:hAnsi="Book Antiqua"/>
        </w:rPr>
        <w:t xml:space="preserve">Ak </w:t>
      </w:r>
      <w:r w:rsidRPr="002C4B70">
        <w:rPr>
          <w:rFonts w:ascii="Book Antiqua" w:hAnsi="Book Antiqua"/>
          <w:bCs/>
        </w:rPr>
        <w:t xml:space="preserve">Štatistický úrad Slovenskej republiky zverejní, že hrubý domáci produkt za rok, na základe ktorého bola vyhlásená mimoriadna okolnosť podľa odseku 13, vyjadrený v stálych cenách klesol medziročne o menej ako tri percentuálne body alebo neklesol, obdobie podľa odseku 13 sa ukončuje dňom zverejnenia. Ak Štatistický úrad Slovenskej republiky zverejní, že hrubý domáci produkt za rok, na základe ktorého bola vyhlásená mimoriadna okolnosť podľa odseku 13, vyjadrený v stálych cenách klesol medziročne o menej ako šesť percentuálnych bodov, ale klesol aspoň o tri </w:t>
      </w:r>
      <w:r w:rsidRPr="002C4B70">
        <w:rPr>
          <w:rFonts w:ascii="Book Antiqua" w:hAnsi="Book Antiqua"/>
          <w:bCs/>
        </w:rPr>
        <w:lastRenderedPageBreak/>
        <w:t>percentuálne body, obdobie podľa odseku 13 písm. b) sa skracuje na 12 mesiacov alebo sa ukončuje dňom zverejnenia, ak toto obdobie trvá už viac ako 12 mesiacov. Ak Štatistický úrad Slovenskej republiky zverejní, že hrubý domáci produkt za rok, na základe ktorého bola vyhlásená mimoriadna okolnosť podľa odseku 13, vyjadrený v stálych cenách klesol medziročne aspoň o šesť percentuálnych bodov, obdobie podľa odseku 13 písm. a) sa predlžuje na 24 mesiacov.</w:t>
      </w:r>
    </w:p>
    <w:p w14:paraId="370A1849" w14:textId="77777777" w:rsidR="009E3459" w:rsidRPr="002C4B70" w:rsidRDefault="009E3459" w:rsidP="009E3459">
      <w:pPr>
        <w:pStyle w:val="Odsekzoznamu"/>
        <w:rPr>
          <w:rFonts w:ascii="Book Antiqua" w:hAnsi="Book Antiqua"/>
        </w:rPr>
      </w:pPr>
    </w:p>
    <w:p w14:paraId="19528369" w14:textId="77777777" w:rsidR="009E3459" w:rsidRPr="002C4B70" w:rsidRDefault="009E3459" w:rsidP="009E3459">
      <w:pPr>
        <w:pStyle w:val="Odsekzoznamu"/>
        <w:numPr>
          <w:ilvl w:val="0"/>
          <w:numId w:val="11"/>
        </w:numPr>
        <w:ind w:left="1134" w:hanging="426"/>
        <w:jc w:val="both"/>
        <w:rPr>
          <w:rFonts w:ascii="Book Antiqua" w:hAnsi="Book Antiqua"/>
        </w:rPr>
      </w:pPr>
      <w:r w:rsidRPr="002C4B70">
        <w:rPr>
          <w:rFonts w:ascii="Book Antiqua" w:hAnsi="Book Antiqua"/>
        </w:rPr>
        <w:t xml:space="preserve">Po ukončení mimoriadnej okolnosti podľa odseku 13 alebo odseku 14, rada do 30 dní aktualizuje limit verejných výdavkov postupom podľa odsekov 3, 4, 6 a 7. Východiskom aktualizácie je limit verejných výdavkov vypočítaný podľa postupu v odseku 12 za rok, v ktorom došlo k ukončeniu mimoriadnej okolnosti. Po ukončení mimoriadnej okolnosti sa v najbližšom rozpočtovom roku limit verejných výdavkov určí na základe polovičných hodnôt zlepšenia ukazovateľa dlhodobej udržateľnosti uvedených v odseku 6. </w:t>
      </w:r>
    </w:p>
    <w:p w14:paraId="0D881349" w14:textId="77777777" w:rsidR="009E3459" w:rsidRPr="002C4B70" w:rsidRDefault="009E3459" w:rsidP="009E3459">
      <w:pPr>
        <w:pStyle w:val="Odsekzoznamu"/>
        <w:rPr>
          <w:rFonts w:ascii="Book Antiqua" w:hAnsi="Book Antiqua"/>
        </w:rPr>
      </w:pPr>
    </w:p>
    <w:p w14:paraId="38589D94" w14:textId="77777777" w:rsidR="009E3459" w:rsidRPr="002C4B70" w:rsidRDefault="009E3459" w:rsidP="009E3459">
      <w:pPr>
        <w:pStyle w:val="Odsekzoznamu"/>
        <w:numPr>
          <w:ilvl w:val="0"/>
          <w:numId w:val="11"/>
        </w:numPr>
        <w:ind w:left="1134" w:hanging="426"/>
        <w:jc w:val="both"/>
        <w:rPr>
          <w:rFonts w:ascii="Book Antiqua" w:hAnsi="Book Antiqua"/>
        </w:rPr>
      </w:pPr>
      <w:r w:rsidRPr="002C4B70">
        <w:rPr>
          <w:rFonts w:ascii="Book Antiqua" w:hAnsi="Book Antiqua"/>
        </w:rPr>
        <w:t>Ak v roku konania volieb do národnej rady nebolo schválené programové vyhlásenie vlády a vyslovená dôvera vláde do 30. septembra po voľbách do národnej rady, rada vypočíta a zverejní limit verejných výdavkov postupom podľa odsekov 3, 4, 6 a 7 na  každý rozpočtový rok volebného obdobia nasledujúceho po roku, v ktorom sa uskutočnili voľby do národnej rady; odsek 3 prvá veta sa nepoužije. Po schválení programového vyhlásenia vlády a vyslovení dôvery vláde po voľbách do národnej rady sa postupuje podľa odsekov 3, 4, 6 a 7.</w:t>
      </w:r>
    </w:p>
    <w:p w14:paraId="3AA20A3D" w14:textId="77777777" w:rsidR="009E3459" w:rsidRPr="002C4B70" w:rsidRDefault="009E3459" w:rsidP="009E3459">
      <w:pPr>
        <w:pStyle w:val="Odsekzoznamu"/>
        <w:rPr>
          <w:rFonts w:ascii="Book Antiqua" w:hAnsi="Book Antiqua"/>
        </w:rPr>
      </w:pPr>
    </w:p>
    <w:p w14:paraId="756F86F8" w14:textId="77777777" w:rsidR="009E3459" w:rsidRPr="002C4B70" w:rsidRDefault="009E3459" w:rsidP="009E3459">
      <w:pPr>
        <w:pStyle w:val="Odsekzoznamu"/>
        <w:numPr>
          <w:ilvl w:val="0"/>
          <w:numId w:val="11"/>
        </w:numPr>
        <w:ind w:left="1134" w:hanging="426"/>
        <w:jc w:val="both"/>
        <w:rPr>
          <w:rFonts w:ascii="Book Antiqua" w:hAnsi="Book Antiqua"/>
        </w:rPr>
      </w:pPr>
      <w:r w:rsidRPr="002C4B70">
        <w:rPr>
          <w:rFonts w:ascii="Book Antiqua" w:hAnsi="Book Antiqua"/>
        </w:rPr>
        <w:t>Plnenie limitu verejných výdavkov za predchádzajúci rozpočtový rok hodnotí a zverejňuje rada každoročne do 15. júna.</w:t>
      </w:r>
      <w:r w:rsidRPr="002C4B70">
        <w:rPr>
          <w:rFonts w:ascii="Book Antiqua" w:hAnsi="Book Antiqua"/>
          <w:i/>
        </w:rPr>
        <w:t xml:space="preserve"> </w:t>
      </w:r>
      <w:r w:rsidRPr="002C4B70">
        <w:rPr>
          <w:rFonts w:ascii="Book Antiqua" w:hAnsi="Book Antiqua"/>
        </w:rPr>
        <w:t>V hodnotení sa zohľadňujú</w:t>
      </w:r>
    </w:p>
    <w:p w14:paraId="5299DCDE" w14:textId="77777777" w:rsidR="009E3459" w:rsidRPr="002C4B70" w:rsidRDefault="009E3459" w:rsidP="009E3459">
      <w:pPr>
        <w:pStyle w:val="Odsekzoznamu"/>
        <w:numPr>
          <w:ilvl w:val="1"/>
          <w:numId w:val="11"/>
        </w:numPr>
        <w:ind w:left="1418" w:hanging="283"/>
        <w:jc w:val="both"/>
        <w:rPr>
          <w:rFonts w:ascii="Book Antiqua" w:hAnsi="Book Antiqua"/>
        </w:rPr>
      </w:pPr>
      <w:r w:rsidRPr="002C4B70">
        <w:rPr>
          <w:rFonts w:ascii="Book Antiqua" w:hAnsi="Book Antiqua"/>
        </w:rPr>
        <w:t>vplyvy schválených legislatívnych zmien na príjmy rozpočtu verejnej správy alebo dlhodobú udržateľnosť,</w:t>
      </w:r>
    </w:p>
    <w:p w14:paraId="73BB0564" w14:textId="77777777" w:rsidR="009E3459" w:rsidRPr="002C4B70" w:rsidRDefault="009E3459" w:rsidP="009E3459">
      <w:pPr>
        <w:pStyle w:val="Odsekzoznamu"/>
        <w:numPr>
          <w:ilvl w:val="1"/>
          <w:numId w:val="11"/>
        </w:numPr>
        <w:ind w:left="1418" w:hanging="283"/>
        <w:jc w:val="both"/>
        <w:rPr>
          <w:rFonts w:ascii="Book Antiqua" w:hAnsi="Book Antiqua"/>
        </w:rPr>
      </w:pPr>
      <w:r w:rsidRPr="002C4B70">
        <w:rPr>
          <w:rFonts w:ascii="Book Antiqua" w:hAnsi="Book Antiqua"/>
        </w:rPr>
        <w:t>vplyvy zmien zaradenia jednotlivých subjektov do sektora verejnej správy a ich vyradenia a ďalšie vplyvy vychádzajúce z jednotnej metodiky platnej pre Európsku úniu,</w:t>
      </w:r>
    </w:p>
    <w:p w14:paraId="68CAB7E0" w14:textId="77777777" w:rsidR="009E3459" w:rsidRPr="002C4B70" w:rsidRDefault="009E3459" w:rsidP="009E3459">
      <w:pPr>
        <w:pStyle w:val="Odsekzoznamu"/>
        <w:numPr>
          <w:ilvl w:val="1"/>
          <w:numId w:val="11"/>
        </w:numPr>
        <w:ind w:left="1418" w:hanging="283"/>
        <w:jc w:val="both"/>
        <w:rPr>
          <w:rFonts w:ascii="Book Antiqua" w:hAnsi="Book Antiqua"/>
        </w:rPr>
      </w:pPr>
      <w:r w:rsidRPr="002C4B70">
        <w:rPr>
          <w:rFonts w:ascii="Book Antiqua" w:hAnsi="Book Antiqua"/>
        </w:rPr>
        <w:t>vplyvy použitia nevyčerpaných finančných prostriedkov z minulých rokov,</w:t>
      </w:r>
    </w:p>
    <w:p w14:paraId="43FCF19A" w14:textId="77777777" w:rsidR="009E3459" w:rsidRPr="002C4B70" w:rsidRDefault="009E3459" w:rsidP="009E3459">
      <w:pPr>
        <w:pStyle w:val="Odsekzoznamu"/>
        <w:numPr>
          <w:ilvl w:val="1"/>
          <w:numId w:val="11"/>
        </w:numPr>
        <w:ind w:left="1418" w:hanging="283"/>
        <w:jc w:val="both"/>
        <w:rPr>
          <w:rFonts w:ascii="Book Antiqua" w:hAnsi="Book Antiqua"/>
        </w:rPr>
      </w:pPr>
      <w:r w:rsidRPr="002C4B70">
        <w:rPr>
          <w:rFonts w:ascii="Book Antiqua" w:hAnsi="Book Antiqua"/>
        </w:rPr>
        <w:t>jednorazové vplyvy na verejné výdavky.</w:t>
      </w:r>
    </w:p>
    <w:p w14:paraId="59CD89FE" w14:textId="77777777" w:rsidR="009E3459" w:rsidRPr="002C4B70" w:rsidRDefault="009E3459" w:rsidP="009E3459">
      <w:pPr>
        <w:pStyle w:val="Odsekzoznamu"/>
        <w:ind w:left="1418"/>
        <w:jc w:val="both"/>
        <w:rPr>
          <w:rFonts w:ascii="Book Antiqua" w:hAnsi="Book Antiqua"/>
        </w:rPr>
      </w:pPr>
    </w:p>
    <w:p w14:paraId="3D33C870" w14:textId="77777777" w:rsidR="009E3459" w:rsidRPr="002C4B70" w:rsidRDefault="009E3459" w:rsidP="009E3459">
      <w:pPr>
        <w:pStyle w:val="Odsekzoznamu"/>
        <w:numPr>
          <w:ilvl w:val="0"/>
          <w:numId w:val="11"/>
        </w:numPr>
        <w:ind w:left="1134" w:hanging="426"/>
        <w:jc w:val="both"/>
        <w:rPr>
          <w:rFonts w:ascii="Book Antiqua" w:hAnsi="Book Antiqua"/>
        </w:rPr>
      </w:pPr>
      <w:r w:rsidRPr="002C4B70">
        <w:rPr>
          <w:rFonts w:ascii="Book Antiqua" w:hAnsi="Book Antiqua"/>
        </w:rPr>
        <w:t>Realizácia výdavkov subjektov verejnej správy z účelovo určených príjmov nad rámec limitu verejných výdavkov sa považuje za dodržanie limitu verejných výdavkov; túto skutočnosť rada zohľadní pri hodnotení plnenia limitu verejných výdavkov.</w:t>
      </w:r>
    </w:p>
    <w:p w14:paraId="069D5180" w14:textId="77777777" w:rsidR="009E3459" w:rsidRPr="002C4B70" w:rsidRDefault="009E3459" w:rsidP="009E3459">
      <w:pPr>
        <w:ind w:left="426"/>
        <w:rPr>
          <w:rFonts w:ascii="Book Antiqua" w:hAnsi="Book Antiqua"/>
        </w:rPr>
      </w:pPr>
    </w:p>
    <w:p w14:paraId="5C4C42B0" w14:textId="77777777" w:rsidR="009E3459" w:rsidRPr="002C4B70" w:rsidRDefault="009E3459" w:rsidP="009E3459">
      <w:pPr>
        <w:pStyle w:val="Odsekzoznamu"/>
        <w:numPr>
          <w:ilvl w:val="0"/>
          <w:numId w:val="11"/>
        </w:numPr>
        <w:ind w:left="1134" w:hanging="426"/>
        <w:jc w:val="both"/>
        <w:rPr>
          <w:rFonts w:ascii="Book Antiqua" w:hAnsi="Book Antiqua"/>
        </w:rPr>
      </w:pPr>
      <w:r w:rsidRPr="002C4B70">
        <w:rPr>
          <w:rFonts w:ascii="Book Antiqua" w:hAnsi="Book Antiqua"/>
        </w:rPr>
        <w:t xml:space="preserve">Ak rada vyhodnotí, že limit verejných výdavkov za predchádzajúci rozpočtový rok nebol splnený, vláda do 30 dní od zverejnenia hodnotenia radou zasiela národnej rade písomné zdôvodnenie nesplnenia limitu </w:t>
      </w:r>
      <w:r w:rsidRPr="002C4B70">
        <w:rPr>
          <w:rFonts w:ascii="Book Antiqua" w:hAnsi="Book Antiqua"/>
        </w:rPr>
        <w:lastRenderedPageBreak/>
        <w:t>výdavkov za predchádzajúci rozpočtový rok. Ak rada vyhodnotí, že limity verejných výdavkov za dva predchádzajúce rozpočtové roky neboli splnené a ich celková odchýlka dosiahla aspoň 1 % hrubého domáceho produktu, vláda do 30 dní od zverejnenia hodnotenia radou požiada národnú radu o vyslovenie dôvery vláde; vláda nie je povinná požiadať národnú radu o vyslovenie dôvery vláde v roku, v ktorom bolo schválené programové vyhlásenie vlády a vyslovená dôvera vláde po voľbách do národnej rady a v nasledujúcom roku.</w:t>
      </w:r>
    </w:p>
    <w:p w14:paraId="74A733B3" w14:textId="77777777" w:rsidR="009E3459" w:rsidRPr="002C4B70" w:rsidRDefault="009E3459" w:rsidP="009E3459">
      <w:pPr>
        <w:pStyle w:val="Odsekzoznamu"/>
        <w:ind w:left="1134"/>
        <w:jc w:val="both"/>
        <w:rPr>
          <w:rFonts w:ascii="Book Antiqua" w:hAnsi="Book Antiqua"/>
        </w:rPr>
      </w:pPr>
    </w:p>
    <w:p w14:paraId="4D774B18" w14:textId="77777777" w:rsidR="009E3459" w:rsidRPr="002C4B70" w:rsidRDefault="009E3459" w:rsidP="009E3459">
      <w:pPr>
        <w:pStyle w:val="Odsekzoznamu"/>
        <w:numPr>
          <w:ilvl w:val="0"/>
          <w:numId w:val="11"/>
        </w:numPr>
        <w:ind w:left="1134" w:hanging="426"/>
        <w:jc w:val="both"/>
        <w:rPr>
          <w:rFonts w:ascii="Book Antiqua" w:hAnsi="Book Antiqua"/>
        </w:rPr>
      </w:pPr>
      <w:r w:rsidRPr="002C4B70">
        <w:rPr>
          <w:rFonts w:ascii="Book Antiqua" w:hAnsi="Book Antiqua"/>
        </w:rPr>
        <w:t>Metodiku výpočtu limitu verejných výdavkov podľa odseku 3, aktualizácie limitu verejných výdavkov podľa odsekov 9 až 12 a 15 a hodnotenia plnenia limitu verejných výdavkov podľa odseku 17 vypracúva a zverejňuje rada. Pri výpočte limitu verejných výdavkov a pri jeho aktualizácii rada postupuje podľa metodiky platnej k 1. januáru roka, v ktorom sa vypočítava limit verejných výdavkov alebo sa takýto limit aktualizuje. Aktualizovaný limit verejných výdavkov podľa odsekov 9 až 12 a 15 rada predkladá na rokovanie príslušného výboru národnej rady. Ak predložený aktualizovaný limit verejných výdavkov nie je v súlade s týmto ústavným zákonom, príslušný výbor národnej rady ho vráti rade na dopracovanie s odôvodnením nesúladu; inak predložený aktualizovaný limit verejných výdavkov schváli uznesením, ktoré je všeobecne záväzné a zverejňuje sa v Zbierke zákonov Slovenskej republiky.“.</w:t>
      </w:r>
    </w:p>
    <w:p w14:paraId="7488B54D" w14:textId="77777777" w:rsidR="009E3459" w:rsidRPr="002C4B70" w:rsidRDefault="009E3459" w:rsidP="009E3459">
      <w:pPr>
        <w:jc w:val="both"/>
        <w:rPr>
          <w:rFonts w:ascii="Book Antiqua" w:hAnsi="Book Antiqua"/>
        </w:rPr>
      </w:pPr>
    </w:p>
    <w:p w14:paraId="3BA04628" w14:textId="77777777" w:rsidR="009E3459" w:rsidRPr="002C4B70" w:rsidRDefault="009E3459" w:rsidP="009E3459">
      <w:pPr>
        <w:pStyle w:val="Odsekzoznamu"/>
        <w:numPr>
          <w:ilvl w:val="0"/>
          <w:numId w:val="13"/>
        </w:numPr>
        <w:spacing w:after="160" w:line="259" w:lineRule="auto"/>
        <w:rPr>
          <w:rFonts w:ascii="Book Antiqua" w:hAnsi="Book Antiqua"/>
        </w:rPr>
      </w:pPr>
      <w:r w:rsidRPr="002C4B70">
        <w:rPr>
          <w:rFonts w:ascii="Book Antiqua" w:hAnsi="Book Antiqua"/>
        </w:rPr>
        <w:t>Za čl. 13 sa vkladá čl. 13a, ktorý vrátane nadpisu znie:</w:t>
      </w:r>
    </w:p>
    <w:p w14:paraId="0EB037B0" w14:textId="77777777" w:rsidR="009E3459" w:rsidRPr="002C4B70" w:rsidRDefault="009E3459" w:rsidP="009E3459">
      <w:pPr>
        <w:jc w:val="center"/>
        <w:rPr>
          <w:rFonts w:ascii="Book Antiqua" w:hAnsi="Book Antiqua"/>
        </w:rPr>
      </w:pPr>
      <w:r w:rsidRPr="002C4B70">
        <w:rPr>
          <w:rFonts w:ascii="Book Antiqua" w:hAnsi="Book Antiqua"/>
        </w:rPr>
        <w:t>„Čl. 13a</w:t>
      </w:r>
    </w:p>
    <w:p w14:paraId="19551589" w14:textId="77777777" w:rsidR="009E3459" w:rsidRPr="002C4B70" w:rsidRDefault="009E3459" w:rsidP="009E3459">
      <w:pPr>
        <w:jc w:val="center"/>
        <w:rPr>
          <w:rFonts w:ascii="Book Antiqua" w:hAnsi="Book Antiqua"/>
        </w:rPr>
      </w:pPr>
      <w:r w:rsidRPr="002C4B70">
        <w:rPr>
          <w:rFonts w:ascii="Book Antiqua" w:hAnsi="Book Antiqua"/>
        </w:rPr>
        <w:t>Prechodné ustanovenia k úpravám účinným od 1. januára 2022</w:t>
      </w:r>
    </w:p>
    <w:p w14:paraId="7027DDE4" w14:textId="77777777" w:rsidR="009E3459" w:rsidRPr="002C4B70" w:rsidRDefault="009E3459" w:rsidP="009E3459">
      <w:pPr>
        <w:rPr>
          <w:rFonts w:ascii="Book Antiqua" w:hAnsi="Book Antiqua"/>
        </w:rPr>
      </w:pPr>
    </w:p>
    <w:p w14:paraId="44786BB7" w14:textId="77777777" w:rsidR="009E3459" w:rsidRPr="002C4B70" w:rsidRDefault="009E3459" w:rsidP="009E3459">
      <w:pPr>
        <w:pStyle w:val="Odsekzoznamu"/>
        <w:numPr>
          <w:ilvl w:val="0"/>
          <w:numId w:val="14"/>
        </w:numPr>
        <w:spacing w:line="259" w:lineRule="auto"/>
        <w:ind w:left="1134"/>
        <w:jc w:val="both"/>
        <w:rPr>
          <w:rFonts w:ascii="Book Antiqua" w:hAnsi="Book Antiqua"/>
        </w:rPr>
      </w:pPr>
      <w:r w:rsidRPr="002C4B70">
        <w:rPr>
          <w:rFonts w:ascii="Book Antiqua" w:hAnsi="Book Antiqua"/>
        </w:rPr>
        <w:t xml:space="preserve">Limit verejných výdavkov sa prvýkrát určuje postupom podľa čl. 7a ods. 2 prvej vety na volebné obdobie národnej rady, v ktorom bolo schválené programové vyhlásenie vlády a vyslovená dôvera vláde po nadobudnutí účinnosti tohto ústavného zákona. </w:t>
      </w:r>
    </w:p>
    <w:p w14:paraId="5AC916EF" w14:textId="77777777" w:rsidR="009E3459" w:rsidRPr="002C4B70" w:rsidRDefault="009E3459" w:rsidP="009E3459">
      <w:pPr>
        <w:pStyle w:val="Odsekzoznamu"/>
        <w:rPr>
          <w:rFonts w:ascii="Book Antiqua" w:hAnsi="Book Antiqua"/>
        </w:rPr>
      </w:pPr>
    </w:p>
    <w:p w14:paraId="6F81A54A" w14:textId="77777777" w:rsidR="009E3459" w:rsidRPr="002C4B70" w:rsidRDefault="009E3459" w:rsidP="009E3459">
      <w:pPr>
        <w:pStyle w:val="Odsekzoznamu"/>
        <w:numPr>
          <w:ilvl w:val="0"/>
          <w:numId w:val="14"/>
        </w:numPr>
        <w:spacing w:line="259" w:lineRule="auto"/>
        <w:ind w:left="1134"/>
        <w:jc w:val="both"/>
        <w:rPr>
          <w:rFonts w:ascii="Book Antiqua" w:hAnsi="Book Antiqua"/>
        </w:rPr>
      </w:pPr>
      <w:r w:rsidRPr="002C4B70">
        <w:rPr>
          <w:rFonts w:ascii="Book Antiqua" w:hAnsi="Book Antiqua"/>
        </w:rPr>
        <w:t>V VIII. volebnom období národnej rady sa limit verejných výdavkov určuje na roky 2023 a 2024; ustanovenia čl. 7a ods. 2 prvej vety, ods. 3 prvej vety, ods. 6 druhej vety a ods. 8 prvej vety sa nepoužijú. V roku 2022 rada vypočíta a predloží na rokovanie národnej rady do 30 dní po zverejnení správy o dlhodobej udržateľnosti limit verejných výdavkov na roky 2023 a 2024 postupom podľa čl. 7a ods. 3, 4, 6 a 7, pričom predbežný limit verejných výdavkov rada vypočíta a predloží ministerstvu financií do 31. marca 2022. Limit verejných výdavkov na roky 2023 a 2024 schvaľuje národná rada uznesením, ktoré je všeobecne záväzné a zverejňuje sa v Zbierke zákonov Slovenskej republiky.</w:t>
      </w:r>
    </w:p>
    <w:p w14:paraId="5BAEF93F" w14:textId="77777777" w:rsidR="009E3459" w:rsidRPr="002C4B70" w:rsidRDefault="009E3459" w:rsidP="009E3459">
      <w:pPr>
        <w:pStyle w:val="Odsekzoznamu"/>
        <w:rPr>
          <w:rFonts w:ascii="Book Antiqua" w:hAnsi="Book Antiqua"/>
        </w:rPr>
      </w:pPr>
    </w:p>
    <w:p w14:paraId="629CDF58" w14:textId="77777777" w:rsidR="009E3459" w:rsidRPr="002C4B70" w:rsidRDefault="009E3459" w:rsidP="009E3459">
      <w:pPr>
        <w:pStyle w:val="Odsekzoznamu"/>
        <w:numPr>
          <w:ilvl w:val="0"/>
          <w:numId w:val="14"/>
        </w:numPr>
        <w:spacing w:line="259" w:lineRule="auto"/>
        <w:ind w:left="1134"/>
        <w:jc w:val="both"/>
        <w:rPr>
          <w:rFonts w:ascii="Book Antiqua" w:hAnsi="Book Antiqua"/>
        </w:rPr>
      </w:pPr>
      <w:r w:rsidRPr="002C4B70">
        <w:rPr>
          <w:rFonts w:ascii="Book Antiqua" w:hAnsi="Book Antiqua"/>
        </w:rPr>
        <w:t>V roku 2022 výbory vypracujú prognózy podľa čl. 8 ods. 2 v znení účinnom od 1. januára 2022 do 28. februára 2022.“.</w:t>
      </w:r>
    </w:p>
    <w:p w14:paraId="724BF5C5" w14:textId="77777777" w:rsidR="009E3459" w:rsidRPr="002C4B70" w:rsidRDefault="009E3459" w:rsidP="009E3459">
      <w:pPr>
        <w:pStyle w:val="Odsekzoznamu"/>
        <w:ind w:left="928"/>
        <w:jc w:val="center"/>
        <w:rPr>
          <w:rFonts w:ascii="Book Antiqua" w:hAnsi="Book Antiqua"/>
          <w:b/>
        </w:rPr>
      </w:pPr>
      <w:r w:rsidRPr="002C4B70">
        <w:rPr>
          <w:rFonts w:ascii="Book Antiqua" w:hAnsi="Book Antiqua"/>
          <w:b/>
        </w:rPr>
        <w:lastRenderedPageBreak/>
        <w:t>Čl. II</w:t>
      </w:r>
    </w:p>
    <w:p w14:paraId="67207FCC" w14:textId="77777777" w:rsidR="009E3459" w:rsidRPr="002C4B70" w:rsidRDefault="009E3459" w:rsidP="009E3459">
      <w:pPr>
        <w:pStyle w:val="Odsekzoznamu"/>
        <w:ind w:left="928"/>
        <w:jc w:val="center"/>
        <w:rPr>
          <w:rFonts w:ascii="Book Antiqua" w:hAnsi="Book Antiqua"/>
        </w:rPr>
      </w:pPr>
    </w:p>
    <w:p w14:paraId="1726B57C" w14:textId="5F505D6C" w:rsidR="000222C7" w:rsidRPr="00924E59" w:rsidRDefault="009E3459" w:rsidP="00924E59">
      <w:pPr>
        <w:pStyle w:val="Odsekzoznamu"/>
        <w:ind w:left="928"/>
        <w:jc w:val="both"/>
        <w:rPr>
          <w:rFonts w:ascii="Book Antiqua" w:hAnsi="Book Antiqua"/>
        </w:rPr>
      </w:pPr>
      <w:r w:rsidRPr="002C4B70">
        <w:rPr>
          <w:rFonts w:ascii="Book Antiqua" w:hAnsi="Book Antiqua"/>
        </w:rPr>
        <w:t>Tento ústavný zákon n</w:t>
      </w:r>
      <w:r w:rsidR="00924E59">
        <w:rPr>
          <w:rFonts w:ascii="Book Antiqua" w:hAnsi="Book Antiqua"/>
        </w:rPr>
        <w:t>adobúda účinnosť 1. januára 2022</w:t>
      </w:r>
      <w:r w:rsidRPr="002C4B70">
        <w:rPr>
          <w:rFonts w:ascii="Book Antiqua" w:hAnsi="Book Antiqua"/>
        </w:rPr>
        <w:t>.</w:t>
      </w:r>
      <w:bookmarkStart w:id="0" w:name="_GoBack"/>
      <w:bookmarkEnd w:id="0"/>
    </w:p>
    <w:sectPr w:rsidR="000222C7" w:rsidRPr="00924E59" w:rsidSect="00450A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2E0A6" w14:textId="77777777" w:rsidR="00F53EA5" w:rsidRDefault="00F53EA5" w:rsidP="00315A87">
      <w:r>
        <w:separator/>
      </w:r>
    </w:p>
  </w:endnote>
  <w:endnote w:type="continuationSeparator" w:id="0">
    <w:p w14:paraId="049772ED" w14:textId="77777777" w:rsidR="00F53EA5" w:rsidRDefault="00F53EA5" w:rsidP="0031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CEEEC" w14:textId="77777777" w:rsidR="00F53EA5" w:rsidRDefault="00F53EA5" w:rsidP="00315A87">
      <w:r>
        <w:separator/>
      </w:r>
    </w:p>
  </w:footnote>
  <w:footnote w:type="continuationSeparator" w:id="0">
    <w:p w14:paraId="3F693DDC" w14:textId="77777777" w:rsidR="00F53EA5" w:rsidRDefault="00F53EA5" w:rsidP="00315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4E3B"/>
    <w:multiLevelType w:val="hybridMultilevel"/>
    <w:tmpl w:val="A4FCFA4C"/>
    <w:lvl w:ilvl="0" w:tplc="992840A0">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 w15:restartNumberingAfterBreak="0">
    <w:nsid w:val="07562D25"/>
    <w:multiLevelType w:val="hybridMultilevel"/>
    <w:tmpl w:val="4C56EA1A"/>
    <w:lvl w:ilvl="0" w:tplc="041B000F">
      <w:start w:val="1"/>
      <w:numFmt w:val="decimal"/>
      <w:lvlText w:val="%1."/>
      <w:lvlJc w:val="left"/>
      <w:pPr>
        <w:ind w:left="361" w:hanging="360"/>
      </w:pPr>
    </w:lvl>
    <w:lvl w:ilvl="1" w:tplc="041B0019" w:tentative="1">
      <w:start w:val="1"/>
      <w:numFmt w:val="lowerLetter"/>
      <w:lvlText w:val="%2."/>
      <w:lvlJc w:val="left"/>
      <w:pPr>
        <w:ind w:left="1081" w:hanging="360"/>
      </w:pPr>
    </w:lvl>
    <w:lvl w:ilvl="2" w:tplc="041B001B" w:tentative="1">
      <w:start w:val="1"/>
      <w:numFmt w:val="lowerRoman"/>
      <w:lvlText w:val="%3."/>
      <w:lvlJc w:val="right"/>
      <w:pPr>
        <w:ind w:left="1801" w:hanging="180"/>
      </w:pPr>
    </w:lvl>
    <w:lvl w:ilvl="3" w:tplc="041B000F" w:tentative="1">
      <w:start w:val="1"/>
      <w:numFmt w:val="decimal"/>
      <w:lvlText w:val="%4."/>
      <w:lvlJc w:val="left"/>
      <w:pPr>
        <w:ind w:left="2521" w:hanging="360"/>
      </w:pPr>
    </w:lvl>
    <w:lvl w:ilvl="4" w:tplc="041B0019" w:tentative="1">
      <w:start w:val="1"/>
      <w:numFmt w:val="lowerLetter"/>
      <w:lvlText w:val="%5."/>
      <w:lvlJc w:val="left"/>
      <w:pPr>
        <w:ind w:left="3241" w:hanging="360"/>
      </w:pPr>
    </w:lvl>
    <w:lvl w:ilvl="5" w:tplc="041B001B" w:tentative="1">
      <w:start w:val="1"/>
      <w:numFmt w:val="lowerRoman"/>
      <w:lvlText w:val="%6."/>
      <w:lvlJc w:val="right"/>
      <w:pPr>
        <w:ind w:left="3961" w:hanging="180"/>
      </w:pPr>
    </w:lvl>
    <w:lvl w:ilvl="6" w:tplc="041B000F" w:tentative="1">
      <w:start w:val="1"/>
      <w:numFmt w:val="decimal"/>
      <w:lvlText w:val="%7."/>
      <w:lvlJc w:val="left"/>
      <w:pPr>
        <w:ind w:left="4681" w:hanging="360"/>
      </w:pPr>
    </w:lvl>
    <w:lvl w:ilvl="7" w:tplc="041B0019" w:tentative="1">
      <w:start w:val="1"/>
      <w:numFmt w:val="lowerLetter"/>
      <w:lvlText w:val="%8."/>
      <w:lvlJc w:val="left"/>
      <w:pPr>
        <w:ind w:left="5401" w:hanging="360"/>
      </w:pPr>
    </w:lvl>
    <w:lvl w:ilvl="8" w:tplc="041B001B" w:tentative="1">
      <w:start w:val="1"/>
      <w:numFmt w:val="lowerRoman"/>
      <w:lvlText w:val="%9."/>
      <w:lvlJc w:val="right"/>
      <w:pPr>
        <w:ind w:left="6121" w:hanging="180"/>
      </w:pPr>
    </w:lvl>
  </w:abstractNum>
  <w:abstractNum w:abstractNumId="2" w15:restartNumberingAfterBreak="0">
    <w:nsid w:val="0A714A47"/>
    <w:multiLevelType w:val="hybridMultilevel"/>
    <w:tmpl w:val="0B3C757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B08526B"/>
    <w:multiLevelType w:val="hybridMultilevel"/>
    <w:tmpl w:val="A1A02162"/>
    <w:lvl w:ilvl="0" w:tplc="42508214">
      <w:start w:val="1"/>
      <w:numFmt w:val="decimal"/>
      <w:lvlText w:val="%1."/>
      <w:lvlJc w:val="left"/>
      <w:pPr>
        <w:ind w:left="720" w:hanging="360"/>
      </w:pPr>
      <w:rPr>
        <w:rFonts w:eastAsia="Times New Roman" w:cs="Times New Roman" w:hint="default"/>
        <w:b w:val="0"/>
        <w:color w:val="231F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DE63CFF"/>
    <w:multiLevelType w:val="hybridMultilevel"/>
    <w:tmpl w:val="604CCD1E"/>
    <w:lvl w:ilvl="0" w:tplc="DCCC1FD2">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B0681832">
      <w:start w:val="1"/>
      <w:numFmt w:val="decimal"/>
      <w:lvlText w:val="%7."/>
      <w:lvlJc w:val="left"/>
      <w:pPr>
        <w:ind w:left="5040" w:hanging="360"/>
      </w:pPr>
      <w:rPr>
        <w:rFonts w:ascii="Times New Roman" w:eastAsiaTheme="minorHAnsi" w:hAnsi="Times New Roman" w:cs="Times New Roman"/>
      </w:rPr>
    </w:lvl>
    <w:lvl w:ilvl="7" w:tplc="041B0019">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9E4E76"/>
    <w:multiLevelType w:val="hybridMultilevel"/>
    <w:tmpl w:val="EA8CA572"/>
    <w:lvl w:ilvl="0" w:tplc="051C662A">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 w15:restartNumberingAfterBreak="0">
    <w:nsid w:val="2D362570"/>
    <w:multiLevelType w:val="hybridMultilevel"/>
    <w:tmpl w:val="E41CA14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C6123F0"/>
    <w:multiLevelType w:val="hybridMultilevel"/>
    <w:tmpl w:val="A4DC1C92"/>
    <w:lvl w:ilvl="0" w:tplc="0CFECF98">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8" w15:restartNumberingAfterBreak="0">
    <w:nsid w:val="3D64541D"/>
    <w:multiLevelType w:val="multilevel"/>
    <w:tmpl w:val="60FABD72"/>
    <w:lvl w:ilvl="0">
      <w:start w:val="1"/>
      <w:numFmt w:val="decimal"/>
      <w:lvlText w:val="(%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9" w15:restartNumberingAfterBreak="0">
    <w:nsid w:val="499B1377"/>
    <w:multiLevelType w:val="hybridMultilevel"/>
    <w:tmpl w:val="916EA4CA"/>
    <w:lvl w:ilvl="0" w:tplc="CE0A0A6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E1F30A5"/>
    <w:multiLevelType w:val="hybridMultilevel"/>
    <w:tmpl w:val="13120D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705074"/>
    <w:multiLevelType w:val="hybridMultilevel"/>
    <w:tmpl w:val="0B3C757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59D86DC5"/>
    <w:multiLevelType w:val="hybridMultilevel"/>
    <w:tmpl w:val="6A76C9FA"/>
    <w:lvl w:ilvl="0" w:tplc="041B0017">
      <w:start w:val="1"/>
      <w:numFmt w:val="lowerLetter"/>
      <w:lvlText w:val="%1)"/>
      <w:lvlJc w:val="left"/>
      <w:pPr>
        <w:ind w:left="1428" w:hanging="360"/>
      </w:p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66D42B38"/>
    <w:multiLevelType w:val="hybridMultilevel"/>
    <w:tmpl w:val="874CD8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10"/>
  </w:num>
  <w:num w:numId="4">
    <w:abstractNumId w:val="9"/>
  </w:num>
  <w:num w:numId="5">
    <w:abstractNumId w:val="7"/>
  </w:num>
  <w:num w:numId="6">
    <w:abstractNumId w:val="0"/>
  </w:num>
  <w:num w:numId="7">
    <w:abstractNumId w:val="2"/>
  </w:num>
  <w:num w:numId="8">
    <w:abstractNumId w:val="13"/>
  </w:num>
  <w:num w:numId="9">
    <w:abstractNumId w:val="5"/>
  </w:num>
  <w:num w:numId="10">
    <w:abstractNumId w:val="11"/>
  </w:num>
  <w:num w:numId="11">
    <w:abstractNumId w:val="8"/>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F8"/>
    <w:rsid w:val="000222C7"/>
    <w:rsid w:val="00026FF8"/>
    <w:rsid w:val="00076CC6"/>
    <w:rsid w:val="000B450C"/>
    <w:rsid w:val="000C70DA"/>
    <w:rsid w:val="000D2E53"/>
    <w:rsid w:val="000D3A37"/>
    <w:rsid w:val="000E1C3B"/>
    <w:rsid w:val="000E310D"/>
    <w:rsid w:val="000F0F6F"/>
    <w:rsid w:val="000F1380"/>
    <w:rsid w:val="000F4272"/>
    <w:rsid w:val="00113A5A"/>
    <w:rsid w:val="0011595B"/>
    <w:rsid w:val="00120770"/>
    <w:rsid w:val="00122FC2"/>
    <w:rsid w:val="00134A54"/>
    <w:rsid w:val="001367B0"/>
    <w:rsid w:val="00144062"/>
    <w:rsid w:val="001459A7"/>
    <w:rsid w:val="0015522B"/>
    <w:rsid w:val="00166A51"/>
    <w:rsid w:val="001717B1"/>
    <w:rsid w:val="00191453"/>
    <w:rsid w:val="00195FF0"/>
    <w:rsid w:val="001B5AC4"/>
    <w:rsid w:val="001B62D9"/>
    <w:rsid w:val="001B7DF3"/>
    <w:rsid w:val="001C7A84"/>
    <w:rsid w:val="001D1370"/>
    <w:rsid w:val="001D66A3"/>
    <w:rsid w:val="001E271E"/>
    <w:rsid w:val="001E5E02"/>
    <w:rsid w:val="002026B4"/>
    <w:rsid w:val="0021153E"/>
    <w:rsid w:val="002126CF"/>
    <w:rsid w:val="00220626"/>
    <w:rsid w:val="002248F6"/>
    <w:rsid w:val="0022529E"/>
    <w:rsid w:val="00243657"/>
    <w:rsid w:val="00243799"/>
    <w:rsid w:val="00251AFB"/>
    <w:rsid w:val="002613AF"/>
    <w:rsid w:val="002637A5"/>
    <w:rsid w:val="00273F9E"/>
    <w:rsid w:val="002835DF"/>
    <w:rsid w:val="00290E5D"/>
    <w:rsid w:val="0029474D"/>
    <w:rsid w:val="002A10BC"/>
    <w:rsid w:val="002B1719"/>
    <w:rsid w:val="002C02E3"/>
    <w:rsid w:val="002D3D18"/>
    <w:rsid w:val="002E1092"/>
    <w:rsid w:val="002E3DED"/>
    <w:rsid w:val="002F1482"/>
    <w:rsid w:val="002F5EBF"/>
    <w:rsid w:val="00312673"/>
    <w:rsid w:val="00315A87"/>
    <w:rsid w:val="00317EA7"/>
    <w:rsid w:val="003375F9"/>
    <w:rsid w:val="003420A4"/>
    <w:rsid w:val="003548FB"/>
    <w:rsid w:val="00355DF8"/>
    <w:rsid w:val="003608EA"/>
    <w:rsid w:val="00365988"/>
    <w:rsid w:val="00376567"/>
    <w:rsid w:val="00384A20"/>
    <w:rsid w:val="00392D5C"/>
    <w:rsid w:val="00392FEC"/>
    <w:rsid w:val="00393EA5"/>
    <w:rsid w:val="0039747B"/>
    <w:rsid w:val="003A3B7B"/>
    <w:rsid w:val="003A5A0D"/>
    <w:rsid w:val="003C59B5"/>
    <w:rsid w:val="003E126A"/>
    <w:rsid w:val="003F408B"/>
    <w:rsid w:val="003F77CD"/>
    <w:rsid w:val="0041067C"/>
    <w:rsid w:val="00412EA8"/>
    <w:rsid w:val="00414FCE"/>
    <w:rsid w:val="00442391"/>
    <w:rsid w:val="00444BCC"/>
    <w:rsid w:val="00450A28"/>
    <w:rsid w:val="00452619"/>
    <w:rsid w:val="00472D5D"/>
    <w:rsid w:val="00474ADD"/>
    <w:rsid w:val="00476C21"/>
    <w:rsid w:val="004931CF"/>
    <w:rsid w:val="00496A32"/>
    <w:rsid w:val="00496EE0"/>
    <w:rsid w:val="004A3E2C"/>
    <w:rsid w:val="004A567E"/>
    <w:rsid w:val="004D1EE2"/>
    <w:rsid w:val="004E18D5"/>
    <w:rsid w:val="004F0540"/>
    <w:rsid w:val="004F1872"/>
    <w:rsid w:val="004F7E83"/>
    <w:rsid w:val="00511153"/>
    <w:rsid w:val="00527A12"/>
    <w:rsid w:val="00532326"/>
    <w:rsid w:val="0054294B"/>
    <w:rsid w:val="005514DF"/>
    <w:rsid w:val="0055359C"/>
    <w:rsid w:val="005741B6"/>
    <w:rsid w:val="005748BA"/>
    <w:rsid w:val="005849AA"/>
    <w:rsid w:val="005A2487"/>
    <w:rsid w:val="005B0047"/>
    <w:rsid w:val="005C2B5D"/>
    <w:rsid w:val="005D18E8"/>
    <w:rsid w:val="005E64C3"/>
    <w:rsid w:val="005F4357"/>
    <w:rsid w:val="006245E9"/>
    <w:rsid w:val="00640C06"/>
    <w:rsid w:val="00647D2B"/>
    <w:rsid w:val="00661B75"/>
    <w:rsid w:val="00663192"/>
    <w:rsid w:val="00687BDE"/>
    <w:rsid w:val="006905B0"/>
    <w:rsid w:val="006A0405"/>
    <w:rsid w:val="006A2A48"/>
    <w:rsid w:val="006B1572"/>
    <w:rsid w:val="006F48CF"/>
    <w:rsid w:val="006F5A82"/>
    <w:rsid w:val="006F6BF8"/>
    <w:rsid w:val="006F7055"/>
    <w:rsid w:val="0071290A"/>
    <w:rsid w:val="007218AB"/>
    <w:rsid w:val="00723FC1"/>
    <w:rsid w:val="00740E04"/>
    <w:rsid w:val="007458F1"/>
    <w:rsid w:val="00746072"/>
    <w:rsid w:val="00764629"/>
    <w:rsid w:val="0076690F"/>
    <w:rsid w:val="00772916"/>
    <w:rsid w:val="00774D36"/>
    <w:rsid w:val="00784319"/>
    <w:rsid w:val="007858C5"/>
    <w:rsid w:val="00791D62"/>
    <w:rsid w:val="007A3179"/>
    <w:rsid w:val="007A60C4"/>
    <w:rsid w:val="007B2565"/>
    <w:rsid w:val="007B5ED5"/>
    <w:rsid w:val="007B6D46"/>
    <w:rsid w:val="007D10BF"/>
    <w:rsid w:val="007D3D90"/>
    <w:rsid w:val="007D7456"/>
    <w:rsid w:val="007E0DA2"/>
    <w:rsid w:val="007E438A"/>
    <w:rsid w:val="007F147B"/>
    <w:rsid w:val="007F3CB7"/>
    <w:rsid w:val="008078FC"/>
    <w:rsid w:val="008177D6"/>
    <w:rsid w:val="00823364"/>
    <w:rsid w:val="00837877"/>
    <w:rsid w:val="008523D9"/>
    <w:rsid w:val="008553F9"/>
    <w:rsid w:val="008719ED"/>
    <w:rsid w:val="00882EC4"/>
    <w:rsid w:val="008A27B6"/>
    <w:rsid w:val="008A3335"/>
    <w:rsid w:val="008B0940"/>
    <w:rsid w:val="008B487C"/>
    <w:rsid w:val="008E38AA"/>
    <w:rsid w:val="008F562B"/>
    <w:rsid w:val="00902E8E"/>
    <w:rsid w:val="00911577"/>
    <w:rsid w:val="00924E59"/>
    <w:rsid w:val="00927423"/>
    <w:rsid w:val="00934976"/>
    <w:rsid w:val="00936F27"/>
    <w:rsid w:val="009374D4"/>
    <w:rsid w:val="00937679"/>
    <w:rsid w:val="0094187B"/>
    <w:rsid w:val="00943BA1"/>
    <w:rsid w:val="00944446"/>
    <w:rsid w:val="00944C31"/>
    <w:rsid w:val="0094671B"/>
    <w:rsid w:val="00950795"/>
    <w:rsid w:val="00956A39"/>
    <w:rsid w:val="009625E6"/>
    <w:rsid w:val="00972F78"/>
    <w:rsid w:val="00977BE6"/>
    <w:rsid w:val="00997038"/>
    <w:rsid w:val="009A5681"/>
    <w:rsid w:val="009B3C7E"/>
    <w:rsid w:val="009B6B8A"/>
    <w:rsid w:val="009B6EF2"/>
    <w:rsid w:val="009C4F09"/>
    <w:rsid w:val="009E3459"/>
    <w:rsid w:val="00A10A36"/>
    <w:rsid w:val="00A2405F"/>
    <w:rsid w:val="00A26DF2"/>
    <w:rsid w:val="00A37F27"/>
    <w:rsid w:val="00A5140A"/>
    <w:rsid w:val="00A55FCF"/>
    <w:rsid w:val="00A62BA4"/>
    <w:rsid w:val="00A64F41"/>
    <w:rsid w:val="00A65321"/>
    <w:rsid w:val="00A72F79"/>
    <w:rsid w:val="00A85D83"/>
    <w:rsid w:val="00A87A4D"/>
    <w:rsid w:val="00A90DCB"/>
    <w:rsid w:val="00A9791A"/>
    <w:rsid w:val="00AA0244"/>
    <w:rsid w:val="00AA4642"/>
    <w:rsid w:val="00AA4F49"/>
    <w:rsid w:val="00AD61AB"/>
    <w:rsid w:val="00AE212B"/>
    <w:rsid w:val="00AE26DD"/>
    <w:rsid w:val="00AE4888"/>
    <w:rsid w:val="00AE5128"/>
    <w:rsid w:val="00AE6275"/>
    <w:rsid w:val="00AE6CEF"/>
    <w:rsid w:val="00AF3E6D"/>
    <w:rsid w:val="00B13C00"/>
    <w:rsid w:val="00B16FB6"/>
    <w:rsid w:val="00B32B22"/>
    <w:rsid w:val="00B519D3"/>
    <w:rsid w:val="00B52FB6"/>
    <w:rsid w:val="00B56A74"/>
    <w:rsid w:val="00B7503C"/>
    <w:rsid w:val="00B768B1"/>
    <w:rsid w:val="00B77E2A"/>
    <w:rsid w:val="00B82B4A"/>
    <w:rsid w:val="00B83E13"/>
    <w:rsid w:val="00B92160"/>
    <w:rsid w:val="00B974EA"/>
    <w:rsid w:val="00BA26F3"/>
    <w:rsid w:val="00BA5820"/>
    <w:rsid w:val="00BC4E65"/>
    <w:rsid w:val="00BC53B7"/>
    <w:rsid w:val="00BE04C0"/>
    <w:rsid w:val="00BE3A84"/>
    <w:rsid w:val="00BE4D66"/>
    <w:rsid w:val="00C139E3"/>
    <w:rsid w:val="00C210C5"/>
    <w:rsid w:val="00C35D3F"/>
    <w:rsid w:val="00C544E2"/>
    <w:rsid w:val="00C61FB1"/>
    <w:rsid w:val="00C663A5"/>
    <w:rsid w:val="00C66B12"/>
    <w:rsid w:val="00C779DA"/>
    <w:rsid w:val="00C85130"/>
    <w:rsid w:val="00C975EF"/>
    <w:rsid w:val="00CC39A5"/>
    <w:rsid w:val="00CC7324"/>
    <w:rsid w:val="00CD076A"/>
    <w:rsid w:val="00CF5193"/>
    <w:rsid w:val="00D03809"/>
    <w:rsid w:val="00D111F8"/>
    <w:rsid w:val="00D1744B"/>
    <w:rsid w:val="00D24847"/>
    <w:rsid w:val="00D27DCB"/>
    <w:rsid w:val="00D33F44"/>
    <w:rsid w:val="00D35302"/>
    <w:rsid w:val="00D51FC3"/>
    <w:rsid w:val="00D54367"/>
    <w:rsid w:val="00D6011F"/>
    <w:rsid w:val="00D72D34"/>
    <w:rsid w:val="00D822E9"/>
    <w:rsid w:val="00DA0825"/>
    <w:rsid w:val="00DA3EBF"/>
    <w:rsid w:val="00DB26F1"/>
    <w:rsid w:val="00DB457A"/>
    <w:rsid w:val="00DD7574"/>
    <w:rsid w:val="00DE56A9"/>
    <w:rsid w:val="00E129F9"/>
    <w:rsid w:val="00E17FD8"/>
    <w:rsid w:val="00E21846"/>
    <w:rsid w:val="00E22DC1"/>
    <w:rsid w:val="00E31D48"/>
    <w:rsid w:val="00E36B8E"/>
    <w:rsid w:val="00E75F42"/>
    <w:rsid w:val="00E8769E"/>
    <w:rsid w:val="00E92C16"/>
    <w:rsid w:val="00E96C09"/>
    <w:rsid w:val="00EA31C2"/>
    <w:rsid w:val="00EA44D1"/>
    <w:rsid w:val="00EA5452"/>
    <w:rsid w:val="00EC0B98"/>
    <w:rsid w:val="00EE569C"/>
    <w:rsid w:val="00EF6F1F"/>
    <w:rsid w:val="00F156BD"/>
    <w:rsid w:val="00F16DF6"/>
    <w:rsid w:val="00F177B8"/>
    <w:rsid w:val="00F444F8"/>
    <w:rsid w:val="00F53EA5"/>
    <w:rsid w:val="00F63AF2"/>
    <w:rsid w:val="00F71C4B"/>
    <w:rsid w:val="00F72625"/>
    <w:rsid w:val="00F91E94"/>
    <w:rsid w:val="00F94E39"/>
    <w:rsid w:val="00FA7630"/>
    <w:rsid w:val="00FC34C8"/>
    <w:rsid w:val="00FE3A0B"/>
    <w:rsid w:val="00FF34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F0CAD0"/>
  <w15:docId w15:val="{AC8F6A97-201E-443E-A5B5-5F5204B8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55DF8"/>
    <w:rPr>
      <w:rFonts w:ascii="Times New Roman" w:hAnsi="Times New Roman" w:cs="Times New Roman"/>
      <w:sz w:val="24"/>
      <w:szCs w:val="24"/>
    </w:rPr>
  </w:style>
  <w:style w:type="paragraph" w:styleId="Nadpis1">
    <w:name w:val="heading 1"/>
    <w:basedOn w:val="Normlny"/>
    <w:link w:val="Nadpis1Char"/>
    <w:uiPriority w:val="9"/>
    <w:qFormat/>
    <w:rsid w:val="004F1872"/>
    <w:pPr>
      <w:spacing w:before="100" w:beforeAutospacing="1" w:after="100" w:afterAutospacing="1"/>
      <w:outlineLvl w:val="0"/>
    </w:pPr>
    <w:rPr>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4F1872"/>
    <w:rPr>
      <w:rFonts w:ascii="Times New Roman" w:hAnsi="Times New Roman" w:cs="Times New Roman"/>
      <w:b/>
      <w:bCs/>
      <w:kern w:val="36"/>
      <w:sz w:val="48"/>
      <w:szCs w:val="48"/>
    </w:rPr>
  </w:style>
  <w:style w:type="paragraph" w:styleId="Odsekzoznamu">
    <w:name w:val="List Paragraph"/>
    <w:basedOn w:val="Normlny"/>
    <w:link w:val="OdsekzoznamuChar"/>
    <w:uiPriority w:val="34"/>
    <w:qFormat/>
    <w:rsid w:val="00355DF8"/>
    <w:pPr>
      <w:ind w:left="720"/>
      <w:contextualSpacing/>
    </w:pPr>
  </w:style>
  <w:style w:type="character" w:styleId="Odkaznakomentr">
    <w:name w:val="annotation reference"/>
    <w:uiPriority w:val="99"/>
    <w:semiHidden/>
    <w:unhideWhenUsed/>
    <w:rsid w:val="002835DF"/>
    <w:rPr>
      <w:rFonts w:cs="Times New Roman"/>
      <w:sz w:val="16"/>
    </w:rPr>
  </w:style>
  <w:style w:type="paragraph" w:styleId="Textkomentra">
    <w:name w:val="annotation text"/>
    <w:basedOn w:val="Normlny"/>
    <w:link w:val="TextkomentraChar"/>
    <w:uiPriority w:val="99"/>
    <w:unhideWhenUsed/>
    <w:rsid w:val="002835DF"/>
    <w:rPr>
      <w:sz w:val="20"/>
      <w:szCs w:val="20"/>
    </w:rPr>
  </w:style>
  <w:style w:type="character" w:customStyle="1" w:styleId="TextkomentraChar">
    <w:name w:val="Text komentára Char"/>
    <w:link w:val="Textkomentra"/>
    <w:uiPriority w:val="99"/>
    <w:locked/>
    <w:rsid w:val="002835DF"/>
    <w:rPr>
      <w:rFonts w:ascii="Times New Roman" w:hAnsi="Times New Roman" w:cs="Times New Roman"/>
    </w:rPr>
  </w:style>
  <w:style w:type="paragraph" w:styleId="Predmetkomentra">
    <w:name w:val="annotation subject"/>
    <w:basedOn w:val="Textkomentra"/>
    <w:next w:val="Textkomentra"/>
    <w:link w:val="PredmetkomentraChar"/>
    <w:uiPriority w:val="99"/>
    <w:semiHidden/>
    <w:unhideWhenUsed/>
    <w:rsid w:val="002835DF"/>
    <w:rPr>
      <w:b/>
    </w:rPr>
  </w:style>
  <w:style w:type="character" w:customStyle="1" w:styleId="PredmetkomentraChar">
    <w:name w:val="Predmet komentára Char"/>
    <w:link w:val="Predmetkomentra"/>
    <w:uiPriority w:val="99"/>
    <w:semiHidden/>
    <w:locked/>
    <w:rsid w:val="002835DF"/>
    <w:rPr>
      <w:rFonts w:ascii="Times New Roman" w:hAnsi="Times New Roman" w:cs="Times New Roman"/>
      <w:b/>
    </w:rPr>
  </w:style>
  <w:style w:type="paragraph" w:styleId="Textbubliny">
    <w:name w:val="Balloon Text"/>
    <w:basedOn w:val="Normlny"/>
    <w:link w:val="TextbublinyChar"/>
    <w:uiPriority w:val="99"/>
    <w:semiHidden/>
    <w:unhideWhenUsed/>
    <w:rsid w:val="002835DF"/>
    <w:rPr>
      <w:rFonts w:ascii="Tahoma" w:hAnsi="Tahoma"/>
      <w:sz w:val="16"/>
      <w:szCs w:val="20"/>
    </w:rPr>
  </w:style>
  <w:style w:type="character" w:customStyle="1" w:styleId="TextbublinyChar">
    <w:name w:val="Text bubliny Char"/>
    <w:link w:val="Textbubliny"/>
    <w:uiPriority w:val="99"/>
    <w:semiHidden/>
    <w:locked/>
    <w:rsid w:val="002835DF"/>
    <w:rPr>
      <w:rFonts w:ascii="Tahoma" w:hAnsi="Tahoma" w:cs="Times New Roman"/>
      <w:sz w:val="16"/>
    </w:rPr>
  </w:style>
  <w:style w:type="paragraph" w:styleId="Textpoznmkypodiarou">
    <w:name w:val="footnote text"/>
    <w:basedOn w:val="Normlny"/>
    <w:link w:val="TextpoznmkypodiarouChar"/>
    <w:uiPriority w:val="99"/>
    <w:semiHidden/>
    <w:unhideWhenUsed/>
    <w:rsid w:val="00315A87"/>
    <w:rPr>
      <w:sz w:val="20"/>
      <w:szCs w:val="20"/>
    </w:rPr>
  </w:style>
  <w:style w:type="character" w:customStyle="1" w:styleId="TextpoznmkypodiarouChar">
    <w:name w:val="Text poznámky pod čiarou Char"/>
    <w:link w:val="Textpoznmkypodiarou"/>
    <w:uiPriority w:val="99"/>
    <w:semiHidden/>
    <w:locked/>
    <w:rsid w:val="00315A87"/>
    <w:rPr>
      <w:rFonts w:ascii="Times New Roman" w:hAnsi="Times New Roman" w:cs="Times New Roman"/>
    </w:rPr>
  </w:style>
  <w:style w:type="character" w:styleId="Odkaznapoznmkupodiarou">
    <w:name w:val="footnote reference"/>
    <w:uiPriority w:val="99"/>
    <w:semiHidden/>
    <w:unhideWhenUsed/>
    <w:rsid w:val="00315A87"/>
    <w:rPr>
      <w:rFonts w:cs="Times New Roman"/>
      <w:vertAlign w:val="superscript"/>
    </w:rPr>
  </w:style>
  <w:style w:type="paragraph" w:styleId="Revzia">
    <w:name w:val="Revision"/>
    <w:hidden/>
    <w:uiPriority w:val="99"/>
    <w:semiHidden/>
    <w:rsid w:val="00972F78"/>
    <w:rPr>
      <w:rFonts w:ascii="Times New Roman" w:hAnsi="Times New Roman" w:cs="Times New Roman"/>
      <w:sz w:val="24"/>
      <w:szCs w:val="24"/>
    </w:rPr>
  </w:style>
  <w:style w:type="character" w:customStyle="1" w:styleId="h1a">
    <w:name w:val="h1a"/>
    <w:rsid w:val="004F1872"/>
  </w:style>
  <w:style w:type="paragraph" w:styleId="Normlnywebov">
    <w:name w:val="Normal (Web)"/>
    <w:basedOn w:val="Normlny"/>
    <w:uiPriority w:val="99"/>
    <w:unhideWhenUsed/>
    <w:rsid w:val="004F1872"/>
    <w:pPr>
      <w:spacing w:before="100" w:beforeAutospacing="1" w:after="100" w:afterAutospacing="1"/>
    </w:pPr>
  </w:style>
  <w:style w:type="character" w:styleId="Hypertextovprepojenie">
    <w:name w:val="Hyperlink"/>
    <w:uiPriority w:val="99"/>
    <w:unhideWhenUsed/>
    <w:rsid w:val="004F1872"/>
    <w:rPr>
      <w:color w:val="0000FF"/>
      <w:u w:val="single"/>
    </w:rPr>
  </w:style>
  <w:style w:type="character" w:styleId="PremennHTML">
    <w:name w:val="HTML Variable"/>
    <w:uiPriority w:val="99"/>
    <w:unhideWhenUsed/>
    <w:rsid w:val="00376567"/>
    <w:rPr>
      <w:i/>
    </w:rPr>
  </w:style>
  <w:style w:type="paragraph" w:customStyle="1" w:styleId="Default">
    <w:name w:val="Default"/>
    <w:rsid w:val="000222C7"/>
    <w:pPr>
      <w:widowControl w:val="0"/>
      <w:suppressAutoHyphens/>
      <w:autoSpaceDE w:val="0"/>
    </w:pPr>
    <w:rPr>
      <w:rFonts w:ascii="Liberation Serif" w:hAnsi="Liberation Serif" w:cs="Liberation Serif"/>
      <w:color w:val="000000"/>
      <w:kern w:val="1"/>
      <w:sz w:val="24"/>
      <w:szCs w:val="24"/>
      <w:lang w:eastAsia="zh-CN" w:bidi="hi-IN"/>
    </w:rPr>
  </w:style>
  <w:style w:type="paragraph" w:styleId="Nzov">
    <w:name w:val="Title"/>
    <w:basedOn w:val="Normlny"/>
    <w:link w:val="NzovChar"/>
    <w:qFormat/>
    <w:rsid w:val="009E3459"/>
    <w:pPr>
      <w:widowControl w:val="0"/>
      <w:autoSpaceDE w:val="0"/>
      <w:autoSpaceDN w:val="0"/>
      <w:adjustRightInd w:val="0"/>
      <w:jc w:val="center"/>
    </w:pPr>
    <w:rPr>
      <w:b/>
      <w:sz w:val="26"/>
      <w:szCs w:val="20"/>
    </w:rPr>
  </w:style>
  <w:style w:type="character" w:customStyle="1" w:styleId="NzovChar">
    <w:name w:val="Názov Char"/>
    <w:basedOn w:val="Predvolenpsmoodseku"/>
    <w:link w:val="Nzov"/>
    <w:rsid w:val="009E3459"/>
    <w:rPr>
      <w:rFonts w:ascii="Times New Roman" w:hAnsi="Times New Roman" w:cs="Times New Roman"/>
      <w:b/>
      <w:sz w:val="26"/>
    </w:rPr>
  </w:style>
  <w:style w:type="character" w:customStyle="1" w:styleId="OdsekzoznamuChar">
    <w:name w:val="Odsek zoznamu Char"/>
    <w:basedOn w:val="Predvolenpsmoodseku"/>
    <w:link w:val="Odsekzoznamu"/>
    <w:uiPriority w:val="34"/>
    <w:rsid w:val="009E345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670">
      <w:marLeft w:val="0"/>
      <w:marRight w:val="0"/>
      <w:marTop w:val="0"/>
      <w:marBottom w:val="0"/>
      <w:divBdr>
        <w:top w:val="none" w:sz="0" w:space="0" w:color="auto"/>
        <w:left w:val="none" w:sz="0" w:space="0" w:color="auto"/>
        <w:bottom w:val="none" w:sz="0" w:space="0" w:color="auto"/>
        <w:right w:val="none" w:sz="0" w:space="0" w:color="auto"/>
      </w:divBdr>
    </w:div>
    <w:div w:id="43214671">
      <w:marLeft w:val="0"/>
      <w:marRight w:val="0"/>
      <w:marTop w:val="0"/>
      <w:marBottom w:val="0"/>
      <w:divBdr>
        <w:top w:val="none" w:sz="0" w:space="0" w:color="auto"/>
        <w:left w:val="none" w:sz="0" w:space="0" w:color="auto"/>
        <w:bottom w:val="none" w:sz="0" w:space="0" w:color="auto"/>
        <w:right w:val="none" w:sz="0" w:space="0" w:color="auto"/>
      </w:divBdr>
      <w:divsChild>
        <w:div w:id="43214674">
          <w:marLeft w:val="0"/>
          <w:marRight w:val="0"/>
          <w:marTop w:val="0"/>
          <w:marBottom w:val="0"/>
          <w:divBdr>
            <w:top w:val="none" w:sz="0" w:space="0" w:color="auto"/>
            <w:left w:val="none" w:sz="0" w:space="0" w:color="auto"/>
            <w:bottom w:val="none" w:sz="0" w:space="0" w:color="auto"/>
            <w:right w:val="none" w:sz="0" w:space="0" w:color="auto"/>
          </w:divBdr>
        </w:div>
      </w:divsChild>
    </w:div>
    <w:div w:id="43214672">
      <w:marLeft w:val="0"/>
      <w:marRight w:val="0"/>
      <w:marTop w:val="0"/>
      <w:marBottom w:val="0"/>
      <w:divBdr>
        <w:top w:val="none" w:sz="0" w:space="0" w:color="auto"/>
        <w:left w:val="none" w:sz="0" w:space="0" w:color="auto"/>
        <w:bottom w:val="none" w:sz="0" w:space="0" w:color="auto"/>
        <w:right w:val="none" w:sz="0" w:space="0" w:color="auto"/>
      </w:divBdr>
      <w:divsChild>
        <w:div w:id="43214675">
          <w:marLeft w:val="0"/>
          <w:marRight w:val="0"/>
          <w:marTop w:val="0"/>
          <w:marBottom w:val="0"/>
          <w:divBdr>
            <w:top w:val="none" w:sz="0" w:space="0" w:color="auto"/>
            <w:left w:val="none" w:sz="0" w:space="0" w:color="auto"/>
            <w:bottom w:val="none" w:sz="0" w:space="0" w:color="auto"/>
            <w:right w:val="none" w:sz="0" w:space="0" w:color="auto"/>
          </w:divBdr>
        </w:div>
      </w:divsChild>
    </w:div>
    <w:div w:id="43214673">
      <w:marLeft w:val="0"/>
      <w:marRight w:val="0"/>
      <w:marTop w:val="0"/>
      <w:marBottom w:val="0"/>
      <w:divBdr>
        <w:top w:val="none" w:sz="0" w:space="0" w:color="auto"/>
        <w:left w:val="none" w:sz="0" w:space="0" w:color="auto"/>
        <w:bottom w:val="none" w:sz="0" w:space="0" w:color="auto"/>
        <w:right w:val="none" w:sz="0" w:space="0" w:color="auto"/>
      </w:divBdr>
    </w:div>
    <w:div w:id="292635219">
      <w:bodyDiv w:val="1"/>
      <w:marLeft w:val="0"/>
      <w:marRight w:val="0"/>
      <w:marTop w:val="0"/>
      <w:marBottom w:val="0"/>
      <w:divBdr>
        <w:top w:val="none" w:sz="0" w:space="0" w:color="auto"/>
        <w:left w:val="none" w:sz="0" w:space="0" w:color="auto"/>
        <w:bottom w:val="none" w:sz="0" w:space="0" w:color="auto"/>
        <w:right w:val="none" w:sz="0" w:space="0" w:color="auto"/>
      </w:divBdr>
      <w:divsChild>
        <w:div w:id="291374744">
          <w:marLeft w:val="0"/>
          <w:marRight w:val="0"/>
          <w:marTop w:val="0"/>
          <w:marBottom w:val="0"/>
          <w:divBdr>
            <w:top w:val="none" w:sz="0" w:space="0" w:color="auto"/>
            <w:left w:val="none" w:sz="0" w:space="0" w:color="auto"/>
            <w:bottom w:val="none" w:sz="0" w:space="0" w:color="auto"/>
            <w:right w:val="none" w:sz="0" w:space="0" w:color="auto"/>
          </w:divBdr>
        </w:div>
      </w:divsChild>
    </w:div>
    <w:div w:id="620769490">
      <w:bodyDiv w:val="1"/>
      <w:marLeft w:val="0"/>
      <w:marRight w:val="0"/>
      <w:marTop w:val="0"/>
      <w:marBottom w:val="0"/>
      <w:divBdr>
        <w:top w:val="none" w:sz="0" w:space="0" w:color="auto"/>
        <w:left w:val="none" w:sz="0" w:space="0" w:color="auto"/>
        <w:bottom w:val="none" w:sz="0" w:space="0" w:color="auto"/>
        <w:right w:val="none" w:sz="0" w:space="0" w:color="auto"/>
      </w:divBdr>
      <w:divsChild>
        <w:div w:id="1494954253">
          <w:marLeft w:val="0"/>
          <w:marRight w:val="0"/>
          <w:marTop w:val="0"/>
          <w:marBottom w:val="0"/>
          <w:divBdr>
            <w:top w:val="none" w:sz="0" w:space="0" w:color="auto"/>
            <w:left w:val="none" w:sz="0" w:space="0" w:color="auto"/>
            <w:bottom w:val="none" w:sz="0" w:space="0" w:color="auto"/>
            <w:right w:val="none" w:sz="0" w:space="0" w:color="auto"/>
          </w:divBdr>
        </w:div>
        <w:div w:id="1544639368">
          <w:marLeft w:val="0"/>
          <w:marRight w:val="0"/>
          <w:marTop w:val="0"/>
          <w:marBottom w:val="0"/>
          <w:divBdr>
            <w:top w:val="none" w:sz="0" w:space="0" w:color="auto"/>
            <w:left w:val="none" w:sz="0" w:space="0" w:color="auto"/>
            <w:bottom w:val="none" w:sz="0" w:space="0" w:color="auto"/>
            <w:right w:val="none" w:sz="0" w:space="0" w:color="auto"/>
          </w:divBdr>
        </w:div>
      </w:divsChild>
    </w:div>
    <w:div w:id="649361376">
      <w:bodyDiv w:val="1"/>
      <w:marLeft w:val="0"/>
      <w:marRight w:val="0"/>
      <w:marTop w:val="0"/>
      <w:marBottom w:val="0"/>
      <w:divBdr>
        <w:top w:val="none" w:sz="0" w:space="0" w:color="auto"/>
        <w:left w:val="none" w:sz="0" w:space="0" w:color="auto"/>
        <w:bottom w:val="none" w:sz="0" w:space="0" w:color="auto"/>
        <w:right w:val="none" w:sz="0" w:space="0" w:color="auto"/>
      </w:divBdr>
      <w:divsChild>
        <w:div w:id="1188182526">
          <w:marLeft w:val="0"/>
          <w:marRight w:val="0"/>
          <w:marTop w:val="0"/>
          <w:marBottom w:val="0"/>
          <w:divBdr>
            <w:top w:val="none" w:sz="0" w:space="0" w:color="auto"/>
            <w:left w:val="none" w:sz="0" w:space="0" w:color="auto"/>
            <w:bottom w:val="none" w:sz="0" w:space="0" w:color="auto"/>
            <w:right w:val="none" w:sz="0" w:space="0" w:color="auto"/>
          </w:divBdr>
        </w:div>
        <w:div w:id="1286500624">
          <w:marLeft w:val="0"/>
          <w:marRight w:val="0"/>
          <w:marTop w:val="0"/>
          <w:marBottom w:val="0"/>
          <w:divBdr>
            <w:top w:val="none" w:sz="0" w:space="0" w:color="auto"/>
            <w:left w:val="none" w:sz="0" w:space="0" w:color="auto"/>
            <w:bottom w:val="none" w:sz="0" w:space="0" w:color="auto"/>
            <w:right w:val="none" w:sz="0" w:space="0" w:color="auto"/>
          </w:divBdr>
        </w:div>
      </w:divsChild>
    </w:div>
    <w:div w:id="824709259">
      <w:bodyDiv w:val="1"/>
      <w:marLeft w:val="0"/>
      <w:marRight w:val="0"/>
      <w:marTop w:val="0"/>
      <w:marBottom w:val="0"/>
      <w:divBdr>
        <w:top w:val="none" w:sz="0" w:space="0" w:color="auto"/>
        <w:left w:val="none" w:sz="0" w:space="0" w:color="auto"/>
        <w:bottom w:val="none" w:sz="0" w:space="0" w:color="auto"/>
        <w:right w:val="none" w:sz="0" w:space="0" w:color="auto"/>
      </w:divBdr>
      <w:divsChild>
        <w:div w:id="636686669">
          <w:marLeft w:val="0"/>
          <w:marRight w:val="0"/>
          <w:marTop w:val="0"/>
          <w:marBottom w:val="0"/>
          <w:divBdr>
            <w:top w:val="none" w:sz="0" w:space="0" w:color="auto"/>
            <w:left w:val="none" w:sz="0" w:space="0" w:color="auto"/>
            <w:bottom w:val="none" w:sz="0" w:space="0" w:color="auto"/>
            <w:right w:val="none" w:sz="0" w:space="0" w:color="auto"/>
          </w:divBdr>
        </w:div>
      </w:divsChild>
    </w:div>
    <w:div w:id="1067924626">
      <w:bodyDiv w:val="1"/>
      <w:marLeft w:val="0"/>
      <w:marRight w:val="0"/>
      <w:marTop w:val="0"/>
      <w:marBottom w:val="0"/>
      <w:divBdr>
        <w:top w:val="none" w:sz="0" w:space="0" w:color="auto"/>
        <w:left w:val="none" w:sz="0" w:space="0" w:color="auto"/>
        <w:bottom w:val="none" w:sz="0" w:space="0" w:color="auto"/>
        <w:right w:val="none" w:sz="0" w:space="0" w:color="auto"/>
      </w:divBdr>
      <w:divsChild>
        <w:div w:id="1152216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5E46A-D532-4EE2-AC73-B4699798A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2168</Words>
  <Characters>12360</Characters>
  <Application>Microsoft Office Word</Application>
  <DocSecurity>0</DocSecurity>
  <Lines>103</Lines>
  <Paragraphs>28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Kancelaria NR SR</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Meszaros</dc:creator>
  <cp:lastModifiedBy>Beluský, Martin</cp:lastModifiedBy>
  <cp:revision>64</cp:revision>
  <cp:lastPrinted>2021-08-30T09:47:00Z</cp:lastPrinted>
  <dcterms:created xsi:type="dcterms:W3CDTF">2019-08-22T16:32:00Z</dcterms:created>
  <dcterms:modified xsi:type="dcterms:W3CDTF">2021-09-29T06:31:00Z</dcterms:modified>
</cp:coreProperties>
</file>