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4C" w:rsidRPr="00CE140F" w:rsidRDefault="009C154C" w:rsidP="009C154C">
      <w:pPr>
        <w:rPr>
          <w:rFonts w:ascii="Times New Roman" w:hAnsi="Times New Roman" w:cs="Times New Roman"/>
          <w:sz w:val="20"/>
          <w:szCs w:val="20"/>
        </w:rPr>
      </w:pPr>
    </w:p>
    <w:p w:rsidR="009C154C" w:rsidRPr="00CE140F" w:rsidRDefault="009C154C" w:rsidP="00624FD1">
      <w:pPr>
        <w:spacing w:after="0" w:line="240" w:lineRule="auto"/>
        <w:jc w:val="center"/>
        <w:rPr>
          <w:rFonts w:ascii="Times New Roman" w:eastAsia="Times New Roman" w:hAnsi="Times New Roman" w:cs="Times New Roman"/>
          <w:b/>
          <w:caps/>
          <w:sz w:val="20"/>
          <w:szCs w:val="20"/>
          <w:lang w:eastAsia="sk-SK"/>
        </w:rPr>
      </w:pPr>
      <w:r w:rsidRPr="00CE140F">
        <w:rPr>
          <w:rFonts w:ascii="Times New Roman" w:eastAsia="Times New Roman" w:hAnsi="Times New Roman" w:cs="Times New Roman"/>
          <w:b/>
          <w:caps/>
          <w:sz w:val="20"/>
          <w:szCs w:val="20"/>
          <w:lang w:eastAsia="sk-SK"/>
        </w:rPr>
        <w:t>Tabuľka zhody</w:t>
      </w:r>
    </w:p>
    <w:p w:rsidR="009C154C" w:rsidRPr="00CE140F" w:rsidRDefault="00624FD1" w:rsidP="00624FD1">
      <w:pPr>
        <w:pStyle w:val="Zarkazkladnhotextu2"/>
        <w:spacing w:before="0" w:line="240" w:lineRule="auto"/>
        <w:ind w:firstLine="0"/>
        <w:jc w:val="center"/>
        <w:rPr>
          <w:b/>
          <w:color w:val="FF0000"/>
          <w:sz w:val="20"/>
        </w:rPr>
      </w:pPr>
      <w:r w:rsidRPr="00CE140F">
        <w:rPr>
          <w:b/>
          <w:sz w:val="20"/>
        </w:rPr>
        <w:t>n</w:t>
      </w:r>
      <w:r w:rsidR="009C154C" w:rsidRPr="00CE140F">
        <w:rPr>
          <w:b/>
          <w:sz w:val="20"/>
        </w:rPr>
        <w:t>ávrh</w:t>
      </w:r>
      <w:r w:rsidRPr="00CE140F">
        <w:rPr>
          <w:b/>
          <w:sz w:val="20"/>
        </w:rPr>
        <w:t>u</w:t>
      </w:r>
      <w:r w:rsidR="009C154C" w:rsidRPr="00CE140F">
        <w:rPr>
          <w:b/>
          <w:sz w:val="20"/>
        </w:rPr>
        <w:t xml:space="preserve"> </w:t>
      </w:r>
      <w:r w:rsidRPr="00CE140F">
        <w:rPr>
          <w:b/>
          <w:sz w:val="20"/>
        </w:rPr>
        <w:t>zákona s</w:t>
      </w:r>
      <w:r w:rsidR="009C154C" w:rsidRPr="00CE140F">
        <w:rPr>
          <w:b/>
          <w:sz w:val="20"/>
        </w:rPr>
        <w:t> p</w:t>
      </w:r>
      <w:r w:rsidRPr="00CE140F">
        <w:rPr>
          <w:b/>
          <w:sz w:val="20"/>
        </w:rPr>
        <w:t>rávom</w:t>
      </w:r>
      <w:r w:rsidR="009C154C" w:rsidRPr="00CE140F">
        <w:rPr>
          <w:b/>
          <w:sz w:val="20"/>
        </w:rPr>
        <w:t> Európskej únie</w:t>
      </w:r>
    </w:p>
    <w:p w:rsidR="009C154C" w:rsidRPr="00CE140F" w:rsidRDefault="009C154C" w:rsidP="009C154C">
      <w:pPr>
        <w:jc w:val="center"/>
        <w:rPr>
          <w:rFonts w:ascii="Times New Roman" w:hAnsi="Times New Roman" w:cs="Times New Roman"/>
          <w:sz w:val="20"/>
          <w:szCs w:val="20"/>
        </w:rPr>
      </w:pPr>
    </w:p>
    <w:tbl>
      <w:tblPr>
        <w:tblStyle w:val="Mriekatabuky"/>
        <w:tblW w:w="15985" w:type="dxa"/>
        <w:tblInd w:w="-743" w:type="dxa"/>
        <w:tblLayout w:type="fixed"/>
        <w:tblLook w:val="04A0" w:firstRow="1" w:lastRow="0" w:firstColumn="1" w:lastColumn="0" w:noHBand="0" w:noVBand="1"/>
      </w:tblPr>
      <w:tblGrid>
        <w:gridCol w:w="819"/>
        <w:gridCol w:w="6836"/>
        <w:gridCol w:w="596"/>
        <w:gridCol w:w="567"/>
        <w:gridCol w:w="851"/>
        <w:gridCol w:w="5528"/>
        <w:gridCol w:w="396"/>
        <w:gridCol w:w="392"/>
      </w:tblGrid>
      <w:tr w:rsidR="00624FD1" w:rsidRPr="00CE140F" w:rsidTr="00066BA8">
        <w:trPr>
          <w:trHeight w:val="1542"/>
        </w:trPr>
        <w:tc>
          <w:tcPr>
            <w:tcW w:w="7655" w:type="dxa"/>
            <w:gridSpan w:val="2"/>
          </w:tcPr>
          <w:p w:rsidR="00064A46" w:rsidRPr="002A480C" w:rsidRDefault="00A707DB" w:rsidP="00113EF0">
            <w:pPr>
              <w:spacing w:after="0" w:line="240" w:lineRule="auto"/>
              <w:jc w:val="both"/>
            </w:pPr>
            <w:proofErr w:type="spellStart"/>
            <w:r w:rsidRPr="002A480C">
              <w:rPr>
                <w:rFonts w:eastAsia="Segoe UI"/>
                <w:shd w:val="clear" w:color="auto" w:fill="FFFFFF"/>
                <w:lang w:val="en-US" w:eastAsia="zh-CN" w:bidi="ar"/>
              </w:rPr>
              <w:t>Smernica</w:t>
            </w:r>
            <w:proofErr w:type="spellEnd"/>
            <w:r w:rsidRPr="002A480C">
              <w:rPr>
                <w:rFonts w:eastAsia="Segoe UI"/>
                <w:shd w:val="clear" w:color="auto" w:fill="FFFFFF"/>
                <w:lang w:val="en-US" w:eastAsia="zh-CN" w:bidi="ar"/>
              </w:rPr>
              <w:t xml:space="preserve"> 2000/60/ES </w:t>
            </w:r>
            <w:proofErr w:type="spellStart"/>
            <w:r w:rsidRPr="002A480C">
              <w:rPr>
                <w:rFonts w:eastAsia="Segoe UI"/>
                <w:shd w:val="clear" w:color="auto" w:fill="FFFFFF"/>
                <w:lang w:val="en-US" w:eastAsia="zh-CN" w:bidi="ar"/>
              </w:rPr>
              <w:t>Európskeho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parlamentu</w:t>
            </w:r>
            <w:proofErr w:type="spellEnd"/>
            <w:r w:rsidRPr="002A480C">
              <w:rPr>
                <w:rFonts w:eastAsia="Segoe UI"/>
                <w:shd w:val="clear" w:color="auto" w:fill="FFFFFF"/>
                <w:lang w:val="en-US" w:eastAsia="zh-CN" w:bidi="ar"/>
              </w:rPr>
              <w:t xml:space="preserve"> a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z 23. </w:t>
            </w:r>
            <w:proofErr w:type="spellStart"/>
            <w:r w:rsidRPr="002A480C">
              <w:rPr>
                <w:rFonts w:eastAsia="Segoe UI"/>
                <w:shd w:val="clear" w:color="auto" w:fill="FFFFFF"/>
                <w:lang w:val="en-US" w:eastAsia="zh-CN" w:bidi="ar"/>
              </w:rPr>
              <w:t>októbra</w:t>
            </w:r>
            <w:proofErr w:type="spellEnd"/>
            <w:r w:rsidRPr="002A480C">
              <w:rPr>
                <w:rFonts w:eastAsia="Segoe UI"/>
                <w:shd w:val="clear" w:color="auto" w:fill="FFFFFF"/>
                <w:lang w:val="en-US" w:eastAsia="zh-CN" w:bidi="ar"/>
              </w:rPr>
              <w:t xml:space="preserve"> 2000, </w:t>
            </w:r>
            <w:proofErr w:type="spellStart"/>
            <w:r w:rsidRPr="002A480C">
              <w:rPr>
                <w:rFonts w:eastAsia="Segoe UI"/>
                <w:shd w:val="clear" w:color="auto" w:fill="FFFFFF"/>
                <w:lang w:val="en-US" w:eastAsia="zh-CN" w:bidi="ar"/>
              </w:rPr>
              <w:t>ktorou</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sa</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ustanovuje</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rámec</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pôsobnosti</w:t>
            </w:r>
            <w:proofErr w:type="spellEnd"/>
            <w:r w:rsidRPr="002A480C">
              <w:rPr>
                <w:rFonts w:eastAsia="Segoe UI"/>
                <w:shd w:val="clear" w:color="auto" w:fill="FFFFFF"/>
                <w:lang w:val="en-US" w:eastAsia="zh-CN" w:bidi="ar"/>
              </w:rPr>
              <w:t xml:space="preserve"> pre </w:t>
            </w:r>
            <w:proofErr w:type="spellStart"/>
            <w:r w:rsidRPr="002A480C">
              <w:rPr>
                <w:rFonts w:eastAsia="Segoe UI"/>
                <w:shd w:val="clear" w:color="auto" w:fill="FFFFFF"/>
                <w:lang w:val="en-US" w:eastAsia="zh-CN" w:bidi="ar"/>
              </w:rPr>
              <w:t>opatrenia</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spoločenstva</w:t>
            </w:r>
            <w:proofErr w:type="spellEnd"/>
            <w:r w:rsidRPr="002A480C">
              <w:rPr>
                <w:rFonts w:eastAsia="Segoe UI"/>
                <w:shd w:val="clear" w:color="auto" w:fill="FFFFFF"/>
                <w:lang w:val="en-US" w:eastAsia="zh-CN" w:bidi="ar"/>
              </w:rPr>
              <w:t xml:space="preserve"> v </w:t>
            </w:r>
            <w:proofErr w:type="spellStart"/>
            <w:r w:rsidRPr="002A480C">
              <w:rPr>
                <w:rFonts w:eastAsia="Segoe UI"/>
                <w:shd w:val="clear" w:color="auto" w:fill="FFFFFF"/>
                <w:lang w:val="en-US" w:eastAsia="zh-CN" w:bidi="ar"/>
              </w:rPr>
              <w:t>oblasti</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vodného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hospodárstva</w:t>
            </w:r>
            <w:proofErr w:type="spellEnd"/>
            <w:r w:rsidRPr="002A480C">
              <w:rPr>
                <w:rFonts w:eastAsia="Segoe UI"/>
                <w:shd w:val="clear" w:color="auto" w:fill="FFFFFF"/>
                <w:lang w:val="en-US" w:eastAsia="zh-CN" w:bidi="ar"/>
              </w:rPr>
              <w:t xml:space="preserve"> (Ú. v. ES L 327, 22. 12. 2000</w:t>
            </w:r>
            <w:r w:rsidRPr="002A480C">
              <w:rPr>
                <w:rFonts w:eastAsia="Segoe UI"/>
                <w:shd w:val="clear" w:color="auto" w:fill="FFFFFF"/>
                <w:lang w:eastAsia="zh-CN" w:bidi="ar"/>
              </w:rPr>
              <w:t xml:space="preserve">; Mimoriadne </w:t>
            </w:r>
            <w:proofErr w:type="gramStart"/>
            <w:r w:rsidRPr="002A480C">
              <w:rPr>
                <w:rFonts w:eastAsia="Segoe UI"/>
                <w:shd w:val="clear" w:color="auto" w:fill="FFFFFF"/>
                <w:lang w:eastAsia="zh-CN" w:bidi="ar"/>
              </w:rPr>
              <w:t xml:space="preserve">vydanie </w:t>
            </w:r>
            <w:r w:rsidRPr="002A480C">
              <w:t xml:space="preserve"> Ú.</w:t>
            </w:r>
            <w:proofErr w:type="gramEnd"/>
            <w:r w:rsidRPr="002A480C">
              <w:t xml:space="preserve"> v. EÚ, kap. 15/zv. 5</w:t>
            </w:r>
            <w:r w:rsidRPr="002A480C">
              <w:rPr>
                <w:rFonts w:eastAsia="Segoe UI"/>
                <w:shd w:val="clear" w:color="auto" w:fill="FFFFFF"/>
                <w:lang w:val="en-US" w:eastAsia="zh-CN" w:bidi="ar"/>
              </w:rPr>
              <w:t xml:space="preserve">) v </w:t>
            </w:r>
            <w:proofErr w:type="spellStart"/>
            <w:r w:rsidRPr="002A480C">
              <w:rPr>
                <w:rFonts w:eastAsia="Segoe UI"/>
                <w:shd w:val="clear" w:color="auto" w:fill="FFFFFF"/>
                <w:lang w:val="en-US" w:eastAsia="zh-CN" w:bidi="ar"/>
              </w:rPr>
              <w:t>znení</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rozhodnutia</w:t>
            </w:r>
            <w:proofErr w:type="spellEnd"/>
            <w:r w:rsidRPr="002A480C">
              <w:rPr>
                <w:rFonts w:eastAsia="Segoe UI"/>
                <w:shd w:val="clear" w:color="auto" w:fill="FFFFFF"/>
                <w:lang w:val="en-US" w:eastAsia="zh-CN" w:bidi="ar"/>
              </w:rPr>
              <w:t xml:space="preserve"> č. 2455/2001/ES </w:t>
            </w:r>
            <w:proofErr w:type="spellStart"/>
            <w:r w:rsidRPr="002A480C">
              <w:rPr>
                <w:rFonts w:eastAsia="Segoe UI"/>
                <w:shd w:val="clear" w:color="auto" w:fill="FFFFFF"/>
                <w:lang w:val="en-US" w:eastAsia="zh-CN" w:bidi="ar"/>
              </w:rPr>
              <w:t>Európskeho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parlamentu</w:t>
            </w:r>
            <w:proofErr w:type="spellEnd"/>
            <w:r w:rsidRPr="002A480C">
              <w:rPr>
                <w:rFonts w:eastAsia="Segoe UI"/>
                <w:shd w:val="clear" w:color="auto" w:fill="FFFFFF"/>
                <w:lang w:val="en-US" w:eastAsia="zh-CN" w:bidi="ar"/>
              </w:rPr>
              <w:t xml:space="preserve"> a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z 20. </w:t>
            </w:r>
            <w:proofErr w:type="spellStart"/>
            <w:r w:rsidRPr="002A480C">
              <w:rPr>
                <w:rFonts w:eastAsia="Segoe UI"/>
                <w:shd w:val="clear" w:color="auto" w:fill="FFFFFF"/>
                <w:lang w:val="en-US" w:eastAsia="zh-CN" w:bidi="ar"/>
              </w:rPr>
              <w:t>novembra</w:t>
            </w:r>
            <w:proofErr w:type="spellEnd"/>
            <w:r w:rsidRPr="002A480C">
              <w:rPr>
                <w:rFonts w:eastAsia="Segoe UI"/>
                <w:shd w:val="clear" w:color="auto" w:fill="FFFFFF"/>
                <w:lang w:val="en-US" w:eastAsia="zh-CN" w:bidi="ar"/>
              </w:rPr>
              <w:t xml:space="preserve"> 2001 (Ú. v. ES L 331, 15. 12. 2001</w:t>
            </w:r>
            <w:r w:rsidRPr="002A480C">
              <w:rPr>
                <w:rFonts w:eastAsia="Segoe UI"/>
                <w:shd w:val="clear" w:color="auto" w:fill="FFFFFF"/>
                <w:lang w:eastAsia="zh-CN" w:bidi="ar"/>
              </w:rPr>
              <w:t>; Mimoriadne vydanie</w:t>
            </w:r>
            <w:r w:rsidRPr="002A480C">
              <w:t xml:space="preserve"> Ú. v. EÚ, kap. 15/zv. 6</w:t>
            </w:r>
            <w:r w:rsidRPr="002A480C">
              <w:rPr>
                <w:rFonts w:eastAsia="Segoe UI"/>
                <w:shd w:val="clear" w:color="auto" w:fill="FFFFFF"/>
                <w:lang w:val="en-US" w:eastAsia="zh-CN" w:bidi="ar"/>
              </w:rPr>
              <w:t xml:space="preserve">) v </w:t>
            </w:r>
            <w:proofErr w:type="spellStart"/>
            <w:r w:rsidRPr="002A480C">
              <w:rPr>
                <w:rFonts w:eastAsia="Segoe UI"/>
                <w:shd w:val="clear" w:color="auto" w:fill="FFFFFF"/>
                <w:lang w:val="en-US" w:eastAsia="zh-CN" w:bidi="ar"/>
              </w:rPr>
              <w:t>znení</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smernice</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Európskeho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parlamentu</w:t>
            </w:r>
            <w:proofErr w:type="spellEnd"/>
            <w:r w:rsidRPr="002A480C">
              <w:rPr>
                <w:rFonts w:eastAsia="Segoe UI"/>
                <w:shd w:val="clear" w:color="auto" w:fill="FFFFFF"/>
                <w:lang w:val="en-US" w:eastAsia="zh-CN" w:bidi="ar"/>
              </w:rPr>
              <w:t xml:space="preserve"> a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2008/32/ES z 11. </w:t>
            </w:r>
            <w:proofErr w:type="spellStart"/>
            <w:r w:rsidRPr="002A480C">
              <w:rPr>
                <w:rFonts w:eastAsia="Segoe UI"/>
                <w:shd w:val="clear" w:color="auto" w:fill="FFFFFF"/>
                <w:lang w:val="en-US" w:eastAsia="zh-CN" w:bidi="ar"/>
              </w:rPr>
              <w:t>marca</w:t>
            </w:r>
            <w:proofErr w:type="spellEnd"/>
            <w:r w:rsidRPr="002A480C">
              <w:rPr>
                <w:rFonts w:eastAsia="Segoe UI"/>
                <w:shd w:val="clear" w:color="auto" w:fill="FFFFFF"/>
                <w:lang w:val="en-US" w:eastAsia="zh-CN" w:bidi="ar"/>
              </w:rPr>
              <w:t xml:space="preserve"> 2008 (Ú. v. EÚ L 81, 20. 3. 2008) v </w:t>
            </w:r>
            <w:proofErr w:type="spellStart"/>
            <w:r w:rsidRPr="002A480C">
              <w:rPr>
                <w:rFonts w:eastAsia="Segoe UI"/>
                <w:shd w:val="clear" w:color="auto" w:fill="FFFFFF"/>
                <w:lang w:val="en-US" w:eastAsia="zh-CN" w:bidi="ar"/>
              </w:rPr>
              <w:t>znení</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smernice</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Európskeho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parlamentu</w:t>
            </w:r>
            <w:proofErr w:type="spellEnd"/>
            <w:r w:rsidRPr="002A480C">
              <w:rPr>
                <w:rFonts w:eastAsia="Segoe UI"/>
                <w:shd w:val="clear" w:color="auto" w:fill="FFFFFF"/>
                <w:lang w:val="en-US" w:eastAsia="zh-CN" w:bidi="ar"/>
              </w:rPr>
              <w:t xml:space="preserve"> a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2008/105/ES zo 16. </w:t>
            </w:r>
            <w:proofErr w:type="spellStart"/>
            <w:r w:rsidRPr="002A480C">
              <w:rPr>
                <w:rFonts w:eastAsia="Segoe UI"/>
                <w:shd w:val="clear" w:color="auto" w:fill="FFFFFF"/>
                <w:lang w:val="en-US" w:eastAsia="zh-CN" w:bidi="ar"/>
              </w:rPr>
              <w:t>decembra</w:t>
            </w:r>
            <w:proofErr w:type="spellEnd"/>
            <w:r w:rsidRPr="002A480C">
              <w:rPr>
                <w:rFonts w:eastAsia="Segoe UI"/>
                <w:shd w:val="clear" w:color="auto" w:fill="FFFFFF"/>
                <w:lang w:val="en-US" w:eastAsia="zh-CN" w:bidi="ar"/>
              </w:rPr>
              <w:t xml:space="preserve"> 2008 (Ú. v. EÚ L 348, 24. 12. 2008) v </w:t>
            </w:r>
            <w:proofErr w:type="spellStart"/>
            <w:r w:rsidRPr="002A480C">
              <w:rPr>
                <w:rFonts w:eastAsia="Segoe UI"/>
                <w:shd w:val="clear" w:color="auto" w:fill="FFFFFF"/>
                <w:lang w:val="en-US" w:eastAsia="zh-CN" w:bidi="ar"/>
              </w:rPr>
              <w:t>znení</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smernice</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Európskeho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parlamentu</w:t>
            </w:r>
            <w:proofErr w:type="spellEnd"/>
            <w:r w:rsidRPr="002A480C">
              <w:rPr>
                <w:rFonts w:eastAsia="Segoe UI"/>
                <w:shd w:val="clear" w:color="auto" w:fill="FFFFFF"/>
                <w:lang w:val="en-US" w:eastAsia="zh-CN" w:bidi="ar"/>
              </w:rPr>
              <w:t xml:space="preserve"> a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2009/31/ES z 23. </w:t>
            </w:r>
            <w:proofErr w:type="spellStart"/>
            <w:r w:rsidRPr="002A480C">
              <w:rPr>
                <w:rFonts w:eastAsia="Segoe UI"/>
                <w:shd w:val="clear" w:color="auto" w:fill="FFFFFF"/>
                <w:lang w:val="en-US" w:eastAsia="zh-CN" w:bidi="ar"/>
              </w:rPr>
              <w:t>apríla</w:t>
            </w:r>
            <w:proofErr w:type="spellEnd"/>
            <w:r w:rsidRPr="002A480C">
              <w:rPr>
                <w:rFonts w:eastAsia="Segoe UI"/>
                <w:shd w:val="clear" w:color="auto" w:fill="FFFFFF"/>
                <w:lang w:val="en-US" w:eastAsia="zh-CN" w:bidi="ar"/>
              </w:rPr>
              <w:t xml:space="preserve"> 2009 (Ú. v. EÚ L 140, 5. 6. 2009) v </w:t>
            </w:r>
            <w:proofErr w:type="spellStart"/>
            <w:r w:rsidRPr="002A480C">
              <w:rPr>
                <w:rFonts w:eastAsia="Segoe UI"/>
                <w:shd w:val="clear" w:color="auto" w:fill="FFFFFF"/>
                <w:lang w:val="en-US" w:eastAsia="zh-CN" w:bidi="ar"/>
              </w:rPr>
              <w:t>znení</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smernice</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Európskeho</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parlamentu</w:t>
            </w:r>
            <w:proofErr w:type="spellEnd"/>
            <w:r w:rsidRPr="002A480C">
              <w:rPr>
                <w:rFonts w:eastAsia="Segoe UI"/>
                <w:shd w:val="clear" w:color="auto" w:fill="FFFFFF"/>
                <w:lang w:val="en-US" w:eastAsia="zh-CN" w:bidi="ar"/>
              </w:rPr>
              <w:t xml:space="preserve"> a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2013/39/EÚ z 12. </w:t>
            </w:r>
            <w:proofErr w:type="spellStart"/>
            <w:r w:rsidRPr="002A480C">
              <w:rPr>
                <w:rFonts w:eastAsia="Segoe UI"/>
                <w:shd w:val="clear" w:color="auto" w:fill="FFFFFF"/>
                <w:lang w:val="en-US" w:eastAsia="zh-CN" w:bidi="ar"/>
              </w:rPr>
              <w:t>augusta</w:t>
            </w:r>
            <w:proofErr w:type="spellEnd"/>
            <w:r w:rsidRPr="002A480C">
              <w:rPr>
                <w:rFonts w:eastAsia="Segoe UI"/>
                <w:shd w:val="clear" w:color="auto" w:fill="FFFFFF"/>
                <w:lang w:val="en-US" w:eastAsia="zh-CN" w:bidi="ar"/>
              </w:rPr>
              <w:t xml:space="preserve"> 2013 (Ú. v. EÚ L 226, 24. 8. 2013) v </w:t>
            </w:r>
            <w:proofErr w:type="spellStart"/>
            <w:r w:rsidRPr="002A480C">
              <w:rPr>
                <w:rFonts w:eastAsia="Segoe UI"/>
                <w:shd w:val="clear" w:color="auto" w:fill="FFFFFF"/>
                <w:lang w:val="en-US" w:eastAsia="zh-CN" w:bidi="ar"/>
              </w:rPr>
              <w:t>znení</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smernice</w:t>
            </w:r>
            <w:proofErr w:type="spellEnd"/>
            <w:r w:rsidRPr="002A480C">
              <w:rPr>
                <w:rFonts w:eastAsia="Segoe UI"/>
                <w:shd w:val="clear" w:color="auto" w:fill="FFFFFF"/>
                <w:lang w:val="en-US" w:eastAsia="zh-CN" w:bidi="ar"/>
              </w:rPr>
              <w:t xml:space="preserve"> </w:t>
            </w:r>
            <w:proofErr w:type="spellStart"/>
            <w:r w:rsidRPr="002A480C">
              <w:rPr>
                <w:rFonts w:eastAsia="Segoe UI"/>
                <w:shd w:val="clear" w:color="auto" w:fill="FFFFFF"/>
                <w:lang w:val="en-US" w:eastAsia="zh-CN" w:bidi="ar"/>
              </w:rPr>
              <w:t>Rady</w:t>
            </w:r>
            <w:proofErr w:type="spellEnd"/>
            <w:r w:rsidRPr="002A480C">
              <w:rPr>
                <w:rFonts w:eastAsia="Segoe UI"/>
                <w:shd w:val="clear" w:color="auto" w:fill="FFFFFF"/>
                <w:lang w:val="en-US" w:eastAsia="zh-CN" w:bidi="ar"/>
              </w:rPr>
              <w:t xml:space="preserve"> 2013/64/EÚ zo 17. </w:t>
            </w:r>
            <w:proofErr w:type="spellStart"/>
            <w:r w:rsidRPr="002A480C">
              <w:rPr>
                <w:rFonts w:eastAsia="Segoe UI"/>
                <w:shd w:val="clear" w:color="auto" w:fill="FFFFFF"/>
                <w:lang w:val="en-US" w:eastAsia="zh-CN" w:bidi="ar"/>
              </w:rPr>
              <w:t>decembra</w:t>
            </w:r>
            <w:proofErr w:type="spellEnd"/>
            <w:r w:rsidRPr="002A480C">
              <w:rPr>
                <w:rFonts w:eastAsia="Segoe UI"/>
                <w:shd w:val="clear" w:color="auto" w:fill="FFFFFF"/>
                <w:lang w:val="en-US" w:eastAsia="zh-CN" w:bidi="ar"/>
              </w:rPr>
              <w:t xml:space="preserve"> 2013 (Ú. v. EÚ L 353, 28. 12. 2013)</w:t>
            </w:r>
            <w:r w:rsidR="00113EF0">
              <w:rPr>
                <w:rFonts w:eastAsia="Segoe UI"/>
                <w:shd w:val="clear" w:color="auto" w:fill="FFFFFF"/>
                <w:lang w:val="en-US" w:eastAsia="zh-CN" w:bidi="ar"/>
              </w:rPr>
              <w:t xml:space="preserve"> v </w:t>
            </w:r>
            <w:proofErr w:type="spellStart"/>
            <w:r w:rsidR="00113EF0">
              <w:rPr>
                <w:rFonts w:eastAsia="Segoe UI"/>
                <w:shd w:val="clear" w:color="auto" w:fill="FFFFFF"/>
                <w:lang w:val="en-US" w:eastAsia="zh-CN" w:bidi="ar"/>
              </w:rPr>
              <w:t>znení</w:t>
            </w:r>
            <w:proofErr w:type="spellEnd"/>
            <w:r w:rsidR="00113EF0">
              <w:rPr>
                <w:rFonts w:eastAsia="Segoe UI"/>
                <w:shd w:val="clear" w:color="auto" w:fill="FFFFFF"/>
                <w:lang w:val="en-US" w:eastAsia="zh-CN" w:bidi="ar"/>
              </w:rPr>
              <w:t xml:space="preserve"> </w:t>
            </w:r>
            <w:proofErr w:type="spellStart"/>
            <w:r w:rsidR="00113EF0">
              <w:rPr>
                <w:rFonts w:eastAsia="Segoe UI"/>
                <w:shd w:val="clear" w:color="auto" w:fill="FFFFFF"/>
                <w:lang w:val="en-US" w:eastAsia="zh-CN" w:bidi="ar"/>
              </w:rPr>
              <w:t>smernice</w:t>
            </w:r>
            <w:proofErr w:type="spellEnd"/>
            <w:r w:rsidR="00113EF0">
              <w:rPr>
                <w:rFonts w:eastAsia="Segoe UI"/>
                <w:shd w:val="clear" w:color="auto" w:fill="FFFFFF"/>
                <w:lang w:val="en-US" w:eastAsia="zh-CN" w:bidi="ar"/>
              </w:rPr>
              <w:t xml:space="preserve"> </w:t>
            </w:r>
            <w:proofErr w:type="spellStart"/>
            <w:r w:rsidR="00113EF0">
              <w:rPr>
                <w:rFonts w:eastAsia="Segoe UI"/>
                <w:shd w:val="clear" w:color="auto" w:fill="FFFFFF"/>
                <w:lang w:val="en-US" w:eastAsia="zh-CN" w:bidi="ar"/>
              </w:rPr>
              <w:t>Komisie</w:t>
            </w:r>
            <w:proofErr w:type="spellEnd"/>
            <w:r w:rsidR="00113EF0">
              <w:rPr>
                <w:rFonts w:eastAsia="Segoe UI"/>
                <w:shd w:val="clear" w:color="auto" w:fill="FFFFFF"/>
                <w:lang w:val="en-US" w:eastAsia="zh-CN" w:bidi="ar"/>
              </w:rPr>
              <w:t xml:space="preserve"> 2014/101/EÚ (Ú. v. EÚ L 311, 31. 10. 2014)</w:t>
            </w:r>
            <w:r w:rsidRPr="002A480C">
              <w:rPr>
                <w:rFonts w:eastAsia="Segoe UI"/>
                <w:shd w:val="clear" w:color="auto" w:fill="FFFFFF"/>
                <w:lang w:val="en-US" w:eastAsia="zh-CN" w:bidi="ar"/>
              </w:rPr>
              <w:t>.</w:t>
            </w:r>
          </w:p>
        </w:tc>
        <w:tc>
          <w:tcPr>
            <w:tcW w:w="596" w:type="dxa"/>
          </w:tcPr>
          <w:p w:rsidR="00624FD1" w:rsidRPr="00CE140F" w:rsidRDefault="00624FD1" w:rsidP="00481460">
            <w:pPr>
              <w:spacing w:after="0" w:line="240" w:lineRule="auto"/>
            </w:pPr>
          </w:p>
        </w:tc>
        <w:tc>
          <w:tcPr>
            <w:tcW w:w="567" w:type="dxa"/>
          </w:tcPr>
          <w:p w:rsidR="00624FD1" w:rsidRPr="00CE140F" w:rsidRDefault="00624FD1" w:rsidP="00481460">
            <w:pPr>
              <w:spacing w:after="0" w:line="240" w:lineRule="auto"/>
            </w:pPr>
          </w:p>
        </w:tc>
        <w:tc>
          <w:tcPr>
            <w:tcW w:w="851" w:type="dxa"/>
          </w:tcPr>
          <w:p w:rsidR="00624FD1" w:rsidRPr="00CE140F" w:rsidRDefault="00624FD1" w:rsidP="00481460">
            <w:pPr>
              <w:spacing w:after="0" w:line="240" w:lineRule="auto"/>
            </w:pPr>
          </w:p>
        </w:tc>
        <w:tc>
          <w:tcPr>
            <w:tcW w:w="5528" w:type="dxa"/>
          </w:tcPr>
          <w:p w:rsidR="00624FD1" w:rsidRPr="00CE140F" w:rsidRDefault="00AF011D" w:rsidP="00FD1A35">
            <w:pPr>
              <w:pStyle w:val="Zarkazkladnhotextu2"/>
              <w:spacing w:before="0" w:line="240" w:lineRule="auto"/>
              <w:ind w:firstLine="0"/>
              <w:rPr>
                <w:sz w:val="20"/>
              </w:rPr>
            </w:pPr>
            <w:r>
              <w:rPr>
                <w:b/>
                <w:sz w:val="20"/>
              </w:rPr>
              <w:t>N</w:t>
            </w:r>
            <w:r w:rsidR="00624FD1" w:rsidRPr="00CE140F">
              <w:rPr>
                <w:b/>
                <w:sz w:val="20"/>
              </w:rPr>
              <w:t>Z -</w:t>
            </w:r>
            <w:r w:rsidR="00624FD1" w:rsidRPr="00CE140F">
              <w:rPr>
                <w:sz w:val="20"/>
              </w:rPr>
              <w:t xml:space="preserve"> Návrh zákona, ktorým sa mení a dopĺňa zákon č. 442/2002 Z. z. o verejných vodovodoch a verejných kanalizáciách a o zmene a doplnení zákona č. 276/2001 Z. z. o regulácii v sieťových odvetviach v znení nesko</w:t>
            </w:r>
            <w:r w:rsidR="00064A46">
              <w:rPr>
                <w:sz w:val="20"/>
              </w:rPr>
              <w:t>rších predpisov a ktorým sa menia a dopĺňajú niektoré zákony</w:t>
            </w:r>
          </w:p>
          <w:p w:rsidR="00624FD1" w:rsidRPr="00CE140F" w:rsidRDefault="00624FD1" w:rsidP="00A707DB">
            <w:pPr>
              <w:spacing w:after="0" w:line="240" w:lineRule="auto"/>
              <w:jc w:val="both"/>
              <w:rPr>
                <w:b/>
              </w:rPr>
            </w:pPr>
          </w:p>
          <w:p w:rsidR="00624FD1" w:rsidRPr="00CE140F" w:rsidRDefault="00624FD1" w:rsidP="00FB1E24">
            <w:pPr>
              <w:spacing w:after="0" w:line="240" w:lineRule="auto"/>
              <w:ind w:hanging="11"/>
              <w:jc w:val="both"/>
            </w:pPr>
          </w:p>
        </w:tc>
        <w:tc>
          <w:tcPr>
            <w:tcW w:w="396" w:type="dxa"/>
          </w:tcPr>
          <w:p w:rsidR="00624FD1" w:rsidRPr="00CE140F" w:rsidRDefault="00624FD1" w:rsidP="00481460">
            <w:pPr>
              <w:spacing w:after="0" w:line="240" w:lineRule="auto"/>
            </w:pPr>
          </w:p>
        </w:tc>
        <w:tc>
          <w:tcPr>
            <w:tcW w:w="392" w:type="dxa"/>
          </w:tcPr>
          <w:p w:rsidR="00624FD1" w:rsidRPr="00CE140F" w:rsidRDefault="00624FD1" w:rsidP="00481460">
            <w:pPr>
              <w:spacing w:after="0" w:line="240" w:lineRule="auto"/>
            </w:pPr>
          </w:p>
        </w:tc>
      </w:tr>
      <w:tr w:rsidR="009C154C" w:rsidRPr="00CE140F" w:rsidTr="0081206A">
        <w:trPr>
          <w:trHeight w:val="490"/>
        </w:trPr>
        <w:tc>
          <w:tcPr>
            <w:tcW w:w="819" w:type="dxa"/>
            <w:vAlign w:val="center"/>
          </w:tcPr>
          <w:p w:rsidR="009C154C" w:rsidRPr="00CE140F" w:rsidRDefault="009C154C" w:rsidP="00481460">
            <w:pPr>
              <w:spacing w:after="0" w:line="240" w:lineRule="auto"/>
            </w:pPr>
            <w:r w:rsidRPr="00CE140F">
              <w:t>1</w:t>
            </w:r>
          </w:p>
        </w:tc>
        <w:tc>
          <w:tcPr>
            <w:tcW w:w="6836" w:type="dxa"/>
            <w:vAlign w:val="center"/>
          </w:tcPr>
          <w:p w:rsidR="009C154C" w:rsidRPr="00CE140F" w:rsidRDefault="009C154C" w:rsidP="00481460">
            <w:pPr>
              <w:spacing w:after="0" w:line="240" w:lineRule="auto"/>
            </w:pPr>
            <w:r w:rsidRPr="00CE140F">
              <w:t>2</w:t>
            </w:r>
          </w:p>
        </w:tc>
        <w:tc>
          <w:tcPr>
            <w:tcW w:w="596" w:type="dxa"/>
            <w:vAlign w:val="center"/>
          </w:tcPr>
          <w:p w:rsidR="009C154C" w:rsidRPr="00CE140F" w:rsidRDefault="009C154C" w:rsidP="00481460">
            <w:pPr>
              <w:spacing w:after="0" w:line="240" w:lineRule="auto"/>
            </w:pPr>
            <w:r w:rsidRPr="00CE140F">
              <w:t>3</w:t>
            </w:r>
          </w:p>
        </w:tc>
        <w:tc>
          <w:tcPr>
            <w:tcW w:w="567" w:type="dxa"/>
            <w:vAlign w:val="center"/>
          </w:tcPr>
          <w:p w:rsidR="009C154C" w:rsidRPr="00CE140F" w:rsidRDefault="009C154C" w:rsidP="00481460">
            <w:pPr>
              <w:spacing w:after="0" w:line="240" w:lineRule="auto"/>
            </w:pPr>
            <w:r w:rsidRPr="00CE140F">
              <w:t>4</w:t>
            </w:r>
          </w:p>
        </w:tc>
        <w:tc>
          <w:tcPr>
            <w:tcW w:w="851" w:type="dxa"/>
            <w:vAlign w:val="center"/>
          </w:tcPr>
          <w:p w:rsidR="009C154C" w:rsidRPr="00CE140F" w:rsidRDefault="009C154C" w:rsidP="00481460">
            <w:pPr>
              <w:spacing w:after="0" w:line="240" w:lineRule="auto"/>
            </w:pPr>
            <w:r w:rsidRPr="00CE140F">
              <w:t>5</w:t>
            </w:r>
          </w:p>
        </w:tc>
        <w:tc>
          <w:tcPr>
            <w:tcW w:w="5528" w:type="dxa"/>
            <w:vAlign w:val="center"/>
          </w:tcPr>
          <w:p w:rsidR="009C154C" w:rsidRPr="00CE140F" w:rsidRDefault="009C154C" w:rsidP="00481460">
            <w:pPr>
              <w:spacing w:after="0" w:line="240" w:lineRule="auto"/>
            </w:pPr>
            <w:r w:rsidRPr="00CE140F">
              <w:t>6</w:t>
            </w:r>
          </w:p>
        </w:tc>
        <w:tc>
          <w:tcPr>
            <w:tcW w:w="396" w:type="dxa"/>
            <w:vAlign w:val="center"/>
          </w:tcPr>
          <w:p w:rsidR="009C154C" w:rsidRPr="00CE140F" w:rsidRDefault="009C154C" w:rsidP="00481460">
            <w:pPr>
              <w:spacing w:after="0" w:line="240" w:lineRule="auto"/>
            </w:pPr>
            <w:r w:rsidRPr="00CE140F">
              <w:t>7</w:t>
            </w:r>
          </w:p>
        </w:tc>
        <w:tc>
          <w:tcPr>
            <w:tcW w:w="392" w:type="dxa"/>
            <w:vAlign w:val="center"/>
          </w:tcPr>
          <w:p w:rsidR="009C154C" w:rsidRPr="00CE140F" w:rsidRDefault="009C154C" w:rsidP="00481460">
            <w:pPr>
              <w:spacing w:after="0" w:line="240" w:lineRule="auto"/>
            </w:pPr>
            <w:r w:rsidRPr="00CE140F">
              <w:t>8</w:t>
            </w:r>
          </w:p>
        </w:tc>
      </w:tr>
      <w:tr w:rsidR="009C154C" w:rsidRPr="00CE140F" w:rsidTr="0081206A">
        <w:trPr>
          <w:cantSplit/>
          <w:trHeight w:val="1134"/>
        </w:trPr>
        <w:tc>
          <w:tcPr>
            <w:tcW w:w="819" w:type="dxa"/>
            <w:vAlign w:val="center"/>
          </w:tcPr>
          <w:p w:rsidR="009C154C" w:rsidRPr="00CE140F" w:rsidRDefault="009C154C" w:rsidP="00481460">
            <w:pPr>
              <w:spacing w:after="0" w:line="240" w:lineRule="auto"/>
            </w:pPr>
            <w:r w:rsidRPr="00CE140F">
              <w:t>Článok</w:t>
            </w:r>
          </w:p>
          <w:p w:rsidR="00624FD1" w:rsidRPr="00CE140F" w:rsidRDefault="00624FD1" w:rsidP="00624FD1">
            <w:pPr>
              <w:spacing w:after="0" w:line="240" w:lineRule="auto"/>
            </w:pPr>
            <w:r w:rsidRPr="00CE140F">
              <w:t>(Č, O, V, P)</w:t>
            </w:r>
          </w:p>
        </w:tc>
        <w:tc>
          <w:tcPr>
            <w:tcW w:w="6836" w:type="dxa"/>
            <w:vAlign w:val="center"/>
          </w:tcPr>
          <w:p w:rsidR="009C154C" w:rsidRPr="00CE140F" w:rsidRDefault="009C154C" w:rsidP="00481460">
            <w:pPr>
              <w:spacing w:after="0" w:line="240" w:lineRule="auto"/>
            </w:pPr>
            <w:r w:rsidRPr="00CE140F">
              <w:t>Text</w:t>
            </w:r>
          </w:p>
        </w:tc>
        <w:tc>
          <w:tcPr>
            <w:tcW w:w="596" w:type="dxa"/>
            <w:textDirection w:val="btLr"/>
            <w:vAlign w:val="center"/>
          </w:tcPr>
          <w:p w:rsidR="009C154C" w:rsidRPr="00CE140F" w:rsidRDefault="009C154C" w:rsidP="00481460">
            <w:pPr>
              <w:spacing w:after="0" w:line="240" w:lineRule="auto"/>
              <w:ind w:left="113" w:right="113"/>
            </w:pPr>
            <w:r w:rsidRPr="00CE140F">
              <w:t>Spôsob transpozície</w:t>
            </w:r>
          </w:p>
        </w:tc>
        <w:tc>
          <w:tcPr>
            <w:tcW w:w="567" w:type="dxa"/>
            <w:textDirection w:val="btLr"/>
            <w:vAlign w:val="center"/>
          </w:tcPr>
          <w:p w:rsidR="009C154C" w:rsidRPr="00CE140F" w:rsidRDefault="009C154C" w:rsidP="00481460">
            <w:pPr>
              <w:spacing w:after="0" w:line="240" w:lineRule="auto"/>
              <w:ind w:left="113" w:right="113"/>
            </w:pPr>
            <w:r w:rsidRPr="00CE140F">
              <w:t>Číslo</w:t>
            </w:r>
          </w:p>
        </w:tc>
        <w:tc>
          <w:tcPr>
            <w:tcW w:w="851" w:type="dxa"/>
            <w:textDirection w:val="btLr"/>
            <w:vAlign w:val="center"/>
          </w:tcPr>
          <w:p w:rsidR="009C154C" w:rsidRPr="00CE140F" w:rsidRDefault="009C154C" w:rsidP="00CE140F">
            <w:pPr>
              <w:spacing w:after="0" w:line="240" w:lineRule="auto"/>
              <w:ind w:left="113" w:right="113"/>
            </w:pPr>
            <w:r w:rsidRPr="00CE140F">
              <w:t>Článok</w:t>
            </w:r>
            <w:r w:rsidR="00F82DC1" w:rsidRPr="00CE140F">
              <w:t>,</w:t>
            </w:r>
            <w:r w:rsidR="00CE140F">
              <w:t xml:space="preserve"> </w:t>
            </w:r>
            <w:r w:rsidR="00624FD1" w:rsidRPr="00CE140F">
              <w:t xml:space="preserve"> </w:t>
            </w:r>
            <w:r w:rsidR="00CE140F">
              <w:t>(</w:t>
            </w:r>
            <w:r w:rsidR="00624FD1" w:rsidRPr="00CE140F">
              <w:t>§,O, V. P)</w:t>
            </w:r>
            <w:r w:rsidR="00F82DC1" w:rsidRPr="00CE140F">
              <w:t xml:space="preserve"> </w:t>
            </w:r>
            <w:r w:rsidRPr="00CE140F">
              <w:t xml:space="preserve"> </w:t>
            </w:r>
          </w:p>
        </w:tc>
        <w:tc>
          <w:tcPr>
            <w:tcW w:w="5528" w:type="dxa"/>
            <w:vAlign w:val="center"/>
          </w:tcPr>
          <w:p w:rsidR="009C154C" w:rsidRPr="00CE140F" w:rsidRDefault="009C154C" w:rsidP="00481460">
            <w:pPr>
              <w:spacing w:after="0" w:line="240" w:lineRule="auto"/>
            </w:pPr>
            <w:r w:rsidRPr="00CE140F">
              <w:t>Text</w:t>
            </w:r>
          </w:p>
          <w:p w:rsidR="009C154C" w:rsidRPr="00CE140F" w:rsidRDefault="009C154C" w:rsidP="00481460">
            <w:pPr>
              <w:spacing w:after="0" w:line="240" w:lineRule="auto"/>
            </w:pPr>
          </w:p>
        </w:tc>
        <w:tc>
          <w:tcPr>
            <w:tcW w:w="396" w:type="dxa"/>
            <w:textDirection w:val="btLr"/>
            <w:vAlign w:val="center"/>
          </w:tcPr>
          <w:p w:rsidR="009C154C" w:rsidRPr="00CE140F" w:rsidRDefault="009C154C" w:rsidP="00481460">
            <w:pPr>
              <w:spacing w:after="0" w:line="240" w:lineRule="auto"/>
              <w:ind w:left="113" w:right="113"/>
            </w:pPr>
            <w:r w:rsidRPr="00CE140F">
              <w:t>Zhoda</w:t>
            </w:r>
          </w:p>
        </w:tc>
        <w:tc>
          <w:tcPr>
            <w:tcW w:w="392" w:type="dxa"/>
            <w:textDirection w:val="btLr"/>
            <w:vAlign w:val="center"/>
          </w:tcPr>
          <w:p w:rsidR="009C154C" w:rsidRPr="00CE140F" w:rsidRDefault="009C154C" w:rsidP="00481460">
            <w:pPr>
              <w:spacing w:after="0" w:line="240" w:lineRule="auto"/>
              <w:ind w:left="113" w:right="113"/>
            </w:pPr>
            <w:r w:rsidRPr="00CE140F">
              <w:t>Poznámky</w:t>
            </w:r>
          </w:p>
        </w:tc>
      </w:tr>
    </w:tbl>
    <w:p w:rsidR="009C154C" w:rsidRPr="00CE140F" w:rsidRDefault="009C154C" w:rsidP="00123B21">
      <w:pPr>
        <w:rPr>
          <w:rFonts w:ascii="Times New Roman" w:hAnsi="Times New Roman" w:cs="Times New Roman"/>
          <w:sz w:val="20"/>
          <w:szCs w:val="20"/>
        </w:rPr>
      </w:pPr>
    </w:p>
    <w:tbl>
      <w:tblPr>
        <w:tblStyle w:val="Mriekatabuky"/>
        <w:tblW w:w="15985" w:type="dxa"/>
        <w:tblInd w:w="-743" w:type="dxa"/>
        <w:tblLayout w:type="fixed"/>
        <w:tblLook w:val="04A0" w:firstRow="1" w:lastRow="0" w:firstColumn="1" w:lastColumn="0" w:noHBand="0" w:noVBand="1"/>
      </w:tblPr>
      <w:tblGrid>
        <w:gridCol w:w="819"/>
        <w:gridCol w:w="6836"/>
        <w:gridCol w:w="596"/>
        <w:gridCol w:w="709"/>
        <w:gridCol w:w="709"/>
        <w:gridCol w:w="5528"/>
        <w:gridCol w:w="425"/>
        <w:gridCol w:w="363"/>
      </w:tblGrid>
      <w:tr w:rsidR="0066455E" w:rsidRPr="00CE140F" w:rsidTr="00A707DB">
        <w:trPr>
          <w:cantSplit/>
          <w:trHeight w:val="3118"/>
        </w:trPr>
        <w:tc>
          <w:tcPr>
            <w:tcW w:w="819" w:type="dxa"/>
          </w:tcPr>
          <w:p w:rsidR="00E27783" w:rsidRDefault="00E27783" w:rsidP="00481460">
            <w:pPr>
              <w:spacing w:after="0" w:line="240" w:lineRule="auto"/>
            </w:pPr>
            <w:r>
              <w:lastRenderedPageBreak/>
              <w:t xml:space="preserve">Čl. 4 </w:t>
            </w:r>
          </w:p>
          <w:p w:rsidR="00E27783" w:rsidRDefault="00E27783" w:rsidP="00481460">
            <w:pPr>
              <w:spacing w:after="0" w:line="240" w:lineRule="auto"/>
            </w:pPr>
            <w:r>
              <w:t>1</w:t>
            </w: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481460">
            <w:pPr>
              <w:spacing w:after="0" w:line="240" w:lineRule="auto"/>
            </w:pPr>
          </w:p>
          <w:p w:rsidR="00E27783" w:rsidRDefault="00E27783" w:rsidP="00E27783">
            <w:pPr>
              <w:spacing w:after="0" w:line="240" w:lineRule="auto"/>
            </w:pPr>
            <w:r>
              <w:t>Čl. 4</w:t>
            </w:r>
          </w:p>
          <w:p w:rsidR="00E27783" w:rsidRDefault="00E27783" w:rsidP="00E27783">
            <w:pPr>
              <w:spacing w:after="0" w:line="240" w:lineRule="auto"/>
            </w:pPr>
            <w:r>
              <w:t>7</w:t>
            </w:r>
          </w:p>
          <w:p w:rsidR="00E27783" w:rsidRDefault="00E27783" w:rsidP="00481460">
            <w:pPr>
              <w:spacing w:after="0" w:line="240" w:lineRule="auto"/>
            </w:pPr>
          </w:p>
          <w:p w:rsidR="00E27783" w:rsidRDefault="00E27783" w:rsidP="00481460">
            <w:pPr>
              <w:spacing w:after="0" w:line="240" w:lineRule="auto"/>
            </w:pPr>
          </w:p>
          <w:p w:rsidR="0066455E" w:rsidRPr="00CE140F" w:rsidRDefault="0066455E" w:rsidP="00481460">
            <w:pPr>
              <w:spacing w:after="0" w:line="240" w:lineRule="auto"/>
            </w:pPr>
          </w:p>
        </w:tc>
        <w:tc>
          <w:tcPr>
            <w:tcW w:w="6836" w:type="dxa"/>
            <w:vMerge w:val="restart"/>
          </w:tcPr>
          <w:p w:rsidR="00E27783" w:rsidRPr="00E27783" w:rsidRDefault="00E27783" w:rsidP="00E27783">
            <w:pPr>
              <w:spacing w:before="100" w:beforeAutospacing="1" w:after="100" w:afterAutospacing="1" w:line="240" w:lineRule="auto"/>
              <w:rPr>
                <w:rFonts w:eastAsia="Times New Roman"/>
              </w:rPr>
            </w:pPr>
            <w:r>
              <w:rPr>
                <w:rFonts w:eastAsia="Times New Roman"/>
              </w:rPr>
              <w:lastRenderedPageBreak/>
              <w:t>1</w:t>
            </w:r>
            <w:r w:rsidRPr="00E27783">
              <w:rPr>
                <w:rFonts w:eastAsia="Times New Roman"/>
              </w:rPr>
              <w:t>. Pri realizácií programov opatrení špecifikovaných v plánoch vodohospodárskeho manažmentu povodia:</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a) pre povrchové vody</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i) členské štáty vykonajú potrebné opatrenia na zabránenie zhoršeniu stavu všetkých útvarov povrchovej vody, v súlade s odsekmi 6 a 7 a bez toho, aby bol dotknutý odsek 8;</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ii) členské štáty budú chrániť, zlepšovať a obnovovať všetky útvary povrchovej vody, s ohľadom na platnosť bodu iii) pre umelé a výrazne zmenené vodné útvary, s cieľom dosiahnutia dobrého stavu povrchovej vody najneskôr do 15 rokov od dátumu nadobudnutia platnosti tejto smernice, v súlade s ustanoveniami uvedenými v prílohe V, s podmienkou uplatniť predlžovanie termínov v súlade s odsekom 4 a s využitím odsekov 5, 6 a 7, bez toho, aby boli dotknuté ustanovenia odseku 8;</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iii) členské štáty budú chrániť a zlepšovať všetky umelé a výrazne zmenené vodné útvary s cieľom dosiahnutia dobrého ekologického potenciálu a dobrého chemického stavu povrchovej vody najneskôr do 15 rokov od dátumu nadobudnutia účinnosti tejto smernice, v súlade s ustanoveniami uvedenými v Prílohe V, s podmienkou uplatniť rozšírené ustanovenia v súlade s odsekom 4 a s využitím odsekov 5, 6 a 7, bez toho, aby boli dotknuté ustanovenia odseku 8;</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iv) členské štáty zavedú potrebné opatrenia v súlade s článkom 16 ods. 1 a 8 s cieľom postupného zníženia znečistenia spôsobeného prioritnými látkami a zastavenia alebo postupného ukončenia emisií, vypúšťania a únikov prioritných rizikových látok</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bez toho, aby boli dotknuté ustanovenia príslušných medzinárodných dohôd uvedených v článku 1 pre príslušné zmluvné strany;</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b) pre podzemné vody</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 xml:space="preserve">i) členské štáty zavedú potrebné opatrenia na zabránenie alebo obmedzenie vstupu znečisťujúcich látok do podzemnej vody a na zabránenie zhoršenia stavu všetkých útvarov podzemnej vody, v súlade s odsekmi 6 a 7, bez toho, aby boli dotknuté </w:t>
            </w:r>
            <w:r w:rsidRPr="00E27783">
              <w:rPr>
                <w:rFonts w:eastAsia="Times New Roman"/>
              </w:rPr>
              <w:lastRenderedPageBreak/>
              <w:t>ustanovenia odseku 8 tohoto článku a s ohľadom na ustanovenia článku 11 ods. 3 písm. j);</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ii) členské štáty budú chrániť, zlepšovať a obnovovať všetky útvary podzemnej vôd, zabezpečia rovnováhu medzi odberom a dopĺňaním podzemnej vody s cieľom dosiahnutia dobrého stavu podzemných vôd najneskôr do 15 rokov od dátumu nadobudnutia platnosti tejto smernice v súlade s ustanoveniami uvedenými v prílohe V, s podmienkou uplatniť predĺženie termínov v súlade s odsekom 4 a s využitím odsekov 5, 6 a 7, bez toho, aby boli dotknuté ustanovenia odseku 8 tohto článku a s ohľadom na ustanovenia článku 11 ods. 3 písm. j);</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iii) členské štáty zavedú potrebné opatrenia na zvrátenie každého významného a trvalo vzostupného trendu koncentrácie každej znečisťujúcej látky, ktorý je spôsobený ľudskou činnosťou, s cieľom postupného zníženia znečistenia podzemnej vody.</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Opatrenia na dosiahnutie zvrátenia nepriaznivého trendu budú uplatňované v súlade s odsekmi 2, 4 a 5 článku 17, berúc do úvahy uplatniteľné normy ustanovené príslušnými právnymi predpismi spoločenstva, v súlade s ustanoveniami odsekov 6 a 7 a bez toho, aby boli dotknuté ustanovenia odseku 8;</w:t>
            </w:r>
          </w:p>
          <w:p w:rsidR="00E27783" w:rsidRPr="00E27783" w:rsidRDefault="00E27783" w:rsidP="00E27783">
            <w:pPr>
              <w:spacing w:before="100" w:beforeAutospacing="1" w:after="100" w:afterAutospacing="1" w:line="240" w:lineRule="auto"/>
              <w:rPr>
                <w:rFonts w:eastAsia="Times New Roman"/>
              </w:rPr>
            </w:pPr>
            <w:r w:rsidRPr="00E27783">
              <w:rPr>
                <w:rFonts w:eastAsia="Times New Roman"/>
              </w:rPr>
              <w:t>c) pre chránené oblasti</w:t>
            </w:r>
          </w:p>
          <w:p w:rsidR="00E27783" w:rsidRPr="00E27783" w:rsidRDefault="00E27783" w:rsidP="003C3622">
            <w:pPr>
              <w:spacing w:before="100" w:beforeAutospacing="1" w:after="100" w:afterAutospacing="1" w:line="240" w:lineRule="auto"/>
              <w:rPr>
                <w:rFonts w:eastAsia="Times New Roman"/>
              </w:rPr>
            </w:pPr>
            <w:r w:rsidRPr="00E27783">
              <w:rPr>
                <w:rFonts w:eastAsia="Times New Roman"/>
              </w:rPr>
              <w:t>členské štáty dosiahnu súlad so všetkými normami a cieľmi do 15 rokov od dátumu nadobudnutia účinnosti tejto smernice, pokiaľ nie je uvedené inak v právnych predpisoch spoločenstva, podľa ktorých boli jednotlivé chránené oblasti ustanovené.</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7. Členské štáty neporušia túto smernicu, keď:</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 xml:space="preserve">- je neúspech pri dosahovaní dobrého stavu podzemnej vody, dobrého ekologického stavu, prípadne dobrého ekologického potenciálu, alebo pri </w:t>
            </w:r>
            <w:r w:rsidRPr="00E27783">
              <w:rPr>
                <w:rFonts w:eastAsia="Times New Roman"/>
              </w:rPr>
              <w:lastRenderedPageBreak/>
              <w:t>predchádzaní zhoršenia stavu útvaru povrchovej alebo podzemnej vody dôsledkom nových modifikácií fyzikálnych vlastností útvaru povrchových vôd alebo zmien úrovne hladiny útvarov podzemnej vody, alebo</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 sa nepodarí zabrániť zhoršeniu stavu útvaru povrchovej vody z veľmi dobrého na dobrý v dôsledku nových trvalo udržateľných rozvojových činností človeka</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a súčasne sú splnené všetky nasledujúce podmienky:</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a) uskutočnia sa všetky realizovateľné kroky na obmedzenie nepriaznivého dopadu na stav vodného útvaru;</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b) dôvody úprav alebo zmien sú menovite uvedené a vysvetlené v pláne vodohospodárskeho manažmentu povodia vyžadovaného článkom 13 a ciele sa vyhodnotia každých šesť rokov;</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c) dôvody pre tieto úpravy alebo zmeny sú dôvodmi nadradeného verejného záujmu a/alebo prínos z dosiahnutia cieľov stanovených v odseku 1 pre životné prostredie a spoločnosť prevažuje nad prínosom nových úprav alebo zmenami pre ľudské zdravie, udržaním ľudskej bezpečnosti alebo trvalo udržateľným rozvojom a</w:t>
            </w:r>
          </w:p>
          <w:p w:rsidR="0066455E" w:rsidRPr="00E27783" w:rsidRDefault="0066455E" w:rsidP="003C3622">
            <w:pPr>
              <w:spacing w:before="100" w:beforeAutospacing="1" w:after="100" w:afterAutospacing="1" w:line="240" w:lineRule="auto"/>
              <w:rPr>
                <w:rFonts w:eastAsia="Times New Roman"/>
              </w:rPr>
            </w:pPr>
            <w:r w:rsidRPr="00E27783">
              <w:rPr>
                <w:rFonts w:eastAsia="Times New Roman"/>
              </w:rPr>
              <w:t>d) očakávané prínosy týchto úprav alebo zmien vodného útvaru, nie je možné z dôvodov technickej realizovateľnosti alebo neprimeraných nákladov dosiahnuť inými prostriedkami, ktoré sú podstatne lepšou environmentálnou voľbou.</w:t>
            </w:r>
          </w:p>
          <w:p w:rsidR="0066455E" w:rsidRPr="00E27783" w:rsidRDefault="0066455E" w:rsidP="00E27783">
            <w:pPr>
              <w:spacing w:before="100" w:beforeAutospacing="1" w:after="100" w:afterAutospacing="1" w:line="240" w:lineRule="auto"/>
            </w:pPr>
          </w:p>
        </w:tc>
        <w:tc>
          <w:tcPr>
            <w:tcW w:w="596" w:type="dxa"/>
          </w:tcPr>
          <w:p w:rsidR="0066455E" w:rsidRPr="00CE140F" w:rsidRDefault="0066455E" w:rsidP="00481460">
            <w:pPr>
              <w:spacing w:after="0" w:line="240" w:lineRule="auto"/>
            </w:pPr>
            <w:r>
              <w:lastRenderedPageBreak/>
              <w:t>N</w:t>
            </w:r>
          </w:p>
        </w:tc>
        <w:tc>
          <w:tcPr>
            <w:tcW w:w="709" w:type="dxa"/>
          </w:tcPr>
          <w:p w:rsidR="0066455E" w:rsidRDefault="0066455E" w:rsidP="00481460">
            <w:pPr>
              <w:spacing w:after="0" w:line="240" w:lineRule="auto"/>
            </w:pPr>
            <w:r>
              <w:t>NZ</w:t>
            </w:r>
          </w:p>
          <w:p w:rsidR="0066455E" w:rsidRDefault="0066455E" w:rsidP="00481460">
            <w:pPr>
              <w:spacing w:after="0" w:line="240" w:lineRule="auto"/>
            </w:pPr>
            <w:r>
              <w:t>Čl. II</w:t>
            </w:r>
          </w:p>
          <w:p w:rsidR="0066455E" w:rsidRPr="00CE140F" w:rsidRDefault="0066455E" w:rsidP="00481460">
            <w:pPr>
              <w:spacing w:after="0" w:line="240" w:lineRule="auto"/>
            </w:pPr>
          </w:p>
        </w:tc>
        <w:tc>
          <w:tcPr>
            <w:tcW w:w="709" w:type="dxa"/>
          </w:tcPr>
          <w:p w:rsidR="0066455E" w:rsidRPr="00CE140F" w:rsidRDefault="0066455E" w:rsidP="007D41C4">
            <w:pPr>
              <w:spacing w:after="0" w:line="240" w:lineRule="auto"/>
            </w:pPr>
            <w:r>
              <w:t>§ 16 ods. 10</w:t>
            </w:r>
          </w:p>
        </w:tc>
        <w:tc>
          <w:tcPr>
            <w:tcW w:w="5528" w:type="dxa"/>
          </w:tcPr>
          <w:p w:rsidR="0066455E" w:rsidRPr="00A707DB" w:rsidRDefault="0066455E" w:rsidP="00A707DB">
            <w:pPr>
              <w:pStyle w:val="Bezriadkovania"/>
              <w:tabs>
                <w:tab w:val="left" w:pos="440"/>
              </w:tabs>
              <w:jc w:val="both"/>
            </w:pPr>
            <w:r w:rsidRPr="00A707DB">
              <w:t>(10) K neúspechu pri dosahovaní dobrého stavu podzemnej vody, dobrého ekologického stavu alebo dobrého ekologického potenciálu, alebo pri predchádzaní zhoršenia stavu útvarov povrchovej vody alebo podzemnej vody dôsledkom nových zmien fyzikálnych vlastností útvaru povrchovej vody alebo zmien úrovne hladiny útvaru podzemnej vody, alebo k nezabráneniu zhoršenia stavu útvaru povrchovej vody z veľmi dobrého stavu na dobrý stav v dôsledku nových trvalo udržateľných rozvojových činností človeka alebo ich zmien môže dôjsť len na základe výnimky z environmentálnych cieľov podľa odseku 6 písm. b) (ďalej len „výnimka“)., ktorú povolí orgán štátnej vodnej správy na základe žiadosti po splnení podmienok odseku 6 pís</w:t>
            </w:r>
            <w:r>
              <w:t>m. b) prvého až štvrtého bodu.</w:t>
            </w:r>
          </w:p>
          <w:p w:rsidR="0066455E" w:rsidRPr="007D41C4" w:rsidRDefault="0066455E" w:rsidP="007D41C4">
            <w:pPr>
              <w:shd w:val="clear" w:color="auto" w:fill="FFFFFF"/>
              <w:spacing w:after="0" w:line="240" w:lineRule="auto"/>
              <w:jc w:val="both"/>
              <w:rPr>
                <w:rFonts w:eastAsia="Segoe UI"/>
              </w:rPr>
            </w:pPr>
          </w:p>
          <w:p w:rsidR="0066455E" w:rsidRPr="00CE140F" w:rsidRDefault="0066455E" w:rsidP="007D41C4">
            <w:pPr>
              <w:widowControl w:val="0"/>
              <w:spacing w:after="0" w:line="240" w:lineRule="auto"/>
              <w:rPr>
                <w:b/>
              </w:rPr>
            </w:pPr>
          </w:p>
        </w:tc>
        <w:tc>
          <w:tcPr>
            <w:tcW w:w="425" w:type="dxa"/>
          </w:tcPr>
          <w:p w:rsidR="0066455E" w:rsidRPr="00CE140F" w:rsidRDefault="0066455E" w:rsidP="00481460">
            <w:pPr>
              <w:spacing w:after="0" w:line="240" w:lineRule="auto"/>
            </w:pPr>
            <w:r>
              <w:t>Ú</w:t>
            </w:r>
          </w:p>
        </w:tc>
        <w:tc>
          <w:tcPr>
            <w:tcW w:w="363" w:type="dxa"/>
            <w:textDirection w:val="btLr"/>
          </w:tcPr>
          <w:p w:rsidR="0066455E" w:rsidRPr="00CE140F" w:rsidRDefault="0066455E" w:rsidP="00481460">
            <w:pPr>
              <w:spacing w:after="0" w:line="240" w:lineRule="auto"/>
              <w:ind w:left="113" w:right="113"/>
            </w:pPr>
          </w:p>
        </w:tc>
      </w:tr>
      <w:tr w:rsidR="0066455E" w:rsidRPr="00CE140F" w:rsidTr="00CE140F">
        <w:trPr>
          <w:cantSplit/>
          <w:trHeight w:val="567"/>
        </w:trPr>
        <w:tc>
          <w:tcPr>
            <w:tcW w:w="819" w:type="dxa"/>
          </w:tcPr>
          <w:p w:rsidR="0066455E" w:rsidRPr="00CE140F" w:rsidRDefault="0066455E" w:rsidP="00481460">
            <w:pPr>
              <w:spacing w:after="0" w:line="240" w:lineRule="auto"/>
            </w:pPr>
          </w:p>
        </w:tc>
        <w:tc>
          <w:tcPr>
            <w:tcW w:w="6836" w:type="dxa"/>
            <w:vMerge/>
          </w:tcPr>
          <w:p w:rsidR="0066455E" w:rsidRPr="00CE140F" w:rsidRDefault="0066455E" w:rsidP="00D33DD1">
            <w:pPr>
              <w:pStyle w:val="Zkladntext20"/>
              <w:shd w:val="clear" w:color="auto" w:fill="auto"/>
              <w:tabs>
                <w:tab w:val="left" w:pos="550"/>
              </w:tabs>
              <w:spacing w:before="0" w:after="240" w:line="211" w:lineRule="exact"/>
              <w:ind w:firstLine="0"/>
              <w:rPr>
                <w:rFonts w:ascii="Times New Roman" w:hAnsi="Times New Roman" w:cs="Times New Roman"/>
                <w:sz w:val="20"/>
                <w:szCs w:val="20"/>
              </w:rPr>
            </w:pPr>
          </w:p>
        </w:tc>
        <w:tc>
          <w:tcPr>
            <w:tcW w:w="596" w:type="dxa"/>
          </w:tcPr>
          <w:p w:rsidR="0066455E" w:rsidRPr="00CE140F" w:rsidRDefault="0066455E" w:rsidP="00481460">
            <w:pPr>
              <w:spacing w:after="0" w:line="240" w:lineRule="auto"/>
            </w:pPr>
          </w:p>
        </w:tc>
        <w:tc>
          <w:tcPr>
            <w:tcW w:w="709" w:type="dxa"/>
          </w:tcPr>
          <w:p w:rsidR="0066455E" w:rsidRDefault="0066455E" w:rsidP="00D33DD1">
            <w:pPr>
              <w:spacing w:after="0" w:line="240" w:lineRule="auto"/>
            </w:pPr>
            <w:r>
              <w:t>NZ Čl. II</w:t>
            </w:r>
          </w:p>
          <w:p w:rsidR="0066455E" w:rsidRPr="00CE140F" w:rsidRDefault="0066455E" w:rsidP="00D33DD1">
            <w:pPr>
              <w:spacing w:after="0" w:line="240" w:lineRule="auto"/>
            </w:pPr>
          </w:p>
        </w:tc>
        <w:tc>
          <w:tcPr>
            <w:tcW w:w="709" w:type="dxa"/>
          </w:tcPr>
          <w:p w:rsidR="0066455E" w:rsidRPr="00CE140F" w:rsidRDefault="0066455E" w:rsidP="00A707DB">
            <w:pPr>
              <w:spacing w:after="0" w:line="240" w:lineRule="auto"/>
            </w:pPr>
            <w:r>
              <w:t>§ 16a</w:t>
            </w:r>
          </w:p>
        </w:tc>
        <w:tc>
          <w:tcPr>
            <w:tcW w:w="5528" w:type="dxa"/>
          </w:tcPr>
          <w:p w:rsidR="0066455E" w:rsidRPr="00A707DB" w:rsidRDefault="0066455E" w:rsidP="00A707DB">
            <w:pPr>
              <w:pStyle w:val="Bezriadkovania"/>
              <w:tabs>
                <w:tab w:val="left" w:pos="440"/>
              </w:tabs>
              <w:jc w:val="center"/>
            </w:pPr>
            <w:r w:rsidRPr="00A707DB">
              <w:t xml:space="preserve">§ 16a Postup pri uplatňovaní výnimky </w:t>
            </w:r>
          </w:p>
          <w:p w:rsidR="0066455E" w:rsidRPr="00A707DB" w:rsidRDefault="0066455E" w:rsidP="00A707DB">
            <w:pPr>
              <w:pStyle w:val="Bezriadkovania"/>
              <w:tabs>
                <w:tab w:val="left" w:pos="440"/>
              </w:tabs>
              <w:jc w:val="both"/>
            </w:pPr>
          </w:p>
          <w:p w:rsidR="0066455E" w:rsidRPr="00A707DB" w:rsidRDefault="0066455E" w:rsidP="00A707DB">
            <w:pPr>
              <w:pStyle w:val="Bezriadkovania"/>
              <w:numPr>
                <w:ilvl w:val="0"/>
                <w:numId w:val="16"/>
              </w:numPr>
              <w:tabs>
                <w:tab w:val="left" w:pos="440"/>
              </w:tabs>
              <w:ind w:left="0" w:firstLine="567"/>
              <w:jc w:val="both"/>
            </w:pPr>
            <w:r w:rsidRPr="00A707DB">
              <w:t xml:space="preserve">Ten, kto má záujem realizovať činnosť, ktorou môže dôjsť k nesplneniu environmentálnych cieľov podľa § 16 ods. 6 písm. b), je povinný pred jej povolením požiadať orgán štátnej vodnej správy o vydanie záväzného stanoviska. V záväznom stanovisku orgán štátnej vodnej správy určí, či sa pred povolením činnosti vyžaduje výnimka. </w:t>
            </w:r>
          </w:p>
          <w:p w:rsidR="0066455E" w:rsidRPr="00A707DB" w:rsidRDefault="0066455E" w:rsidP="00A707DB">
            <w:pPr>
              <w:pStyle w:val="Bezriadkovania"/>
              <w:tabs>
                <w:tab w:val="left" w:pos="440"/>
              </w:tabs>
              <w:ind w:firstLine="567"/>
              <w:jc w:val="both"/>
            </w:pPr>
            <w:r w:rsidRPr="00A707DB">
              <w:t>(2) K žiadosti o vydanie záväzného stanoviska žiadateľ priloží projektovú dokumentáciu činnosti.</w:t>
            </w:r>
          </w:p>
          <w:p w:rsidR="0066455E" w:rsidRPr="00A707DB" w:rsidRDefault="0066455E" w:rsidP="00A707DB">
            <w:pPr>
              <w:pStyle w:val="Bezriadkovania"/>
              <w:tabs>
                <w:tab w:val="left" w:pos="440"/>
              </w:tabs>
              <w:ind w:firstLine="567"/>
              <w:jc w:val="both"/>
            </w:pPr>
            <w:r w:rsidRPr="00A707DB">
              <w:t>(3) Orgán štátnej vodnej správy požiada do siedmich dní od doručenia žiadosti poverenú osobu o vydanie odborného stanoviska, ktorého predmetom je určenie, či pri realizácii činnosti môže dôjsť k nesplneniu environmentálnych cieľov dotknutých vodných útvarov. Odborné stanovisko poverenej osoby je podkladom pre vydanie záväzného stanoviska. Poverená osoba vypracuje odborné stanovisko na náklady žiadateľa.</w:t>
            </w:r>
          </w:p>
          <w:p w:rsidR="0066455E" w:rsidRPr="00A707DB" w:rsidRDefault="0066455E" w:rsidP="00A707DB">
            <w:pPr>
              <w:pStyle w:val="Bezriadkovania"/>
              <w:tabs>
                <w:tab w:val="left" w:pos="440"/>
              </w:tabs>
              <w:ind w:firstLine="567"/>
              <w:jc w:val="both"/>
            </w:pPr>
            <w:r w:rsidRPr="00A707DB">
              <w:t>(4) Orgán štátnej vodnej správy môže vydať záväzné stanovisko aj bez odborného stanoviska poverenej osoby, ak z predloženej žiadosti a projektovej dokumentácie vyplýva, že povaha činnosti si nevyžaduje jej posúdenie odborným stanoviskom; v takom prípade vydá záväzné stanovisko do siedmich dní od doručenia žiadosti.</w:t>
            </w:r>
          </w:p>
          <w:p w:rsidR="0066455E" w:rsidRPr="00A707DB" w:rsidRDefault="0066455E" w:rsidP="00A707DB">
            <w:pPr>
              <w:pStyle w:val="Bezriadkovania"/>
              <w:tabs>
                <w:tab w:val="left" w:pos="440"/>
              </w:tabs>
              <w:ind w:firstLine="567"/>
              <w:jc w:val="both"/>
            </w:pPr>
            <w:r w:rsidRPr="00A707DB">
              <w:t xml:space="preserve">(5) Orgán štátnej vodnej správy zverejní záväzné stanovisko na svojom webovom sídle po dobu 15 dní. </w:t>
            </w:r>
          </w:p>
          <w:p w:rsidR="0066455E" w:rsidRPr="00A707DB" w:rsidRDefault="0066455E" w:rsidP="00A707DB">
            <w:pPr>
              <w:pStyle w:val="Bezriadkovania"/>
              <w:tabs>
                <w:tab w:val="left" w:pos="440"/>
              </w:tabs>
              <w:ind w:firstLine="567"/>
              <w:jc w:val="both"/>
            </w:pPr>
            <w:r w:rsidRPr="00A707DB">
              <w:t>(6) Žiadateľ je oprávnený podať návrh na začatie konania o povolení činnosti, ak zo záväzného stanoviska vyplýva, že sa nevyžaduje výnimka.</w:t>
            </w:r>
          </w:p>
          <w:p w:rsidR="0066455E" w:rsidRPr="00A707DB" w:rsidRDefault="0066455E" w:rsidP="00A707DB">
            <w:pPr>
              <w:pStyle w:val="Bezriadkovania"/>
              <w:tabs>
                <w:tab w:val="left" w:pos="440"/>
              </w:tabs>
              <w:ind w:firstLine="567"/>
              <w:jc w:val="both"/>
            </w:pPr>
            <w:r w:rsidRPr="00A707DB">
              <w:t>(7) K žiadosti o povolenie výnimky žiadateľ priloží projektovú dokumentáciu činnosti a správu o splnení podmienok podľa § 16 ods. 6 písm. b) prvého až štvrtého bodu (ďalej len „správa“). Informáciu o podaní žiadosti o povolenie výnimky spolu s dokumentmi podľa prvej vety zverejní orgán štátnej vodnej správy na svojom webovom sídle.</w:t>
            </w:r>
          </w:p>
          <w:p w:rsidR="0066455E" w:rsidRPr="00A707DB" w:rsidRDefault="0066455E" w:rsidP="00A707DB">
            <w:pPr>
              <w:pStyle w:val="Bezriadkovania"/>
              <w:tabs>
                <w:tab w:val="left" w:pos="440"/>
              </w:tabs>
              <w:ind w:firstLine="567"/>
              <w:jc w:val="both"/>
            </w:pPr>
            <w:r w:rsidRPr="00A707DB">
              <w:t>(8) Verejnosť môže orgánu štátnej vodnej správy doručiť písomné stanovisko k správe v lehote do 15 dní od zverejnenia dokumentov na webovom sídle orgánu štátnej vodnej správy podľa odseku 7.</w:t>
            </w:r>
          </w:p>
          <w:p w:rsidR="0066455E" w:rsidRPr="00A707DB" w:rsidRDefault="0066455E" w:rsidP="00A707DB">
            <w:pPr>
              <w:pStyle w:val="Bezriadkovania"/>
              <w:tabs>
                <w:tab w:val="left" w:pos="440"/>
              </w:tabs>
              <w:ind w:firstLine="567"/>
              <w:jc w:val="both"/>
            </w:pPr>
            <w:r w:rsidRPr="00A707DB">
              <w:lastRenderedPageBreak/>
              <w:t>(9) Doručením písomného stanoviska sa verejnosť stáva účastníkom konania o povolení výnimky. Účastníkom konania je aj správca vodohospodársky významného vodného toku a správca drobného vodného toku, ak sa činnosť týka drobného vodného toku.</w:t>
            </w:r>
          </w:p>
          <w:p w:rsidR="0066455E" w:rsidRPr="00A707DB" w:rsidRDefault="0066455E" w:rsidP="00A707DB">
            <w:pPr>
              <w:pStyle w:val="Bezriadkovania"/>
              <w:tabs>
                <w:tab w:val="left" w:pos="440"/>
              </w:tabs>
              <w:ind w:firstLine="567"/>
              <w:jc w:val="both"/>
            </w:pPr>
            <w:r w:rsidRPr="00A707DB">
              <w:t>(10) Orgán štátnej vodnej správy povolí výnimku, ak sú v súvislosti s činnosťou žiadateľa splnené podmienky podľa § 16 ods. 6 písm. b).</w:t>
            </w:r>
          </w:p>
          <w:p w:rsidR="0066455E" w:rsidRPr="00A707DB" w:rsidRDefault="0066455E" w:rsidP="00A707DB">
            <w:pPr>
              <w:pStyle w:val="Bezriadkovania"/>
              <w:tabs>
                <w:tab w:val="left" w:pos="440"/>
              </w:tabs>
              <w:ind w:firstLine="567"/>
              <w:jc w:val="both"/>
            </w:pPr>
            <w:r w:rsidRPr="00A707DB">
              <w:t xml:space="preserve">(11) Rozhodnutie o povolení výnimky zverejní orgán štátnej vodnej správy na svojom webovom sídle po dobu 15 dní. </w:t>
            </w:r>
          </w:p>
          <w:p w:rsidR="0066455E" w:rsidRPr="00A707DB" w:rsidRDefault="0066455E" w:rsidP="00A707DB">
            <w:pPr>
              <w:tabs>
                <w:tab w:val="left" w:pos="440"/>
              </w:tabs>
              <w:autoSpaceDE w:val="0"/>
              <w:autoSpaceDN w:val="0"/>
              <w:spacing w:after="0" w:line="240" w:lineRule="auto"/>
              <w:jc w:val="both"/>
            </w:pPr>
            <w:r w:rsidRPr="00A707DB">
              <w:t xml:space="preserve">(12) Orgán povoľujúci činnosť nesmie takúto činnosť povoliť bez povolenia výnimky orgánom štátnej </w:t>
            </w:r>
            <w:r>
              <w:t>vodnej správy podľa odseku 10.</w:t>
            </w:r>
          </w:p>
        </w:tc>
        <w:tc>
          <w:tcPr>
            <w:tcW w:w="425" w:type="dxa"/>
          </w:tcPr>
          <w:p w:rsidR="0066455E" w:rsidRPr="00CE140F" w:rsidRDefault="00113EF0" w:rsidP="00481460">
            <w:pPr>
              <w:spacing w:after="0" w:line="240" w:lineRule="auto"/>
            </w:pPr>
            <w:r>
              <w:lastRenderedPageBreak/>
              <w:t>Ú</w:t>
            </w:r>
            <w:bookmarkStart w:id="0" w:name="_GoBack"/>
            <w:bookmarkEnd w:id="0"/>
          </w:p>
        </w:tc>
        <w:tc>
          <w:tcPr>
            <w:tcW w:w="363" w:type="dxa"/>
            <w:textDirection w:val="btLr"/>
          </w:tcPr>
          <w:p w:rsidR="0066455E" w:rsidRPr="00CE140F" w:rsidRDefault="0066455E" w:rsidP="00481460">
            <w:pPr>
              <w:spacing w:after="0" w:line="240" w:lineRule="auto"/>
              <w:ind w:left="113" w:right="113"/>
            </w:pPr>
          </w:p>
        </w:tc>
      </w:tr>
    </w:tbl>
    <w:p w:rsidR="009C154C" w:rsidRPr="00CE140F" w:rsidRDefault="009C154C" w:rsidP="009C154C">
      <w:pPr>
        <w:rPr>
          <w:rFonts w:ascii="Times New Roman" w:hAnsi="Times New Roman" w:cs="Times New Roman"/>
          <w:sz w:val="20"/>
          <w:szCs w:val="20"/>
        </w:rPr>
      </w:pP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FB1E24" w:rsidRPr="00CE140F" w:rsidTr="00D87201">
        <w:tc>
          <w:tcPr>
            <w:tcW w:w="241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(1):</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Č – článok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O – odsek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 veta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P – písmeno (číslo)</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p>
        </w:tc>
        <w:tc>
          <w:tcPr>
            <w:tcW w:w="378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(3):</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N – bežná transpozícia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O – transpozícia s možnosťou voľby</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D – transpozícia podľa úvahy (dobrovoľná)</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proofErr w:type="spellStart"/>
            <w:r w:rsidRPr="00CE140F">
              <w:rPr>
                <w:rFonts w:ascii="Times New Roman" w:eastAsia="Times New Roman" w:hAnsi="Times New Roman" w:cs="Times New Roman"/>
                <w:sz w:val="20"/>
                <w:szCs w:val="20"/>
                <w:lang w:eastAsia="sk-SK"/>
              </w:rPr>
              <w:t>n.a</w:t>
            </w:r>
            <w:proofErr w:type="spellEnd"/>
            <w:r w:rsidRPr="00CE140F">
              <w:rPr>
                <w:rFonts w:ascii="Times New Roman" w:eastAsia="Times New Roman" w:hAnsi="Times New Roman" w:cs="Times New Roman"/>
                <w:sz w:val="20"/>
                <w:szCs w:val="20"/>
                <w:lang w:eastAsia="sk-SK"/>
              </w:rPr>
              <w:t>. – transpozícia sa neuskutočňuje</w:t>
            </w:r>
          </w:p>
        </w:tc>
        <w:tc>
          <w:tcPr>
            <w:tcW w:w="234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(5):</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Č – článok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 – paragraf</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O – odsek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 veta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P – písmeno (číslo)</w:t>
            </w:r>
          </w:p>
        </w:tc>
        <w:tc>
          <w:tcPr>
            <w:tcW w:w="720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(7):</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Ú – úplná zhoda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Č – čiastočná zhoda</w:t>
            </w:r>
          </w:p>
          <w:p w:rsidR="00FB1E24" w:rsidRPr="00CE140F" w:rsidRDefault="00FB1E24" w:rsidP="00FB1E24">
            <w:pPr>
              <w:autoSpaceDE w:val="0"/>
              <w:autoSpaceDN w:val="0"/>
              <w:spacing w:after="12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 xml:space="preserve">Ž – žiadna zhoda (ak nebola dosiahnutá ani </w:t>
            </w:r>
            <w:proofErr w:type="spellStart"/>
            <w:r w:rsidRPr="00CE140F">
              <w:rPr>
                <w:rFonts w:ascii="Times New Roman" w:eastAsia="Times New Roman" w:hAnsi="Times New Roman" w:cs="Times New Roman"/>
                <w:sz w:val="20"/>
                <w:szCs w:val="20"/>
                <w:lang w:eastAsia="sk-SK"/>
              </w:rPr>
              <w:t>čiast</w:t>
            </w:r>
            <w:proofErr w:type="spellEnd"/>
            <w:r w:rsidRPr="00CE140F">
              <w:rPr>
                <w:rFonts w:ascii="Times New Roman" w:eastAsia="Times New Roman" w:hAnsi="Times New Roman" w:cs="Times New Roman"/>
                <w:sz w:val="20"/>
                <w:szCs w:val="20"/>
                <w:lang w:eastAsia="sk-SK"/>
              </w:rPr>
              <w:t>. ani úplná zhoda alebo k prebratiu dôjde v budúcnosti)</w:t>
            </w:r>
          </w:p>
          <w:p w:rsidR="00FB1E24" w:rsidRPr="00CE140F" w:rsidRDefault="00FB1E24" w:rsidP="00FB1E24">
            <w:pPr>
              <w:spacing w:after="0" w:line="240" w:lineRule="auto"/>
              <w:ind w:left="290" w:hanging="290"/>
              <w:rPr>
                <w:rFonts w:ascii="Times New Roman" w:eastAsia="Times New Roman" w:hAnsi="Times New Roman" w:cs="Times New Roman"/>
                <w:sz w:val="20"/>
                <w:szCs w:val="20"/>
                <w:lang w:eastAsia="sk-SK"/>
              </w:rPr>
            </w:pPr>
            <w:proofErr w:type="spellStart"/>
            <w:r w:rsidRPr="00CE140F">
              <w:rPr>
                <w:rFonts w:ascii="Times New Roman" w:eastAsia="Times New Roman" w:hAnsi="Times New Roman" w:cs="Times New Roman"/>
                <w:sz w:val="20"/>
                <w:szCs w:val="20"/>
                <w:lang w:eastAsia="sk-SK"/>
              </w:rPr>
              <w:t>n.a</w:t>
            </w:r>
            <w:proofErr w:type="spellEnd"/>
            <w:r w:rsidRPr="00CE140F">
              <w:rPr>
                <w:rFonts w:ascii="Times New Roman" w:eastAsia="Times New Roman" w:hAnsi="Times New Roman" w:cs="Times New Roman"/>
                <w:sz w:val="20"/>
                <w:szCs w:val="20"/>
                <w:lang w:eastAsia="sk-SK"/>
              </w:rPr>
              <w:t>. – neaplikovateľnosť (ak sa ustanovenie smernice netýka SR alebo nie je potrebné ho prebrať)</w:t>
            </w:r>
          </w:p>
        </w:tc>
      </w:tr>
    </w:tbl>
    <w:p w:rsidR="00283933" w:rsidRPr="00CE140F" w:rsidRDefault="00283933" w:rsidP="009C154C">
      <w:pPr>
        <w:rPr>
          <w:rFonts w:ascii="Times New Roman" w:hAnsi="Times New Roman" w:cs="Times New Roman"/>
          <w:sz w:val="20"/>
          <w:szCs w:val="20"/>
        </w:rPr>
      </w:pPr>
    </w:p>
    <w:sectPr w:rsidR="00283933" w:rsidRPr="00CE140F" w:rsidSect="009C15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E9BD14"/>
    <w:multiLevelType w:val="singleLevel"/>
    <w:tmpl w:val="A8E9BD14"/>
    <w:lvl w:ilvl="0">
      <w:start w:val="1"/>
      <w:numFmt w:val="lowerLetter"/>
      <w:suff w:val="space"/>
      <w:lvlText w:val="%1)"/>
      <w:lvlJc w:val="left"/>
    </w:lvl>
  </w:abstractNum>
  <w:abstractNum w:abstractNumId="1" w15:restartNumberingAfterBreak="0">
    <w:nsid w:val="0081717D"/>
    <w:multiLevelType w:val="multilevel"/>
    <w:tmpl w:val="0081717D"/>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F1D14"/>
    <w:multiLevelType w:val="multilevel"/>
    <w:tmpl w:val="048F1D1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A910D53"/>
    <w:multiLevelType w:val="multilevel"/>
    <w:tmpl w:val="0A910D5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D2C760E"/>
    <w:multiLevelType w:val="multilevel"/>
    <w:tmpl w:val="0D2C760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53BAE"/>
    <w:multiLevelType w:val="multilevel"/>
    <w:tmpl w:val="10553BAE"/>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81DCB"/>
    <w:multiLevelType w:val="multilevel"/>
    <w:tmpl w:val="19381DCB"/>
    <w:lvl w:ilvl="0">
      <w:start w:val="1"/>
      <w:numFmt w:val="decimal"/>
      <w:lvlText w:val="%1."/>
      <w:lvlJc w:val="left"/>
      <w:pPr>
        <w:ind w:left="620" w:hanging="360"/>
      </w:pPr>
      <w:rPr>
        <w:rFonts w:hint="default"/>
      </w:r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abstractNum w:abstractNumId="7" w15:restartNumberingAfterBreak="0">
    <w:nsid w:val="24FC195E"/>
    <w:multiLevelType w:val="multilevel"/>
    <w:tmpl w:val="24FC195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E2D5D"/>
    <w:multiLevelType w:val="multilevel"/>
    <w:tmpl w:val="25FE2D5D"/>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E133D12"/>
    <w:multiLevelType w:val="multilevel"/>
    <w:tmpl w:val="2E133D1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4B0ABE"/>
    <w:multiLevelType w:val="multilevel"/>
    <w:tmpl w:val="334B0A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BA24F4"/>
    <w:multiLevelType w:val="multilevel"/>
    <w:tmpl w:val="3ABA24F4"/>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64FA9"/>
    <w:multiLevelType w:val="multilevel"/>
    <w:tmpl w:val="50964FA9"/>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AA3502"/>
    <w:multiLevelType w:val="multilevel"/>
    <w:tmpl w:val="5FAA3502"/>
    <w:lvl w:ilvl="0">
      <w:start w:val="1"/>
      <w:numFmt w:val="upperLetter"/>
      <w:lvlText w:val="%1."/>
      <w:lvlJc w:val="left"/>
      <w:rPr>
        <w:rFonts w:asciiTheme="minorHAnsi" w:eastAsia="Sylfaen" w:hAnsiTheme="minorHAnsi" w:cs="Sylfaen" w:hint="default"/>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60CE5"/>
    <w:multiLevelType w:val="multilevel"/>
    <w:tmpl w:val="75160CE5"/>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7A76E3"/>
    <w:multiLevelType w:val="multilevel"/>
    <w:tmpl w:val="767A76E3"/>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2"/>
  </w:num>
  <w:num w:numId="3">
    <w:abstractNumId w:val="7"/>
  </w:num>
  <w:num w:numId="4">
    <w:abstractNumId w:val="9"/>
  </w:num>
  <w:num w:numId="5">
    <w:abstractNumId w:val="15"/>
  </w:num>
  <w:num w:numId="6">
    <w:abstractNumId w:val="4"/>
  </w:num>
  <w:num w:numId="7">
    <w:abstractNumId w:val="11"/>
  </w:num>
  <w:num w:numId="8">
    <w:abstractNumId w:val="5"/>
  </w:num>
  <w:num w:numId="9">
    <w:abstractNumId w:val="3"/>
  </w:num>
  <w:num w:numId="10">
    <w:abstractNumId w:val="1"/>
  </w:num>
  <w:num w:numId="11">
    <w:abstractNumId w:val="8"/>
  </w:num>
  <w:num w:numId="12">
    <w:abstractNumId w:val="6"/>
  </w:num>
  <w:num w:numId="13">
    <w:abstractNumId w:val="14"/>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4C"/>
    <w:rsid w:val="0001516A"/>
    <w:rsid w:val="00064A46"/>
    <w:rsid w:val="000B77E2"/>
    <w:rsid w:val="00102181"/>
    <w:rsid w:val="00113EF0"/>
    <w:rsid w:val="00116D27"/>
    <w:rsid w:val="00123B21"/>
    <w:rsid w:val="001607A5"/>
    <w:rsid w:val="001B4393"/>
    <w:rsid w:val="00283933"/>
    <w:rsid w:val="002A480C"/>
    <w:rsid w:val="003C3622"/>
    <w:rsid w:val="003D35EF"/>
    <w:rsid w:val="004719BF"/>
    <w:rsid w:val="004A15B2"/>
    <w:rsid w:val="00607062"/>
    <w:rsid w:val="00624FD1"/>
    <w:rsid w:val="00637180"/>
    <w:rsid w:val="0066455E"/>
    <w:rsid w:val="007016C5"/>
    <w:rsid w:val="00711D06"/>
    <w:rsid w:val="007D41C4"/>
    <w:rsid w:val="0081206A"/>
    <w:rsid w:val="0085603E"/>
    <w:rsid w:val="008B70C7"/>
    <w:rsid w:val="009A7F13"/>
    <w:rsid w:val="009C154C"/>
    <w:rsid w:val="009D0ACF"/>
    <w:rsid w:val="00A707DB"/>
    <w:rsid w:val="00AB1CE1"/>
    <w:rsid w:val="00AD667F"/>
    <w:rsid w:val="00AF011D"/>
    <w:rsid w:val="00C61AF1"/>
    <w:rsid w:val="00C708AB"/>
    <w:rsid w:val="00CE140F"/>
    <w:rsid w:val="00D33DD1"/>
    <w:rsid w:val="00D87093"/>
    <w:rsid w:val="00E13490"/>
    <w:rsid w:val="00E27783"/>
    <w:rsid w:val="00F62100"/>
    <w:rsid w:val="00F82DC1"/>
    <w:rsid w:val="00FB1E24"/>
    <w:rsid w:val="00FD1A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F0D"/>
  <w15:chartTrackingRefBased/>
  <w15:docId w15:val="{53CE94F8-DB93-4250-9721-ABAA3DF0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54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qFormat/>
    <w:rsid w:val="009C154C"/>
    <w:pPr>
      <w:spacing w:after="0" w:line="240" w:lineRule="auto"/>
    </w:pPr>
    <w:rPr>
      <w:rFonts w:ascii="Times New Roman" w:eastAsia="SimSu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C154C"/>
    <w:pPr>
      <w:keepNext/>
      <w:spacing w:before="60" w:after="60" w:line="240" w:lineRule="auto"/>
      <w:ind w:left="720"/>
      <w:contextualSpacing/>
      <w:jc w:val="both"/>
    </w:pPr>
    <w:rPr>
      <w:rFonts w:ascii="Times New Roman" w:eastAsia="Times New Roman" w:hAnsi="Times New Roman" w:cs="Times New Roman"/>
      <w:sz w:val="24"/>
    </w:rPr>
  </w:style>
  <w:style w:type="character" w:customStyle="1" w:styleId="Zkladntext2">
    <w:name w:val="Základní text (2)_"/>
    <w:basedOn w:val="Predvolenpsmoodseku"/>
    <w:link w:val="Zkladntext20"/>
    <w:qFormat/>
    <w:rsid w:val="009C154C"/>
    <w:rPr>
      <w:rFonts w:ascii="Sylfaen" w:eastAsia="Sylfaen" w:hAnsi="Sylfaen" w:cs="Sylfaen"/>
      <w:sz w:val="15"/>
      <w:szCs w:val="15"/>
      <w:shd w:val="clear" w:color="auto" w:fill="FFFFFF"/>
    </w:rPr>
  </w:style>
  <w:style w:type="paragraph" w:customStyle="1" w:styleId="Zkladntext20">
    <w:name w:val="Základní text (2)"/>
    <w:basedOn w:val="Normlny"/>
    <w:link w:val="Zkladntext2"/>
    <w:qFormat/>
    <w:rsid w:val="009C154C"/>
    <w:pPr>
      <w:widowControl w:val="0"/>
      <w:shd w:val="clear" w:color="auto" w:fill="FFFFFF"/>
      <w:spacing w:before="400" w:after="400" w:line="198" w:lineRule="exact"/>
      <w:ind w:hanging="620"/>
      <w:jc w:val="both"/>
    </w:pPr>
    <w:rPr>
      <w:rFonts w:ascii="Sylfaen" w:eastAsia="Sylfaen" w:hAnsi="Sylfaen" w:cs="Sylfaen"/>
      <w:sz w:val="15"/>
      <w:szCs w:val="15"/>
    </w:rPr>
  </w:style>
  <w:style w:type="character" w:customStyle="1" w:styleId="Nadpis2">
    <w:name w:val="Nadpis #2_"/>
    <w:basedOn w:val="Predvolenpsmoodseku"/>
    <w:link w:val="Nadpis20"/>
    <w:qFormat/>
    <w:rsid w:val="009C154C"/>
    <w:rPr>
      <w:rFonts w:ascii="Sylfaen" w:eastAsia="Sylfaen" w:hAnsi="Sylfaen" w:cs="Sylfaen"/>
      <w:b/>
      <w:bCs/>
      <w:sz w:val="19"/>
      <w:szCs w:val="19"/>
      <w:shd w:val="clear" w:color="auto" w:fill="FFFFFF"/>
    </w:rPr>
  </w:style>
  <w:style w:type="paragraph" w:customStyle="1" w:styleId="Nadpis20">
    <w:name w:val="Nadpis #2"/>
    <w:basedOn w:val="Normlny"/>
    <w:link w:val="Nadpis2"/>
    <w:qFormat/>
    <w:rsid w:val="009C154C"/>
    <w:pPr>
      <w:widowControl w:val="0"/>
      <w:shd w:val="clear" w:color="auto" w:fill="FFFFFF"/>
      <w:spacing w:before="620" w:after="0" w:line="336" w:lineRule="exact"/>
      <w:jc w:val="center"/>
      <w:outlineLvl w:val="1"/>
    </w:pPr>
    <w:rPr>
      <w:rFonts w:ascii="Sylfaen" w:eastAsia="Sylfaen" w:hAnsi="Sylfaen" w:cs="Sylfaen"/>
      <w:b/>
      <w:bCs/>
      <w:sz w:val="19"/>
      <w:szCs w:val="19"/>
    </w:rPr>
  </w:style>
  <w:style w:type="paragraph" w:styleId="Zarkazkladnhotextu2">
    <w:name w:val="Body Text Indent 2"/>
    <w:basedOn w:val="Normlny"/>
    <w:link w:val="Zarkazkladnhotextu2Char"/>
    <w:rsid w:val="009C154C"/>
    <w:pPr>
      <w:spacing w:before="120" w:after="0" w:line="400" w:lineRule="atLeast"/>
      <w:ind w:firstLine="567"/>
      <w:jc w:val="both"/>
    </w:pPr>
    <w:rPr>
      <w:rFonts w:ascii="Times New Roman" w:eastAsia="Times New Roman" w:hAnsi="Times New Roman" w:cs="Times New Roman"/>
      <w:sz w:val="26"/>
      <w:szCs w:val="20"/>
      <w:lang w:eastAsia="sk-SK"/>
    </w:rPr>
  </w:style>
  <w:style w:type="character" w:customStyle="1" w:styleId="Zarkazkladnhotextu2Char">
    <w:name w:val="Zarážka základného textu 2 Char"/>
    <w:basedOn w:val="Predvolenpsmoodseku"/>
    <w:link w:val="Zarkazkladnhotextu2"/>
    <w:rsid w:val="009C154C"/>
    <w:rPr>
      <w:rFonts w:ascii="Times New Roman" w:eastAsia="Times New Roman" w:hAnsi="Times New Roman" w:cs="Times New Roman"/>
      <w:sz w:val="26"/>
      <w:szCs w:val="20"/>
      <w:lang w:eastAsia="sk-SK"/>
    </w:rPr>
  </w:style>
  <w:style w:type="paragraph" w:styleId="Textbubliny">
    <w:name w:val="Balloon Text"/>
    <w:basedOn w:val="Normlny"/>
    <w:link w:val="TextbublinyChar"/>
    <w:uiPriority w:val="99"/>
    <w:semiHidden/>
    <w:unhideWhenUsed/>
    <w:rsid w:val="00AD66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667F"/>
    <w:rPr>
      <w:rFonts w:ascii="Segoe UI" w:hAnsi="Segoe UI" w:cs="Segoe UI"/>
      <w:sz w:val="18"/>
      <w:szCs w:val="18"/>
    </w:rPr>
  </w:style>
  <w:style w:type="paragraph" w:styleId="Normlnywebov">
    <w:name w:val="Normal (Web)"/>
    <w:basedOn w:val="Normlny"/>
    <w:uiPriority w:val="99"/>
    <w:semiHidden/>
    <w:unhideWhenUsed/>
    <w:rsid w:val="00CE140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qFormat/>
    <w:rsid w:val="00064A46"/>
    <w:rPr>
      <w:color w:val="0000FF"/>
      <w:u w:val="single"/>
    </w:rPr>
  </w:style>
  <w:style w:type="character" w:styleId="Siln">
    <w:name w:val="Strong"/>
    <w:basedOn w:val="Predvolenpsmoodseku"/>
    <w:uiPriority w:val="22"/>
    <w:qFormat/>
    <w:rsid w:val="00A707DB"/>
    <w:rPr>
      <w:b/>
      <w:bCs/>
    </w:rPr>
  </w:style>
  <w:style w:type="paragraph" w:styleId="Bezriadkovania">
    <w:name w:val="No Spacing"/>
    <w:uiPriority w:val="1"/>
    <w:qFormat/>
    <w:rsid w:val="00A70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17141">
      <w:bodyDiv w:val="1"/>
      <w:marLeft w:val="0"/>
      <w:marRight w:val="0"/>
      <w:marTop w:val="0"/>
      <w:marBottom w:val="0"/>
      <w:divBdr>
        <w:top w:val="none" w:sz="0" w:space="0" w:color="auto"/>
        <w:left w:val="none" w:sz="0" w:space="0" w:color="auto"/>
        <w:bottom w:val="none" w:sz="0" w:space="0" w:color="auto"/>
        <w:right w:val="none" w:sz="0" w:space="0" w:color="auto"/>
      </w:divBdr>
    </w:div>
    <w:div w:id="1732652210">
      <w:bodyDiv w:val="1"/>
      <w:marLeft w:val="0"/>
      <w:marRight w:val="0"/>
      <w:marTop w:val="0"/>
      <w:marBottom w:val="0"/>
      <w:divBdr>
        <w:top w:val="none" w:sz="0" w:space="0" w:color="auto"/>
        <w:left w:val="none" w:sz="0" w:space="0" w:color="auto"/>
        <w:bottom w:val="none" w:sz="0" w:space="0" w:color="auto"/>
        <w:right w:val="none" w:sz="0" w:space="0" w:color="auto"/>
      </w:divBdr>
    </w:div>
    <w:div w:id="2048487082">
      <w:bodyDiv w:val="1"/>
      <w:marLeft w:val="0"/>
      <w:marRight w:val="0"/>
      <w:marTop w:val="0"/>
      <w:marBottom w:val="0"/>
      <w:divBdr>
        <w:top w:val="none" w:sz="0" w:space="0" w:color="auto"/>
        <w:left w:val="none" w:sz="0" w:space="0" w:color="auto"/>
        <w:bottom w:val="none" w:sz="0" w:space="0" w:color="auto"/>
        <w:right w:val="none" w:sz="0" w:space="0" w:color="auto"/>
      </w:divBdr>
      <w:divsChild>
        <w:div w:id="970131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CA86-3F7C-476A-A7C4-4060927D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1506</Words>
  <Characters>8588</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Lýdia Bekerová</dc:creator>
  <cp:keywords/>
  <dc:description/>
  <cp:lastModifiedBy>Rozborilová Monika</cp:lastModifiedBy>
  <cp:revision>2</cp:revision>
  <cp:lastPrinted>2021-03-08T09:48:00Z</cp:lastPrinted>
  <dcterms:created xsi:type="dcterms:W3CDTF">2021-09-09T08:36:00Z</dcterms:created>
  <dcterms:modified xsi:type="dcterms:W3CDTF">2021-09-09T08:36:00Z</dcterms:modified>
</cp:coreProperties>
</file>